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974C" w14:textId="77777777" w:rsidR="002C4F75" w:rsidRPr="002C4F75" w:rsidRDefault="002C4F75" w:rsidP="002C4F75">
      <w:pPr>
        <w:jc w:val="center"/>
        <w:rPr>
          <w:rFonts w:ascii="Arial" w:hAnsi="Arial" w:cs="Arial"/>
          <w:b/>
        </w:rPr>
      </w:pPr>
      <w:bookmarkStart w:id="0" w:name="_GoBack"/>
      <w:bookmarkEnd w:id="0"/>
    </w:p>
    <w:p w14:paraId="215E0D83" w14:textId="77777777" w:rsidR="002C4F75" w:rsidRPr="002C4F75" w:rsidRDefault="002C4F75" w:rsidP="002C4F75">
      <w:pPr>
        <w:pStyle w:val="ReportCover-Title"/>
        <w:rPr>
          <w:rFonts w:ascii="Arial" w:hAnsi="Arial" w:cs="Arial"/>
          <w:color w:val="auto"/>
        </w:rPr>
      </w:pPr>
    </w:p>
    <w:p w14:paraId="30391855" w14:textId="47A2E1E4" w:rsidR="002C4F75" w:rsidRPr="002C4F75" w:rsidRDefault="009246BB" w:rsidP="002C4F75">
      <w:pPr>
        <w:pStyle w:val="ReportCover-Title"/>
        <w:jc w:val="center"/>
        <w:rPr>
          <w:rFonts w:ascii="Arial" w:hAnsi="Arial" w:cs="Arial"/>
          <w:color w:val="auto"/>
        </w:rPr>
      </w:pPr>
      <w:r>
        <w:rPr>
          <w:rFonts w:ascii="Arial" w:eastAsia="Arial Unicode MS" w:hAnsi="Arial" w:cs="Arial"/>
          <w:noProof/>
          <w:color w:val="auto"/>
        </w:rPr>
        <w:t xml:space="preserve">Evaluation of Employment Coaching for TANF and </w:t>
      </w:r>
      <w:r w:rsidR="003E605D" w:rsidRPr="0019286E">
        <w:rPr>
          <w:rFonts w:ascii="Arial" w:eastAsia="Arial Unicode MS" w:hAnsi="Arial" w:cs="Arial"/>
          <w:noProof/>
          <w:color w:val="auto"/>
        </w:rPr>
        <w:t>Related</w:t>
      </w:r>
      <w:r>
        <w:rPr>
          <w:rFonts w:ascii="Arial" w:eastAsia="Arial Unicode MS" w:hAnsi="Arial" w:cs="Arial"/>
          <w:noProof/>
          <w:color w:val="auto"/>
        </w:rPr>
        <w:t xml:space="preserve"> Populations</w:t>
      </w:r>
    </w:p>
    <w:p w14:paraId="19674222" w14:textId="77777777" w:rsidR="002C4F75" w:rsidRPr="002C4F75" w:rsidRDefault="002C4F75" w:rsidP="002C4F75">
      <w:pPr>
        <w:pStyle w:val="ReportCover-Title"/>
        <w:rPr>
          <w:rFonts w:ascii="Arial" w:hAnsi="Arial" w:cs="Arial"/>
          <w:color w:val="auto"/>
        </w:rPr>
      </w:pPr>
    </w:p>
    <w:p w14:paraId="2960D03E" w14:textId="77777777" w:rsidR="002C4F75" w:rsidRPr="002C4F75" w:rsidRDefault="002C4F75" w:rsidP="002C4F75">
      <w:pPr>
        <w:pStyle w:val="ReportCover-Title"/>
        <w:rPr>
          <w:rFonts w:ascii="Arial" w:hAnsi="Arial" w:cs="Arial"/>
          <w:color w:val="auto"/>
        </w:rPr>
      </w:pPr>
    </w:p>
    <w:p w14:paraId="0221B5B7"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244E321" w14:textId="77777777" w:rsidR="002C4F75" w:rsidRPr="002C4F75" w:rsidRDefault="009246BB" w:rsidP="002C4F75">
      <w:pPr>
        <w:pStyle w:val="ReportCover-Title"/>
        <w:jc w:val="center"/>
        <w:rPr>
          <w:rFonts w:ascii="Arial" w:hAnsi="Arial" w:cs="Arial"/>
          <w:color w:val="auto"/>
          <w:sz w:val="32"/>
          <w:szCs w:val="32"/>
        </w:rPr>
      </w:pPr>
      <w:r>
        <w:rPr>
          <w:rFonts w:ascii="Arial" w:hAnsi="Arial" w:cs="Arial"/>
          <w:color w:val="auto"/>
          <w:sz w:val="32"/>
          <w:szCs w:val="32"/>
        </w:rPr>
        <w:t>New</w:t>
      </w:r>
      <w:r w:rsidR="0003012D">
        <w:rPr>
          <w:rFonts w:ascii="Arial" w:hAnsi="Arial" w:cs="Arial"/>
          <w:color w:val="auto"/>
          <w:sz w:val="32"/>
          <w:szCs w:val="32"/>
        </w:rPr>
        <w:t xml:space="preserve"> Collection</w:t>
      </w:r>
    </w:p>
    <w:p w14:paraId="07CA44EE" w14:textId="77777777" w:rsidR="002C4F75" w:rsidRPr="002C4F75" w:rsidRDefault="002C4F75" w:rsidP="002C4F75">
      <w:pPr>
        <w:rPr>
          <w:rFonts w:ascii="Arial" w:hAnsi="Arial" w:cs="Arial"/>
          <w:szCs w:val="22"/>
        </w:rPr>
      </w:pPr>
    </w:p>
    <w:p w14:paraId="75C32411" w14:textId="77777777" w:rsidR="002C4F75" w:rsidRPr="002C4F75" w:rsidRDefault="002C4F75" w:rsidP="002C4F75">
      <w:pPr>
        <w:pStyle w:val="ReportCover-Date"/>
        <w:jc w:val="center"/>
        <w:rPr>
          <w:rFonts w:ascii="Arial" w:hAnsi="Arial" w:cs="Arial"/>
          <w:color w:val="auto"/>
        </w:rPr>
      </w:pPr>
    </w:p>
    <w:p w14:paraId="5A4B9690"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0DBEBDB"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2FF3E65C" w14:textId="3264D302" w:rsidR="002C4F75" w:rsidRDefault="004E2936" w:rsidP="002C4F75">
      <w:pPr>
        <w:pStyle w:val="ReportCover-Date"/>
        <w:jc w:val="center"/>
        <w:rPr>
          <w:rFonts w:ascii="Arial" w:hAnsi="Arial" w:cs="Arial"/>
          <w:color w:val="auto"/>
        </w:rPr>
      </w:pPr>
      <w:r>
        <w:rPr>
          <w:rFonts w:ascii="Arial" w:hAnsi="Arial" w:cs="Arial"/>
          <w:color w:val="auto"/>
        </w:rPr>
        <w:t xml:space="preserve">July </w:t>
      </w:r>
      <w:r w:rsidR="001C48CC">
        <w:rPr>
          <w:rFonts w:ascii="Arial" w:hAnsi="Arial" w:cs="Arial"/>
          <w:color w:val="auto"/>
        </w:rPr>
        <w:t>2017</w:t>
      </w:r>
    </w:p>
    <w:p w14:paraId="029CAA7C" w14:textId="70CAA1D8" w:rsidR="001B7970" w:rsidRPr="002C4F75" w:rsidRDefault="001B7970" w:rsidP="002C4F75">
      <w:pPr>
        <w:pStyle w:val="ReportCover-Date"/>
        <w:jc w:val="center"/>
        <w:rPr>
          <w:rFonts w:ascii="Arial" w:hAnsi="Arial" w:cs="Arial"/>
          <w:color w:val="auto"/>
        </w:rPr>
      </w:pPr>
      <w:r>
        <w:rPr>
          <w:rFonts w:ascii="Arial" w:hAnsi="Arial" w:cs="Arial"/>
          <w:color w:val="auto"/>
        </w:rPr>
        <w:t xml:space="preserve">Revised </w:t>
      </w:r>
      <w:r w:rsidR="004402A9">
        <w:rPr>
          <w:rFonts w:ascii="Arial" w:hAnsi="Arial" w:cs="Arial"/>
          <w:color w:val="auto"/>
        </w:rPr>
        <w:t>February</w:t>
      </w:r>
      <w:r>
        <w:rPr>
          <w:rFonts w:ascii="Arial" w:hAnsi="Arial" w:cs="Arial"/>
          <w:color w:val="auto"/>
        </w:rPr>
        <w:t xml:space="preserve"> 2018</w:t>
      </w:r>
    </w:p>
    <w:p w14:paraId="35EB0F8D" w14:textId="77777777" w:rsidR="002C4F75" w:rsidRPr="002C4F75" w:rsidRDefault="002C4F75" w:rsidP="002C4F75">
      <w:pPr>
        <w:jc w:val="center"/>
        <w:rPr>
          <w:rFonts w:ascii="Arial" w:hAnsi="Arial" w:cs="Arial"/>
        </w:rPr>
      </w:pPr>
      <w:r w:rsidRPr="002C4F75">
        <w:rPr>
          <w:rFonts w:ascii="Arial" w:hAnsi="Arial" w:cs="Arial"/>
        </w:rPr>
        <w:t>Submitted By:</w:t>
      </w:r>
    </w:p>
    <w:p w14:paraId="15C06E11" w14:textId="4D398C3C" w:rsidR="002C4F75" w:rsidRPr="002C4F75" w:rsidRDefault="002C4F75" w:rsidP="002C4F75">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14:paraId="124B2D7D"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691CC76F"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101BE1EA" w14:textId="77777777" w:rsidR="002C4F75" w:rsidRPr="002C4F75" w:rsidRDefault="002C4F75" w:rsidP="002C4F75">
      <w:pPr>
        <w:jc w:val="center"/>
        <w:rPr>
          <w:rFonts w:ascii="Arial" w:hAnsi="Arial" w:cs="Arial"/>
        </w:rPr>
      </w:pPr>
    </w:p>
    <w:p w14:paraId="18B699C3" w14:textId="61B3F9DB"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303599D2" w14:textId="55B853B2"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135AC7D0"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1CB024B9" w14:textId="77777777" w:rsidR="002C4F75" w:rsidRPr="002C4F75" w:rsidRDefault="002C4F75" w:rsidP="002C4F75">
      <w:pPr>
        <w:jc w:val="center"/>
        <w:rPr>
          <w:rFonts w:ascii="Arial" w:hAnsi="Arial" w:cs="Arial"/>
        </w:rPr>
      </w:pPr>
    </w:p>
    <w:p w14:paraId="2C7D7C7D" w14:textId="77777777" w:rsidR="000F4830" w:rsidRPr="002C095A" w:rsidRDefault="000F4830" w:rsidP="000F4830">
      <w:pPr>
        <w:jc w:val="center"/>
        <w:rPr>
          <w:rFonts w:ascii="Arial" w:hAnsi="Arial" w:cs="Arial"/>
        </w:rPr>
      </w:pPr>
      <w:r w:rsidRPr="002C095A">
        <w:rPr>
          <w:rFonts w:ascii="Arial" w:hAnsi="Arial" w:cs="Arial"/>
        </w:rPr>
        <w:t>Project Officers:</w:t>
      </w:r>
    </w:p>
    <w:p w14:paraId="651D927D" w14:textId="52E49EDF" w:rsidR="000F4830" w:rsidRPr="002C095A" w:rsidRDefault="000F4830" w:rsidP="000F4830">
      <w:pPr>
        <w:jc w:val="center"/>
        <w:rPr>
          <w:rFonts w:ascii="Arial" w:hAnsi="Arial" w:cs="Arial"/>
        </w:rPr>
      </w:pPr>
      <w:r w:rsidRPr="002C095A">
        <w:rPr>
          <w:rFonts w:ascii="Arial" w:hAnsi="Arial" w:cs="Arial"/>
        </w:rPr>
        <w:t>Hilary Forster</w:t>
      </w:r>
    </w:p>
    <w:p w14:paraId="3A899F66" w14:textId="27AFBEA2" w:rsidR="000F4830" w:rsidRPr="002C095A" w:rsidRDefault="000F4830" w:rsidP="000F4830">
      <w:pPr>
        <w:jc w:val="center"/>
        <w:rPr>
          <w:rFonts w:ascii="Arial" w:hAnsi="Arial" w:cs="Arial"/>
        </w:rPr>
      </w:pPr>
      <w:r w:rsidRPr="002C095A">
        <w:rPr>
          <w:rFonts w:ascii="Arial" w:hAnsi="Arial" w:cs="Arial"/>
        </w:rPr>
        <w:t>Victoria Kabak</w:t>
      </w:r>
    </w:p>
    <w:p w14:paraId="4CB4EBAA" w14:textId="1C311CBA" w:rsidR="000F4830" w:rsidRPr="002C4F75" w:rsidRDefault="000F4830" w:rsidP="000F4830">
      <w:pPr>
        <w:jc w:val="center"/>
        <w:rPr>
          <w:rFonts w:ascii="Arial" w:hAnsi="Arial" w:cs="Arial"/>
        </w:rPr>
      </w:pPr>
    </w:p>
    <w:p w14:paraId="53C1A9E7" w14:textId="77777777" w:rsidR="00CC2132" w:rsidRPr="000D53DF" w:rsidRDefault="00374DAB" w:rsidP="00B9279C">
      <w:pPr>
        <w:keepNext/>
        <w:spacing w:before="360" w:after="120"/>
        <w:rPr>
          <w:b/>
        </w:rPr>
      </w:pPr>
      <w:r>
        <w:rPr>
          <w:b/>
        </w:rPr>
        <w:br w:type="page"/>
      </w:r>
      <w:r w:rsidR="00CC2132" w:rsidRPr="000D53DF">
        <w:rPr>
          <w:b/>
        </w:rPr>
        <w:lastRenderedPageBreak/>
        <w:t>A1. Necessity for the Data Collection</w:t>
      </w:r>
    </w:p>
    <w:p w14:paraId="479FF841" w14:textId="192FB990" w:rsidR="00CC2132" w:rsidRDefault="00CC2132" w:rsidP="00CC2132">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3E605D">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up to three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will include both an experimental impact study and an implementation study.</w:t>
      </w:r>
    </w:p>
    <w:p w14:paraId="5F03C0AF" w14:textId="24BEE94C" w:rsidR="00CC2132" w:rsidRPr="00F10B7E" w:rsidRDefault="00CC2132" w:rsidP="00CC2132">
      <w:pPr>
        <w:pStyle w:val="NormalSS"/>
        <w:ind w:firstLine="0"/>
        <w:rPr>
          <w:szCs w:val="24"/>
        </w:rPr>
      </w:pPr>
      <w:r>
        <w:rPr>
          <w:szCs w:val="24"/>
        </w:rPr>
        <w:t>This information collection request (ICR) covers data collection activities for both an impact and an implementation study. Data collection activities for the impact stud</w:t>
      </w:r>
      <w:r w:rsidR="0014772A">
        <w:rPr>
          <w:szCs w:val="24"/>
        </w:rPr>
        <w:t>y include: (1) baseline data collection</w:t>
      </w:r>
      <w:r>
        <w:rPr>
          <w:szCs w:val="24"/>
        </w:rPr>
        <w:t xml:space="preserve"> and (2) two follow-up surveys (the first of which is covered in this ICR). Data collection activities for the implementation study include: (1) semi-structured </w:t>
      </w:r>
      <w:r w:rsidR="0014772A">
        <w:rPr>
          <w:szCs w:val="24"/>
        </w:rPr>
        <w:t>staff interviews</w:t>
      </w:r>
      <w:r>
        <w:rPr>
          <w:szCs w:val="24"/>
        </w:rPr>
        <w:t xml:space="preserve">; (2) a staff survey; (3) in-depth participant interviews; (4) staff reports of participant service receipt; and (5) video recordings of coaching sessions. A subsequent ICR will request approval for </w:t>
      </w:r>
      <w:r w:rsidR="00104EA1">
        <w:rPr>
          <w:szCs w:val="24"/>
        </w:rPr>
        <w:t>the</w:t>
      </w:r>
      <w:r>
        <w:rPr>
          <w:szCs w:val="24"/>
        </w:rPr>
        <w:t xml:space="preserve"> second follow-up survey</w:t>
      </w:r>
      <w:r w:rsidR="00104EA1">
        <w:rPr>
          <w:szCs w:val="24"/>
        </w:rPr>
        <w:t xml:space="preserve"> of the impact study</w:t>
      </w:r>
      <w:r>
        <w:rPr>
          <w:szCs w:val="24"/>
        </w:rPr>
        <w:t>.</w:t>
      </w:r>
    </w:p>
    <w:p w14:paraId="2E03E912" w14:textId="77777777" w:rsidR="00CC2132" w:rsidRPr="001E72CD" w:rsidRDefault="00CC2132" w:rsidP="00CC2132">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14:paraId="71062A80" w14:textId="0097C18F" w:rsidR="00D92779" w:rsidRDefault="00CC2132" w:rsidP="00C72880">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002F4973" w:rsidRPr="0003166B">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00D92779" w:rsidRPr="00D92779">
        <w:rPr>
          <w:szCs w:val="24"/>
        </w:rPr>
        <w:t>Long recognized as an effective approach to helping people meet career and personal goals, coaching has drawn increasing interest as a way to help low-income people gain and maintain employment and realize career and family goals (Annie E. Casey Foundation 2007).</w:t>
      </w:r>
    </w:p>
    <w:p w14:paraId="7281B609" w14:textId="07A58B7B" w:rsidR="00D92779" w:rsidRPr="00D92779" w:rsidRDefault="00D92779" w:rsidP="00815F38">
      <w:pPr>
        <w:pStyle w:val="NormalSS"/>
        <w:ind w:firstLine="0"/>
      </w:pPr>
      <w:r>
        <w:rPr>
          <w:szCs w:val="24"/>
        </w:rPr>
        <w:t xml:space="preserve">Coaching </w:t>
      </w:r>
      <w:r w:rsidR="00624EDF">
        <w:rPr>
          <w:szCs w:val="24"/>
        </w:rPr>
        <w:t xml:space="preserve">strategies are typically </w:t>
      </w:r>
      <w:r w:rsidR="00CC2132" w:rsidRPr="0003166B">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00CC2132" w:rsidRPr="00672A1B">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moderate-income people found that the programs reduced debt and financial stress, and increased savings (Theodos et al. 2015). Similarly, coaching has been found to be effective in 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 2015). However, there is little evidence on the effectiveness of coaching for improving </w:t>
      </w:r>
      <w:r w:rsidR="009801D4">
        <w:t>employment</w:t>
      </w:r>
      <w:r w:rsidRPr="00D92779">
        <w:t xml:space="preserve"> and self-sufficiency among TANF and other low-income populations.</w:t>
      </w:r>
    </w:p>
    <w:p w14:paraId="2AEFB746" w14:textId="06B66BE4" w:rsidR="00CC2132" w:rsidRDefault="00D92779" w:rsidP="00CC2132">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00CC2132" w:rsidRPr="00682755">
        <w:t xml:space="preserve"> coaches work with </w:t>
      </w:r>
      <w:r w:rsidR="00CC2132">
        <w:t>participants</w:t>
      </w:r>
      <w:r w:rsidR="00CC2132" w:rsidRPr="00682755">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14:paraId="4956AFE0" w14:textId="25EBAE0D" w:rsidR="00CC2132" w:rsidRDefault="00CC2132" w:rsidP="00CC2132">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Pr>
          <w:szCs w:val="24"/>
        </w:rPr>
        <w:t xml:space="preserve"> coaching interventions. The evaluation will include impact and implementation studies for up to three </w:t>
      </w:r>
      <w:r w:rsidR="00041889">
        <w:rPr>
          <w:szCs w:val="24"/>
        </w:rPr>
        <w:t>coaching interventions</w:t>
      </w:r>
      <w:r>
        <w:rPr>
          <w:szCs w:val="24"/>
        </w:rPr>
        <w:t xml:space="preserve">. The </w:t>
      </w:r>
      <w:r w:rsidR="00041889">
        <w:rPr>
          <w:szCs w:val="24"/>
        </w:rPr>
        <w:t xml:space="preserve">interventions will likely be embedded in </w:t>
      </w:r>
      <w:r>
        <w:rPr>
          <w:szCs w:val="24"/>
        </w:rPr>
        <w:t>employment programs</w:t>
      </w:r>
      <w:r w:rsidR="005B280B">
        <w:rPr>
          <w:szCs w:val="24"/>
        </w:rPr>
        <w:t>,</w:t>
      </w:r>
      <w:r w:rsidR="00041889">
        <w:rPr>
          <w:szCs w:val="24"/>
        </w:rPr>
        <w:t xml:space="preserve"> which</w:t>
      </w:r>
      <w:r>
        <w:rPr>
          <w:szCs w:val="24"/>
        </w:rPr>
        <w:t xml:space="preserve"> may include TANF or other government agencies or private organizations. The impact study will address the effectiveness of each </w:t>
      </w:r>
      <w:r w:rsidR="00041889">
        <w:rPr>
          <w:szCs w:val="24"/>
        </w:rPr>
        <w:t>coaching intervention</w:t>
      </w:r>
      <w:r>
        <w:rPr>
          <w:szCs w:val="24"/>
        </w:rPr>
        <w:t xml:space="preserve"> in improving employment, self-sufficiency, and self-regulation outcomes as well as other measures of well-being. The implementation study will aid in interpreting the impact study findings and generate evidence to support future replication of effective coaching interventions.</w:t>
      </w:r>
    </w:p>
    <w:p w14:paraId="1DA60E1A" w14:textId="77777777" w:rsidR="00CC2132" w:rsidRPr="003F4A6A" w:rsidRDefault="00CC2132" w:rsidP="00CC2132">
      <w:pPr>
        <w:pStyle w:val="NormalSS"/>
        <w:ind w:firstLine="0"/>
        <w:rPr>
          <w:b/>
          <w:i/>
          <w:szCs w:val="24"/>
        </w:rPr>
      </w:pPr>
      <w:r w:rsidRPr="003F4A6A">
        <w:rPr>
          <w:b/>
          <w:i/>
          <w:szCs w:val="24"/>
        </w:rPr>
        <w:t xml:space="preserve">Legal or Administrative Requirements that Necessitate the Collection </w:t>
      </w:r>
    </w:p>
    <w:p w14:paraId="0677BA3D" w14:textId="77777777" w:rsidR="00CC2132" w:rsidRDefault="00CC2132" w:rsidP="00CC2132">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14:paraId="3A3071E1" w14:textId="77777777" w:rsidR="00CC2132" w:rsidRPr="0072204D" w:rsidRDefault="00CC2132" w:rsidP="00B9279C">
      <w:pPr>
        <w:keepNext/>
        <w:spacing w:before="360" w:after="120"/>
        <w:rPr>
          <w:b/>
        </w:rPr>
      </w:pPr>
      <w:r>
        <w:rPr>
          <w:b/>
        </w:rPr>
        <w:t xml:space="preserve">A2. </w:t>
      </w:r>
      <w:r w:rsidRPr="0072204D">
        <w:rPr>
          <w:b/>
        </w:rPr>
        <w:t>Purpose of Survey and Data Collection Procedures</w:t>
      </w:r>
    </w:p>
    <w:p w14:paraId="6F8D95A9" w14:textId="77777777" w:rsidR="00CC2132" w:rsidRPr="00177982" w:rsidRDefault="00CC2132" w:rsidP="00CC2132">
      <w:pPr>
        <w:spacing w:after="60"/>
        <w:rPr>
          <w:b/>
          <w:i/>
        </w:rPr>
      </w:pPr>
      <w:r w:rsidRPr="00177982">
        <w:rPr>
          <w:b/>
          <w:i/>
        </w:rPr>
        <w:t>Overview of Purpose and Approach</w:t>
      </w:r>
    </w:p>
    <w:p w14:paraId="25B354D4" w14:textId="3CA31266" w:rsidR="00CC2132" w:rsidRDefault="00CC2132" w:rsidP="00CC2132">
      <w:pPr>
        <w:pStyle w:val="NormalSS"/>
        <w:ind w:firstLine="0"/>
      </w:pPr>
      <w:r w:rsidRPr="002A0B14">
        <w:t xml:space="preserve">The </w:t>
      </w:r>
      <w:r>
        <w:t xml:space="preserve">information </w:t>
      </w:r>
      <w:r w:rsidRPr="002A0B14">
        <w:t xml:space="preserve">collected through the instruments included in this ICR will be used to learn about </w:t>
      </w:r>
      <w:r>
        <w:t>coaching interventions in employment programs</w:t>
      </w:r>
      <w:r w:rsidR="004A36D3">
        <w:t xml:space="preserve"> serving TANF and other low-income populations</w:t>
      </w:r>
      <w:r>
        <w:t xml:space="preserve">. The data collection efforts will provide information on </w:t>
      </w:r>
      <w:r w:rsidR="00DE7D00">
        <w:t xml:space="preserve">implementation of </w:t>
      </w:r>
      <w:r>
        <w:t>coaching interventions</w:t>
      </w:r>
      <w:r w:rsidRPr="002A0B14">
        <w:t xml:space="preserve">, the experiences of </w:t>
      </w:r>
      <w:r>
        <w:t>the program participants who are paired with a coach</w:t>
      </w:r>
      <w:r w:rsidRPr="002A0B14">
        <w:t xml:space="preserve">, </w:t>
      </w:r>
      <w:r>
        <w:t>and the interventions’</w:t>
      </w:r>
      <w:r w:rsidRPr="002A0B14">
        <w:t xml:space="preserve"> effectiveness at improving outcomes for </w:t>
      </w:r>
      <w:r w:rsidR="004A36D3">
        <w:t>program participants</w:t>
      </w:r>
      <w:r w:rsidRPr="002A0B14">
        <w:t>.</w:t>
      </w:r>
      <w:r w:rsidR="00C250B8">
        <w:t xml:space="preserve"> </w:t>
      </w:r>
      <w:r>
        <w:t xml:space="preserve">They will </w:t>
      </w:r>
      <w:r w:rsidR="005C12A4">
        <w:t xml:space="preserve">also </w:t>
      </w:r>
      <w:r>
        <w:t xml:space="preserve">provide information on </w:t>
      </w:r>
      <w:r w:rsidR="005C12A4">
        <w:t xml:space="preserve">the reasons </w:t>
      </w:r>
      <w:r>
        <w:t>intervention</w:t>
      </w:r>
      <w:r w:rsidR="005C12A4">
        <w:t>s</w:t>
      </w:r>
      <w:r>
        <w:t xml:space="preserve"> may or may not be effective, the </w:t>
      </w:r>
      <w:r w:rsidR="0040124C">
        <w:t xml:space="preserve">successes and </w:t>
      </w:r>
      <w:r>
        <w:t>challenges in implementing them, and potential solutions for addressing th</w:t>
      </w:r>
      <w:r w:rsidR="003C5E89">
        <w:t>os</w:t>
      </w:r>
      <w:r>
        <w:t xml:space="preserve">e challenges. </w:t>
      </w:r>
    </w:p>
    <w:p w14:paraId="6BCA1A29" w14:textId="7862DB1C" w:rsidR="00CC2132" w:rsidRDefault="00CC2132" w:rsidP="00CC2132">
      <w:pPr>
        <w:pStyle w:val="NormalSS"/>
        <w:ind w:firstLine="0"/>
      </w:pPr>
      <w:r>
        <w:t xml:space="preserve">This information can be used </w:t>
      </w:r>
      <w:r w:rsidR="00484522">
        <w:t xml:space="preserve">by policymakers </w:t>
      </w:r>
      <w:r>
        <w:t xml:space="preserve">to inform funding and policy decisions and </w:t>
      </w:r>
      <w:r w:rsidR="00D7042B">
        <w:t>by practitioners</w:t>
      </w:r>
      <w:r>
        <w:t xml:space="preserve"> to improve employment programs</w:t>
      </w:r>
      <w:r w:rsidRPr="002A0B14">
        <w:t xml:space="preserve">. If the information collection </w:t>
      </w:r>
      <w:r w:rsidR="00484522">
        <w:t xml:space="preserve">this ICR </w:t>
      </w:r>
      <w:r w:rsidRPr="002A0B14">
        <w:t>request</w:t>
      </w:r>
      <w:r w:rsidR="00484522">
        <w:t>s</w:t>
      </w:r>
      <w:r w:rsidRPr="002A0B14">
        <w:t xml:space="preserve"> </w:t>
      </w:r>
      <w:r w:rsidR="00484522">
        <w:t>does not take place</w:t>
      </w:r>
      <w:r w:rsidRPr="002A0B14">
        <w:t xml:space="preserve">, policymakers and providers of </w:t>
      </w:r>
      <w:r>
        <w:t>coaching</w:t>
      </w:r>
      <w:r w:rsidRPr="002A0B14">
        <w:t xml:space="preserve"> programs will lack high</w:t>
      </w:r>
      <w:r w:rsidR="002C4DCF">
        <w:t>-</w:t>
      </w:r>
      <w:r w:rsidRPr="002A0B14">
        <w:t xml:space="preserve">quality information on the effects of the </w:t>
      </w:r>
      <w:r w:rsidR="0040124C">
        <w:t>interventions</w:t>
      </w:r>
      <w:r w:rsidRPr="002A0B14">
        <w:t xml:space="preserve">, as well as descriptive information that can </w:t>
      </w:r>
      <w:r w:rsidR="00484522">
        <w:t>help</w:t>
      </w:r>
      <w:r w:rsidRPr="002A0B14">
        <w:t xml:space="preserve"> refine the operation of </w:t>
      </w:r>
      <w:r w:rsidR="0040124C">
        <w:t>coaching interventions</w:t>
      </w:r>
      <w:r w:rsidRPr="002A0B14">
        <w:t xml:space="preserve"> </w:t>
      </w:r>
      <w:r w:rsidR="006442CC">
        <w:t>so they can</w:t>
      </w:r>
      <w:r w:rsidRPr="002A0B14">
        <w:t xml:space="preserve"> better meet </w:t>
      </w:r>
      <w:r w:rsidR="003C5E89">
        <w:t xml:space="preserve">participants’ </w:t>
      </w:r>
      <w:r>
        <w:t>employment and self-sufficiency</w:t>
      </w:r>
      <w:r w:rsidRPr="002A0B14">
        <w:t xml:space="preserve"> goals. </w:t>
      </w:r>
    </w:p>
    <w:p w14:paraId="435A8C3B" w14:textId="77777777" w:rsidR="00CC2132" w:rsidRDefault="00CC2132" w:rsidP="00B9279C">
      <w:pPr>
        <w:spacing w:before="120" w:after="120"/>
        <w:rPr>
          <w:b/>
          <w:i/>
        </w:rPr>
      </w:pPr>
      <w:r>
        <w:rPr>
          <w:b/>
          <w:i/>
        </w:rPr>
        <w:t>Research Questions</w:t>
      </w:r>
    </w:p>
    <w:p w14:paraId="03C29EA9" w14:textId="77777777" w:rsidR="00CC2132" w:rsidRPr="00BD675F" w:rsidRDefault="00CC2132" w:rsidP="00B9279C">
      <w:pPr>
        <w:spacing w:before="120" w:after="120"/>
      </w:pPr>
      <w:r>
        <w:t xml:space="preserve">The questions this evaluation will answer are </w:t>
      </w:r>
      <w:r w:rsidR="00484522">
        <w:t>the following:</w:t>
      </w:r>
    </w:p>
    <w:p w14:paraId="5C4D6A19" w14:textId="77777777" w:rsidR="00CC2132" w:rsidRPr="00484522" w:rsidRDefault="00CC2132" w:rsidP="00CC2132">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14:paraId="20EC1D79" w14:textId="77777777" w:rsidR="00CC2132" w:rsidRPr="00484522" w:rsidRDefault="00CC2132" w:rsidP="00CC2132">
      <w:pPr>
        <w:pStyle w:val="NormalSS"/>
        <w:numPr>
          <w:ilvl w:val="0"/>
          <w:numId w:val="24"/>
        </w:numPr>
      </w:pPr>
      <w:r w:rsidRPr="00484522">
        <w:t>Do the coaching interventions improve measures of self-regulation? To what extent do impacts on self-regulation explain impacts on employment outcomes?</w:t>
      </w:r>
    </w:p>
    <w:p w14:paraId="1D335D03" w14:textId="77777777" w:rsidR="00CC2132" w:rsidRPr="00484522" w:rsidRDefault="00CC2132" w:rsidP="00B9279C">
      <w:pPr>
        <w:pStyle w:val="NormalSS"/>
        <w:numPr>
          <w:ilvl w:val="0"/>
          <w:numId w:val="24"/>
        </w:numPr>
      </w:pPr>
      <w:r w:rsidRPr="00484522">
        <w:t>Are the coaching interventions more effective for some groups of participants than others?</w:t>
      </w:r>
    </w:p>
    <w:p w14:paraId="5683FC74" w14:textId="09CA157D" w:rsidR="00CC2132" w:rsidRPr="00484522" w:rsidRDefault="00CC2132" w:rsidP="00CC2132">
      <w:pPr>
        <w:pStyle w:val="NormalSS"/>
        <w:numPr>
          <w:ilvl w:val="0"/>
          <w:numId w:val="24"/>
        </w:numPr>
        <w:ind w:left="360" w:firstLine="0"/>
      </w:pPr>
      <w:r w:rsidRPr="00484522">
        <w:t xml:space="preserve">How do the impacts of the coaching interventions change over time? </w:t>
      </w:r>
    </w:p>
    <w:p w14:paraId="2078C91B" w14:textId="77777777" w:rsidR="00CC2132" w:rsidRPr="00484522" w:rsidRDefault="00CC2132" w:rsidP="00CC2132">
      <w:pPr>
        <w:pStyle w:val="NormalSS"/>
        <w:numPr>
          <w:ilvl w:val="0"/>
          <w:numId w:val="24"/>
        </w:numPr>
      </w:pPr>
      <w:r w:rsidRPr="00484522">
        <w:t>How were the coaching interventions designed, how were they implemented, and what factors appear to have impeded or facilitated implementation of the program as designed?</w:t>
      </w:r>
      <w:r w:rsidRPr="00484522">
        <w:tab/>
      </w:r>
    </w:p>
    <w:p w14:paraId="54C7D7EA" w14:textId="77777777" w:rsidR="00CC2132" w:rsidRPr="00484522" w:rsidRDefault="00CC2132" w:rsidP="00CC2132">
      <w:pPr>
        <w:pStyle w:val="NormalSS"/>
        <w:numPr>
          <w:ilvl w:val="0"/>
          <w:numId w:val="24"/>
        </w:numPr>
      </w:pPr>
      <w:r w:rsidRPr="00484522">
        <w:t xml:space="preserve">What were the participants’ experiences with coaching, what services did they receive, and what types of coaching and other services did those who did not participate in the coaching interventions receive? </w:t>
      </w:r>
    </w:p>
    <w:p w14:paraId="11B31450" w14:textId="4E1FFD7A" w:rsidR="00CC2132" w:rsidRPr="00484522" w:rsidRDefault="00CC2132" w:rsidP="00CC2132">
      <w:pPr>
        <w:pStyle w:val="NormalSS"/>
        <w:numPr>
          <w:ilvl w:val="0"/>
          <w:numId w:val="24"/>
        </w:numPr>
      </w:pPr>
      <w:r w:rsidRPr="00484522">
        <w:t xml:space="preserve">Which services or implementation features </w:t>
      </w:r>
      <w:r w:rsidR="003C5E89">
        <w:t xml:space="preserve">of the coaching interventions </w:t>
      </w:r>
      <w:r w:rsidRPr="00484522">
        <w:t>appear to be related to program impacts? Which components or services do participants and staff perceive to be helpful?</w:t>
      </w:r>
    </w:p>
    <w:p w14:paraId="1E1EEE8C" w14:textId="77777777" w:rsidR="00CC2132" w:rsidRPr="00C61FE8" w:rsidRDefault="00CC2132" w:rsidP="00B9279C">
      <w:pPr>
        <w:spacing w:before="120" w:after="120"/>
        <w:rPr>
          <w:b/>
          <w:i/>
        </w:rPr>
      </w:pPr>
      <w:r>
        <w:rPr>
          <w:b/>
          <w:i/>
        </w:rPr>
        <w:t>Study Design</w:t>
      </w:r>
    </w:p>
    <w:p w14:paraId="23B22E27" w14:textId="3C4C17E6" w:rsidR="006442CC" w:rsidRDefault="00CC2132" w:rsidP="00CC2132">
      <w:pPr>
        <w:pStyle w:val="NormalSS"/>
        <w:ind w:firstLine="0"/>
        <w:rPr>
          <w:szCs w:val="24"/>
        </w:rPr>
      </w:pPr>
      <w:r>
        <w:rPr>
          <w:szCs w:val="24"/>
        </w:rPr>
        <w:t xml:space="preserve">The study will </w:t>
      </w:r>
      <w:r w:rsidR="00721FA0">
        <w:rPr>
          <w:szCs w:val="24"/>
        </w:rPr>
        <w:t xml:space="preserve">evaluate </w:t>
      </w:r>
      <w:r>
        <w:rPr>
          <w:szCs w:val="24"/>
        </w:rPr>
        <w:t xml:space="preserve">up to three coaching interventions. </w:t>
      </w:r>
      <w:r w:rsidR="00721FA0">
        <w:rPr>
          <w:szCs w:val="24"/>
        </w:rPr>
        <w:t xml:space="preserve">Although </w:t>
      </w:r>
      <w:r>
        <w:rPr>
          <w:szCs w:val="24"/>
        </w:rPr>
        <w:t xml:space="preserve">we have not yet selected </w:t>
      </w:r>
      <w:r w:rsidR="00B50451">
        <w:rPr>
          <w:szCs w:val="24"/>
        </w:rPr>
        <w:t>the interventions</w:t>
      </w:r>
      <w:r>
        <w:rPr>
          <w:szCs w:val="24"/>
        </w:rPr>
        <w:t xml:space="preserve">, </w:t>
      </w:r>
      <w:r w:rsidR="00097B53">
        <w:rPr>
          <w:szCs w:val="24"/>
        </w:rPr>
        <w:t>at least one</w:t>
      </w:r>
      <w:r>
        <w:rPr>
          <w:szCs w:val="24"/>
        </w:rPr>
        <w:t xml:space="preserve"> of the three </w:t>
      </w:r>
      <w:r w:rsidR="00B50451">
        <w:rPr>
          <w:szCs w:val="24"/>
        </w:rPr>
        <w:t>will be embedded in</w:t>
      </w:r>
      <w:r>
        <w:rPr>
          <w:szCs w:val="24"/>
        </w:rPr>
        <w:t xml:space="preserve"> </w:t>
      </w:r>
      <w:r w:rsidR="004B2553">
        <w:rPr>
          <w:szCs w:val="24"/>
        </w:rPr>
        <w:t xml:space="preserve">a </w:t>
      </w:r>
      <w:r>
        <w:rPr>
          <w:szCs w:val="24"/>
        </w:rPr>
        <w:t>TANF agenc</w:t>
      </w:r>
      <w:r w:rsidR="004B2553">
        <w:rPr>
          <w:szCs w:val="24"/>
        </w:rPr>
        <w:t>y</w:t>
      </w:r>
      <w:r>
        <w:rPr>
          <w:szCs w:val="24"/>
        </w:rPr>
        <w:t xml:space="preserve">. We may also select </w:t>
      </w:r>
      <w:r w:rsidR="00B50451">
        <w:rPr>
          <w:szCs w:val="24"/>
        </w:rPr>
        <w:t xml:space="preserve">interventions embedded in employment </w:t>
      </w:r>
      <w:r>
        <w:rPr>
          <w:szCs w:val="24"/>
        </w:rPr>
        <w:t xml:space="preserve">programs operated by other government agencies or </w:t>
      </w:r>
      <w:r w:rsidR="003C5E89">
        <w:rPr>
          <w:szCs w:val="24"/>
        </w:rPr>
        <w:t xml:space="preserve">by </w:t>
      </w:r>
      <w:r>
        <w:rPr>
          <w:szCs w:val="24"/>
        </w:rPr>
        <w:t xml:space="preserve">private organizations. </w:t>
      </w:r>
    </w:p>
    <w:p w14:paraId="05A157FA" w14:textId="5C12E46C" w:rsidR="00CC2132" w:rsidRDefault="00CC2132" w:rsidP="00CC213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are that: (1) an evaluation of the program will 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will be feasible to conduct a rigorous impact evaluation of the coaching intervention. To meet the first broad criterion, the program </w:t>
      </w:r>
      <w:r w:rsidR="00186047">
        <w:rPr>
          <w:szCs w:val="24"/>
        </w:rPr>
        <w:t xml:space="preserve">in which the intervention is embedded </w:t>
      </w:r>
      <w:r>
        <w:rPr>
          <w:szCs w:val="24"/>
        </w:rPr>
        <w:t>should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 xml:space="preserve">well-implemented. To meet the second broad criterion, random assignment must be feasible, the potential number of study participants must be large enough to detect an impact expected from the intervention, and the program’s management and staff </w:t>
      </w:r>
      <w:r w:rsidR="00721FA0">
        <w:rPr>
          <w:szCs w:val="24"/>
        </w:rPr>
        <w:t xml:space="preserve">must be </w:t>
      </w:r>
      <w:r>
        <w:rPr>
          <w:szCs w:val="24"/>
        </w:rPr>
        <w:t>supportive of an experimental evaluation.</w:t>
      </w:r>
    </w:p>
    <w:p w14:paraId="19B8C214" w14:textId="6C0976F2" w:rsidR="00CC2132" w:rsidRDefault="00CC2132" w:rsidP="00CC2132">
      <w:pPr>
        <w:pStyle w:val="NormalSS"/>
        <w:ind w:firstLine="0"/>
        <w:rPr>
          <w:b/>
          <w:szCs w:val="24"/>
        </w:rPr>
      </w:pPr>
      <w:r>
        <w:rPr>
          <w:szCs w:val="24"/>
        </w:rPr>
        <w:t>The impact study will provide rigorous evidence on whether the coaching interventions are effective, for whom, and under what circumstances. The study will be experimental. Participants</w:t>
      </w:r>
      <w:r w:rsidRPr="009606FE">
        <w:rPr>
          <w:szCs w:val="24"/>
        </w:rPr>
        <w:t xml:space="preserve"> eligible for the coaching services will</w:t>
      </w:r>
      <w:r w:rsidR="00254992">
        <w:rPr>
          <w:szCs w:val="24"/>
        </w:rPr>
        <w:t xml:space="preserve"> </w:t>
      </w:r>
      <w:r w:rsidR="00810B9B">
        <w:rPr>
          <w:szCs w:val="24"/>
        </w:rPr>
        <w:t xml:space="preserve">be asked to </w:t>
      </w:r>
      <w:r w:rsidR="00254992">
        <w:rPr>
          <w:szCs w:val="24"/>
        </w:rPr>
        <w:t>consent to participate in the study (Attachment A) and</w:t>
      </w:r>
      <w:r w:rsidR="00810B9B">
        <w:rPr>
          <w:szCs w:val="24"/>
        </w:rPr>
        <w:t>, if consent is given,</w:t>
      </w:r>
      <w:r w:rsidR="00254992">
        <w:rPr>
          <w:szCs w:val="24"/>
        </w:rPr>
        <w:t xml:space="preserve"> will</w:t>
      </w:r>
      <w:r w:rsidRPr="009606FE">
        <w:rPr>
          <w:szCs w:val="24"/>
        </w:rPr>
        <w:t xml:space="preserve"> be randomly assigned to two groups: a treatment group offered coaching and a control group not offered coaching.</w:t>
      </w:r>
      <w:r>
        <w:rPr>
          <w:szCs w:val="24"/>
        </w:rPr>
        <w:t xml:space="preserve"> </w:t>
      </w:r>
      <w:r w:rsidR="00056365">
        <w:rPr>
          <w:szCs w:val="24"/>
        </w:rPr>
        <w:t xml:space="preserve">Individuals who do not consent to participate in the study </w:t>
      </w:r>
      <w:r w:rsidR="00056365" w:rsidRPr="00F90310">
        <w:rPr>
          <w:szCs w:val="24"/>
        </w:rPr>
        <w:t>will not be eligible to receive coaching</w:t>
      </w:r>
      <w:r w:rsidR="00056365">
        <w:rPr>
          <w:szCs w:val="24"/>
        </w:rPr>
        <w:t>,</w:t>
      </w:r>
      <w:r w:rsidR="00056365" w:rsidRPr="00F90310">
        <w:rPr>
          <w:szCs w:val="24"/>
        </w:rPr>
        <w:t xml:space="preserve"> </w:t>
      </w:r>
      <w:r w:rsidR="00056365">
        <w:rPr>
          <w:szCs w:val="24"/>
        </w:rPr>
        <w:t xml:space="preserve">will not be randomly assigned, and will not participate in the data collection efforts. </w:t>
      </w:r>
      <w:r>
        <w:rPr>
          <w:szCs w:val="24"/>
        </w:rPr>
        <w:t>Depending on the program studied, 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within the TANF agency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Pr>
          <w:szCs w:val="24"/>
        </w:rPr>
        <w:t>We will collect information at baseline</w:t>
      </w:r>
      <w:r w:rsidR="00111829">
        <w:rPr>
          <w:szCs w:val="24"/>
        </w:rPr>
        <w:t xml:space="preserve"> (before random assignment occurs)</w:t>
      </w:r>
      <w:r w:rsidR="003B6E6B">
        <w:rPr>
          <w:szCs w:val="24"/>
        </w:rPr>
        <w:t xml:space="preserve"> from study participants and staff</w:t>
      </w:r>
      <w:r>
        <w:rPr>
          <w:szCs w:val="24"/>
        </w:rPr>
        <w:t xml:space="preserve">, at about 6 to </w:t>
      </w:r>
      <w:r w:rsidR="00624EDF">
        <w:rPr>
          <w:szCs w:val="24"/>
        </w:rPr>
        <w:t>12</w:t>
      </w:r>
      <w:r>
        <w:rPr>
          <w:szCs w:val="24"/>
        </w:rPr>
        <w:t xml:space="preserve"> months after random assignment</w:t>
      </w:r>
      <w:r w:rsidR="003B6E6B">
        <w:rPr>
          <w:szCs w:val="24"/>
        </w:rPr>
        <w:t xml:space="preserve"> via the first follow-up survey</w:t>
      </w:r>
      <w:r>
        <w:rPr>
          <w:szCs w:val="24"/>
        </w:rPr>
        <w:t>, and then again at about 21 months after random assignment</w:t>
      </w:r>
      <w:r w:rsidR="003B6E6B">
        <w:rPr>
          <w:szCs w:val="24"/>
        </w:rPr>
        <w:t xml:space="preserve"> via a second follow-up survey</w:t>
      </w:r>
      <w:r>
        <w:rPr>
          <w:szCs w:val="24"/>
        </w:rPr>
        <w:t>.</w:t>
      </w:r>
      <w:r w:rsidR="002376FA">
        <w:rPr>
          <w:szCs w:val="24"/>
        </w:rPr>
        <w:t xml:space="preserve"> This ICR seeks clearance for </w:t>
      </w:r>
      <w:r w:rsidR="006857CD">
        <w:rPr>
          <w:szCs w:val="24"/>
        </w:rPr>
        <w:t xml:space="preserve">the baseline </w:t>
      </w:r>
      <w:r w:rsidR="003B6E6B">
        <w:rPr>
          <w:szCs w:val="24"/>
        </w:rPr>
        <w:t>data collection</w:t>
      </w:r>
      <w:r w:rsidR="006857CD">
        <w:rPr>
          <w:szCs w:val="24"/>
        </w:rPr>
        <w:t xml:space="preserve"> and </w:t>
      </w:r>
      <w:r w:rsidR="002F1A94">
        <w:rPr>
          <w:szCs w:val="24"/>
        </w:rPr>
        <w:t xml:space="preserve">the </w:t>
      </w:r>
      <w:r w:rsidR="003B6E6B">
        <w:rPr>
          <w:szCs w:val="24"/>
        </w:rPr>
        <w:t xml:space="preserve">first </w:t>
      </w:r>
      <w:r w:rsidR="006857CD">
        <w:rPr>
          <w:szCs w:val="24"/>
        </w:rPr>
        <w:t>follow-up</w:t>
      </w:r>
      <w:r w:rsidR="002376FA">
        <w:rPr>
          <w:szCs w:val="24"/>
        </w:rPr>
        <w:t xml:space="preserve"> </w:t>
      </w:r>
      <w:r w:rsidR="003B6E6B">
        <w:rPr>
          <w:szCs w:val="24"/>
        </w:rPr>
        <w:t>survey</w:t>
      </w:r>
      <w:r w:rsidR="006857CD">
        <w:rPr>
          <w:szCs w:val="24"/>
        </w:rPr>
        <w:t>.</w:t>
      </w:r>
      <w:r w:rsidR="002376FA">
        <w:rPr>
          <w:szCs w:val="24"/>
        </w:rPr>
        <w:t xml:space="preserve"> </w:t>
      </w:r>
      <w:r w:rsidR="006857CD">
        <w:rPr>
          <w:szCs w:val="24"/>
        </w:rPr>
        <w:t>T</w:t>
      </w:r>
      <w:r w:rsidR="002376FA">
        <w:rPr>
          <w:szCs w:val="24"/>
        </w:rPr>
        <w:t xml:space="preserve">he </w:t>
      </w:r>
      <w:r w:rsidR="0062296A">
        <w:rPr>
          <w:szCs w:val="24"/>
        </w:rPr>
        <w:t>second</w:t>
      </w:r>
      <w:r w:rsidR="002376FA">
        <w:rPr>
          <w:szCs w:val="24"/>
        </w:rPr>
        <w:t xml:space="preserve"> follow</w:t>
      </w:r>
      <w:r w:rsidR="0062296A">
        <w:rPr>
          <w:szCs w:val="24"/>
        </w:rPr>
        <w:t>-</w:t>
      </w:r>
      <w:r w:rsidR="002376FA">
        <w:rPr>
          <w:szCs w:val="24"/>
        </w:rPr>
        <w:t>up</w:t>
      </w:r>
      <w:r w:rsidR="006857CD">
        <w:rPr>
          <w:szCs w:val="24"/>
        </w:rPr>
        <w:t xml:space="preserve"> </w:t>
      </w:r>
      <w:r w:rsidR="0062296A">
        <w:rPr>
          <w:szCs w:val="24"/>
        </w:rPr>
        <w:t>survey</w:t>
      </w:r>
      <w:r w:rsidR="002376FA">
        <w:rPr>
          <w:szCs w:val="24"/>
        </w:rPr>
        <w:t xml:space="preserve"> will be covered by a future ICR.</w:t>
      </w:r>
    </w:p>
    <w:p w14:paraId="5FFA2BD7" w14:textId="2B55EEE7" w:rsidR="00CC2132" w:rsidRPr="009606FE" w:rsidRDefault="00CC2132" w:rsidP="00CC2132">
      <w:pPr>
        <w:pStyle w:val="NormalSS"/>
        <w:ind w:firstLine="0"/>
        <w:rPr>
          <w:szCs w:val="24"/>
        </w:rPr>
      </w:pPr>
      <w:r w:rsidRPr="009606FE">
        <w:rPr>
          <w:szCs w:val="24"/>
        </w:rPr>
        <w:t xml:space="preserve">The implementation study </w:t>
      </w:r>
      <w:r>
        <w:rPr>
          <w:szCs w:val="24"/>
        </w:rPr>
        <w:t xml:space="preserve">will </w:t>
      </w:r>
      <w:r w:rsidR="00AC355A">
        <w:rPr>
          <w:szCs w:val="24"/>
        </w:rPr>
        <w:t>describe</w:t>
      </w:r>
      <w:r w:rsidR="009F2D0D">
        <w:rPr>
          <w:szCs w:val="24"/>
        </w:rPr>
        <w:t xml:space="preserve"> </w:t>
      </w:r>
      <w:r w:rsidR="00AC355A">
        <w:rPr>
          <w:szCs w:val="24"/>
        </w:rPr>
        <w:t xml:space="preserve">the coaching interventions and how they operated, </w:t>
      </w:r>
      <w:r w:rsidR="009F2D0D">
        <w:rPr>
          <w:szCs w:val="24"/>
        </w:rPr>
        <w:t xml:space="preserve">document changes in the implementation relative to plans, </w:t>
      </w:r>
      <w:r>
        <w:rPr>
          <w:szCs w:val="24"/>
        </w:rPr>
        <w:t>provide information</w:t>
      </w:r>
      <w:r w:rsidR="00AC355A">
        <w:rPr>
          <w:szCs w:val="24"/>
        </w:rPr>
        <w:t xml:space="preserve"> on the contrast between the treatment and control </w:t>
      </w:r>
      <w:r w:rsidR="009638CE">
        <w:rPr>
          <w:szCs w:val="24"/>
        </w:rPr>
        <w:t>groups</w:t>
      </w:r>
      <w:r w:rsidR="00D451E7">
        <w:rPr>
          <w:szCs w:val="24"/>
        </w:rPr>
        <w:t>,</w:t>
      </w:r>
      <w:r>
        <w:rPr>
          <w:szCs w:val="24"/>
        </w:rPr>
        <w:t xml:space="preserve"> </w:t>
      </w:r>
      <w:r w:rsidR="00D451E7">
        <w:rPr>
          <w:szCs w:val="24"/>
        </w:rPr>
        <w:t xml:space="preserve">and detail </w:t>
      </w:r>
      <w:r>
        <w:rPr>
          <w:szCs w:val="24"/>
        </w:rPr>
        <w:t xml:space="preserve">challenges to implementing the interventions and solutions to addressing those challenges. The </w:t>
      </w:r>
      <w:r w:rsidRPr="009606FE">
        <w:rPr>
          <w:szCs w:val="24"/>
        </w:rPr>
        <w:t xml:space="preserve">implementation study </w:t>
      </w:r>
      <w:r>
        <w:rPr>
          <w:szCs w:val="24"/>
        </w:rPr>
        <w:t>will include</w:t>
      </w:r>
      <w:r w:rsidRPr="009606FE">
        <w:rPr>
          <w:szCs w:val="24"/>
        </w:rPr>
        <w:t xml:space="preserve"> </w:t>
      </w:r>
      <w:r w:rsidR="00CC5E4E">
        <w:rPr>
          <w:szCs w:val="24"/>
        </w:rPr>
        <w:t xml:space="preserve">semi-structured </w:t>
      </w:r>
      <w:r>
        <w:rPr>
          <w:szCs w:val="24"/>
        </w:rPr>
        <w:t xml:space="preserve">interviews with program staff, </w:t>
      </w:r>
      <w:r w:rsidR="00CC5E4E">
        <w:rPr>
          <w:szCs w:val="24"/>
        </w:rPr>
        <w:t>a staff survey</w:t>
      </w:r>
      <w:r>
        <w:rPr>
          <w:szCs w:val="24"/>
        </w:rPr>
        <w:t xml:space="preserve">, in-depth interviews with participants who have been paired with coaches, staff reports of program service receipt, and </w:t>
      </w:r>
      <w:r w:rsidR="00CC5E4E">
        <w:rPr>
          <w:szCs w:val="24"/>
        </w:rPr>
        <w:t>video recordings</w:t>
      </w:r>
      <w:r>
        <w:rPr>
          <w:szCs w:val="24"/>
        </w:rPr>
        <w:t xml:space="preserve"> of coaching sessions. </w:t>
      </w:r>
    </w:p>
    <w:p w14:paraId="1B70C840" w14:textId="77777777" w:rsidR="00CC2132" w:rsidRDefault="00CC2132" w:rsidP="00CC2132">
      <w:pPr>
        <w:spacing w:after="60"/>
        <w:rPr>
          <w:b/>
          <w:i/>
        </w:rPr>
      </w:pPr>
      <w:r>
        <w:rPr>
          <w:b/>
          <w:i/>
        </w:rPr>
        <w:t>Universe of Data Collection Efforts</w:t>
      </w:r>
    </w:p>
    <w:p w14:paraId="50BEFD5D" w14:textId="77777777" w:rsidR="006857CD" w:rsidRPr="00177982" w:rsidRDefault="006857CD" w:rsidP="00CC2132">
      <w:pPr>
        <w:spacing w:after="60"/>
        <w:rPr>
          <w:b/>
          <w:i/>
        </w:rPr>
      </w:pPr>
    </w:p>
    <w:p w14:paraId="4A0AC8E1" w14:textId="28A25FEB" w:rsidR="00CC2132" w:rsidRDefault="00CC2132" w:rsidP="004453F8">
      <w:pPr>
        <w:pStyle w:val="NormalSS"/>
        <w:ind w:firstLine="0"/>
        <w:rPr>
          <w:szCs w:val="24"/>
        </w:rPr>
      </w:pPr>
      <w:r>
        <w:rPr>
          <w:b/>
          <w:szCs w:val="24"/>
        </w:rPr>
        <w:t>Impact study</w:t>
      </w:r>
      <w:r>
        <w:rPr>
          <w:szCs w:val="24"/>
        </w:rPr>
        <w:t xml:space="preserve">. This ICR </w:t>
      </w:r>
      <w:r w:rsidR="004E1970">
        <w:rPr>
          <w:szCs w:val="24"/>
        </w:rPr>
        <w:t>includes</w:t>
      </w:r>
      <w:r>
        <w:rPr>
          <w:szCs w:val="24"/>
        </w:rPr>
        <w:t xml:space="preserve"> two instruments associated with the following data collection efforts for the impact study: </w:t>
      </w:r>
    </w:p>
    <w:p w14:paraId="1AC92F64" w14:textId="07B00F8D" w:rsidR="00CC2132" w:rsidRPr="00DE1DFD" w:rsidRDefault="00CC2132" w:rsidP="00C72880">
      <w:pPr>
        <w:pStyle w:val="NormalSS"/>
        <w:numPr>
          <w:ilvl w:val="0"/>
          <w:numId w:val="17"/>
        </w:numPr>
        <w:ind w:left="720" w:hanging="270"/>
        <w:rPr>
          <w:szCs w:val="24"/>
        </w:rPr>
      </w:pPr>
      <w:r>
        <w:rPr>
          <w:b/>
          <w:szCs w:val="24"/>
        </w:rPr>
        <w:t xml:space="preserve">Baseline data collection (Attachment </w:t>
      </w:r>
      <w:r w:rsidR="00511EFD">
        <w:rPr>
          <w:b/>
          <w:szCs w:val="24"/>
        </w:rPr>
        <w:t>B</w:t>
      </w:r>
      <w:r>
        <w:rPr>
          <w:b/>
          <w:szCs w:val="24"/>
        </w:rPr>
        <w:t xml:space="preserve">). </w:t>
      </w:r>
      <w:r w:rsidRPr="00FE7751">
        <w:rPr>
          <w:szCs w:val="24"/>
        </w:rPr>
        <w:t>Data collected</w:t>
      </w:r>
      <w:r>
        <w:rPr>
          <w:szCs w:val="24"/>
        </w:rPr>
        <w:t xml:space="preserve"> at baseline </w:t>
      </w:r>
      <w:r w:rsidRPr="00FE7751">
        <w:rPr>
          <w:szCs w:val="24"/>
        </w:rPr>
        <w:t xml:space="preserve">will provide information on </w:t>
      </w:r>
      <w:r>
        <w:rPr>
          <w:szCs w:val="24"/>
        </w:rPr>
        <w:t>all study participants. T</w:t>
      </w:r>
      <w:r w:rsidRPr="00FE7751">
        <w:rPr>
          <w:szCs w:val="24"/>
        </w:rPr>
        <w:t>hese data will be used for the following purposes</w:t>
      </w:r>
      <w:r>
        <w:rPr>
          <w:szCs w:val="24"/>
        </w:rPr>
        <w:t>:</w:t>
      </w:r>
      <w:r w:rsidRPr="00FE7751">
        <w:rPr>
          <w:szCs w:val="24"/>
        </w:rPr>
        <w:t xml:space="preserve"> </w:t>
      </w:r>
      <w:r w:rsidRPr="00D55867">
        <w:rPr>
          <w:szCs w:val="24"/>
        </w:rPr>
        <w:t xml:space="preserve">(1) </w:t>
      </w:r>
      <w:r>
        <w:rPr>
          <w:szCs w:val="24"/>
        </w:rPr>
        <w:t xml:space="preserve">to </w:t>
      </w:r>
      <w:r w:rsidRPr="00D55867">
        <w:rPr>
          <w:szCs w:val="24"/>
        </w:rPr>
        <w:t xml:space="preserve">describe the characteristics of study participants and check that random assignment has created treatment and control groups with similar characteristics, (2) </w:t>
      </w:r>
      <w:r>
        <w:rPr>
          <w:szCs w:val="24"/>
        </w:rPr>
        <w:t xml:space="preserve">to </w:t>
      </w:r>
      <w:r w:rsidRPr="00D55867">
        <w:rPr>
          <w:szCs w:val="24"/>
        </w:rPr>
        <w:t xml:space="preserve">define subgroups, (3) </w:t>
      </w:r>
      <w:r>
        <w:rPr>
          <w:szCs w:val="24"/>
        </w:rPr>
        <w:t xml:space="preserve">to </w:t>
      </w:r>
      <w:r w:rsidRPr="00D55867">
        <w:rPr>
          <w:szCs w:val="24"/>
        </w:rPr>
        <w:t xml:space="preserve">provide control variables for regression models that will increase statistical precision, (4) </w:t>
      </w:r>
      <w:r>
        <w:rPr>
          <w:szCs w:val="24"/>
        </w:rPr>
        <w:t xml:space="preserve">to </w:t>
      </w:r>
      <w:r w:rsidRPr="00D55867">
        <w:rPr>
          <w:szCs w:val="24"/>
        </w:rPr>
        <w:t xml:space="preserve">construct weights to adjust for survey nonresponse, (5) </w:t>
      </w:r>
      <w:r>
        <w:rPr>
          <w:szCs w:val="24"/>
        </w:rPr>
        <w:t xml:space="preserve">to </w:t>
      </w:r>
      <w:r w:rsidRPr="00D55867">
        <w:rPr>
          <w:szCs w:val="24"/>
        </w:rPr>
        <w:t xml:space="preserve">support analysis of the mediating factors driving program impacts, and (6) </w:t>
      </w:r>
      <w:r>
        <w:rPr>
          <w:szCs w:val="24"/>
        </w:rPr>
        <w:t xml:space="preserve">to </w:t>
      </w:r>
      <w:r w:rsidRPr="00D55867">
        <w:rPr>
          <w:szCs w:val="24"/>
        </w:rPr>
        <w:t>locate study participants for the follow-up surveys.</w:t>
      </w:r>
      <w:r>
        <w:rPr>
          <w:szCs w:val="24"/>
        </w:rPr>
        <w:t xml:space="preserve"> </w:t>
      </w:r>
      <w:r w:rsidR="0022225E" w:rsidRPr="00C24490">
        <w:t xml:space="preserve">A question-by-question justification for the items included in baseline data collection is presented in Attachment </w:t>
      </w:r>
      <w:r w:rsidR="0022225E">
        <w:t>J</w:t>
      </w:r>
      <w:r w:rsidR="0022225E" w:rsidRPr="00C24490">
        <w:t>.</w:t>
      </w:r>
      <w:r w:rsidR="0022225E">
        <w:t xml:space="preserve"> </w:t>
      </w:r>
      <w:r>
        <w:rPr>
          <w:szCs w:val="24"/>
        </w:rPr>
        <w:t>Program staff</w:t>
      </w:r>
      <w:r w:rsidR="00511EFD">
        <w:rPr>
          <w:szCs w:val="24"/>
        </w:rPr>
        <w:t xml:space="preserve"> will read to participants the consent form</w:t>
      </w:r>
      <w:r w:rsidR="00254992">
        <w:rPr>
          <w:szCs w:val="24"/>
        </w:rPr>
        <w:t xml:space="preserve"> (Attachment A)</w:t>
      </w:r>
      <w:r w:rsidR="00FC3B5E">
        <w:rPr>
          <w:szCs w:val="24"/>
        </w:rPr>
        <w:t>; if consent is given they will then</w:t>
      </w:r>
      <w:r w:rsidR="00254992">
        <w:rPr>
          <w:szCs w:val="24"/>
        </w:rPr>
        <w:t xml:space="preserve"> </w:t>
      </w:r>
      <w:r>
        <w:rPr>
          <w:szCs w:val="24"/>
        </w:rPr>
        <w:t xml:space="preserve">administer the baseline survey and enter the data </w:t>
      </w:r>
      <w:r w:rsidRPr="00C12A47">
        <w:rPr>
          <w:szCs w:val="24"/>
        </w:rPr>
        <w:t>into a web-based information system</w:t>
      </w:r>
      <w:r>
        <w:rPr>
          <w:szCs w:val="24"/>
        </w:rPr>
        <w:t xml:space="preserve"> developed for the evaluation</w:t>
      </w:r>
      <w:r w:rsidRPr="00C12A47">
        <w:rPr>
          <w:szCs w:val="24"/>
        </w:rPr>
        <w:t xml:space="preserve">, the Random Assignment, Participant Tracking Enrollment, and Reporting </w:t>
      </w:r>
      <w:r w:rsidR="0027495F">
        <w:rPr>
          <w:szCs w:val="24"/>
        </w:rPr>
        <w:t>system</w:t>
      </w:r>
      <w:r w:rsidR="0027495F" w:rsidRPr="00C12A47">
        <w:rPr>
          <w:szCs w:val="24"/>
        </w:rPr>
        <w:t xml:space="preserve"> </w:t>
      </w:r>
      <w:r w:rsidRPr="00C12A47">
        <w:rPr>
          <w:szCs w:val="24"/>
        </w:rPr>
        <w:t>(RAPTER)</w:t>
      </w:r>
      <w:r>
        <w:rPr>
          <w:szCs w:val="24"/>
        </w:rPr>
        <w:t xml:space="preserve">. </w:t>
      </w:r>
      <w:r w:rsidR="00301314">
        <w:rPr>
          <w:szCs w:val="24"/>
        </w:rPr>
        <w:t xml:space="preserve">The burden associated with baseline data collection is represented as two rows in the burden table, which correspond to the participants </w:t>
      </w:r>
      <w:r w:rsidR="00DE518B">
        <w:rPr>
          <w:szCs w:val="24"/>
        </w:rPr>
        <w:t xml:space="preserve">responding to the data collection </w:t>
      </w:r>
      <w:r w:rsidR="00301314">
        <w:rPr>
          <w:szCs w:val="24"/>
        </w:rPr>
        <w:t xml:space="preserve">and </w:t>
      </w:r>
      <w:r w:rsidR="00D451E7">
        <w:rPr>
          <w:szCs w:val="24"/>
        </w:rPr>
        <w:t xml:space="preserve">to </w:t>
      </w:r>
      <w:r w:rsidR="00301314">
        <w:rPr>
          <w:szCs w:val="24"/>
        </w:rPr>
        <w:t>staff</w:t>
      </w:r>
      <w:r w:rsidR="00DE518B">
        <w:rPr>
          <w:szCs w:val="24"/>
        </w:rPr>
        <w:t xml:space="preserve"> administering the data collection</w:t>
      </w:r>
      <w:r w:rsidR="00301314">
        <w:rPr>
          <w:szCs w:val="24"/>
        </w:rPr>
        <w:t>.</w:t>
      </w:r>
      <w:r w:rsidR="00B62FC1" w:rsidRPr="00B62FC1">
        <w:rPr>
          <w:szCs w:val="24"/>
        </w:rPr>
        <w:t xml:space="preserve"> </w:t>
      </w:r>
      <w:r w:rsidR="00FF2F7D" w:rsidRPr="00B6165A">
        <w:rPr>
          <w:szCs w:val="24"/>
        </w:rPr>
        <w:t>Some programs might ask that the evaluation allow participants to complete the baseline data collection on their own</w:t>
      </w:r>
      <w:r w:rsidR="00FF2F7D">
        <w:rPr>
          <w:szCs w:val="24"/>
        </w:rPr>
        <w:t xml:space="preserve"> as part of the evaluation intake process</w:t>
      </w:r>
      <w:r w:rsidR="00FF2F7D" w:rsidRPr="00B6165A">
        <w:rPr>
          <w:szCs w:val="24"/>
        </w:rPr>
        <w:t xml:space="preserve">. </w:t>
      </w:r>
      <w:r w:rsidR="00FF2F7D">
        <w:rPr>
          <w:szCs w:val="24"/>
        </w:rPr>
        <w:t xml:space="preserve">In this case, some participants may complete </w:t>
      </w:r>
      <w:r w:rsidR="00310402">
        <w:rPr>
          <w:szCs w:val="24"/>
        </w:rPr>
        <w:t>a self-administered</w:t>
      </w:r>
      <w:r w:rsidR="00FF2F7D">
        <w:rPr>
          <w:szCs w:val="24"/>
        </w:rPr>
        <w:t xml:space="preserve"> baseline survey, using the same web-based system. This </w:t>
      </w:r>
      <w:r w:rsidR="00310402">
        <w:rPr>
          <w:szCs w:val="24"/>
        </w:rPr>
        <w:t xml:space="preserve">would not be </w:t>
      </w:r>
      <w:r w:rsidR="00FF2F7D">
        <w:rPr>
          <w:szCs w:val="24"/>
        </w:rPr>
        <w:t>expected to affect participant burden and might reduce staff burden. The baseline survey includes alternate language tailored to self-administration. For example, text transitioning between sections of the survey may read, “Now I would like to ask you some questions about the people who live with you” for the staff-administered version and, “The next questions are about people who live with you.” for the self-administered version.</w:t>
      </w:r>
    </w:p>
    <w:p w14:paraId="332BC607" w14:textId="1F27EB25" w:rsidR="00CC2132" w:rsidRDefault="00CC2132" w:rsidP="00C72880">
      <w:pPr>
        <w:pStyle w:val="ListParagraph"/>
        <w:numPr>
          <w:ilvl w:val="0"/>
          <w:numId w:val="17"/>
        </w:numPr>
        <w:spacing w:line="240" w:lineRule="auto"/>
        <w:ind w:left="720" w:hanging="270"/>
        <w:rPr>
          <w:szCs w:val="24"/>
        </w:rPr>
      </w:pPr>
      <w:r w:rsidRPr="00D5072F">
        <w:rPr>
          <w:b/>
          <w:szCs w:val="24"/>
        </w:rPr>
        <w:t>F</w:t>
      </w:r>
      <w:r>
        <w:rPr>
          <w:b/>
          <w:szCs w:val="24"/>
        </w:rPr>
        <w:t>irst f</w:t>
      </w:r>
      <w:r w:rsidRPr="00D5072F">
        <w:rPr>
          <w:b/>
          <w:szCs w:val="24"/>
        </w:rPr>
        <w:t>ollow-up survey</w:t>
      </w:r>
      <w:r>
        <w:rPr>
          <w:b/>
          <w:szCs w:val="24"/>
        </w:rPr>
        <w:t xml:space="preserve"> (Attachment </w:t>
      </w:r>
      <w:r w:rsidR="00511EFD">
        <w:rPr>
          <w:b/>
          <w:szCs w:val="24"/>
        </w:rPr>
        <w:t>C</w:t>
      </w:r>
      <w:r>
        <w:rPr>
          <w:b/>
          <w:szCs w:val="24"/>
        </w:rPr>
        <w:t>)</w:t>
      </w:r>
      <w:r w:rsidRPr="00D5072F">
        <w:rPr>
          <w:b/>
          <w:szCs w:val="24"/>
        </w:rPr>
        <w:t xml:space="preserve">. </w:t>
      </w:r>
      <w:r>
        <w:rPr>
          <w:szCs w:val="24"/>
        </w:rPr>
        <w:t>The follow-up surveys will primarily collect data on outcomes of both the treatment and control group members, including</w:t>
      </w:r>
      <w:r w:rsidRPr="00F11FEA">
        <w:rPr>
          <w:szCs w:val="24"/>
        </w:rPr>
        <w:t xml:space="preserve"> </w:t>
      </w:r>
      <w:r>
        <w:rPr>
          <w:szCs w:val="24"/>
        </w:rPr>
        <w:t xml:space="preserve">outcomes related to </w:t>
      </w:r>
      <w:r w:rsidRPr="00F11FEA">
        <w:rPr>
          <w:szCs w:val="24"/>
        </w:rPr>
        <w:t>employment, self-sufficiency, self-regulation</w:t>
      </w:r>
      <w:r w:rsidR="002376FA">
        <w:rPr>
          <w:szCs w:val="24"/>
        </w:rPr>
        <w:t>, and service receipt</w:t>
      </w:r>
      <w:r w:rsidRPr="00F11FEA">
        <w:rPr>
          <w:szCs w:val="24"/>
        </w:rPr>
        <w:t xml:space="preserve">. </w:t>
      </w:r>
      <w:r w:rsidR="002376FA">
        <w:rPr>
          <w:szCs w:val="24"/>
        </w:rPr>
        <w:t>T</w:t>
      </w:r>
      <w:r>
        <w:rPr>
          <w:szCs w:val="24"/>
        </w:rPr>
        <w:t xml:space="preserve">he first follow-up survey </w:t>
      </w:r>
      <w:r w:rsidRPr="00F11FEA">
        <w:rPr>
          <w:szCs w:val="24"/>
        </w:rPr>
        <w:t>will also collect data on some baseline characteristics</w:t>
      </w:r>
      <w:r>
        <w:rPr>
          <w:szCs w:val="24"/>
        </w:rPr>
        <w:t>,</w:t>
      </w:r>
      <w:r w:rsidRPr="00F11FEA">
        <w:rPr>
          <w:szCs w:val="24"/>
        </w:rPr>
        <w:t xml:space="preserve"> such as criminal history</w:t>
      </w:r>
      <w:r>
        <w:rPr>
          <w:szCs w:val="24"/>
        </w:rPr>
        <w:t xml:space="preserve"> and place of birth</w:t>
      </w:r>
      <w:r w:rsidRPr="00F11FEA">
        <w:rPr>
          <w:szCs w:val="24"/>
        </w:rPr>
        <w:t xml:space="preserve">, </w:t>
      </w:r>
      <w:r>
        <w:rPr>
          <w:szCs w:val="24"/>
        </w:rPr>
        <w:t xml:space="preserve">along with </w:t>
      </w:r>
      <w:r w:rsidRPr="00F11FEA">
        <w:rPr>
          <w:szCs w:val="24"/>
        </w:rPr>
        <w:t>update</w:t>
      </w:r>
      <w:r>
        <w:rPr>
          <w:szCs w:val="24"/>
        </w:rPr>
        <w:t>d</w:t>
      </w:r>
      <w:r w:rsidRPr="00F11FEA">
        <w:rPr>
          <w:szCs w:val="24"/>
        </w:rPr>
        <w:t xml:space="preserve"> contact information.</w:t>
      </w:r>
      <w:r w:rsidR="0022225E">
        <w:rPr>
          <w:szCs w:val="24"/>
        </w:rPr>
        <w:t xml:space="preserve"> </w:t>
      </w:r>
      <w:r w:rsidR="0022225E" w:rsidRPr="00C24490">
        <w:t xml:space="preserve">A question-by-question justification for the items included in </w:t>
      </w:r>
      <w:r w:rsidR="0022225E">
        <w:t>the first follow-up survey</w:t>
      </w:r>
      <w:r w:rsidR="0022225E" w:rsidRPr="00C24490">
        <w:t xml:space="preserve"> is presented in Attachment </w:t>
      </w:r>
      <w:r w:rsidR="0022225E">
        <w:t>K</w:t>
      </w:r>
      <w:r w:rsidR="0022225E" w:rsidRPr="00C24490">
        <w:t>.</w:t>
      </w:r>
      <w:r w:rsidRPr="00F11FEA">
        <w:rPr>
          <w:szCs w:val="24"/>
        </w:rPr>
        <w:t xml:space="preserve"> </w:t>
      </w:r>
      <w:r>
        <w:rPr>
          <w:szCs w:val="24"/>
        </w:rPr>
        <w:t xml:space="preserve">The </w:t>
      </w:r>
      <w:r w:rsidR="001E1E59">
        <w:rPr>
          <w:szCs w:val="24"/>
        </w:rPr>
        <w:t>first follow-up</w:t>
      </w:r>
      <w:r>
        <w:rPr>
          <w:szCs w:val="24"/>
        </w:rPr>
        <w:t xml:space="preserve"> survey will be </w:t>
      </w:r>
      <w:r w:rsidR="00301314">
        <w:rPr>
          <w:szCs w:val="24"/>
        </w:rPr>
        <w:t xml:space="preserve">available to participants </w:t>
      </w:r>
      <w:r>
        <w:rPr>
          <w:szCs w:val="24"/>
        </w:rPr>
        <w:t xml:space="preserve">via the web </w:t>
      </w:r>
      <w:r w:rsidR="00301314">
        <w:rPr>
          <w:szCs w:val="24"/>
        </w:rPr>
        <w:t>or</w:t>
      </w:r>
      <w:r>
        <w:rPr>
          <w:szCs w:val="24"/>
        </w:rPr>
        <w:t xml:space="preserve"> telephone about 6 to </w:t>
      </w:r>
      <w:r w:rsidR="00624EDF">
        <w:rPr>
          <w:szCs w:val="24"/>
        </w:rPr>
        <w:t>12</w:t>
      </w:r>
      <w:r>
        <w:rPr>
          <w:szCs w:val="24"/>
        </w:rPr>
        <w:t xml:space="preserve"> months after random assignment. </w:t>
      </w:r>
      <w:r w:rsidRPr="00C61FE8">
        <w:rPr>
          <w:szCs w:val="24"/>
        </w:rPr>
        <w:t xml:space="preserve">A second follow-up survey will be administered approximately 21 months after random assignment. </w:t>
      </w:r>
      <w:r w:rsidR="001E1E59">
        <w:rPr>
          <w:szCs w:val="24"/>
        </w:rPr>
        <w:t>Request for c</w:t>
      </w:r>
      <w:r>
        <w:rPr>
          <w:szCs w:val="24"/>
        </w:rPr>
        <w:t>learance for th</w:t>
      </w:r>
      <w:r w:rsidR="001E1E59">
        <w:rPr>
          <w:szCs w:val="24"/>
        </w:rPr>
        <w:t>e second follow-up survey</w:t>
      </w:r>
      <w:r w:rsidR="002376FA">
        <w:rPr>
          <w:szCs w:val="24"/>
        </w:rPr>
        <w:t xml:space="preserve"> </w:t>
      </w:r>
      <w:r>
        <w:rPr>
          <w:szCs w:val="24"/>
        </w:rPr>
        <w:t xml:space="preserve">will be submitted </w:t>
      </w:r>
      <w:r w:rsidRPr="00C61FE8">
        <w:rPr>
          <w:szCs w:val="24"/>
        </w:rPr>
        <w:t xml:space="preserve">under a separate </w:t>
      </w:r>
      <w:r>
        <w:rPr>
          <w:szCs w:val="24"/>
        </w:rPr>
        <w:t>ICR</w:t>
      </w:r>
      <w:r w:rsidRPr="00C61FE8">
        <w:rPr>
          <w:szCs w:val="24"/>
        </w:rPr>
        <w:t>.</w:t>
      </w:r>
      <w:r>
        <w:rPr>
          <w:szCs w:val="24"/>
        </w:rPr>
        <w:t xml:space="preserve"> </w:t>
      </w:r>
    </w:p>
    <w:p w14:paraId="3158C4F3" w14:textId="77777777" w:rsidR="00CC2132" w:rsidRPr="00D5072F" w:rsidRDefault="00CC2132" w:rsidP="00CC2132">
      <w:pPr>
        <w:pStyle w:val="ListParagraph"/>
        <w:spacing w:line="240" w:lineRule="auto"/>
        <w:ind w:left="1152" w:firstLine="0"/>
        <w:rPr>
          <w:szCs w:val="24"/>
        </w:rPr>
      </w:pPr>
    </w:p>
    <w:p w14:paraId="35885FEA" w14:textId="33191583" w:rsidR="00CC2132" w:rsidRDefault="00241B51" w:rsidP="004453F8">
      <w:pPr>
        <w:pStyle w:val="NormalSS"/>
        <w:ind w:firstLine="0"/>
        <w:rPr>
          <w:szCs w:val="24"/>
        </w:rPr>
      </w:pPr>
      <w:r>
        <w:rPr>
          <w:szCs w:val="24"/>
        </w:rPr>
        <w:t>In addition, a</w:t>
      </w:r>
      <w:r w:rsidR="00FD30D0">
        <w:rPr>
          <w:szCs w:val="24"/>
        </w:rPr>
        <w:t>dministrative data</w:t>
      </w:r>
      <w:r w:rsidR="00C67389">
        <w:rPr>
          <w:szCs w:val="24"/>
        </w:rPr>
        <w:t xml:space="preserve"> on outcomes</w:t>
      </w:r>
      <w:r w:rsidR="00FD30D0">
        <w:rPr>
          <w:szCs w:val="24"/>
        </w:rPr>
        <w:t xml:space="preserve"> will be collected</w:t>
      </w:r>
      <w:r w:rsidR="00CC2132" w:rsidRPr="00F86810">
        <w:rPr>
          <w:szCs w:val="24"/>
        </w:rPr>
        <w:t xml:space="preserve"> </w:t>
      </w:r>
      <w:r w:rsidR="00CC2132">
        <w:rPr>
          <w:szCs w:val="24"/>
        </w:rPr>
        <w:t>for all study participants</w:t>
      </w:r>
      <w:r w:rsidR="00CC2132" w:rsidRPr="00F86810">
        <w:rPr>
          <w:szCs w:val="24"/>
        </w:rPr>
        <w:t>.</w:t>
      </w:r>
      <w:r w:rsidR="00CC2132">
        <w:rPr>
          <w:szCs w:val="24"/>
        </w:rPr>
        <w:t xml:space="preserve"> Data from the National Directory of New Hires (NDNH), operated by the Office of Child Support Enforcement at HHS, includes quarterly earnings, unemployment insurance benefits, and </w:t>
      </w:r>
      <w:r w:rsidR="00A27DBE">
        <w:rPr>
          <w:szCs w:val="24"/>
        </w:rPr>
        <w:t xml:space="preserve">start </w:t>
      </w:r>
      <w:r w:rsidR="00CC2132">
        <w:rPr>
          <w:szCs w:val="24"/>
        </w:rPr>
        <w:t xml:space="preserve">dates of new jobs. </w:t>
      </w:r>
      <w:r w:rsidR="00C67389">
        <w:rPr>
          <w:szCs w:val="24"/>
        </w:rPr>
        <w:t xml:space="preserve">Administrative data will also be collected on </w:t>
      </w:r>
      <w:r w:rsidR="00CC2132">
        <w:rPr>
          <w:szCs w:val="24"/>
        </w:rPr>
        <w:t>TANF benefits</w:t>
      </w:r>
      <w:r w:rsidR="006B7648">
        <w:rPr>
          <w:szCs w:val="24"/>
        </w:rPr>
        <w:t xml:space="preserve"> and information on </w:t>
      </w:r>
      <w:r w:rsidR="00CC2132">
        <w:rPr>
          <w:szCs w:val="24"/>
        </w:rPr>
        <w:t>whether study participants are exempt from work requirements and participate in specific types of work activities. These data are already being collected and do not represent additional burden for respondents.</w:t>
      </w:r>
    </w:p>
    <w:p w14:paraId="4BD47258" w14:textId="4221A1CC" w:rsidR="00CC2132" w:rsidRPr="00F86810" w:rsidRDefault="00CC2132" w:rsidP="004453F8">
      <w:pPr>
        <w:pStyle w:val="NormalSS"/>
        <w:ind w:firstLine="0"/>
        <w:rPr>
          <w:szCs w:val="24"/>
        </w:rPr>
      </w:pPr>
      <w:r w:rsidRPr="00F86810">
        <w:rPr>
          <w:b/>
          <w:szCs w:val="24"/>
        </w:rPr>
        <w:t>Implementation study</w:t>
      </w:r>
      <w:r w:rsidRPr="00F86810">
        <w:rPr>
          <w:szCs w:val="24"/>
        </w:rPr>
        <w:t xml:space="preserve">. </w:t>
      </w:r>
      <w:r>
        <w:rPr>
          <w:szCs w:val="24"/>
        </w:rPr>
        <w:t xml:space="preserve">This ICR </w:t>
      </w:r>
      <w:r w:rsidR="004E1970">
        <w:rPr>
          <w:szCs w:val="24"/>
        </w:rPr>
        <w:t>includes</w:t>
      </w:r>
      <w:r w:rsidRPr="00F86810">
        <w:rPr>
          <w:szCs w:val="24"/>
        </w:rPr>
        <w:t xml:space="preserve"> five instruments associated with the following data collection efforts for the implementation study:</w:t>
      </w:r>
    </w:p>
    <w:p w14:paraId="303367BF" w14:textId="3DD41330" w:rsidR="00CC2132" w:rsidRPr="00DE1DFD" w:rsidRDefault="00CC2132" w:rsidP="004453F8">
      <w:pPr>
        <w:pStyle w:val="NormalSS"/>
        <w:numPr>
          <w:ilvl w:val="0"/>
          <w:numId w:val="18"/>
        </w:numPr>
        <w:ind w:left="720"/>
        <w:rPr>
          <w:szCs w:val="24"/>
        </w:rPr>
      </w:pPr>
      <w:r>
        <w:rPr>
          <w:b/>
          <w:szCs w:val="24"/>
        </w:rPr>
        <w:t xml:space="preserve">Semi-structured staff interviews (Attachment </w:t>
      </w:r>
      <w:r w:rsidR="00511EFD">
        <w:rPr>
          <w:b/>
          <w:szCs w:val="24"/>
        </w:rPr>
        <w:t>D</w:t>
      </w:r>
      <w:r>
        <w:rPr>
          <w:b/>
          <w:szCs w:val="24"/>
        </w:rPr>
        <w:t xml:space="preserve">). </w:t>
      </w:r>
      <w:r>
        <w:rPr>
          <w:szCs w:val="24"/>
        </w:rPr>
        <w:t xml:space="preserve">Semi-structured interviews with staff will provide the study with a nuanced, qualitative description of the coaching intervention’s design and implementation. </w:t>
      </w:r>
      <w:r w:rsidR="006B7648">
        <w:rPr>
          <w:szCs w:val="24"/>
        </w:rPr>
        <w:t>The sample population for this effort includes</w:t>
      </w:r>
      <w:r w:rsidRPr="009B5071">
        <w:rPr>
          <w:szCs w:val="24"/>
        </w:rPr>
        <w:t xml:space="preserve"> coaches</w:t>
      </w:r>
      <w:r w:rsidR="006B7648">
        <w:rPr>
          <w:szCs w:val="24"/>
        </w:rPr>
        <w:t>;</w:t>
      </w:r>
      <w:r w:rsidRPr="009B5071">
        <w:rPr>
          <w:szCs w:val="24"/>
        </w:rPr>
        <w:t xml:space="preserve"> other direct service staff (</w:t>
      </w:r>
      <w:r w:rsidR="006B7648">
        <w:rPr>
          <w:szCs w:val="24"/>
        </w:rPr>
        <w:t>for example,</w:t>
      </w:r>
      <w:r w:rsidRPr="009B5071">
        <w:rPr>
          <w:szCs w:val="24"/>
        </w:rPr>
        <w:t xml:space="preserve"> case managers, workshop instructors, </w:t>
      </w:r>
      <w:r w:rsidR="006B65C2">
        <w:rPr>
          <w:szCs w:val="24"/>
        </w:rPr>
        <w:t xml:space="preserve">and </w:t>
      </w:r>
      <w:r w:rsidRPr="009B5071">
        <w:rPr>
          <w:szCs w:val="24"/>
        </w:rPr>
        <w:t>job developers)</w:t>
      </w:r>
      <w:r w:rsidR="006B7648">
        <w:rPr>
          <w:szCs w:val="24"/>
        </w:rPr>
        <w:t>;</w:t>
      </w:r>
      <w:r w:rsidRPr="009B5071">
        <w:rPr>
          <w:szCs w:val="24"/>
        </w:rPr>
        <w:t xml:space="preserve"> supervisors</w:t>
      </w:r>
      <w:r w:rsidR="006B7648">
        <w:rPr>
          <w:szCs w:val="24"/>
        </w:rPr>
        <w:t>;</w:t>
      </w:r>
      <w:r w:rsidRPr="009B5071">
        <w:rPr>
          <w:szCs w:val="24"/>
        </w:rPr>
        <w:t xml:space="preserve"> </w:t>
      </w:r>
      <w:r w:rsidR="006B65C2">
        <w:rPr>
          <w:szCs w:val="24"/>
        </w:rPr>
        <w:t xml:space="preserve">and </w:t>
      </w:r>
      <w:r w:rsidRPr="009B5071">
        <w:rPr>
          <w:szCs w:val="24"/>
        </w:rPr>
        <w:t>program administrators</w:t>
      </w:r>
      <w:r>
        <w:rPr>
          <w:szCs w:val="24"/>
        </w:rPr>
        <w:t xml:space="preserve">. </w:t>
      </w:r>
      <w:r w:rsidR="00DE518B" w:rsidRPr="00DE518B">
        <w:rPr>
          <w:iCs/>
          <w:szCs w:val="24"/>
        </w:rPr>
        <w:t>Three different interview guides</w:t>
      </w:r>
      <w:r w:rsidR="00D451E7">
        <w:rPr>
          <w:iCs/>
          <w:szCs w:val="24"/>
        </w:rPr>
        <w:t>, all contained in Attachment D,</w:t>
      </w:r>
      <w:r w:rsidR="00DE518B" w:rsidRPr="00DE518B">
        <w:rPr>
          <w:iCs/>
          <w:szCs w:val="24"/>
        </w:rPr>
        <w:t xml:space="preserve"> were developed that pertain to </w:t>
      </w:r>
      <w:r w:rsidR="0056740C">
        <w:rPr>
          <w:iCs/>
          <w:szCs w:val="24"/>
        </w:rPr>
        <w:t>different types</w:t>
      </w:r>
      <w:r w:rsidR="00DE518B" w:rsidRPr="00DE518B">
        <w:rPr>
          <w:iCs/>
          <w:szCs w:val="24"/>
        </w:rPr>
        <w:t xml:space="preserve"> of staff (frontline workers, </w:t>
      </w:r>
      <w:r w:rsidR="0056740C" w:rsidRPr="0056740C">
        <w:rPr>
          <w:iCs/>
          <w:szCs w:val="24"/>
        </w:rPr>
        <w:t>supervisors</w:t>
      </w:r>
      <w:r w:rsidR="0056740C">
        <w:rPr>
          <w:iCs/>
          <w:szCs w:val="24"/>
        </w:rPr>
        <w:t xml:space="preserve">, and </w:t>
      </w:r>
      <w:r w:rsidR="00DE518B" w:rsidRPr="00DE518B">
        <w:rPr>
          <w:iCs/>
          <w:szCs w:val="24"/>
        </w:rPr>
        <w:t>managers</w:t>
      </w:r>
      <w:r w:rsidR="00E612D0">
        <w:rPr>
          <w:iCs/>
          <w:szCs w:val="24"/>
        </w:rPr>
        <w:t>/program administrators</w:t>
      </w:r>
      <w:r w:rsidR="00DE518B" w:rsidRPr="00DE518B">
        <w:rPr>
          <w:iCs/>
          <w:szCs w:val="24"/>
        </w:rPr>
        <w:t>).</w:t>
      </w:r>
      <w:r w:rsidR="00DE518B">
        <w:rPr>
          <w:iCs/>
          <w:szCs w:val="24"/>
        </w:rPr>
        <w:t xml:space="preserve"> </w:t>
      </w:r>
      <w:r w:rsidRPr="00FB7845">
        <w:rPr>
          <w:szCs w:val="24"/>
        </w:rPr>
        <w:t>The interviews will be conducted in</w:t>
      </w:r>
      <w:r w:rsidR="006B7648">
        <w:rPr>
          <w:szCs w:val="24"/>
        </w:rPr>
        <w:t xml:space="preserve"> </w:t>
      </w:r>
      <w:r w:rsidRPr="00FB7845">
        <w:rPr>
          <w:szCs w:val="24"/>
        </w:rPr>
        <w:t>person during site visits</w:t>
      </w:r>
      <w:r w:rsidR="006B7648">
        <w:rPr>
          <w:szCs w:val="24"/>
        </w:rPr>
        <w:t>,</w:t>
      </w:r>
      <w:r w:rsidRPr="00FB7845">
        <w:rPr>
          <w:szCs w:val="24"/>
        </w:rPr>
        <w:t xml:space="preserve"> either </w:t>
      </w:r>
      <w:r w:rsidR="00C67389">
        <w:rPr>
          <w:szCs w:val="24"/>
        </w:rPr>
        <w:t>individually</w:t>
      </w:r>
      <w:r w:rsidRPr="00FB7845">
        <w:rPr>
          <w:szCs w:val="24"/>
        </w:rPr>
        <w:t xml:space="preserve"> or in small groups. </w:t>
      </w:r>
      <w:r w:rsidR="006B65C2">
        <w:rPr>
          <w:szCs w:val="24"/>
        </w:rPr>
        <w:t>A site visit to each program studied</w:t>
      </w:r>
      <w:r w:rsidRPr="00FB7845">
        <w:rPr>
          <w:szCs w:val="24"/>
        </w:rPr>
        <w:t xml:space="preserve"> will occur about six months after study enrollment begins</w:t>
      </w:r>
      <w:r>
        <w:rPr>
          <w:szCs w:val="24"/>
        </w:rPr>
        <w:t xml:space="preserve"> </w:t>
      </w:r>
      <w:r w:rsidR="006B65C2">
        <w:rPr>
          <w:szCs w:val="24"/>
        </w:rPr>
        <w:t>in</w:t>
      </w:r>
      <w:r>
        <w:rPr>
          <w:szCs w:val="24"/>
        </w:rPr>
        <w:t xml:space="preserve"> that </w:t>
      </w:r>
      <w:r w:rsidR="006B65C2">
        <w:rPr>
          <w:szCs w:val="24"/>
        </w:rPr>
        <w:t>program</w:t>
      </w:r>
      <w:r w:rsidRPr="00FB7845">
        <w:rPr>
          <w:szCs w:val="24"/>
        </w:rPr>
        <w:t>.</w:t>
      </w:r>
      <w:r w:rsidR="00C03BD2">
        <w:rPr>
          <w:szCs w:val="24"/>
        </w:rPr>
        <w:t xml:space="preserve"> </w:t>
      </w:r>
    </w:p>
    <w:p w14:paraId="3F1FD2B1" w14:textId="027DAEE1" w:rsidR="00CC2132" w:rsidRDefault="00CC2132" w:rsidP="004453F8">
      <w:pPr>
        <w:pStyle w:val="NormalSS"/>
        <w:numPr>
          <w:ilvl w:val="0"/>
          <w:numId w:val="18"/>
        </w:numPr>
        <w:ind w:left="720"/>
        <w:rPr>
          <w:szCs w:val="24"/>
        </w:rPr>
      </w:pPr>
      <w:r w:rsidRPr="00F50D83">
        <w:rPr>
          <w:b/>
          <w:szCs w:val="24"/>
        </w:rPr>
        <w:t xml:space="preserve">Staff survey (Attachment </w:t>
      </w:r>
      <w:r w:rsidR="00511EFD">
        <w:rPr>
          <w:b/>
          <w:szCs w:val="24"/>
        </w:rPr>
        <w:t>E</w:t>
      </w:r>
      <w:r w:rsidRPr="00F50D83">
        <w:rPr>
          <w:b/>
          <w:szCs w:val="24"/>
        </w:rPr>
        <w:t xml:space="preserve">). </w:t>
      </w:r>
      <w:r w:rsidRPr="00F50D83">
        <w:rPr>
          <w:szCs w:val="24"/>
        </w:rPr>
        <w:t xml:space="preserve">The staff survey will collect information on staff members’ professional backgrounds, training, coaching practices, and attitudes. </w:t>
      </w:r>
      <w:r w:rsidR="0022225E" w:rsidRPr="00C24490">
        <w:t>A question-by-question justification for the items included in</w:t>
      </w:r>
      <w:r w:rsidR="0022225E">
        <w:t xml:space="preserve"> the staff survey</w:t>
      </w:r>
      <w:r w:rsidR="0022225E" w:rsidRPr="00C24490">
        <w:t xml:space="preserve"> is presented in Attachment </w:t>
      </w:r>
      <w:r w:rsidR="0022225E">
        <w:t>L</w:t>
      </w:r>
      <w:r w:rsidR="0022225E" w:rsidRPr="00C24490">
        <w:t>.</w:t>
      </w:r>
      <w:r w:rsidR="0022225E">
        <w:t xml:space="preserve"> </w:t>
      </w:r>
      <w:r w:rsidR="00E2172E">
        <w:rPr>
          <w:szCs w:val="24"/>
        </w:rPr>
        <w:t>Compared with the semi-structured interviews, t</w:t>
      </w:r>
      <w:r w:rsidRPr="00F50D83">
        <w:rPr>
          <w:szCs w:val="24"/>
        </w:rPr>
        <w:t xml:space="preserve">his survey will </w:t>
      </w:r>
      <w:r w:rsidR="0084252C">
        <w:rPr>
          <w:szCs w:val="24"/>
        </w:rPr>
        <w:t>enable</w:t>
      </w:r>
      <w:r w:rsidR="0084252C" w:rsidRPr="00F50D83">
        <w:rPr>
          <w:szCs w:val="24"/>
        </w:rPr>
        <w:t xml:space="preserve"> </w:t>
      </w:r>
      <w:r w:rsidR="00AE14C7">
        <w:rPr>
          <w:szCs w:val="24"/>
        </w:rPr>
        <w:t>the</w:t>
      </w:r>
      <w:r w:rsidRPr="00F50D83">
        <w:rPr>
          <w:szCs w:val="24"/>
        </w:rPr>
        <w:t xml:space="preserve"> collect</w:t>
      </w:r>
      <w:r w:rsidR="00AE14C7">
        <w:rPr>
          <w:szCs w:val="24"/>
        </w:rPr>
        <w:t>ion of</w:t>
      </w:r>
      <w:r w:rsidRPr="00F50D83">
        <w:rPr>
          <w:szCs w:val="24"/>
        </w:rPr>
        <w:t xml:space="preserve"> information</w:t>
      </w:r>
      <w:r w:rsidR="00E2172E">
        <w:rPr>
          <w:szCs w:val="24"/>
        </w:rPr>
        <w:t xml:space="preserve"> (1) in a more structured format,</w:t>
      </w:r>
      <w:r w:rsidRPr="00F50D83">
        <w:rPr>
          <w:szCs w:val="24"/>
        </w:rPr>
        <w:t xml:space="preserve"> </w:t>
      </w:r>
      <w:r w:rsidR="00E2172E">
        <w:rPr>
          <w:szCs w:val="24"/>
        </w:rPr>
        <w:t>(2) on topics that staff may be uncomfortable talking about in a group setting (such as the work of management and other staff)</w:t>
      </w:r>
      <w:r w:rsidRPr="00F50D83">
        <w:rPr>
          <w:szCs w:val="24"/>
        </w:rPr>
        <w:t>, and</w:t>
      </w:r>
      <w:r w:rsidR="00E2172E">
        <w:rPr>
          <w:szCs w:val="24"/>
        </w:rPr>
        <w:t xml:space="preserve"> (3)</w:t>
      </w:r>
      <w:r w:rsidRPr="00F50D83">
        <w:rPr>
          <w:szCs w:val="24"/>
        </w:rPr>
        <w:t xml:space="preserve"> from a broader set of staff. </w:t>
      </w:r>
      <w:r w:rsidR="00E2172E">
        <w:rPr>
          <w:szCs w:val="24"/>
        </w:rPr>
        <w:t>The staff survey will be administered to</w:t>
      </w:r>
      <w:r w:rsidR="0084252C">
        <w:rPr>
          <w:szCs w:val="24"/>
        </w:rPr>
        <w:t xml:space="preserve"> m</w:t>
      </w:r>
      <w:r w:rsidRPr="00F50D83">
        <w:rPr>
          <w:szCs w:val="24"/>
        </w:rPr>
        <w:t xml:space="preserve">anagers, supervisors, coaches, and case managers. </w:t>
      </w:r>
      <w:r w:rsidR="00DC778C">
        <w:rPr>
          <w:szCs w:val="24"/>
        </w:rPr>
        <w:t>It</w:t>
      </w:r>
      <w:r w:rsidRPr="00F50D83">
        <w:rPr>
          <w:szCs w:val="24"/>
        </w:rPr>
        <w:t xml:space="preserve"> will be administered via the web approximately six months after study enrollment begins</w:t>
      </w:r>
      <w:r w:rsidR="00C67389">
        <w:rPr>
          <w:szCs w:val="24"/>
        </w:rPr>
        <w:t xml:space="preserve"> </w:t>
      </w:r>
      <w:r w:rsidR="001E1E59">
        <w:rPr>
          <w:szCs w:val="24"/>
        </w:rPr>
        <w:t>in</w:t>
      </w:r>
      <w:r w:rsidR="00C67389">
        <w:rPr>
          <w:szCs w:val="24"/>
        </w:rPr>
        <w:t xml:space="preserve"> that </w:t>
      </w:r>
      <w:r w:rsidR="001E1E59">
        <w:rPr>
          <w:szCs w:val="24"/>
        </w:rPr>
        <w:t>program</w:t>
      </w:r>
      <w:r w:rsidRPr="00F50D83">
        <w:rPr>
          <w:szCs w:val="24"/>
        </w:rPr>
        <w:t xml:space="preserve">. </w:t>
      </w:r>
    </w:p>
    <w:p w14:paraId="42E2B501" w14:textId="5B66515A" w:rsidR="00CC2132" w:rsidRPr="00F50D83" w:rsidRDefault="00CC2132" w:rsidP="004453F8">
      <w:pPr>
        <w:pStyle w:val="NormalSS"/>
        <w:numPr>
          <w:ilvl w:val="0"/>
          <w:numId w:val="18"/>
        </w:numPr>
        <w:ind w:left="720"/>
        <w:rPr>
          <w:szCs w:val="24"/>
        </w:rPr>
      </w:pPr>
      <w:r w:rsidRPr="00F50D83">
        <w:rPr>
          <w:b/>
          <w:szCs w:val="24"/>
        </w:rPr>
        <w:t xml:space="preserve">In-depth participant interviews (Attachment </w:t>
      </w:r>
      <w:r w:rsidR="00511EFD">
        <w:rPr>
          <w:b/>
          <w:szCs w:val="24"/>
        </w:rPr>
        <w:t>F</w:t>
      </w:r>
      <w:r w:rsidRPr="00F50D83">
        <w:rPr>
          <w:b/>
          <w:szCs w:val="24"/>
        </w:rPr>
        <w:t xml:space="preserve">). </w:t>
      </w:r>
      <w:r w:rsidRPr="00F50D83">
        <w:rPr>
          <w:szCs w:val="24"/>
        </w:rPr>
        <w:t>In-person interviews with participants who have received coaching services will provide</w:t>
      </w:r>
      <w:r>
        <w:t xml:space="preserve"> detailed, contextual information about the participants’ experiences with coaching. They will provide insights into the participants’ lives, details of their goals, their perceptions of factors that might impede them from reaching their goals, their relationship with their coaches, and their perceptions of how the coach and the program have helped them progress toward their goals. For participants who have become disengaged from the program, the interviews will provide information on why the participants became disengaged. These interviews will inform </w:t>
      </w:r>
      <w:r w:rsidR="009A69ED">
        <w:t xml:space="preserve">the understanding of </w:t>
      </w:r>
      <w:r>
        <w:t xml:space="preserve">whether the </w:t>
      </w:r>
      <w:r w:rsidR="001E1E59">
        <w:t>coaching intervention</w:t>
      </w:r>
      <w:r>
        <w:t xml:space="preserve"> was implemented as planned and suggest possible refinements. In addition, these interviews will provide the “stories” that will make the findings from the implementation and impact studies more meaningful. </w:t>
      </w:r>
    </w:p>
    <w:p w14:paraId="0E46C600" w14:textId="3482B3E8" w:rsidR="00CC2132" w:rsidRPr="0082700D" w:rsidRDefault="00CC2132" w:rsidP="004453F8">
      <w:pPr>
        <w:pStyle w:val="NormalSS"/>
        <w:numPr>
          <w:ilvl w:val="0"/>
          <w:numId w:val="18"/>
        </w:numPr>
        <w:ind w:left="720"/>
        <w:rPr>
          <w:szCs w:val="24"/>
        </w:rPr>
      </w:pPr>
      <w:r>
        <w:rPr>
          <w:b/>
          <w:szCs w:val="24"/>
        </w:rPr>
        <w:t xml:space="preserve">Staff reports of program service receipt (Attachment </w:t>
      </w:r>
      <w:r w:rsidR="00511EFD">
        <w:rPr>
          <w:b/>
          <w:szCs w:val="24"/>
        </w:rPr>
        <w:t>G</w:t>
      </w:r>
      <w:r>
        <w:rPr>
          <w:b/>
          <w:szCs w:val="24"/>
        </w:rPr>
        <w:t xml:space="preserve">). </w:t>
      </w:r>
      <w:r w:rsidRPr="007428A5">
        <w:rPr>
          <w:szCs w:val="24"/>
        </w:rPr>
        <w:t>Program staff will record</w:t>
      </w:r>
      <w:r w:rsidR="00DC778C">
        <w:rPr>
          <w:szCs w:val="24"/>
        </w:rPr>
        <w:t xml:space="preserve"> </w:t>
      </w:r>
      <w:r w:rsidRPr="007428A5">
        <w:rPr>
          <w:szCs w:val="24"/>
        </w:rPr>
        <w:t xml:space="preserve">information </w:t>
      </w:r>
      <w:r w:rsidR="00130AAD">
        <w:rPr>
          <w:szCs w:val="24"/>
        </w:rPr>
        <w:t>about</w:t>
      </w:r>
      <w:r w:rsidR="00130AAD" w:rsidRPr="007428A5">
        <w:rPr>
          <w:szCs w:val="24"/>
        </w:rPr>
        <w:t xml:space="preserve"> </w:t>
      </w:r>
      <w:r w:rsidR="00130AAD">
        <w:rPr>
          <w:szCs w:val="24"/>
        </w:rPr>
        <w:t xml:space="preserve">the treatment group members’ </w:t>
      </w:r>
      <w:r w:rsidRPr="007428A5">
        <w:rPr>
          <w:szCs w:val="24"/>
        </w:rPr>
        <w:t xml:space="preserve">participation in coaching. They will also record information on </w:t>
      </w:r>
      <w:r w:rsidR="00DC778C">
        <w:rPr>
          <w:szCs w:val="24"/>
        </w:rPr>
        <w:t xml:space="preserve">case management and </w:t>
      </w:r>
      <w:r w:rsidRPr="007428A5">
        <w:rPr>
          <w:szCs w:val="24"/>
        </w:rPr>
        <w:t xml:space="preserve">other program services </w:t>
      </w:r>
      <w:r w:rsidR="00130AAD">
        <w:rPr>
          <w:szCs w:val="24"/>
        </w:rPr>
        <w:t xml:space="preserve">that both the treatment group </w:t>
      </w:r>
      <w:r w:rsidRPr="007428A5">
        <w:rPr>
          <w:szCs w:val="24"/>
        </w:rPr>
        <w:t>and the control group members</w:t>
      </w:r>
      <w:r w:rsidR="00130AAD" w:rsidRPr="00130AAD">
        <w:rPr>
          <w:szCs w:val="24"/>
        </w:rPr>
        <w:t xml:space="preserve"> </w:t>
      </w:r>
      <w:r w:rsidR="00130AAD" w:rsidRPr="007428A5">
        <w:rPr>
          <w:szCs w:val="24"/>
        </w:rPr>
        <w:t>receive</w:t>
      </w:r>
      <w:r w:rsidRPr="007428A5">
        <w:rPr>
          <w:szCs w:val="24"/>
        </w:rPr>
        <w:t>, if the design allows control group members to receive</w:t>
      </w:r>
      <w:r>
        <w:rPr>
          <w:szCs w:val="24"/>
        </w:rPr>
        <w:t xml:space="preserve"> these other</w:t>
      </w:r>
      <w:r w:rsidRPr="007428A5">
        <w:rPr>
          <w:szCs w:val="24"/>
        </w:rPr>
        <w:t xml:space="preserve"> program services.</w:t>
      </w:r>
      <w:r>
        <w:rPr>
          <w:szCs w:val="24"/>
        </w:rPr>
        <w:t xml:space="preserve"> This information will be used to describe the </w:t>
      </w:r>
      <w:r w:rsidR="00036046">
        <w:rPr>
          <w:szCs w:val="24"/>
        </w:rPr>
        <w:t xml:space="preserve">coaching and employment </w:t>
      </w:r>
      <w:r>
        <w:rPr>
          <w:szCs w:val="24"/>
        </w:rPr>
        <w:t xml:space="preserve">services the treatment group </w:t>
      </w:r>
      <w:r w:rsidR="00A36E0E">
        <w:rPr>
          <w:szCs w:val="24"/>
        </w:rPr>
        <w:t xml:space="preserve">receives </w:t>
      </w:r>
      <w:r>
        <w:rPr>
          <w:szCs w:val="24"/>
        </w:rPr>
        <w:t xml:space="preserve">through the </w:t>
      </w:r>
      <w:r w:rsidR="006927DA">
        <w:rPr>
          <w:szCs w:val="24"/>
        </w:rPr>
        <w:t>program</w:t>
      </w:r>
      <w:r>
        <w:rPr>
          <w:szCs w:val="24"/>
        </w:rPr>
        <w:t xml:space="preserve">. </w:t>
      </w:r>
      <w:r w:rsidR="00036046">
        <w:rPr>
          <w:szCs w:val="24"/>
        </w:rPr>
        <w:t>Where relevant, it will also be used to compare service receipt for the treatment and control group members.</w:t>
      </w:r>
      <w:r w:rsidR="00EA300D">
        <w:rPr>
          <w:szCs w:val="24"/>
        </w:rPr>
        <w:t xml:space="preserve"> </w:t>
      </w:r>
      <w:r w:rsidR="00AE14C7">
        <w:rPr>
          <w:szCs w:val="24"/>
        </w:rPr>
        <w:t xml:space="preserve">This information will also be used </w:t>
      </w:r>
      <w:r>
        <w:rPr>
          <w:szCs w:val="24"/>
        </w:rPr>
        <w:t xml:space="preserve">to monitor the extent to which the treatment group is participating in coaching. The </w:t>
      </w:r>
      <w:r w:rsidRPr="0082700D">
        <w:rPr>
          <w:szCs w:val="24"/>
        </w:rPr>
        <w:t>staff will record the information in RAPTER.</w:t>
      </w:r>
      <w:r w:rsidR="00C250B8" w:rsidRPr="0082700D">
        <w:rPr>
          <w:szCs w:val="24"/>
        </w:rPr>
        <w:t xml:space="preserve"> </w:t>
      </w:r>
    </w:p>
    <w:p w14:paraId="4C26B149" w14:textId="0939FAD8" w:rsidR="00CC2132" w:rsidRPr="007428A5" w:rsidRDefault="00CC2132" w:rsidP="004453F8">
      <w:pPr>
        <w:pStyle w:val="NormalSS"/>
        <w:numPr>
          <w:ilvl w:val="0"/>
          <w:numId w:val="18"/>
        </w:numPr>
        <w:spacing w:after="120"/>
        <w:ind w:left="720"/>
        <w:rPr>
          <w:b/>
        </w:rPr>
      </w:pPr>
      <w:r w:rsidRPr="001B04C4">
        <w:rPr>
          <w:b/>
          <w:szCs w:val="24"/>
        </w:rPr>
        <w:t>Video recordings of coaching sessions.</w:t>
      </w:r>
      <w:r w:rsidRPr="0082700D">
        <w:rPr>
          <w:szCs w:val="24"/>
        </w:rPr>
        <w:t xml:space="preserve"> Video recordings will capture the interaction between the</w:t>
      </w:r>
      <w:r w:rsidRPr="00D44E36">
        <w:rPr>
          <w:szCs w:val="24"/>
        </w:rPr>
        <w:t xml:space="preserve"> coaches and </w:t>
      </w:r>
      <w:r>
        <w:rPr>
          <w:szCs w:val="24"/>
        </w:rPr>
        <w:t>participants</w:t>
      </w:r>
      <w:r w:rsidRPr="00D44E36">
        <w:rPr>
          <w:szCs w:val="24"/>
        </w:rPr>
        <w:t>.</w:t>
      </w:r>
      <w:r>
        <w:rPr>
          <w:szCs w:val="24"/>
        </w:rPr>
        <w:t xml:space="preserve"> These recordings will provide information on what happens during a coaching session, whether the coaching is consistent with the coaches’ training, and the reactions of the participants. </w:t>
      </w:r>
      <w:r w:rsidR="00251340">
        <w:rPr>
          <w:szCs w:val="24"/>
        </w:rPr>
        <w:t>A subset</w:t>
      </w:r>
      <w:r w:rsidR="00251340" w:rsidRPr="00337253">
        <w:rPr>
          <w:szCs w:val="24"/>
        </w:rPr>
        <w:t xml:space="preserve"> of coaching sessions at each </w:t>
      </w:r>
      <w:r w:rsidR="00251340">
        <w:rPr>
          <w:szCs w:val="24"/>
        </w:rPr>
        <w:t>program will be recorded. This subset will be chosen to include</w:t>
      </w:r>
      <w:r w:rsidR="00251340" w:rsidRPr="00337253">
        <w:rPr>
          <w:szCs w:val="24"/>
        </w:rPr>
        <w:t xml:space="preserve"> </w:t>
      </w:r>
      <w:r w:rsidR="00251340">
        <w:rPr>
          <w:szCs w:val="24"/>
        </w:rPr>
        <w:t xml:space="preserve">all </w:t>
      </w:r>
      <w:r w:rsidR="00251340" w:rsidRPr="00337253">
        <w:rPr>
          <w:szCs w:val="24"/>
        </w:rPr>
        <w:t>sessions</w:t>
      </w:r>
      <w:r w:rsidR="00251340">
        <w:rPr>
          <w:szCs w:val="24"/>
        </w:rPr>
        <w:t xml:space="preserve"> </w:t>
      </w:r>
      <w:r w:rsidR="00DC778C">
        <w:rPr>
          <w:szCs w:val="24"/>
        </w:rPr>
        <w:t>occurring during</w:t>
      </w:r>
      <w:r w:rsidR="00251340">
        <w:rPr>
          <w:szCs w:val="24"/>
        </w:rPr>
        <w:t xml:space="preserve"> a specific period of time</w:t>
      </w:r>
      <w:r w:rsidR="00251340" w:rsidRPr="00337253">
        <w:rPr>
          <w:szCs w:val="24"/>
        </w:rPr>
        <w:t xml:space="preserve"> with each coach</w:t>
      </w:r>
      <w:r w:rsidR="00C03BD2">
        <w:rPr>
          <w:szCs w:val="24"/>
        </w:rPr>
        <w:t xml:space="preserve"> and will capture </w:t>
      </w:r>
      <w:r w:rsidR="009A69ED">
        <w:rPr>
          <w:szCs w:val="24"/>
        </w:rPr>
        <w:t xml:space="preserve">multiple </w:t>
      </w:r>
      <w:r w:rsidR="00C03BD2">
        <w:rPr>
          <w:szCs w:val="24"/>
        </w:rPr>
        <w:t>participants for each coach</w:t>
      </w:r>
      <w:r w:rsidR="00251340" w:rsidRPr="00337253">
        <w:rPr>
          <w:szCs w:val="24"/>
        </w:rPr>
        <w:t xml:space="preserve">. We anticipate recording up to 90 sessions per program (approximately 270 sessions across all three </w:t>
      </w:r>
      <w:r w:rsidR="00251340">
        <w:rPr>
          <w:szCs w:val="24"/>
        </w:rPr>
        <w:t>program</w:t>
      </w:r>
      <w:r w:rsidR="00D261F5">
        <w:rPr>
          <w:szCs w:val="24"/>
        </w:rPr>
        <w:t>s</w:t>
      </w:r>
      <w:r w:rsidR="00251340" w:rsidRPr="00337253">
        <w:rPr>
          <w:szCs w:val="24"/>
        </w:rPr>
        <w:t>).</w:t>
      </w:r>
      <w:r>
        <w:rPr>
          <w:szCs w:val="24"/>
        </w:rPr>
        <w:t xml:space="preserve"> These recordings will occur after the site visit to conduct the semi-structured interviews</w:t>
      </w:r>
      <w:r w:rsidR="009A69ED">
        <w:rPr>
          <w:szCs w:val="24"/>
        </w:rPr>
        <w:t>, which is also when staff will be trained on setting up the recordings</w:t>
      </w:r>
      <w:r>
        <w:rPr>
          <w:szCs w:val="24"/>
        </w:rPr>
        <w:t>.</w:t>
      </w:r>
    </w:p>
    <w:p w14:paraId="036C1BB5" w14:textId="77777777" w:rsidR="00CC2132" w:rsidRDefault="00CC2132" w:rsidP="00B9279C">
      <w:pPr>
        <w:keepNext/>
        <w:spacing w:before="360" w:after="120"/>
        <w:rPr>
          <w:b/>
        </w:rPr>
      </w:pPr>
      <w:r w:rsidRPr="00B608C3">
        <w:rPr>
          <w:b/>
        </w:rPr>
        <w:t>A3. Improved Information Technology to Reduce Burden</w:t>
      </w:r>
    </w:p>
    <w:p w14:paraId="656FAE97" w14:textId="357DD0A0" w:rsidR="00CC2132" w:rsidRDefault="00CC2132" w:rsidP="004453F8">
      <w:pPr>
        <w:pStyle w:val="NormalSS"/>
        <w:ind w:firstLine="0"/>
      </w:pPr>
      <w:r>
        <w:t xml:space="preserve">This evaluation will use multiple applications of information technology to reduce burden. As described below, information technology will be used to collect baseline data, conduct the first follow-up </w:t>
      </w:r>
      <w:r w:rsidRPr="004453F8">
        <w:rPr>
          <w:szCs w:val="24"/>
        </w:rPr>
        <w:t>and</w:t>
      </w:r>
      <w:r>
        <w:t xml:space="preserve"> staff surveys, collect staff reports on program service receipt, and video</w:t>
      </w:r>
      <w:r w:rsidR="00206941">
        <w:t>-</w:t>
      </w:r>
      <w:r w:rsidR="002E2E29">
        <w:t xml:space="preserve">record </w:t>
      </w:r>
      <w:r>
        <w:t xml:space="preserve">coaching sessions. The semi-structured staff interviews and in-depth participant interviews will not involve information technology. </w:t>
      </w:r>
    </w:p>
    <w:p w14:paraId="0889CDC5" w14:textId="66D2B8FF" w:rsidR="00CC2132" w:rsidRDefault="00CC2132" w:rsidP="004453F8">
      <w:pPr>
        <w:pStyle w:val="NormalSS"/>
        <w:ind w:firstLine="0"/>
        <w:rPr>
          <w:szCs w:val="24"/>
        </w:rPr>
      </w:pPr>
      <w:r>
        <w:rPr>
          <w:b/>
        </w:rPr>
        <w:t>Baseline data collection.</w:t>
      </w:r>
      <w:r>
        <w:t xml:space="preserve"> RAPTER is a secure</w:t>
      </w:r>
      <w:r w:rsidR="009A69ED">
        <w:t>,</w:t>
      </w:r>
      <w:r>
        <w:t xml:space="preserve"> web-based system that </w:t>
      </w:r>
      <w:r w:rsidR="002E2E29">
        <w:t xml:space="preserve">program staff </w:t>
      </w:r>
      <w:r>
        <w:t xml:space="preserve">will use to administer consent to participants, collect baseline data, and conduct random assignment. </w:t>
      </w:r>
      <w:r w:rsidR="002E2E29">
        <w:t>The use of c</w:t>
      </w:r>
      <w:r>
        <w:t xml:space="preserve">heck boxes and </w:t>
      </w:r>
      <w:r>
        <w:rPr>
          <w:szCs w:val="24"/>
        </w:rPr>
        <w:t>drop-down menus and response categories will minimize data entry burden</w:t>
      </w:r>
      <w:r w:rsidRPr="00F10B7E">
        <w:rPr>
          <w:szCs w:val="24"/>
        </w:rPr>
        <w:t>.</w:t>
      </w:r>
      <w:r>
        <w:rPr>
          <w:szCs w:val="24"/>
        </w:rPr>
        <w:t xml:space="preserve"> </w:t>
      </w:r>
      <w:r w:rsidR="00533671">
        <w:rPr>
          <w:szCs w:val="24"/>
        </w:rPr>
        <w:t>Participants completing the baseline survey on their own will also utilize this web-based system.</w:t>
      </w:r>
    </w:p>
    <w:p w14:paraId="29A7BC29" w14:textId="77777777" w:rsidR="00CC2132" w:rsidRDefault="00CC2132" w:rsidP="004453F8">
      <w:pPr>
        <w:pStyle w:val="NormalSS"/>
        <w:ind w:firstLine="0"/>
        <w:rPr>
          <w:szCs w:val="24"/>
        </w:rPr>
      </w:pPr>
      <w:r>
        <w:rPr>
          <w:b/>
          <w:szCs w:val="24"/>
        </w:rPr>
        <w:t xml:space="preserve">First follow-up survey. </w:t>
      </w:r>
      <w:r w:rsidRPr="00F10B7E">
        <w:rPr>
          <w:szCs w:val="24"/>
        </w:rPr>
        <w:t>The follow-up survey will be hosted on the Internet via a live secure web-link. To reduce burden, the surveys will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002E2E29" w:rsidRPr="00F10B7E">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14:paraId="22EA3036" w14:textId="0D73787E" w:rsidR="00CC2132" w:rsidRDefault="00CC2132" w:rsidP="004453F8">
      <w:pPr>
        <w:pStyle w:val="NormalSS"/>
        <w:ind w:firstLine="0"/>
        <w:rPr>
          <w:szCs w:val="24"/>
        </w:rPr>
      </w:pPr>
      <w:r>
        <w:rPr>
          <w:szCs w:val="24"/>
        </w:rPr>
        <w:t>Respondents also have the option to complete the follow-up surveys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14:paraId="0D484DC1" w14:textId="77777777" w:rsidR="00CC2132" w:rsidRPr="00986116" w:rsidRDefault="00CC2132" w:rsidP="004453F8">
      <w:pPr>
        <w:pStyle w:val="NormalSS"/>
        <w:ind w:firstLine="0"/>
        <w:rPr>
          <w:szCs w:val="24"/>
        </w:rPr>
      </w:pPr>
      <w:r>
        <w:rPr>
          <w:b/>
          <w:szCs w:val="24"/>
        </w:rPr>
        <w:t>Staff</w:t>
      </w:r>
      <w:r w:rsidRPr="00986116">
        <w:rPr>
          <w:b/>
          <w:szCs w:val="24"/>
        </w:rPr>
        <w:t xml:space="preserve"> survey.</w:t>
      </w:r>
      <w:r w:rsidRPr="00986116">
        <w:rPr>
          <w:szCs w:val="24"/>
        </w:rPr>
        <w:t xml:space="preserve"> </w:t>
      </w:r>
      <w:r w:rsidR="002E2E29">
        <w:rPr>
          <w:szCs w:val="24"/>
        </w:rPr>
        <w:t xml:space="preserve">As with </w:t>
      </w:r>
      <w:r>
        <w:rPr>
          <w:szCs w:val="24"/>
        </w:rPr>
        <w:t xml:space="preserve">the follow-up survey, the staff survey will be hosted on the Internet via a live secure web-link and </w:t>
      </w:r>
      <w:r w:rsidRPr="000376A6">
        <w:rPr>
          <w:szCs w:val="24"/>
        </w:rPr>
        <w:t>will employ: (1) secure log-ins and passwords</w:t>
      </w:r>
      <w:r w:rsidR="00DE4978">
        <w:rPr>
          <w:szCs w:val="24"/>
        </w:rPr>
        <w:t>,</w:t>
      </w:r>
      <w:r w:rsidRPr="000376A6">
        <w:rPr>
          <w:szCs w:val="24"/>
        </w:rPr>
        <w:t xml:space="preserve"> (2) drop-down response categories</w:t>
      </w:r>
      <w:r w:rsidR="00DE4978">
        <w:rPr>
          <w:szCs w:val="24"/>
        </w:rPr>
        <w:t>,</w:t>
      </w:r>
      <w:r w:rsidRPr="000376A6">
        <w:rPr>
          <w:szCs w:val="24"/>
        </w:rPr>
        <w:t xml:space="preserve"> (3) dynamic questions and automated skip patterns</w:t>
      </w:r>
      <w:r w:rsidR="00DE4978">
        <w:rPr>
          <w:szCs w:val="24"/>
        </w:rPr>
        <w:t>,</w:t>
      </w:r>
      <w:r w:rsidRPr="000376A6">
        <w:rPr>
          <w:szCs w:val="24"/>
        </w:rPr>
        <w:t xml:space="preserve"> and (4) logical rules for responses.</w:t>
      </w:r>
    </w:p>
    <w:p w14:paraId="29DB9931" w14:textId="16697208" w:rsidR="00CC2132" w:rsidRDefault="00CC2132" w:rsidP="004453F8">
      <w:pPr>
        <w:pStyle w:val="NormalSS"/>
        <w:ind w:firstLine="0"/>
        <w:rPr>
          <w:szCs w:val="24"/>
        </w:rPr>
      </w:pPr>
      <w:r>
        <w:rPr>
          <w:b/>
          <w:szCs w:val="24"/>
        </w:rPr>
        <w:t>Staff reports of program service receipt</w:t>
      </w:r>
      <w:r w:rsidRPr="00986116">
        <w:rPr>
          <w:b/>
          <w:szCs w:val="24"/>
        </w:rPr>
        <w:t xml:space="preserve">. </w:t>
      </w:r>
      <w:r w:rsidR="00DE4978" w:rsidRPr="00DE4978">
        <w:rPr>
          <w:szCs w:val="24"/>
        </w:rPr>
        <w:t>Staff will use</w:t>
      </w:r>
      <w:r w:rsidR="00DE4978">
        <w:rPr>
          <w:b/>
          <w:szCs w:val="24"/>
        </w:rPr>
        <w:t xml:space="preserve"> </w:t>
      </w:r>
      <w:r>
        <w:rPr>
          <w:szCs w:val="24"/>
        </w:rPr>
        <w:t>RAPTER to enter data on program receipt</w:t>
      </w:r>
      <w:r w:rsidR="00DE4978">
        <w:rPr>
          <w:szCs w:val="24"/>
        </w:rPr>
        <w:t xml:space="preserve">. The system will </w:t>
      </w:r>
      <w:r>
        <w:rPr>
          <w:szCs w:val="24"/>
        </w:rPr>
        <w:t>employ drop-down me</w:t>
      </w:r>
      <w:r w:rsidR="00477BD6">
        <w:rPr>
          <w:szCs w:val="24"/>
        </w:rPr>
        <w:t>n</w:t>
      </w:r>
      <w:r>
        <w:rPr>
          <w:szCs w:val="24"/>
        </w:rPr>
        <w:t>us and respons</w:t>
      </w:r>
      <w:r w:rsidR="0048774D">
        <w:rPr>
          <w:szCs w:val="24"/>
        </w:rPr>
        <w:t>e categories to minimize burden and accept only valid responses.</w:t>
      </w:r>
    </w:p>
    <w:p w14:paraId="6890A97E" w14:textId="05638975" w:rsidR="00CC2132" w:rsidRPr="00512BD5" w:rsidRDefault="00CC2132" w:rsidP="004453F8">
      <w:pPr>
        <w:pStyle w:val="NormalSS"/>
        <w:ind w:firstLine="0"/>
        <w:rPr>
          <w:szCs w:val="24"/>
        </w:rPr>
      </w:pPr>
      <w:r>
        <w:rPr>
          <w:b/>
          <w:szCs w:val="24"/>
        </w:rPr>
        <w:t>Video recordings of coaching sessions.</w:t>
      </w:r>
      <w:r>
        <w:rPr>
          <w:szCs w:val="24"/>
        </w:rPr>
        <w:t xml:space="preserve"> Program staff will be provided with tablets</w:t>
      </w:r>
      <w:r w:rsidR="00C03BD2">
        <w:rPr>
          <w:szCs w:val="24"/>
        </w:rPr>
        <w:t xml:space="preserve"> and will be trained on how to </w:t>
      </w:r>
      <w:r w:rsidR="00EA300D">
        <w:rPr>
          <w:szCs w:val="24"/>
        </w:rPr>
        <w:t xml:space="preserve">use them to </w:t>
      </w:r>
      <w:r w:rsidR="00C03BD2">
        <w:rPr>
          <w:szCs w:val="24"/>
        </w:rPr>
        <w:t>record the coaching sessions</w:t>
      </w:r>
      <w:r>
        <w:rPr>
          <w:szCs w:val="24"/>
        </w:rPr>
        <w:t xml:space="preserve">. </w:t>
      </w:r>
      <w:r w:rsidR="00A443E7">
        <w:rPr>
          <w:szCs w:val="24"/>
        </w:rPr>
        <w:t>Relative to in-person observations, v</w:t>
      </w:r>
      <w:r w:rsidRPr="00B608C3">
        <w:rPr>
          <w:szCs w:val="24"/>
        </w:rPr>
        <w:t xml:space="preserve">ideo recording </w:t>
      </w:r>
      <w:r>
        <w:rPr>
          <w:szCs w:val="24"/>
        </w:rPr>
        <w:t xml:space="preserve">by tablet </w:t>
      </w:r>
      <w:r w:rsidR="00D06966">
        <w:rPr>
          <w:szCs w:val="24"/>
        </w:rPr>
        <w:t>is a</w:t>
      </w:r>
      <w:r w:rsidRPr="00B608C3">
        <w:rPr>
          <w:szCs w:val="24"/>
        </w:rPr>
        <w:t xml:space="preserve"> le</w:t>
      </w:r>
      <w:r w:rsidR="00A443E7">
        <w:rPr>
          <w:szCs w:val="24"/>
        </w:rPr>
        <w:t>ss</w:t>
      </w:r>
      <w:r w:rsidRPr="00B608C3">
        <w:rPr>
          <w:szCs w:val="24"/>
        </w:rPr>
        <w:t xml:space="preserve"> obtrusive </w:t>
      </w:r>
      <w:r>
        <w:rPr>
          <w:szCs w:val="24"/>
        </w:rPr>
        <w:t xml:space="preserve">method for </w:t>
      </w:r>
      <w:r w:rsidRPr="00B608C3">
        <w:rPr>
          <w:szCs w:val="24"/>
        </w:rPr>
        <w:t>understanding the interaction between the coaches and participants.</w:t>
      </w:r>
    </w:p>
    <w:p w14:paraId="10C32590" w14:textId="77777777" w:rsidR="00CC2132" w:rsidRPr="0072204D" w:rsidRDefault="00CC2132" w:rsidP="00B9279C">
      <w:pPr>
        <w:keepNext/>
        <w:spacing w:before="360" w:after="120"/>
        <w:rPr>
          <w:b/>
        </w:rPr>
      </w:pPr>
      <w:r>
        <w:rPr>
          <w:b/>
        </w:rPr>
        <w:t xml:space="preserve">A4. </w:t>
      </w:r>
      <w:r w:rsidRPr="0072204D">
        <w:rPr>
          <w:b/>
        </w:rPr>
        <w:t>Efforts to Identify Duplication</w:t>
      </w:r>
    </w:p>
    <w:p w14:paraId="0150063F" w14:textId="7703E930" w:rsidR="00D9690A" w:rsidRDefault="00CC2132" w:rsidP="004453F8">
      <w:pPr>
        <w:pStyle w:val="NormalSS"/>
        <w:ind w:firstLine="0"/>
      </w:pPr>
      <w:r>
        <w:t xml:space="preserve">Information that is already available from alternative data sources will not be collected again for this evaluation. For example, </w:t>
      </w:r>
      <w:r w:rsidR="008F7941">
        <w:t xml:space="preserve">if </w:t>
      </w:r>
      <w:r>
        <w:t>a coaching program has an existing management information system</w:t>
      </w:r>
      <w:r w:rsidR="00C67389">
        <w:t xml:space="preserve"> </w:t>
      </w:r>
      <w:r>
        <w:t>that collects information needed for this evaluation</w:t>
      </w:r>
      <w:r w:rsidR="00FE4DA2">
        <w:t xml:space="preserve"> that is exportable and of sufficient quality</w:t>
      </w:r>
      <w:r>
        <w:t xml:space="preserve">, we will accept data from </w:t>
      </w:r>
      <w:r w:rsidR="00032B13">
        <w:t xml:space="preserve">its </w:t>
      </w:r>
      <w:r>
        <w:t>existing system</w:t>
      </w:r>
      <w:r w:rsidR="00112937">
        <w:t xml:space="preserve"> and request that they only enter data into RAPTER that they are not already collecting</w:t>
      </w:r>
      <w:r>
        <w:t>.</w:t>
      </w:r>
      <w:r w:rsidR="001B0935" w:rsidRPr="001B0935">
        <w:t xml:space="preserve"> </w:t>
      </w:r>
    </w:p>
    <w:p w14:paraId="79818809" w14:textId="19789105" w:rsidR="00191580" w:rsidRDefault="00D9690A" w:rsidP="00191580">
      <w:pPr>
        <w:pStyle w:val="NormalSS"/>
        <w:ind w:firstLine="0"/>
      </w:pPr>
      <w:r>
        <w:t xml:space="preserve">We will be collecting information related to employment and earnings both through administrative records and directly from study participants. This information is not duplicative because </w:t>
      </w:r>
      <w:r w:rsidR="00191580">
        <w:t>the two sources cover</w:t>
      </w:r>
      <w:r>
        <w:t xml:space="preserve"> different types of employment. I</w:t>
      </w:r>
      <w:r w:rsidR="001B0935">
        <w:t xml:space="preserve">nformation on quarterly earnings from jobs covered by unemployment insurance will be obtained from NDNH administrative records. The baseline data collection and follow-up surveys will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p>
    <w:p w14:paraId="62675DED" w14:textId="77777777" w:rsidR="00CC2132" w:rsidRPr="0072204D" w:rsidRDefault="00CC2132" w:rsidP="00B9279C">
      <w:pPr>
        <w:keepNext/>
        <w:spacing w:before="360" w:after="120"/>
        <w:rPr>
          <w:b/>
        </w:rPr>
      </w:pPr>
      <w:r>
        <w:rPr>
          <w:b/>
        </w:rPr>
        <w:t xml:space="preserve">A5. </w:t>
      </w:r>
      <w:r w:rsidRPr="0072204D">
        <w:rPr>
          <w:b/>
        </w:rPr>
        <w:t>Involvement of Small Organizations</w:t>
      </w:r>
    </w:p>
    <w:p w14:paraId="328B340D" w14:textId="77777777" w:rsidR="00CC2132" w:rsidRPr="003560C5" w:rsidRDefault="00CC2132" w:rsidP="004453F8">
      <w:pPr>
        <w:pStyle w:val="NormalSS"/>
        <w:ind w:firstLine="0"/>
      </w:pPr>
      <w:r w:rsidRPr="003560C5">
        <w:t xml:space="preserve">The data collection does not involve small businesses or other small entities. </w:t>
      </w:r>
    </w:p>
    <w:p w14:paraId="2158A03B" w14:textId="77777777" w:rsidR="00CC2132" w:rsidRPr="0072204D" w:rsidRDefault="00CC2132" w:rsidP="00B9279C">
      <w:pPr>
        <w:keepNext/>
        <w:spacing w:before="360" w:after="120"/>
        <w:rPr>
          <w:b/>
        </w:rPr>
      </w:pPr>
      <w:r>
        <w:rPr>
          <w:b/>
        </w:rPr>
        <w:t xml:space="preserve">A6. </w:t>
      </w:r>
      <w:r w:rsidRPr="0072204D">
        <w:rPr>
          <w:b/>
        </w:rPr>
        <w:t>Consequences of Less Frequent Data Collection</w:t>
      </w:r>
    </w:p>
    <w:p w14:paraId="6007B22D" w14:textId="77777777" w:rsidR="00CC2132" w:rsidRDefault="00CC2132" w:rsidP="004453F8">
      <w:pPr>
        <w:pStyle w:val="NormalSS"/>
        <w:ind w:firstLine="0"/>
      </w:pPr>
      <w:r>
        <w:t xml:space="preserve">The baseline data collection, the semi-structured staff interviews, the staff survey, and the in-depth participant interviews are one-time data collections. </w:t>
      </w:r>
    </w:p>
    <w:p w14:paraId="224B51C6" w14:textId="7CBEB603" w:rsidR="00CC2132" w:rsidRDefault="00CC2132" w:rsidP="004453F8">
      <w:pPr>
        <w:pStyle w:val="NormalSS"/>
        <w:ind w:firstLine="0"/>
      </w:pPr>
      <w:r w:rsidRPr="004B5A6C">
        <w:rPr>
          <w:b/>
        </w:rPr>
        <w:t>Follow-up survey.</w:t>
      </w:r>
      <w:r>
        <w:t xml:space="preserve"> </w:t>
      </w:r>
      <w:r w:rsidR="004E2936">
        <w:t>A</w:t>
      </w:r>
      <w:r w:rsidR="004E2936" w:rsidRPr="004E2936">
        <w:t>bout 21 months after random assignment</w:t>
      </w:r>
      <w:r w:rsidR="00625AC5">
        <w:t>,</w:t>
      </w:r>
      <w:r>
        <w:t xml:space="preserve"> a second follow-up survey will be administered. This second follow-up survey will collect a similar set of outcome data as the first. This will allow an examination of whether the impacts of the program changed over time and whether changes in self-regulation skills were associated with changes in employment and self-sufficiency outcomes. </w:t>
      </w:r>
      <w:r w:rsidR="007D03CD">
        <w:t>Request for c</w:t>
      </w:r>
      <w:r w:rsidR="00117EB6" w:rsidRPr="00117EB6">
        <w:t xml:space="preserve">learance for </w:t>
      </w:r>
      <w:r w:rsidR="00117EB6">
        <w:t>the second follow-up survey</w:t>
      </w:r>
      <w:r w:rsidR="00117EB6" w:rsidRPr="00117EB6">
        <w:t xml:space="preserve"> will be submitted under a separate ICR.</w:t>
      </w:r>
    </w:p>
    <w:p w14:paraId="3E8CE236" w14:textId="77777777" w:rsidR="00CC2132" w:rsidRDefault="00CC2132" w:rsidP="004453F8">
      <w:pPr>
        <w:pStyle w:val="NormalSS"/>
        <w:ind w:firstLine="0"/>
      </w:pPr>
      <w:r w:rsidRPr="00345119">
        <w:rPr>
          <w:b/>
        </w:rPr>
        <w:t>Staff reports of program service receipt.</w:t>
      </w:r>
      <w:r>
        <w:t xml:space="preserve"> Staff members will need to enter data into RAPTER on participants’ service receipt throughout the study period. To avoid recall error, they will </w:t>
      </w:r>
      <w:r w:rsidR="007D03CD">
        <w:t>be</w:t>
      </w:r>
      <w:r>
        <w:t xml:space="preserve"> asked to enter the information into RAPTER immediately after the service is provided. These repeated entries will provide complete information on the participants’ service receipt.</w:t>
      </w:r>
    </w:p>
    <w:p w14:paraId="3DCEFDD2" w14:textId="3DDCE4B3" w:rsidR="00CC2132" w:rsidRPr="00E4201C" w:rsidRDefault="00CC2132" w:rsidP="00CC2132">
      <w:pPr>
        <w:pStyle w:val="NormalSS"/>
        <w:ind w:firstLine="0"/>
        <w:rPr>
          <w:szCs w:val="24"/>
        </w:rPr>
      </w:pPr>
      <w:r w:rsidRPr="00E4201C">
        <w:rPr>
          <w:b/>
          <w:szCs w:val="24"/>
        </w:rPr>
        <w:t>Video recordings of coaching sessions.</w:t>
      </w:r>
      <w:r>
        <w:rPr>
          <w:b/>
          <w:szCs w:val="24"/>
        </w:rPr>
        <w:t xml:space="preserve"> </w:t>
      </w:r>
      <w:r w:rsidRPr="00F50D83">
        <w:rPr>
          <w:szCs w:val="24"/>
        </w:rPr>
        <w:t>Some coaches and participants will be video</w:t>
      </w:r>
      <w:r w:rsidR="009A69ED">
        <w:rPr>
          <w:szCs w:val="24"/>
        </w:rPr>
        <w:t>-</w:t>
      </w:r>
      <w:r w:rsidRPr="00F50D83">
        <w:rPr>
          <w:szCs w:val="24"/>
        </w:rPr>
        <w:t>recorded multiple times.</w:t>
      </w:r>
      <w:r w:rsidRPr="00142B3B">
        <w:rPr>
          <w:szCs w:val="24"/>
        </w:rPr>
        <w:t xml:space="preserve"> </w:t>
      </w:r>
      <w:r w:rsidRPr="00F50D83">
        <w:rPr>
          <w:szCs w:val="24"/>
        </w:rPr>
        <w:t>Multiple recordings of each coach will provide more information on how his or her coaching reflects training</w:t>
      </w:r>
      <w:r w:rsidR="001A62BB">
        <w:rPr>
          <w:szCs w:val="24"/>
        </w:rPr>
        <w:t xml:space="preserve"> received</w:t>
      </w:r>
      <w:r w:rsidR="009A69ED">
        <w:rPr>
          <w:szCs w:val="24"/>
        </w:rPr>
        <w:t xml:space="preserve"> over time</w:t>
      </w:r>
      <w:r w:rsidRPr="00F50D83">
        <w:rPr>
          <w:szCs w:val="24"/>
        </w:rPr>
        <w:t>.</w:t>
      </w:r>
      <w:r w:rsidR="006D0AC1">
        <w:rPr>
          <w:szCs w:val="24"/>
        </w:rPr>
        <w:t xml:space="preserve"> </w:t>
      </w:r>
    </w:p>
    <w:p w14:paraId="48EC30B6" w14:textId="77777777" w:rsidR="00CC2132" w:rsidRPr="0072204D" w:rsidRDefault="00CC2132" w:rsidP="00B9279C">
      <w:pPr>
        <w:keepNext/>
        <w:spacing w:before="360" w:after="120"/>
        <w:rPr>
          <w:b/>
        </w:rPr>
      </w:pPr>
      <w:r>
        <w:rPr>
          <w:b/>
        </w:rPr>
        <w:t xml:space="preserve">A7. </w:t>
      </w:r>
      <w:r w:rsidRPr="0072204D">
        <w:rPr>
          <w:b/>
        </w:rPr>
        <w:t>Special Circumstances</w:t>
      </w:r>
    </w:p>
    <w:p w14:paraId="2815A4A3" w14:textId="77777777" w:rsidR="00CC2132" w:rsidRDefault="00CC2132" w:rsidP="004453F8">
      <w:pPr>
        <w:pStyle w:val="NormalSS"/>
        <w:ind w:firstLine="0"/>
      </w:pPr>
      <w:r w:rsidRPr="00F10B7E">
        <w:t>There are no special circumstances for the proposed data collection efforts.</w:t>
      </w:r>
    </w:p>
    <w:p w14:paraId="6159D7FB" w14:textId="77777777" w:rsidR="00CC2132" w:rsidRDefault="00CC2132" w:rsidP="00B9279C">
      <w:pPr>
        <w:keepNext/>
        <w:spacing w:before="360" w:after="120"/>
        <w:rPr>
          <w:b/>
        </w:rPr>
      </w:pPr>
      <w:r w:rsidRPr="000D53DF">
        <w:rPr>
          <w:b/>
        </w:rPr>
        <w:t>A8. Federal Register Notice and Consultation</w:t>
      </w:r>
    </w:p>
    <w:p w14:paraId="4EBF9F0F" w14:textId="77777777" w:rsidR="00CC2132" w:rsidRPr="00B91D97" w:rsidRDefault="00CC2132" w:rsidP="00CC2132">
      <w:pPr>
        <w:spacing w:after="60"/>
        <w:rPr>
          <w:b/>
          <w:i/>
        </w:rPr>
      </w:pPr>
      <w:r w:rsidRPr="004B63ED">
        <w:rPr>
          <w:b/>
          <w:i/>
        </w:rPr>
        <w:t>Federal Register Notice and Comments</w:t>
      </w:r>
    </w:p>
    <w:p w14:paraId="2845EB5A" w14:textId="25BB4947" w:rsidR="00CC2132" w:rsidRDefault="00CC2132" w:rsidP="004453F8">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C250B8">
        <w:t xml:space="preserve"> </w:t>
      </w:r>
      <w:r w:rsidRPr="001E1086">
        <w:t xml:space="preserve">This notice was published on </w:t>
      </w:r>
      <w:r w:rsidR="007B1FE0">
        <w:t>June 26, 2017, Volume 82, Number 121, pages 28856-28857,</w:t>
      </w:r>
      <w:r w:rsidRPr="003560C5">
        <w:t xml:space="preserve"> and provided a </w:t>
      </w:r>
      <w:r w:rsidR="005C528A">
        <w:t>60</w:t>
      </w:r>
      <w:r w:rsidRPr="003560C5">
        <w:t>-day period for public comment.</w:t>
      </w:r>
      <w:r w:rsidR="00C250B8">
        <w:t xml:space="preserve"> </w:t>
      </w:r>
      <w:r w:rsidRPr="003560C5">
        <w:t xml:space="preserve">Attachment </w:t>
      </w:r>
      <w:r w:rsidR="00511EFD">
        <w:t>H</w:t>
      </w:r>
      <w:r>
        <w:t xml:space="preserve"> provides a copy of this notice</w:t>
      </w:r>
      <w:r w:rsidRPr="003560C5">
        <w:t>.</w:t>
      </w:r>
      <w:r w:rsidR="00C250B8">
        <w:t xml:space="preserve"> </w:t>
      </w:r>
      <w:r w:rsidRPr="003560C5">
        <w:t>During the notice and comment period</w:t>
      </w:r>
      <w:r w:rsidRPr="00EF3B65">
        <w:t xml:space="preserve">, </w:t>
      </w:r>
      <w:r w:rsidR="00F55A50" w:rsidRPr="004402A9">
        <w:t xml:space="preserve">no </w:t>
      </w:r>
      <w:r w:rsidRPr="004402A9">
        <w:t>comments were</w:t>
      </w:r>
      <w:r>
        <w:t xml:space="preserve"> received.</w:t>
      </w:r>
      <w:r w:rsidRPr="003560C5">
        <w:t xml:space="preserve"> </w:t>
      </w:r>
      <w:r>
        <w:t>The comments and the responses to the comments are included in Attachment</w:t>
      </w:r>
      <w:r w:rsidR="0017003D">
        <w:t xml:space="preserve"> </w:t>
      </w:r>
      <w:r w:rsidR="00511EFD">
        <w:t>H</w:t>
      </w:r>
      <w:r>
        <w:t>.</w:t>
      </w:r>
    </w:p>
    <w:p w14:paraId="1D629A90" w14:textId="77777777" w:rsidR="00CC2132" w:rsidRPr="00B91D97" w:rsidRDefault="00CC2132" w:rsidP="00CC2132">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14:paraId="6AD048FF" w14:textId="77777777" w:rsidR="00CC2132" w:rsidRDefault="00CC2132" w:rsidP="004453F8">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which clearance is requested.</w:t>
      </w:r>
    </w:p>
    <w:p w14:paraId="538D51CD" w14:textId="77777777" w:rsidR="00CC2132" w:rsidRPr="005D0681" w:rsidRDefault="00CC2132" w:rsidP="00CC2132">
      <w:pPr>
        <w:rPr>
          <w:b/>
        </w:rPr>
      </w:pPr>
      <w:r>
        <w:rPr>
          <w:b/>
        </w:rPr>
        <w:t>OPRE</w:t>
      </w:r>
    </w:p>
    <w:p w14:paraId="6F88065A" w14:textId="0DA7F3F5" w:rsidR="00CC2132" w:rsidRDefault="00CC2132" w:rsidP="00CC2132">
      <w:r>
        <w:t>Hilary Forster</w:t>
      </w:r>
      <w:r w:rsidR="00C92DA5">
        <w:t>, Senior Social Science Research Analyst</w:t>
      </w:r>
    </w:p>
    <w:p w14:paraId="5068A594" w14:textId="7F46C39C" w:rsidR="00CC2132" w:rsidRDefault="00CC2132" w:rsidP="00CC2132">
      <w:r>
        <w:t>Victoria Kabak</w:t>
      </w:r>
      <w:r w:rsidR="00C92DA5">
        <w:t>, Social Science Research Analyst</w:t>
      </w:r>
    </w:p>
    <w:p w14:paraId="59A4F468" w14:textId="58CB2E0F" w:rsidR="00CC2132" w:rsidRDefault="00CC2132" w:rsidP="00CC2132">
      <w:r>
        <w:t>Gabrielle Newell</w:t>
      </w:r>
      <w:r w:rsidR="007D339A">
        <w:t>, Contract Social Science Research Analyst</w:t>
      </w:r>
    </w:p>
    <w:p w14:paraId="28412B39" w14:textId="77777777" w:rsidR="00CC2132" w:rsidRDefault="00CC2132" w:rsidP="00CC2132"/>
    <w:p w14:paraId="672403B2" w14:textId="77777777" w:rsidR="00CC2132" w:rsidRPr="005D0681" w:rsidRDefault="00CC2132" w:rsidP="00CC2132">
      <w:pPr>
        <w:rPr>
          <w:b/>
        </w:rPr>
      </w:pPr>
      <w:r w:rsidRPr="005D0681">
        <w:rPr>
          <w:b/>
        </w:rPr>
        <w:t>Mathematica Policy Research</w:t>
      </w:r>
    </w:p>
    <w:p w14:paraId="6BAEA345" w14:textId="7D513B9D" w:rsidR="00CC2132" w:rsidRDefault="00CC2132" w:rsidP="00CC2132">
      <w:r>
        <w:t>Dr. Sheena McConnell</w:t>
      </w:r>
      <w:r w:rsidR="00C03BD2">
        <w:t>, Project Director</w:t>
      </w:r>
    </w:p>
    <w:p w14:paraId="25BA8594" w14:textId="3068F617" w:rsidR="00CC2132" w:rsidRDefault="00CC2132" w:rsidP="00CC2132">
      <w:r>
        <w:t>Dr. Quinn Moore</w:t>
      </w:r>
      <w:r w:rsidR="00C03BD2">
        <w:t>, Deputy Project Director</w:t>
      </w:r>
    </w:p>
    <w:p w14:paraId="7FA34DD0" w14:textId="45B5942A" w:rsidR="00CC2132" w:rsidRDefault="00CC2132" w:rsidP="00CC2132">
      <w:r>
        <w:t>Dr. Michelle Der</w:t>
      </w:r>
      <w:r w:rsidR="000E4666">
        <w:t>r</w:t>
      </w:r>
      <w:r w:rsidR="00C03BD2">
        <w:t>, Principal Investigator</w:t>
      </w:r>
    </w:p>
    <w:p w14:paraId="36ED169B" w14:textId="05B2CEFE" w:rsidR="00CC2132" w:rsidRDefault="00CC2132" w:rsidP="00CC2132">
      <w:r>
        <w:t>Shawn Marsh</w:t>
      </w:r>
      <w:r w:rsidR="00C03BD2">
        <w:t>, Survey Director</w:t>
      </w:r>
    </w:p>
    <w:p w14:paraId="4088FD78" w14:textId="77777777" w:rsidR="00CC2132" w:rsidRDefault="00CC2132" w:rsidP="00CC2132"/>
    <w:p w14:paraId="6270B12B" w14:textId="77777777" w:rsidR="00CC2132" w:rsidRPr="005D0681" w:rsidRDefault="00CC2132" w:rsidP="00CC2132">
      <w:pPr>
        <w:rPr>
          <w:b/>
        </w:rPr>
      </w:pPr>
      <w:r w:rsidRPr="005D0681">
        <w:rPr>
          <w:b/>
        </w:rPr>
        <w:t>Abt Associates</w:t>
      </w:r>
    </w:p>
    <w:p w14:paraId="1849B0E4" w14:textId="008E7C48" w:rsidR="00CC2132" w:rsidRDefault="000E4666" w:rsidP="00CC2132">
      <w:r>
        <w:t>Dr. Alan Werner</w:t>
      </w:r>
      <w:r w:rsidR="00C03BD2">
        <w:t>, Principal Investigator</w:t>
      </w:r>
    </w:p>
    <w:p w14:paraId="5E13CE61" w14:textId="754282F6" w:rsidR="00CC2132" w:rsidRDefault="00CC2132" w:rsidP="00CC2132">
      <w:r>
        <w:t xml:space="preserve">Dr. </w:t>
      </w:r>
      <w:r w:rsidR="00117EB6">
        <w:t>Bethany Borland</w:t>
      </w:r>
      <w:r w:rsidR="00C03BD2">
        <w:t>, Senior Analyst</w:t>
      </w:r>
    </w:p>
    <w:p w14:paraId="38E137E1" w14:textId="77777777" w:rsidR="00CC2132" w:rsidRDefault="00CC2132" w:rsidP="00CC2132"/>
    <w:p w14:paraId="33298802" w14:textId="77777777" w:rsidR="00CC2132" w:rsidRDefault="00CC2132" w:rsidP="00CC2132">
      <w:r>
        <w:rPr>
          <w:b/>
        </w:rPr>
        <w:t>University of Chicago</w:t>
      </w:r>
    </w:p>
    <w:p w14:paraId="5B538353" w14:textId="5E3E6B36" w:rsidR="00CC2132" w:rsidRPr="00B70D31" w:rsidRDefault="00CC2132" w:rsidP="00CC2132">
      <w:r>
        <w:t>Dr. James Heckman</w:t>
      </w:r>
      <w:r w:rsidR="00C03BD2">
        <w:t xml:space="preserve">, </w:t>
      </w:r>
      <w:r w:rsidR="00A15E8F">
        <w:t xml:space="preserve">Measurement </w:t>
      </w:r>
      <w:r w:rsidR="00C03BD2">
        <w:t>Expert</w:t>
      </w:r>
    </w:p>
    <w:p w14:paraId="2DE1F5BF" w14:textId="77777777" w:rsidR="00CC2132" w:rsidRDefault="00CC2132" w:rsidP="00B9279C">
      <w:pPr>
        <w:keepNext/>
        <w:spacing w:before="360" w:after="120"/>
        <w:rPr>
          <w:b/>
        </w:rPr>
      </w:pPr>
      <w:r>
        <w:rPr>
          <w:b/>
        </w:rPr>
        <w:t>A9. Incentives for</w:t>
      </w:r>
      <w:r w:rsidRPr="0072204D">
        <w:rPr>
          <w:b/>
        </w:rPr>
        <w:t xml:space="preserve"> Respondents</w:t>
      </w:r>
    </w:p>
    <w:p w14:paraId="509D7E1F" w14:textId="009FE262" w:rsidR="00CC2132" w:rsidRDefault="00897038" w:rsidP="006215BD">
      <w:r>
        <w:t>T</w:t>
      </w:r>
      <w:r w:rsidR="00C3253A">
        <w:t>he Office of Management and Budget</w:t>
      </w:r>
      <w:r>
        <w:t xml:space="preserve">’s </w:t>
      </w:r>
      <w:r w:rsidR="00C3253A">
        <w:t>Office of Information and Regulatory Affairs</w:t>
      </w:r>
      <w:r>
        <w:t xml:space="preserve"> has approved </w:t>
      </w:r>
      <w:r w:rsidR="00730FD1">
        <w:t>incentives</w:t>
      </w:r>
      <w:r w:rsidR="00117B10" w:rsidRPr="00992DD1">
        <w:t xml:space="preserve"> </w:t>
      </w:r>
      <w:r>
        <w:t xml:space="preserve">for participants in past ACF studies for a mix of reasons, including </w:t>
      </w:r>
      <w:r w:rsidR="00117B10" w:rsidRPr="00992DD1">
        <w:t xml:space="preserve">to </w:t>
      </w:r>
      <w:r w:rsidR="00644272">
        <w:t xml:space="preserve">increase survey response rates, reduce differential nonresponse between the study research groups, </w:t>
      </w:r>
      <w:r w:rsidR="00117B10" w:rsidRPr="00992DD1">
        <w:t>reduce survey costs, and increase ongoing participation of respondents across multiple years of follow-up</w:t>
      </w:r>
      <w:r w:rsidR="00F135C6" w:rsidRPr="00992DD1">
        <w:t>.</w:t>
      </w:r>
      <w:r w:rsidR="00F135C6">
        <w:t xml:space="preserve"> </w:t>
      </w:r>
      <w:r>
        <w:t>In this study, we propose to offer r</w:t>
      </w:r>
      <w:r w:rsidR="00F135C6">
        <w:t xml:space="preserve">espondents </w:t>
      </w:r>
      <w:r w:rsidR="00730FD1">
        <w:t>incentives</w:t>
      </w:r>
      <w:r w:rsidR="00CC2132" w:rsidRPr="003560C5">
        <w:t xml:space="preserve"> for </w:t>
      </w:r>
      <w:r>
        <w:t xml:space="preserve">only two of the data collection activities discussed above: </w:t>
      </w:r>
      <w:r w:rsidR="00CC2132" w:rsidRPr="003560C5">
        <w:t xml:space="preserve">the follow-up survey and </w:t>
      </w:r>
      <w:r w:rsidR="00CC2132">
        <w:t>an</w:t>
      </w:r>
      <w:r w:rsidR="00CC2132" w:rsidRPr="003560C5">
        <w:t xml:space="preserve"> in-depth </w:t>
      </w:r>
      <w:r w:rsidR="00CC2132">
        <w:t>participant</w:t>
      </w:r>
      <w:r w:rsidR="00CC2132" w:rsidRPr="003560C5">
        <w:t xml:space="preserve"> interview. </w:t>
      </w:r>
      <w:r>
        <w:t xml:space="preserve">We also plan to offer </w:t>
      </w:r>
      <w:r w:rsidR="00851255">
        <w:t>a</w:t>
      </w:r>
      <w:r w:rsidR="00730FD1">
        <w:t>n incentive</w:t>
      </w:r>
      <w:r w:rsidR="00A443E7">
        <w:t xml:space="preserve"> for </w:t>
      </w:r>
      <w:r w:rsidR="00851255">
        <w:t>completing</w:t>
      </w:r>
      <w:r w:rsidR="00A443E7">
        <w:t xml:space="preserve"> the second follow-up survey, which will be described in a</w:t>
      </w:r>
      <w:r w:rsidR="009401ED">
        <w:t xml:space="preserve"> </w:t>
      </w:r>
      <w:r w:rsidR="0048774D">
        <w:t>subsequent</w:t>
      </w:r>
      <w:r w:rsidR="009401ED">
        <w:t xml:space="preserve"> </w:t>
      </w:r>
      <w:r w:rsidR="0048774D">
        <w:t>ICR</w:t>
      </w:r>
      <w:r w:rsidR="00A443E7">
        <w:t xml:space="preserve">. </w:t>
      </w:r>
      <w:r w:rsidR="00C250B8">
        <w:t xml:space="preserve"> </w:t>
      </w:r>
      <w:r>
        <w:t>Specifically, we propose to offer r</w:t>
      </w:r>
      <w:r w:rsidRPr="003560C5">
        <w:t>espondents who participate in the in-depth interviews</w:t>
      </w:r>
      <w:r>
        <w:t>, which are estimated to take 2.5 hours on average,</w:t>
      </w:r>
      <w:r w:rsidRPr="003560C5">
        <w:t xml:space="preserve"> </w:t>
      </w:r>
      <w:r>
        <w:t xml:space="preserve">a </w:t>
      </w:r>
      <w:r w:rsidRPr="003560C5">
        <w:t>$50</w:t>
      </w:r>
      <w:r>
        <w:t xml:space="preserve"> gift card</w:t>
      </w:r>
      <w:r w:rsidRPr="003560C5">
        <w:t>.</w:t>
      </w:r>
      <w:r>
        <w:t xml:space="preserve"> We propose to offer</w:t>
      </w:r>
      <w:r w:rsidR="001D22AC">
        <w:t xml:space="preserve"> respondents who complete the 60 </w:t>
      </w:r>
      <w:r>
        <w:t>min</w:t>
      </w:r>
      <w:r w:rsidR="001D22AC">
        <w:t>ute</w:t>
      </w:r>
      <w:r>
        <w:t xml:space="preserve"> follow</w:t>
      </w:r>
      <w:r w:rsidR="007B67C6">
        <w:t>-</w:t>
      </w:r>
      <w:r>
        <w:t>up interview 6-12 months after the baseline an incentive of $35 if they complete the survey within the first four weeks, but only an incentive of $25 if they complete the s</w:t>
      </w:r>
      <w:r w:rsidR="007B67C6">
        <w:t>urvey</w:t>
      </w:r>
      <w:r>
        <w:t xml:space="preserve"> later. </w:t>
      </w:r>
      <w:r w:rsidR="001D22AC">
        <w:t xml:space="preserve"> The justification for these incentives is provided below.</w:t>
      </w:r>
    </w:p>
    <w:p w14:paraId="15D3002F" w14:textId="77777777" w:rsidR="00897038" w:rsidRDefault="00897038" w:rsidP="006215BD"/>
    <w:p w14:paraId="5ABAD806" w14:textId="7332A444" w:rsidR="00897038" w:rsidRPr="00500C50" w:rsidRDefault="00897038" w:rsidP="006215BD">
      <w:pPr>
        <w:rPr>
          <w:b/>
        </w:rPr>
      </w:pPr>
      <w:r w:rsidRPr="00500C50">
        <w:rPr>
          <w:b/>
        </w:rPr>
        <w:t xml:space="preserve">Background: </w:t>
      </w:r>
    </w:p>
    <w:p w14:paraId="1A5EC30B" w14:textId="77777777" w:rsidR="00897038" w:rsidRPr="003560C5" w:rsidRDefault="00897038" w:rsidP="006215BD"/>
    <w:p w14:paraId="38997EAE" w14:textId="6EB645FF" w:rsidR="00FB535F" w:rsidRDefault="00514862" w:rsidP="004453F8">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00B95264" w:rsidRPr="00B95264">
        <w:t>The risk of bias</w:t>
      </w:r>
      <w:r w:rsidR="002559AD">
        <w:t>ed impact estimates</w:t>
      </w:r>
      <w:r w:rsidR="00B95264" w:rsidRPr="00B95264">
        <w:t xml:space="preserve"> increases with lower overall </w:t>
      </w:r>
      <w:r w:rsidR="009F2596">
        <w:t xml:space="preserve">survey </w:t>
      </w:r>
      <w:r w:rsidR="00B95264" w:rsidRPr="00B95264">
        <w:t xml:space="preserve">response rates or </w:t>
      </w:r>
      <w:r w:rsidR="00ED3BBD">
        <w:t>larger differences in survey</w:t>
      </w:r>
      <w:r w:rsidR="00B95264" w:rsidRPr="00B95264">
        <w:t xml:space="preserve"> response rates </w:t>
      </w:r>
      <w:r w:rsidR="002559AD">
        <w:t xml:space="preserve">between the research groups </w:t>
      </w:r>
      <w:r w:rsidR="00B95264" w:rsidRPr="00B95264">
        <w:t>(What Works Clearinghouse 2013).</w:t>
      </w:r>
      <w:r w:rsidR="00B95264">
        <w:t xml:space="preserve"> </w:t>
      </w:r>
      <w:r w:rsidR="00141B7B">
        <w:t>Thus, i</w:t>
      </w:r>
      <w:r w:rsidR="00FB535F" w:rsidRPr="00FB535F">
        <w:t xml:space="preserve">f </w:t>
      </w:r>
      <w:r w:rsidR="00B95264">
        <w:t xml:space="preserve">low overall response rates or </w:t>
      </w:r>
      <w:r w:rsidR="00141B7B">
        <w:t xml:space="preserve">large </w:t>
      </w:r>
      <w:r w:rsidR="00FB535F" w:rsidRPr="00FB535F">
        <w:t xml:space="preserve">differential response rates </w:t>
      </w:r>
      <w:r w:rsidR="00ED3BBD">
        <w:t xml:space="preserve">between the research groups </w:t>
      </w:r>
      <w:r w:rsidR="00FB535F" w:rsidRP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00FB535F" w:rsidRPr="00FB535F">
        <w:t>cannot be attributed solely to the effect of the coaching intervention</w:t>
      </w:r>
      <w:r w:rsidR="00FB535F">
        <w:t xml:space="preserve"> (What Works Clearinghouse 2013)</w:t>
      </w:r>
      <w:r w:rsidR="00FB535F" w:rsidRPr="00FB535F">
        <w:t>.</w:t>
      </w:r>
      <w:r w:rsidR="00FB535F">
        <w:t xml:space="preserve"> </w:t>
      </w:r>
    </w:p>
    <w:p w14:paraId="52FCB22B" w14:textId="69D0FE23" w:rsidR="00D74990" w:rsidRDefault="009C12AF" w:rsidP="008C6616">
      <w:pPr>
        <w:pStyle w:val="NormalSS"/>
        <w:ind w:firstLine="0"/>
      </w:pPr>
      <w:r>
        <w:t>Concern about the potential for l</w:t>
      </w:r>
      <w:r w:rsidR="007C40D7">
        <w:t xml:space="preserve">ow overall response rates are </w:t>
      </w:r>
      <w:r w:rsidR="00E327A1">
        <w:t>particularly relevant to this study because</w:t>
      </w:r>
      <w:r w:rsidR="007C40D7">
        <w:t xml:space="preserve"> </w:t>
      </w:r>
      <w:r w:rsidR="00E327A1">
        <w:t>t</w:t>
      </w:r>
      <w:r w:rsidR="007C40D7" w:rsidRPr="007C40D7">
        <w:t xml:space="preserve">he coaching interventions </w:t>
      </w:r>
      <w:r>
        <w:t>are designed for unemployed</w:t>
      </w:r>
      <w:r w:rsidR="007C40D7" w:rsidRP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14:paraId="3BB84D97" w14:textId="62257224" w:rsidR="00D74990" w:rsidRDefault="006D6812" w:rsidP="00B95986">
      <w:pPr>
        <w:pStyle w:val="NormalSS"/>
        <w:numPr>
          <w:ilvl w:val="0"/>
          <w:numId w:val="29"/>
        </w:numPr>
      </w:pPr>
      <w:r>
        <w:t>U</w:t>
      </w:r>
      <w:r w:rsidR="007C40D7" w:rsidRPr="007C40D7">
        <w:t>nstable housing</w:t>
      </w:r>
      <w:r w:rsidR="008C6616">
        <w:t xml:space="preserve">. </w:t>
      </w:r>
    </w:p>
    <w:p w14:paraId="506B82CE" w14:textId="1735315E" w:rsidR="00D74990" w:rsidRDefault="006D6812" w:rsidP="00B95986">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008C6616" w:rsidRP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00256F48" w:rsidRPr="00256F48">
        <w:t xml:space="preserve">. </w:t>
      </w:r>
    </w:p>
    <w:p w14:paraId="7A81D415" w14:textId="40A0CD37" w:rsidR="00D74990" w:rsidRDefault="009C12AF" w:rsidP="00B95986">
      <w:pPr>
        <w:pStyle w:val="NormalSS"/>
        <w:numPr>
          <w:ilvl w:val="0"/>
          <w:numId w:val="29"/>
        </w:numPr>
      </w:pPr>
      <w:r>
        <w:t>U</w:t>
      </w:r>
      <w:r w:rsidR="00B439F3" w:rsidRPr="00B439F3">
        <w:t xml:space="preserve">se </w:t>
      </w:r>
      <w:r>
        <w:t xml:space="preserve">of </w:t>
      </w:r>
      <w:r w:rsidR="00B439F3" w:rsidRPr="00B439F3">
        <w:t>an alias to get utility account</w:t>
      </w:r>
      <w:r w:rsidR="00B60547">
        <w:t>s</w:t>
      </w:r>
      <w:r w:rsidR="00B439F3" w:rsidRPr="00B439F3">
        <w:t xml:space="preserve"> because of </w:t>
      </w:r>
      <w:r w:rsidR="00B60547">
        <w:t xml:space="preserve">poor credit and prior </w:t>
      </w:r>
      <w:r w:rsidR="00B439F3" w:rsidRPr="00B439F3">
        <w:t>payment issues</w:t>
      </w:r>
      <w:r w:rsidR="00B60547">
        <w:t>.</w:t>
      </w:r>
    </w:p>
    <w:p w14:paraId="5782B14E" w14:textId="45E29A09" w:rsidR="00B60547" w:rsidRDefault="009C12AF" w:rsidP="00B95986">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14:paraId="19E1209F" w14:textId="0123D4D2" w:rsidR="001D22AC" w:rsidRDefault="006D6812" w:rsidP="001D22AC">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14:paraId="7A196126" w14:textId="56A83888" w:rsidR="009C12AF" w:rsidRPr="00132F4A" w:rsidRDefault="009C12AF" w:rsidP="007C40D7">
      <w:pPr>
        <w:pStyle w:val="NormalSS"/>
        <w:ind w:firstLine="0"/>
        <w:rPr>
          <w:b/>
        </w:rPr>
      </w:pPr>
      <w:r w:rsidRPr="00132F4A">
        <w:rPr>
          <w:b/>
        </w:rPr>
        <w:t xml:space="preserve">Evidence </w:t>
      </w:r>
      <w:r w:rsidR="009F2596" w:rsidRPr="00132F4A">
        <w:rPr>
          <w:b/>
        </w:rPr>
        <w:t>supporting use of incentives</w:t>
      </w:r>
      <w:r w:rsidRPr="00132F4A">
        <w:rPr>
          <w:b/>
        </w:rPr>
        <w:t xml:space="preserve">: </w:t>
      </w:r>
    </w:p>
    <w:p w14:paraId="0B060387" w14:textId="0E8D94C0" w:rsidR="009F2596" w:rsidRDefault="00FC4236" w:rsidP="007C40D7">
      <w:pPr>
        <w:pStyle w:val="NormalSS"/>
        <w:ind w:firstLine="0"/>
      </w:pPr>
      <w:r>
        <w:rPr>
          <w:b/>
        </w:rPr>
        <w:t>Methodological r</w:t>
      </w:r>
      <w:r w:rsidR="00F86FD9" w:rsidRPr="00132F4A">
        <w:rPr>
          <w:b/>
        </w:rPr>
        <w:t xml:space="preserve">esearch on incentives. </w:t>
      </w:r>
      <w:r w:rsidR="009F2596" w:rsidRP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14:paraId="39191B8C" w14:textId="77777777" w:rsidR="00F86FD9" w:rsidRDefault="00F86FD9" w:rsidP="007C40D7">
      <w:pPr>
        <w:pStyle w:val="NormalSS"/>
        <w:ind w:firstLine="0"/>
        <w:rPr>
          <w:szCs w:val="24"/>
        </w:rPr>
      </w:pPr>
      <w:r>
        <w:rPr>
          <w:b/>
        </w:rPr>
        <w:t>Research e</w:t>
      </w:r>
      <w:r w:rsidR="009F2596" w:rsidRPr="00132F4A">
        <w:rPr>
          <w:b/>
        </w:rPr>
        <w:t xml:space="preserve">vidence from ACF studies. </w:t>
      </w:r>
      <w:r w:rsidR="0026577A">
        <w:t>E</w:t>
      </w:r>
      <w:r w:rsidR="0026577A" w:rsidRPr="0026577A">
        <w:t>vidence from an incentive experiment conducted as part of the Self-Employment Training (SET) Demonstration, approved by OMB (</w:t>
      </w:r>
      <w:r w:rsidR="0033698C">
        <w:t xml:space="preserve">OMB control number </w:t>
      </w:r>
      <w:r w:rsidR="0026577A" w:rsidRPr="0026577A">
        <w:t>1205-0505)</w:t>
      </w:r>
      <w:r w:rsidR="0026577A">
        <w:t>, suggests that incentives are a successful strategy for improving response rates for low-income populations</w:t>
      </w:r>
      <w:r w:rsidR="0026577A" w:rsidRPr="0026577A">
        <w:t xml:space="preserve">. </w:t>
      </w:r>
      <w:r w:rsidR="0026577A" w:rsidRPr="00760FD0">
        <w:rPr>
          <w:szCs w:val="24"/>
        </w:rPr>
        <w:t>This experiment assessed the effectiveness of three incentive approaches</w:t>
      </w:r>
      <w:r w:rsidR="0026577A" w:rsidRPr="00C10B2D">
        <w:rPr>
          <w:szCs w:val="24"/>
        </w:rPr>
        <w:t xml:space="preserve">: (1) </w:t>
      </w:r>
      <w:r w:rsidR="00A507C5">
        <w:rPr>
          <w:szCs w:val="24"/>
        </w:rPr>
        <w:t xml:space="preserve">offering a </w:t>
      </w:r>
      <w:r w:rsidR="0026577A" w:rsidRPr="00C10B2D">
        <w:rPr>
          <w:szCs w:val="24"/>
        </w:rPr>
        <w:t xml:space="preserve">standard incentive of $25; (2) </w:t>
      </w:r>
      <w:r w:rsidR="00A507C5">
        <w:rPr>
          <w:szCs w:val="24"/>
        </w:rPr>
        <w:t xml:space="preserve">offering a </w:t>
      </w:r>
      <w:r w:rsidR="0026577A" w:rsidRPr="00C10B2D">
        <w:rPr>
          <w:szCs w:val="24"/>
        </w:rPr>
        <w:t>two-tiered incentive, with an incentive of $50 if respondents completed an 18</w:t>
      </w:r>
      <w:r w:rsidR="00A507C5">
        <w:rPr>
          <w:szCs w:val="24"/>
        </w:rPr>
        <w:t>-</w:t>
      </w:r>
      <w:r w:rsidR="0026577A" w:rsidRPr="00C10B2D">
        <w:rPr>
          <w:szCs w:val="24"/>
        </w:rPr>
        <w:t>month follow-up survey within the first four weeks and $25 if respondents completed the survey after four weeks; or (3) no incentive.</w:t>
      </w:r>
      <w:r w:rsidR="0026577A" w:rsidRPr="00760FD0">
        <w:rPr>
          <w:szCs w:val="24"/>
        </w:rPr>
        <w:t xml:space="preserve"> </w:t>
      </w:r>
    </w:p>
    <w:p w14:paraId="4B9EFEF5" w14:textId="4972721B" w:rsidR="00DF794D" w:rsidRDefault="00F86FD9" w:rsidP="007C40D7">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0026577A" w:rsidRPr="0026577A">
        <w:t xml:space="preserve">his experiment resulted in a 73 percent </w:t>
      </w:r>
      <w:r>
        <w:t xml:space="preserve">overall </w:t>
      </w:r>
      <w:r w:rsidR="0026577A" w:rsidRPr="0026577A">
        <w:t>response rate</w:t>
      </w:r>
      <w:r w:rsidR="007B67C6">
        <w:t xml:space="preserve"> for</w:t>
      </w:r>
      <w:r w:rsidR="0026577A" w:rsidRPr="0026577A">
        <w:t xml:space="preserve"> </w:t>
      </w:r>
      <w:r>
        <w:t xml:space="preserve">those in the </w:t>
      </w:r>
      <w:r w:rsidR="0026577A" w:rsidRPr="0026577A">
        <w:t>two-tiered incentive</w:t>
      </w:r>
      <w:r>
        <w:t xml:space="preserve"> group and a 64 percent response rate for those in the standard incentive group. The response rate for sample members who were not offered an incentive was</w:t>
      </w:r>
      <w:r w:rsidR="006D6812">
        <w:t xml:space="preserve"> </w:t>
      </w:r>
      <w:r w:rsidR="006D6812" w:rsidRPr="0026577A">
        <w:t>37 percent</w:t>
      </w:r>
      <w:r w:rsidR="0026577A" w:rsidRP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00DF794D" w:rsidRPr="00DF794D">
        <w:t xml:space="preserve"> percent</w:t>
      </w:r>
      <w:r w:rsidR="00DF794D">
        <w:t>age points</w:t>
      </w:r>
      <w:r w:rsidR="00DF794D" w:rsidRPr="00DF794D">
        <w:t xml:space="preserve"> for the </w:t>
      </w:r>
      <w:r w:rsidR="00ED3BBD">
        <w:t>standard</w:t>
      </w:r>
      <w:r w:rsidR="00DF794D" w:rsidRPr="00DF794D">
        <w:t xml:space="preserve"> incentive group (</w:t>
      </w:r>
      <w:r w:rsidR="00DF794D">
        <w:t>67</w:t>
      </w:r>
      <w:r w:rsidR="00DF794D" w:rsidRPr="00DF794D">
        <w:t xml:space="preserve"> percent for the treatment </w:t>
      </w:r>
      <w:r w:rsidR="00DF794D">
        <w:t xml:space="preserve">group </w:t>
      </w:r>
      <w:r w:rsidR="00ED3BBD">
        <w:t>versus 61</w:t>
      </w:r>
      <w:r w:rsidR="00DF794D" w:rsidRP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00DF794D" w:rsidRPr="00DF794D">
        <w:t>percentage points (</w:t>
      </w:r>
      <w:r w:rsidR="00DF794D">
        <w:t>55</w:t>
      </w:r>
      <w:r w:rsidR="00DF794D" w:rsidRPr="00DF794D">
        <w:t xml:space="preserve"> percent for the treatment group versus </w:t>
      </w:r>
      <w:r w:rsidR="00DF794D">
        <w:t>19</w:t>
      </w:r>
      <w:r w:rsidR="00DF794D" w:rsidRPr="00DF794D">
        <w:t xml:space="preserve"> percent in the control group)</w:t>
      </w:r>
      <w:r w:rsidR="00DF794D">
        <w:t xml:space="preserve">. </w:t>
      </w:r>
    </w:p>
    <w:p w14:paraId="6D16F79F" w14:textId="58794F30" w:rsidR="003B7793" w:rsidRPr="00BC0A05" w:rsidRDefault="003B7793" w:rsidP="007C40D7">
      <w:pPr>
        <w:pStyle w:val="NormalSS"/>
        <w:ind w:firstLine="0"/>
      </w:pPr>
    </w:p>
    <w:p w14:paraId="098A50C1" w14:textId="482C745F" w:rsidR="008C739B" w:rsidRDefault="008C739B" w:rsidP="008C739B">
      <w:pPr>
        <w:pStyle w:val="NormalSS"/>
        <w:ind w:firstLine="0"/>
      </w:pPr>
    </w:p>
    <w:p w14:paraId="30AB881B" w14:textId="40DFC372" w:rsidR="00B60FAE" w:rsidRDefault="00B60FAE" w:rsidP="008C739B">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14:paraId="0EAA1F05" w14:textId="170C0687" w:rsidR="00DC488B" w:rsidRDefault="00DC488B" w:rsidP="008C739B">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14:paraId="7CB00CE5" w14:textId="7E4A0BFA" w:rsidR="001D7FF7" w:rsidRDefault="00DC488B" w:rsidP="00621CE2">
      <w:pPr>
        <w:pStyle w:val="NormalSS"/>
        <w:ind w:firstLine="0"/>
      </w:pPr>
      <w:r>
        <w:t xml:space="preserve">In addition to determining whether the study requires use of incentives, we must determine the structure that the incentives will take. </w:t>
      </w:r>
      <w:r w:rsidR="00524987">
        <w:t>W</w:t>
      </w:r>
      <w:r w:rsidR="008C739B">
        <w:t xml:space="preserve">e </w:t>
      </w:r>
      <w:r w:rsidR="001D22AC">
        <w:t xml:space="preserve">propose </w:t>
      </w:r>
      <w:r w:rsidR="008C739B">
        <w:t>us</w:t>
      </w:r>
      <w:r w:rsidR="001D22AC">
        <w:t>ing</w:t>
      </w:r>
      <w:r w:rsidR="00621CE2" w:rsidRPr="003560C5">
        <w:t xml:space="preserve"> a</w:t>
      </w:r>
      <w:r w:rsidR="001B7970">
        <w:t xml:space="preserve"> </w:t>
      </w:r>
      <w:r w:rsidR="00621CE2" w:rsidRPr="003560C5">
        <w:t xml:space="preserve">two-tiered </w:t>
      </w:r>
      <w:r w:rsidR="008C739B">
        <w:t xml:space="preserve">incentive </w:t>
      </w:r>
      <w:r w:rsidR="00621CE2">
        <w:t>approach</w:t>
      </w:r>
      <w:r w:rsidR="00621CE2" w:rsidRPr="003560C5">
        <w:t xml:space="preserve"> for the follow-up survey</w:t>
      </w:r>
      <w:r w:rsidR="00254A44">
        <w:t>s</w:t>
      </w:r>
      <w:r w:rsidR="00621CE2" w:rsidRPr="003560C5">
        <w:t>.</w:t>
      </w:r>
      <w:r w:rsidR="004D0441">
        <w:rPr>
          <w:rStyle w:val="FootnoteReference"/>
        </w:rPr>
        <w:footnoteReference w:id="2"/>
      </w:r>
      <w:r w:rsidR="00621CE2" w:rsidRPr="003560C5">
        <w:t xml:space="preserve"> We w</w:t>
      </w:r>
      <w:r w:rsidR="001D22AC">
        <w:t>ould</w:t>
      </w:r>
      <w:r w:rsidR="00621CE2" w:rsidRPr="003560C5">
        <w:t xml:space="preserve"> offer </w:t>
      </w:r>
      <w:r w:rsidR="00621CE2">
        <w:t xml:space="preserve">a </w:t>
      </w:r>
      <w:r w:rsidR="00621CE2" w:rsidRPr="003560C5">
        <w:t>$35</w:t>
      </w:r>
      <w:r w:rsidR="00621CE2">
        <w:t xml:space="preserve"> gift card </w:t>
      </w:r>
      <w:r w:rsidR="00621CE2" w:rsidRPr="003560C5">
        <w:t xml:space="preserve">to those who complete the survey, either online or by telephone, within the first four weeks </w:t>
      </w:r>
      <w:r w:rsidR="00621CE2">
        <w:t xml:space="preserve">after </w:t>
      </w:r>
      <w:r w:rsidR="00B60FAE">
        <w:t>being first asked to complete</w:t>
      </w:r>
      <w:r w:rsidR="00621CE2">
        <w:t xml:space="preserve"> the survey</w:t>
      </w:r>
      <w:r w:rsidR="00621CE2" w:rsidRPr="003560C5">
        <w:t xml:space="preserve">; respondents will receive </w:t>
      </w:r>
      <w:r w:rsidR="00621CE2">
        <w:t xml:space="preserve">a </w:t>
      </w:r>
      <w:r w:rsidR="00621CE2" w:rsidRPr="003560C5">
        <w:t>$25</w:t>
      </w:r>
      <w:r w:rsidR="00621CE2">
        <w:t xml:space="preserve"> gift card </w:t>
      </w:r>
      <w:r w:rsidR="00621CE2" w:rsidRPr="003560C5">
        <w:t xml:space="preserve">if they complete the survey </w:t>
      </w:r>
      <w:r w:rsidR="00621CE2" w:rsidRPr="002F3A6E">
        <w:t>after four weeks</w:t>
      </w:r>
      <w:r w:rsidR="002F6353" w:rsidRPr="002F3A6E">
        <w:t xml:space="preserve">. </w:t>
      </w:r>
      <w:r w:rsidR="002F6353" w:rsidRPr="00097E78">
        <w:t>A key aim of this</w:t>
      </w:r>
      <w:r w:rsidR="002F6353" w:rsidRPr="002F3A6E">
        <w:t xml:space="preserve"> “early bird” approach is reducing survey </w:t>
      </w:r>
      <w:r w:rsidR="001D22AC">
        <w:t xml:space="preserve">administration </w:t>
      </w:r>
      <w:r w:rsidR="002F6353" w:rsidRPr="002F3A6E">
        <w:t>costs by encouraging low-cost online survey completion and reducing the need for costly location efforts</w:t>
      </w:r>
      <w:r w:rsidR="00621CE2" w:rsidRPr="002F3A6E">
        <w:t xml:space="preserve">. </w:t>
      </w:r>
      <w:r w:rsidR="00E14F35">
        <w:t>We propose using t</w:t>
      </w:r>
      <w:r w:rsidR="00817671">
        <w:t>he two-tiered incentive</w:t>
      </w:r>
      <w:r w:rsidR="00817671" w:rsidRPr="00817671">
        <w:t xml:space="preserve"> model based on past experience from related studies, which observed lower survey costs due to reduced need for mail reminders, locating, </w:t>
      </w:r>
      <w:r w:rsidR="00DF12A4">
        <w:t xml:space="preserve">and </w:t>
      </w:r>
      <w:r w:rsidR="00817671" w:rsidRPr="00817671">
        <w:t xml:space="preserve">reminder calls. </w:t>
      </w:r>
      <w:r w:rsidR="00886673">
        <w:t>We anticipate that</w:t>
      </w:r>
      <w:r w:rsidR="007E1F52">
        <w:t xml:space="preserve"> using an incentive </w:t>
      </w:r>
      <w:r w:rsidR="00886673">
        <w:t>will help us achieve our response rate target of 80 percent</w:t>
      </w:r>
      <w:r w:rsidR="007E1F52">
        <w:t>. Using a two-tiered incentive structure will facilitate shorter data collection times and contain data collection costs</w:t>
      </w:r>
      <w:r w:rsidR="00886673">
        <w:t xml:space="preserve">. </w:t>
      </w:r>
    </w:p>
    <w:p w14:paraId="29058281" w14:textId="23A7DABD" w:rsidR="001D7FF7" w:rsidRDefault="001D7FF7" w:rsidP="00621CE2">
      <w:pPr>
        <w:pStyle w:val="NormalSS"/>
        <w:ind w:firstLine="0"/>
      </w:pPr>
      <w:r w:rsidRPr="00132F4A">
        <w:rPr>
          <w:b/>
        </w:rPr>
        <w:t xml:space="preserve">Research evidence from ACF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14:paraId="66A44381" w14:textId="77777777" w:rsidR="00CE154D" w:rsidRDefault="004D664D" w:rsidP="00621CE2">
      <w:pPr>
        <w:pStyle w:val="NormalSS"/>
        <w:ind w:firstLine="0"/>
      </w:pPr>
      <w:r>
        <w:t xml:space="preserve">The results of the </w:t>
      </w:r>
      <w:r w:rsidR="001D7FF7" w:rsidRPr="001D7FF7">
        <w:t xml:space="preserve">SET </w:t>
      </w:r>
      <w:r>
        <w:t xml:space="preserve">incentive </w:t>
      </w:r>
      <w:r w:rsidR="001D7FF7" w:rsidRP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14:paraId="2223C413" w14:textId="37BFC6C6" w:rsidR="0020289B" w:rsidRDefault="004D664D" w:rsidP="00621CE2">
      <w:pPr>
        <w:pStyle w:val="NormalSS"/>
        <w:ind w:firstLine="0"/>
      </w:pPr>
      <w:r>
        <w:t xml:space="preserve">However, the </w:t>
      </w:r>
      <w:r w:rsidR="00CE154D">
        <w:t>SET incentive experiment</w:t>
      </w:r>
      <w:r>
        <w:t xml:space="preserve"> also </w:t>
      </w:r>
      <w:r w:rsidR="001D7FF7" w:rsidRPr="001D7FF7">
        <w:t xml:space="preserve">concluded that two-tiered incentives led to </w:t>
      </w:r>
      <w:r w:rsidR="002933A4">
        <w:t xml:space="preserve">shorter response times, </w:t>
      </w:r>
      <w:r w:rsidR="001D7FF7" w:rsidRP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14:paraId="52CCBFDB" w14:textId="34264ED0" w:rsidR="001D7FF7" w:rsidRDefault="00551652" w:rsidP="00621CE2">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CE154D">
        <w:t xml:space="preserve">Thus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0020289B" w:rsidRPr="0020289B">
        <w:t>$</w:t>
      </w:r>
      <w:r w:rsidR="0020289B">
        <w:t>50</w:t>
      </w:r>
      <w:r w:rsidR="0020289B" w:rsidRPr="0020289B">
        <w:t xml:space="preserve"> for response within the first four weeks)</w:t>
      </w:r>
      <w:r w:rsidR="0020289B">
        <w:t xml:space="preserve">. The final incentive amount is the same ($25 for response after four weeks). </w:t>
      </w:r>
    </w:p>
    <w:p w14:paraId="0D453C79" w14:textId="77777777" w:rsidR="00FC4236" w:rsidRDefault="00083C54" w:rsidP="00621CE2">
      <w:pPr>
        <w:pStyle w:val="NormalSS"/>
        <w:ind w:firstLine="0"/>
      </w:pPr>
      <w:r w:rsidRPr="00083C54">
        <w:t>The YouthBuild evaluation (OMB control number 1205-0503)</w:t>
      </w:r>
      <w:r w:rsidR="009B63F1">
        <w:t>, sponsored by the Department of Labor,</w:t>
      </w:r>
      <w:r>
        <w:t xml:space="preserve"> also incorporated an incentive experiment. </w:t>
      </w:r>
      <w:r w:rsidRPr="00083C54">
        <w:t>This experiment assessed the effectiveness of t</w:t>
      </w:r>
      <w:r>
        <w:t>wo</w:t>
      </w:r>
      <w:r w:rsidRPr="00083C54">
        <w:t xml:space="preserve"> 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14:paraId="08F8C87A" w14:textId="7E87C671" w:rsidR="00FC0B3D" w:rsidRPr="00AA6244" w:rsidRDefault="009B63F1" w:rsidP="00621CE2">
      <w:pPr>
        <w:pStyle w:val="NormalSS"/>
        <w:ind w:firstLine="0"/>
      </w:pPr>
      <w:r w:rsidRPr="00D208FC">
        <w:t>Results from the YouthBuild incentive experiment are consistent with those of the SET incentive experiment</w:t>
      </w:r>
      <w:r w:rsidR="00FC0B3D" w:rsidRPr="00AA6244">
        <w:t xml:space="preserve"> in terms of effects on </w:t>
      </w:r>
      <w:r w:rsidR="00FC0B3D" w:rsidRPr="00483993">
        <w:t>response rate, response time and cost</w:t>
      </w:r>
      <w:r w:rsidRPr="00483993">
        <w:t xml:space="preserve">. </w:t>
      </w:r>
      <w:r w:rsidR="00775A0A">
        <w:t>The i</w:t>
      </w:r>
      <w:r w:rsidR="00FC0B3D" w:rsidRPr="00483993">
        <w:t xml:space="preserve">ncentive structure </w:t>
      </w:r>
      <w:r w:rsidR="00775A0A">
        <w:t xml:space="preserve">slightly increased the </w:t>
      </w:r>
      <w:r w:rsidR="00FC0B3D" w:rsidRPr="00483993">
        <w:t>overall response</w:t>
      </w:r>
      <w:r w:rsidR="00FC0B3D" w:rsidRPr="00D208FC">
        <w:t xml:space="preserve"> rate; sample members in the two-tiered incentive group had an overall response rate of 72 percent compared to 68 percent for the standard incentive group. We do not have data from the Youth</w:t>
      </w:r>
      <w:r w:rsidR="00D208FC">
        <w:t>B</w:t>
      </w:r>
      <w:r w:rsidR="00FC0B3D" w:rsidRPr="00D208FC">
        <w:t>uild incentive experiment on the effect of incentive structure on differential response rates between the research groups.</w:t>
      </w:r>
    </w:p>
    <w:p w14:paraId="606A16F9" w14:textId="39D4E772" w:rsidR="00083C54" w:rsidRPr="00D208FC" w:rsidRDefault="00FC0B3D" w:rsidP="00A058D4">
      <w:pPr>
        <w:pStyle w:val="NormalSS"/>
        <w:ind w:firstLine="0"/>
      </w:pPr>
      <w:r w:rsidRPr="00D208FC">
        <w:t>YouthBuild s</w:t>
      </w:r>
      <w:r w:rsidR="009B63F1" w:rsidRPr="00D208FC">
        <w:t xml:space="preserve">ample members </w:t>
      </w:r>
      <w:r w:rsidRPr="00D208FC">
        <w:t xml:space="preserve">in the </w:t>
      </w:r>
      <w:r w:rsidR="009B63F1" w:rsidRPr="00D208FC">
        <w:t xml:space="preserve">two-tiered incentive </w:t>
      </w:r>
      <w:r w:rsidRPr="00D208FC">
        <w:t xml:space="preserve">group </w:t>
      </w:r>
      <w:r w:rsidR="009B63F1" w:rsidRPr="00D208FC">
        <w:t xml:space="preserve">were 38 percent more likely to respond to the survey within </w:t>
      </w:r>
      <w:r w:rsidR="006A6773">
        <w:t>four</w:t>
      </w:r>
      <w:r w:rsidR="009B63F1" w:rsidRPr="00D208FC">
        <w:t xml:space="preserve"> weeks than those assigned to receive a standard incentive. As a result sample members in the two-tiered incentive group were </w:t>
      </w:r>
      <w:r w:rsidR="00A6607C" w:rsidRPr="00D208FC">
        <w:t>less likely to be</w:t>
      </w:r>
      <w:r w:rsidR="009B63F1" w:rsidRPr="00D208FC">
        <w:t xml:space="preserve"> subject to more labor intensive and costly data collection efforts </w:t>
      </w:r>
      <w:r w:rsidR="00A6607C" w:rsidRPr="00D208FC">
        <w:t>such as</w:t>
      </w:r>
      <w:r w:rsidR="009B63F1" w:rsidRPr="00D208FC">
        <w:t xml:space="preserve"> contacts from telephone interviewers, extensive in-house locating, or ultimately field locating.</w:t>
      </w:r>
      <w:r w:rsidR="00A6607C" w:rsidRPr="00D208FC">
        <w:t xml:space="preserve"> </w:t>
      </w:r>
      <w:r w:rsidRPr="00D208FC">
        <w:t xml:space="preserve">Results from the YouthBuild incentive experiment indicate that final data collection cost estimates were approximately 17 percent lower with two-tiered incentives than with standard incentives, </w:t>
      </w:r>
      <w:r w:rsidR="00A6607C" w:rsidRPr="00D208FC">
        <w:t>despite the fact that the incentives offered under the two-tiered model were larger than those offered under the standard model. As with the SET incentive experiment, we cannot disentangle which aspect of the two-tiered incentive structure</w:t>
      </w:r>
      <w:r w:rsidR="003E4DAF" w:rsidRPr="00D208FC">
        <w:t xml:space="preserve"> </w:t>
      </w:r>
      <w:r w:rsidR="00A058D4" w:rsidRPr="00D208FC">
        <w:t>(incentive value or incentive structure) is</w:t>
      </w:r>
      <w:r w:rsidR="003E4DAF" w:rsidRPr="00D208FC">
        <w:t xml:space="preserve"> responsible for the reported effects of the incentive. </w:t>
      </w:r>
    </w:p>
    <w:p w14:paraId="3FF121CC" w14:textId="397D1818" w:rsidR="004539ED" w:rsidRDefault="00775A0A" w:rsidP="00C25872">
      <w:r>
        <w:t xml:space="preserve">If approved to use the two-tiered incentive structure, </w:t>
      </w:r>
      <w:r w:rsidR="00D32DA7">
        <w:t>a</w:t>
      </w:r>
      <w:r w:rsidR="003E4DAF">
        <w:t>s part of the proposed</w:t>
      </w:r>
      <w:r w:rsidR="004539ED">
        <w:t xml:space="preserve"> study we will collect paradata on </w:t>
      </w:r>
      <w:r w:rsidR="00D32DA7">
        <w:t xml:space="preserve">prevalence of </w:t>
      </w:r>
      <w:r w:rsidR="00A3415D">
        <w:t xml:space="preserve">survey response within 4 weeks (with receipt of the larger, initial incentive amount), </w:t>
      </w:r>
      <w:r w:rsidR="00D32DA7">
        <w:t xml:space="preserve">prevalence of </w:t>
      </w:r>
      <w:r w:rsidR="00A3415D">
        <w:t xml:space="preserve">response after 4 weeks (with receipt of the smaller incentive amount), average time to survey response, and average amount in incentive payment. We will examine response rates and compare the characteristics of respondents and nonrespondents. We will conduct all analysis for the full sample and separately for the </w:t>
      </w:r>
      <w:r w:rsidR="00D32DA7">
        <w:t>treatment</w:t>
      </w:r>
      <w:r w:rsidR="00A3415D">
        <w:t xml:space="preserve"> and control groups.</w:t>
      </w:r>
      <w:r w:rsidR="004539ED">
        <w:t xml:space="preserve"> </w:t>
      </w:r>
      <w:r>
        <w:t>Th</w:t>
      </w:r>
      <w:r w:rsidR="00A3415D">
        <w:t>ese</w:t>
      </w:r>
      <w:r>
        <w:t xml:space="preserve"> data </w:t>
      </w:r>
      <w:r w:rsidR="004539ED">
        <w:t>will help ACF and OMB understand how sample members responded to the two-tiered incentives</w:t>
      </w:r>
      <w:r>
        <w:t xml:space="preserve">, and </w:t>
      </w:r>
      <w:r w:rsidR="004539ED">
        <w:t>could help inform decisions on incentives for future studies.</w:t>
      </w:r>
    </w:p>
    <w:p w14:paraId="676C727D" w14:textId="77777777" w:rsidR="00416E79" w:rsidRDefault="00416E79" w:rsidP="00C25872"/>
    <w:p w14:paraId="7BDF9F2C" w14:textId="77777777" w:rsidR="00416E79" w:rsidRPr="006F445E" w:rsidRDefault="00416E79" w:rsidP="00416E79">
      <w:pPr>
        <w:rPr>
          <w:szCs w:val="20"/>
        </w:rPr>
      </w:pPr>
      <w:r w:rsidRPr="006F445E">
        <w:rPr>
          <w:szCs w:val="20"/>
        </w:rPr>
        <w:t xml:space="preserve">Table A.1 below presents findings from the incentive experiments described above. </w:t>
      </w:r>
    </w:p>
    <w:p w14:paraId="4CEA544B" w14:textId="77777777" w:rsidR="00416E79" w:rsidRDefault="00416E79" w:rsidP="00416E79">
      <w:pPr>
        <w:rPr>
          <w:b/>
          <w:szCs w:val="20"/>
        </w:rPr>
      </w:pPr>
    </w:p>
    <w:p w14:paraId="54B09E15" w14:textId="77777777" w:rsidR="00416E79" w:rsidRPr="00A35B0D" w:rsidRDefault="00416E79" w:rsidP="00416E79">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1547"/>
        <w:gridCol w:w="1392"/>
        <w:gridCol w:w="4161"/>
      </w:tblGrid>
      <w:tr w:rsidR="00416E79" w:rsidRPr="00BD4CFB" w14:paraId="17BBB523" w14:textId="77777777" w:rsidTr="00132F4A">
        <w:tc>
          <w:tcPr>
            <w:tcW w:w="2489" w:type="dxa"/>
            <w:shd w:val="clear" w:color="auto" w:fill="BFBFBF"/>
            <w:vAlign w:val="center"/>
          </w:tcPr>
          <w:p w14:paraId="16AD677E" w14:textId="77777777" w:rsidR="00416E79" w:rsidRPr="00BD4CFB" w:rsidRDefault="00416E79" w:rsidP="001C6874">
            <w:pPr>
              <w:jc w:val="center"/>
              <w:rPr>
                <w:sz w:val="20"/>
                <w:szCs w:val="20"/>
              </w:rPr>
            </w:pPr>
            <w:r>
              <w:rPr>
                <w:sz w:val="20"/>
                <w:szCs w:val="20"/>
              </w:rPr>
              <w:t>Study</w:t>
            </w:r>
          </w:p>
        </w:tc>
        <w:tc>
          <w:tcPr>
            <w:tcW w:w="1510" w:type="dxa"/>
            <w:shd w:val="clear" w:color="auto" w:fill="BFBFBF"/>
            <w:vAlign w:val="center"/>
          </w:tcPr>
          <w:p w14:paraId="15681AC7" w14:textId="77777777" w:rsidR="00416E79" w:rsidRPr="00BD4CFB" w:rsidRDefault="00416E79" w:rsidP="001C6874">
            <w:pPr>
              <w:jc w:val="center"/>
              <w:rPr>
                <w:sz w:val="20"/>
                <w:szCs w:val="20"/>
              </w:rPr>
            </w:pPr>
            <w:r>
              <w:rPr>
                <w:sz w:val="20"/>
                <w:szCs w:val="20"/>
              </w:rPr>
              <w:t>Instrument</w:t>
            </w:r>
          </w:p>
        </w:tc>
        <w:tc>
          <w:tcPr>
            <w:tcW w:w="1359" w:type="dxa"/>
            <w:shd w:val="clear" w:color="auto" w:fill="BFBFBF"/>
            <w:vAlign w:val="center"/>
          </w:tcPr>
          <w:p w14:paraId="55D7FB24" w14:textId="77777777" w:rsidR="00416E79" w:rsidRDefault="00416E79" w:rsidP="001C6874">
            <w:pPr>
              <w:jc w:val="center"/>
              <w:rPr>
                <w:sz w:val="20"/>
                <w:szCs w:val="20"/>
              </w:rPr>
            </w:pPr>
            <w:r>
              <w:rPr>
                <w:sz w:val="20"/>
                <w:szCs w:val="20"/>
              </w:rPr>
              <w:t>Duration</w:t>
            </w:r>
          </w:p>
          <w:p w14:paraId="59CA6C6B" w14:textId="77777777" w:rsidR="00416E79" w:rsidRPr="00BD4CFB" w:rsidRDefault="00416E79" w:rsidP="001C6874">
            <w:pPr>
              <w:jc w:val="center"/>
              <w:rPr>
                <w:sz w:val="20"/>
                <w:szCs w:val="20"/>
              </w:rPr>
            </w:pPr>
            <w:r>
              <w:rPr>
                <w:sz w:val="20"/>
                <w:szCs w:val="20"/>
              </w:rPr>
              <w:t>(minutes)</w:t>
            </w:r>
          </w:p>
        </w:tc>
        <w:tc>
          <w:tcPr>
            <w:tcW w:w="4063" w:type="dxa"/>
            <w:shd w:val="clear" w:color="auto" w:fill="BFBFBF"/>
            <w:vAlign w:val="center"/>
          </w:tcPr>
          <w:p w14:paraId="45AE24A1" w14:textId="77777777" w:rsidR="00416E79" w:rsidRDefault="00416E79" w:rsidP="001C6874">
            <w:pPr>
              <w:jc w:val="center"/>
              <w:rPr>
                <w:sz w:val="20"/>
                <w:szCs w:val="20"/>
              </w:rPr>
            </w:pPr>
            <w:r>
              <w:rPr>
                <w:sz w:val="20"/>
                <w:szCs w:val="20"/>
              </w:rPr>
              <w:t>Response Rate</w:t>
            </w:r>
          </w:p>
          <w:p w14:paraId="44C01393" w14:textId="77777777" w:rsidR="00416E79" w:rsidRPr="00BD4CFB" w:rsidRDefault="00416E79" w:rsidP="001C6874">
            <w:pPr>
              <w:jc w:val="center"/>
              <w:rPr>
                <w:sz w:val="20"/>
                <w:szCs w:val="20"/>
              </w:rPr>
            </w:pPr>
          </w:p>
        </w:tc>
      </w:tr>
      <w:tr w:rsidR="00416E79" w:rsidRPr="00BD4CFB" w14:paraId="77E50E63" w14:textId="77777777" w:rsidTr="00132F4A">
        <w:trPr>
          <w:trHeight w:val="432"/>
        </w:trPr>
        <w:tc>
          <w:tcPr>
            <w:tcW w:w="2489" w:type="dxa"/>
            <w:vAlign w:val="center"/>
          </w:tcPr>
          <w:p w14:paraId="6ACF9AA3" w14:textId="30FF3E9C" w:rsidR="0020289B" w:rsidRDefault="00416E79" w:rsidP="001C6874">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14:paraId="1720C52D" w14:textId="09BB69E8" w:rsidR="00416E79" w:rsidRDefault="004539ED" w:rsidP="001C6874">
            <w:pPr>
              <w:tabs>
                <w:tab w:val="center" w:pos="4320"/>
                <w:tab w:val="right" w:pos="8640"/>
              </w:tabs>
              <w:rPr>
                <w:sz w:val="20"/>
                <w:szCs w:val="20"/>
              </w:rPr>
            </w:pPr>
            <w:r>
              <w:rPr>
                <w:sz w:val="20"/>
                <w:szCs w:val="20"/>
              </w:rPr>
              <w:t>Incentive experiment sample</w:t>
            </w:r>
          </w:p>
          <w:p w14:paraId="5F39116F" w14:textId="77777777" w:rsidR="00416E79" w:rsidRPr="00BD4CFB" w:rsidRDefault="00416E79" w:rsidP="001C6874">
            <w:pPr>
              <w:tabs>
                <w:tab w:val="center" w:pos="4320"/>
                <w:tab w:val="right" w:pos="8640"/>
              </w:tabs>
              <w:rPr>
                <w:sz w:val="20"/>
                <w:szCs w:val="20"/>
              </w:rPr>
            </w:pPr>
            <w:r>
              <w:rPr>
                <w:sz w:val="20"/>
                <w:szCs w:val="20"/>
              </w:rPr>
              <w:t>OMB control #1205-0505</w:t>
            </w:r>
          </w:p>
        </w:tc>
        <w:tc>
          <w:tcPr>
            <w:tcW w:w="1510" w:type="dxa"/>
            <w:vAlign w:val="center"/>
          </w:tcPr>
          <w:p w14:paraId="2B5EB11B" w14:textId="77777777" w:rsidR="00416E79" w:rsidRPr="00403AAB" w:rsidRDefault="00416E79" w:rsidP="001C6874">
            <w:pPr>
              <w:tabs>
                <w:tab w:val="center" w:pos="4320"/>
                <w:tab w:val="right" w:pos="8640"/>
              </w:tabs>
              <w:jc w:val="center"/>
              <w:rPr>
                <w:sz w:val="20"/>
                <w:szCs w:val="20"/>
              </w:rPr>
            </w:pPr>
            <w:r>
              <w:rPr>
                <w:sz w:val="20"/>
                <w:szCs w:val="20"/>
              </w:rPr>
              <w:t>18 month follow-up</w:t>
            </w:r>
          </w:p>
        </w:tc>
        <w:tc>
          <w:tcPr>
            <w:tcW w:w="1359" w:type="dxa"/>
            <w:vAlign w:val="center"/>
          </w:tcPr>
          <w:p w14:paraId="6ABD3438" w14:textId="77777777" w:rsidR="00416E79" w:rsidRPr="00403AAB" w:rsidRDefault="00416E79" w:rsidP="001C6874">
            <w:pPr>
              <w:tabs>
                <w:tab w:val="center" w:pos="4320"/>
                <w:tab w:val="right" w:pos="8640"/>
              </w:tabs>
              <w:jc w:val="center"/>
              <w:rPr>
                <w:sz w:val="20"/>
                <w:szCs w:val="20"/>
              </w:rPr>
            </w:pPr>
            <w:r>
              <w:rPr>
                <w:sz w:val="20"/>
                <w:szCs w:val="20"/>
              </w:rPr>
              <w:t>20</w:t>
            </w:r>
          </w:p>
        </w:tc>
        <w:tc>
          <w:tcPr>
            <w:tcW w:w="4063" w:type="dxa"/>
            <w:vAlign w:val="center"/>
          </w:tcPr>
          <w:p w14:paraId="66668EE9" w14:textId="247700B4" w:rsidR="00416E79" w:rsidRDefault="00716FA1" w:rsidP="00132F4A">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14:paraId="0462B620" w14:textId="6154D92A" w:rsidR="00716FA1" w:rsidRDefault="00716FA1" w:rsidP="00132F4A">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14:paraId="3F28704A" w14:textId="77777777" w:rsidR="00716FA1" w:rsidRDefault="00716FA1" w:rsidP="00132F4A">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14:paraId="7F07EC1D" w14:textId="2BA7631B" w:rsidR="00716FA1" w:rsidRPr="00132F4A" w:rsidRDefault="00716FA1" w:rsidP="00132F4A">
            <w:pPr>
              <w:pStyle w:val="ListParagraph"/>
              <w:numPr>
                <w:ilvl w:val="0"/>
                <w:numId w:val="30"/>
              </w:numPr>
              <w:tabs>
                <w:tab w:val="center" w:pos="4320"/>
                <w:tab w:val="right" w:pos="8640"/>
              </w:tabs>
              <w:spacing w:line="240" w:lineRule="auto"/>
              <w:contextualSpacing w:val="0"/>
              <w:rPr>
                <w:sz w:val="20"/>
              </w:rPr>
            </w:pPr>
            <w:r>
              <w:rPr>
                <w:sz w:val="20"/>
              </w:rPr>
              <w:t>67 percent control group</w:t>
            </w:r>
          </w:p>
          <w:p w14:paraId="07857D41" w14:textId="77777777" w:rsidR="00416E79" w:rsidRDefault="00416E79" w:rsidP="001C6874">
            <w:pPr>
              <w:tabs>
                <w:tab w:val="center" w:pos="4320"/>
                <w:tab w:val="right" w:pos="8640"/>
              </w:tabs>
              <w:jc w:val="center"/>
              <w:rPr>
                <w:sz w:val="20"/>
                <w:szCs w:val="20"/>
              </w:rPr>
            </w:pPr>
          </w:p>
          <w:p w14:paraId="7F7A117F" w14:textId="10319C7C" w:rsidR="00416E79" w:rsidRDefault="00716FA1" w:rsidP="00132F4A">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14:paraId="15218628" w14:textId="598102E1" w:rsidR="00716FA1" w:rsidRPr="00716FA1" w:rsidRDefault="00716FA1" w:rsidP="00716FA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14:paraId="42245D4F" w14:textId="698E84F5" w:rsidR="00716FA1" w:rsidRPr="00716FA1" w:rsidRDefault="00716FA1" w:rsidP="00716FA1">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14:paraId="081C830F" w14:textId="70A80D6F" w:rsidR="00716FA1" w:rsidRPr="00716FA1" w:rsidRDefault="00716FA1" w:rsidP="00716FA1">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14:paraId="5A4D01C9" w14:textId="77777777" w:rsidR="00716FA1" w:rsidRDefault="00716FA1" w:rsidP="00132F4A">
            <w:pPr>
              <w:tabs>
                <w:tab w:val="center" w:pos="4320"/>
                <w:tab w:val="right" w:pos="8640"/>
              </w:tabs>
              <w:rPr>
                <w:sz w:val="20"/>
                <w:szCs w:val="20"/>
              </w:rPr>
            </w:pPr>
          </w:p>
          <w:p w14:paraId="08FE3E1C" w14:textId="77777777" w:rsidR="00416E79" w:rsidRDefault="00416E79" w:rsidP="001C6874">
            <w:pPr>
              <w:tabs>
                <w:tab w:val="center" w:pos="4320"/>
                <w:tab w:val="right" w:pos="8640"/>
              </w:tabs>
              <w:jc w:val="center"/>
              <w:rPr>
                <w:sz w:val="20"/>
                <w:szCs w:val="20"/>
              </w:rPr>
            </w:pPr>
          </w:p>
          <w:p w14:paraId="19B68834" w14:textId="08339E87" w:rsidR="00416E79" w:rsidRDefault="00716FA1" w:rsidP="00132F4A">
            <w:pPr>
              <w:tabs>
                <w:tab w:val="center" w:pos="4320"/>
                <w:tab w:val="right" w:pos="8640"/>
              </w:tabs>
              <w:rPr>
                <w:sz w:val="20"/>
                <w:szCs w:val="20"/>
              </w:rPr>
            </w:pPr>
            <w:r>
              <w:rPr>
                <w:sz w:val="20"/>
                <w:szCs w:val="20"/>
              </w:rPr>
              <w:t>N</w:t>
            </w:r>
            <w:r w:rsidR="00416E79">
              <w:rPr>
                <w:sz w:val="20"/>
                <w:szCs w:val="20"/>
              </w:rPr>
              <w:t>o incentive</w:t>
            </w:r>
            <w:r>
              <w:rPr>
                <w:sz w:val="20"/>
                <w:szCs w:val="20"/>
              </w:rPr>
              <w:t>:</w:t>
            </w:r>
          </w:p>
          <w:p w14:paraId="3DD1365D" w14:textId="4930889E" w:rsidR="00716FA1" w:rsidRPr="00716FA1" w:rsidRDefault="00716FA1" w:rsidP="00716FA1">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14:paraId="1E1F5A4A" w14:textId="277A623D" w:rsidR="00716FA1" w:rsidRPr="00716FA1" w:rsidRDefault="00716FA1" w:rsidP="00716FA1">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14:paraId="33D78DD1" w14:textId="2A5D8A22" w:rsidR="00716FA1" w:rsidRPr="00716FA1" w:rsidRDefault="00716FA1" w:rsidP="00716FA1">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14:paraId="1CA16D26" w14:textId="10E41998" w:rsidR="00716FA1" w:rsidRPr="00403AAB" w:rsidRDefault="00716FA1" w:rsidP="00132F4A">
            <w:pPr>
              <w:tabs>
                <w:tab w:val="center" w:pos="4320"/>
                <w:tab w:val="right" w:pos="8640"/>
              </w:tabs>
              <w:rPr>
                <w:sz w:val="20"/>
                <w:szCs w:val="20"/>
              </w:rPr>
            </w:pPr>
          </w:p>
        </w:tc>
      </w:tr>
      <w:tr w:rsidR="00A058D4" w:rsidRPr="00A058D4" w14:paraId="4B603DC8" w14:textId="77777777" w:rsidTr="00D208FC">
        <w:trPr>
          <w:trHeight w:val="432"/>
        </w:trPr>
        <w:tc>
          <w:tcPr>
            <w:tcW w:w="2489" w:type="dxa"/>
            <w:vAlign w:val="center"/>
          </w:tcPr>
          <w:p w14:paraId="05680102" w14:textId="0C4265DE" w:rsidR="00A058D4" w:rsidRDefault="00A058D4" w:rsidP="00A058D4">
            <w:pPr>
              <w:tabs>
                <w:tab w:val="center" w:pos="4320"/>
                <w:tab w:val="right" w:pos="8640"/>
              </w:tabs>
              <w:rPr>
                <w:sz w:val="20"/>
                <w:szCs w:val="20"/>
              </w:rPr>
            </w:pPr>
            <w:r>
              <w:rPr>
                <w:sz w:val="20"/>
                <w:szCs w:val="20"/>
              </w:rPr>
              <w:t>YouthBuild</w:t>
            </w:r>
            <w:r w:rsidR="00E20CB2">
              <w:rPr>
                <w:sz w:val="20"/>
                <w:szCs w:val="20"/>
              </w:rPr>
              <w:t>,</w:t>
            </w:r>
          </w:p>
          <w:p w14:paraId="2D42F9B0" w14:textId="7D71A7E1" w:rsidR="00E20CB2" w:rsidRPr="00A058D4" w:rsidRDefault="00E20CB2" w:rsidP="00A058D4">
            <w:pPr>
              <w:tabs>
                <w:tab w:val="center" w:pos="4320"/>
                <w:tab w:val="right" w:pos="8640"/>
              </w:tabs>
              <w:rPr>
                <w:sz w:val="20"/>
                <w:szCs w:val="20"/>
              </w:rPr>
            </w:pPr>
            <w:r>
              <w:rPr>
                <w:sz w:val="20"/>
                <w:szCs w:val="20"/>
              </w:rPr>
              <w:t>Incentive experiment sample</w:t>
            </w:r>
          </w:p>
          <w:p w14:paraId="01FB5557" w14:textId="4DB3478A" w:rsidR="00A058D4" w:rsidRPr="00A058D4" w:rsidRDefault="00A058D4" w:rsidP="00A058D4">
            <w:pPr>
              <w:tabs>
                <w:tab w:val="center" w:pos="4320"/>
                <w:tab w:val="right" w:pos="8640"/>
              </w:tabs>
              <w:rPr>
                <w:sz w:val="20"/>
                <w:szCs w:val="20"/>
              </w:rPr>
            </w:pPr>
            <w:r w:rsidRPr="00A058D4">
              <w:rPr>
                <w:sz w:val="20"/>
                <w:szCs w:val="20"/>
              </w:rPr>
              <w:t>OMB control #1205-0503</w:t>
            </w:r>
          </w:p>
        </w:tc>
        <w:tc>
          <w:tcPr>
            <w:tcW w:w="1510" w:type="dxa"/>
            <w:vAlign w:val="center"/>
          </w:tcPr>
          <w:p w14:paraId="22059325" w14:textId="0DCA603A" w:rsidR="00A058D4" w:rsidRPr="00A058D4" w:rsidRDefault="00A058D4" w:rsidP="00132F4A">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14:paraId="4AEAB02F" w14:textId="77777777" w:rsidR="00A058D4" w:rsidRPr="00A058D4" w:rsidRDefault="00A058D4" w:rsidP="00132F4A">
            <w:pPr>
              <w:tabs>
                <w:tab w:val="center" w:pos="4320"/>
                <w:tab w:val="right" w:pos="8640"/>
              </w:tabs>
              <w:jc w:val="center"/>
              <w:rPr>
                <w:sz w:val="20"/>
                <w:szCs w:val="20"/>
              </w:rPr>
            </w:pPr>
            <w:r w:rsidRPr="00A058D4">
              <w:rPr>
                <w:sz w:val="20"/>
                <w:szCs w:val="20"/>
              </w:rPr>
              <w:t>60</w:t>
            </w:r>
          </w:p>
        </w:tc>
        <w:tc>
          <w:tcPr>
            <w:tcW w:w="4063" w:type="dxa"/>
            <w:vAlign w:val="center"/>
          </w:tcPr>
          <w:p w14:paraId="2875DF54" w14:textId="0A6B7D0C" w:rsidR="00A058D4" w:rsidRPr="00A058D4" w:rsidRDefault="00A058D4" w:rsidP="00A058D4">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14:paraId="4D0574B4" w14:textId="6194BB73" w:rsidR="00A058D4" w:rsidRPr="00A058D4" w:rsidRDefault="00222427" w:rsidP="00A058D4">
            <w:pPr>
              <w:numPr>
                <w:ilvl w:val="0"/>
                <w:numId w:val="31"/>
              </w:numPr>
              <w:tabs>
                <w:tab w:val="center" w:pos="4320"/>
                <w:tab w:val="right" w:pos="8640"/>
              </w:tabs>
              <w:rPr>
                <w:sz w:val="20"/>
                <w:szCs w:val="20"/>
              </w:rPr>
            </w:pPr>
            <w:r>
              <w:rPr>
                <w:sz w:val="20"/>
                <w:szCs w:val="20"/>
              </w:rPr>
              <w:t>72</w:t>
            </w:r>
            <w:r w:rsidR="00A058D4" w:rsidRPr="00A058D4">
              <w:rPr>
                <w:sz w:val="20"/>
                <w:szCs w:val="20"/>
              </w:rPr>
              <w:t xml:space="preserve"> percent overall</w:t>
            </w:r>
          </w:p>
          <w:p w14:paraId="655AF967" w14:textId="77777777" w:rsidR="00A058D4" w:rsidRPr="00A058D4" w:rsidRDefault="00A058D4" w:rsidP="00A058D4">
            <w:pPr>
              <w:tabs>
                <w:tab w:val="center" w:pos="4320"/>
                <w:tab w:val="right" w:pos="8640"/>
              </w:tabs>
              <w:rPr>
                <w:sz w:val="20"/>
                <w:szCs w:val="20"/>
              </w:rPr>
            </w:pPr>
          </w:p>
          <w:p w14:paraId="6E1EC05A" w14:textId="44208B28" w:rsidR="00A058D4" w:rsidRPr="00A058D4" w:rsidRDefault="00222427" w:rsidP="00A058D4">
            <w:pPr>
              <w:tabs>
                <w:tab w:val="center" w:pos="4320"/>
                <w:tab w:val="right" w:pos="8640"/>
              </w:tabs>
              <w:rPr>
                <w:sz w:val="20"/>
                <w:szCs w:val="20"/>
              </w:rPr>
            </w:pPr>
            <w:r>
              <w:rPr>
                <w:sz w:val="20"/>
                <w:szCs w:val="20"/>
              </w:rPr>
              <w:t>S</w:t>
            </w:r>
            <w:r w:rsidR="00A058D4" w:rsidRPr="00A058D4">
              <w:rPr>
                <w:sz w:val="20"/>
                <w:szCs w:val="20"/>
              </w:rPr>
              <w:t>tand</w:t>
            </w:r>
            <w:r>
              <w:rPr>
                <w:sz w:val="20"/>
                <w:szCs w:val="20"/>
              </w:rPr>
              <w:t>ard incentive ($2</w:t>
            </w:r>
            <w:r w:rsidR="00A058D4" w:rsidRPr="00A058D4">
              <w:rPr>
                <w:sz w:val="20"/>
                <w:szCs w:val="20"/>
              </w:rPr>
              <w:t>5):</w:t>
            </w:r>
          </w:p>
          <w:p w14:paraId="2CC63807" w14:textId="00448D47" w:rsidR="00A058D4" w:rsidRPr="00A058D4" w:rsidRDefault="00222427" w:rsidP="00A058D4">
            <w:pPr>
              <w:numPr>
                <w:ilvl w:val="0"/>
                <w:numId w:val="31"/>
              </w:numPr>
              <w:tabs>
                <w:tab w:val="center" w:pos="4320"/>
                <w:tab w:val="right" w:pos="8640"/>
              </w:tabs>
              <w:rPr>
                <w:sz w:val="20"/>
                <w:szCs w:val="20"/>
              </w:rPr>
            </w:pPr>
            <w:r>
              <w:rPr>
                <w:sz w:val="20"/>
                <w:szCs w:val="20"/>
              </w:rPr>
              <w:t>68</w:t>
            </w:r>
            <w:r w:rsidR="00A058D4" w:rsidRPr="00A058D4">
              <w:rPr>
                <w:sz w:val="20"/>
                <w:szCs w:val="20"/>
              </w:rPr>
              <w:t xml:space="preserve"> percent</w:t>
            </w:r>
            <w:r>
              <w:rPr>
                <w:sz w:val="20"/>
                <w:szCs w:val="20"/>
              </w:rPr>
              <w:t xml:space="preserve"> overall</w:t>
            </w:r>
          </w:p>
        </w:tc>
      </w:tr>
    </w:tbl>
    <w:p w14:paraId="4671192D" w14:textId="43822974" w:rsidR="00416E79" w:rsidRDefault="00222427" w:rsidP="00C25872">
      <w:r w:rsidRPr="00FC356A">
        <w:rPr>
          <w:sz w:val="20"/>
        </w:rPr>
        <w:t xml:space="preserve">Note: </w:t>
      </w:r>
      <w:r>
        <w:rPr>
          <w:sz w:val="20"/>
        </w:rPr>
        <w:t>Response rates separate by research group are not available for the YouthBuild incentive experiment.</w:t>
      </w:r>
      <w:r>
        <w:t xml:space="preserve"> </w:t>
      </w:r>
    </w:p>
    <w:p w14:paraId="690A36B4" w14:textId="17160BF4" w:rsidR="00817671" w:rsidRPr="00817671" w:rsidRDefault="00817671" w:rsidP="00817671">
      <w:pPr>
        <w:pStyle w:val="NormalSS"/>
        <w:ind w:firstLine="0"/>
      </w:pPr>
      <w:r>
        <w:rPr>
          <w:b/>
        </w:rPr>
        <w:t>Incentive for the in-depth interview</w:t>
      </w:r>
      <w:r w:rsidRPr="00817671">
        <w:rPr>
          <w:b/>
        </w:rPr>
        <w:t>:</w:t>
      </w:r>
    </w:p>
    <w:p w14:paraId="120C3948" w14:textId="4997E035" w:rsidR="00CC2132" w:rsidRDefault="001D22AC" w:rsidP="004453F8">
      <w:pPr>
        <w:pStyle w:val="NormalSS"/>
        <w:ind w:firstLine="0"/>
      </w:pPr>
      <w:r>
        <w:t>We propose giving r</w:t>
      </w:r>
      <w:r w:rsidR="00CC2132" w:rsidRPr="003560C5">
        <w:t>espondents who participate in the in-depth interviews</w:t>
      </w:r>
      <w:r w:rsidR="00254A44">
        <w:t>, which are estimated to take 2.5 hours on average,</w:t>
      </w:r>
      <w:r w:rsidR="00CC2132" w:rsidRPr="003560C5">
        <w:t xml:space="preserve"> </w:t>
      </w:r>
      <w:r w:rsidR="00851255">
        <w:t xml:space="preserve">a </w:t>
      </w:r>
      <w:r w:rsidR="00CC2132" w:rsidRPr="003560C5">
        <w:t>$50</w:t>
      </w:r>
      <w:r w:rsidR="00851255">
        <w:t xml:space="preserve"> gift card</w:t>
      </w:r>
      <w:r w:rsidR="00CC2132" w:rsidRPr="003560C5">
        <w:t xml:space="preserve">. </w:t>
      </w:r>
      <w:r>
        <w:t xml:space="preserve">This incentive is modeled on another </w:t>
      </w:r>
      <w:r w:rsidR="00CC2132" w:rsidRPr="003560C5">
        <w:t xml:space="preserve">ACF </w:t>
      </w:r>
      <w:r w:rsidR="00775A0A">
        <w:t xml:space="preserve">study </w:t>
      </w:r>
      <w:r w:rsidR="00CC2132" w:rsidRPr="003560C5">
        <w:t>entitled Parents and Children Together</w:t>
      </w:r>
      <w:r w:rsidR="002257A9">
        <w:t xml:space="preserve"> (PACT)</w:t>
      </w:r>
      <w:r w:rsidR="00775A0A">
        <w:t>. R</w:t>
      </w:r>
      <w:r w:rsidR="004909D6">
        <w:t xml:space="preserve">espondents </w:t>
      </w:r>
      <w:r w:rsidR="001F0DF1">
        <w:t>(who were low-income</w:t>
      </w:r>
      <w:r w:rsidR="00754EC3">
        <w:t xml:space="preserve"> couples and</w:t>
      </w:r>
      <w:r w:rsidR="001F0DF1">
        <w:t xml:space="preserve"> fathers) </w:t>
      </w:r>
      <w:r w:rsidR="004909D6">
        <w:t xml:space="preserve">received </w:t>
      </w:r>
      <w:r w:rsidR="00CC2132" w:rsidRPr="003560C5">
        <w:t xml:space="preserve">a $60 gift card for an in-depth interview (OMB control number 0970-0403). </w:t>
      </w:r>
      <w:r w:rsidR="00D04BF7">
        <w:t xml:space="preserve">The PACT study observed </w:t>
      </w:r>
      <w:r w:rsidR="004E09C9">
        <w:t xml:space="preserve">overall </w:t>
      </w:r>
      <w:r w:rsidR="00D04BF7">
        <w:t>response rates of 88 and 72 percent for their healthy marriage and responsible fatherhood programs</w:t>
      </w:r>
      <w:r w:rsidR="00754EC3">
        <w:t>, respectively</w:t>
      </w:r>
      <w:r w:rsidR="00D04BF7">
        <w:t xml:space="preserve">. </w:t>
      </w:r>
      <w:r w:rsidR="00CC59DF">
        <w:t xml:space="preserve">As with the current study, </w:t>
      </w:r>
      <w:r w:rsidR="002257A9">
        <w:t xml:space="preserve">PACT </w:t>
      </w:r>
      <w:r w:rsidR="00CC59DF">
        <w:t>targeted low-income populations</w:t>
      </w:r>
      <w:r w:rsidR="0050545D">
        <w:t>;</w:t>
      </w:r>
      <w:r w:rsidR="00CC59DF">
        <w:t xml:space="preserve"> thus </w:t>
      </w:r>
      <w:r w:rsidR="002257A9">
        <w:t xml:space="preserve">respondents had similar demands on their time and constraints as the </w:t>
      </w:r>
      <w:r w:rsidR="0050545D">
        <w:t xml:space="preserve">target </w:t>
      </w:r>
      <w:r w:rsidR="002257A9">
        <w:t>population</w:t>
      </w:r>
      <w:r w:rsidR="0050545D">
        <w:t xml:space="preserve"> in this study</w:t>
      </w:r>
      <w:r w:rsidR="002257A9">
        <w:t xml:space="preserve">. </w:t>
      </w:r>
      <w:r w:rsidR="00524987">
        <w:t>I</w:t>
      </w:r>
      <w:r w:rsidR="00730FD1">
        <w:t>ncentives</w:t>
      </w:r>
      <w:r w:rsidR="00CC2132" w:rsidRPr="003560C5">
        <w:t xml:space="preserve"> can make it easier for respondents to participate in the in-depth interviews by helping offset costs of transportation</w:t>
      </w:r>
      <w:r w:rsidR="000E2870">
        <w:t xml:space="preserve">, </w:t>
      </w:r>
      <w:r w:rsidR="00CC2132" w:rsidRPr="003560C5">
        <w:t>child care</w:t>
      </w:r>
      <w:r w:rsidR="000E2870">
        <w:t>, and cell phone data and minute plans</w:t>
      </w:r>
      <w:r w:rsidR="00CC2132" w:rsidRPr="003560C5">
        <w:t>.</w:t>
      </w:r>
      <w:r w:rsidR="00551652">
        <w:t xml:space="preserve"> The in-depth interviews will take place in person and will take place during scheduled visits to the coaching programs. Because the timing of the in-depth interviews cannot vary, a two-tiered structure was not considered for this incentive. </w:t>
      </w:r>
    </w:p>
    <w:p w14:paraId="5D527A5E" w14:textId="402D5F49" w:rsidR="004539ED" w:rsidRPr="00132F4A" w:rsidRDefault="004539ED" w:rsidP="00FC356A">
      <w:pPr>
        <w:pStyle w:val="NormalSS"/>
        <w:ind w:firstLine="0"/>
        <w:rPr>
          <w:b/>
        </w:rPr>
      </w:pPr>
      <w:r w:rsidRPr="00132F4A">
        <w:rPr>
          <w:b/>
        </w:rPr>
        <w:t>Response rates for similar studies:</w:t>
      </w:r>
    </w:p>
    <w:p w14:paraId="139A6575" w14:textId="28EED281" w:rsidR="007013B7" w:rsidRDefault="00524987" w:rsidP="00FC356A">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00E20CB2" w:rsidRPr="00232A53">
        <w:t>Table A</w:t>
      </w:r>
      <w:r w:rsidR="008F4681">
        <w:t>.</w:t>
      </w:r>
      <w:r w:rsidR="00E20CB2" w:rsidRPr="00232A53">
        <w:t>1</w:t>
      </w:r>
      <w:r w:rsidR="008F4681">
        <w:t>, discussed above,</w:t>
      </w:r>
      <w:r w:rsidR="00E20CB2" w:rsidRPr="00232A53">
        <w:t xml:space="preserve"> </w:t>
      </w:r>
      <w:r w:rsidR="008F4681">
        <w:t>relates to</w:t>
      </w:r>
      <w:r w:rsidR="00E20CB2" w:rsidRPr="00232A53">
        <w:t xml:space="preserve"> results from the incentive experiment, conducted on early cohorts of sample released for data collection. Based on results of the</w:t>
      </w:r>
      <w:r w:rsidR="008F4681">
        <w:t>se</w:t>
      </w:r>
      <w:r w:rsidR="00E20CB2" w:rsidRPr="00232A53">
        <w:t xml:space="preserve"> experiment</w:t>
      </w:r>
      <w:r w:rsidR="008F4681">
        <w:t>s</w:t>
      </w:r>
      <w:r w:rsidR="00E20CB2" w:rsidRPr="00232A53">
        <w:t xml:space="preserve">, the </w:t>
      </w:r>
      <w:r w:rsidR="008F4681">
        <w:t>SET and YouthBuild studies both</w:t>
      </w:r>
      <w:r w:rsidR="00E20CB2" w:rsidRPr="00232A53">
        <w:t xml:space="preserve"> implemented </w:t>
      </w:r>
      <w:r w:rsidR="008F4681">
        <w:t xml:space="preserve">two-tiered incentives study </w:t>
      </w:r>
      <w:r w:rsidR="00E20CB2" w:rsidRPr="00232A53">
        <w:t>wide. Table A</w:t>
      </w:r>
      <w:r w:rsidR="008F4681">
        <w:t>.</w:t>
      </w:r>
      <w:r w:rsidR="00E20CB2" w:rsidRPr="00232A53">
        <w:t>2 presents results for the full data collection, before and after the conclusion of the incentive experiment</w:t>
      </w:r>
      <w:r w:rsidR="008F4681">
        <w:t>s</w:t>
      </w:r>
      <w:r w:rsidR="00E20CB2">
        <w:t>.</w:t>
      </w:r>
      <w:r w:rsidR="00D208FC">
        <w:t xml:space="preserve"> </w:t>
      </w:r>
    </w:p>
    <w:p w14:paraId="39943211" w14:textId="3FFE8D63" w:rsidR="00C50AFD" w:rsidRDefault="008F4681" w:rsidP="00FC356A">
      <w:pPr>
        <w:pStyle w:val="NormalSS"/>
        <w:ind w:firstLine="0"/>
        <w:jc w:val="center"/>
        <w:rPr>
          <w:b/>
        </w:rPr>
      </w:pPr>
      <w:r>
        <w:rPr>
          <w:b/>
        </w:rPr>
        <w:t xml:space="preserve"> </w:t>
      </w:r>
    </w:p>
    <w:p w14:paraId="6EADB3A6" w14:textId="5858E592" w:rsidR="001240FF" w:rsidRPr="00A35B0D" w:rsidRDefault="001240FF" w:rsidP="00A1065D">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1680"/>
        <w:gridCol w:w="1087"/>
        <w:gridCol w:w="2173"/>
        <w:gridCol w:w="2371"/>
      </w:tblGrid>
      <w:tr w:rsidR="001240FF" w:rsidRPr="00BD4CFB" w14:paraId="7DBC2CB4" w14:textId="77777777" w:rsidTr="00A1065D">
        <w:trPr>
          <w:jc w:val="center"/>
        </w:trPr>
        <w:tc>
          <w:tcPr>
            <w:tcW w:w="2212" w:type="dxa"/>
            <w:shd w:val="clear" w:color="auto" w:fill="BFBFBF"/>
            <w:vAlign w:val="center"/>
          </w:tcPr>
          <w:p w14:paraId="18D1D7A0" w14:textId="779BE040" w:rsidR="001240FF" w:rsidRPr="00BD4CFB" w:rsidRDefault="001240FF" w:rsidP="0037259F">
            <w:pPr>
              <w:jc w:val="center"/>
              <w:rPr>
                <w:sz w:val="20"/>
                <w:szCs w:val="20"/>
              </w:rPr>
            </w:pPr>
            <w:r>
              <w:rPr>
                <w:sz w:val="20"/>
                <w:szCs w:val="20"/>
              </w:rPr>
              <w:t>Study</w:t>
            </w:r>
          </w:p>
        </w:tc>
        <w:tc>
          <w:tcPr>
            <w:tcW w:w="1640" w:type="dxa"/>
            <w:shd w:val="clear" w:color="auto" w:fill="BFBFBF"/>
            <w:vAlign w:val="center"/>
          </w:tcPr>
          <w:p w14:paraId="4549D364" w14:textId="4DAD6CAA" w:rsidR="001240FF" w:rsidRPr="00BD4CFB" w:rsidRDefault="001240FF" w:rsidP="0037259F">
            <w:pPr>
              <w:jc w:val="center"/>
              <w:rPr>
                <w:sz w:val="20"/>
                <w:szCs w:val="20"/>
              </w:rPr>
            </w:pPr>
            <w:r>
              <w:rPr>
                <w:sz w:val="20"/>
                <w:szCs w:val="20"/>
              </w:rPr>
              <w:t>Instrument</w:t>
            </w:r>
          </w:p>
        </w:tc>
        <w:tc>
          <w:tcPr>
            <w:tcW w:w="1061" w:type="dxa"/>
            <w:shd w:val="clear" w:color="auto" w:fill="BFBFBF"/>
            <w:vAlign w:val="center"/>
          </w:tcPr>
          <w:p w14:paraId="58BBC3C7" w14:textId="77777777" w:rsidR="001240FF" w:rsidRDefault="001240FF" w:rsidP="0037259F">
            <w:pPr>
              <w:jc w:val="center"/>
              <w:rPr>
                <w:sz w:val="20"/>
                <w:szCs w:val="20"/>
              </w:rPr>
            </w:pPr>
            <w:r>
              <w:rPr>
                <w:sz w:val="20"/>
                <w:szCs w:val="20"/>
              </w:rPr>
              <w:t>Duration</w:t>
            </w:r>
          </w:p>
          <w:p w14:paraId="3C3F7AFF" w14:textId="36529557" w:rsidR="00AC4BC5" w:rsidRPr="00BD4CFB" w:rsidRDefault="00AC4BC5" w:rsidP="0037259F">
            <w:pPr>
              <w:jc w:val="center"/>
              <w:rPr>
                <w:sz w:val="20"/>
                <w:szCs w:val="20"/>
              </w:rPr>
            </w:pPr>
            <w:r>
              <w:rPr>
                <w:sz w:val="20"/>
                <w:szCs w:val="20"/>
              </w:rPr>
              <w:t>(minutes)</w:t>
            </w:r>
          </w:p>
        </w:tc>
        <w:tc>
          <w:tcPr>
            <w:tcW w:w="2122" w:type="dxa"/>
            <w:shd w:val="clear" w:color="auto" w:fill="BFBFBF"/>
            <w:vAlign w:val="center"/>
          </w:tcPr>
          <w:p w14:paraId="6A5E500B" w14:textId="21E0BF0A" w:rsidR="001240FF" w:rsidRPr="00BD4CFB" w:rsidRDefault="001240FF" w:rsidP="0037259F">
            <w:pPr>
              <w:jc w:val="center"/>
              <w:rPr>
                <w:sz w:val="20"/>
                <w:szCs w:val="20"/>
              </w:rPr>
            </w:pPr>
            <w:r>
              <w:rPr>
                <w:sz w:val="20"/>
                <w:szCs w:val="20"/>
              </w:rPr>
              <w:t>Incentive Amount</w:t>
            </w:r>
          </w:p>
        </w:tc>
        <w:tc>
          <w:tcPr>
            <w:tcW w:w="2315" w:type="dxa"/>
            <w:shd w:val="clear" w:color="auto" w:fill="BFBFBF"/>
            <w:vAlign w:val="center"/>
          </w:tcPr>
          <w:p w14:paraId="10EB2B27" w14:textId="77777777" w:rsidR="001240FF" w:rsidRDefault="001240FF" w:rsidP="001240FF">
            <w:pPr>
              <w:jc w:val="center"/>
              <w:rPr>
                <w:sz w:val="20"/>
                <w:szCs w:val="20"/>
              </w:rPr>
            </w:pPr>
            <w:r>
              <w:rPr>
                <w:sz w:val="20"/>
                <w:szCs w:val="20"/>
              </w:rPr>
              <w:t>Response Rate</w:t>
            </w:r>
          </w:p>
          <w:p w14:paraId="3F3193CF" w14:textId="1B574590" w:rsidR="00AC4BC5" w:rsidRPr="00BD4CFB" w:rsidRDefault="00AC4BC5" w:rsidP="001240FF">
            <w:pPr>
              <w:jc w:val="center"/>
              <w:rPr>
                <w:sz w:val="20"/>
                <w:szCs w:val="20"/>
              </w:rPr>
            </w:pPr>
          </w:p>
        </w:tc>
      </w:tr>
      <w:tr w:rsidR="001240FF" w:rsidRPr="00BD4CFB" w14:paraId="27A96129" w14:textId="77777777" w:rsidTr="00A1065D">
        <w:trPr>
          <w:trHeight w:val="432"/>
          <w:jc w:val="center"/>
        </w:trPr>
        <w:tc>
          <w:tcPr>
            <w:tcW w:w="2212" w:type="dxa"/>
            <w:vAlign w:val="center"/>
          </w:tcPr>
          <w:p w14:paraId="2D514B6A" w14:textId="62797DC5" w:rsidR="001240FF" w:rsidRDefault="001240FF" w:rsidP="0037259F">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14:paraId="2D9755C1" w14:textId="3828615E"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14:paraId="21C19ABE" w14:textId="35243B87" w:rsidR="001240FF" w:rsidRPr="00403AAB" w:rsidRDefault="00AC4BC5" w:rsidP="0037259F">
            <w:pPr>
              <w:tabs>
                <w:tab w:val="center" w:pos="4320"/>
                <w:tab w:val="right" w:pos="8640"/>
              </w:tabs>
              <w:jc w:val="center"/>
              <w:rPr>
                <w:sz w:val="20"/>
                <w:szCs w:val="20"/>
              </w:rPr>
            </w:pPr>
            <w:r>
              <w:rPr>
                <w:sz w:val="20"/>
                <w:szCs w:val="20"/>
              </w:rPr>
              <w:t>18 month follow-up</w:t>
            </w:r>
          </w:p>
        </w:tc>
        <w:tc>
          <w:tcPr>
            <w:tcW w:w="1061" w:type="dxa"/>
            <w:vAlign w:val="center"/>
          </w:tcPr>
          <w:p w14:paraId="1B5A2565" w14:textId="11C9DC1A" w:rsidR="001240FF" w:rsidRPr="00403AAB" w:rsidRDefault="00AC4BC5" w:rsidP="0037259F">
            <w:pPr>
              <w:tabs>
                <w:tab w:val="center" w:pos="4320"/>
                <w:tab w:val="right" w:pos="8640"/>
              </w:tabs>
              <w:jc w:val="center"/>
              <w:rPr>
                <w:sz w:val="20"/>
                <w:szCs w:val="20"/>
              </w:rPr>
            </w:pPr>
            <w:r>
              <w:rPr>
                <w:sz w:val="20"/>
                <w:szCs w:val="20"/>
              </w:rPr>
              <w:t>20</w:t>
            </w:r>
          </w:p>
        </w:tc>
        <w:tc>
          <w:tcPr>
            <w:tcW w:w="2122" w:type="dxa"/>
            <w:vAlign w:val="center"/>
          </w:tcPr>
          <w:p w14:paraId="3B29892B" w14:textId="3653CB1C" w:rsidR="00AC4BC5" w:rsidRPr="00AC4BC5" w:rsidRDefault="00AC4BC5" w:rsidP="00AC4BC5">
            <w:pPr>
              <w:tabs>
                <w:tab w:val="center" w:pos="4320"/>
                <w:tab w:val="right" w:pos="8640"/>
              </w:tabs>
              <w:jc w:val="center"/>
              <w:rPr>
                <w:sz w:val="20"/>
                <w:szCs w:val="20"/>
              </w:rPr>
            </w:pPr>
            <w:r>
              <w:rPr>
                <w:sz w:val="20"/>
                <w:szCs w:val="20"/>
              </w:rPr>
              <w:t>$5</w:t>
            </w:r>
            <w:r w:rsidRPr="00AC4BC5">
              <w:rPr>
                <w:sz w:val="20"/>
                <w:szCs w:val="20"/>
              </w:rPr>
              <w:t>0 first four weeks</w:t>
            </w:r>
          </w:p>
          <w:p w14:paraId="6C595A45" w14:textId="43800C6A" w:rsidR="001240FF" w:rsidRPr="00403AAB" w:rsidRDefault="00AC4BC5" w:rsidP="00AC4BC5">
            <w:pPr>
              <w:tabs>
                <w:tab w:val="center" w:pos="4320"/>
                <w:tab w:val="right" w:pos="8640"/>
              </w:tabs>
              <w:jc w:val="center"/>
              <w:rPr>
                <w:sz w:val="20"/>
                <w:szCs w:val="20"/>
              </w:rPr>
            </w:pPr>
            <w:r w:rsidRPr="00AC4BC5">
              <w:rPr>
                <w:sz w:val="20"/>
                <w:szCs w:val="20"/>
              </w:rPr>
              <w:t>$25 after four weeks</w:t>
            </w:r>
          </w:p>
        </w:tc>
        <w:tc>
          <w:tcPr>
            <w:tcW w:w="2315" w:type="dxa"/>
            <w:vAlign w:val="center"/>
          </w:tcPr>
          <w:p w14:paraId="643DC3FC" w14:textId="563A8E71" w:rsidR="001240FF" w:rsidRDefault="00AC4BC5" w:rsidP="0037259F">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14:paraId="4ED696DF" w14:textId="1F775860" w:rsidR="00AC4BC5" w:rsidRDefault="00AC4BC5" w:rsidP="0037259F">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14:paraId="3AE90D51" w14:textId="40860DC0" w:rsidR="007013B7" w:rsidRPr="00403AAB" w:rsidRDefault="00AC4BC5" w:rsidP="00FF484C">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008F4681" w:rsidRPr="00BD4CFB" w14:paraId="5B80557E" w14:textId="77777777" w:rsidTr="007D5A66">
        <w:trPr>
          <w:trHeight w:val="432"/>
          <w:jc w:val="center"/>
        </w:trPr>
        <w:tc>
          <w:tcPr>
            <w:tcW w:w="2212" w:type="dxa"/>
            <w:vAlign w:val="center"/>
          </w:tcPr>
          <w:p w14:paraId="3AFBEAC1" w14:textId="77777777" w:rsidR="008F4681" w:rsidRDefault="008F4681" w:rsidP="007D5A66">
            <w:pPr>
              <w:tabs>
                <w:tab w:val="center" w:pos="4320"/>
                <w:tab w:val="right" w:pos="8640"/>
              </w:tabs>
              <w:rPr>
                <w:sz w:val="20"/>
                <w:szCs w:val="20"/>
              </w:rPr>
            </w:pPr>
            <w:r>
              <w:rPr>
                <w:sz w:val="20"/>
                <w:szCs w:val="20"/>
              </w:rPr>
              <w:t>YouthBuild</w:t>
            </w:r>
          </w:p>
          <w:p w14:paraId="6D69BAFD" w14:textId="77777777" w:rsidR="008F4681" w:rsidRDefault="008F4681" w:rsidP="007D5A66">
            <w:pPr>
              <w:tabs>
                <w:tab w:val="center" w:pos="4320"/>
                <w:tab w:val="right" w:pos="8640"/>
              </w:tabs>
              <w:rPr>
                <w:sz w:val="20"/>
                <w:szCs w:val="20"/>
              </w:rPr>
            </w:pPr>
            <w:r>
              <w:rPr>
                <w:sz w:val="20"/>
                <w:szCs w:val="20"/>
              </w:rPr>
              <w:t>Full sample</w:t>
            </w:r>
          </w:p>
          <w:p w14:paraId="0C3763B0" w14:textId="77777777" w:rsidR="008F4681" w:rsidRPr="00BD4CFB" w:rsidRDefault="008F4681" w:rsidP="007D5A66">
            <w:pPr>
              <w:tabs>
                <w:tab w:val="center" w:pos="4320"/>
                <w:tab w:val="right" w:pos="8640"/>
              </w:tabs>
              <w:rPr>
                <w:sz w:val="20"/>
                <w:szCs w:val="20"/>
              </w:rPr>
            </w:pPr>
            <w:r>
              <w:rPr>
                <w:sz w:val="20"/>
                <w:szCs w:val="20"/>
              </w:rPr>
              <w:t>OMB control #1205-0503</w:t>
            </w:r>
          </w:p>
        </w:tc>
        <w:tc>
          <w:tcPr>
            <w:tcW w:w="1640" w:type="dxa"/>
            <w:vAlign w:val="center"/>
          </w:tcPr>
          <w:p w14:paraId="43F82071" w14:textId="77777777" w:rsidR="008F4681" w:rsidRPr="00403AAB" w:rsidRDefault="008F4681" w:rsidP="007D5A66">
            <w:pPr>
              <w:tabs>
                <w:tab w:val="center" w:pos="4320"/>
                <w:tab w:val="right" w:pos="8640"/>
              </w:tabs>
              <w:jc w:val="center"/>
              <w:rPr>
                <w:sz w:val="20"/>
                <w:szCs w:val="20"/>
              </w:rPr>
            </w:pPr>
            <w:r>
              <w:rPr>
                <w:sz w:val="20"/>
                <w:szCs w:val="20"/>
              </w:rPr>
              <w:t>12 month follow-up</w:t>
            </w:r>
          </w:p>
        </w:tc>
        <w:tc>
          <w:tcPr>
            <w:tcW w:w="1061" w:type="dxa"/>
            <w:vAlign w:val="center"/>
          </w:tcPr>
          <w:p w14:paraId="21017029" w14:textId="77777777" w:rsidR="008F4681" w:rsidRPr="00403AAB" w:rsidRDefault="008F4681" w:rsidP="007D5A66">
            <w:pPr>
              <w:tabs>
                <w:tab w:val="center" w:pos="4320"/>
                <w:tab w:val="right" w:pos="8640"/>
              </w:tabs>
              <w:jc w:val="center"/>
              <w:rPr>
                <w:sz w:val="20"/>
                <w:szCs w:val="20"/>
              </w:rPr>
            </w:pPr>
            <w:r>
              <w:rPr>
                <w:sz w:val="20"/>
                <w:szCs w:val="20"/>
              </w:rPr>
              <w:t>60</w:t>
            </w:r>
          </w:p>
        </w:tc>
        <w:tc>
          <w:tcPr>
            <w:tcW w:w="2122" w:type="dxa"/>
            <w:vAlign w:val="center"/>
          </w:tcPr>
          <w:p w14:paraId="4F3897F4" w14:textId="77777777" w:rsidR="008F4681" w:rsidRDefault="008F4681" w:rsidP="007D5A66">
            <w:pPr>
              <w:tabs>
                <w:tab w:val="center" w:pos="4320"/>
                <w:tab w:val="right" w:pos="8640"/>
              </w:tabs>
              <w:jc w:val="center"/>
              <w:rPr>
                <w:sz w:val="20"/>
                <w:szCs w:val="20"/>
              </w:rPr>
            </w:pPr>
            <w:r>
              <w:rPr>
                <w:sz w:val="20"/>
                <w:szCs w:val="20"/>
              </w:rPr>
              <w:t>$40 first four weeks</w:t>
            </w:r>
          </w:p>
          <w:p w14:paraId="492A5B49" w14:textId="77777777" w:rsidR="008F4681" w:rsidRPr="00403AAB" w:rsidRDefault="008F4681" w:rsidP="007D5A66">
            <w:pPr>
              <w:tabs>
                <w:tab w:val="center" w:pos="4320"/>
                <w:tab w:val="right" w:pos="8640"/>
              </w:tabs>
              <w:jc w:val="center"/>
              <w:rPr>
                <w:sz w:val="20"/>
                <w:szCs w:val="20"/>
              </w:rPr>
            </w:pPr>
            <w:r>
              <w:rPr>
                <w:sz w:val="20"/>
                <w:szCs w:val="20"/>
              </w:rPr>
              <w:t>$25 after four weeks</w:t>
            </w:r>
          </w:p>
        </w:tc>
        <w:tc>
          <w:tcPr>
            <w:tcW w:w="2315" w:type="dxa"/>
            <w:vAlign w:val="center"/>
          </w:tcPr>
          <w:p w14:paraId="78FCCBB8" w14:textId="77777777" w:rsidR="008F4681" w:rsidRDefault="008F4681" w:rsidP="007D5A66">
            <w:pPr>
              <w:tabs>
                <w:tab w:val="center" w:pos="4320"/>
                <w:tab w:val="right" w:pos="8640"/>
              </w:tabs>
              <w:jc w:val="center"/>
              <w:rPr>
                <w:sz w:val="20"/>
                <w:szCs w:val="20"/>
              </w:rPr>
            </w:pPr>
            <w:r>
              <w:rPr>
                <w:sz w:val="20"/>
                <w:szCs w:val="20"/>
              </w:rPr>
              <w:t>81 percent overall</w:t>
            </w:r>
          </w:p>
          <w:p w14:paraId="152047A2" w14:textId="77777777" w:rsidR="008F4681" w:rsidRDefault="008F4681" w:rsidP="007D5A66">
            <w:pPr>
              <w:tabs>
                <w:tab w:val="center" w:pos="4320"/>
                <w:tab w:val="right" w:pos="8640"/>
              </w:tabs>
              <w:jc w:val="center"/>
              <w:rPr>
                <w:sz w:val="20"/>
                <w:szCs w:val="20"/>
              </w:rPr>
            </w:pPr>
            <w:r>
              <w:rPr>
                <w:sz w:val="20"/>
                <w:szCs w:val="20"/>
              </w:rPr>
              <w:t>82 percent treatment</w:t>
            </w:r>
          </w:p>
          <w:p w14:paraId="1268DA03" w14:textId="77777777" w:rsidR="008F4681" w:rsidRPr="00403AAB" w:rsidRDefault="008F4681" w:rsidP="007D5A66">
            <w:pPr>
              <w:tabs>
                <w:tab w:val="center" w:pos="4320"/>
                <w:tab w:val="right" w:pos="8640"/>
              </w:tabs>
              <w:jc w:val="center"/>
              <w:rPr>
                <w:sz w:val="20"/>
                <w:szCs w:val="20"/>
              </w:rPr>
            </w:pPr>
            <w:r>
              <w:rPr>
                <w:sz w:val="20"/>
                <w:szCs w:val="20"/>
              </w:rPr>
              <w:t>79 percent control</w:t>
            </w:r>
          </w:p>
        </w:tc>
      </w:tr>
      <w:tr w:rsidR="001240FF" w:rsidRPr="00BD4CFB" w14:paraId="3D868826" w14:textId="77777777" w:rsidTr="00A1065D">
        <w:trPr>
          <w:trHeight w:val="432"/>
          <w:jc w:val="center"/>
        </w:trPr>
        <w:tc>
          <w:tcPr>
            <w:tcW w:w="2212" w:type="dxa"/>
            <w:vAlign w:val="center"/>
          </w:tcPr>
          <w:p w14:paraId="57C41F0D" w14:textId="5D07F6AF" w:rsidR="001240FF" w:rsidRDefault="001240FF" w:rsidP="0037259F">
            <w:pPr>
              <w:tabs>
                <w:tab w:val="center" w:pos="4320"/>
                <w:tab w:val="right" w:pos="8640"/>
              </w:tabs>
              <w:rPr>
                <w:sz w:val="20"/>
                <w:szCs w:val="20"/>
              </w:rPr>
            </w:pPr>
            <w:r>
              <w:rPr>
                <w:sz w:val="20"/>
                <w:szCs w:val="20"/>
              </w:rPr>
              <w:t>Parents and Children Together</w:t>
            </w:r>
          </w:p>
          <w:p w14:paraId="53A481FD" w14:textId="3B5D5E53"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0970-0403</w:t>
            </w:r>
          </w:p>
        </w:tc>
        <w:tc>
          <w:tcPr>
            <w:tcW w:w="1640" w:type="dxa"/>
            <w:vAlign w:val="center"/>
          </w:tcPr>
          <w:p w14:paraId="691B9D9A" w14:textId="749D73BA" w:rsidR="001240FF" w:rsidRPr="00403AAB" w:rsidRDefault="00AC4BC5" w:rsidP="0037259F">
            <w:pPr>
              <w:tabs>
                <w:tab w:val="center" w:pos="4320"/>
                <w:tab w:val="right" w:pos="8640"/>
              </w:tabs>
              <w:jc w:val="center"/>
              <w:rPr>
                <w:sz w:val="20"/>
                <w:szCs w:val="20"/>
              </w:rPr>
            </w:pPr>
            <w:r>
              <w:rPr>
                <w:sz w:val="20"/>
                <w:szCs w:val="20"/>
              </w:rPr>
              <w:t>In-depth interview</w:t>
            </w:r>
            <w:r w:rsidR="007A054B">
              <w:rPr>
                <w:sz w:val="20"/>
                <w:szCs w:val="20"/>
              </w:rPr>
              <w:t xml:space="preserve"> of treatment group members</w:t>
            </w:r>
          </w:p>
        </w:tc>
        <w:tc>
          <w:tcPr>
            <w:tcW w:w="1061" w:type="dxa"/>
            <w:vAlign w:val="center"/>
          </w:tcPr>
          <w:p w14:paraId="6379FCDA" w14:textId="4329BA72" w:rsidR="001240FF" w:rsidRPr="00403AAB" w:rsidRDefault="00FB6C45" w:rsidP="0037259F">
            <w:pPr>
              <w:tabs>
                <w:tab w:val="center" w:pos="4320"/>
                <w:tab w:val="right" w:pos="8640"/>
              </w:tabs>
              <w:jc w:val="center"/>
              <w:rPr>
                <w:sz w:val="20"/>
                <w:szCs w:val="20"/>
              </w:rPr>
            </w:pPr>
            <w:r>
              <w:rPr>
                <w:sz w:val="20"/>
                <w:szCs w:val="20"/>
              </w:rPr>
              <w:t>120</w:t>
            </w:r>
          </w:p>
        </w:tc>
        <w:tc>
          <w:tcPr>
            <w:tcW w:w="2122" w:type="dxa"/>
            <w:vAlign w:val="center"/>
          </w:tcPr>
          <w:p w14:paraId="59E62437" w14:textId="6FA1FB6D" w:rsidR="001240FF" w:rsidRPr="00403AAB" w:rsidRDefault="00AC4BC5" w:rsidP="0037259F">
            <w:pPr>
              <w:tabs>
                <w:tab w:val="center" w:pos="4320"/>
                <w:tab w:val="right" w:pos="8640"/>
              </w:tabs>
              <w:jc w:val="center"/>
              <w:rPr>
                <w:sz w:val="20"/>
                <w:szCs w:val="20"/>
              </w:rPr>
            </w:pPr>
            <w:r>
              <w:rPr>
                <w:sz w:val="20"/>
                <w:szCs w:val="20"/>
              </w:rPr>
              <w:t>$60</w:t>
            </w:r>
          </w:p>
        </w:tc>
        <w:tc>
          <w:tcPr>
            <w:tcW w:w="2315" w:type="dxa"/>
            <w:vAlign w:val="center"/>
          </w:tcPr>
          <w:p w14:paraId="5383DF3A" w14:textId="6B9F3B7C" w:rsidR="001240FF" w:rsidRDefault="00AC4BC5" w:rsidP="0037259F">
            <w:pPr>
              <w:tabs>
                <w:tab w:val="center" w:pos="4320"/>
                <w:tab w:val="right" w:pos="8640"/>
              </w:tabs>
              <w:jc w:val="center"/>
              <w:rPr>
                <w:sz w:val="20"/>
                <w:szCs w:val="20"/>
              </w:rPr>
            </w:pPr>
            <w:r>
              <w:rPr>
                <w:sz w:val="20"/>
                <w:szCs w:val="20"/>
              </w:rPr>
              <w:t xml:space="preserve">88 </w:t>
            </w:r>
            <w:r w:rsidR="007A054B">
              <w:rPr>
                <w:sz w:val="20"/>
                <w:szCs w:val="20"/>
              </w:rPr>
              <w:t xml:space="preserve">percent </w:t>
            </w:r>
            <w:r>
              <w:rPr>
                <w:sz w:val="20"/>
                <w:szCs w:val="20"/>
              </w:rPr>
              <w:t xml:space="preserve">healthy marriage </w:t>
            </w:r>
            <w:r w:rsidR="004E09C9">
              <w:rPr>
                <w:sz w:val="20"/>
                <w:szCs w:val="20"/>
              </w:rPr>
              <w:t>overall</w:t>
            </w:r>
          </w:p>
          <w:p w14:paraId="6D0836D5" w14:textId="02BF1876" w:rsidR="00AC4BC5" w:rsidRPr="00403AAB" w:rsidRDefault="00AC4BC5" w:rsidP="007A054B">
            <w:pPr>
              <w:tabs>
                <w:tab w:val="center" w:pos="4320"/>
                <w:tab w:val="right" w:pos="8640"/>
              </w:tabs>
              <w:jc w:val="center"/>
              <w:rPr>
                <w:sz w:val="20"/>
                <w:szCs w:val="20"/>
              </w:rPr>
            </w:pPr>
            <w:r>
              <w:rPr>
                <w:sz w:val="20"/>
                <w:szCs w:val="20"/>
              </w:rPr>
              <w:t xml:space="preserve">72 </w:t>
            </w:r>
            <w:r w:rsidR="007A054B">
              <w:rPr>
                <w:sz w:val="20"/>
                <w:szCs w:val="20"/>
              </w:rPr>
              <w:t xml:space="preserve">percent </w:t>
            </w:r>
            <w:r>
              <w:rPr>
                <w:sz w:val="20"/>
                <w:szCs w:val="20"/>
              </w:rPr>
              <w:t xml:space="preserve">responsible fatherhood </w:t>
            </w:r>
            <w:r w:rsidR="004E09C9">
              <w:rPr>
                <w:sz w:val="20"/>
                <w:szCs w:val="20"/>
              </w:rPr>
              <w:t>overall</w:t>
            </w:r>
          </w:p>
        </w:tc>
      </w:tr>
    </w:tbl>
    <w:p w14:paraId="634C426F" w14:textId="2382F77E" w:rsidR="001240FF" w:rsidRPr="00FC356A" w:rsidRDefault="00FC356A" w:rsidP="004453F8">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004539ED" w:rsidRPr="00D208FC">
        <w:rPr>
          <w:sz w:val="20"/>
        </w:rPr>
        <w:t xml:space="preserve"> </w:t>
      </w:r>
      <w:r w:rsidR="004539ED" w:rsidRPr="00AA6244">
        <w:rPr>
          <w:sz w:val="20"/>
        </w:rPr>
        <w:t xml:space="preserve">The SET </w:t>
      </w:r>
      <w:r w:rsidR="00056B62" w:rsidRPr="00AA6244">
        <w:rPr>
          <w:sz w:val="20"/>
        </w:rPr>
        <w:t>and Youth</w:t>
      </w:r>
      <w:r w:rsidR="00483993">
        <w:rPr>
          <w:sz w:val="20"/>
        </w:rPr>
        <w:t>B</w:t>
      </w:r>
      <w:r w:rsidR="00056B62" w:rsidRPr="00AA6244">
        <w:rPr>
          <w:sz w:val="20"/>
        </w:rPr>
        <w:t xml:space="preserve">uild </w:t>
      </w:r>
      <w:r w:rsidR="004539ED" w:rsidRPr="00D208FC">
        <w:rPr>
          <w:sz w:val="20"/>
        </w:rPr>
        <w:t>sample</w:t>
      </w:r>
      <w:r w:rsidR="00056B62" w:rsidRPr="00D208FC">
        <w:rPr>
          <w:sz w:val="20"/>
        </w:rPr>
        <w:t>s</w:t>
      </w:r>
      <w:r w:rsidR="004539ED" w:rsidRPr="00D208FC">
        <w:rPr>
          <w:sz w:val="20"/>
        </w:rPr>
        <w:t xml:space="preserve"> include the survey sample, including the time before and after the conclusion of the </w:t>
      </w:r>
      <w:r w:rsidR="00ED3BBD" w:rsidRPr="00D208FC">
        <w:rPr>
          <w:sz w:val="20"/>
        </w:rPr>
        <w:t>incentive experiment</w:t>
      </w:r>
      <w:r w:rsidR="00056B62" w:rsidRPr="00D208FC">
        <w:rPr>
          <w:sz w:val="20"/>
        </w:rPr>
        <w:t>s</w:t>
      </w:r>
      <w:r w:rsidR="00ED3BBD" w:rsidRPr="00D208FC">
        <w:rPr>
          <w:sz w:val="20"/>
        </w:rPr>
        <w:t xml:space="preserve"> described in Table A.1.</w:t>
      </w:r>
    </w:p>
    <w:p w14:paraId="79FE2D3C" w14:textId="77777777" w:rsidR="00CC2132" w:rsidRPr="0072204D" w:rsidRDefault="00CC2132" w:rsidP="00B9279C">
      <w:pPr>
        <w:keepNext/>
        <w:spacing w:before="360" w:after="120"/>
        <w:rPr>
          <w:b/>
        </w:rPr>
      </w:pPr>
      <w:r>
        <w:rPr>
          <w:b/>
        </w:rPr>
        <w:t>A10. Privacy</w:t>
      </w:r>
      <w:r w:rsidRPr="0072204D">
        <w:rPr>
          <w:b/>
        </w:rPr>
        <w:t xml:space="preserve"> of Respondents</w:t>
      </w:r>
    </w:p>
    <w:p w14:paraId="271A4BD6" w14:textId="0CED1878" w:rsidR="00CC2132" w:rsidRPr="00436F5E" w:rsidRDefault="00CC2132" w:rsidP="004453F8">
      <w:pPr>
        <w:pStyle w:val="NormalSS"/>
        <w:ind w:firstLine="0"/>
      </w:pPr>
      <w:r w:rsidRPr="00436F5E">
        <w:t xml:space="preserve">Information collected will be kept private to the extent permitted by law. </w:t>
      </w:r>
      <w:r w:rsidR="00CC59DF">
        <w:t>As part of the consent process</w:t>
      </w:r>
      <w:r w:rsidR="00114864">
        <w:t xml:space="preserve"> (</w:t>
      </w:r>
      <w:r w:rsidR="00114864" w:rsidRPr="003560C5">
        <w:t xml:space="preserve">Attachment </w:t>
      </w:r>
      <w:r w:rsidR="00114864">
        <w:t>A)</w:t>
      </w:r>
      <w:r w:rsidR="00CC59DF">
        <w:t>, r</w:t>
      </w:r>
      <w:r w:rsidRPr="00436F5E">
        <w:t xml:space="preserve">espondents will be informed of all planned uses of data, that their participation is voluntary, and that their information will be kept private to the extent permitted by law. </w:t>
      </w:r>
      <w:r>
        <w:t xml:space="preserve">As described in Section A11, the evaluation team will request Social Security numbers to gather information on respondents’ employment outcomes from the </w:t>
      </w:r>
      <w:r w:rsidR="00A46EA8">
        <w:t>NDNH</w:t>
      </w:r>
      <w:r>
        <w:t xml:space="preserve">. </w:t>
      </w:r>
      <w:r w:rsidRPr="008C540A">
        <w:t xml:space="preserve">Respondents will </w:t>
      </w:r>
      <w:r>
        <w:t xml:space="preserve">still </w:t>
      </w:r>
      <w:r w:rsidRPr="008C540A">
        <w:t xml:space="preserve">be eligible for </w:t>
      </w:r>
      <w:r>
        <w:t xml:space="preserve">the study and for program </w:t>
      </w:r>
      <w:r w:rsidRPr="008C540A">
        <w:t xml:space="preserve">services if they </w:t>
      </w:r>
      <w:r>
        <w:t>choose not to provide their Social Security number.</w:t>
      </w:r>
    </w:p>
    <w:p w14:paraId="36DC2018" w14:textId="77777777" w:rsidR="00CC2132" w:rsidRPr="00436F5E" w:rsidRDefault="00CC2132" w:rsidP="004453F8">
      <w:pPr>
        <w:pStyle w:val="NormalSS"/>
        <w:ind w:firstLine="0"/>
      </w:pPr>
      <w:r w:rsidRPr="008C4B04">
        <w:t xml:space="preserve">Due to the sensitive nature of this research (see A11 for more information), the evaluation will obtain a Certificate of Confidentiality. The study team </w:t>
      </w:r>
      <w:r>
        <w:t>will apply</w:t>
      </w:r>
      <w:r w:rsidRPr="008C4B04">
        <w:t xml:space="preserve"> for this Certificate and will provide it to OMB </w:t>
      </w:r>
      <w:r w:rsidR="00A46EA8">
        <w:t>after</w:t>
      </w:r>
      <w:r w:rsidR="00A46EA8" w:rsidRPr="008C4B04">
        <w:t xml:space="preserve"> </w:t>
      </w:r>
      <w:r w:rsidRPr="008C4B04">
        <w:t>it is received. The Certificate of Confidentiality helps assure participants that their information will be kept private to the fullest extent permitted by law.</w:t>
      </w:r>
    </w:p>
    <w:p w14:paraId="35C7F9E8" w14:textId="77777777" w:rsidR="00CC2132" w:rsidRPr="00436F5E" w:rsidRDefault="00CC2132" w:rsidP="004453F8">
      <w:pPr>
        <w:pStyle w:val="NormalSS"/>
        <w:ind w:firstLine="0"/>
      </w:pPr>
      <w:r w:rsidRPr="00436F5E">
        <w:t xml:space="preserve">As specified in the contract, </w:t>
      </w:r>
      <w:r>
        <w:t>Mathematica and Abt</w:t>
      </w:r>
      <w:r w:rsidRPr="00436F5E">
        <w:t xml:space="preserve"> </w:t>
      </w:r>
      <w:r w:rsidR="00A46EA8">
        <w:t>will</w:t>
      </w:r>
      <w:r w:rsidR="00A46EA8" w:rsidRPr="00436F5E">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protections of respondents’ personally identifiable information</w:t>
      </w:r>
      <w:r>
        <w:t xml:space="preserve"> (PII)</w:t>
      </w:r>
      <w:r w:rsidRPr="008C4B04">
        <w:t xml:space="preserve">. </w:t>
      </w:r>
      <w:r>
        <w:t>Mathematica and Abt</w:t>
      </w:r>
      <w:r w:rsidRPr="00436F5E">
        <w:t xml:space="preserve"> </w:t>
      </w:r>
      <w:r w:rsidR="00A46EA8">
        <w:t>will</w:t>
      </w:r>
      <w:r w:rsidR="00A46EA8" w:rsidRPr="00436F5E">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14:paraId="53CB142B" w14:textId="77777777" w:rsidR="00CC2132" w:rsidRPr="00436F5E" w:rsidRDefault="00CC2132" w:rsidP="004453F8">
      <w:pPr>
        <w:pStyle w:val="NormalSS"/>
        <w:ind w:firstLine="0"/>
      </w:pPr>
      <w:r w:rsidRPr="00436F5E">
        <w:t xml:space="preserve">As specified in the evaluator’s contract, </w:t>
      </w:r>
      <w:r>
        <w:t>Mathematica and Abt</w:t>
      </w:r>
      <w:r w:rsidRPr="00436F5E">
        <w:t xml:space="preserve"> </w:t>
      </w:r>
      <w:r w:rsidR="00A46EA8">
        <w:t>will</w:t>
      </w:r>
      <w:r w:rsidR="00A46EA8" w:rsidRPr="00436F5E">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00A46EA8" w:rsidRPr="00436F5E">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00A46EA8" w:rsidRPr="00436F5E">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In addition, </w:t>
      </w:r>
      <w:r>
        <w:t>Mathematica</w:t>
      </w:r>
      <w:r w:rsidRPr="00436F5E">
        <w:t xml:space="preserve"> must </w:t>
      </w:r>
      <w:r>
        <w:t xml:space="preserve">and </w:t>
      </w:r>
      <w:r w:rsidR="008F16A5">
        <w:t xml:space="preserve">will </w:t>
      </w:r>
      <w:r w:rsidRPr="00436F5E">
        <w:t>submit a plan for minimizing</w:t>
      </w:r>
      <w:r>
        <w:t>,</w:t>
      </w:r>
      <w:r w:rsidRPr="00436F5E">
        <w:t xml:space="preserve"> to the extent possible</w:t>
      </w:r>
      <w:r>
        <w:t>,</w:t>
      </w:r>
      <w:r w:rsidRPr="00436F5E">
        <w:t xml:space="preserve"> the inclusion of </w:t>
      </w:r>
      <w:r>
        <w:t xml:space="preserve">PII and other </w:t>
      </w:r>
      <w:r w:rsidRPr="00436F5E">
        <w:t>sensitive information on paper records</w:t>
      </w:r>
      <w:r>
        <w:t>,</w:t>
      </w:r>
      <w:r w:rsidRPr="00436F5E">
        <w:t xml:space="preserve"> and for the protection of any paper records, field notes, or other documents that contain </w:t>
      </w:r>
      <w:r>
        <w:t xml:space="preserve">PII or other </w:t>
      </w:r>
      <w:r w:rsidRPr="00436F5E">
        <w:t>sensitive information that ensures secure storage and limits on access.</w:t>
      </w:r>
      <w:r w:rsidR="00C250B8">
        <w:t xml:space="preserve"> </w:t>
      </w:r>
    </w:p>
    <w:p w14:paraId="09969A48" w14:textId="4A4A1D3A" w:rsidR="00114864" w:rsidRDefault="00114864" w:rsidP="00114864">
      <w:r>
        <w:rPr>
          <w:bdr w:val="none" w:sz="0" w:space="0" w:color="auto" w:frame="1"/>
        </w:rPr>
        <w:t>Information will not be maintained in a paper or electronic system from which they are actually or directly retrieved by an individuals’ personal identifier.</w:t>
      </w:r>
    </w:p>
    <w:p w14:paraId="71A98176" w14:textId="77777777" w:rsidR="00114864" w:rsidRDefault="00114864" w:rsidP="00097E78">
      <w:pPr>
        <w:pStyle w:val="NormalSS"/>
        <w:spacing w:after="120"/>
        <w:ind w:firstLine="0"/>
      </w:pPr>
    </w:p>
    <w:p w14:paraId="30D19C20" w14:textId="1E879851" w:rsidR="00CC2132" w:rsidRPr="00436F5E" w:rsidRDefault="00CC2132" w:rsidP="004453F8">
      <w:pPr>
        <w:pStyle w:val="NormalSS"/>
        <w:ind w:firstLine="0"/>
      </w:pPr>
      <w:r w:rsidRPr="00AE3441">
        <w:t>We will work</w:t>
      </w:r>
      <w:r w:rsidR="008F16A5">
        <w:t xml:space="preserve"> with</w:t>
      </w:r>
      <w:r w:rsidRPr="00AE3441">
        <w:t xml:space="preserve"> </w:t>
      </w:r>
      <w:r w:rsidR="002A0323">
        <w:t>the</w:t>
      </w:r>
      <w:r w:rsidRPr="00AE3441">
        <w:t xml:space="preserve"> ACF and HHS </w:t>
      </w:r>
      <w:r w:rsidRPr="001B04C4">
        <w:t xml:space="preserve">Offices of the Chief Information Officer (OCIO) to </w:t>
      </w:r>
      <w:r w:rsidR="004634FC">
        <w:t>ensure that the RAPTER system is covered by an Authority to Operate and</w:t>
      </w:r>
      <w:r w:rsidR="004634FC" w:rsidRPr="001B04C4">
        <w:t xml:space="preserve"> </w:t>
      </w:r>
      <w:r w:rsidRPr="001B04C4">
        <w:t>a Privacy Impact Assessment (PIA)</w:t>
      </w:r>
      <w:r w:rsidR="004634FC">
        <w:t>. This will</w:t>
      </w:r>
      <w:r w:rsidRPr="001B04C4">
        <w:t xml:space="preserve">: </w:t>
      </w:r>
      <w:r w:rsidR="002A0323">
        <w:t xml:space="preserve">ensure that </w:t>
      </w:r>
      <w:r w:rsidRPr="001B04C4">
        <w:t xml:space="preserve">information handling conforms with applicable legal, regulatory, and policy requirements regarding privacy; determine the risks of collecting and maintaining PII; assist in identifying protections and alternative processes for handling PII to mitigate potential privacy risks; and communicate </w:t>
      </w:r>
      <w:r w:rsidR="004E6996">
        <w:t>all relevant</w:t>
      </w:r>
      <w:r w:rsidRPr="00AE3441">
        <w:t xml:space="preserve"> privacy practices to the public. </w:t>
      </w:r>
      <w:r w:rsidR="004634FC">
        <w:t>T</w:t>
      </w:r>
      <w:r w:rsidR="00DB0162">
        <w:t>he</w:t>
      </w:r>
      <w:r w:rsidRPr="00AE3441">
        <w:t xml:space="preserve"> PIA will be available online through </w:t>
      </w:r>
      <w:r w:rsidR="00DB0162">
        <w:t xml:space="preserve">HHS at </w:t>
      </w:r>
      <w:r w:rsidR="00E61534">
        <w:t>https://www.hhs.gov/pia</w:t>
      </w:r>
      <w:r w:rsidRPr="00AE3441">
        <w:t xml:space="preserve">. </w:t>
      </w:r>
    </w:p>
    <w:p w14:paraId="745F3DAE" w14:textId="77777777" w:rsidR="00CC2132" w:rsidRPr="0072204D" w:rsidRDefault="00CC2132" w:rsidP="00B9279C">
      <w:pPr>
        <w:keepNext/>
        <w:spacing w:before="360" w:after="120"/>
        <w:rPr>
          <w:b/>
        </w:rPr>
      </w:pPr>
      <w:r>
        <w:rPr>
          <w:b/>
        </w:rPr>
        <w:t xml:space="preserve">A11. </w:t>
      </w:r>
      <w:r w:rsidRPr="0072204D">
        <w:rPr>
          <w:b/>
        </w:rPr>
        <w:t>Sensitive Questions</w:t>
      </w:r>
    </w:p>
    <w:p w14:paraId="04CE360C" w14:textId="77777777" w:rsidR="00CC2132" w:rsidRDefault="00CC2132" w:rsidP="00CC2132">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 Parents and Children Together (OMB control number</w:t>
      </w:r>
      <w:r w:rsidR="00064A17">
        <w:t xml:space="preserve"> 0970-0403</w:t>
      </w:r>
      <w:r>
        <w:t xml:space="preserve">) and the Workforce Investment Act Gold Standard Evaluation (OMB control number </w:t>
      </w:r>
      <w:r w:rsidR="00064A17">
        <w:t>1205-0504</w:t>
      </w:r>
      <w:r>
        <w:t xml:space="preserve">). </w:t>
      </w:r>
    </w:p>
    <w:p w14:paraId="75FC2B52" w14:textId="77777777" w:rsidR="00CC2132" w:rsidRPr="00FB2A77" w:rsidRDefault="00CC2132" w:rsidP="00CC2132">
      <w:pPr>
        <w:pStyle w:val="NormalSS"/>
        <w:ind w:firstLine="0"/>
      </w:pPr>
      <w:r>
        <w:t>The sensitive questions in the data collection instruments relevant for this ICR include:</w:t>
      </w:r>
    </w:p>
    <w:p w14:paraId="6616D522" w14:textId="7A9AC1C7" w:rsidR="00CC2132" w:rsidRDefault="00CC2132" w:rsidP="004453F8">
      <w:pPr>
        <w:pStyle w:val="NormalSS"/>
        <w:numPr>
          <w:ilvl w:val="0"/>
          <w:numId w:val="28"/>
        </w:numPr>
        <w:spacing w:after="120"/>
        <w:ind w:left="720"/>
      </w:pPr>
      <w:r w:rsidRPr="00454199">
        <w:rPr>
          <w:b/>
        </w:rPr>
        <w:t>Respondent</w:t>
      </w:r>
      <w:r w:rsidR="00E0111A" w:rsidRPr="00454199">
        <w:rPr>
          <w:b/>
        </w:rPr>
        <w:t>s</w:t>
      </w:r>
      <w:r w:rsidR="009D5FC2" w:rsidRPr="00454199">
        <w:rPr>
          <w:b/>
        </w:rPr>
        <w:t>’</w:t>
      </w:r>
      <w:r w:rsidRPr="00454199">
        <w:rPr>
          <w:b/>
        </w:rPr>
        <w:t xml:space="preserve"> Social Security number</w:t>
      </w:r>
      <w:r w:rsidR="009D5FC2" w:rsidRPr="00454199">
        <w:rPr>
          <w:b/>
        </w:rPr>
        <w:t>s</w:t>
      </w:r>
      <w:r>
        <w:rPr>
          <w:b/>
          <w:i/>
        </w:rPr>
        <w:t xml:space="preserve">. </w:t>
      </w:r>
      <w:r w:rsidR="009D5FC2">
        <w:t>R</w:t>
      </w:r>
      <w:r w:rsidRPr="00BB3FE7">
        <w:t>espondents</w:t>
      </w:r>
      <w:r w:rsidR="009D5FC2">
        <w:t>’</w:t>
      </w:r>
      <w:r w:rsidRPr="00BB3FE7">
        <w:t xml:space="preserve"> Social Security number</w:t>
      </w:r>
      <w:r w:rsidR="009D5FC2">
        <w:t>s</w:t>
      </w:r>
      <w:r w:rsidRPr="00BB3FE7">
        <w:t xml:space="preserve"> </w:t>
      </w:r>
      <w:r w:rsidR="009D5FC2">
        <w:t>are</w:t>
      </w:r>
      <w:r w:rsidR="009D5FC2" w:rsidRPr="00BB3FE7">
        <w:t xml:space="preserve"> </w:t>
      </w:r>
      <w:r>
        <w:t xml:space="preserve">necessary to collect administrative data </w:t>
      </w:r>
      <w:r w:rsidRPr="00BB3FE7">
        <w:t>on respondent</w:t>
      </w:r>
      <w:r w:rsidR="00AF7FE0">
        <w:t>s</w:t>
      </w:r>
      <w:r w:rsidRPr="00BB3FE7">
        <w:t xml:space="preserve"> from </w:t>
      </w:r>
      <w:r>
        <w:t>NDNH and TANF administrative</w:t>
      </w:r>
      <w:r w:rsidRPr="00BB3FE7">
        <w:t xml:space="preserve"> databases. </w:t>
      </w:r>
      <w:r w:rsidR="00183F04">
        <w:t xml:space="preserve">Respondents will be informed that the study may contact federal and state agencies for information about their employment and earnings and receipt of benefits. </w:t>
      </w:r>
      <w:r w:rsidRPr="00BB3FE7">
        <w:t xml:space="preserve">Social Security numbers </w:t>
      </w:r>
      <w:r w:rsidR="0055489C">
        <w:t xml:space="preserve">will be used </w:t>
      </w:r>
      <w:r w:rsidRPr="00BB3FE7">
        <w:t>to collect information</w:t>
      </w:r>
      <w:r w:rsidR="00D47898">
        <w:t xml:space="preserve"> through an online locating database</w:t>
      </w:r>
      <w:r w:rsidRPr="00BB3FE7">
        <w:t xml:space="preserve"> on the location of study participant</w:t>
      </w:r>
      <w:r w:rsidR="000A7F16">
        <w:t>s</w:t>
      </w:r>
      <w:r w:rsidRPr="00BB3FE7">
        <w:t xml:space="preserve"> for the follow-up </w:t>
      </w:r>
      <w:r>
        <w:t xml:space="preserve">survey </w:t>
      </w:r>
      <w:r w:rsidRPr="00BB3FE7">
        <w:t xml:space="preserve">data collection. </w:t>
      </w:r>
      <w:r w:rsidR="0055489C">
        <w:t xml:space="preserve">Social Security </w:t>
      </w:r>
      <w:r>
        <w:t>numbers, along with name</w:t>
      </w:r>
      <w:r w:rsidR="009D5FC2">
        <w:t>s</w:t>
      </w:r>
      <w:r>
        <w:t xml:space="preserve"> and birthdate</w:t>
      </w:r>
      <w:r w:rsidR="009D5FC2">
        <w:t>s</w:t>
      </w:r>
      <w:r>
        <w:t>,</w:t>
      </w:r>
      <w:r w:rsidR="0055489C">
        <w:t xml:space="preserve"> will also be used</w:t>
      </w:r>
      <w:r>
        <w:t xml:space="preserve"> to verify </w:t>
      </w:r>
      <w:r w:rsidR="009D5FC2">
        <w:t xml:space="preserve">respondents’ </w:t>
      </w:r>
      <w:r>
        <w:t>identit</w:t>
      </w:r>
      <w:r w:rsidR="009D5FC2">
        <w:t>ies</w:t>
      </w:r>
      <w:r>
        <w:t xml:space="preserve">. Social Security numbers will be collected at baseline and </w:t>
      </w:r>
      <w:r w:rsidR="0055489C">
        <w:t xml:space="preserve">verified </w:t>
      </w:r>
      <w:r>
        <w:t>during the follow-up survey.</w:t>
      </w:r>
    </w:p>
    <w:p w14:paraId="14FB6C5F" w14:textId="46C4C48E" w:rsidR="00CC2132" w:rsidRPr="009F4E00" w:rsidRDefault="00CC2132" w:rsidP="004453F8">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337CD5">
        <w:t xml:space="preserve">follow-up </w:t>
      </w:r>
      <w:r w:rsidRPr="00BB3FE7">
        <w:t>survey ask</w:t>
      </w:r>
      <w:r>
        <w:t>s about each job worked since random assignment, the wage rate, and the number of hours worked per week. This information will be collected on the first follow-up survey and discuss</w:t>
      </w:r>
      <w:r w:rsidR="002C45C5">
        <w:t>ed</w:t>
      </w:r>
      <w:r>
        <w:t xml:space="preserve"> during the in-depth participant interviews.</w:t>
      </w:r>
    </w:p>
    <w:p w14:paraId="0C792506" w14:textId="1C3989F5" w:rsidR="00CC2132" w:rsidRDefault="001A6F34" w:rsidP="004453F8">
      <w:pPr>
        <w:pStyle w:val="NormalSS"/>
        <w:numPr>
          <w:ilvl w:val="0"/>
          <w:numId w:val="28"/>
        </w:numPr>
        <w:spacing w:after="120"/>
        <w:ind w:left="720"/>
      </w:pPr>
      <w:r w:rsidRPr="00454199">
        <w:rPr>
          <w:b/>
        </w:rPr>
        <w:t>Challenges</w:t>
      </w:r>
      <w:r w:rsidR="00CC2132" w:rsidRPr="00454199">
        <w:rPr>
          <w:b/>
        </w:rPr>
        <w:t xml:space="preserve"> to employment</w:t>
      </w:r>
      <w:r w:rsidR="00CC2132" w:rsidRPr="00D62335">
        <w:rPr>
          <w:b/>
          <w:i/>
        </w:rPr>
        <w:t>.</w:t>
      </w:r>
      <w:r w:rsidR="00CC2132" w:rsidRPr="009F4E00">
        <w:t xml:space="preserve"> </w:t>
      </w:r>
      <w:r w:rsidR="00CC2132">
        <w:t xml:space="preserve">It is important to ask about </w:t>
      </w:r>
      <w:r>
        <w:t>challenges</w:t>
      </w:r>
      <w:r w:rsidR="00CC2132">
        <w:t xml:space="preserve"> to employment both at baseline and at follow-up. The </w:t>
      </w:r>
      <w:r>
        <w:t>reported challenges</w:t>
      </w:r>
      <w:r w:rsidR="00CC2132">
        <w:t xml:space="preserve"> at baseline can be used to define subgroups for whom the program may be particularly effective or ineffective. It is important to ask about </w:t>
      </w:r>
      <w:r>
        <w:t>challenges</w:t>
      </w:r>
      <w:r w:rsidR="00CC2132">
        <w:t xml:space="preserve"> to employment in the follow-up survey because the coaching intervention may have addressed these </w:t>
      </w:r>
      <w:r>
        <w:t>challenges</w:t>
      </w:r>
      <w:r w:rsidR="00CC2132">
        <w:t xml:space="preserve">. </w:t>
      </w:r>
      <w:r>
        <w:t>Challenges</w:t>
      </w:r>
      <w:r w:rsidR="00CC2132">
        <w:t xml:space="preserve"> measured through the surveys</w:t>
      </w:r>
      <w:r w:rsidR="00CC2132" w:rsidRPr="009F4E00">
        <w:t xml:space="preserve"> </w:t>
      </w:r>
      <w:r w:rsidR="00CC2132">
        <w:t xml:space="preserve">include problems with transportation, needing to take care of a family member, lack of clothes or tools, not having the right education or skills, and having a criminal record. These </w:t>
      </w:r>
      <w:r>
        <w:t>challenges</w:t>
      </w:r>
      <w:r w:rsidR="00CC2132">
        <w:t xml:space="preserve"> may also be discussed during the in-depth participant interviews. </w:t>
      </w:r>
    </w:p>
    <w:p w14:paraId="1E8E069D" w14:textId="77777777" w:rsidR="00CC2132" w:rsidRDefault="00CC2132" w:rsidP="004453F8">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and convictions that occurred after random assignment as an outcome</w:t>
      </w:r>
      <w:r w:rsidR="009373B7">
        <w:t xml:space="preserve"> that may be affected by coaching</w:t>
      </w:r>
      <w:r w:rsidR="001A6F34">
        <w:t xml:space="preserve">. This information </w:t>
      </w:r>
      <w:r w:rsidR="00454199">
        <w:t>will be collected on the first follow-up survey. C</w:t>
      </w:r>
      <w:r>
        <w:t xml:space="preserve">riminal history may </w:t>
      </w:r>
      <w:r w:rsidR="00AF7FE0">
        <w:t xml:space="preserve">also </w:t>
      </w:r>
      <w:r>
        <w:t>be discussed during the in-depth participant interviews.</w:t>
      </w:r>
    </w:p>
    <w:p w14:paraId="49A067B0" w14:textId="77777777" w:rsidR="00CC2132" w:rsidRPr="00E54657" w:rsidRDefault="00CC2132" w:rsidP="004453F8">
      <w:pPr>
        <w:pStyle w:val="NormalSS"/>
        <w:numPr>
          <w:ilvl w:val="0"/>
          <w:numId w:val="28"/>
        </w:numPr>
        <w:spacing w:after="120"/>
        <w:ind w:left="720"/>
      </w:pPr>
      <w:r w:rsidRPr="00454199">
        <w:rPr>
          <w:b/>
        </w:rPr>
        <w:t>Economic hardships</w:t>
      </w:r>
      <w:r>
        <w:rPr>
          <w:b/>
          <w:i/>
        </w:rPr>
        <w:t>.</w:t>
      </w:r>
      <w:r>
        <w:t xml:space="preserve"> The follow-up survey asks about economic hardships, such as missing meals or needing to borrow money from friends. These outcomes reflect a lack of self-sufficiency and may be affected by </w:t>
      </w:r>
      <w:r w:rsidR="00454199">
        <w:t>coaching</w:t>
      </w:r>
      <w:r>
        <w:t xml:space="preserve">. Economic hardships may also be discussed as part of the in-depth participant interviews. </w:t>
      </w:r>
    </w:p>
    <w:p w14:paraId="29B69CB0" w14:textId="77777777" w:rsidR="00945CD6" w:rsidRPr="0072204D" w:rsidRDefault="00292B70" w:rsidP="00B9279C">
      <w:pPr>
        <w:keepNext/>
        <w:spacing w:before="360" w:after="120"/>
        <w:rPr>
          <w:b/>
        </w:rPr>
      </w:pPr>
      <w:r>
        <w:rPr>
          <w:b/>
        </w:rPr>
        <w:t xml:space="preserve">A12. </w:t>
      </w:r>
      <w:r w:rsidR="00945CD6" w:rsidRPr="0072204D">
        <w:rPr>
          <w:b/>
        </w:rPr>
        <w:t>Estimation of Information Collection Burden</w:t>
      </w:r>
    </w:p>
    <w:p w14:paraId="5DA5C5EE" w14:textId="77777777" w:rsidR="00EB5DA0" w:rsidRPr="001B04C4" w:rsidRDefault="00EB5DA0" w:rsidP="00EB5DA0">
      <w:pPr>
        <w:pStyle w:val="H3Alpha"/>
        <w:rPr>
          <w:rFonts w:ascii="Times New Roman" w:hAnsi="Times New Roman"/>
          <w:b/>
          <w:i/>
          <w:sz w:val="24"/>
          <w:szCs w:val="24"/>
        </w:rPr>
      </w:pPr>
      <w:r w:rsidRPr="001B04C4">
        <w:rPr>
          <w:rFonts w:ascii="Times New Roman" w:hAnsi="Times New Roman"/>
          <w:b/>
          <w:i/>
          <w:sz w:val="24"/>
          <w:szCs w:val="24"/>
        </w:rPr>
        <w:t>Newly Requested Information Collections</w:t>
      </w:r>
      <w:r w:rsidR="00C250B8" w:rsidRPr="001B04C4">
        <w:rPr>
          <w:rFonts w:ascii="Times New Roman" w:hAnsi="Times New Roman"/>
          <w:b/>
          <w:i/>
          <w:sz w:val="24"/>
          <w:szCs w:val="24"/>
        </w:rPr>
        <w:t xml:space="preserve"> </w:t>
      </w:r>
    </w:p>
    <w:p w14:paraId="3BA72BEE" w14:textId="789C387D" w:rsidR="00EB5DA0" w:rsidRDefault="00EB5DA0" w:rsidP="004453F8">
      <w:pPr>
        <w:pStyle w:val="NormalSS"/>
        <w:ind w:firstLine="0"/>
        <w:rPr>
          <w:szCs w:val="24"/>
        </w:rPr>
      </w:pPr>
      <w:r>
        <w:rPr>
          <w:szCs w:val="24"/>
        </w:rPr>
        <w:t xml:space="preserve">The estimated reporting burden and cost for the data collection instruments </w:t>
      </w:r>
      <w:r w:rsidR="00FD32FB">
        <w:rPr>
          <w:szCs w:val="24"/>
        </w:rPr>
        <w:t xml:space="preserve">and efforts </w:t>
      </w:r>
      <w:r>
        <w:rPr>
          <w:szCs w:val="24"/>
        </w:rPr>
        <w:t xml:space="preserve">included in this ICR are presented in </w:t>
      </w:r>
      <w:r w:rsidR="00FD32FB">
        <w:rPr>
          <w:szCs w:val="24"/>
        </w:rPr>
        <w:t xml:space="preserve">Table </w:t>
      </w:r>
      <w:r>
        <w:rPr>
          <w:szCs w:val="24"/>
        </w:rPr>
        <w:t>A.</w:t>
      </w:r>
      <w:r w:rsidR="007A054B">
        <w:rPr>
          <w:szCs w:val="24"/>
        </w:rPr>
        <w:t>3</w:t>
      </w:r>
      <w:r>
        <w:rPr>
          <w:szCs w:val="24"/>
        </w:rPr>
        <w:t>.</w:t>
      </w:r>
      <w:r w:rsidR="00A34019">
        <w:rPr>
          <w:szCs w:val="24"/>
        </w:rPr>
        <w:t xml:space="preserve"> </w:t>
      </w:r>
    </w:p>
    <w:p w14:paraId="174D1597" w14:textId="77777777" w:rsidR="00EB5DA0" w:rsidRDefault="001B28A3" w:rsidP="00EB5DA0">
      <w:pPr>
        <w:pStyle w:val="NormalSS"/>
        <w:ind w:firstLine="0"/>
        <w:rPr>
          <w:szCs w:val="24"/>
        </w:rPr>
      </w:pPr>
      <w:r>
        <w:rPr>
          <w:szCs w:val="24"/>
        </w:rPr>
        <w:t>Details of the estimates are</w:t>
      </w:r>
      <w:r w:rsidR="00EB5DA0">
        <w:rPr>
          <w:szCs w:val="24"/>
        </w:rPr>
        <w:t xml:space="preserve"> as follows:</w:t>
      </w:r>
    </w:p>
    <w:p w14:paraId="03420A51" w14:textId="77777777" w:rsidR="00072207" w:rsidRPr="00072207" w:rsidRDefault="00B36930" w:rsidP="0082700D">
      <w:pPr>
        <w:pStyle w:val="NormalSS"/>
        <w:numPr>
          <w:ilvl w:val="0"/>
          <w:numId w:val="28"/>
        </w:numPr>
        <w:spacing w:after="120"/>
        <w:ind w:left="720"/>
        <w:rPr>
          <w:szCs w:val="24"/>
        </w:rPr>
      </w:pPr>
      <w:r>
        <w:rPr>
          <w:b/>
          <w:szCs w:val="24"/>
        </w:rPr>
        <w:t>B</w:t>
      </w:r>
      <w:r w:rsidR="00EB5DA0" w:rsidRPr="00C7125E">
        <w:rPr>
          <w:b/>
          <w:szCs w:val="24"/>
        </w:rPr>
        <w:t xml:space="preserve">aseline </w:t>
      </w:r>
      <w:r w:rsidR="007149D7">
        <w:rPr>
          <w:b/>
          <w:szCs w:val="24"/>
        </w:rPr>
        <w:t>data collection</w:t>
      </w:r>
      <w:r w:rsidR="00EB5DA0">
        <w:rPr>
          <w:b/>
          <w:szCs w:val="24"/>
        </w:rPr>
        <w:t xml:space="preserve">. </w:t>
      </w:r>
      <w:r w:rsidR="00072207" w:rsidRPr="00072207">
        <w:rPr>
          <w:szCs w:val="24"/>
        </w:rPr>
        <w:t>Baseline data collection involves both study participants and program staff</w:t>
      </w:r>
      <w:r w:rsidR="00072207">
        <w:rPr>
          <w:b/>
          <w:szCs w:val="24"/>
        </w:rPr>
        <w:t xml:space="preserve">. </w:t>
      </w:r>
      <w:r w:rsidR="00072207" w:rsidRPr="00072207">
        <w:rPr>
          <w:szCs w:val="24"/>
        </w:rPr>
        <w:t>These burden estimates for baseline data collection for both respondents and staff include the time spent administering the consent process.</w:t>
      </w:r>
    </w:p>
    <w:p w14:paraId="17926B58" w14:textId="77777777" w:rsidR="00072207" w:rsidRDefault="00EB5DA0" w:rsidP="00072207">
      <w:pPr>
        <w:pStyle w:val="NormalSS"/>
        <w:numPr>
          <w:ilvl w:val="0"/>
          <w:numId w:val="28"/>
        </w:numPr>
        <w:spacing w:after="120"/>
        <w:rPr>
          <w:szCs w:val="24"/>
        </w:rPr>
      </w:pPr>
      <w:r>
        <w:rPr>
          <w:szCs w:val="24"/>
        </w:rPr>
        <w:t xml:space="preserve">We expect </w:t>
      </w:r>
      <w:r w:rsidR="00454199">
        <w:rPr>
          <w:szCs w:val="24"/>
        </w:rPr>
        <w:t xml:space="preserve">about </w:t>
      </w:r>
      <w:r>
        <w:rPr>
          <w:szCs w:val="24"/>
        </w:rPr>
        <w:t xml:space="preserve">6,000 </w:t>
      </w:r>
      <w:r w:rsidR="00072207" w:rsidRPr="00072207">
        <w:rPr>
          <w:i/>
          <w:szCs w:val="24"/>
        </w:rPr>
        <w:t>study participants</w:t>
      </w:r>
      <w:r>
        <w:rPr>
          <w:szCs w:val="24"/>
        </w:rPr>
        <w:t xml:space="preserve"> </w:t>
      </w:r>
      <w:r w:rsidR="00325F49">
        <w:rPr>
          <w:szCs w:val="24"/>
        </w:rPr>
        <w:t xml:space="preserve">(2,000 in each of three </w:t>
      </w:r>
      <w:r w:rsidR="00325F49" w:rsidRPr="004453F8">
        <w:t>programs</w:t>
      </w:r>
      <w:r w:rsidR="00325F49">
        <w:rPr>
          <w:szCs w:val="24"/>
        </w:rPr>
        <w:t xml:space="preserve">) </w:t>
      </w:r>
      <w:r>
        <w:rPr>
          <w:szCs w:val="24"/>
        </w:rPr>
        <w:t xml:space="preserve">will complete </w:t>
      </w:r>
      <w:r w:rsidR="007149D7">
        <w:rPr>
          <w:szCs w:val="24"/>
        </w:rPr>
        <w:t>baseline data collection</w:t>
      </w:r>
      <w:r>
        <w:rPr>
          <w:szCs w:val="24"/>
        </w:rPr>
        <w:t xml:space="preserve">. Annualizing 6,000 over </w:t>
      </w:r>
      <w:r w:rsidR="00E0780E">
        <w:rPr>
          <w:szCs w:val="24"/>
        </w:rPr>
        <w:t>three</w:t>
      </w:r>
      <w:r>
        <w:rPr>
          <w:szCs w:val="24"/>
        </w:rPr>
        <w:t xml:space="preserve"> years is </w:t>
      </w:r>
      <w:r w:rsidR="00E0780E">
        <w:rPr>
          <w:szCs w:val="24"/>
        </w:rPr>
        <w:t>2</w:t>
      </w:r>
      <w:r>
        <w:rPr>
          <w:szCs w:val="24"/>
        </w:rPr>
        <w:t>,000</w:t>
      </w:r>
      <w:r w:rsidR="00FD32FB">
        <w:rPr>
          <w:szCs w:val="24"/>
        </w:rPr>
        <w:t xml:space="preserve"> per year</w:t>
      </w:r>
      <w:r>
        <w:rPr>
          <w:szCs w:val="24"/>
        </w:rPr>
        <w:t>. We expect each survey to last 0.33 hours, for a total of</w:t>
      </w:r>
      <w:r w:rsidR="00E0780E">
        <w:rPr>
          <w:szCs w:val="24"/>
        </w:rPr>
        <w:t xml:space="preserve"> 660</w:t>
      </w:r>
      <w:r>
        <w:rPr>
          <w:szCs w:val="24"/>
        </w:rPr>
        <w:t xml:space="preserve"> hours</w:t>
      </w:r>
      <w:r w:rsidR="00FD32FB">
        <w:rPr>
          <w:szCs w:val="24"/>
        </w:rPr>
        <w:t xml:space="preserve"> per year</w:t>
      </w:r>
      <w:r w:rsidR="00072207">
        <w:rPr>
          <w:szCs w:val="24"/>
        </w:rPr>
        <w:t xml:space="preserve"> for </w:t>
      </w:r>
      <w:r w:rsidR="00072207" w:rsidRPr="00072207">
        <w:rPr>
          <w:szCs w:val="24"/>
        </w:rPr>
        <w:t>study participants</w:t>
      </w:r>
      <w:r>
        <w:rPr>
          <w:szCs w:val="24"/>
        </w:rPr>
        <w:t>.</w:t>
      </w:r>
      <w:r w:rsidR="00A34019">
        <w:rPr>
          <w:szCs w:val="24"/>
        </w:rPr>
        <w:t xml:space="preserve"> </w:t>
      </w:r>
    </w:p>
    <w:p w14:paraId="672CBF00" w14:textId="057397DB" w:rsidR="00EB5DA0" w:rsidRPr="0082700D" w:rsidRDefault="006438BB" w:rsidP="00072207">
      <w:pPr>
        <w:pStyle w:val="NormalSS"/>
        <w:numPr>
          <w:ilvl w:val="0"/>
          <w:numId w:val="28"/>
        </w:numPr>
        <w:spacing w:after="120"/>
        <w:rPr>
          <w:szCs w:val="24"/>
        </w:rPr>
      </w:pPr>
      <w:r>
        <w:rPr>
          <w:szCs w:val="24"/>
        </w:rPr>
        <w:t>W</w:t>
      </w:r>
      <w:r w:rsidR="00EB5DA0" w:rsidRPr="0082700D">
        <w:rPr>
          <w:szCs w:val="24"/>
        </w:rPr>
        <w:t xml:space="preserve">e assume that 60 </w:t>
      </w:r>
      <w:r w:rsidR="00072207" w:rsidRPr="00072207">
        <w:rPr>
          <w:i/>
          <w:szCs w:val="24"/>
        </w:rPr>
        <w:t xml:space="preserve">program </w:t>
      </w:r>
      <w:r w:rsidR="00EB5DA0" w:rsidRPr="00072207">
        <w:rPr>
          <w:i/>
          <w:szCs w:val="24"/>
        </w:rPr>
        <w:t>staff</w:t>
      </w:r>
      <w:r w:rsidR="00EB5DA0" w:rsidRPr="0082700D">
        <w:rPr>
          <w:szCs w:val="24"/>
        </w:rPr>
        <w:t xml:space="preserve"> </w:t>
      </w:r>
      <w:r w:rsidR="00DD5F38">
        <w:rPr>
          <w:szCs w:val="24"/>
        </w:rPr>
        <w:t xml:space="preserve">across all three programs </w:t>
      </w:r>
      <w:r w:rsidR="00B2301E">
        <w:rPr>
          <w:szCs w:val="24"/>
        </w:rPr>
        <w:t xml:space="preserve">(approximately 20 per </w:t>
      </w:r>
      <w:r w:rsidR="00D261F5">
        <w:rPr>
          <w:szCs w:val="24"/>
        </w:rPr>
        <w:t>program</w:t>
      </w:r>
      <w:r w:rsidR="00B2301E">
        <w:rPr>
          <w:szCs w:val="24"/>
        </w:rPr>
        <w:t xml:space="preserve">) </w:t>
      </w:r>
      <w:r w:rsidR="00EB5DA0" w:rsidRPr="0082700D">
        <w:rPr>
          <w:szCs w:val="24"/>
        </w:rPr>
        <w:t xml:space="preserve">will </w:t>
      </w:r>
      <w:r w:rsidR="007149D7" w:rsidRPr="0082700D">
        <w:rPr>
          <w:szCs w:val="24"/>
        </w:rPr>
        <w:t>perform the baseline data collection. Annualizing 60 over three years is 20</w:t>
      </w:r>
      <w:r w:rsidR="00FD32FB" w:rsidRPr="0082700D">
        <w:rPr>
          <w:szCs w:val="24"/>
        </w:rPr>
        <w:t xml:space="preserve"> staff </w:t>
      </w:r>
      <w:r w:rsidR="00072207">
        <w:rPr>
          <w:szCs w:val="24"/>
        </w:rPr>
        <w:t xml:space="preserve">members </w:t>
      </w:r>
      <w:r w:rsidR="00FD32FB" w:rsidRPr="0082700D">
        <w:rPr>
          <w:szCs w:val="24"/>
        </w:rPr>
        <w:t>per year</w:t>
      </w:r>
      <w:r w:rsidR="007149D7" w:rsidRPr="0082700D">
        <w:rPr>
          <w:szCs w:val="24"/>
        </w:rPr>
        <w:t xml:space="preserve">. </w:t>
      </w:r>
      <w:r w:rsidR="00EB5DA0" w:rsidRPr="0082700D">
        <w:rPr>
          <w:szCs w:val="24"/>
        </w:rPr>
        <w:t xml:space="preserve">Each staff member will administer 100 surveys </w:t>
      </w:r>
      <w:r w:rsidR="007149D7" w:rsidRPr="0082700D">
        <w:rPr>
          <w:szCs w:val="24"/>
        </w:rPr>
        <w:t>and each survey is expected to last 0.33 hours, for a total of 660 hours</w:t>
      </w:r>
      <w:r w:rsidR="00FD32FB" w:rsidRPr="0082700D">
        <w:rPr>
          <w:szCs w:val="24"/>
        </w:rPr>
        <w:t xml:space="preserve"> per year</w:t>
      </w:r>
      <w:r w:rsidR="00072207">
        <w:rPr>
          <w:szCs w:val="24"/>
        </w:rPr>
        <w:t xml:space="preserve"> by </w:t>
      </w:r>
      <w:r w:rsidR="00072207" w:rsidRPr="00072207">
        <w:rPr>
          <w:szCs w:val="24"/>
        </w:rPr>
        <w:t>staff</w:t>
      </w:r>
      <w:r w:rsidR="007149D7" w:rsidRPr="0082700D">
        <w:rPr>
          <w:szCs w:val="24"/>
        </w:rPr>
        <w:t>.</w:t>
      </w:r>
      <w:r w:rsidR="0082700D" w:rsidRPr="0082700D">
        <w:rPr>
          <w:szCs w:val="24"/>
        </w:rPr>
        <w:t xml:space="preserve"> </w:t>
      </w:r>
    </w:p>
    <w:p w14:paraId="3AA83E0A" w14:textId="2FAB83AD" w:rsidR="00EB5DA0" w:rsidRDefault="00EB5DA0" w:rsidP="004453F8">
      <w:pPr>
        <w:pStyle w:val="NormalSS"/>
        <w:numPr>
          <w:ilvl w:val="0"/>
          <w:numId w:val="28"/>
        </w:numPr>
        <w:spacing w:after="120"/>
        <w:ind w:left="720"/>
        <w:rPr>
          <w:szCs w:val="24"/>
        </w:rPr>
      </w:pPr>
      <w:r>
        <w:rPr>
          <w:b/>
          <w:szCs w:val="24"/>
        </w:rPr>
        <w:t>F</w:t>
      </w:r>
      <w:r w:rsidR="00D02315">
        <w:rPr>
          <w:b/>
          <w:szCs w:val="24"/>
        </w:rPr>
        <w:t>irst f</w:t>
      </w:r>
      <w:r>
        <w:rPr>
          <w:b/>
          <w:szCs w:val="24"/>
        </w:rPr>
        <w:t xml:space="preserve">ollow-up survey. </w:t>
      </w:r>
      <w:r w:rsidRPr="00006DA3">
        <w:rPr>
          <w:szCs w:val="24"/>
        </w:rPr>
        <w:t>We</w:t>
      </w:r>
      <w:r w:rsidR="00336C22">
        <w:rPr>
          <w:szCs w:val="24"/>
        </w:rPr>
        <w:t xml:space="preserve"> expect to survey</w:t>
      </w:r>
      <w:r w:rsidRPr="00FC41E4">
        <w:rPr>
          <w:szCs w:val="24"/>
        </w:rPr>
        <w:t xml:space="preserve"> </w:t>
      </w:r>
      <w:r>
        <w:rPr>
          <w:szCs w:val="24"/>
        </w:rPr>
        <w:t xml:space="preserve">3,000 </w:t>
      </w:r>
      <w:r w:rsidR="008407BC">
        <w:rPr>
          <w:szCs w:val="24"/>
        </w:rPr>
        <w:t xml:space="preserve">study participants </w:t>
      </w:r>
      <w:r>
        <w:rPr>
          <w:szCs w:val="24"/>
        </w:rPr>
        <w:t>(</w:t>
      </w:r>
      <w:r w:rsidRPr="00FC41E4">
        <w:rPr>
          <w:szCs w:val="24"/>
        </w:rPr>
        <w:t xml:space="preserve">1,000 </w:t>
      </w:r>
      <w:r w:rsidR="008407BC">
        <w:rPr>
          <w:szCs w:val="24"/>
        </w:rPr>
        <w:t>participants</w:t>
      </w:r>
      <w:r w:rsidR="008407BC" w:rsidRPr="00FC41E4">
        <w:rPr>
          <w:szCs w:val="24"/>
        </w:rPr>
        <w:t xml:space="preserve"> </w:t>
      </w:r>
      <w:r w:rsidRPr="00FC41E4">
        <w:rPr>
          <w:szCs w:val="24"/>
        </w:rPr>
        <w:t>per</w:t>
      </w:r>
      <w:r w:rsidR="00652CC3">
        <w:rPr>
          <w:szCs w:val="24"/>
        </w:rPr>
        <w:t xml:space="preserve"> program</w:t>
      </w:r>
      <w:r>
        <w:rPr>
          <w:szCs w:val="24"/>
        </w:rPr>
        <w:t>).</w:t>
      </w:r>
      <w:r w:rsidR="00336C22">
        <w:rPr>
          <w:szCs w:val="24"/>
        </w:rPr>
        <w:t xml:space="preserve"> If the study includes more than 1,000 participants per program, </w:t>
      </w:r>
      <w:r w:rsidR="000B7029">
        <w:rPr>
          <w:szCs w:val="24"/>
        </w:rPr>
        <w:t xml:space="preserve">then </w:t>
      </w:r>
      <w:r w:rsidR="00336C22">
        <w:rPr>
          <w:szCs w:val="24"/>
        </w:rPr>
        <w:t xml:space="preserve">the survey will be </w:t>
      </w:r>
      <w:r w:rsidR="000B7029">
        <w:rPr>
          <w:szCs w:val="24"/>
        </w:rPr>
        <w:t>administered to</w:t>
      </w:r>
      <w:r w:rsidR="00336C22">
        <w:rPr>
          <w:szCs w:val="24"/>
        </w:rPr>
        <w:t xml:space="preserve"> a random sample of 1,000 study participants.</w:t>
      </w:r>
      <w:r>
        <w:rPr>
          <w:szCs w:val="24"/>
        </w:rPr>
        <w:t xml:space="preserve"> We anticipate an </w:t>
      </w:r>
      <w:r w:rsidRPr="00FC41E4">
        <w:rPr>
          <w:szCs w:val="24"/>
        </w:rPr>
        <w:t>80 percent response rate</w:t>
      </w:r>
      <w:r>
        <w:rPr>
          <w:szCs w:val="24"/>
        </w:rPr>
        <w:t xml:space="preserve"> or 2,400 </w:t>
      </w:r>
      <w:r w:rsidRPr="004453F8">
        <w:t>respondents</w:t>
      </w:r>
      <w:r>
        <w:rPr>
          <w:szCs w:val="24"/>
        </w:rPr>
        <w:t>.</w:t>
      </w:r>
      <w:r w:rsidR="007443B2">
        <w:rPr>
          <w:rStyle w:val="FootnoteReference"/>
          <w:szCs w:val="24"/>
        </w:rPr>
        <w:footnoteReference w:id="3"/>
      </w:r>
      <w:r>
        <w:rPr>
          <w:szCs w:val="24"/>
        </w:rPr>
        <w:t xml:space="preserve"> Annualizing 2,400 respondents over </w:t>
      </w:r>
      <w:r w:rsidR="0044502D">
        <w:rPr>
          <w:szCs w:val="24"/>
        </w:rPr>
        <w:t>three</w:t>
      </w:r>
      <w:r>
        <w:rPr>
          <w:szCs w:val="24"/>
        </w:rPr>
        <w:t xml:space="preserve"> years yields </w:t>
      </w:r>
      <w:r w:rsidR="0044502D">
        <w:rPr>
          <w:szCs w:val="24"/>
        </w:rPr>
        <w:t>800</w:t>
      </w:r>
      <w:r>
        <w:rPr>
          <w:szCs w:val="24"/>
        </w:rPr>
        <w:t xml:space="preserve"> respondents per year. We expect each survey to last </w:t>
      </w:r>
      <w:r w:rsidR="000C405F">
        <w:rPr>
          <w:szCs w:val="24"/>
        </w:rPr>
        <w:t>one</w:t>
      </w:r>
      <w:r>
        <w:rPr>
          <w:szCs w:val="24"/>
        </w:rPr>
        <w:t xml:space="preserve"> hour, for a total of </w:t>
      </w:r>
      <w:r w:rsidR="0044502D">
        <w:rPr>
          <w:szCs w:val="24"/>
        </w:rPr>
        <w:t>800</w:t>
      </w:r>
      <w:r>
        <w:rPr>
          <w:szCs w:val="24"/>
        </w:rPr>
        <w:t xml:space="preserve"> annualized burden hours. </w:t>
      </w:r>
    </w:p>
    <w:p w14:paraId="6360D3B5" w14:textId="701D704F" w:rsidR="00EB5DA0" w:rsidRPr="00923A16" w:rsidRDefault="00D02315" w:rsidP="004453F8">
      <w:pPr>
        <w:pStyle w:val="NormalSS"/>
        <w:numPr>
          <w:ilvl w:val="0"/>
          <w:numId w:val="28"/>
        </w:numPr>
        <w:spacing w:after="120"/>
        <w:ind w:left="720"/>
        <w:rPr>
          <w:b/>
          <w:szCs w:val="24"/>
        </w:rPr>
      </w:pPr>
      <w:r w:rsidRPr="00A34019">
        <w:rPr>
          <w:b/>
          <w:szCs w:val="24"/>
        </w:rPr>
        <w:t>Semi-structured staff</w:t>
      </w:r>
      <w:r>
        <w:rPr>
          <w:szCs w:val="24"/>
        </w:rPr>
        <w:t xml:space="preserve"> </w:t>
      </w:r>
      <w:r>
        <w:rPr>
          <w:b/>
          <w:szCs w:val="24"/>
        </w:rPr>
        <w:t>i</w:t>
      </w:r>
      <w:r w:rsidR="00EB5DA0" w:rsidRPr="00923A16">
        <w:rPr>
          <w:b/>
          <w:szCs w:val="24"/>
        </w:rPr>
        <w:t xml:space="preserve">nterviews. </w:t>
      </w:r>
      <w:r w:rsidR="00EB5DA0" w:rsidRPr="00923A16">
        <w:rPr>
          <w:szCs w:val="24"/>
        </w:rPr>
        <w:t>We expect to interview 66 program staff across all three</w:t>
      </w:r>
      <w:r w:rsidR="00652CC3">
        <w:rPr>
          <w:szCs w:val="24"/>
        </w:rPr>
        <w:t xml:space="preserve"> program</w:t>
      </w:r>
      <w:r w:rsidR="00D261F5">
        <w:rPr>
          <w:szCs w:val="24"/>
        </w:rPr>
        <w:t>s</w:t>
      </w:r>
      <w:r w:rsidR="00EB5DA0" w:rsidRPr="00923A16">
        <w:rPr>
          <w:szCs w:val="24"/>
        </w:rPr>
        <w:t xml:space="preserve"> (approximately 22 per</w:t>
      </w:r>
      <w:r w:rsidR="00652CC3">
        <w:rPr>
          <w:szCs w:val="24"/>
        </w:rPr>
        <w:t xml:space="preserve"> program</w:t>
      </w:r>
      <w:r w:rsidR="00EB5DA0" w:rsidRPr="00923A16">
        <w:rPr>
          <w:szCs w:val="24"/>
        </w:rPr>
        <w:t xml:space="preserve">). </w:t>
      </w:r>
      <w:r w:rsidR="003C2C8D">
        <w:rPr>
          <w:szCs w:val="24"/>
        </w:rPr>
        <w:t xml:space="preserve">Annualizing 66 </w:t>
      </w:r>
      <w:r w:rsidR="003C2C8D" w:rsidRPr="004453F8">
        <w:t>respondents</w:t>
      </w:r>
      <w:r w:rsidR="003C2C8D">
        <w:rPr>
          <w:szCs w:val="24"/>
        </w:rPr>
        <w:t xml:space="preserve"> over three years yields 22 respondents per year. We expect each interview to last </w:t>
      </w:r>
      <w:r w:rsidR="00EB5DA0" w:rsidRPr="00923A16">
        <w:rPr>
          <w:szCs w:val="24"/>
        </w:rPr>
        <w:t>1.5 hours</w:t>
      </w:r>
      <w:r w:rsidR="003C2C8D">
        <w:rPr>
          <w:szCs w:val="24"/>
        </w:rPr>
        <w:t xml:space="preserve"> on average</w:t>
      </w:r>
      <w:r w:rsidR="00337CD5">
        <w:rPr>
          <w:szCs w:val="24"/>
        </w:rPr>
        <w:t>,</w:t>
      </w:r>
      <w:r w:rsidR="00EB5DA0" w:rsidRPr="00923A16">
        <w:rPr>
          <w:szCs w:val="24"/>
        </w:rPr>
        <w:t xml:space="preserve"> for a total</w:t>
      </w:r>
      <w:r w:rsidR="003C2C8D">
        <w:rPr>
          <w:szCs w:val="24"/>
        </w:rPr>
        <w:t xml:space="preserve"> of</w:t>
      </w:r>
      <w:r w:rsidR="00EB5DA0" w:rsidRPr="00923A16">
        <w:rPr>
          <w:szCs w:val="24"/>
        </w:rPr>
        <w:t xml:space="preserve"> </w:t>
      </w:r>
      <w:r w:rsidR="003C2C8D">
        <w:rPr>
          <w:szCs w:val="24"/>
        </w:rPr>
        <w:t>33 annualized burden hours</w:t>
      </w:r>
      <w:r w:rsidR="00EB5DA0" w:rsidRPr="00923A16">
        <w:rPr>
          <w:szCs w:val="24"/>
        </w:rPr>
        <w:t>.</w:t>
      </w:r>
    </w:p>
    <w:p w14:paraId="14A6AAF0" w14:textId="416C3AED" w:rsidR="00EB5DA0" w:rsidRPr="00923A16" w:rsidRDefault="00EB5DA0" w:rsidP="004453F8">
      <w:pPr>
        <w:pStyle w:val="NormalSS"/>
        <w:numPr>
          <w:ilvl w:val="0"/>
          <w:numId w:val="28"/>
        </w:numPr>
        <w:spacing w:after="120"/>
        <w:ind w:left="720"/>
        <w:rPr>
          <w:b/>
          <w:szCs w:val="24"/>
        </w:rPr>
      </w:pPr>
      <w:r w:rsidRPr="00923A16">
        <w:rPr>
          <w:b/>
          <w:szCs w:val="24"/>
        </w:rPr>
        <w:t xml:space="preserve">Staff survey. </w:t>
      </w:r>
      <w:r w:rsidRPr="00923A16">
        <w:rPr>
          <w:szCs w:val="24"/>
        </w:rPr>
        <w:t>We expect to survey 4</w:t>
      </w:r>
      <w:r w:rsidR="003C2C8D">
        <w:rPr>
          <w:szCs w:val="24"/>
        </w:rPr>
        <w:t>8</w:t>
      </w:r>
      <w:r w:rsidRPr="00923A16">
        <w:rPr>
          <w:szCs w:val="24"/>
        </w:rPr>
        <w:t xml:space="preserve"> program staff </w:t>
      </w:r>
      <w:r w:rsidR="000C405F">
        <w:rPr>
          <w:szCs w:val="24"/>
        </w:rPr>
        <w:t>who</w:t>
      </w:r>
      <w:r w:rsidR="000C405F" w:rsidRPr="00923A16">
        <w:rPr>
          <w:szCs w:val="24"/>
        </w:rPr>
        <w:t xml:space="preserve"> </w:t>
      </w:r>
      <w:r w:rsidRPr="00923A16">
        <w:rPr>
          <w:szCs w:val="24"/>
        </w:rPr>
        <w:t xml:space="preserve">directly interact with </w:t>
      </w:r>
      <w:r w:rsidR="00FD709D">
        <w:rPr>
          <w:szCs w:val="24"/>
        </w:rPr>
        <w:t>participants</w:t>
      </w:r>
      <w:r w:rsidRPr="00923A16">
        <w:rPr>
          <w:szCs w:val="24"/>
        </w:rPr>
        <w:t>.</w:t>
      </w:r>
      <w:r w:rsidR="003C2C8D">
        <w:rPr>
          <w:szCs w:val="24"/>
        </w:rPr>
        <w:t xml:space="preserve"> Annualizing 48 respondents over three years yields 16 respondents per year.</w:t>
      </w:r>
      <w:r w:rsidRPr="00923A16">
        <w:rPr>
          <w:szCs w:val="24"/>
        </w:rPr>
        <w:t xml:space="preserve"> </w:t>
      </w:r>
      <w:r w:rsidRPr="004453F8">
        <w:t>The</w:t>
      </w:r>
      <w:r w:rsidRPr="00923A16">
        <w:rPr>
          <w:szCs w:val="24"/>
        </w:rPr>
        <w:t xml:space="preserve"> survey is expected to last 0.75 </w:t>
      </w:r>
      <w:r w:rsidR="00542F0A">
        <w:rPr>
          <w:szCs w:val="24"/>
        </w:rPr>
        <w:t>hours</w:t>
      </w:r>
      <w:r w:rsidR="00337CD5">
        <w:rPr>
          <w:szCs w:val="24"/>
        </w:rPr>
        <w:t>,</w:t>
      </w:r>
      <w:r w:rsidR="00542F0A" w:rsidRPr="00923A16">
        <w:rPr>
          <w:szCs w:val="24"/>
        </w:rPr>
        <w:t xml:space="preserve"> </w:t>
      </w:r>
      <w:r w:rsidRPr="00923A16">
        <w:rPr>
          <w:szCs w:val="24"/>
        </w:rPr>
        <w:t>for a</w:t>
      </w:r>
      <w:r w:rsidR="003C2C8D">
        <w:rPr>
          <w:szCs w:val="24"/>
        </w:rPr>
        <w:t xml:space="preserve"> total of 12 annualized burden hours</w:t>
      </w:r>
      <w:r w:rsidRPr="00923A16">
        <w:rPr>
          <w:szCs w:val="24"/>
        </w:rPr>
        <w:t>.</w:t>
      </w:r>
    </w:p>
    <w:p w14:paraId="58F8670B" w14:textId="4C10DF21" w:rsidR="00EB5DA0" w:rsidRPr="00923A16" w:rsidRDefault="00EB5DA0" w:rsidP="004453F8">
      <w:pPr>
        <w:pStyle w:val="NormalSS"/>
        <w:numPr>
          <w:ilvl w:val="0"/>
          <w:numId w:val="28"/>
        </w:numPr>
        <w:spacing w:after="120"/>
        <w:ind w:left="720"/>
        <w:rPr>
          <w:b/>
          <w:szCs w:val="24"/>
        </w:rPr>
      </w:pPr>
      <w:r w:rsidRPr="00923A16">
        <w:rPr>
          <w:b/>
          <w:szCs w:val="24"/>
        </w:rPr>
        <w:t xml:space="preserve">In-depth </w:t>
      </w:r>
      <w:r w:rsidR="00D02315">
        <w:rPr>
          <w:b/>
          <w:szCs w:val="24"/>
        </w:rPr>
        <w:t xml:space="preserve">participant </w:t>
      </w:r>
      <w:r w:rsidRPr="00923A16">
        <w:rPr>
          <w:b/>
          <w:szCs w:val="24"/>
        </w:rPr>
        <w:t xml:space="preserve">interviews. </w:t>
      </w:r>
      <w:r w:rsidRPr="00923A16">
        <w:rPr>
          <w:szCs w:val="24"/>
        </w:rPr>
        <w:t xml:space="preserve">We expect to interview 24 </w:t>
      </w:r>
      <w:r w:rsidR="00FD709D">
        <w:rPr>
          <w:szCs w:val="24"/>
        </w:rPr>
        <w:t>participants</w:t>
      </w:r>
      <w:r w:rsidRPr="00923A16">
        <w:rPr>
          <w:szCs w:val="24"/>
        </w:rPr>
        <w:t xml:space="preserve"> (</w:t>
      </w:r>
      <w:r w:rsidR="009244BA">
        <w:rPr>
          <w:szCs w:val="24"/>
        </w:rPr>
        <w:t>eight</w:t>
      </w:r>
      <w:r w:rsidR="00FB4DF7" w:rsidRPr="00923A16">
        <w:rPr>
          <w:szCs w:val="24"/>
        </w:rPr>
        <w:t xml:space="preserve"> </w:t>
      </w:r>
      <w:r w:rsidRPr="00923A16">
        <w:rPr>
          <w:szCs w:val="24"/>
        </w:rPr>
        <w:t xml:space="preserve">in each of the three </w:t>
      </w:r>
      <w:r w:rsidR="00652CC3">
        <w:rPr>
          <w:szCs w:val="24"/>
        </w:rPr>
        <w:t>program</w:t>
      </w:r>
      <w:r w:rsidR="00D261F5">
        <w:rPr>
          <w:szCs w:val="24"/>
        </w:rPr>
        <w:t>s</w:t>
      </w:r>
      <w:r w:rsidRPr="00923A16">
        <w:rPr>
          <w:szCs w:val="24"/>
        </w:rPr>
        <w:t>).</w:t>
      </w:r>
      <w:r w:rsidR="003C2C8D">
        <w:rPr>
          <w:szCs w:val="24"/>
        </w:rPr>
        <w:t xml:space="preserve"> Annualizing 24 respondents over three years yields </w:t>
      </w:r>
      <w:r w:rsidR="009244BA">
        <w:rPr>
          <w:szCs w:val="24"/>
        </w:rPr>
        <w:t>eight</w:t>
      </w:r>
      <w:r w:rsidR="003C2C8D">
        <w:rPr>
          <w:szCs w:val="24"/>
        </w:rPr>
        <w:t xml:space="preserve"> </w:t>
      </w:r>
      <w:r w:rsidR="003C2C8D" w:rsidRPr="004453F8">
        <w:t>respondents</w:t>
      </w:r>
      <w:r w:rsidR="003C2C8D">
        <w:rPr>
          <w:szCs w:val="24"/>
        </w:rPr>
        <w:t xml:space="preserve"> per year.</w:t>
      </w:r>
      <w:r w:rsidRPr="00923A16">
        <w:rPr>
          <w:szCs w:val="24"/>
        </w:rPr>
        <w:t xml:space="preserve"> These interviews are expected to last 2.5 hours on average, </w:t>
      </w:r>
      <w:r w:rsidR="00423119">
        <w:rPr>
          <w:szCs w:val="24"/>
        </w:rPr>
        <w:t>for a total of 20 annualized burden hours</w:t>
      </w:r>
      <w:r w:rsidRPr="00923A16">
        <w:rPr>
          <w:szCs w:val="24"/>
        </w:rPr>
        <w:t>.</w:t>
      </w:r>
    </w:p>
    <w:p w14:paraId="4C95F121" w14:textId="2F1B327A" w:rsidR="00EB5DA0" w:rsidRPr="00923A16" w:rsidRDefault="00EB5DA0" w:rsidP="004453F8">
      <w:pPr>
        <w:pStyle w:val="NormalSS"/>
        <w:numPr>
          <w:ilvl w:val="0"/>
          <w:numId w:val="28"/>
        </w:numPr>
        <w:spacing w:after="120"/>
        <w:ind w:left="720"/>
        <w:rPr>
          <w:b/>
          <w:szCs w:val="24"/>
        </w:rPr>
      </w:pPr>
      <w:r w:rsidRPr="00923A16">
        <w:rPr>
          <w:b/>
          <w:szCs w:val="24"/>
        </w:rPr>
        <w:t xml:space="preserve">Staff reports of program service receipt. </w:t>
      </w:r>
      <w:r w:rsidRPr="00923A16">
        <w:rPr>
          <w:szCs w:val="24"/>
        </w:rPr>
        <w:t xml:space="preserve">We anticipate </w:t>
      </w:r>
      <w:r w:rsidR="00143C0D">
        <w:rPr>
          <w:szCs w:val="24"/>
        </w:rPr>
        <w:t>30 staff members (</w:t>
      </w:r>
      <w:r w:rsidR="00B2301E">
        <w:rPr>
          <w:szCs w:val="24"/>
        </w:rPr>
        <w:t xml:space="preserve">10 in each of </w:t>
      </w:r>
      <w:r w:rsidR="00143C0D">
        <w:rPr>
          <w:szCs w:val="24"/>
        </w:rPr>
        <w:t>the three programs)</w:t>
      </w:r>
      <w:r w:rsidR="00924FB9">
        <w:rPr>
          <w:szCs w:val="24"/>
        </w:rPr>
        <w:t xml:space="preserve"> will enter data on program service receipt into RAPTER</w:t>
      </w:r>
      <w:r w:rsidR="00143C0D">
        <w:rPr>
          <w:szCs w:val="24"/>
        </w:rPr>
        <w:t>. Annualizing, the 30 staff members yields 10 staff members</w:t>
      </w:r>
      <w:r w:rsidR="00B2301E">
        <w:rPr>
          <w:szCs w:val="24"/>
        </w:rPr>
        <w:t xml:space="preserve"> per year</w:t>
      </w:r>
      <w:r w:rsidR="00143C0D">
        <w:rPr>
          <w:szCs w:val="24"/>
        </w:rPr>
        <w:t xml:space="preserve">. We expect </w:t>
      </w:r>
      <w:r w:rsidR="007149D7">
        <w:rPr>
          <w:szCs w:val="24"/>
        </w:rPr>
        <w:t xml:space="preserve">5,200 entries per </w:t>
      </w:r>
      <w:r w:rsidR="00A42315">
        <w:rPr>
          <w:szCs w:val="24"/>
        </w:rPr>
        <w:t xml:space="preserve">staff </w:t>
      </w:r>
      <w:r w:rsidR="00435E44">
        <w:rPr>
          <w:szCs w:val="24"/>
        </w:rPr>
        <w:t xml:space="preserve">member </w:t>
      </w:r>
      <w:r w:rsidR="00A42315">
        <w:rPr>
          <w:szCs w:val="24"/>
        </w:rPr>
        <w:t xml:space="preserve">per </w:t>
      </w:r>
      <w:r w:rsidR="007149D7">
        <w:rPr>
          <w:szCs w:val="24"/>
        </w:rPr>
        <w:t xml:space="preserve">year and </w:t>
      </w:r>
      <w:r w:rsidR="000C405F">
        <w:rPr>
          <w:szCs w:val="24"/>
        </w:rPr>
        <w:t xml:space="preserve">expect </w:t>
      </w:r>
      <w:r w:rsidR="007149D7">
        <w:rPr>
          <w:szCs w:val="24"/>
        </w:rPr>
        <w:t xml:space="preserve">that each entry </w:t>
      </w:r>
      <w:r w:rsidR="000C405F">
        <w:rPr>
          <w:szCs w:val="24"/>
        </w:rPr>
        <w:t>will</w:t>
      </w:r>
      <w:r w:rsidR="007149D7">
        <w:rPr>
          <w:szCs w:val="24"/>
        </w:rPr>
        <w:t xml:space="preserve"> take </w:t>
      </w:r>
      <w:r w:rsidR="000260AD">
        <w:rPr>
          <w:szCs w:val="24"/>
        </w:rPr>
        <w:t xml:space="preserve">just under </w:t>
      </w:r>
      <w:r w:rsidR="007149D7">
        <w:rPr>
          <w:szCs w:val="24"/>
        </w:rPr>
        <w:t>2 minutes</w:t>
      </w:r>
      <w:r w:rsidR="00337CD5">
        <w:rPr>
          <w:szCs w:val="24"/>
        </w:rPr>
        <w:t>,</w:t>
      </w:r>
      <w:r w:rsidR="007149D7">
        <w:rPr>
          <w:szCs w:val="24"/>
        </w:rPr>
        <w:t xml:space="preserve"> for a total of 1,560 annualized burden hours.</w:t>
      </w:r>
    </w:p>
    <w:p w14:paraId="2F505A8D" w14:textId="2EBD3E4F" w:rsidR="00EB5DA0" w:rsidRPr="00072207" w:rsidRDefault="00EB5DA0" w:rsidP="00A35B0D">
      <w:pPr>
        <w:pStyle w:val="NormalSS"/>
        <w:numPr>
          <w:ilvl w:val="0"/>
          <w:numId w:val="28"/>
        </w:numPr>
        <w:spacing w:after="120"/>
        <w:ind w:left="720"/>
        <w:rPr>
          <w:b/>
          <w:szCs w:val="24"/>
        </w:rPr>
      </w:pPr>
      <w:r w:rsidRPr="00923A16">
        <w:rPr>
          <w:b/>
          <w:szCs w:val="24"/>
        </w:rPr>
        <w:t xml:space="preserve">Video recordings of coaching sessions. </w:t>
      </w:r>
      <w:r w:rsidRPr="00923A16">
        <w:rPr>
          <w:szCs w:val="24"/>
        </w:rPr>
        <w:t xml:space="preserve">We anticipate that nine staff from each of the three </w:t>
      </w:r>
      <w:r w:rsidR="00652CC3">
        <w:rPr>
          <w:szCs w:val="24"/>
        </w:rPr>
        <w:t>program</w:t>
      </w:r>
      <w:r w:rsidR="00D261F5">
        <w:rPr>
          <w:szCs w:val="24"/>
        </w:rPr>
        <w:t>s</w:t>
      </w:r>
      <w:r w:rsidRPr="00923A16">
        <w:rPr>
          <w:szCs w:val="24"/>
        </w:rPr>
        <w:t xml:space="preserve"> will</w:t>
      </w:r>
      <w:r w:rsidR="00D23CD1">
        <w:rPr>
          <w:szCs w:val="24"/>
        </w:rPr>
        <w:t xml:space="preserve"> collect these video recordings</w:t>
      </w:r>
      <w:r w:rsidR="00B2301E">
        <w:rPr>
          <w:szCs w:val="24"/>
        </w:rPr>
        <w:t>,</w:t>
      </w:r>
      <w:r w:rsidR="00D9760F">
        <w:rPr>
          <w:szCs w:val="24"/>
        </w:rPr>
        <w:t xml:space="preserve"> for a total of 27 staff</w:t>
      </w:r>
      <w:r w:rsidR="00D23CD1">
        <w:rPr>
          <w:szCs w:val="24"/>
        </w:rPr>
        <w:t xml:space="preserve">. Annualizing over three years </w:t>
      </w:r>
      <w:r w:rsidR="00D23CD1" w:rsidRPr="004453F8">
        <w:t>yields</w:t>
      </w:r>
      <w:r w:rsidR="00D23CD1">
        <w:rPr>
          <w:szCs w:val="24"/>
        </w:rPr>
        <w:t xml:space="preserve"> </w:t>
      </w:r>
      <w:r w:rsidR="000C405F">
        <w:rPr>
          <w:szCs w:val="24"/>
        </w:rPr>
        <w:t>nine</w:t>
      </w:r>
      <w:r w:rsidR="00D23CD1">
        <w:rPr>
          <w:szCs w:val="24"/>
        </w:rPr>
        <w:t xml:space="preserve"> staff</w:t>
      </w:r>
      <w:r w:rsidR="00711A4C">
        <w:rPr>
          <w:szCs w:val="24"/>
        </w:rPr>
        <w:t xml:space="preserve"> per year</w:t>
      </w:r>
      <w:r w:rsidR="00D23CD1">
        <w:rPr>
          <w:szCs w:val="24"/>
        </w:rPr>
        <w:t xml:space="preserve">. Each staff will record </w:t>
      </w:r>
      <w:r w:rsidR="000C405F">
        <w:rPr>
          <w:szCs w:val="24"/>
        </w:rPr>
        <w:t xml:space="preserve">10 </w:t>
      </w:r>
      <w:r w:rsidR="00D23CD1">
        <w:rPr>
          <w:szCs w:val="24"/>
        </w:rPr>
        <w:t xml:space="preserve">sessions and we expect that it will take </w:t>
      </w:r>
      <w:r w:rsidR="009244BA">
        <w:rPr>
          <w:szCs w:val="24"/>
        </w:rPr>
        <w:t>6</w:t>
      </w:r>
      <w:r w:rsidR="00D23CD1">
        <w:rPr>
          <w:szCs w:val="24"/>
        </w:rPr>
        <w:t xml:space="preserve"> minutes to set up the video camera and upload the video to a secure transfer site, for a total of 9 annualized burden hours</w:t>
      </w:r>
      <w:r w:rsidRPr="00923A16">
        <w:rPr>
          <w:szCs w:val="24"/>
        </w:rPr>
        <w:t>.</w:t>
      </w:r>
    </w:p>
    <w:p w14:paraId="38AEABB7" w14:textId="36771292" w:rsidR="00A35B0D" w:rsidRDefault="00B36930" w:rsidP="00143C0D">
      <w:pPr>
        <w:pStyle w:val="NormalSS"/>
        <w:pageBreakBefore/>
        <w:spacing w:after="120"/>
        <w:ind w:left="720" w:firstLine="0"/>
        <w:jc w:val="both"/>
      </w:pPr>
      <w:r w:rsidRPr="00143C0D">
        <w:rPr>
          <w:b/>
        </w:rPr>
        <w:t>Table A.</w:t>
      </w:r>
      <w:r w:rsidR="007A054B">
        <w:rPr>
          <w:b/>
        </w:rPr>
        <w:t>3</w:t>
      </w:r>
      <w:r w:rsidRPr="00143C0D">
        <w:rPr>
          <w:b/>
        </w:rPr>
        <w:t xml:space="preserve"> </w:t>
      </w:r>
      <w:r w:rsidR="00A35B0D" w:rsidRPr="00143C0D">
        <w:rPr>
          <w:b/>
        </w:rPr>
        <w:t xml:space="preserve">Total </w:t>
      </w:r>
      <w:r w:rsidR="004854A2" w:rsidRPr="00143C0D">
        <w:rPr>
          <w:b/>
        </w:rPr>
        <w:t>burden requested under this information collection</w:t>
      </w:r>
    </w:p>
    <w:p w14:paraId="1FFE52D1" w14:textId="77777777" w:rsidR="00436F5E" w:rsidRPr="00A35B0D" w:rsidRDefault="00436F5E" w:rsidP="00A35B0D"/>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6"/>
        <w:gridCol w:w="1244"/>
        <w:gridCol w:w="1239"/>
        <w:gridCol w:w="1165"/>
        <w:gridCol w:w="1097"/>
        <w:gridCol w:w="806"/>
        <w:gridCol w:w="896"/>
        <w:gridCol w:w="1216"/>
      </w:tblGrid>
      <w:tr w:rsidR="0014772A" w:rsidRPr="00BD4CFB" w14:paraId="509BB499" w14:textId="77777777" w:rsidTr="000E4666">
        <w:trPr>
          <w:jc w:val="center"/>
        </w:trPr>
        <w:tc>
          <w:tcPr>
            <w:tcW w:w="1666" w:type="dxa"/>
            <w:shd w:val="clear" w:color="auto" w:fill="BFBFBF"/>
            <w:vAlign w:val="center"/>
          </w:tcPr>
          <w:p w14:paraId="7ABBCC67" w14:textId="77777777" w:rsidR="00C1674B" w:rsidRPr="00BD4CFB" w:rsidRDefault="00C1674B" w:rsidP="00124EBF">
            <w:pPr>
              <w:jc w:val="center"/>
              <w:rPr>
                <w:sz w:val="20"/>
                <w:szCs w:val="20"/>
              </w:rPr>
            </w:pPr>
            <w:r w:rsidRPr="00BD4CFB">
              <w:rPr>
                <w:sz w:val="20"/>
                <w:szCs w:val="20"/>
              </w:rPr>
              <w:t>Instrument</w:t>
            </w:r>
          </w:p>
        </w:tc>
        <w:tc>
          <w:tcPr>
            <w:tcW w:w="1244" w:type="dxa"/>
            <w:shd w:val="clear" w:color="auto" w:fill="BFBFBF"/>
            <w:vAlign w:val="center"/>
          </w:tcPr>
          <w:p w14:paraId="119D7944" w14:textId="77777777" w:rsidR="00C1674B" w:rsidRPr="00BD4CFB" w:rsidRDefault="00C1674B" w:rsidP="00124EBF">
            <w:pPr>
              <w:jc w:val="center"/>
              <w:rPr>
                <w:sz w:val="20"/>
                <w:szCs w:val="20"/>
              </w:rPr>
            </w:pPr>
            <w:r>
              <w:rPr>
                <w:sz w:val="20"/>
                <w:szCs w:val="20"/>
              </w:rPr>
              <w:t xml:space="preserve">Total </w:t>
            </w:r>
            <w:r w:rsidR="006438BB">
              <w:rPr>
                <w:sz w:val="20"/>
                <w:szCs w:val="20"/>
              </w:rPr>
              <w:t>number of r</w:t>
            </w:r>
            <w:r w:rsidRPr="00BD4CFB">
              <w:rPr>
                <w:sz w:val="20"/>
                <w:szCs w:val="20"/>
              </w:rPr>
              <w:t>espondents</w:t>
            </w:r>
          </w:p>
        </w:tc>
        <w:tc>
          <w:tcPr>
            <w:tcW w:w="1239" w:type="dxa"/>
            <w:shd w:val="clear" w:color="auto" w:fill="BFBFBF"/>
            <w:vAlign w:val="center"/>
          </w:tcPr>
          <w:p w14:paraId="6141E444" w14:textId="77777777" w:rsidR="00C1674B" w:rsidRPr="00BD4CFB" w:rsidRDefault="00C1674B" w:rsidP="00C1674B">
            <w:pPr>
              <w:jc w:val="center"/>
              <w:rPr>
                <w:sz w:val="20"/>
                <w:szCs w:val="20"/>
              </w:rPr>
            </w:pPr>
            <w:r>
              <w:rPr>
                <w:sz w:val="20"/>
                <w:szCs w:val="20"/>
              </w:rPr>
              <w:t xml:space="preserve">Annual </w:t>
            </w:r>
            <w:r w:rsidR="006438BB">
              <w:rPr>
                <w:sz w:val="20"/>
                <w:szCs w:val="20"/>
              </w:rPr>
              <w:t>number of r</w:t>
            </w:r>
            <w:r w:rsidRPr="00BD4CFB">
              <w:rPr>
                <w:sz w:val="20"/>
                <w:szCs w:val="20"/>
              </w:rPr>
              <w:t>espondents</w:t>
            </w:r>
          </w:p>
        </w:tc>
        <w:tc>
          <w:tcPr>
            <w:tcW w:w="1165" w:type="dxa"/>
            <w:shd w:val="clear" w:color="auto" w:fill="BFBFBF"/>
            <w:vAlign w:val="center"/>
          </w:tcPr>
          <w:p w14:paraId="37DEF83E" w14:textId="77777777" w:rsidR="00C1674B" w:rsidRPr="00BD4CFB" w:rsidRDefault="00C1674B" w:rsidP="00124EBF">
            <w:pPr>
              <w:jc w:val="center"/>
              <w:rPr>
                <w:sz w:val="20"/>
                <w:szCs w:val="20"/>
              </w:rPr>
            </w:pPr>
            <w:r w:rsidRPr="00BD4CFB">
              <w:rPr>
                <w:sz w:val="20"/>
                <w:szCs w:val="20"/>
              </w:rPr>
              <w:t>Nu</w:t>
            </w:r>
            <w:r w:rsidR="006438BB">
              <w:rPr>
                <w:sz w:val="20"/>
                <w:szCs w:val="20"/>
              </w:rPr>
              <w:t>mber of responses Per r</w:t>
            </w:r>
            <w:r w:rsidRPr="00BD4CFB">
              <w:rPr>
                <w:sz w:val="20"/>
                <w:szCs w:val="20"/>
              </w:rPr>
              <w:t>espondent</w:t>
            </w:r>
          </w:p>
        </w:tc>
        <w:tc>
          <w:tcPr>
            <w:tcW w:w="1097" w:type="dxa"/>
            <w:shd w:val="clear" w:color="auto" w:fill="BFBFBF"/>
            <w:vAlign w:val="center"/>
          </w:tcPr>
          <w:p w14:paraId="7FE63FCE" w14:textId="77777777" w:rsidR="00C1674B" w:rsidRPr="00BD4CFB" w:rsidRDefault="006438BB" w:rsidP="00124EBF">
            <w:pPr>
              <w:jc w:val="center"/>
              <w:rPr>
                <w:sz w:val="20"/>
                <w:szCs w:val="20"/>
              </w:rPr>
            </w:pPr>
            <w:r>
              <w:rPr>
                <w:sz w:val="20"/>
                <w:szCs w:val="20"/>
              </w:rPr>
              <w:t>Average burden hours per r</w:t>
            </w:r>
            <w:r w:rsidR="00C1674B" w:rsidRPr="00BD4CFB">
              <w:rPr>
                <w:sz w:val="20"/>
                <w:szCs w:val="20"/>
              </w:rPr>
              <w:t>esponse</w:t>
            </w:r>
          </w:p>
        </w:tc>
        <w:tc>
          <w:tcPr>
            <w:tcW w:w="806" w:type="dxa"/>
            <w:shd w:val="clear" w:color="auto" w:fill="BFBFBF"/>
            <w:vAlign w:val="center"/>
          </w:tcPr>
          <w:p w14:paraId="3F2AC782" w14:textId="77777777" w:rsidR="00C1674B" w:rsidRPr="00BD4CFB" w:rsidRDefault="006438BB" w:rsidP="00124EBF">
            <w:pPr>
              <w:jc w:val="center"/>
              <w:rPr>
                <w:bCs/>
                <w:sz w:val="20"/>
                <w:szCs w:val="20"/>
              </w:rPr>
            </w:pPr>
            <w:r>
              <w:rPr>
                <w:bCs/>
                <w:sz w:val="20"/>
                <w:szCs w:val="20"/>
              </w:rPr>
              <w:t>Annual burden h</w:t>
            </w:r>
            <w:r w:rsidR="00C1674B">
              <w:rPr>
                <w:bCs/>
                <w:sz w:val="20"/>
                <w:szCs w:val="20"/>
              </w:rPr>
              <w:t>ours</w:t>
            </w:r>
          </w:p>
        </w:tc>
        <w:tc>
          <w:tcPr>
            <w:tcW w:w="896" w:type="dxa"/>
            <w:shd w:val="clear" w:color="auto" w:fill="BFBFBF"/>
            <w:vAlign w:val="center"/>
          </w:tcPr>
          <w:p w14:paraId="6734A1DD" w14:textId="77777777" w:rsidR="00C1674B" w:rsidRPr="00BD4CFB" w:rsidRDefault="00C1674B" w:rsidP="00124EBF">
            <w:pPr>
              <w:jc w:val="center"/>
              <w:rPr>
                <w:sz w:val="20"/>
                <w:szCs w:val="20"/>
              </w:rPr>
            </w:pPr>
            <w:r w:rsidRPr="00BD4CFB">
              <w:rPr>
                <w:bCs/>
                <w:sz w:val="20"/>
                <w:szCs w:val="20"/>
              </w:rPr>
              <w:t>Average Hourly Wage</w:t>
            </w:r>
          </w:p>
        </w:tc>
        <w:tc>
          <w:tcPr>
            <w:tcW w:w="1216" w:type="dxa"/>
            <w:shd w:val="clear" w:color="auto" w:fill="BFBFBF"/>
            <w:vAlign w:val="center"/>
          </w:tcPr>
          <w:p w14:paraId="69327ABE" w14:textId="77777777" w:rsidR="00C1674B" w:rsidRPr="00BD4CFB" w:rsidRDefault="00C1674B" w:rsidP="00124EBF">
            <w:pPr>
              <w:jc w:val="center"/>
              <w:rPr>
                <w:sz w:val="20"/>
                <w:szCs w:val="20"/>
              </w:rPr>
            </w:pPr>
            <w:r w:rsidRPr="00BD4CFB">
              <w:rPr>
                <w:bCs/>
                <w:sz w:val="20"/>
                <w:szCs w:val="20"/>
              </w:rPr>
              <w:t>Total Annual Cost</w:t>
            </w:r>
          </w:p>
        </w:tc>
      </w:tr>
      <w:tr w:rsidR="0014772A" w:rsidRPr="00BD4CFB" w14:paraId="20ED73D9" w14:textId="77777777" w:rsidTr="000E4666">
        <w:trPr>
          <w:trHeight w:val="432"/>
          <w:jc w:val="center"/>
        </w:trPr>
        <w:tc>
          <w:tcPr>
            <w:tcW w:w="1666" w:type="dxa"/>
            <w:vAlign w:val="center"/>
          </w:tcPr>
          <w:p w14:paraId="006C28CE" w14:textId="77777777" w:rsidR="00EB5DA0" w:rsidRPr="00BD4CFB" w:rsidRDefault="0014772A" w:rsidP="00C427F3">
            <w:pPr>
              <w:tabs>
                <w:tab w:val="center" w:pos="4320"/>
                <w:tab w:val="right" w:pos="8640"/>
              </w:tabs>
              <w:rPr>
                <w:sz w:val="20"/>
                <w:szCs w:val="20"/>
              </w:rPr>
            </w:pPr>
            <w:r>
              <w:rPr>
                <w:sz w:val="20"/>
                <w:szCs w:val="20"/>
              </w:rPr>
              <w:t>B</w:t>
            </w:r>
            <w:r w:rsidR="00EB5DA0">
              <w:rPr>
                <w:sz w:val="20"/>
                <w:szCs w:val="20"/>
              </w:rPr>
              <w:t xml:space="preserve">aseline </w:t>
            </w:r>
            <w:r w:rsidR="00C427F3">
              <w:rPr>
                <w:sz w:val="20"/>
                <w:szCs w:val="20"/>
              </w:rPr>
              <w:t>data collection – study participants</w:t>
            </w:r>
          </w:p>
        </w:tc>
        <w:tc>
          <w:tcPr>
            <w:tcW w:w="1244" w:type="dxa"/>
            <w:vAlign w:val="center"/>
          </w:tcPr>
          <w:p w14:paraId="5066046F" w14:textId="77777777" w:rsidR="00EB5DA0" w:rsidRPr="00403AAB" w:rsidRDefault="00EB5DA0" w:rsidP="00403AAB">
            <w:pPr>
              <w:tabs>
                <w:tab w:val="center" w:pos="4320"/>
                <w:tab w:val="right" w:pos="8640"/>
              </w:tabs>
              <w:jc w:val="center"/>
              <w:rPr>
                <w:sz w:val="20"/>
                <w:szCs w:val="20"/>
              </w:rPr>
            </w:pPr>
            <w:r w:rsidRPr="00403AAB">
              <w:rPr>
                <w:sz w:val="20"/>
                <w:szCs w:val="20"/>
              </w:rPr>
              <w:t>6</w:t>
            </w:r>
            <w:r w:rsidR="00A34019">
              <w:rPr>
                <w:sz w:val="20"/>
                <w:szCs w:val="20"/>
              </w:rPr>
              <w:t>,</w:t>
            </w:r>
            <w:r w:rsidRPr="00403AAB">
              <w:rPr>
                <w:sz w:val="20"/>
                <w:szCs w:val="20"/>
              </w:rPr>
              <w:t>000</w:t>
            </w:r>
          </w:p>
        </w:tc>
        <w:tc>
          <w:tcPr>
            <w:tcW w:w="1239" w:type="dxa"/>
            <w:vAlign w:val="center"/>
          </w:tcPr>
          <w:p w14:paraId="74C4E67F" w14:textId="77777777" w:rsidR="00EB5DA0" w:rsidRPr="00403AAB" w:rsidRDefault="0044502D" w:rsidP="00403AAB">
            <w:pPr>
              <w:tabs>
                <w:tab w:val="center" w:pos="4320"/>
                <w:tab w:val="right" w:pos="8640"/>
              </w:tabs>
              <w:jc w:val="center"/>
              <w:rPr>
                <w:sz w:val="20"/>
                <w:szCs w:val="20"/>
              </w:rPr>
            </w:pPr>
            <w:r>
              <w:rPr>
                <w:sz w:val="20"/>
                <w:szCs w:val="20"/>
              </w:rPr>
              <w:t>2</w:t>
            </w:r>
            <w:r w:rsidR="00A34019">
              <w:rPr>
                <w:sz w:val="20"/>
                <w:szCs w:val="20"/>
              </w:rPr>
              <w:t>,</w:t>
            </w:r>
            <w:r>
              <w:rPr>
                <w:sz w:val="20"/>
                <w:szCs w:val="20"/>
              </w:rPr>
              <w:t>000</w:t>
            </w:r>
          </w:p>
        </w:tc>
        <w:tc>
          <w:tcPr>
            <w:tcW w:w="1165" w:type="dxa"/>
            <w:vAlign w:val="center"/>
          </w:tcPr>
          <w:p w14:paraId="40CB891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1097" w:type="dxa"/>
            <w:vAlign w:val="center"/>
          </w:tcPr>
          <w:p w14:paraId="5B569051"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06" w:type="dxa"/>
            <w:vAlign w:val="center"/>
          </w:tcPr>
          <w:p w14:paraId="22EB5B47" w14:textId="77777777" w:rsidR="00EB5DA0" w:rsidRPr="00403AAB" w:rsidRDefault="0044502D" w:rsidP="00403AAB">
            <w:pPr>
              <w:tabs>
                <w:tab w:val="center" w:pos="4320"/>
                <w:tab w:val="right" w:pos="8640"/>
              </w:tabs>
              <w:jc w:val="center"/>
              <w:rPr>
                <w:sz w:val="20"/>
                <w:szCs w:val="20"/>
              </w:rPr>
            </w:pPr>
            <w:r>
              <w:rPr>
                <w:sz w:val="20"/>
                <w:szCs w:val="20"/>
              </w:rPr>
              <w:t>660</w:t>
            </w:r>
          </w:p>
        </w:tc>
        <w:tc>
          <w:tcPr>
            <w:tcW w:w="896" w:type="dxa"/>
            <w:vAlign w:val="center"/>
          </w:tcPr>
          <w:p w14:paraId="3A198331"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16" w:type="dxa"/>
            <w:vAlign w:val="center"/>
          </w:tcPr>
          <w:p w14:paraId="7FCAC4D1" w14:textId="77777777" w:rsidR="00EB5DA0" w:rsidRPr="00403AAB" w:rsidRDefault="00403AAB" w:rsidP="003C2C8D">
            <w:pPr>
              <w:tabs>
                <w:tab w:val="center" w:pos="4320"/>
                <w:tab w:val="right" w:pos="8640"/>
              </w:tabs>
              <w:jc w:val="center"/>
              <w:rPr>
                <w:sz w:val="20"/>
                <w:szCs w:val="20"/>
              </w:rPr>
            </w:pPr>
            <w:r w:rsidRPr="00403AAB">
              <w:rPr>
                <w:sz w:val="20"/>
                <w:szCs w:val="20"/>
              </w:rPr>
              <w:t>$</w:t>
            </w:r>
            <w:r w:rsidR="0044502D">
              <w:rPr>
                <w:sz w:val="20"/>
                <w:szCs w:val="20"/>
              </w:rPr>
              <w:t>4</w:t>
            </w:r>
            <w:r w:rsidRPr="00403AAB">
              <w:rPr>
                <w:sz w:val="20"/>
                <w:szCs w:val="20"/>
              </w:rPr>
              <w:t>,</w:t>
            </w:r>
            <w:r w:rsidR="0044502D">
              <w:rPr>
                <w:sz w:val="20"/>
                <w:szCs w:val="20"/>
              </w:rPr>
              <w:t>785</w:t>
            </w:r>
            <w:r w:rsidR="006438BB">
              <w:rPr>
                <w:sz w:val="20"/>
                <w:szCs w:val="20"/>
              </w:rPr>
              <w:t>.00</w:t>
            </w:r>
          </w:p>
        </w:tc>
      </w:tr>
      <w:tr w:rsidR="0014772A" w:rsidRPr="00BD4CFB" w14:paraId="69C56C96" w14:textId="77777777" w:rsidTr="000E4666">
        <w:trPr>
          <w:trHeight w:val="432"/>
          <w:jc w:val="center"/>
        </w:trPr>
        <w:tc>
          <w:tcPr>
            <w:tcW w:w="1666" w:type="dxa"/>
            <w:vAlign w:val="center"/>
          </w:tcPr>
          <w:p w14:paraId="5082114A" w14:textId="77777777" w:rsidR="00EB5DA0" w:rsidRPr="00BD4CFB" w:rsidRDefault="0014772A" w:rsidP="00FD7600">
            <w:pPr>
              <w:tabs>
                <w:tab w:val="center" w:pos="4320"/>
                <w:tab w:val="right" w:pos="8640"/>
              </w:tabs>
              <w:rPr>
                <w:sz w:val="20"/>
                <w:szCs w:val="20"/>
              </w:rPr>
            </w:pPr>
            <w:r>
              <w:rPr>
                <w:sz w:val="20"/>
                <w:szCs w:val="20"/>
              </w:rPr>
              <w:t>B</w:t>
            </w:r>
            <w:r w:rsidR="00C427F3">
              <w:rPr>
                <w:sz w:val="20"/>
                <w:szCs w:val="20"/>
              </w:rPr>
              <w:t xml:space="preserve">aseline data collection </w:t>
            </w:r>
            <w:r w:rsidR="00072207">
              <w:rPr>
                <w:sz w:val="20"/>
                <w:szCs w:val="20"/>
              </w:rPr>
              <w:t>–</w:t>
            </w:r>
            <w:r w:rsidR="00C427F3">
              <w:rPr>
                <w:sz w:val="20"/>
                <w:szCs w:val="20"/>
              </w:rPr>
              <w:t xml:space="preserve"> staff</w:t>
            </w:r>
          </w:p>
        </w:tc>
        <w:tc>
          <w:tcPr>
            <w:tcW w:w="1244" w:type="dxa"/>
            <w:vAlign w:val="center"/>
          </w:tcPr>
          <w:p w14:paraId="28DE2C56" w14:textId="77777777" w:rsidR="00EB5DA0" w:rsidRPr="00403AAB" w:rsidRDefault="00EB5DA0" w:rsidP="00403AAB">
            <w:pPr>
              <w:tabs>
                <w:tab w:val="center" w:pos="4320"/>
                <w:tab w:val="right" w:pos="8640"/>
              </w:tabs>
              <w:jc w:val="center"/>
              <w:rPr>
                <w:sz w:val="20"/>
                <w:szCs w:val="20"/>
              </w:rPr>
            </w:pPr>
            <w:r w:rsidRPr="00403AAB">
              <w:rPr>
                <w:sz w:val="20"/>
                <w:szCs w:val="20"/>
              </w:rPr>
              <w:t>60</w:t>
            </w:r>
          </w:p>
        </w:tc>
        <w:tc>
          <w:tcPr>
            <w:tcW w:w="1239" w:type="dxa"/>
            <w:vAlign w:val="center"/>
          </w:tcPr>
          <w:p w14:paraId="6E579AA8" w14:textId="77777777" w:rsidR="00EB5DA0" w:rsidRPr="00403AAB" w:rsidRDefault="007149D7" w:rsidP="00403AAB">
            <w:pPr>
              <w:tabs>
                <w:tab w:val="center" w:pos="4320"/>
                <w:tab w:val="right" w:pos="8640"/>
              </w:tabs>
              <w:jc w:val="center"/>
              <w:rPr>
                <w:sz w:val="20"/>
                <w:szCs w:val="20"/>
              </w:rPr>
            </w:pPr>
            <w:r>
              <w:rPr>
                <w:sz w:val="20"/>
                <w:szCs w:val="20"/>
              </w:rPr>
              <w:t>20</w:t>
            </w:r>
          </w:p>
        </w:tc>
        <w:tc>
          <w:tcPr>
            <w:tcW w:w="1165" w:type="dxa"/>
            <w:vAlign w:val="center"/>
          </w:tcPr>
          <w:p w14:paraId="31D520CF" w14:textId="77777777" w:rsidR="00EB5DA0" w:rsidRPr="00403AAB" w:rsidRDefault="007149D7" w:rsidP="00403AAB">
            <w:pPr>
              <w:tabs>
                <w:tab w:val="center" w:pos="4320"/>
                <w:tab w:val="right" w:pos="8640"/>
              </w:tabs>
              <w:jc w:val="center"/>
              <w:rPr>
                <w:sz w:val="20"/>
                <w:szCs w:val="20"/>
              </w:rPr>
            </w:pPr>
            <w:r>
              <w:rPr>
                <w:sz w:val="20"/>
                <w:szCs w:val="20"/>
              </w:rPr>
              <w:t>100</w:t>
            </w:r>
          </w:p>
        </w:tc>
        <w:tc>
          <w:tcPr>
            <w:tcW w:w="1097" w:type="dxa"/>
            <w:vAlign w:val="center"/>
          </w:tcPr>
          <w:p w14:paraId="58586FC0"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06" w:type="dxa"/>
            <w:vAlign w:val="center"/>
          </w:tcPr>
          <w:p w14:paraId="53C40EB0" w14:textId="77777777" w:rsidR="00EB5DA0" w:rsidRPr="00403AAB" w:rsidRDefault="0044502D" w:rsidP="00403AAB">
            <w:pPr>
              <w:tabs>
                <w:tab w:val="center" w:pos="4320"/>
                <w:tab w:val="right" w:pos="8640"/>
              </w:tabs>
              <w:jc w:val="center"/>
              <w:rPr>
                <w:sz w:val="20"/>
                <w:szCs w:val="20"/>
              </w:rPr>
            </w:pPr>
            <w:r>
              <w:rPr>
                <w:sz w:val="20"/>
                <w:szCs w:val="20"/>
              </w:rPr>
              <w:t>660</w:t>
            </w:r>
          </w:p>
        </w:tc>
        <w:tc>
          <w:tcPr>
            <w:tcW w:w="896" w:type="dxa"/>
            <w:vAlign w:val="center"/>
          </w:tcPr>
          <w:p w14:paraId="23744C08"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16" w:type="dxa"/>
            <w:vAlign w:val="center"/>
          </w:tcPr>
          <w:p w14:paraId="3F959D6E" w14:textId="77777777" w:rsidR="00EB5DA0" w:rsidRPr="00403AAB" w:rsidRDefault="00403AAB" w:rsidP="0044502D">
            <w:pPr>
              <w:tabs>
                <w:tab w:val="center" w:pos="4320"/>
                <w:tab w:val="right" w:pos="8640"/>
              </w:tabs>
              <w:jc w:val="center"/>
              <w:rPr>
                <w:sz w:val="20"/>
                <w:szCs w:val="20"/>
              </w:rPr>
            </w:pPr>
            <w:r w:rsidRPr="00403AAB">
              <w:rPr>
                <w:sz w:val="20"/>
                <w:szCs w:val="20"/>
              </w:rPr>
              <w:t>$</w:t>
            </w:r>
            <w:r w:rsidR="0044502D">
              <w:rPr>
                <w:sz w:val="20"/>
                <w:szCs w:val="20"/>
              </w:rPr>
              <w:t>22</w:t>
            </w:r>
            <w:r w:rsidRPr="00403AAB">
              <w:rPr>
                <w:sz w:val="20"/>
                <w:szCs w:val="20"/>
              </w:rPr>
              <w:t>,</w:t>
            </w:r>
            <w:r w:rsidR="0044502D">
              <w:rPr>
                <w:sz w:val="20"/>
                <w:szCs w:val="20"/>
              </w:rPr>
              <w:t>030.80</w:t>
            </w:r>
          </w:p>
        </w:tc>
      </w:tr>
      <w:tr w:rsidR="0014772A" w:rsidRPr="00BD4CFB" w14:paraId="1B514E40" w14:textId="77777777" w:rsidTr="000E4666">
        <w:trPr>
          <w:trHeight w:val="432"/>
          <w:jc w:val="center"/>
        </w:trPr>
        <w:tc>
          <w:tcPr>
            <w:tcW w:w="1666" w:type="dxa"/>
            <w:vAlign w:val="center"/>
          </w:tcPr>
          <w:p w14:paraId="55E39859" w14:textId="77777777" w:rsidR="00EB5DA0" w:rsidRPr="00BD4CFB" w:rsidRDefault="00EB5DA0" w:rsidP="00FD7600">
            <w:pPr>
              <w:tabs>
                <w:tab w:val="center" w:pos="4320"/>
                <w:tab w:val="right" w:pos="8640"/>
              </w:tabs>
              <w:rPr>
                <w:sz w:val="20"/>
                <w:szCs w:val="20"/>
              </w:rPr>
            </w:pPr>
            <w:r>
              <w:rPr>
                <w:sz w:val="20"/>
                <w:szCs w:val="20"/>
              </w:rPr>
              <w:t>First follow-up survey</w:t>
            </w:r>
          </w:p>
        </w:tc>
        <w:tc>
          <w:tcPr>
            <w:tcW w:w="1244" w:type="dxa"/>
            <w:vAlign w:val="center"/>
          </w:tcPr>
          <w:p w14:paraId="175870B7" w14:textId="77777777" w:rsidR="00EB5DA0" w:rsidRPr="00403AAB" w:rsidRDefault="00EB5DA0" w:rsidP="00403AAB">
            <w:pPr>
              <w:tabs>
                <w:tab w:val="center" w:pos="4320"/>
                <w:tab w:val="right" w:pos="8640"/>
              </w:tabs>
              <w:jc w:val="center"/>
              <w:rPr>
                <w:sz w:val="20"/>
                <w:szCs w:val="20"/>
              </w:rPr>
            </w:pPr>
            <w:r w:rsidRPr="00403AAB">
              <w:rPr>
                <w:sz w:val="20"/>
                <w:szCs w:val="20"/>
              </w:rPr>
              <w:t>2</w:t>
            </w:r>
            <w:r w:rsidR="00A34019">
              <w:rPr>
                <w:sz w:val="20"/>
                <w:szCs w:val="20"/>
              </w:rPr>
              <w:t>,</w:t>
            </w:r>
            <w:r w:rsidRPr="00403AAB">
              <w:rPr>
                <w:sz w:val="20"/>
                <w:szCs w:val="20"/>
              </w:rPr>
              <w:t>400</w:t>
            </w:r>
          </w:p>
        </w:tc>
        <w:tc>
          <w:tcPr>
            <w:tcW w:w="1239" w:type="dxa"/>
            <w:vAlign w:val="center"/>
          </w:tcPr>
          <w:p w14:paraId="36E8E2EA" w14:textId="77777777" w:rsidR="00EB5DA0" w:rsidRPr="00403AAB" w:rsidRDefault="003C2C8D" w:rsidP="00403AAB">
            <w:pPr>
              <w:tabs>
                <w:tab w:val="center" w:pos="4320"/>
                <w:tab w:val="right" w:pos="8640"/>
              </w:tabs>
              <w:jc w:val="center"/>
              <w:rPr>
                <w:sz w:val="20"/>
                <w:szCs w:val="20"/>
              </w:rPr>
            </w:pPr>
            <w:r>
              <w:rPr>
                <w:sz w:val="20"/>
                <w:szCs w:val="20"/>
              </w:rPr>
              <w:t>800</w:t>
            </w:r>
          </w:p>
        </w:tc>
        <w:tc>
          <w:tcPr>
            <w:tcW w:w="1165" w:type="dxa"/>
            <w:vAlign w:val="center"/>
          </w:tcPr>
          <w:p w14:paraId="1F55FAF5"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1097" w:type="dxa"/>
            <w:vAlign w:val="center"/>
          </w:tcPr>
          <w:p w14:paraId="40895B93"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806" w:type="dxa"/>
            <w:vAlign w:val="center"/>
          </w:tcPr>
          <w:p w14:paraId="708AF6AF" w14:textId="77777777" w:rsidR="00EB5DA0" w:rsidRPr="00403AAB" w:rsidRDefault="003C2C8D" w:rsidP="00403AAB">
            <w:pPr>
              <w:tabs>
                <w:tab w:val="center" w:pos="4320"/>
                <w:tab w:val="right" w:pos="8640"/>
              </w:tabs>
              <w:jc w:val="center"/>
              <w:rPr>
                <w:sz w:val="20"/>
                <w:szCs w:val="20"/>
              </w:rPr>
            </w:pPr>
            <w:r>
              <w:rPr>
                <w:sz w:val="20"/>
                <w:szCs w:val="20"/>
              </w:rPr>
              <w:t>800</w:t>
            </w:r>
          </w:p>
        </w:tc>
        <w:tc>
          <w:tcPr>
            <w:tcW w:w="896" w:type="dxa"/>
            <w:vAlign w:val="center"/>
          </w:tcPr>
          <w:p w14:paraId="1E268113"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16" w:type="dxa"/>
            <w:vAlign w:val="center"/>
          </w:tcPr>
          <w:p w14:paraId="46328627" w14:textId="77777777" w:rsidR="00EB5DA0"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5</w:t>
            </w:r>
            <w:r w:rsidRPr="00403AAB">
              <w:rPr>
                <w:sz w:val="20"/>
                <w:szCs w:val="20"/>
              </w:rPr>
              <w:t>,</w:t>
            </w:r>
            <w:r w:rsidR="003C2C8D">
              <w:rPr>
                <w:sz w:val="20"/>
                <w:szCs w:val="20"/>
              </w:rPr>
              <w:t>8</w:t>
            </w:r>
            <w:r w:rsidRPr="00403AAB">
              <w:rPr>
                <w:sz w:val="20"/>
                <w:szCs w:val="20"/>
              </w:rPr>
              <w:t>00</w:t>
            </w:r>
            <w:r w:rsidR="006438BB">
              <w:rPr>
                <w:sz w:val="20"/>
                <w:szCs w:val="20"/>
              </w:rPr>
              <w:t>.00</w:t>
            </w:r>
          </w:p>
        </w:tc>
      </w:tr>
      <w:tr w:rsidR="0014772A" w:rsidRPr="00BD4CFB" w14:paraId="7F5B5BE2" w14:textId="77777777" w:rsidTr="000E4666">
        <w:trPr>
          <w:trHeight w:val="432"/>
          <w:jc w:val="center"/>
        </w:trPr>
        <w:tc>
          <w:tcPr>
            <w:tcW w:w="1666" w:type="dxa"/>
            <w:vAlign w:val="center"/>
          </w:tcPr>
          <w:p w14:paraId="1933BD0D" w14:textId="77777777" w:rsidR="00EB5DA0" w:rsidRPr="00BD4CFB" w:rsidRDefault="00711A4C" w:rsidP="0014772A">
            <w:pPr>
              <w:tabs>
                <w:tab w:val="center" w:pos="4320"/>
                <w:tab w:val="right" w:pos="8640"/>
              </w:tabs>
              <w:rPr>
                <w:sz w:val="20"/>
                <w:szCs w:val="20"/>
              </w:rPr>
            </w:pPr>
            <w:r>
              <w:rPr>
                <w:sz w:val="20"/>
                <w:szCs w:val="20"/>
              </w:rPr>
              <w:t xml:space="preserve">Semi-structured </w:t>
            </w:r>
            <w:r w:rsidR="0014772A">
              <w:rPr>
                <w:sz w:val="20"/>
                <w:szCs w:val="20"/>
              </w:rPr>
              <w:t>staff interviews</w:t>
            </w:r>
          </w:p>
        </w:tc>
        <w:tc>
          <w:tcPr>
            <w:tcW w:w="1244" w:type="dxa"/>
            <w:vAlign w:val="center"/>
          </w:tcPr>
          <w:p w14:paraId="70E8605B" w14:textId="77777777" w:rsidR="00EB5DA0" w:rsidRPr="00403AAB" w:rsidRDefault="00EB5DA0" w:rsidP="00403AAB">
            <w:pPr>
              <w:tabs>
                <w:tab w:val="center" w:pos="4320"/>
                <w:tab w:val="right" w:pos="8640"/>
              </w:tabs>
              <w:jc w:val="center"/>
              <w:rPr>
                <w:sz w:val="20"/>
                <w:szCs w:val="20"/>
              </w:rPr>
            </w:pPr>
            <w:r w:rsidRPr="00403AAB">
              <w:rPr>
                <w:sz w:val="20"/>
                <w:szCs w:val="20"/>
              </w:rPr>
              <w:t>66</w:t>
            </w:r>
          </w:p>
        </w:tc>
        <w:tc>
          <w:tcPr>
            <w:tcW w:w="1239" w:type="dxa"/>
            <w:vAlign w:val="center"/>
          </w:tcPr>
          <w:p w14:paraId="1DC56B96" w14:textId="77777777" w:rsidR="00EB5DA0" w:rsidRPr="00403AAB" w:rsidRDefault="003C2C8D" w:rsidP="00403AAB">
            <w:pPr>
              <w:tabs>
                <w:tab w:val="center" w:pos="4320"/>
                <w:tab w:val="right" w:pos="8640"/>
              </w:tabs>
              <w:jc w:val="center"/>
              <w:rPr>
                <w:sz w:val="20"/>
                <w:szCs w:val="20"/>
              </w:rPr>
            </w:pPr>
            <w:r>
              <w:rPr>
                <w:sz w:val="20"/>
                <w:szCs w:val="20"/>
              </w:rPr>
              <w:t>22</w:t>
            </w:r>
          </w:p>
        </w:tc>
        <w:tc>
          <w:tcPr>
            <w:tcW w:w="1165" w:type="dxa"/>
            <w:vAlign w:val="center"/>
          </w:tcPr>
          <w:p w14:paraId="39BD1BF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1097" w:type="dxa"/>
            <w:vAlign w:val="center"/>
          </w:tcPr>
          <w:p w14:paraId="26E63DE7" w14:textId="77777777" w:rsidR="00EB5DA0" w:rsidRPr="00403AAB" w:rsidRDefault="00EB5DA0" w:rsidP="00403AAB">
            <w:pPr>
              <w:tabs>
                <w:tab w:val="center" w:pos="4320"/>
                <w:tab w:val="right" w:pos="8640"/>
              </w:tabs>
              <w:jc w:val="center"/>
              <w:rPr>
                <w:sz w:val="20"/>
                <w:szCs w:val="20"/>
              </w:rPr>
            </w:pPr>
            <w:r w:rsidRPr="00403AAB">
              <w:rPr>
                <w:sz w:val="20"/>
                <w:szCs w:val="20"/>
              </w:rPr>
              <w:t>1.5</w:t>
            </w:r>
          </w:p>
        </w:tc>
        <w:tc>
          <w:tcPr>
            <w:tcW w:w="806" w:type="dxa"/>
            <w:vAlign w:val="center"/>
          </w:tcPr>
          <w:p w14:paraId="69E18DB9" w14:textId="77777777" w:rsidR="00EB5DA0" w:rsidRPr="00403AAB" w:rsidRDefault="003C2C8D" w:rsidP="00403AAB">
            <w:pPr>
              <w:tabs>
                <w:tab w:val="center" w:pos="4320"/>
                <w:tab w:val="right" w:pos="8640"/>
              </w:tabs>
              <w:jc w:val="center"/>
              <w:rPr>
                <w:sz w:val="20"/>
                <w:szCs w:val="20"/>
              </w:rPr>
            </w:pPr>
            <w:r>
              <w:rPr>
                <w:sz w:val="20"/>
                <w:szCs w:val="20"/>
              </w:rPr>
              <w:t>33</w:t>
            </w:r>
          </w:p>
        </w:tc>
        <w:tc>
          <w:tcPr>
            <w:tcW w:w="896" w:type="dxa"/>
            <w:vAlign w:val="center"/>
          </w:tcPr>
          <w:p w14:paraId="0D06E500"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16" w:type="dxa"/>
            <w:vAlign w:val="center"/>
          </w:tcPr>
          <w:p w14:paraId="5C8BEEF7" w14:textId="77777777" w:rsidR="00EB5DA0"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1</w:t>
            </w:r>
            <w:r w:rsidRPr="00403AAB">
              <w:rPr>
                <w:sz w:val="20"/>
                <w:szCs w:val="20"/>
              </w:rPr>
              <w:t>,</w:t>
            </w:r>
            <w:r w:rsidR="003C2C8D">
              <w:rPr>
                <w:sz w:val="20"/>
                <w:szCs w:val="20"/>
              </w:rPr>
              <w:t>101</w:t>
            </w:r>
            <w:r w:rsidRPr="00403AAB">
              <w:rPr>
                <w:sz w:val="20"/>
                <w:szCs w:val="20"/>
              </w:rPr>
              <w:t>.</w:t>
            </w:r>
            <w:r w:rsidR="003C2C8D">
              <w:rPr>
                <w:sz w:val="20"/>
                <w:szCs w:val="20"/>
              </w:rPr>
              <w:t>54</w:t>
            </w:r>
          </w:p>
        </w:tc>
      </w:tr>
      <w:tr w:rsidR="0014772A" w:rsidRPr="00BD4CFB" w14:paraId="308FC8B0" w14:textId="77777777" w:rsidTr="000E4666">
        <w:trPr>
          <w:trHeight w:val="432"/>
          <w:jc w:val="center"/>
        </w:trPr>
        <w:tc>
          <w:tcPr>
            <w:tcW w:w="1666" w:type="dxa"/>
            <w:vAlign w:val="center"/>
          </w:tcPr>
          <w:p w14:paraId="6EE0EB5A" w14:textId="77777777" w:rsidR="00C1674B" w:rsidRPr="00BD4CFB" w:rsidRDefault="00EB5DA0" w:rsidP="00FD7600">
            <w:pPr>
              <w:tabs>
                <w:tab w:val="center" w:pos="4320"/>
                <w:tab w:val="right" w:pos="8640"/>
              </w:tabs>
              <w:rPr>
                <w:sz w:val="20"/>
                <w:szCs w:val="20"/>
              </w:rPr>
            </w:pPr>
            <w:r>
              <w:rPr>
                <w:sz w:val="20"/>
                <w:szCs w:val="20"/>
              </w:rPr>
              <w:t>Staff survey</w:t>
            </w:r>
          </w:p>
        </w:tc>
        <w:tc>
          <w:tcPr>
            <w:tcW w:w="1244" w:type="dxa"/>
            <w:vAlign w:val="center"/>
          </w:tcPr>
          <w:p w14:paraId="45B1DE72" w14:textId="77777777" w:rsidR="00C1674B" w:rsidRPr="00403AAB" w:rsidRDefault="00EB5DA0" w:rsidP="003C2C8D">
            <w:pPr>
              <w:tabs>
                <w:tab w:val="center" w:pos="4320"/>
                <w:tab w:val="right" w:pos="8640"/>
              </w:tabs>
              <w:jc w:val="center"/>
              <w:rPr>
                <w:sz w:val="20"/>
                <w:szCs w:val="20"/>
              </w:rPr>
            </w:pPr>
            <w:r w:rsidRPr="00403AAB">
              <w:rPr>
                <w:sz w:val="20"/>
                <w:szCs w:val="20"/>
              </w:rPr>
              <w:t>4</w:t>
            </w:r>
            <w:r w:rsidR="003C2C8D">
              <w:rPr>
                <w:sz w:val="20"/>
                <w:szCs w:val="20"/>
              </w:rPr>
              <w:t>8</w:t>
            </w:r>
          </w:p>
        </w:tc>
        <w:tc>
          <w:tcPr>
            <w:tcW w:w="1239" w:type="dxa"/>
            <w:vAlign w:val="center"/>
          </w:tcPr>
          <w:p w14:paraId="53AF93E7" w14:textId="77777777" w:rsidR="00C1674B" w:rsidRPr="00403AAB" w:rsidRDefault="003C2C8D" w:rsidP="00403AAB">
            <w:pPr>
              <w:tabs>
                <w:tab w:val="center" w:pos="4320"/>
                <w:tab w:val="right" w:pos="8640"/>
              </w:tabs>
              <w:jc w:val="center"/>
              <w:rPr>
                <w:sz w:val="20"/>
                <w:szCs w:val="20"/>
              </w:rPr>
            </w:pPr>
            <w:r>
              <w:rPr>
                <w:sz w:val="20"/>
                <w:szCs w:val="20"/>
              </w:rPr>
              <w:t>1</w:t>
            </w:r>
            <w:r w:rsidR="00EB5DA0" w:rsidRPr="00403AAB">
              <w:rPr>
                <w:sz w:val="20"/>
                <w:szCs w:val="20"/>
              </w:rPr>
              <w:t>6</w:t>
            </w:r>
          </w:p>
        </w:tc>
        <w:tc>
          <w:tcPr>
            <w:tcW w:w="1165" w:type="dxa"/>
            <w:vAlign w:val="center"/>
          </w:tcPr>
          <w:p w14:paraId="11C9F29E"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1097" w:type="dxa"/>
            <w:vAlign w:val="center"/>
          </w:tcPr>
          <w:p w14:paraId="0B6D47E1" w14:textId="77777777" w:rsidR="00C1674B" w:rsidRPr="00403AAB" w:rsidRDefault="00EB5DA0" w:rsidP="00403AAB">
            <w:pPr>
              <w:tabs>
                <w:tab w:val="center" w:pos="4320"/>
                <w:tab w:val="right" w:pos="8640"/>
              </w:tabs>
              <w:jc w:val="center"/>
              <w:rPr>
                <w:sz w:val="20"/>
                <w:szCs w:val="20"/>
              </w:rPr>
            </w:pPr>
            <w:r w:rsidRPr="00403AAB">
              <w:rPr>
                <w:sz w:val="20"/>
                <w:szCs w:val="20"/>
              </w:rPr>
              <w:t>0.75</w:t>
            </w:r>
          </w:p>
        </w:tc>
        <w:tc>
          <w:tcPr>
            <w:tcW w:w="806" w:type="dxa"/>
            <w:vAlign w:val="center"/>
          </w:tcPr>
          <w:p w14:paraId="7A6B4A37" w14:textId="77777777" w:rsidR="00C1674B" w:rsidRPr="00403AAB" w:rsidRDefault="003C2C8D" w:rsidP="00403AAB">
            <w:pPr>
              <w:tabs>
                <w:tab w:val="center" w:pos="4320"/>
                <w:tab w:val="right" w:pos="8640"/>
              </w:tabs>
              <w:jc w:val="center"/>
              <w:rPr>
                <w:sz w:val="20"/>
                <w:szCs w:val="20"/>
              </w:rPr>
            </w:pPr>
            <w:r>
              <w:rPr>
                <w:sz w:val="20"/>
                <w:szCs w:val="20"/>
              </w:rPr>
              <w:t>12</w:t>
            </w:r>
          </w:p>
        </w:tc>
        <w:tc>
          <w:tcPr>
            <w:tcW w:w="896" w:type="dxa"/>
            <w:vAlign w:val="center"/>
          </w:tcPr>
          <w:p w14:paraId="010B2B20"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16" w:type="dxa"/>
            <w:vAlign w:val="center"/>
          </w:tcPr>
          <w:p w14:paraId="248229F1" w14:textId="77777777" w:rsidR="00C1674B" w:rsidRPr="00403AAB" w:rsidRDefault="00403AAB" w:rsidP="003C2C8D">
            <w:pPr>
              <w:tabs>
                <w:tab w:val="center" w:pos="4320"/>
                <w:tab w:val="right" w:pos="8640"/>
              </w:tabs>
              <w:jc w:val="center"/>
              <w:rPr>
                <w:sz w:val="20"/>
                <w:szCs w:val="20"/>
              </w:rPr>
            </w:pPr>
            <w:r w:rsidRPr="00403AAB">
              <w:rPr>
                <w:sz w:val="20"/>
                <w:szCs w:val="20"/>
              </w:rPr>
              <w:t>$</w:t>
            </w:r>
            <w:r w:rsidR="003C2C8D">
              <w:rPr>
                <w:sz w:val="20"/>
                <w:szCs w:val="20"/>
              </w:rPr>
              <w:t>400.56</w:t>
            </w:r>
          </w:p>
        </w:tc>
      </w:tr>
      <w:tr w:rsidR="0014772A" w:rsidRPr="00BD4CFB" w14:paraId="3F9C2BE4" w14:textId="77777777" w:rsidTr="000E4666">
        <w:trPr>
          <w:trHeight w:val="432"/>
          <w:jc w:val="center"/>
        </w:trPr>
        <w:tc>
          <w:tcPr>
            <w:tcW w:w="1666" w:type="dxa"/>
            <w:vAlign w:val="center"/>
          </w:tcPr>
          <w:p w14:paraId="1712C784" w14:textId="77777777" w:rsidR="00C1674B" w:rsidRPr="00BD4CFB" w:rsidRDefault="00EB5DA0" w:rsidP="0014772A">
            <w:pPr>
              <w:tabs>
                <w:tab w:val="center" w:pos="4320"/>
                <w:tab w:val="right" w:pos="8640"/>
              </w:tabs>
              <w:rPr>
                <w:sz w:val="20"/>
                <w:szCs w:val="20"/>
              </w:rPr>
            </w:pPr>
            <w:r>
              <w:rPr>
                <w:sz w:val="20"/>
                <w:szCs w:val="20"/>
              </w:rPr>
              <w:t xml:space="preserve">In-depth </w:t>
            </w:r>
            <w:r w:rsidR="0014772A">
              <w:rPr>
                <w:sz w:val="20"/>
                <w:szCs w:val="20"/>
              </w:rPr>
              <w:t>participant interviews</w:t>
            </w:r>
          </w:p>
        </w:tc>
        <w:tc>
          <w:tcPr>
            <w:tcW w:w="1244" w:type="dxa"/>
            <w:vAlign w:val="center"/>
          </w:tcPr>
          <w:p w14:paraId="467CDE4B" w14:textId="77777777" w:rsidR="00C1674B" w:rsidRPr="00403AAB" w:rsidRDefault="00EB5DA0" w:rsidP="00403AAB">
            <w:pPr>
              <w:tabs>
                <w:tab w:val="center" w:pos="4320"/>
                <w:tab w:val="right" w:pos="8640"/>
              </w:tabs>
              <w:jc w:val="center"/>
              <w:rPr>
                <w:sz w:val="20"/>
                <w:szCs w:val="20"/>
              </w:rPr>
            </w:pPr>
            <w:r w:rsidRPr="00403AAB">
              <w:rPr>
                <w:sz w:val="20"/>
                <w:szCs w:val="20"/>
              </w:rPr>
              <w:t>24</w:t>
            </w:r>
          </w:p>
        </w:tc>
        <w:tc>
          <w:tcPr>
            <w:tcW w:w="1239" w:type="dxa"/>
            <w:vAlign w:val="center"/>
          </w:tcPr>
          <w:p w14:paraId="3F68C271" w14:textId="77777777" w:rsidR="00C1674B" w:rsidRPr="00403AAB" w:rsidRDefault="003C2C8D" w:rsidP="00403AAB">
            <w:pPr>
              <w:tabs>
                <w:tab w:val="center" w:pos="4320"/>
                <w:tab w:val="right" w:pos="8640"/>
              </w:tabs>
              <w:jc w:val="center"/>
              <w:rPr>
                <w:sz w:val="20"/>
                <w:szCs w:val="20"/>
              </w:rPr>
            </w:pPr>
            <w:r>
              <w:rPr>
                <w:sz w:val="20"/>
                <w:szCs w:val="20"/>
              </w:rPr>
              <w:t>8</w:t>
            </w:r>
          </w:p>
        </w:tc>
        <w:tc>
          <w:tcPr>
            <w:tcW w:w="1165" w:type="dxa"/>
            <w:vAlign w:val="center"/>
          </w:tcPr>
          <w:p w14:paraId="30F84D75"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1097" w:type="dxa"/>
            <w:vAlign w:val="center"/>
          </w:tcPr>
          <w:p w14:paraId="40C04444" w14:textId="77777777" w:rsidR="00C1674B" w:rsidRPr="00403AAB" w:rsidRDefault="00EB5DA0" w:rsidP="00403AAB">
            <w:pPr>
              <w:tabs>
                <w:tab w:val="center" w:pos="4320"/>
                <w:tab w:val="right" w:pos="8640"/>
              </w:tabs>
              <w:jc w:val="center"/>
              <w:rPr>
                <w:sz w:val="20"/>
                <w:szCs w:val="20"/>
              </w:rPr>
            </w:pPr>
            <w:r w:rsidRPr="00403AAB">
              <w:rPr>
                <w:sz w:val="20"/>
                <w:szCs w:val="20"/>
              </w:rPr>
              <w:t>2.5</w:t>
            </w:r>
          </w:p>
        </w:tc>
        <w:tc>
          <w:tcPr>
            <w:tcW w:w="806" w:type="dxa"/>
            <w:vAlign w:val="center"/>
          </w:tcPr>
          <w:p w14:paraId="2B07B879" w14:textId="77777777" w:rsidR="00C1674B" w:rsidRPr="00403AAB" w:rsidRDefault="003C2C8D" w:rsidP="00403AAB">
            <w:pPr>
              <w:tabs>
                <w:tab w:val="center" w:pos="4320"/>
                <w:tab w:val="right" w:pos="8640"/>
              </w:tabs>
              <w:jc w:val="center"/>
              <w:rPr>
                <w:sz w:val="20"/>
                <w:szCs w:val="20"/>
              </w:rPr>
            </w:pPr>
            <w:r>
              <w:rPr>
                <w:sz w:val="20"/>
                <w:szCs w:val="20"/>
              </w:rPr>
              <w:t>20</w:t>
            </w:r>
          </w:p>
        </w:tc>
        <w:tc>
          <w:tcPr>
            <w:tcW w:w="896" w:type="dxa"/>
            <w:vAlign w:val="center"/>
          </w:tcPr>
          <w:p w14:paraId="623CD6A4" w14:textId="77777777" w:rsidR="00C1674B" w:rsidRPr="00403AAB" w:rsidRDefault="00403AAB" w:rsidP="005921E4">
            <w:pPr>
              <w:tabs>
                <w:tab w:val="center" w:pos="4320"/>
                <w:tab w:val="right" w:pos="8640"/>
              </w:tabs>
              <w:jc w:val="center"/>
              <w:rPr>
                <w:sz w:val="20"/>
                <w:szCs w:val="20"/>
              </w:rPr>
            </w:pPr>
            <w:r w:rsidRPr="00403AAB">
              <w:rPr>
                <w:sz w:val="20"/>
                <w:szCs w:val="20"/>
              </w:rPr>
              <w:t>$</w:t>
            </w:r>
            <w:r w:rsidR="005921E4">
              <w:rPr>
                <w:sz w:val="20"/>
                <w:szCs w:val="20"/>
              </w:rPr>
              <w:t>7.25</w:t>
            </w:r>
          </w:p>
        </w:tc>
        <w:tc>
          <w:tcPr>
            <w:tcW w:w="1216" w:type="dxa"/>
            <w:vAlign w:val="center"/>
          </w:tcPr>
          <w:p w14:paraId="530345DE" w14:textId="77777777" w:rsidR="00C1674B" w:rsidRPr="00403AAB" w:rsidRDefault="003C2C8D" w:rsidP="003C2C8D">
            <w:pPr>
              <w:tabs>
                <w:tab w:val="center" w:pos="4320"/>
                <w:tab w:val="right" w:pos="8640"/>
              </w:tabs>
              <w:jc w:val="center"/>
              <w:rPr>
                <w:sz w:val="20"/>
                <w:szCs w:val="20"/>
              </w:rPr>
            </w:pPr>
            <w:r>
              <w:rPr>
                <w:sz w:val="20"/>
                <w:szCs w:val="20"/>
              </w:rPr>
              <w:t>$145</w:t>
            </w:r>
            <w:r w:rsidR="006438BB">
              <w:rPr>
                <w:sz w:val="20"/>
                <w:szCs w:val="20"/>
              </w:rPr>
              <w:t>.00</w:t>
            </w:r>
          </w:p>
        </w:tc>
      </w:tr>
      <w:tr w:rsidR="0014772A" w:rsidRPr="00BD4CFB" w14:paraId="44201D22" w14:textId="77777777" w:rsidTr="000E4666">
        <w:trPr>
          <w:trHeight w:val="432"/>
          <w:jc w:val="center"/>
        </w:trPr>
        <w:tc>
          <w:tcPr>
            <w:tcW w:w="1666" w:type="dxa"/>
            <w:vAlign w:val="center"/>
          </w:tcPr>
          <w:p w14:paraId="654CA64A" w14:textId="77777777" w:rsidR="00C1674B" w:rsidRPr="00BD4CFB" w:rsidRDefault="00EB5DA0" w:rsidP="00FD7600">
            <w:pPr>
              <w:tabs>
                <w:tab w:val="center" w:pos="4320"/>
                <w:tab w:val="right" w:pos="8640"/>
              </w:tabs>
              <w:rPr>
                <w:sz w:val="20"/>
                <w:szCs w:val="20"/>
              </w:rPr>
            </w:pPr>
            <w:r>
              <w:rPr>
                <w:sz w:val="20"/>
                <w:szCs w:val="20"/>
              </w:rPr>
              <w:t>Staff reports of program service receipt</w:t>
            </w:r>
          </w:p>
        </w:tc>
        <w:tc>
          <w:tcPr>
            <w:tcW w:w="1244" w:type="dxa"/>
            <w:vAlign w:val="center"/>
          </w:tcPr>
          <w:p w14:paraId="48944444" w14:textId="77777777" w:rsidR="00C1674B" w:rsidRPr="00403AAB" w:rsidRDefault="001645E9" w:rsidP="00403AAB">
            <w:pPr>
              <w:tabs>
                <w:tab w:val="center" w:pos="4320"/>
                <w:tab w:val="right" w:pos="8640"/>
              </w:tabs>
              <w:jc w:val="center"/>
              <w:rPr>
                <w:sz w:val="20"/>
                <w:szCs w:val="20"/>
              </w:rPr>
            </w:pPr>
            <w:r>
              <w:rPr>
                <w:sz w:val="20"/>
                <w:szCs w:val="20"/>
              </w:rPr>
              <w:t>30</w:t>
            </w:r>
          </w:p>
        </w:tc>
        <w:tc>
          <w:tcPr>
            <w:tcW w:w="1239" w:type="dxa"/>
            <w:vAlign w:val="center"/>
          </w:tcPr>
          <w:p w14:paraId="7B0BC74E" w14:textId="77777777" w:rsidR="00C1674B" w:rsidRPr="00403AAB" w:rsidRDefault="007149D7" w:rsidP="00403AAB">
            <w:pPr>
              <w:tabs>
                <w:tab w:val="center" w:pos="4320"/>
                <w:tab w:val="right" w:pos="8640"/>
              </w:tabs>
              <w:jc w:val="center"/>
              <w:rPr>
                <w:sz w:val="20"/>
                <w:szCs w:val="20"/>
              </w:rPr>
            </w:pPr>
            <w:r>
              <w:rPr>
                <w:sz w:val="20"/>
                <w:szCs w:val="20"/>
              </w:rPr>
              <w:t>10</w:t>
            </w:r>
          </w:p>
        </w:tc>
        <w:tc>
          <w:tcPr>
            <w:tcW w:w="1165" w:type="dxa"/>
            <w:vAlign w:val="center"/>
          </w:tcPr>
          <w:p w14:paraId="0DE9FD0A" w14:textId="77777777" w:rsidR="00C1674B" w:rsidRPr="00403AAB" w:rsidRDefault="007149D7" w:rsidP="00403AAB">
            <w:pPr>
              <w:tabs>
                <w:tab w:val="center" w:pos="4320"/>
                <w:tab w:val="right" w:pos="8640"/>
              </w:tabs>
              <w:jc w:val="center"/>
              <w:rPr>
                <w:sz w:val="20"/>
                <w:szCs w:val="20"/>
              </w:rPr>
            </w:pPr>
            <w:r>
              <w:rPr>
                <w:sz w:val="20"/>
                <w:szCs w:val="20"/>
              </w:rPr>
              <w:t>5,200</w:t>
            </w:r>
          </w:p>
        </w:tc>
        <w:tc>
          <w:tcPr>
            <w:tcW w:w="1097" w:type="dxa"/>
            <w:vAlign w:val="center"/>
          </w:tcPr>
          <w:p w14:paraId="649D2C4B" w14:textId="77777777" w:rsidR="00C1674B" w:rsidRPr="00403AAB" w:rsidRDefault="00EB5DA0" w:rsidP="00403AAB">
            <w:pPr>
              <w:tabs>
                <w:tab w:val="center" w:pos="4320"/>
                <w:tab w:val="right" w:pos="8640"/>
              </w:tabs>
              <w:jc w:val="center"/>
              <w:rPr>
                <w:sz w:val="20"/>
                <w:szCs w:val="20"/>
              </w:rPr>
            </w:pPr>
            <w:r w:rsidRPr="00403AAB">
              <w:rPr>
                <w:sz w:val="20"/>
                <w:szCs w:val="20"/>
              </w:rPr>
              <w:t>0.03</w:t>
            </w:r>
          </w:p>
        </w:tc>
        <w:tc>
          <w:tcPr>
            <w:tcW w:w="806" w:type="dxa"/>
            <w:vAlign w:val="center"/>
          </w:tcPr>
          <w:p w14:paraId="7CB913E8" w14:textId="77777777" w:rsidR="00C1674B" w:rsidRPr="00403AAB" w:rsidRDefault="007149D7" w:rsidP="00711A4C">
            <w:pPr>
              <w:tabs>
                <w:tab w:val="center" w:pos="4320"/>
                <w:tab w:val="right" w:pos="8640"/>
              </w:tabs>
              <w:jc w:val="center"/>
              <w:rPr>
                <w:sz w:val="20"/>
                <w:szCs w:val="20"/>
              </w:rPr>
            </w:pPr>
            <w:r>
              <w:rPr>
                <w:sz w:val="20"/>
                <w:szCs w:val="20"/>
              </w:rPr>
              <w:t>1,560</w:t>
            </w:r>
          </w:p>
        </w:tc>
        <w:tc>
          <w:tcPr>
            <w:tcW w:w="896" w:type="dxa"/>
            <w:vAlign w:val="center"/>
          </w:tcPr>
          <w:p w14:paraId="633DA33D"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16" w:type="dxa"/>
            <w:vAlign w:val="center"/>
          </w:tcPr>
          <w:p w14:paraId="4EAC5405" w14:textId="77777777" w:rsidR="00C1674B" w:rsidRPr="00403AAB" w:rsidRDefault="00403AAB" w:rsidP="00711A4C">
            <w:pPr>
              <w:tabs>
                <w:tab w:val="center" w:pos="4320"/>
                <w:tab w:val="right" w:pos="8640"/>
              </w:tabs>
              <w:jc w:val="center"/>
              <w:rPr>
                <w:sz w:val="20"/>
                <w:szCs w:val="20"/>
              </w:rPr>
            </w:pPr>
            <w:r w:rsidRPr="00403AAB">
              <w:rPr>
                <w:sz w:val="20"/>
                <w:szCs w:val="20"/>
              </w:rPr>
              <w:t>$</w:t>
            </w:r>
            <w:r w:rsidR="007149D7">
              <w:rPr>
                <w:sz w:val="20"/>
                <w:szCs w:val="20"/>
              </w:rPr>
              <w:t>52,072.80</w:t>
            </w:r>
          </w:p>
        </w:tc>
      </w:tr>
      <w:tr w:rsidR="0014772A" w:rsidRPr="00BD4CFB" w14:paraId="43A512CE" w14:textId="77777777" w:rsidTr="000E4666">
        <w:trPr>
          <w:trHeight w:val="432"/>
          <w:jc w:val="center"/>
        </w:trPr>
        <w:tc>
          <w:tcPr>
            <w:tcW w:w="1666" w:type="dxa"/>
            <w:vAlign w:val="center"/>
          </w:tcPr>
          <w:p w14:paraId="1F0A689C" w14:textId="77777777" w:rsidR="00C1674B" w:rsidRPr="00BD4CFB" w:rsidRDefault="00EB5DA0" w:rsidP="00FD7600">
            <w:pPr>
              <w:tabs>
                <w:tab w:val="center" w:pos="4320"/>
                <w:tab w:val="right" w:pos="8640"/>
              </w:tabs>
              <w:rPr>
                <w:sz w:val="20"/>
                <w:szCs w:val="20"/>
              </w:rPr>
            </w:pPr>
            <w:r>
              <w:rPr>
                <w:sz w:val="20"/>
                <w:szCs w:val="20"/>
              </w:rPr>
              <w:t>Video recordings of coaching sessions</w:t>
            </w:r>
          </w:p>
        </w:tc>
        <w:tc>
          <w:tcPr>
            <w:tcW w:w="1244" w:type="dxa"/>
            <w:vAlign w:val="center"/>
          </w:tcPr>
          <w:p w14:paraId="6D5BF88B" w14:textId="77777777" w:rsidR="00C1674B" w:rsidRPr="00403AAB" w:rsidRDefault="001645E9" w:rsidP="00403AAB">
            <w:pPr>
              <w:tabs>
                <w:tab w:val="center" w:pos="4320"/>
                <w:tab w:val="right" w:pos="8640"/>
              </w:tabs>
              <w:jc w:val="center"/>
              <w:rPr>
                <w:sz w:val="20"/>
                <w:szCs w:val="20"/>
              </w:rPr>
            </w:pPr>
            <w:r>
              <w:rPr>
                <w:sz w:val="20"/>
                <w:szCs w:val="20"/>
              </w:rPr>
              <w:t>27</w:t>
            </w:r>
          </w:p>
        </w:tc>
        <w:tc>
          <w:tcPr>
            <w:tcW w:w="1239" w:type="dxa"/>
            <w:vAlign w:val="center"/>
          </w:tcPr>
          <w:p w14:paraId="7C5ADE75" w14:textId="77777777" w:rsidR="00C1674B" w:rsidRPr="00403AAB" w:rsidRDefault="007149D7" w:rsidP="00403AAB">
            <w:pPr>
              <w:tabs>
                <w:tab w:val="center" w:pos="4320"/>
                <w:tab w:val="right" w:pos="8640"/>
              </w:tabs>
              <w:jc w:val="center"/>
              <w:rPr>
                <w:sz w:val="20"/>
                <w:szCs w:val="20"/>
              </w:rPr>
            </w:pPr>
            <w:r>
              <w:rPr>
                <w:sz w:val="20"/>
                <w:szCs w:val="20"/>
              </w:rPr>
              <w:t>9</w:t>
            </w:r>
          </w:p>
        </w:tc>
        <w:tc>
          <w:tcPr>
            <w:tcW w:w="1165" w:type="dxa"/>
            <w:vAlign w:val="center"/>
          </w:tcPr>
          <w:p w14:paraId="45153959" w14:textId="77777777" w:rsidR="00C1674B" w:rsidRPr="00403AAB" w:rsidRDefault="007149D7" w:rsidP="00403AAB">
            <w:pPr>
              <w:tabs>
                <w:tab w:val="center" w:pos="4320"/>
                <w:tab w:val="right" w:pos="8640"/>
              </w:tabs>
              <w:jc w:val="center"/>
              <w:rPr>
                <w:sz w:val="20"/>
                <w:szCs w:val="20"/>
              </w:rPr>
            </w:pPr>
            <w:r>
              <w:rPr>
                <w:sz w:val="20"/>
                <w:szCs w:val="20"/>
              </w:rPr>
              <w:t>10</w:t>
            </w:r>
          </w:p>
        </w:tc>
        <w:tc>
          <w:tcPr>
            <w:tcW w:w="1097" w:type="dxa"/>
            <w:vAlign w:val="center"/>
          </w:tcPr>
          <w:p w14:paraId="5A45D523" w14:textId="77777777" w:rsidR="00C1674B" w:rsidRPr="00403AAB" w:rsidRDefault="00EB5DA0" w:rsidP="00403AAB">
            <w:pPr>
              <w:tabs>
                <w:tab w:val="center" w:pos="4320"/>
                <w:tab w:val="right" w:pos="8640"/>
              </w:tabs>
              <w:jc w:val="center"/>
              <w:rPr>
                <w:sz w:val="20"/>
                <w:szCs w:val="20"/>
              </w:rPr>
            </w:pPr>
            <w:r w:rsidRPr="00403AAB">
              <w:rPr>
                <w:sz w:val="20"/>
                <w:szCs w:val="20"/>
              </w:rPr>
              <w:t>0.1</w:t>
            </w:r>
          </w:p>
        </w:tc>
        <w:tc>
          <w:tcPr>
            <w:tcW w:w="806" w:type="dxa"/>
            <w:vAlign w:val="center"/>
          </w:tcPr>
          <w:p w14:paraId="440E7655" w14:textId="77777777" w:rsidR="00C1674B" w:rsidRPr="00403AAB" w:rsidRDefault="00DB129B" w:rsidP="00403AAB">
            <w:pPr>
              <w:tabs>
                <w:tab w:val="center" w:pos="4320"/>
                <w:tab w:val="right" w:pos="8640"/>
              </w:tabs>
              <w:jc w:val="center"/>
              <w:rPr>
                <w:sz w:val="20"/>
                <w:szCs w:val="20"/>
              </w:rPr>
            </w:pPr>
            <w:r>
              <w:rPr>
                <w:sz w:val="20"/>
                <w:szCs w:val="20"/>
              </w:rPr>
              <w:t>9</w:t>
            </w:r>
          </w:p>
        </w:tc>
        <w:tc>
          <w:tcPr>
            <w:tcW w:w="896" w:type="dxa"/>
            <w:vAlign w:val="center"/>
          </w:tcPr>
          <w:p w14:paraId="79DE73D1"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16" w:type="dxa"/>
            <w:vAlign w:val="center"/>
          </w:tcPr>
          <w:p w14:paraId="660E0A11" w14:textId="77777777" w:rsidR="00C1674B" w:rsidRPr="00403AAB" w:rsidRDefault="00403AAB" w:rsidP="00DB129B">
            <w:pPr>
              <w:tabs>
                <w:tab w:val="center" w:pos="4320"/>
                <w:tab w:val="right" w:pos="8640"/>
              </w:tabs>
              <w:jc w:val="center"/>
              <w:rPr>
                <w:sz w:val="20"/>
                <w:szCs w:val="20"/>
              </w:rPr>
            </w:pPr>
            <w:r w:rsidRPr="00403AAB">
              <w:rPr>
                <w:sz w:val="20"/>
                <w:szCs w:val="20"/>
              </w:rPr>
              <w:t>$</w:t>
            </w:r>
            <w:r w:rsidR="00DB129B">
              <w:rPr>
                <w:sz w:val="20"/>
                <w:szCs w:val="20"/>
              </w:rPr>
              <w:t>300.42</w:t>
            </w:r>
          </w:p>
        </w:tc>
      </w:tr>
      <w:tr w:rsidR="00C1674B" w:rsidRPr="00BD4CFB" w14:paraId="5F44F33C" w14:textId="77777777" w:rsidTr="000E4666">
        <w:trPr>
          <w:jc w:val="center"/>
        </w:trPr>
        <w:tc>
          <w:tcPr>
            <w:tcW w:w="6411" w:type="dxa"/>
            <w:gridSpan w:val="5"/>
            <w:vAlign w:val="center"/>
          </w:tcPr>
          <w:p w14:paraId="2ECF4081" w14:textId="77777777" w:rsidR="00C1674B" w:rsidRPr="00BD4CFB" w:rsidRDefault="00435E44" w:rsidP="00435E44">
            <w:pPr>
              <w:tabs>
                <w:tab w:val="center" w:pos="4320"/>
                <w:tab w:val="right" w:pos="8640"/>
              </w:tabs>
              <w:rPr>
                <w:b/>
                <w:sz w:val="20"/>
                <w:szCs w:val="20"/>
              </w:rPr>
            </w:pPr>
            <w:r>
              <w:rPr>
                <w:b/>
                <w:sz w:val="20"/>
                <w:szCs w:val="20"/>
              </w:rPr>
              <w:t>Estimated annual b</w:t>
            </w:r>
            <w:r w:rsidR="00C1674B" w:rsidRPr="00BD4CFB">
              <w:rPr>
                <w:b/>
                <w:sz w:val="20"/>
                <w:szCs w:val="20"/>
              </w:rPr>
              <w:t xml:space="preserve">urden </w:t>
            </w:r>
            <w:r>
              <w:rPr>
                <w:b/>
                <w:sz w:val="20"/>
                <w:szCs w:val="20"/>
              </w:rPr>
              <w:t>t</w:t>
            </w:r>
            <w:r w:rsidR="00C1674B" w:rsidRPr="00BD4CFB">
              <w:rPr>
                <w:b/>
                <w:sz w:val="20"/>
                <w:szCs w:val="20"/>
              </w:rPr>
              <w:t xml:space="preserve">otal </w:t>
            </w:r>
          </w:p>
        </w:tc>
        <w:tc>
          <w:tcPr>
            <w:tcW w:w="806" w:type="dxa"/>
          </w:tcPr>
          <w:p w14:paraId="5FEA5C45" w14:textId="77777777" w:rsidR="00C1674B" w:rsidRPr="00BD4CFB" w:rsidRDefault="007149D7" w:rsidP="007149D7">
            <w:pPr>
              <w:tabs>
                <w:tab w:val="center" w:pos="4320"/>
                <w:tab w:val="right" w:pos="8640"/>
              </w:tabs>
              <w:jc w:val="center"/>
              <w:rPr>
                <w:b/>
                <w:sz w:val="20"/>
                <w:szCs w:val="20"/>
              </w:rPr>
            </w:pPr>
            <w:r>
              <w:rPr>
                <w:b/>
                <w:sz w:val="20"/>
                <w:szCs w:val="20"/>
              </w:rPr>
              <w:t>3</w:t>
            </w:r>
            <w:r w:rsidR="00DB129B">
              <w:rPr>
                <w:b/>
                <w:sz w:val="20"/>
                <w:szCs w:val="20"/>
              </w:rPr>
              <w:t>,</w:t>
            </w:r>
            <w:r>
              <w:rPr>
                <w:b/>
                <w:sz w:val="20"/>
                <w:szCs w:val="20"/>
              </w:rPr>
              <w:t>754</w:t>
            </w:r>
          </w:p>
        </w:tc>
        <w:tc>
          <w:tcPr>
            <w:tcW w:w="896" w:type="dxa"/>
          </w:tcPr>
          <w:p w14:paraId="3CE2A0E1" w14:textId="77777777" w:rsidR="00C1674B" w:rsidRPr="00BD4CFB" w:rsidRDefault="00C1674B" w:rsidP="00FD7600">
            <w:pPr>
              <w:tabs>
                <w:tab w:val="center" w:pos="4320"/>
                <w:tab w:val="right" w:pos="8640"/>
              </w:tabs>
              <w:jc w:val="center"/>
              <w:rPr>
                <w:b/>
                <w:sz w:val="20"/>
                <w:szCs w:val="20"/>
              </w:rPr>
            </w:pPr>
          </w:p>
        </w:tc>
        <w:tc>
          <w:tcPr>
            <w:tcW w:w="1216" w:type="dxa"/>
          </w:tcPr>
          <w:p w14:paraId="5D429B19" w14:textId="77777777" w:rsidR="00C1674B" w:rsidRPr="00BD4CFB" w:rsidRDefault="00403AAB" w:rsidP="007149D7">
            <w:pPr>
              <w:tabs>
                <w:tab w:val="center" w:pos="4320"/>
                <w:tab w:val="right" w:pos="8640"/>
              </w:tabs>
              <w:jc w:val="center"/>
              <w:rPr>
                <w:b/>
                <w:sz w:val="20"/>
                <w:szCs w:val="20"/>
              </w:rPr>
            </w:pPr>
            <w:r>
              <w:rPr>
                <w:b/>
                <w:sz w:val="20"/>
                <w:szCs w:val="20"/>
              </w:rPr>
              <w:t>$</w:t>
            </w:r>
            <w:r w:rsidR="007149D7">
              <w:rPr>
                <w:b/>
                <w:sz w:val="20"/>
                <w:szCs w:val="20"/>
              </w:rPr>
              <w:t>86,636.12</w:t>
            </w:r>
          </w:p>
        </w:tc>
      </w:tr>
    </w:tbl>
    <w:p w14:paraId="733426E0" w14:textId="77777777" w:rsidR="00436F5E" w:rsidRDefault="00436F5E" w:rsidP="00436F5E"/>
    <w:p w14:paraId="32C456A9" w14:textId="77777777" w:rsidR="002338AC" w:rsidRPr="002F3EDE" w:rsidRDefault="002338AC" w:rsidP="00401EC8">
      <w:pPr>
        <w:keepNext/>
        <w:spacing w:before="240" w:after="60"/>
        <w:rPr>
          <w:b/>
          <w:i/>
        </w:rPr>
      </w:pPr>
      <w:r w:rsidRPr="002F3EDE">
        <w:rPr>
          <w:b/>
          <w:i/>
        </w:rPr>
        <w:t>Total Annual Cost</w:t>
      </w:r>
    </w:p>
    <w:p w14:paraId="313D71D4" w14:textId="77777777" w:rsidR="00E46C13" w:rsidRDefault="00E46C13" w:rsidP="00403AAB">
      <w:r w:rsidRPr="00E46C13">
        <w:t xml:space="preserve">The total annual cost is </w:t>
      </w:r>
      <w:r w:rsidR="008A7C9C">
        <w:t>$86,636.12</w:t>
      </w:r>
      <w:r w:rsidRPr="00E46C13">
        <w:t>.</w:t>
      </w:r>
      <w:r>
        <w:t xml:space="preserve"> </w:t>
      </w:r>
      <w:r w:rsidRPr="00E46C13">
        <w:t>The total estimated cost figures are computed from the total annual burden hours and an average hourly wage for staff and program applicants. We estimate the average hourly wage for program staff to be the average hourly wage of Social and Community Service Managers (SOC 11-9151) taken from the U.S. Bureau of Labor Statistics National Compensation Survey, 2015 ($33.38). The average hourly wage of study participants is estimated to be $7.25, the federal minimum wage.</w:t>
      </w:r>
    </w:p>
    <w:p w14:paraId="1D44A317" w14:textId="77777777" w:rsidR="00945CD6" w:rsidRPr="0072204D" w:rsidRDefault="00292B70" w:rsidP="00B9279C">
      <w:pPr>
        <w:keepNext/>
        <w:spacing w:before="360" w:after="120"/>
        <w:rPr>
          <w:b/>
        </w:rPr>
      </w:pPr>
      <w:r>
        <w:rPr>
          <w:b/>
        </w:rPr>
        <w:t xml:space="preserve">A13. </w:t>
      </w:r>
      <w:r w:rsidR="00945CD6" w:rsidRPr="0072204D">
        <w:rPr>
          <w:b/>
        </w:rPr>
        <w:t>Cost Burden to Respondents or Record Keepers</w:t>
      </w:r>
    </w:p>
    <w:p w14:paraId="6D31715C" w14:textId="77777777" w:rsidR="00403AAB" w:rsidRPr="00F10B7E" w:rsidRDefault="00403AAB" w:rsidP="00403AAB">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14:paraId="1CD6C59E" w14:textId="77777777" w:rsidR="00945CD6" w:rsidRPr="0072204D" w:rsidRDefault="00292B70" w:rsidP="00B9279C">
      <w:pPr>
        <w:keepNext/>
        <w:spacing w:before="360" w:after="120"/>
        <w:rPr>
          <w:b/>
        </w:rPr>
      </w:pPr>
      <w:r>
        <w:rPr>
          <w:b/>
        </w:rPr>
        <w:t xml:space="preserve">A14. </w:t>
      </w:r>
      <w:r w:rsidR="00945CD6" w:rsidRPr="0072204D">
        <w:rPr>
          <w:b/>
        </w:rPr>
        <w:t>Estimate of Cost to the Federal Government</w:t>
      </w:r>
    </w:p>
    <w:p w14:paraId="76680727" w14:textId="539B3CC4" w:rsidR="00B91D97" w:rsidRPr="00BB2157" w:rsidRDefault="00B91D97" w:rsidP="00436F5E">
      <w:r w:rsidRPr="00BB2157">
        <w:t>The total cost for the</w:t>
      </w:r>
      <w:r>
        <w:t xml:space="preserve"> data collection activities under this current request </w:t>
      </w:r>
      <w:r w:rsidRPr="00BB2157">
        <w:t xml:space="preserve">will </w:t>
      </w:r>
      <w:r w:rsidRPr="001061C5">
        <w:t>be $</w:t>
      </w:r>
      <w:r w:rsidR="00DB129B">
        <w:t>4</w:t>
      </w:r>
      <w:r w:rsidR="00C265C6">
        <w:t>,975,123.</w:t>
      </w:r>
      <w:r>
        <w:t xml:space="preserve"> Annual costs to the Federal government will be $</w:t>
      </w:r>
      <w:r w:rsidR="009F7979">
        <w:t>1,658,37</w:t>
      </w:r>
      <w:r w:rsidR="00EB5143">
        <w:t>4</w:t>
      </w:r>
      <w:r>
        <w:t xml:space="preserve"> for the proposed data collection. </w:t>
      </w:r>
      <w:r w:rsidR="00C265C6">
        <w:t>These costs are inclusive of design, implementation, monitoring of random assignment</w:t>
      </w:r>
      <w:r w:rsidR="005B5A59">
        <w:t xml:space="preserve">, </w:t>
      </w:r>
      <w:r w:rsidR="00C265C6">
        <w:t xml:space="preserve">survey administration, </w:t>
      </w:r>
      <w:r w:rsidR="005B5A59">
        <w:t xml:space="preserve">and survey </w:t>
      </w:r>
      <w:r w:rsidR="00C265C6">
        <w:t xml:space="preserve">analysis and reporting. </w:t>
      </w:r>
      <w:r w:rsidR="009F7979">
        <w:t>The costs associated with t</w:t>
      </w:r>
      <w:r w:rsidR="00D9760F">
        <w:t>he second follow-up survey</w:t>
      </w:r>
      <w:r w:rsidR="00C265C6">
        <w:t xml:space="preserve"> will be included in a subsequent submission to OMB.</w:t>
      </w:r>
    </w:p>
    <w:p w14:paraId="0FE74B52" w14:textId="77777777" w:rsidR="00403AAB" w:rsidRDefault="00292B70" w:rsidP="00B9279C">
      <w:pPr>
        <w:keepNext/>
        <w:spacing w:before="360" w:after="120"/>
        <w:rPr>
          <w:b/>
        </w:rPr>
      </w:pPr>
      <w:r>
        <w:rPr>
          <w:b/>
        </w:rPr>
        <w:t xml:space="preserve">A15. </w:t>
      </w:r>
      <w:r w:rsidR="00945CD6" w:rsidRPr="0072204D">
        <w:rPr>
          <w:b/>
        </w:rPr>
        <w:t>Change in Burden</w:t>
      </w:r>
    </w:p>
    <w:p w14:paraId="37414ED9" w14:textId="77777777" w:rsidR="00520737" w:rsidRPr="00403AAB" w:rsidRDefault="00403AAB" w:rsidP="00403AAB">
      <w:pPr>
        <w:spacing w:after="120"/>
        <w:rPr>
          <w:b/>
        </w:rPr>
      </w:pPr>
      <w:r w:rsidRPr="00F10B7E">
        <w:t xml:space="preserve">This evaluation involves </w:t>
      </w:r>
      <w:r w:rsidR="005B5A59">
        <w:t xml:space="preserve">a </w:t>
      </w:r>
      <w:r w:rsidRPr="00F10B7E">
        <w:t>new data collection</w:t>
      </w:r>
      <w:r w:rsidR="005B5A59">
        <w:t xml:space="preserve"> request</w:t>
      </w:r>
      <w:r w:rsidRPr="00F10B7E">
        <w:t>.</w:t>
      </w:r>
    </w:p>
    <w:p w14:paraId="5F7AAE4D" w14:textId="77777777" w:rsidR="00403AAB" w:rsidRDefault="00292B70" w:rsidP="00B9279C">
      <w:pPr>
        <w:keepNext/>
        <w:spacing w:before="360" w:after="120"/>
        <w:rPr>
          <w:b/>
        </w:rPr>
      </w:pPr>
      <w:r w:rsidRPr="005A64C5">
        <w:rPr>
          <w:b/>
        </w:rPr>
        <w:t xml:space="preserve">A16. </w:t>
      </w:r>
      <w:r w:rsidR="00945CD6" w:rsidRPr="005A64C5">
        <w:rPr>
          <w:b/>
        </w:rPr>
        <w:t>Plan and Time Schedule for Information Collection, Tabulation and Publication</w:t>
      </w:r>
      <w:r w:rsidR="00B9279C">
        <w:rPr>
          <w:b/>
        </w:rPr>
        <w:t xml:space="preserve"> </w:t>
      </w:r>
      <w:r w:rsidR="00403AAB">
        <w:rPr>
          <w:b/>
        </w:rPr>
        <w:t>Plans for Tabulation</w:t>
      </w:r>
    </w:p>
    <w:p w14:paraId="007DA727" w14:textId="77777777" w:rsidR="00403AAB" w:rsidRDefault="00403AAB" w:rsidP="00403AAB">
      <w:pPr>
        <w:pStyle w:val="BodyText"/>
        <w:spacing w:line="240" w:lineRule="auto"/>
        <w:rPr>
          <w:b/>
          <w:sz w:val="24"/>
          <w:szCs w:val="24"/>
        </w:rPr>
      </w:pPr>
      <w:r>
        <w:rPr>
          <w:b/>
          <w:sz w:val="24"/>
          <w:szCs w:val="24"/>
        </w:rPr>
        <w:t>Impact Study</w:t>
      </w:r>
    </w:p>
    <w:p w14:paraId="6F823B36" w14:textId="77777777" w:rsidR="00CC2132" w:rsidRDefault="00CC2132" w:rsidP="004453F8">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14:paraId="722681B9" w14:textId="77777777" w:rsidR="00CC2132" w:rsidRDefault="00CC2132" w:rsidP="004453F8">
      <w:pPr>
        <w:pStyle w:val="NormalSS"/>
        <w:ind w:firstLine="0"/>
      </w:pPr>
      <w:r w:rsidRPr="00BE7930">
        <w:t>We will</w:t>
      </w:r>
      <w:r>
        <w:t xml:space="preserve"> use the baseline data 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14:paraId="4A4B8C5E" w14:textId="0BEA74D7" w:rsidR="00CC2132" w:rsidRPr="00C34C28" w:rsidRDefault="00CC2132" w:rsidP="0082700D">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2.05pt" o:ole="">
            <v:imagedata r:id="rId12" o:title=""/>
          </v:shape>
          <o:OLEObject Type="Embed" ProgID="Equation.3" ShapeID="_x0000_i1025" DrawAspect="Content" ObjectID="_1582535335" r:id="rId13"/>
        </w:object>
      </w:r>
      <w:r w:rsidRPr="005A7A17">
        <w:rPr>
          <w:rFonts w:cs="TimesNewRomanPSMT"/>
        </w:rPr>
        <w:t xml:space="preserve">, </w:t>
      </w:r>
      <w:r w:rsidRPr="005A7A17">
        <w:t xml:space="preserve">where </w:t>
      </w:r>
      <w:r w:rsidRPr="005A7A17">
        <w:rPr>
          <w:position w:val="-12"/>
        </w:rPr>
        <w:object w:dxaOrig="240" w:dyaOrig="360" w14:anchorId="1241D827">
          <v:shape id="_x0000_i1026" type="#_x0000_t75" style="width:14.25pt;height:22.05pt" o:ole="">
            <v:imagedata r:id="rId14" o:title=""/>
          </v:shape>
          <o:OLEObject Type="Embed" ProgID="Equation.3" ShapeID="_x0000_i1026" DrawAspect="Content" ObjectID="_1582535336" r:id="rId15"/>
        </w:object>
      </w:r>
      <w:r w:rsidRPr="005A7A17">
        <w:t>is an outcome for person</w:t>
      </w:r>
      <w:r w:rsidRPr="005A7A17">
        <w:rPr>
          <w:position w:val="-6"/>
        </w:rPr>
        <w:object w:dxaOrig="139" w:dyaOrig="260" w14:anchorId="030E0406">
          <v:shape id="_x0000_i1027" type="#_x0000_t75" style="width:7.8pt;height:14.25pt" o:ole="">
            <v:imagedata r:id="rId16" o:title=""/>
          </v:shape>
          <o:OLEObject Type="Embed" ProgID="Equation.3" ShapeID="_x0000_i1027" DrawAspect="Content" ObjectID="_1582535337" r:id="rId17"/>
        </w:object>
      </w:r>
      <w:r w:rsidRPr="005A7A17">
        <w:t xml:space="preserve"> (such as earnings)</w:t>
      </w:r>
      <w:r w:rsidR="00D1088B">
        <w:t>;</w:t>
      </w:r>
      <w:r w:rsidRPr="005A7A17">
        <w:t xml:space="preserve"> </w:t>
      </w:r>
      <w:r w:rsidR="00F91456" w:rsidRPr="00F91456">
        <w:rPr>
          <w:position w:val="-6"/>
        </w:rPr>
        <w:object w:dxaOrig="240" w:dyaOrig="220" w14:anchorId="6E82A0FF">
          <v:shape id="_x0000_i1028" type="#_x0000_t75" style="width:15.55pt;height:11.05pt" o:ole="">
            <v:imagedata r:id="rId18" o:title=""/>
          </v:shape>
          <o:OLEObject Type="Embed" ProgID="Equation.3" ShapeID="_x0000_i1028" DrawAspect="Content" ObjectID="_1582535338" r:id="rId19"/>
        </w:object>
      </w:r>
      <w:r w:rsidR="00F91456">
        <w:t>is a constant;</w:t>
      </w:r>
      <w:r w:rsidR="00F91456" w:rsidRPr="00F91456">
        <w:t xml:space="preserve"> </w:t>
      </w:r>
      <w:r w:rsidRPr="005A7A17">
        <w:rPr>
          <w:position w:val="-12"/>
        </w:rPr>
        <w:object w:dxaOrig="320" w:dyaOrig="360" w14:anchorId="4BBD01F7">
          <v:shape id="_x0000_i1029" type="#_x0000_t75" style="width:22.05pt;height:22.05pt" o:ole="">
            <v:imagedata r:id="rId20" o:title=""/>
          </v:shape>
          <o:OLEObject Type="Embed" ProgID="Equation.3" ShapeID="_x0000_i1029" DrawAspect="Content" ObjectID="_1582535339" r:id="rId21"/>
        </w:object>
      </w:r>
      <w:r w:rsidRPr="005A7A17">
        <w:t>is a vector of baseline characteristics (suc</w:t>
      </w:r>
      <w:r>
        <w:t>h as gender, age, race/ethnicity</w:t>
      </w:r>
      <w:r w:rsidRPr="005A7A17">
        <w:t>)</w:t>
      </w:r>
      <w:r w:rsidR="00D1088B">
        <w:t>;</w:t>
      </w:r>
      <w:r w:rsidRPr="005A7A17">
        <w:t xml:space="preserve"> </w:t>
      </w:r>
      <w:r w:rsidR="00F91456" w:rsidRPr="00F91456">
        <w:rPr>
          <w:position w:val="-10"/>
        </w:rPr>
        <w:object w:dxaOrig="240" w:dyaOrig="320" w14:anchorId="746607B6">
          <v:shape id="_x0000_i1030" type="#_x0000_t75" style="width:15.55pt;height:16.2pt" o:ole="">
            <v:imagedata r:id="rId22" o:title=""/>
          </v:shape>
          <o:OLEObject Type="Embed" ProgID="Equation.3" ShapeID="_x0000_i1030" DrawAspect="Content" ObjectID="_1582535340" r:id="rId23"/>
        </w:object>
      </w:r>
      <w:r w:rsidR="00F91456">
        <w:t xml:space="preserve">is a vector representing the relationship between each baseline characteristic and the outcome; </w:t>
      </w:r>
      <w:r w:rsidR="00F91456" w:rsidRPr="00F91456">
        <w:t xml:space="preserve"> </w:t>
      </w:r>
      <w:r w:rsidRPr="005A7A17">
        <w:rPr>
          <w:position w:val="-12"/>
        </w:rPr>
        <w:object w:dxaOrig="240" w:dyaOrig="360" w14:anchorId="2D014BE2">
          <v:shape id="_x0000_i1031" type="#_x0000_t75" style="width:14.25pt;height:22.05pt" o:ole="">
            <v:imagedata r:id="rId24" o:title=""/>
          </v:shape>
          <o:OLEObject Type="Embed" ProgID="Equation.3" ShapeID="_x0000_i1031" DrawAspect="Content" ObjectID="_1582535341" r:id="rId25"/>
        </w:object>
      </w:r>
      <w:r w:rsidRPr="005A7A17">
        <w:t xml:space="preserve">is an indicator for whether person </w:t>
      </w:r>
      <w:r w:rsidRPr="005A7A17">
        <w:rPr>
          <w:position w:val="-6"/>
        </w:rPr>
        <w:object w:dxaOrig="139" w:dyaOrig="260" w14:anchorId="25C8DDD7">
          <v:shape id="_x0000_i1032" type="#_x0000_t75" style="width:7.8pt;height:14.25pt" o:ole="">
            <v:imagedata r:id="rId26" o:title=""/>
          </v:shape>
          <o:OLEObject Type="Embed" ProgID="Equation.3" ShapeID="_x0000_i1032" DrawAspect="Content" ObjectID="_1582535342" r:id="rId27"/>
        </w:object>
      </w:r>
      <w:r w:rsidRPr="005A7A17">
        <w:t xml:space="preserve"> received treatment</w:t>
      </w:r>
      <w:r w:rsidR="00D1088B">
        <w:t>;</w:t>
      </w:r>
      <w:r w:rsidRPr="005A7A17">
        <w:t xml:space="preserve"> and </w:t>
      </w:r>
      <w:r w:rsidRPr="005A7A17">
        <w:rPr>
          <w:position w:val="-12"/>
        </w:rPr>
        <w:object w:dxaOrig="240" w:dyaOrig="360" w14:anchorId="25F3588C">
          <v:shape id="_x0000_i1033" type="#_x0000_t75" style="width:14.25pt;height:22.05pt" o:ole="">
            <v:imagedata r:id="rId28" o:title=""/>
          </v:shape>
          <o:OLEObject Type="Embed" ProgID="Equation.3" ShapeID="_x0000_i1033" DrawAspect="Content" ObjectID="_1582535343" r:id="rId29"/>
        </w:object>
      </w:r>
      <w:r w:rsidRPr="005A7A17">
        <w:t>is an error term</w:t>
      </w:r>
      <w:r w:rsidR="00D1088B">
        <w:t>.</w:t>
      </w:r>
      <w:r w:rsidRPr="005A7A17">
        <w:t xml:space="preserve"> </w:t>
      </w:r>
      <w:r w:rsidR="00302FC6" w:rsidRPr="00D9760F">
        <w:rPr>
          <w:position w:val="-6"/>
        </w:rPr>
        <w:object w:dxaOrig="220" w:dyaOrig="279" w14:anchorId="0398CBBA">
          <v:shape id="_x0000_i1034" type="#_x0000_t75" style="width:14.25pt;height:14.25pt" o:ole="">
            <v:imagedata r:id="rId30" o:title=""/>
          </v:shape>
          <o:OLEObject Type="Embed" ProgID="Equation.3" ShapeID="_x0000_i1034" DrawAspect="Content" ObjectID="_1582535344" r:id="rId31"/>
        </w:object>
      </w:r>
      <w:r w:rsidRPr="005A7A17">
        <w:t xml:space="preserve">represents the estimated impact of the </w:t>
      </w:r>
      <w:r>
        <w:t>intervention</w:t>
      </w:r>
      <w:r w:rsidRPr="005A7A17">
        <w:t xml:space="preserve">. </w:t>
      </w:r>
      <w:r>
        <w:t xml:space="preserve">We will estimate these models separately for each coaching intervention. </w:t>
      </w:r>
    </w:p>
    <w:p w14:paraId="4F54DD38" w14:textId="2D98E897" w:rsidR="00CC2132" w:rsidRPr="00AB6B15" w:rsidRDefault="00CC2132" w:rsidP="004453F8">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type="#_x0000_t75" style="width:7.8pt;height:22.05pt" o:ole="">
            <v:imagedata r:id="rId32" o:title=""/>
          </v:shape>
          <o:OLEObject Type="Embed" ProgID="Equation.3" ShapeID="_x0000_i1035" DrawAspect="Content" ObjectID="_1582535345" r:id="rId33"/>
        </w:object>
      </w:r>
      <w:r w:rsidRPr="005A7A17">
        <w:rPr>
          <w:rFonts w:ascii="TimesNewRomanPSMT" w:hAnsi="TimesNewRomanPSMT"/>
          <w:position w:val="-12"/>
        </w:rPr>
        <w:object w:dxaOrig="3620" w:dyaOrig="360" w14:anchorId="16E70BD7">
          <v:shape id="_x0000_i1036" type="#_x0000_t75" style="width:179.7pt;height:22.05pt" o:ole="">
            <v:imagedata r:id="rId34" o:title=""/>
          </v:shape>
          <o:OLEObject Type="Embed" ProgID="Equation.3" ShapeID="_x0000_i1036" DrawAspect="Content" ObjectID="_1582535346" r:id="rId35"/>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type="#_x0000_t75" style="width:14.25pt;height:22.05pt" o:ole="">
            <v:imagedata r:id="rId36" o:title=""/>
          </v:shape>
          <o:OLEObject Type="Embed" ProgID="Equation.3" ShapeID="_x0000_i1037" DrawAspect="Content" ObjectID="_1582535347" r:id="rId37"/>
        </w:object>
      </w:r>
      <w:r w:rsidRPr="005A7A17">
        <w:t xml:space="preserve"> is an indicator for whether person </w:t>
      </w:r>
      <w:r w:rsidRPr="005A7A17">
        <w:rPr>
          <w:position w:val="-6"/>
        </w:rPr>
        <w:object w:dxaOrig="139" w:dyaOrig="260" w14:anchorId="6C248209">
          <v:shape id="_x0000_i1038" type="#_x0000_t75" style="width:7.8pt;height:14.25pt" o:ole="">
            <v:imagedata r:id="rId38" o:title=""/>
          </v:shape>
          <o:OLEObject Type="Embed" ProgID="Equation.3" ShapeID="_x0000_i1038" DrawAspect="Content" ObjectID="_1582535348" r:id="rId39"/>
        </w:object>
      </w:r>
      <w:r w:rsidRPr="005A7A17">
        <w:t xml:space="preserve"> is part of a subgroup;</w:t>
      </w:r>
      <w:r w:rsidR="00F91456" w:rsidRPr="00F91456">
        <w:rPr>
          <w:szCs w:val="24"/>
        </w:rPr>
        <w:t xml:space="preserve"> </w:t>
      </w:r>
      <w:r w:rsidR="00555EBC" w:rsidRPr="00555EBC">
        <w:rPr>
          <w:position w:val="-10"/>
        </w:rPr>
        <w:object w:dxaOrig="279" w:dyaOrig="340" w14:anchorId="68A90087">
          <v:shape id="_x0000_i1039" type="#_x0000_t75" style="width:14.9pt;height:20.1pt" o:ole="">
            <v:imagedata r:id="rId40" o:title=""/>
          </v:shape>
          <o:OLEObject Type="Embed" ProgID="Equation.3" ShapeID="_x0000_i1039" DrawAspect="Content" ObjectID="_1582535349" r:id="rId41"/>
        </w:object>
      </w:r>
      <w:r w:rsidR="00F91456" w:rsidRPr="00F91456">
        <w:t xml:space="preserve"> represents </w:t>
      </w:r>
      <w:r w:rsidR="00555EBC">
        <w:t>the relationship between subgroup status and the outcome;</w:t>
      </w:r>
      <w:r w:rsidR="00F91456" w:rsidRPr="00F91456">
        <w:t xml:space="preserve"> </w:t>
      </w:r>
      <w:r w:rsidRPr="005A7A17">
        <w:rPr>
          <w:position w:val="-12"/>
        </w:rPr>
        <w:object w:dxaOrig="260" w:dyaOrig="360" w14:anchorId="4F9D84EF">
          <v:shape id="_x0000_i1040" type="#_x0000_t75" style="width:14.25pt;height:22.05pt" o:ole="">
            <v:imagedata r:id="rId42" o:title=""/>
          </v:shape>
          <o:OLEObject Type="Embed" ProgID="Equation.3" ShapeID="_x0000_i1040" DrawAspect="Content" ObjectID="_1582535350" r:id="rId43"/>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14:paraId="05B79CD7" w14:textId="77777777" w:rsidR="00403AAB" w:rsidRDefault="00403AAB" w:rsidP="00C265C6">
      <w:pPr>
        <w:pStyle w:val="BodyText"/>
        <w:spacing w:line="240" w:lineRule="auto"/>
        <w:rPr>
          <w:b/>
          <w:sz w:val="24"/>
          <w:szCs w:val="24"/>
        </w:rPr>
      </w:pPr>
      <w:r>
        <w:rPr>
          <w:b/>
          <w:sz w:val="24"/>
          <w:szCs w:val="24"/>
        </w:rPr>
        <w:t>Implementation Study</w:t>
      </w:r>
    </w:p>
    <w:p w14:paraId="7008A25E" w14:textId="44900C1A" w:rsidR="00435E44" w:rsidRDefault="005A6222" w:rsidP="00403AAB">
      <w:pPr>
        <w:pStyle w:val="BodyText"/>
        <w:spacing w:line="240" w:lineRule="auto"/>
        <w:rPr>
          <w:sz w:val="24"/>
          <w:szCs w:val="24"/>
        </w:rPr>
      </w:pPr>
      <w:r>
        <w:rPr>
          <w:sz w:val="24"/>
          <w:szCs w:val="24"/>
        </w:rPr>
        <w:t>T</w:t>
      </w:r>
      <w:r w:rsidR="00403AAB" w:rsidRPr="00DE3394">
        <w:rPr>
          <w:sz w:val="24"/>
          <w:szCs w:val="24"/>
        </w:rPr>
        <w:t xml:space="preserve">he implementation study </w:t>
      </w:r>
      <w:r w:rsidR="007956AA">
        <w:rPr>
          <w:sz w:val="24"/>
          <w:szCs w:val="24"/>
        </w:rPr>
        <w:t>has three main objectives.</w:t>
      </w:r>
      <w:r w:rsidR="009B1ED9">
        <w:rPr>
          <w:sz w:val="24"/>
          <w:szCs w:val="24"/>
        </w:rPr>
        <w:t xml:space="preserve"> </w:t>
      </w:r>
      <w:r w:rsidR="002A0F81">
        <w:rPr>
          <w:sz w:val="24"/>
          <w:szCs w:val="24"/>
        </w:rPr>
        <w:t>The f</w:t>
      </w:r>
      <w:r w:rsidR="009B1ED9">
        <w:rPr>
          <w:sz w:val="24"/>
          <w:szCs w:val="24"/>
        </w:rPr>
        <w:t>irst</w:t>
      </w:r>
      <w:r w:rsidR="002A0F81">
        <w:rPr>
          <w:sz w:val="24"/>
          <w:szCs w:val="24"/>
        </w:rPr>
        <w:t xml:space="preserve"> objective is </w:t>
      </w:r>
      <w:r w:rsidR="00D612F4">
        <w:rPr>
          <w:sz w:val="24"/>
          <w:szCs w:val="24"/>
        </w:rPr>
        <w:t>to</w:t>
      </w:r>
      <w:r w:rsidR="00D612F4">
        <w:rPr>
          <w:rStyle w:val="CommentReference"/>
        </w:rPr>
        <w:t xml:space="preserve"> </w:t>
      </w:r>
      <w:r w:rsidR="00D612F4">
        <w:rPr>
          <w:sz w:val="24"/>
          <w:szCs w:val="24"/>
        </w:rPr>
        <w:t>identify</w:t>
      </w:r>
      <w:r w:rsidR="002A0F81">
        <w:rPr>
          <w:sz w:val="24"/>
          <w:szCs w:val="24"/>
        </w:rPr>
        <w:t xml:space="preserve"> </w:t>
      </w:r>
      <w:r w:rsidR="009B1ED9">
        <w:rPr>
          <w:sz w:val="24"/>
          <w:szCs w:val="24"/>
        </w:rPr>
        <w:t>features and conditions necessary for replication of each coaching intervention by detailed documentation of the interventions and context in which they are implemented. Second, interpret</w:t>
      </w:r>
      <w:r w:rsidR="00F03814">
        <w:rPr>
          <w:sz w:val="24"/>
          <w:szCs w:val="24"/>
        </w:rPr>
        <w:t>ing</w:t>
      </w:r>
      <w:r w:rsidR="002A0F81">
        <w:rPr>
          <w:sz w:val="24"/>
          <w:szCs w:val="24"/>
        </w:rPr>
        <w:t xml:space="preserve"> </w:t>
      </w:r>
      <w:r w:rsidR="009B1ED9">
        <w:rPr>
          <w:sz w:val="24"/>
          <w:szCs w:val="24"/>
        </w:rPr>
        <w:t>impact estimates require</w:t>
      </w:r>
      <w:r w:rsidR="002A0F81">
        <w:rPr>
          <w:sz w:val="24"/>
          <w:szCs w:val="24"/>
        </w:rPr>
        <w:t>s</w:t>
      </w:r>
      <w:r w:rsidR="009B1ED9">
        <w:rPr>
          <w:sz w:val="24"/>
          <w:szCs w:val="24"/>
        </w:rPr>
        <w:t xml:space="preserve"> a clear understanding of the planned intervention and how it was actually delivered, as well as </w:t>
      </w:r>
      <w:r w:rsidR="00F03814">
        <w:rPr>
          <w:sz w:val="24"/>
          <w:szCs w:val="24"/>
        </w:rPr>
        <w:t xml:space="preserve">participants’ </w:t>
      </w:r>
      <w:r w:rsidR="009B1ED9">
        <w:rPr>
          <w:sz w:val="24"/>
          <w:szCs w:val="24"/>
        </w:rPr>
        <w:t>experiences with coaching and how the</w:t>
      </w:r>
      <w:r w:rsidR="002A0F81">
        <w:rPr>
          <w:sz w:val="24"/>
          <w:szCs w:val="24"/>
        </w:rPr>
        <w:t>se experiences</w:t>
      </w:r>
      <w:r w:rsidR="009B1ED9">
        <w:rPr>
          <w:sz w:val="24"/>
          <w:szCs w:val="24"/>
        </w:rPr>
        <w:t xml:space="preserve"> differed from the counterfactual experiences of the control group. Third, understanding the implementation challenges and solutions, as well as the </w:t>
      </w:r>
      <w:r w:rsidR="00266442">
        <w:rPr>
          <w:sz w:val="24"/>
          <w:szCs w:val="24"/>
        </w:rPr>
        <w:t>intervention</w:t>
      </w:r>
      <w:r w:rsidR="009B1ED9">
        <w:rPr>
          <w:sz w:val="24"/>
          <w:szCs w:val="24"/>
        </w:rPr>
        <w:t xml:space="preserve"> features </w:t>
      </w:r>
      <w:r w:rsidR="00F03814">
        <w:rPr>
          <w:sz w:val="24"/>
          <w:szCs w:val="24"/>
        </w:rPr>
        <w:t>that</w:t>
      </w:r>
      <w:r w:rsidR="009B1ED9">
        <w:rPr>
          <w:sz w:val="24"/>
          <w:szCs w:val="24"/>
        </w:rPr>
        <w:t xml:space="preserve"> staff and </w:t>
      </w:r>
      <w:r w:rsidR="00F03814">
        <w:rPr>
          <w:sz w:val="24"/>
          <w:szCs w:val="24"/>
        </w:rPr>
        <w:t xml:space="preserve">participants view </w:t>
      </w:r>
      <w:r w:rsidR="009B1ED9">
        <w:rPr>
          <w:sz w:val="24"/>
          <w:szCs w:val="24"/>
        </w:rPr>
        <w:t xml:space="preserve">as being effective, may suggest possible </w:t>
      </w:r>
      <w:r w:rsidR="00266442">
        <w:rPr>
          <w:sz w:val="24"/>
          <w:szCs w:val="24"/>
        </w:rPr>
        <w:t>intervention</w:t>
      </w:r>
      <w:r w:rsidR="009B1ED9">
        <w:rPr>
          <w:sz w:val="24"/>
          <w:szCs w:val="24"/>
        </w:rPr>
        <w:t xml:space="preserve"> refinements. </w:t>
      </w:r>
    </w:p>
    <w:p w14:paraId="1649EE2E" w14:textId="12912D44" w:rsidR="00F61027" w:rsidRDefault="00435E44" w:rsidP="00403AAB">
      <w:pPr>
        <w:pStyle w:val="BodyText"/>
        <w:spacing w:line="240" w:lineRule="auto"/>
        <w:rPr>
          <w:sz w:val="24"/>
          <w:szCs w:val="24"/>
        </w:rPr>
      </w:pPr>
      <w:r>
        <w:rPr>
          <w:sz w:val="24"/>
          <w:szCs w:val="24"/>
        </w:rPr>
        <w:t>Researchers</w:t>
      </w:r>
      <w:r w:rsidR="00F61027" w:rsidRPr="00F61027">
        <w:rPr>
          <w:sz w:val="24"/>
          <w:szCs w:val="24"/>
        </w:rPr>
        <w:t xml:space="preserve"> will reduce the qualitative data—write-ups from staff interviews, transcriptions of </w:t>
      </w:r>
      <w:r w:rsidR="00F03814">
        <w:rPr>
          <w:sz w:val="24"/>
          <w:szCs w:val="24"/>
        </w:rPr>
        <w:t>participant</w:t>
      </w:r>
      <w:r w:rsidR="00F03814" w:rsidRPr="00F61027">
        <w:rPr>
          <w:sz w:val="24"/>
          <w:szCs w:val="24"/>
        </w:rPr>
        <w:t xml:space="preserve"> </w:t>
      </w:r>
      <w:r w:rsidR="00F61027" w:rsidRPr="00F61027">
        <w:rPr>
          <w:sz w:val="24"/>
          <w:szCs w:val="24"/>
        </w:rPr>
        <w:t>interviews, and</w:t>
      </w:r>
      <w:r w:rsidR="006D6751">
        <w:rPr>
          <w:sz w:val="24"/>
          <w:szCs w:val="24"/>
        </w:rPr>
        <w:t xml:space="preserve"> analyses of video recordings</w:t>
      </w:r>
      <w:r w:rsidR="00F61027" w:rsidRPr="00F61027">
        <w:rPr>
          <w:sz w:val="24"/>
          <w:szCs w:val="24"/>
        </w:rPr>
        <w:t xml:space="preserve">—to a manageable number of topics and themes for analysis. </w:t>
      </w:r>
      <w:r>
        <w:rPr>
          <w:sz w:val="24"/>
          <w:szCs w:val="24"/>
        </w:rPr>
        <w:t>They</w:t>
      </w:r>
      <w:r w:rsidR="00F61027" w:rsidRPr="00F61027">
        <w:rPr>
          <w:sz w:val="24"/>
          <w:szCs w:val="24"/>
        </w:rPr>
        <w:t xml:space="preserve"> will develop a coding scheme organized according to the three objectives and key research questions, and aligned with each program’s logic model. A small</w:t>
      </w:r>
      <w:r w:rsidR="008E28A8">
        <w:rPr>
          <w:sz w:val="24"/>
          <w:szCs w:val="24"/>
        </w:rPr>
        <w:t>,</w:t>
      </w:r>
      <w:r w:rsidR="00F61027" w:rsidRPr="00F61027">
        <w:rPr>
          <w:sz w:val="24"/>
          <w:szCs w:val="24"/>
        </w:rPr>
        <w:t xml:space="preserve"> trained team will code field notes</w:t>
      </w:r>
      <w:r w:rsidR="00266442">
        <w:rPr>
          <w:sz w:val="24"/>
          <w:szCs w:val="24"/>
        </w:rPr>
        <w:t xml:space="preserve"> from site visits</w:t>
      </w:r>
      <w:r w:rsidR="00F61027" w:rsidRPr="00F61027">
        <w:rPr>
          <w:sz w:val="24"/>
          <w:szCs w:val="24"/>
        </w:rPr>
        <w:t xml:space="preserve"> and in-depth interview transcriptions using qualitative analysis software. To obtain reliability across codes, all team members will code an initial set of documents</w:t>
      </w:r>
      <w:r w:rsidR="00F03814">
        <w:rPr>
          <w:sz w:val="24"/>
          <w:szCs w:val="24"/>
        </w:rPr>
        <w:t xml:space="preserve">, after which </w:t>
      </w:r>
      <w:r w:rsidR="00F61027" w:rsidRPr="00F61027">
        <w:rPr>
          <w:sz w:val="24"/>
          <w:szCs w:val="24"/>
        </w:rPr>
        <w:t xml:space="preserve">differences in their coding will be identified and resolved. </w:t>
      </w:r>
    </w:p>
    <w:p w14:paraId="2D432245" w14:textId="2D01C46E" w:rsidR="00403AAB" w:rsidRDefault="00F61027" w:rsidP="00FF043A">
      <w:pPr>
        <w:pStyle w:val="BodyText"/>
        <w:spacing w:line="240" w:lineRule="auto"/>
        <w:rPr>
          <w:sz w:val="24"/>
          <w:szCs w:val="24"/>
        </w:rPr>
      </w:pPr>
      <w:r w:rsidRPr="00F61027">
        <w:rPr>
          <w:sz w:val="24"/>
          <w:szCs w:val="24"/>
        </w:rPr>
        <w:t xml:space="preserve">Using the data collected from the multiple sources, the information </w:t>
      </w:r>
      <w:r w:rsidR="00435E44">
        <w:rPr>
          <w:sz w:val="24"/>
          <w:szCs w:val="24"/>
        </w:rPr>
        <w:t xml:space="preserve">will be summarized </w:t>
      </w:r>
      <w:r w:rsidRPr="00F61027">
        <w:rPr>
          <w:sz w:val="24"/>
          <w:szCs w:val="24"/>
        </w:rPr>
        <w:t xml:space="preserve">in tables. For the qualitative data, theme tables </w:t>
      </w:r>
      <w:r w:rsidR="00435E44">
        <w:rPr>
          <w:sz w:val="24"/>
          <w:szCs w:val="24"/>
        </w:rPr>
        <w:t xml:space="preserve">will be developed </w:t>
      </w:r>
      <w:r w:rsidRPr="00F61027">
        <w:rPr>
          <w:sz w:val="24"/>
          <w:szCs w:val="24"/>
        </w:rPr>
        <w:t xml:space="preserve">that identify common themes across respondents for specific topics or research questions and examine the similarities and differences across the three programs (Yin 1994). </w:t>
      </w:r>
      <w:r w:rsidR="00435E44">
        <w:rPr>
          <w:sz w:val="24"/>
          <w:szCs w:val="24"/>
        </w:rPr>
        <w:t>T</w:t>
      </w:r>
      <w:r w:rsidRPr="00F61027">
        <w:rPr>
          <w:sz w:val="24"/>
          <w:szCs w:val="24"/>
        </w:rPr>
        <w:t xml:space="preserve">he extent to which the programs were implemented with fidelity </w:t>
      </w:r>
      <w:r w:rsidR="00435E44">
        <w:rPr>
          <w:sz w:val="24"/>
          <w:szCs w:val="24"/>
        </w:rPr>
        <w:t xml:space="preserve">will be examined </w:t>
      </w:r>
      <w:r w:rsidRPr="00F61027">
        <w:rPr>
          <w:sz w:val="24"/>
          <w:szCs w:val="24"/>
        </w:rPr>
        <w:t xml:space="preserve">by completing a fidelity checklist for each. </w:t>
      </w:r>
      <w:r w:rsidR="00435E44">
        <w:rPr>
          <w:sz w:val="24"/>
          <w:szCs w:val="24"/>
        </w:rPr>
        <w:t xml:space="preserve">The checklist </w:t>
      </w:r>
      <w:r w:rsidRPr="00F61027">
        <w:rPr>
          <w:sz w:val="24"/>
          <w:szCs w:val="24"/>
        </w:rPr>
        <w:t xml:space="preserve">will include five elements of fidelity referenced by Carroll et al. (2007): (1) </w:t>
      </w:r>
      <w:r w:rsidR="001D7B98">
        <w:rPr>
          <w:sz w:val="24"/>
          <w:szCs w:val="24"/>
        </w:rPr>
        <w:t xml:space="preserve">information on </w:t>
      </w:r>
      <w:r w:rsidRPr="00F61027">
        <w:rPr>
          <w:sz w:val="24"/>
          <w:szCs w:val="24"/>
        </w:rPr>
        <w:t xml:space="preserve">whether the core or essential </w:t>
      </w:r>
      <w:r w:rsidR="00266442">
        <w:rPr>
          <w:sz w:val="24"/>
          <w:szCs w:val="24"/>
        </w:rPr>
        <w:t>intervention</w:t>
      </w:r>
      <w:r w:rsidRPr="00F61027">
        <w:rPr>
          <w:sz w:val="24"/>
          <w:szCs w:val="24"/>
        </w:rPr>
        <w:t xml:space="preserve"> components were implemented, (2) adherence to other aspects of the service model, (3) service quality, (4) dosage offered, and (5) </w:t>
      </w:r>
      <w:r w:rsidR="001D7B98">
        <w:rPr>
          <w:sz w:val="24"/>
          <w:szCs w:val="24"/>
        </w:rPr>
        <w:t>participant</w:t>
      </w:r>
      <w:r w:rsidR="001D7B98" w:rsidRPr="00F61027">
        <w:rPr>
          <w:sz w:val="24"/>
          <w:szCs w:val="24"/>
        </w:rPr>
        <w:t xml:space="preserve"> </w:t>
      </w:r>
      <w:r w:rsidRPr="00F61027">
        <w:rPr>
          <w:sz w:val="24"/>
          <w:szCs w:val="24"/>
        </w:rPr>
        <w:t xml:space="preserve">engagement. </w:t>
      </w:r>
      <w:r w:rsidR="00435E44">
        <w:rPr>
          <w:sz w:val="24"/>
          <w:szCs w:val="24"/>
        </w:rPr>
        <w:t>K</w:t>
      </w:r>
      <w:r w:rsidRPr="00F61027">
        <w:rPr>
          <w:sz w:val="24"/>
          <w:szCs w:val="24"/>
        </w:rPr>
        <w:t xml:space="preserve">ey challenges for replicating the </w:t>
      </w:r>
      <w:r w:rsidR="00266442">
        <w:rPr>
          <w:sz w:val="24"/>
          <w:szCs w:val="24"/>
        </w:rPr>
        <w:t>coaching interventions</w:t>
      </w:r>
      <w:r w:rsidRPr="00F61027">
        <w:rPr>
          <w:sz w:val="24"/>
          <w:szCs w:val="24"/>
        </w:rPr>
        <w:t xml:space="preserve"> and promi</w:t>
      </w:r>
      <w:r w:rsidR="00435E44">
        <w:rPr>
          <w:sz w:val="24"/>
          <w:szCs w:val="24"/>
        </w:rPr>
        <w:t>sing practices to overcome them will be identified.</w:t>
      </w:r>
    </w:p>
    <w:p w14:paraId="03867674" w14:textId="77777777" w:rsidR="00403AAB" w:rsidRPr="00474090" w:rsidRDefault="00403AAB" w:rsidP="00403AAB">
      <w:pPr>
        <w:pStyle w:val="BodyText"/>
        <w:spacing w:line="240" w:lineRule="auto"/>
        <w:rPr>
          <w:b/>
          <w:sz w:val="24"/>
          <w:szCs w:val="24"/>
        </w:rPr>
      </w:pPr>
      <w:r>
        <w:rPr>
          <w:b/>
          <w:sz w:val="24"/>
          <w:szCs w:val="24"/>
        </w:rPr>
        <w:t>Time Schedule and Publication</w:t>
      </w:r>
    </w:p>
    <w:p w14:paraId="587AFB42" w14:textId="36E1CC6A" w:rsidR="00403AAB" w:rsidRPr="00474090" w:rsidRDefault="00435E44" w:rsidP="00143BF4">
      <w:pPr>
        <w:pStyle w:val="BodyText"/>
        <w:spacing w:line="240" w:lineRule="auto"/>
        <w:rPr>
          <w:sz w:val="24"/>
          <w:szCs w:val="24"/>
        </w:rPr>
      </w:pPr>
      <w:r>
        <w:rPr>
          <w:sz w:val="24"/>
          <w:szCs w:val="24"/>
        </w:rPr>
        <w:t>Study enrollment and b</w:t>
      </w:r>
      <w:r w:rsidR="00403AAB" w:rsidRPr="00474090">
        <w:rPr>
          <w:sz w:val="24"/>
          <w:szCs w:val="24"/>
        </w:rPr>
        <w:t xml:space="preserve">aseline data collection is expected to begin in </w:t>
      </w:r>
      <w:r w:rsidR="00575372">
        <w:rPr>
          <w:sz w:val="24"/>
          <w:szCs w:val="24"/>
        </w:rPr>
        <w:t xml:space="preserve">February </w:t>
      </w:r>
      <w:r w:rsidR="00403AAB" w:rsidRPr="00474090">
        <w:rPr>
          <w:sz w:val="24"/>
          <w:szCs w:val="24"/>
        </w:rPr>
        <w:t>201</w:t>
      </w:r>
      <w:r w:rsidR="0030432F">
        <w:rPr>
          <w:sz w:val="24"/>
          <w:szCs w:val="24"/>
        </w:rPr>
        <w:t>8</w:t>
      </w:r>
      <w:r w:rsidR="00E557C8">
        <w:rPr>
          <w:sz w:val="24"/>
          <w:szCs w:val="24"/>
        </w:rPr>
        <w:t>, pending OMB approval</w:t>
      </w:r>
      <w:r w:rsidR="00403AAB" w:rsidRPr="00474090">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7A054B">
        <w:rPr>
          <w:sz w:val="24"/>
          <w:szCs w:val="24"/>
        </w:rPr>
        <w:t>4</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three programs (</w:t>
      </w:r>
      <w:r w:rsidR="00D612F4">
        <w:rPr>
          <w:sz w:val="24"/>
          <w:szCs w:val="24"/>
        </w:rPr>
        <w:t xml:space="preserve">a </w:t>
      </w:r>
      <w:r w:rsidR="001B48F5">
        <w:rPr>
          <w:sz w:val="24"/>
          <w:szCs w:val="24"/>
        </w:rPr>
        <w:t xml:space="preserve">cross-site implementation study report). </w:t>
      </w:r>
      <w:r w:rsidR="00403AAB" w:rsidRPr="00474090">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00403AAB" w:rsidRPr="00474090">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00403AAB" w:rsidRPr="00474090">
        <w:rPr>
          <w:sz w:val="24"/>
          <w:szCs w:val="24"/>
        </w:rPr>
        <w:t>use data file for others to replicate and extend our analys</w:t>
      </w:r>
      <w:r w:rsidR="00D612F4">
        <w:rPr>
          <w:sz w:val="24"/>
          <w:szCs w:val="24"/>
        </w:rPr>
        <w:t>e</w:t>
      </w:r>
      <w:r w:rsidR="00403AAB" w:rsidRPr="00474090">
        <w:rPr>
          <w:sz w:val="24"/>
          <w:szCs w:val="24"/>
        </w:rPr>
        <w:t>s.</w:t>
      </w:r>
    </w:p>
    <w:p w14:paraId="0105F8E2" w14:textId="342D047A" w:rsidR="00403AAB" w:rsidRPr="00CA402D" w:rsidRDefault="00403AAB" w:rsidP="00403AAB">
      <w:pPr>
        <w:pStyle w:val="BodyText"/>
        <w:spacing w:line="240" w:lineRule="auto"/>
        <w:rPr>
          <w:b/>
          <w:sz w:val="24"/>
          <w:szCs w:val="24"/>
        </w:rPr>
      </w:pPr>
      <w:r w:rsidRPr="00CA402D">
        <w:rPr>
          <w:b/>
          <w:sz w:val="24"/>
          <w:szCs w:val="24"/>
        </w:rPr>
        <w:t>Table A.</w:t>
      </w:r>
      <w:r w:rsidR="007A054B">
        <w:rPr>
          <w:b/>
          <w:sz w:val="24"/>
          <w:szCs w:val="24"/>
        </w:rPr>
        <w:t>4</w:t>
      </w:r>
      <w:r w:rsidRPr="00CA402D">
        <w:rPr>
          <w:b/>
          <w:sz w:val="24"/>
          <w:szCs w:val="24"/>
        </w:rPr>
        <w:t xml:space="preserve">. </w:t>
      </w:r>
      <w:r w:rsidR="00672C8C">
        <w:rPr>
          <w:b/>
          <w:sz w:val="24"/>
          <w:szCs w:val="24"/>
        </w:rPr>
        <w:t xml:space="preserve">Study </w:t>
      </w:r>
      <w:r w:rsidR="004854A2" w:rsidRPr="00CA402D">
        <w:rPr>
          <w:b/>
          <w:sz w:val="24"/>
          <w:szCs w:val="24"/>
        </w:rPr>
        <w:t>schedule</w:t>
      </w:r>
    </w:p>
    <w:tbl>
      <w:tblPr>
        <w:tblW w:w="5000" w:type="pct"/>
        <w:tblLook w:val="0620" w:firstRow="1" w:lastRow="0" w:firstColumn="0" w:lastColumn="0" w:noHBand="1" w:noVBand="1"/>
      </w:tblPr>
      <w:tblGrid>
        <w:gridCol w:w="5064"/>
        <w:gridCol w:w="4512"/>
      </w:tblGrid>
      <w:tr w:rsidR="00BF065E" w:rsidRPr="00F878AA" w14:paraId="0B8F9FCC" w14:textId="77777777" w:rsidTr="00386699">
        <w:trPr>
          <w:tblHeader/>
        </w:trPr>
        <w:tc>
          <w:tcPr>
            <w:tcW w:w="2644" w:type="pct"/>
            <w:tcBorders>
              <w:top w:val="single" w:sz="8" w:space="0" w:color="FFFFFF"/>
              <w:bottom w:val="single" w:sz="8" w:space="0" w:color="000000"/>
            </w:tcBorders>
            <w:shd w:val="clear" w:color="auto" w:fill="6C6F70"/>
            <w:vAlign w:val="bottom"/>
          </w:tcPr>
          <w:p w14:paraId="5D29AAC6" w14:textId="77777777" w:rsidR="00BF065E" w:rsidRPr="00386699" w:rsidRDefault="00BF065E" w:rsidP="00386699">
            <w:pPr>
              <w:pStyle w:val="TableHeaderLeft"/>
              <w:rPr>
                <w:b w:val="0"/>
                <w:bCs/>
              </w:rPr>
            </w:pPr>
            <w:r w:rsidRPr="00386699">
              <w:rPr>
                <w:bCs/>
              </w:rPr>
              <w:t>Activity</w:t>
            </w:r>
          </w:p>
        </w:tc>
        <w:tc>
          <w:tcPr>
            <w:tcW w:w="2356" w:type="pct"/>
            <w:tcBorders>
              <w:top w:val="single" w:sz="8" w:space="0" w:color="FFFFFF"/>
              <w:bottom w:val="single" w:sz="8" w:space="0" w:color="000000"/>
            </w:tcBorders>
            <w:shd w:val="clear" w:color="auto" w:fill="6C6F70"/>
            <w:vAlign w:val="bottom"/>
          </w:tcPr>
          <w:p w14:paraId="2289625F" w14:textId="11DE1C45" w:rsidR="00BF065E" w:rsidRPr="00386699" w:rsidRDefault="00BF065E" w:rsidP="00A443E7">
            <w:pPr>
              <w:pStyle w:val="TableHeaderCenter"/>
              <w:rPr>
                <w:b w:val="0"/>
                <w:bCs/>
                <w:vertAlign w:val="superscript"/>
              </w:rPr>
            </w:pPr>
            <w:r w:rsidRPr="00386699">
              <w:rPr>
                <w:bCs/>
              </w:rPr>
              <w:t>Timing</w:t>
            </w:r>
            <w:r w:rsidR="00E557C8">
              <w:rPr>
                <w:bCs/>
              </w:rPr>
              <w:t>*</w:t>
            </w:r>
          </w:p>
        </w:tc>
      </w:tr>
      <w:tr w:rsidR="00BF065E" w:rsidRPr="00F546E4" w14:paraId="0B0EC08D" w14:textId="77777777" w:rsidTr="00386699">
        <w:tc>
          <w:tcPr>
            <w:tcW w:w="2644" w:type="pct"/>
            <w:tcBorders>
              <w:top w:val="single" w:sz="8" w:space="0" w:color="000000"/>
            </w:tcBorders>
            <w:shd w:val="clear" w:color="auto" w:fill="auto"/>
          </w:tcPr>
          <w:p w14:paraId="1FF1FAF3" w14:textId="77777777" w:rsidR="00BF065E" w:rsidRPr="00386699" w:rsidRDefault="00BF065E" w:rsidP="00386699">
            <w:pPr>
              <w:pStyle w:val="TableHeaderLeft"/>
              <w:spacing w:after="0"/>
              <w:rPr>
                <w:color w:val="auto"/>
              </w:rPr>
            </w:pPr>
            <w:r w:rsidRPr="00386699">
              <w:rPr>
                <w:color w:val="auto"/>
              </w:rPr>
              <w:t>Data collection</w:t>
            </w:r>
          </w:p>
        </w:tc>
        <w:tc>
          <w:tcPr>
            <w:tcW w:w="2356" w:type="pct"/>
            <w:tcBorders>
              <w:top w:val="single" w:sz="8" w:space="0" w:color="000000"/>
            </w:tcBorders>
            <w:shd w:val="clear" w:color="auto" w:fill="auto"/>
          </w:tcPr>
          <w:p w14:paraId="21350BB4" w14:textId="77777777" w:rsidR="00BF065E" w:rsidRPr="00386699" w:rsidRDefault="00BF065E" w:rsidP="00386699">
            <w:pPr>
              <w:pStyle w:val="TableHeaderLeft"/>
              <w:spacing w:after="0"/>
              <w:rPr>
                <w:color w:val="auto"/>
              </w:rPr>
            </w:pPr>
          </w:p>
        </w:tc>
      </w:tr>
      <w:tr w:rsidR="00BF065E" w:rsidRPr="00AA795E" w14:paraId="21FC7EE7" w14:textId="77777777" w:rsidTr="00386699">
        <w:tc>
          <w:tcPr>
            <w:tcW w:w="2644" w:type="pct"/>
            <w:shd w:val="clear" w:color="auto" w:fill="auto"/>
          </w:tcPr>
          <w:p w14:paraId="4FFD91A0" w14:textId="77777777" w:rsidR="00BF065E" w:rsidRDefault="00BF065E" w:rsidP="00AE2AF4">
            <w:pPr>
              <w:pStyle w:val="TableText"/>
              <w:spacing w:before="120"/>
            </w:pPr>
            <w:r>
              <w:t xml:space="preserve">Sample enrollment and baseline </w:t>
            </w:r>
            <w:r w:rsidR="00AE2AF4">
              <w:t>data collection</w:t>
            </w:r>
            <w:r>
              <w:t xml:space="preserve"> </w:t>
            </w:r>
          </w:p>
        </w:tc>
        <w:tc>
          <w:tcPr>
            <w:tcW w:w="2356" w:type="pct"/>
            <w:shd w:val="clear" w:color="auto" w:fill="auto"/>
          </w:tcPr>
          <w:p w14:paraId="4DC88E00" w14:textId="77777777" w:rsidR="00BF065E" w:rsidRDefault="00C8265D" w:rsidP="00386699">
            <w:pPr>
              <w:pStyle w:val="TableText"/>
              <w:spacing w:before="120"/>
              <w:ind w:left="696"/>
            </w:pPr>
            <w:r>
              <w:t xml:space="preserve">February </w:t>
            </w:r>
            <w:r w:rsidR="00BF065E">
              <w:t>2018 through January 2019</w:t>
            </w:r>
          </w:p>
        </w:tc>
      </w:tr>
      <w:tr w:rsidR="00BF065E" w:rsidRPr="00AA795E" w14:paraId="109B5BB5" w14:textId="77777777" w:rsidTr="00386699">
        <w:tc>
          <w:tcPr>
            <w:tcW w:w="2644" w:type="pct"/>
            <w:shd w:val="clear" w:color="auto" w:fill="auto"/>
          </w:tcPr>
          <w:p w14:paraId="6E9D22C8" w14:textId="77777777" w:rsidR="00BF065E" w:rsidRDefault="008A7C9C" w:rsidP="00386699">
            <w:pPr>
              <w:pStyle w:val="TableText"/>
            </w:pPr>
            <w:r>
              <w:t>Implementation</w:t>
            </w:r>
            <w:r w:rsidR="00BF065E">
              <w:t xml:space="preserve"> study data collection</w:t>
            </w:r>
          </w:p>
        </w:tc>
        <w:tc>
          <w:tcPr>
            <w:tcW w:w="2356" w:type="pct"/>
            <w:shd w:val="clear" w:color="auto" w:fill="auto"/>
          </w:tcPr>
          <w:p w14:paraId="1D4C3BB5" w14:textId="77777777" w:rsidR="00BF065E" w:rsidRDefault="00CA402D" w:rsidP="00386699">
            <w:pPr>
              <w:pStyle w:val="TableText"/>
              <w:ind w:left="691"/>
            </w:pPr>
            <w:r>
              <w:t>June 2018 through June 2020</w:t>
            </w:r>
          </w:p>
        </w:tc>
      </w:tr>
      <w:tr w:rsidR="00BF065E" w:rsidRPr="00AA795E" w14:paraId="30EF23B2" w14:textId="77777777" w:rsidTr="00386699">
        <w:tc>
          <w:tcPr>
            <w:tcW w:w="2644" w:type="pct"/>
            <w:shd w:val="clear" w:color="auto" w:fill="auto"/>
          </w:tcPr>
          <w:p w14:paraId="3319F723" w14:textId="77777777" w:rsidR="00BF065E" w:rsidRPr="00AA795E" w:rsidRDefault="00BF065E" w:rsidP="00BF065E">
            <w:pPr>
              <w:pStyle w:val="TableText"/>
            </w:pPr>
            <w:r>
              <w:t>First follow-up survey</w:t>
            </w:r>
          </w:p>
        </w:tc>
        <w:tc>
          <w:tcPr>
            <w:tcW w:w="2356" w:type="pct"/>
            <w:shd w:val="clear" w:color="auto" w:fill="auto"/>
          </w:tcPr>
          <w:p w14:paraId="062ABF07" w14:textId="3C9114FA" w:rsidR="00BF065E" w:rsidRPr="00AA795E" w:rsidRDefault="00146E49" w:rsidP="001E7727">
            <w:pPr>
              <w:pStyle w:val="TableText"/>
              <w:ind w:left="696"/>
            </w:pPr>
            <w:r>
              <w:t xml:space="preserve">Summer </w:t>
            </w:r>
            <w:r w:rsidR="00CA402D">
              <w:t xml:space="preserve">2018 through </w:t>
            </w:r>
            <w:r w:rsidR="00253CA7">
              <w:t>F</w:t>
            </w:r>
            <w:r w:rsidR="001E7727">
              <w:t>all</w:t>
            </w:r>
            <w:r w:rsidR="003B22A7">
              <w:t xml:space="preserve"> </w:t>
            </w:r>
            <w:r w:rsidR="00CA402D">
              <w:t>20</w:t>
            </w:r>
            <w:r>
              <w:t>19</w:t>
            </w:r>
          </w:p>
        </w:tc>
      </w:tr>
      <w:tr w:rsidR="003A646B" w:rsidRPr="00F546E4" w14:paraId="616E7B19" w14:textId="77777777" w:rsidTr="00386699">
        <w:tc>
          <w:tcPr>
            <w:tcW w:w="2644" w:type="pct"/>
            <w:shd w:val="clear" w:color="auto" w:fill="auto"/>
          </w:tcPr>
          <w:p w14:paraId="61392753" w14:textId="77777777" w:rsidR="003A646B" w:rsidRPr="003A646B" w:rsidRDefault="003A646B" w:rsidP="00815F38">
            <w:pPr>
              <w:pStyle w:val="TableHeaderLeft"/>
              <w:spacing w:before="0" w:after="0"/>
              <w:rPr>
                <w:b w:val="0"/>
                <w:color w:val="auto"/>
              </w:rPr>
            </w:pPr>
            <w:r w:rsidRPr="003A646B">
              <w:rPr>
                <w:b w:val="0"/>
                <w:color w:val="auto"/>
              </w:rPr>
              <w:t>Second follow-up survey</w:t>
            </w:r>
          </w:p>
        </w:tc>
        <w:tc>
          <w:tcPr>
            <w:tcW w:w="2356" w:type="pct"/>
            <w:shd w:val="clear" w:color="auto" w:fill="auto"/>
          </w:tcPr>
          <w:p w14:paraId="68A675D0" w14:textId="24DE8F7E" w:rsidR="000E01FB" w:rsidRDefault="0096743D">
            <w:r>
              <w:rPr>
                <w:rFonts w:ascii="Arial" w:hAnsi="Arial" w:cs="Arial"/>
                <w:sz w:val="18"/>
                <w:szCs w:val="18"/>
              </w:rPr>
              <w:t xml:space="preserve">              </w:t>
            </w:r>
            <w:r w:rsidR="000E01FB" w:rsidRPr="00C72880">
              <w:rPr>
                <w:rFonts w:ascii="Arial" w:hAnsi="Arial"/>
                <w:sz w:val="18"/>
              </w:rPr>
              <w:t>Fall 2019 t</w:t>
            </w:r>
            <w:r w:rsidR="003A646B" w:rsidRPr="00C72880">
              <w:rPr>
                <w:rFonts w:ascii="Arial" w:hAnsi="Arial"/>
                <w:sz w:val="18"/>
              </w:rPr>
              <w:t>hrough</w:t>
            </w:r>
            <w:r w:rsidR="000E01FB" w:rsidRPr="00C72880">
              <w:rPr>
                <w:rFonts w:ascii="Arial" w:hAnsi="Arial"/>
                <w:sz w:val="18"/>
              </w:rPr>
              <w:t xml:space="preserve"> </w:t>
            </w:r>
            <w:r w:rsidR="00253CA7">
              <w:rPr>
                <w:rFonts w:ascii="Arial" w:hAnsi="Arial"/>
                <w:sz w:val="18"/>
              </w:rPr>
              <w:t>F</w:t>
            </w:r>
            <w:r w:rsidR="00146E49">
              <w:rPr>
                <w:rFonts w:ascii="Arial" w:hAnsi="Arial"/>
                <w:sz w:val="18"/>
              </w:rPr>
              <w:t>all</w:t>
            </w:r>
            <w:r w:rsidR="000E01FB" w:rsidRPr="00C72880">
              <w:rPr>
                <w:rFonts w:ascii="Arial" w:hAnsi="Arial"/>
                <w:sz w:val="18"/>
              </w:rPr>
              <w:t xml:space="preserve"> 20</w:t>
            </w:r>
            <w:r w:rsidR="006053E9">
              <w:rPr>
                <w:rFonts w:ascii="Arial" w:hAnsi="Arial"/>
                <w:sz w:val="18"/>
              </w:rPr>
              <w:t>20</w:t>
            </w:r>
          </w:p>
          <w:p w14:paraId="5502A486" w14:textId="77777777" w:rsidR="003A646B" w:rsidRPr="003A646B" w:rsidRDefault="003A646B" w:rsidP="00386699">
            <w:pPr>
              <w:pStyle w:val="TableHeaderLeft"/>
              <w:spacing w:after="0"/>
              <w:ind w:left="696"/>
              <w:rPr>
                <w:b w:val="0"/>
                <w:color w:val="auto"/>
              </w:rPr>
            </w:pPr>
          </w:p>
        </w:tc>
      </w:tr>
      <w:tr w:rsidR="00BF065E" w:rsidRPr="00F546E4" w14:paraId="1C69AC20" w14:textId="77777777" w:rsidTr="00386699">
        <w:tc>
          <w:tcPr>
            <w:tcW w:w="2644" w:type="pct"/>
            <w:shd w:val="clear" w:color="auto" w:fill="auto"/>
          </w:tcPr>
          <w:p w14:paraId="667566CA" w14:textId="77777777" w:rsidR="00BF065E" w:rsidRPr="00386699" w:rsidRDefault="00BF065E" w:rsidP="00386699">
            <w:pPr>
              <w:pStyle w:val="TableHeaderLeft"/>
              <w:spacing w:after="0"/>
              <w:rPr>
                <w:color w:val="auto"/>
              </w:rPr>
            </w:pPr>
            <w:r w:rsidRPr="00386699">
              <w:rPr>
                <w:color w:val="auto"/>
              </w:rPr>
              <w:t>Reporting</w:t>
            </w:r>
          </w:p>
        </w:tc>
        <w:tc>
          <w:tcPr>
            <w:tcW w:w="2356" w:type="pct"/>
            <w:shd w:val="clear" w:color="auto" w:fill="auto"/>
          </w:tcPr>
          <w:p w14:paraId="40F54520" w14:textId="77777777" w:rsidR="00BF065E" w:rsidRPr="00386699" w:rsidRDefault="00BF065E" w:rsidP="00386699">
            <w:pPr>
              <w:pStyle w:val="TableHeaderLeft"/>
              <w:spacing w:after="0"/>
              <w:ind w:left="696"/>
              <w:rPr>
                <w:color w:val="auto"/>
              </w:rPr>
            </w:pPr>
          </w:p>
        </w:tc>
      </w:tr>
      <w:tr w:rsidR="00BF065E" w:rsidRPr="00AA795E" w14:paraId="2BBC87F2" w14:textId="77777777" w:rsidTr="004B09C0">
        <w:tc>
          <w:tcPr>
            <w:tcW w:w="2644" w:type="pct"/>
            <w:shd w:val="clear" w:color="auto" w:fill="auto"/>
          </w:tcPr>
          <w:p w14:paraId="1CFD16C0" w14:textId="77777777" w:rsidR="00BF065E" w:rsidRPr="00AA795E" w:rsidRDefault="003D4650" w:rsidP="00386699">
            <w:pPr>
              <w:pStyle w:val="TableText"/>
              <w:spacing w:before="120"/>
            </w:pPr>
            <w:r>
              <w:t>I</w:t>
            </w:r>
            <w:r w:rsidR="00BF065E">
              <w:t>mplementation study report</w:t>
            </w:r>
            <w:r>
              <w:t>(s)</w:t>
            </w:r>
          </w:p>
        </w:tc>
        <w:tc>
          <w:tcPr>
            <w:tcW w:w="2356" w:type="pct"/>
            <w:shd w:val="clear" w:color="auto" w:fill="auto"/>
          </w:tcPr>
          <w:p w14:paraId="345E9666" w14:textId="77777777" w:rsidR="00BF065E" w:rsidRPr="00AA795E" w:rsidRDefault="00BF5DD2" w:rsidP="00386699">
            <w:pPr>
              <w:pStyle w:val="TableText"/>
              <w:spacing w:before="120"/>
              <w:ind w:left="696"/>
            </w:pPr>
            <w:r>
              <w:t>Spring 2019</w:t>
            </w:r>
          </w:p>
        </w:tc>
      </w:tr>
      <w:tr w:rsidR="00BF065E" w:rsidRPr="00AA795E" w14:paraId="1D09F48E" w14:textId="77777777" w:rsidTr="00335E7C">
        <w:tc>
          <w:tcPr>
            <w:tcW w:w="2644" w:type="pct"/>
            <w:shd w:val="clear" w:color="auto" w:fill="auto"/>
          </w:tcPr>
          <w:p w14:paraId="7AB80DED" w14:textId="77777777" w:rsidR="00BF065E" w:rsidRDefault="00BF065E" w:rsidP="00386699">
            <w:pPr>
              <w:pStyle w:val="TableText"/>
            </w:pPr>
            <w:r>
              <w:t>First follow-up findings report</w:t>
            </w:r>
          </w:p>
        </w:tc>
        <w:tc>
          <w:tcPr>
            <w:tcW w:w="2356" w:type="pct"/>
            <w:shd w:val="clear" w:color="auto" w:fill="auto"/>
          </w:tcPr>
          <w:p w14:paraId="01FB3417" w14:textId="77777777" w:rsidR="00BF065E" w:rsidRDefault="00BF065E" w:rsidP="00386699">
            <w:pPr>
              <w:pStyle w:val="TableText"/>
              <w:ind w:left="696"/>
            </w:pPr>
            <w:r>
              <w:t>December 2020</w:t>
            </w:r>
          </w:p>
        </w:tc>
      </w:tr>
      <w:tr w:rsidR="00335E7C" w:rsidRPr="00AA795E" w14:paraId="30665379" w14:textId="77777777" w:rsidTr="00C72880">
        <w:trPr>
          <w:trHeight w:val="180"/>
        </w:trPr>
        <w:tc>
          <w:tcPr>
            <w:tcW w:w="2644" w:type="pct"/>
            <w:shd w:val="clear" w:color="auto" w:fill="auto"/>
          </w:tcPr>
          <w:p w14:paraId="21F7A6C9" w14:textId="77777777" w:rsidR="00335E7C" w:rsidRDefault="00335E7C" w:rsidP="00386699">
            <w:pPr>
              <w:pStyle w:val="TableText"/>
            </w:pPr>
            <w:r>
              <w:t>Second follow-up findings report</w:t>
            </w:r>
          </w:p>
        </w:tc>
        <w:tc>
          <w:tcPr>
            <w:tcW w:w="2356" w:type="pct"/>
            <w:shd w:val="clear" w:color="auto" w:fill="auto"/>
          </w:tcPr>
          <w:p w14:paraId="34C6242B" w14:textId="77777777" w:rsidR="00335E7C" w:rsidRDefault="00335E7C" w:rsidP="00386699">
            <w:pPr>
              <w:pStyle w:val="TableText"/>
              <w:ind w:left="696"/>
            </w:pPr>
            <w:r>
              <w:t>June 2021</w:t>
            </w:r>
          </w:p>
        </w:tc>
      </w:tr>
      <w:tr w:rsidR="003A646B" w:rsidRPr="00AA795E" w14:paraId="69512876" w14:textId="77777777" w:rsidTr="00E557C8">
        <w:tc>
          <w:tcPr>
            <w:tcW w:w="2644" w:type="pct"/>
            <w:tcBorders>
              <w:bottom w:val="single" w:sz="4" w:space="0" w:color="auto"/>
            </w:tcBorders>
            <w:shd w:val="clear" w:color="auto" w:fill="auto"/>
          </w:tcPr>
          <w:p w14:paraId="609D183B" w14:textId="77777777" w:rsidR="003A646B" w:rsidRDefault="003A646B" w:rsidP="00386699">
            <w:pPr>
              <w:pStyle w:val="TableText"/>
            </w:pPr>
            <w:r>
              <w:t>Special topics reports</w:t>
            </w:r>
          </w:p>
        </w:tc>
        <w:tc>
          <w:tcPr>
            <w:tcW w:w="2356" w:type="pct"/>
            <w:tcBorders>
              <w:bottom w:val="single" w:sz="4" w:space="0" w:color="auto"/>
            </w:tcBorders>
            <w:shd w:val="clear" w:color="auto" w:fill="auto"/>
          </w:tcPr>
          <w:p w14:paraId="05B77005" w14:textId="77777777" w:rsidR="003A646B" w:rsidRDefault="00BF5DD2" w:rsidP="00386699">
            <w:pPr>
              <w:pStyle w:val="TableText"/>
              <w:ind w:left="696"/>
            </w:pPr>
            <w:r>
              <w:t>To be determined</w:t>
            </w:r>
          </w:p>
        </w:tc>
      </w:tr>
    </w:tbl>
    <w:p w14:paraId="0AF45565" w14:textId="5A7CB4EB" w:rsidR="00E557C8" w:rsidRPr="00E557C8" w:rsidRDefault="00E557C8" w:rsidP="00E557C8">
      <w:pPr>
        <w:keepNext/>
        <w:spacing w:after="100" w:afterAutospacing="1"/>
        <w:rPr>
          <w:sz w:val="22"/>
        </w:rPr>
      </w:pPr>
      <w:r w:rsidRPr="00E557C8">
        <w:rPr>
          <w:sz w:val="22"/>
        </w:rPr>
        <w:t xml:space="preserve">*All dates dependent on </w:t>
      </w:r>
      <w:r>
        <w:rPr>
          <w:sz w:val="22"/>
        </w:rPr>
        <w:t xml:space="preserve">date of </w:t>
      </w:r>
      <w:r w:rsidRPr="00E557C8">
        <w:rPr>
          <w:sz w:val="22"/>
        </w:rPr>
        <w:t xml:space="preserve">OMB approval. </w:t>
      </w:r>
    </w:p>
    <w:p w14:paraId="698A1CFE" w14:textId="2F1993F4" w:rsidR="00945CD6" w:rsidRPr="0072204D" w:rsidRDefault="00292B70" w:rsidP="00B9279C">
      <w:pPr>
        <w:keepNext/>
        <w:spacing w:before="360" w:after="120"/>
        <w:rPr>
          <w:b/>
        </w:rPr>
      </w:pPr>
      <w:r>
        <w:rPr>
          <w:b/>
        </w:rPr>
        <w:t xml:space="preserve">A17. </w:t>
      </w:r>
      <w:r w:rsidR="00945CD6" w:rsidRPr="0072204D">
        <w:rPr>
          <w:b/>
        </w:rPr>
        <w:t>Reasons Not to Display OMB Expiration Date</w:t>
      </w:r>
    </w:p>
    <w:p w14:paraId="72872C37" w14:textId="77777777" w:rsidR="005046F0" w:rsidRDefault="000E677D" w:rsidP="000E677D">
      <w:r w:rsidRPr="00F10B7E">
        <w:t>All instruments will display the expiration date for OMB approval.</w:t>
      </w:r>
    </w:p>
    <w:p w14:paraId="46B8220E" w14:textId="77777777" w:rsidR="00945CD6" w:rsidRPr="000B5EA8" w:rsidRDefault="00292B70" w:rsidP="00B9279C">
      <w:pPr>
        <w:keepNext/>
        <w:spacing w:before="360" w:after="120"/>
        <w:rPr>
          <w:b/>
        </w:rPr>
      </w:pPr>
      <w:r w:rsidRPr="000B5EA8">
        <w:rPr>
          <w:b/>
        </w:rPr>
        <w:t>A18.</w:t>
      </w:r>
      <w:r w:rsidR="000B5EA8" w:rsidRPr="000B5EA8">
        <w:rPr>
          <w:b/>
        </w:rPr>
        <w:t xml:space="preserve"> Exceptions to Certification for Paperwork Reduction Act Submissions</w:t>
      </w:r>
    </w:p>
    <w:p w14:paraId="20FF5877" w14:textId="77777777" w:rsidR="00AA29C0" w:rsidRDefault="000E677D" w:rsidP="00AA29C0">
      <w:r w:rsidRPr="00F10B7E">
        <w:t>No exceptions are necessary for this information collection.</w:t>
      </w:r>
    </w:p>
    <w:p w14:paraId="7EF19DDA" w14:textId="77777777" w:rsidR="00D06D5F" w:rsidRDefault="00D06D5F" w:rsidP="000B5EA8">
      <w:pPr>
        <w:tabs>
          <w:tab w:val="left" w:pos="360"/>
        </w:tabs>
      </w:pPr>
    </w:p>
    <w:p w14:paraId="16419F1F" w14:textId="77777777" w:rsidR="00A57451" w:rsidRPr="00C26EFA" w:rsidRDefault="00A57451" w:rsidP="00A57451">
      <w:pPr>
        <w:spacing w:after="240"/>
        <w:rPr>
          <w:b/>
        </w:rPr>
      </w:pPr>
      <w:r w:rsidRPr="00C26EFA">
        <w:rPr>
          <w:b/>
        </w:rPr>
        <w:t>References</w:t>
      </w:r>
    </w:p>
    <w:p w14:paraId="7BC85A20" w14:textId="7D3720B3" w:rsidR="00906DE9" w:rsidRDefault="00906DE9" w:rsidP="00906DE9">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14:paraId="3652C58D"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14:paraId="2071768F"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14:paraId="3C993F2D" w14:textId="3BDE189A" w:rsidR="00E612D0" w:rsidRDefault="00E612D0" w:rsidP="00E612D0">
      <w:pPr>
        <w:pStyle w:val="References"/>
        <w:spacing w:after="120"/>
        <w:ind w:left="0" w:firstLine="0"/>
        <w:rPr>
          <w:rFonts w:ascii="Times New Roman" w:hAnsi="Times New Roman"/>
        </w:rPr>
      </w:pPr>
      <w:r w:rsidRPr="00E612D0">
        <w:rPr>
          <w:rFonts w:ascii="Times New Roman" w:hAnsi="Times New Roman"/>
        </w:rPr>
        <w:t>Review, vol. 39, no. 2, April 2015.</w:t>
      </w:r>
    </w:p>
    <w:p w14:paraId="6E822387"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14:paraId="1199E5E3" w14:textId="77777777" w:rsidR="00A57451" w:rsidRDefault="00A57451" w:rsidP="00AC34E3">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14:paraId="65DC0DC5" w14:textId="41C303CC" w:rsidR="00C6029A" w:rsidRDefault="00C6029A" w:rsidP="00C6029A">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14:paraId="5814E20C" w14:textId="6EEB16BD" w:rsidR="00A27DBE" w:rsidRDefault="00A27DBE" w:rsidP="00AC34E3">
      <w:pPr>
        <w:pStyle w:val="References"/>
        <w:spacing w:after="120"/>
        <w:ind w:left="0" w:firstLine="0"/>
        <w:rPr>
          <w:rFonts w:ascii="Times New Roman" w:hAnsi="Times New Roman"/>
        </w:rPr>
      </w:pPr>
      <w:r w:rsidRPr="00A27DBE">
        <w:rPr>
          <w:rFonts w:ascii="Times New Roman" w:hAnsi="Times New Roman"/>
        </w:rPr>
        <w:t>Carroll, Christop</w:t>
      </w:r>
      <w:r w:rsidR="00701FF3">
        <w:rPr>
          <w:rFonts w:ascii="Times New Roman" w:hAnsi="Times New Roman"/>
        </w:rPr>
        <w:t>h</w:t>
      </w:r>
      <w:r w:rsidRPr="00A27DBE">
        <w:rPr>
          <w:rFonts w:ascii="Times New Roman" w:hAnsi="Times New Roman"/>
        </w:rPr>
        <w:t>er, M. Patterson, S. Wood, A. Booth, J. Rick, and S. Balain. “A Conceptual Framework for Implementation Fidelity.” Implementation Science, vol. 2, no. 1, November 2007, pp. 40–48.</w:t>
      </w:r>
    </w:p>
    <w:p w14:paraId="03B3F24D" w14:textId="419AAC98" w:rsidR="00C6029A" w:rsidRDefault="00C6029A" w:rsidP="00C6029A">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14:paraId="3430C31F" w14:textId="77777777" w:rsidR="00A57451" w:rsidRDefault="00A57451" w:rsidP="00AC34E3">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00211BA8" w:rsidRPr="002C45C5">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14:paraId="4DBA5128" w14:textId="77777777" w:rsidR="00A57451" w:rsidRPr="006F1FA8" w:rsidRDefault="00A57451" w:rsidP="00033806">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00091A6B" w:rsidRPr="006F1FA8">
        <w:rPr>
          <w:rFonts w:ascii="Times New Roman" w:hAnsi="Times New Roman"/>
        </w:rPr>
        <w:t xml:space="preserve"> </w:t>
      </w:r>
      <w:r w:rsidRPr="006F1FA8">
        <w:rPr>
          <w:rFonts w:ascii="Times New Roman" w:hAnsi="Times New Roman"/>
        </w:rPr>
        <w:t>The Urban Institute, Office of Planning, Research and Evaluation, March 2012.</w:t>
      </w:r>
    </w:p>
    <w:p w14:paraId="7F3E1836"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14:paraId="0C33CE53"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Hidden Populations. Washington, DC: United States National Institute on</w:t>
      </w:r>
    </w:p>
    <w:p w14:paraId="1A61A922" w14:textId="65829CB8" w:rsidR="00B61AC6" w:rsidRDefault="00B61AC6" w:rsidP="00B61AC6">
      <w:pPr>
        <w:pStyle w:val="References"/>
        <w:spacing w:after="120"/>
        <w:ind w:left="0" w:firstLine="0"/>
        <w:rPr>
          <w:rFonts w:ascii="Times New Roman" w:hAnsi="Times New Roman"/>
        </w:rPr>
      </w:pPr>
      <w:r w:rsidRPr="00B61AC6">
        <w:rPr>
          <w:rFonts w:ascii="Times New Roman" w:hAnsi="Times New Roman"/>
        </w:rPr>
        <w:t xml:space="preserve">Drug Abuse; 1990. </w:t>
      </w:r>
    </w:p>
    <w:p w14:paraId="7FC83DA6"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00091A6B" w:rsidRPr="002C45C5">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14:paraId="3FF20C81"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14:paraId="24971742" w14:textId="77777777" w:rsidR="00176EC9" w:rsidRPr="005F4610" w:rsidRDefault="00176EC9" w:rsidP="00A1065D">
      <w:pPr>
        <w:spacing w:after="120"/>
      </w:pPr>
      <w:r>
        <w:t xml:space="preserve">National Research Council. 2001. </w:t>
      </w:r>
      <w:r>
        <w:rPr>
          <w:i/>
        </w:rPr>
        <w:t>Studies of welfare populations: Data collection and research issues</w:t>
      </w:r>
      <w:r>
        <w:t>. Washington, DC. The National Academies Press.</w:t>
      </w:r>
    </w:p>
    <w:p w14:paraId="4F5CF196" w14:textId="42ADB890" w:rsidR="006554FE" w:rsidRDefault="006554FE" w:rsidP="006554FE">
      <w:pPr>
        <w:pStyle w:val="References"/>
        <w:spacing w:after="120"/>
        <w:ind w:left="0" w:firstLine="0"/>
        <w:rPr>
          <w:rFonts w:ascii="Times New Roman" w:hAnsi="Times New Roman"/>
        </w:rPr>
      </w:pPr>
      <w:r>
        <w:rPr>
          <w:rFonts w:ascii="Times New Roman" w:hAnsi="Times New Roman"/>
        </w:rPr>
        <w:t>Office of Information and Regularly Affairs. “Questions and Answers When Designing Surveys for Information Collections.” Office of Management and Budget, October 2016.</w:t>
      </w:r>
    </w:p>
    <w:p w14:paraId="43D68CCD"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14:paraId="18E46972"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14:paraId="0DADED25" w14:textId="77777777" w:rsidR="00A57451" w:rsidRDefault="00A57451" w:rsidP="00AC34E3">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001D26F0" w:rsidRPr="002C45C5">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001D26F0" w:rsidRPr="00D32558">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14:paraId="3F3CC151" w14:textId="77777777" w:rsidR="00D84FC0" w:rsidRPr="00D84FC0" w:rsidRDefault="00D84FC0" w:rsidP="001A126C">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14:paraId="18D115EC" w14:textId="77777777" w:rsidR="00D84FC0" w:rsidRPr="00D84FC0" w:rsidRDefault="00D84FC0" w:rsidP="001A126C">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14:paraId="76F12C9D" w14:textId="2842BBE1" w:rsidR="00D84FC0" w:rsidRDefault="00D84FC0" w:rsidP="00D84FC0">
      <w:pPr>
        <w:pStyle w:val="References"/>
        <w:spacing w:after="120"/>
        <w:ind w:left="0" w:firstLine="0"/>
        <w:rPr>
          <w:rFonts w:ascii="Times New Roman" w:hAnsi="Times New Roman"/>
        </w:rPr>
      </w:pPr>
      <w:r w:rsidRPr="00D84FC0">
        <w:rPr>
          <w:rFonts w:ascii="Times New Roman" w:hAnsi="Times New Roman"/>
        </w:rPr>
        <w:t>Moffitt, and Constance F. Citro, pp. 105-128. Washington: National Academy Press.</w:t>
      </w:r>
    </w:p>
    <w:p w14:paraId="78BC81B0" w14:textId="5122ACB3" w:rsidR="001A126C" w:rsidRDefault="001A126C" w:rsidP="001A126C">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14:paraId="1472F67C" w14:textId="1827EDDB" w:rsidR="001A126C" w:rsidRDefault="001A126C" w:rsidP="001A126C">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14:paraId="38ACF470" w14:textId="2734A269" w:rsidR="00906DE9" w:rsidRDefault="00906DE9" w:rsidP="00C6029A">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14:paraId="56B3734E" w14:textId="4D6074C4" w:rsidR="00D6106B" w:rsidRDefault="00D6106B" w:rsidP="00AC34E3">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r:id="rId44" w:history="1">
        <w:r w:rsidRPr="00112BC2">
          <w:rPr>
            <w:rStyle w:val="Hyperlink"/>
            <w:rFonts w:ascii="Times New Roman" w:hAnsi="Times New Roman"/>
          </w:rPr>
          <w:t>https://ies.ed.gov/ncee/wwc/Docs/ReferenceResources/wwc_attrition_v2.1.pdf</w:t>
        </w:r>
      </w:hyperlink>
      <w:r>
        <w:rPr>
          <w:rFonts w:ascii="Times New Roman" w:hAnsi="Times New Roman"/>
        </w:rPr>
        <w:t>. 2013.</w:t>
      </w:r>
    </w:p>
    <w:p w14:paraId="04499529" w14:textId="7845C21C" w:rsidR="00906DE9" w:rsidRDefault="00906DE9" w:rsidP="00C6029A">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14:paraId="646F56CB"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Yin, R. </w:t>
      </w:r>
      <w:r w:rsidRPr="006F1FA8">
        <w:rPr>
          <w:rFonts w:ascii="Times New Roman" w:hAnsi="Times New Roman"/>
          <w:i/>
          <w:iCs/>
        </w:rPr>
        <w:t xml:space="preserve">Case Study Research: Design and Methods. </w:t>
      </w:r>
      <w:r w:rsidRPr="006F1FA8">
        <w:rPr>
          <w:rFonts w:ascii="Times New Roman" w:hAnsi="Times New Roman"/>
        </w:rPr>
        <w:t>2nd edition. Beverly Hills, CA: Sage Publishing, 1994.</w:t>
      </w:r>
      <w:r w:rsidRPr="006F1FA8" w:rsidDel="00C258C0">
        <w:rPr>
          <w:rFonts w:ascii="Times New Roman" w:hAnsi="Times New Roman"/>
        </w:rPr>
        <w:t xml:space="preserve"> </w:t>
      </w:r>
    </w:p>
    <w:p w14:paraId="1E6185FC" w14:textId="77777777" w:rsidR="0072204D" w:rsidRPr="0072204D" w:rsidRDefault="0072204D"/>
    <w:sectPr w:rsidR="0072204D" w:rsidRPr="0072204D" w:rsidSect="00885641">
      <w:headerReference w:type="default" r:id="rId45"/>
      <w:footerReference w:type="default" r:id="rId4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34CAD" w14:textId="77777777" w:rsidR="001848A9" w:rsidRDefault="001848A9">
      <w:r>
        <w:separator/>
      </w:r>
    </w:p>
  </w:endnote>
  <w:endnote w:type="continuationSeparator" w:id="0">
    <w:p w14:paraId="17521456" w14:textId="77777777" w:rsidR="001848A9" w:rsidRDefault="001848A9">
      <w:r>
        <w:continuationSeparator/>
      </w:r>
    </w:p>
  </w:endnote>
  <w:endnote w:type="continuationNotice" w:id="1">
    <w:p w14:paraId="150A29B7" w14:textId="77777777" w:rsidR="001848A9" w:rsidRDefault="00184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F062" w14:textId="433DCB79" w:rsidR="001848A9" w:rsidRDefault="001848A9">
    <w:pPr>
      <w:pStyle w:val="Footer"/>
      <w:jc w:val="center"/>
    </w:pPr>
    <w:r>
      <w:fldChar w:fldCharType="begin"/>
    </w:r>
    <w:r>
      <w:instrText xml:space="preserve"> PAGE   \* MERGEFORMAT </w:instrText>
    </w:r>
    <w:r>
      <w:fldChar w:fldCharType="separate"/>
    </w:r>
    <w:r w:rsidR="00983E76">
      <w:rPr>
        <w:noProof/>
      </w:rPr>
      <w:t>1</w:t>
    </w:r>
    <w:r>
      <w:fldChar w:fldCharType="end"/>
    </w:r>
  </w:p>
  <w:p w14:paraId="569FA5F5" w14:textId="77777777" w:rsidR="001848A9" w:rsidRDefault="001848A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0814C" w14:textId="77777777" w:rsidR="001848A9" w:rsidRDefault="001848A9">
      <w:r>
        <w:separator/>
      </w:r>
    </w:p>
  </w:footnote>
  <w:footnote w:type="continuationSeparator" w:id="0">
    <w:p w14:paraId="652F2F8E" w14:textId="77777777" w:rsidR="001848A9" w:rsidRDefault="001848A9">
      <w:r>
        <w:continuationSeparator/>
      </w:r>
    </w:p>
  </w:footnote>
  <w:footnote w:type="continuationNotice" w:id="1">
    <w:p w14:paraId="65A2CC28" w14:textId="77777777" w:rsidR="001848A9" w:rsidRDefault="001848A9"/>
  </w:footnote>
  <w:footnote w:id="2">
    <w:p w14:paraId="2346A99D" w14:textId="584D157F" w:rsidR="001848A9" w:rsidRDefault="001848A9">
      <w:pPr>
        <w:pStyle w:val="FootnoteText"/>
      </w:pPr>
      <w:r>
        <w:rPr>
          <w:rStyle w:val="FootnoteReference"/>
        </w:rPr>
        <w:footnoteRef/>
      </w:r>
      <w:r>
        <w:t xml:space="preserve"> We decided against an incentive approach which begins with a lower incentive offer and then graduates to a higher offer for the resistant cases, because we wanted to avoid training sample members to hold out for higher incentive offers in the second follow-up.</w:t>
      </w:r>
    </w:p>
  </w:footnote>
  <w:footnote w:id="3">
    <w:p w14:paraId="61E75E22" w14:textId="7FA00580" w:rsidR="001848A9" w:rsidRDefault="001848A9">
      <w:pPr>
        <w:pStyle w:val="FootnoteText"/>
      </w:pPr>
      <w:r>
        <w:rPr>
          <w:rStyle w:val="FootnoteReference"/>
        </w:rPr>
        <w:footnoteRef/>
      </w:r>
      <w:r>
        <w:t xml:space="preserve"> 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DAF3" w14:textId="06B991AC" w:rsidR="001848A9" w:rsidRDefault="001848A9" w:rsidP="00867DD7">
    <w:pPr>
      <w:pStyle w:val="Header"/>
      <w:tabs>
        <w:tab w:val="left" w:pos="3321"/>
        <w:tab w:val="cente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782B"/>
    <w:multiLevelType w:val="hybridMultilevel"/>
    <w:tmpl w:val="93C210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2"/>
  </w:num>
  <w:num w:numId="4">
    <w:abstractNumId w:val="13"/>
  </w:num>
  <w:num w:numId="5">
    <w:abstractNumId w:val="14"/>
  </w:num>
  <w:num w:numId="6">
    <w:abstractNumId w:val="24"/>
  </w:num>
  <w:num w:numId="7">
    <w:abstractNumId w:val="23"/>
  </w:num>
  <w:num w:numId="8">
    <w:abstractNumId w:val="15"/>
  </w:num>
  <w:num w:numId="9">
    <w:abstractNumId w:val="17"/>
  </w:num>
  <w:num w:numId="10">
    <w:abstractNumId w:val="2"/>
  </w:num>
  <w:num w:numId="11">
    <w:abstractNumId w:val="0"/>
  </w:num>
  <w:num w:numId="12">
    <w:abstractNumId w:val="6"/>
  </w:num>
  <w:num w:numId="13">
    <w:abstractNumId w:val="26"/>
  </w:num>
  <w:num w:numId="14">
    <w:abstractNumId w:val="9"/>
  </w:num>
  <w:num w:numId="15">
    <w:abstractNumId w:val="10"/>
  </w:num>
  <w:num w:numId="16">
    <w:abstractNumId w:val="19"/>
  </w:num>
  <w:num w:numId="17">
    <w:abstractNumId w:val="3"/>
  </w:num>
  <w:num w:numId="18">
    <w:abstractNumId w:val="25"/>
  </w:num>
  <w:num w:numId="19">
    <w:abstractNumId w:val="27"/>
  </w:num>
  <w:num w:numId="20">
    <w:abstractNumId w:val="12"/>
  </w:num>
  <w:num w:numId="21">
    <w:abstractNumId w:val="28"/>
  </w:num>
  <w:num w:numId="22">
    <w:abstractNumId w:val="11"/>
  </w:num>
  <w:num w:numId="23">
    <w:abstractNumId w:val="20"/>
  </w:num>
  <w:num w:numId="24">
    <w:abstractNumId w:val="4"/>
  </w:num>
  <w:num w:numId="25">
    <w:abstractNumId w:val="30"/>
  </w:num>
  <w:num w:numId="26">
    <w:abstractNumId w:val="5"/>
  </w:num>
  <w:num w:numId="27">
    <w:abstractNumId w:val="29"/>
  </w:num>
  <w:num w:numId="28">
    <w:abstractNumId w:val="16"/>
  </w:num>
  <w:num w:numId="29">
    <w:abstractNumId w:val="21"/>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F19"/>
    <w:rsid w:val="000048DB"/>
    <w:rsid w:val="00006CB1"/>
    <w:rsid w:val="00007658"/>
    <w:rsid w:val="0001205E"/>
    <w:rsid w:val="000126EA"/>
    <w:rsid w:val="000129D8"/>
    <w:rsid w:val="00013D60"/>
    <w:rsid w:val="00014F6C"/>
    <w:rsid w:val="00017605"/>
    <w:rsid w:val="000206E1"/>
    <w:rsid w:val="000215FA"/>
    <w:rsid w:val="00023CAC"/>
    <w:rsid w:val="000260AD"/>
    <w:rsid w:val="00026F20"/>
    <w:rsid w:val="0003012D"/>
    <w:rsid w:val="00032664"/>
    <w:rsid w:val="00032A03"/>
    <w:rsid w:val="00032B13"/>
    <w:rsid w:val="00033806"/>
    <w:rsid w:val="00035D49"/>
    <w:rsid w:val="00035EDA"/>
    <w:rsid w:val="00036046"/>
    <w:rsid w:val="000376A6"/>
    <w:rsid w:val="00041792"/>
    <w:rsid w:val="00041889"/>
    <w:rsid w:val="000431B8"/>
    <w:rsid w:val="00050A49"/>
    <w:rsid w:val="000559FA"/>
    <w:rsid w:val="00056365"/>
    <w:rsid w:val="00056B62"/>
    <w:rsid w:val="00056C40"/>
    <w:rsid w:val="00057C44"/>
    <w:rsid w:val="0006292A"/>
    <w:rsid w:val="00062AF1"/>
    <w:rsid w:val="00064A17"/>
    <w:rsid w:val="00066810"/>
    <w:rsid w:val="00070E0A"/>
    <w:rsid w:val="00072207"/>
    <w:rsid w:val="00072B34"/>
    <w:rsid w:val="00076671"/>
    <w:rsid w:val="000768D9"/>
    <w:rsid w:val="00083C54"/>
    <w:rsid w:val="0008643E"/>
    <w:rsid w:val="000904C6"/>
    <w:rsid w:val="00091A6B"/>
    <w:rsid w:val="00091C59"/>
    <w:rsid w:val="00097B53"/>
    <w:rsid w:val="00097E78"/>
    <w:rsid w:val="000A3711"/>
    <w:rsid w:val="000A44B7"/>
    <w:rsid w:val="000A6B3C"/>
    <w:rsid w:val="000A7F16"/>
    <w:rsid w:val="000B1654"/>
    <w:rsid w:val="000B5EA8"/>
    <w:rsid w:val="000B7029"/>
    <w:rsid w:val="000C405F"/>
    <w:rsid w:val="000C564B"/>
    <w:rsid w:val="000D3285"/>
    <w:rsid w:val="000D53DF"/>
    <w:rsid w:val="000E01FB"/>
    <w:rsid w:val="000E13D1"/>
    <w:rsid w:val="000E2870"/>
    <w:rsid w:val="000E4666"/>
    <w:rsid w:val="000E677D"/>
    <w:rsid w:val="000F1B7E"/>
    <w:rsid w:val="000F3878"/>
    <w:rsid w:val="000F4830"/>
    <w:rsid w:val="000F66BC"/>
    <w:rsid w:val="001010A0"/>
    <w:rsid w:val="001027F3"/>
    <w:rsid w:val="00104EA1"/>
    <w:rsid w:val="00111829"/>
    <w:rsid w:val="00112937"/>
    <w:rsid w:val="00113309"/>
    <w:rsid w:val="001134B9"/>
    <w:rsid w:val="001137EF"/>
    <w:rsid w:val="00114864"/>
    <w:rsid w:val="00117B10"/>
    <w:rsid w:val="00117EB6"/>
    <w:rsid w:val="00122C6F"/>
    <w:rsid w:val="00122D35"/>
    <w:rsid w:val="001240FF"/>
    <w:rsid w:val="00124EBF"/>
    <w:rsid w:val="00126CE5"/>
    <w:rsid w:val="0012773A"/>
    <w:rsid w:val="00130AAD"/>
    <w:rsid w:val="00132F4A"/>
    <w:rsid w:val="00137DFF"/>
    <w:rsid w:val="00140E29"/>
    <w:rsid w:val="00141B7B"/>
    <w:rsid w:val="00143BF4"/>
    <w:rsid w:val="00143C0D"/>
    <w:rsid w:val="00146C38"/>
    <w:rsid w:val="00146E49"/>
    <w:rsid w:val="0014772A"/>
    <w:rsid w:val="0015426B"/>
    <w:rsid w:val="00155750"/>
    <w:rsid w:val="00156CD3"/>
    <w:rsid w:val="00157F87"/>
    <w:rsid w:val="0016012E"/>
    <w:rsid w:val="00160F1E"/>
    <w:rsid w:val="00161362"/>
    <w:rsid w:val="00162F5C"/>
    <w:rsid w:val="001645E9"/>
    <w:rsid w:val="001646EE"/>
    <w:rsid w:val="0016638F"/>
    <w:rsid w:val="0017003D"/>
    <w:rsid w:val="0017278C"/>
    <w:rsid w:val="00172DAD"/>
    <w:rsid w:val="00173C3B"/>
    <w:rsid w:val="00176EC9"/>
    <w:rsid w:val="00177D8A"/>
    <w:rsid w:val="00180837"/>
    <w:rsid w:val="00183C0F"/>
    <w:rsid w:val="00183F04"/>
    <w:rsid w:val="001848A9"/>
    <w:rsid w:val="00186047"/>
    <w:rsid w:val="00191580"/>
    <w:rsid w:val="0019286E"/>
    <w:rsid w:val="0019297E"/>
    <w:rsid w:val="00197254"/>
    <w:rsid w:val="001A126C"/>
    <w:rsid w:val="001A2628"/>
    <w:rsid w:val="001A2999"/>
    <w:rsid w:val="001A5AF9"/>
    <w:rsid w:val="001A62BB"/>
    <w:rsid w:val="001A6F34"/>
    <w:rsid w:val="001A7A85"/>
    <w:rsid w:val="001B04C4"/>
    <w:rsid w:val="001B0935"/>
    <w:rsid w:val="001B1053"/>
    <w:rsid w:val="001B1BED"/>
    <w:rsid w:val="001B1E71"/>
    <w:rsid w:val="001B28A3"/>
    <w:rsid w:val="001B48F5"/>
    <w:rsid w:val="001B7970"/>
    <w:rsid w:val="001C0A7D"/>
    <w:rsid w:val="001C48CC"/>
    <w:rsid w:val="001C4D60"/>
    <w:rsid w:val="001C4EFB"/>
    <w:rsid w:val="001C5D0E"/>
    <w:rsid w:val="001C6874"/>
    <w:rsid w:val="001C736C"/>
    <w:rsid w:val="001C7BE4"/>
    <w:rsid w:val="001D22AC"/>
    <w:rsid w:val="001D23CE"/>
    <w:rsid w:val="001D26F0"/>
    <w:rsid w:val="001D6024"/>
    <w:rsid w:val="001D7B98"/>
    <w:rsid w:val="001D7FF7"/>
    <w:rsid w:val="001E062E"/>
    <w:rsid w:val="001E08B1"/>
    <w:rsid w:val="001E1E59"/>
    <w:rsid w:val="001E33E3"/>
    <w:rsid w:val="001E3569"/>
    <w:rsid w:val="001E6AF3"/>
    <w:rsid w:val="001E72CD"/>
    <w:rsid w:val="001E7727"/>
    <w:rsid w:val="001F0DF1"/>
    <w:rsid w:val="001F1E3B"/>
    <w:rsid w:val="001F2329"/>
    <w:rsid w:val="001F789F"/>
    <w:rsid w:val="00201963"/>
    <w:rsid w:val="002021DD"/>
    <w:rsid w:val="0020289B"/>
    <w:rsid w:val="0020382F"/>
    <w:rsid w:val="0020511F"/>
    <w:rsid w:val="00206490"/>
    <w:rsid w:val="00206941"/>
    <w:rsid w:val="00211BA8"/>
    <w:rsid w:val="002158D5"/>
    <w:rsid w:val="00215F28"/>
    <w:rsid w:val="00216D3D"/>
    <w:rsid w:val="0022225E"/>
    <w:rsid w:val="00222427"/>
    <w:rsid w:val="002231FA"/>
    <w:rsid w:val="00225146"/>
    <w:rsid w:val="002257A9"/>
    <w:rsid w:val="00225E0B"/>
    <w:rsid w:val="00226C17"/>
    <w:rsid w:val="00230334"/>
    <w:rsid w:val="00232A53"/>
    <w:rsid w:val="002338AC"/>
    <w:rsid w:val="00234053"/>
    <w:rsid w:val="002343DC"/>
    <w:rsid w:val="00234E8D"/>
    <w:rsid w:val="00235A6D"/>
    <w:rsid w:val="002376FA"/>
    <w:rsid w:val="002408DE"/>
    <w:rsid w:val="00241B51"/>
    <w:rsid w:val="00247935"/>
    <w:rsid w:val="00251340"/>
    <w:rsid w:val="0025173C"/>
    <w:rsid w:val="00253148"/>
    <w:rsid w:val="00253CA7"/>
    <w:rsid w:val="00254992"/>
    <w:rsid w:val="00254A44"/>
    <w:rsid w:val="002559AD"/>
    <w:rsid w:val="00256F48"/>
    <w:rsid w:val="0025712B"/>
    <w:rsid w:val="002621D4"/>
    <w:rsid w:val="0026577A"/>
    <w:rsid w:val="00266442"/>
    <w:rsid w:val="0027495F"/>
    <w:rsid w:val="00292B70"/>
    <w:rsid w:val="002933A4"/>
    <w:rsid w:val="00293830"/>
    <w:rsid w:val="002A0323"/>
    <w:rsid w:val="002A0F81"/>
    <w:rsid w:val="002A1F68"/>
    <w:rsid w:val="002B476A"/>
    <w:rsid w:val="002B4DBE"/>
    <w:rsid w:val="002C095A"/>
    <w:rsid w:val="002C3390"/>
    <w:rsid w:val="002C45C5"/>
    <w:rsid w:val="002C4DCF"/>
    <w:rsid w:val="002C4F75"/>
    <w:rsid w:val="002D41F0"/>
    <w:rsid w:val="002D7CC0"/>
    <w:rsid w:val="002E2E29"/>
    <w:rsid w:val="002F03EB"/>
    <w:rsid w:val="002F1A94"/>
    <w:rsid w:val="002F1C69"/>
    <w:rsid w:val="002F23CC"/>
    <w:rsid w:val="002F3A6E"/>
    <w:rsid w:val="002F4973"/>
    <w:rsid w:val="002F58FF"/>
    <w:rsid w:val="002F6353"/>
    <w:rsid w:val="00301314"/>
    <w:rsid w:val="00302FC6"/>
    <w:rsid w:val="0030432F"/>
    <w:rsid w:val="00305C6D"/>
    <w:rsid w:val="003076C8"/>
    <w:rsid w:val="00310402"/>
    <w:rsid w:val="0031218A"/>
    <w:rsid w:val="00315BE3"/>
    <w:rsid w:val="00316A04"/>
    <w:rsid w:val="003178EA"/>
    <w:rsid w:val="00321046"/>
    <w:rsid w:val="00321078"/>
    <w:rsid w:val="00325A77"/>
    <w:rsid w:val="00325F49"/>
    <w:rsid w:val="00327B2E"/>
    <w:rsid w:val="0033098B"/>
    <w:rsid w:val="00335E7C"/>
    <w:rsid w:val="00335F68"/>
    <w:rsid w:val="0033698C"/>
    <w:rsid w:val="00336A46"/>
    <w:rsid w:val="00336C22"/>
    <w:rsid w:val="0033770B"/>
    <w:rsid w:val="00337CD5"/>
    <w:rsid w:val="003402ED"/>
    <w:rsid w:val="00342616"/>
    <w:rsid w:val="003444D8"/>
    <w:rsid w:val="00345119"/>
    <w:rsid w:val="003463DE"/>
    <w:rsid w:val="00350762"/>
    <w:rsid w:val="00354F28"/>
    <w:rsid w:val="003560C5"/>
    <w:rsid w:val="003607DB"/>
    <w:rsid w:val="0037259F"/>
    <w:rsid w:val="0037470F"/>
    <w:rsid w:val="00374DAB"/>
    <w:rsid w:val="00377151"/>
    <w:rsid w:val="00380249"/>
    <w:rsid w:val="0038291A"/>
    <w:rsid w:val="00383A92"/>
    <w:rsid w:val="003854CB"/>
    <w:rsid w:val="00386699"/>
    <w:rsid w:val="00387C0C"/>
    <w:rsid w:val="00397B95"/>
    <w:rsid w:val="003A3A21"/>
    <w:rsid w:val="003A646B"/>
    <w:rsid w:val="003B0A2D"/>
    <w:rsid w:val="003B1A54"/>
    <w:rsid w:val="003B22A7"/>
    <w:rsid w:val="003B2630"/>
    <w:rsid w:val="003B3F75"/>
    <w:rsid w:val="003B67E5"/>
    <w:rsid w:val="003B6CEA"/>
    <w:rsid w:val="003B6E6B"/>
    <w:rsid w:val="003B7793"/>
    <w:rsid w:val="003C2C8D"/>
    <w:rsid w:val="003C31EB"/>
    <w:rsid w:val="003C4E2D"/>
    <w:rsid w:val="003C5109"/>
    <w:rsid w:val="003C5E89"/>
    <w:rsid w:val="003D0784"/>
    <w:rsid w:val="003D4650"/>
    <w:rsid w:val="003D5231"/>
    <w:rsid w:val="003D5D62"/>
    <w:rsid w:val="003E4DAF"/>
    <w:rsid w:val="003E605D"/>
    <w:rsid w:val="003E7AFF"/>
    <w:rsid w:val="003F4A6A"/>
    <w:rsid w:val="0040124C"/>
    <w:rsid w:val="00401EC8"/>
    <w:rsid w:val="004020D8"/>
    <w:rsid w:val="00403AAB"/>
    <w:rsid w:val="004054DE"/>
    <w:rsid w:val="0041401F"/>
    <w:rsid w:val="00414B04"/>
    <w:rsid w:val="00416E79"/>
    <w:rsid w:val="004222F8"/>
    <w:rsid w:val="00422C1B"/>
    <w:rsid w:val="00423119"/>
    <w:rsid w:val="00433B5E"/>
    <w:rsid w:val="00435E44"/>
    <w:rsid w:val="00436F5E"/>
    <w:rsid w:val="00437397"/>
    <w:rsid w:val="00440179"/>
    <w:rsid w:val="004402A9"/>
    <w:rsid w:val="00441AC2"/>
    <w:rsid w:val="00442AF4"/>
    <w:rsid w:val="0044502D"/>
    <w:rsid w:val="004453F8"/>
    <w:rsid w:val="00445B2A"/>
    <w:rsid w:val="00450925"/>
    <w:rsid w:val="00450B3E"/>
    <w:rsid w:val="004522FF"/>
    <w:rsid w:val="004539ED"/>
    <w:rsid w:val="00454199"/>
    <w:rsid w:val="00454889"/>
    <w:rsid w:val="004554B1"/>
    <w:rsid w:val="00456E2F"/>
    <w:rsid w:val="004634FC"/>
    <w:rsid w:val="004640DE"/>
    <w:rsid w:val="00477932"/>
    <w:rsid w:val="00477BD6"/>
    <w:rsid w:val="00481633"/>
    <w:rsid w:val="00482DDE"/>
    <w:rsid w:val="0048365E"/>
    <w:rsid w:val="00483993"/>
    <w:rsid w:val="00484522"/>
    <w:rsid w:val="004854A2"/>
    <w:rsid w:val="00485828"/>
    <w:rsid w:val="00485D12"/>
    <w:rsid w:val="0048774D"/>
    <w:rsid w:val="00487D12"/>
    <w:rsid w:val="004909D6"/>
    <w:rsid w:val="00493927"/>
    <w:rsid w:val="00494F40"/>
    <w:rsid w:val="004A0559"/>
    <w:rsid w:val="004A2C94"/>
    <w:rsid w:val="004A36D3"/>
    <w:rsid w:val="004A44DD"/>
    <w:rsid w:val="004A516A"/>
    <w:rsid w:val="004A6400"/>
    <w:rsid w:val="004A737D"/>
    <w:rsid w:val="004B09C0"/>
    <w:rsid w:val="004B2553"/>
    <w:rsid w:val="004B587E"/>
    <w:rsid w:val="004B5A6C"/>
    <w:rsid w:val="004C0959"/>
    <w:rsid w:val="004C2ADD"/>
    <w:rsid w:val="004C44E3"/>
    <w:rsid w:val="004D0441"/>
    <w:rsid w:val="004D340D"/>
    <w:rsid w:val="004D664D"/>
    <w:rsid w:val="004D6CA9"/>
    <w:rsid w:val="004D76DE"/>
    <w:rsid w:val="004D7FE2"/>
    <w:rsid w:val="004E09C9"/>
    <w:rsid w:val="004E1970"/>
    <w:rsid w:val="004E2936"/>
    <w:rsid w:val="004E3391"/>
    <w:rsid w:val="004E6996"/>
    <w:rsid w:val="004E7927"/>
    <w:rsid w:val="004F1406"/>
    <w:rsid w:val="004F268C"/>
    <w:rsid w:val="004F3B1C"/>
    <w:rsid w:val="004F4E1D"/>
    <w:rsid w:val="004F7A55"/>
    <w:rsid w:val="00500C50"/>
    <w:rsid w:val="005046F0"/>
    <w:rsid w:val="0050545D"/>
    <w:rsid w:val="00511EFD"/>
    <w:rsid w:val="00512BD5"/>
    <w:rsid w:val="00514025"/>
    <w:rsid w:val="00514862"/>
    <w:rsid w:val="005161CF"/>
    <w:rsid w:val="00520737"/>
    <w:rsid w:val="00524958"/>
    <w:rsid w:val="00524987"/>
    <w:rsid w:val="005265A1"/>
    <w:rsid w:val="00533671"/>
    <w:rsid w:val="005338EA"/>
    <w:rsid w:val="00534786"/>
    <w:rsid w:val="005353B7"/>
    <w:rsid w:val="00536654"/>
    <w:rsid w:val="00536C99"/>
    <w:rsid w:val="00541024"/>
    <w:rsid w:val="005418E6"/>
    <w:rsid w:val="00542F0A"/>
    <w:rsid w:val="005449AD"/>
    <w:rsid w:val="00546B3E"/>
    <w:rsid w:val="00551652"/>
    <w:rsid w:val="00551CF6"/>
    <w:rsid w:val="0055489C"/>
    <w:rsid w:val="00555EBC"/>
    <w:rsid w:val="00561C2F"/>
    <w:rsid w:val="0056740C"/>
    <w:rsid w:val="00575372"/>
    <w:rsid w:val="00577FCD"/>
    <w:rsid w:val="00582EF6"/>
    <w:rsid w:val="005830E9"/>
    <w:rsid w:val="005835EB"/>
    <w:rsid w:val="005839B5"/>
    <w:rsid w:val="00584346"/>
    <w:rsid w:val="005847FD"/>
    <w:rsid w:val="005921E4"/>
    <w:rsid w:val="005A6222"/>
    <w:rsid w:val="005A64C5"/>
    <w:rsid w:val="005A7910"/>
    <w:rsid w:val="005B1528"/>
    <w:rsid w:val="005B280B"/>
    <w:rsid w:val="005B4540"/>
    <w:rsid w:val="005B5A59"/>
    <w:rsid w:val="005B6889"/>
    <w:rsid w:val="005C12A4"/>
    <w:rsid w:val="005C528A"/>
    <w:rsid w:val="005C6D2A"/>
    <w:rsid w:val="005D0681"/>
    <w:rsid w:val="005D2538"/>
    <w:rsid w:val="005D5891"/>
    <w:rsid w:val="005D7ADF"/>
    <w:rsid w:val="005E0225"/>
    <w:rsid w:val="005E2278"/>
    <w:rsid w:val="005F2061"/>
    <w:rsid w:val="005F4BD2"/>
    <w:rsid w:val="006010CA"/>
    <w:rsid w:val="00601523"/>
    <w:rsid w:val="00602A11"/>
    <w:rsid w:val="006053E9"/>
    <w:rsid w:val="00607351"/>
    <w:rsid w:val="0061137B"/>
    <w:rsid w:val="006124DA"/>
    <w:rsid w:val="00616124"/>
    <w:rsid w:val="0061632E"/>
    <w:rsid w:val="006215BD"/>
    <w:rsid w:val="00621CE2"/>
    <w:rsid w:val="00621D27"/>
    <w:rsid w:val="0062296A"/>
    <w:rsid w:val="00622B66"/>
    <w:rsid w:val="00624EDF"/>
    <w:rsid w:val="0062550A"/>
    <w:rsid w:val="00625AC5"/>
    <w:rsid w:val="006350EC"/>
    <w:rsid w:val="00635381"/>
    <w:rsid w:val="00635B6C"/>
    <w:rsid w:val="00636266"/>
    <w:rsid w:val="00636C73"/>
    <w:rsid w:val="00637592"/>
    <w:rsid w:val="006438BB"/>
    <w:rsid w:val="00644272"/>
    <w:rsid w:val="006442CC"/>
    <w:rsid w:val="00644599"/>
    <w:rsid w:val="00646954"/>
    <w:rsid w:val="006474B5"/>
    <w:rsid w:val="00651DBA"/>
    <w:rsid w:val="00652679"/>
    <w:rsid w:val="00652CC3"/>
    <w:rsid w:val="006554FE"/>
    <w:rsid w:val="00657424"/>
    <w:rsid w:val="00660A9E"/>
    <w:rsid w:val="0066613F"/>
    <w:rsid w:val="00671B6D"/>
    <w:rsid w:val="00672A1B"/>
    <w:rsid w:val="00672B29"/>
    <w:rsid w:val="00672C8C"/>
    <w:rsid w:val="006824F7"/>
    <w:rsid w:val="00682535"/>
    <w:rsid w:val="006826DF"/>
    <w:rsid w:val="00682755"/>
    <w:rsid w:val="00684B0A"/>
    <w:rsid w:val="00685734"/>
    <w:rsid w:val="006857CD"/>
    <w:rsid w:val="006927DA"/>
    <w:rsid w:val="00693706"/>
    <w:rsid w:val="00695467"/>
    <w:rsid w:val="0069741D"/>
    <w:rsid w:val="006A6773"/>
    <w:rsid w:val="006A6E38"/>
    <w:rsid w:val="006B4A96"/>
    <w:rsid w:val="006B56C7"/>
    <w:rsid w:val="006B5EC9"/>
    <w:rsid w:val="006B65C2"/>
    <w:rsid w:val="006B6845"/>
    <w:rsid w:val="006B69C0"/>
    <w:rsid w:val="006B6DB9"/>
    <w:rsid w:val="006B7648"/>
    <w:rsid w:val="006C0DE9"/>
    <w:rsid w:val="006C37ED"/>
    <w:rsid w:val="006C3AC0"/>
    <w:rsid w:val="006C5859"/>
    <w:rsid w:val="006C5CBA"/>
    <w:rsid w:val="006D0AC1"/>
    <w:rsid w:val="006D2BC5"/>
    <w:rsid w:val="006D3E00"/>
    <w:rsid w:val="006D58A8"/>
    <w:rsid w:val="006D5AA0"/>
    <w:rsid w:val="006D6751"/>
    <w:rsid w:val="006D6812"/>
    <w:rsid w:val="006D7B40"/>
    <w:rsid w:val="006E2CA4"/>
    <w:rsid w:val="006E313D"/>
    <w:rsid w:val="006E474B"/>
    <w:rsid w:val="006E526F"/>
    <w:rsid w:val="006E695D"/>
    <w:rsid w:val="006F1FA8"/>
    <w:rsid w:val="00701045"/>
    <w:rsid w:val="007013B7"/>
    <w:rsid w:val="00701FF3"/>
    <w:rsid w:val="0070226F"/>
    <w:rsid w:val="0070633E"/>
    <w:rsid w:val="0070713C"/>
    <w:rsid w:val="00711A4C"/>
    <w:rsid w:val="00711BC5"/>
    <w:rsid w:val="007149D7"/>
    <w:rsid w:val="00715019"/>
    <w:rsid w:val="00716FA1"/>
    <w:rsid w:val="00721FA0"/>
    <w:rsid w:val="0072204D"/>
    <w:rsid w:val="007235BD"/>
    <w:rsid w:val="007250A3"/>
    <w:rsid w:val="00726A94"/>
    <w:rsid w:val="00730FD1"/>
    <w:rsid w:val="00733365"/>
    <w:rsid w:val="00736F1D"/>
    <w:rsid w:val="007428A5"/>
    <w:rsid w:val="007443B2"/>
    <w:rsid w:val="007452D8"/>
    <w:rsid w:val="007533B7"/>
    <w:rsid w:val="00754EC3"/>
    <w:rsid w:val="00760C48"/>
    <w:rsid w:val="00763E5C"/>
    <w:rsid w:val="007659DA"/>
    <w:rsid w:val="00766A2A"/>
    <w:rsid w:val="0077121A"/>
    <w:rsid w:val="00772457"/>
    <w:rsid w:val="00775374"/>
    <w:rsid w:val="00775A0A"/>
    <w:rsid w:val="007820D6"/>
    <w:rsid w:val="00782181"/>
    <w:rsid w:val="00784137"/>
    <w:rsid w:val="00793BF4"/>
    <w:rsid w:val="00794F85"/>
    <w:rsid w:val="007956AA"/>
    <w:rsid w:val="007A054B"/>
    <w:rsid w:val="007B1FE0"/>
    <w:rsid w:val="007B3DDC"/>
    <w:rsid w:val="007B4FEE"/>
    <w:rsid w:val="007B5ACD"/>
    <w:rsid w:val="007B67C6"/>
    <w:rsid w:val="007C1A06"/>
    <w:rsid w:val="007C2AEA"/>
    <w:rsid w:val="007C3B7D"/>
    <w:rsid w:val="007C40D7"/>
    <w:rsid w:val="007C7D92"/>
    <w:rsid w:val="007D03CD"/>
    <w:rsid w:val="007D2025"/>
    <w:rsid w:val="007D295D"/>
    <w:rsid w:val="007D339A"/>
    <w:rsid w:val="007D708D"/>
    <w:rsid w:val="007E1F52"/>
    <w:rsid w:val="007E3307"/>
    <w:rsid w:val="007E5247"/>
    <w:rsid w:val="007F089A"/>
    <w:rsid w:val="007F14C9"/>
    <w:rsid w:val="007F1B2F"/>
    <w:rsid w:val="007F1D5E"/>
    <w:rsid w:val="007F23DE"/>
    <w:rsid w:val="007F45FE"/>
    <w:rsid w:val="007F58F6"/>
    <w:rsid w:val="00800583"/>
    <w:rsid w:val="00806712"/>
    <w:rsid w:val="00810B9B"/>
    <w:rsid w:val="008138AE"/>
    <w:rsid w:val="00815F38"/>
    <w:rsid w:val="00816965"/>
    <w:rsid w:val="00817671"/>
    <w:rsid w:val="00817FC6"/>
    <w:rsid w:val="0082700D"/>
    <w:rsid w:val="00832E1F"/>
    <w:rsid w:val="008378ED"/>
    <w:rsid w:val="008407BC"/>
    <w:rsid w:val="00840FCD"/>
    <w:rsid w:val="00842401"/>
    <w:rsid w:val="0084252C"/>
    <w:rsid w:val="0084257F"/>
    <w:rsid w:val="008438C9"/>
    <w:rsid w:val="008468A3"/>
    <w:rsid w:val="00847912"/>
    <w:rsid w:val="00847D30"/>
    <w:rsid w:val="008510D0"/>
    <w:rsid w:val="00851255"/>
    <w:rsid w:val="00851DB9"/>
    <w:rsid w:val="00856769"/>
    <w:rsid w:val="0086007C"/>
    <w:rsid w:val="00867DD7"/>
    <w:rsid w:val="0087234E"/>
    <w:rsid w:val="008838A5"/>
    <w:rsid w:val="00885641"/>
    <w:rsid w:val="00886673"/>
    <w:rsid w:val="0089063F"/>
    <w:rsid w:val="008923CD"/>
    <w:rsid w:val="00897038"/>
    <w:rsid w:val="008A72E1"/>
    <w:rsid w:val="008A734C"/>
    <w:rsid w:val="008A7B83"/>
    <w:rsid w:val="008A7C9C"/>
    <w:rsid w:val="008B4A6C"/>
    <w:rsid w:val="008B56BD"/>
    <w:rsid w:val="008B7F2C"/>
    <w:rsid w:val="008C4B04"/>
    <w:rsid w:val="008C4F09"/>
    <w:rsid w:val="008C528B"/>
    <w:rsid w:val="008C5B1D"/>
    <w:rsid w:val="008C5FF2"/>
    <w:rsid w:val="008C6616"/>
    <w:rsid w:val="008C6A6B"/>
    <w:rsid w:val="008C739B"/>
    <w:rsid w:val="008C78B4"/>
    <w:rsid w:val="008D44B4"/>
    <w:rsid w:val="008D72AD"/>
    <w:rsid w:val="008E07B8"/>
    <w:rsid w:val="008E28A8"/>
    <w:rsid w:val="008E536A"/>
    <w:rsid w:val="008E5DA9"/>
    <w:rsid w:val="008E758D"/>
    <w:rsid w:val="008F0953"/>
    <w:rsid w:val="008F10A2"/>
    <w:rsid w:val="008F16A5"/>
    <w:rsid w:val="008F4681"/>
    <w:rsid w:val="008F7941"/>
    <w:rsid w:val="00900F68"/>
    <w:rsid w:val="00906DE9"/>
    <w:rsid w:val="00913787"/>
    <w:rsid w:val="00913A2E"/>
    <w:rsid w:val="00920267"/>
    <w:rsid w:val="00920C89"/>
    <w:rsid w:val="009226BD"/>
    <w:rsid w:val="0092408B"/>
    <w:rsid w:val="009244BA"/>
    <w:rsid w:val="009246BB"/>
    <w:rsid w:val="00924FB9"/>
    <w:rsid w:val="00932D71"/>
    <w:rsid w:val="009373B7"/>
    <w:rsid w:val="009401ED"/>
    <w:rsid w:val="00945CD6"/>
    <w:rsid w:val="00957AE3"/>
    <w:rsid w:val="009638CE"/>
    <w:rsid w:val="009648CE"/>
    <w:rsid w:val="0096743D"/>
    <w:rsid w:val="009801BC"/>
    <w:rsid w:val="009801D4"/>
    <w:rsid w:val="00983E76"/>
    <w:rsid w:val="00984CA2"/>
    <w:rsid w:val="00986B16"/>
    <w:rsid w:val="00987038"/>
    <w:rsid w:val="009878CA"/>
    <w:rsid w:val="00990843"/>
    <w:rsid w:val="00992DD1"/>
    <w:rsid w:val="00993655"/>
    <w:rsid w:val="009946AE"/>
    <w:rsid w:val="009A3CF6"/>
    <w:rsid w:val="009A6376"/>
    <w:rsid w:val="009A6900"/>
    <w:rsid w:val="009A69ED"/>
    <w:rsid w:val="009A6B25"/>
    <w:rsid w:val="009B1638"/>
    <w:rsid w:val="009B1ED9"/>
    <w:rsid w:val="009B28A2"/>
    <w:rsid w:val="009B63F1"/>
    <w:rsid w:val="009C01ED"/>
    <w:rsid w:val="009C12AF"/>
    <w:rsid w:val="009C2F68"/>
    <w:rsid w:val="009C3E58"/>
    <w:rsid w:val="009C72AA"/>
    <w:rsid w:val="009C7AB5"/>
    <w:rsid w:val="009D0211"/>
    <w:rsid w:val="009D0F07"/>
    <w:rsid w:val="009D1E8E"/>
    <w:rsid w:val="009D47D2"/>
    <w:rsid w:val="009D4B28"/>
    <w:rsid w:val="009D5FC2"/>
    <w:rsid w:val="009E069E"/>
    <w:rsid w:val="009E28C8"/>
    <w:rsid w:val="009E53A3"/>
    <w:rsid w:val="009E5FDF"/>
    <w:rsid w:val="009E70A4"/>
    <w:rsid w:val="009F2596"/>
    <w:rsid w:val="009F2D0D"/>
    <w:rsid w:val="009F7979"/>
    <w:rsid w:val="00A00B45"/>
    <w:rsid w:val="00A01B0C"/>
    <w:rsid w:val="00A058D4"/>
    <w:rsid w:val="00A059B5"/>
    <w:rsid w:val="00A1065D"/>
    <w:rsid w:val="00A1266F"/>
    <w:rsid w:val="00A14862"/>
    <w:rsid w:val="00A15E8F"/>
    <w:rsid w:val="00A174B0"/>
    <w:rsid w:val="00A24440"/>
    <w:rsid w:val="00A27818"/>
    <w:rsid w:val="00A27DBE"/>
    <w:rsid w:val="00A30D16"/>
    <w:rsid w:val="00A320A9"/>
    <w:rsid w:val="00A33207"/>
    <w:rsid w:val="00A34019"/>
    <w:rsid w:val="00A3415D"/>
    <w:rsid w:val="00A34973"/>
    <w:rsid w:val="00A35B0D"/>
    <w:rsid w:val="00A35E23"/>
    <w:rsid w:val="00A36E0E"/>
    <w:rsid w:val="00A40557"/>
    <w:rsid w:val="00A412C5"/>
    <w:rsid w:val="00A42315"/>
    <w:rsid w:val="00A42C9A"/>
    <w:rsid w:val="00A4331F"/>
    <w:rsid w:val="00A44209"/>
    <w:rsid w:val="00A443E7"/>
    <w:rsid w:val="00A44BC2"/>
    <w:rsid w:val="00A453FF"/>
    <w:rsid w:val="00A46EA8"/>
    <w:rsid w:val="00A50225"/>
    <w:rsid w:val="00A507C5"/>
    <w:rsid w:val="00A537F1"/>
    <w:rsid w:val="00A57451"/>
    <w:rsid w:val="00A64B9F"/>
    <w:rsid w:val="00A65E36"/>
    <w:rsid w:val="00A6607C"/>
    <w:rsid w:val="00A66306"/>
    <w:rsid w:val="00A679DB"/>
    <w:rsid w:val="00A67C6F"/>
    <w:rsid w:val="00A76930"/>
    <w:rsid w:val="00A85299"/>
    <w:rsid w:val="00A87CEE"/>
    <w:rsid w:val="00A929BC"/>
    <w:rsid w:val="00A94213"/>
    <w:rsid w:val="00AA0985"/>
    <w:rsid w:val="00AA29C0"/>
    <w:rsid w:val="00AA506C"/>
    <w:rsid w:val="00AA6244"/>
    <w:rsid w:val="00AB4721"/>
    <w:rsid w:val="00AC176D"/>
    <w:rsid w:val="00AC34E3"/>
    <w:rsid w:val="00AC355A"/>
    <w:rsid w:val="00AC4BC5"/>
    <w:rsid w:val="00AC6321"/>
    <w:rsid w:val="00AD3304"/>
    <w:rsid w:val="00AD7883"/>
    <w:rsid w:val="00AE06FC"/>
    <w:rsid w:val="00AE14C7"/>
    <w:rsid w:val="00AE1D33"/>
    <w:rsid w:val="00AE2AF4"/>
    <w:rsid w:val="00AE3441"/>
    <w:rsid w:val="00AE48E1"/>
    <w:rsid w:val="00AF191D"/>
    <w:rsid w:val="00AF1960"/>
    <w:rsid w:val="00AF5C72"/>
    <w:rsid w:val="00AF7610"/>
    <w:rsid w:val="00AF7FE0"/>
    <w:rsid w:val="00B029AA"/>
    <w:rsid w:val="00B04E28"/>
    <w:rsid w:val="00B0768F"/>
    <w:rsid w:val="00B07727"/>
    <w:rsid w:val="00B11B7D"/>
    <w:rsid w:val="00B13CF1"/>
    <w:rsid w:val="00B14396"/>
    <w:rsid w:val="00B210F8"/>
    <w:rsid w:val="00B21B1F"/>
    <w:rsid w:val="00B2301E"/>
    <w:rsid w:val="00B252B9"/>
    <w:rsid w:val="00B31D38"/>
    <w:rsid w:val="00B36930"/>
    <w:rsid w:val="00B410AB"/>
    <w:rsid w:val="00B439F3"/>
    <w:rsid w:val="00B451EB"/>
    <w:rsid w:val="00B46848"/>
    <w:rsid w:val="00B50451"/>
    <w:rsid w:val="00B533C9"/>
    <w:rsid w:val="00B53CEF"/>
    <w:rsid w:val="00B60547"/>
    <w:rsid w:val="00B60894"/>
    <w:rsid w:val="00B608C3"/>
    <w:rsid w:val="00B60FAE"/>
    <w:rsid w:val="00B61AC6"/>
    <w:rsid w:val="00B62FC1"/>
    <w:rsid w:val="00B64D6F"/>
    <w:rsid w:val="00B66874"/>
    <w:rsid w:val="00B70D31"/>
    <w:rsid w:val="00B71D91"/>
    <w:rsid w:val="00B73ACF"/>
    <w:rsid w:val="00B740AC"/>
    <w:rsid w:val="00B84547"/>
    <w:rsid w:val="00B87FF6"/>
    <w:rsid w:val="00B90124"/>
    <w:rsid w:val="00B91D97"/>
    <w:rsid w:val="00B9279C"/>
    <w:rsid w:val="00B95264"/>
    <w:rsid w:val="00B95986"/>
    <w:rsid w:val="00BA5C53"/>
    <w:rsid w:val="00BB13A6"/>
    <w:rsid w:val="00BB17BD"/>
    <w:rsid w:val="00BC0A05"/>
    <w:rsid w:val="00BC1421"/>
    <w:rsid w:val="00BD014A"/>
    <w:rsid w:val="00BD4327"/>
    <w:rsid w:val="00BD4478"/>
    <w:rsid w:val="00BD4CFB"/>
    <w:rsid w:val="00BD59AF"/>
    <w:rsid w:val="00BD675F"/>
    <w:rsid w:val="00BE1016"/>
    <w:rsid w:val="00BE2EC7"/>
    <w:rsid w:val="00BE7952"/>
    <w:rsid w:val="00BF065E"/>
    <w:rsid w:val="00BF2385"/>
    <w:rsid w:val="00BF4BA5"/>
    <w:rsid w:val="00BF4E3F"/>
    <w:rsid w:val="00BF5DD2"/>
    <w:rsid w:val="00C03BD2"/>
    <w:rsid w:val="00C0543B"/>
    <w:rsid w:val="00C05B57"/>
    <w:rsid w:val="00C0775A"/>
    <w:rsid w:val="00C12A47"/>
    <w:rsid w:val="00C12B95"/>
    <w:rsid w:val="00C1674B"/>
    <w:rsid w:val="00C22D5F"/>
    <w:rsid w:val="00C250B8"/>
    <w:rsid w:val="00C25872"/>
    <w:rsid w:val="00C265C6"/>
    <w:rsid w:val="00C27950"/>
    <w:rsid w:val="00C27F87"/>
    <w:rsid w:val="00C30311"/>
    <w:rsid w:val="00C3253A"/>
    <w:rsid w:val="00C337E6"/>
    <w:rsid w:val="00C402CB"/>
    <w:rsid w:val="00C40B6A"/>
    <w:rsid w:val="00C4251D"/>
    <w:rsid w:val="00C427F3"/>
    <w:rsid w:val="00C471A4"/>
    <w:rsid w:val="00C50AFD"/>
    <w:rsid w:val="00C50C59"/>
    <w:rsid w:val="00C53AA2"/>
    <w:rsid w:val="00C53D88"/>
    <w:rsid w:val="00C568B6"/>
    <w:rsid w:val="00C56EA9"/>
    <w:rsid w:val="00C6029A"/>
    <w:rsid w:val="00C61FE8"/>
    <w:rsid w:val="00C63968"/>
    <w:rsid w:val="00C65403"/>
    <w:rsid w:val="00C663C7"/>
    <w:rsid w:val="00C67389"/>
    <w:rsid w:val="00C72880"/>
    <w:rsid w:val="00C80156"/>
    <w:rsid w:val="00C8265D"/>
    <w:rsid w:val="00C91A5B"/>
    <w:rsid w:val="00C92DA5"/>
    <w:rsid w:val="00C956CF"/>
    <w:rsid w:val="00C9613E"/>
    <w:rsid w:val="00C964F4"/>
    <w:rsid w:val="00C96B9B"/>
    <w:rsid w:val="00CA402D"/>
    <w:rsid w:val="00CB08FD"/>
    <w:rsid w:val="00CB28E2"/>
    <w:rsid w:val="00CB37FA"/>
    <w:rsid w:val="00CC2132"/>
    <w:rsid w:val="00CC4352"/>
    <w:rsid w:val="00CC59DF"/>
    <w:rsid w:val="00CC5E4E"/>
    <w:rsid w:val="00CD0201"/>
    <w:rsid w:val="00CD06BA"/>
    <w:rsid w:val="00CD272E"/>
    <w:rsid w:val="00CE05BB"/>
    <w:rsid w:val="00CE0FF6"/>
    <w:rsid w:val="00CE154D"/>
    <w:rsid w:val="00CE6EB7"/>
    <w:rsid w:val="00CE6EFF"/>
    <w:rsid w:val="00CE7238"/>
    <w:rsid w:val="00CF268F"/>
    <w:rsid w:val="00CF281B"/>
    <w:rsid w:val="00D012A6"/>
    <w:rsid w:val="00D02315"/>
    <w:rsid w:val="00D03EAC"/>
    <w:rsid w:val="00D04BF7"/>
    <w:rsid w:val="00D05D90"/>
    <w:rsid w:val="00D06966"/>
    <w:rsid w:val="00D06D5F"/>
    <w:rsid w:val="00D1088B"/>
    <w:rsid w:val="00D208FC"/>
    <w:rsid w:val="00D23CD1"/>
    <w:rsid w:val="00D25A7C"/>
    <w:rsid w:val="00D261F5"/>
    <w:rsid w:val="00D32558"/>
    <w:rsid w:val="00D32DA7"/>
    <w:rsid w:val="00D451E7"/>
    <w:rsid w:val="00D46260"/>
    <w:rsid w:val="00D46402"/>
    <w:rsid w:val="00D47898"/>
    <w:rsid w:val="00D50C8A"/>
    <w:rsid w:val="00D519D9"/>
    <w:rsid w:val="00D571C5"/>
    <w:rsid w:val="00D6106B"/>
    <w:rsid w:val="00D612F4"/>
    <w:rsid w:val="00D62335"/>
    <w:rsid w:val="00D65286"/>
    <w:rsid w:val="00D659A2"/>
    <w:rsid w:val="00D7042B"/>
    <w:rsid w:val="00D74990"/>
    <w:rsid w:val="00D84FC0"/>
    <w:rsid w:val="00D90EBF"/>
    <w:rsid w:val="00D90EF6"/>
    <w:rsid w:val="00D92113"/>
    <w:rsid w:val="00D92779"/>
    <w:rsid w:val="00D94D52"/>
    <w:rsid w:val="00D9690A"/>
    <w:rsid w:val="00D970FF"/>
    <w:rsid w:val="00D9760F"/>
    <w:rsid w:val="00DA454A"/>
    <w:rsid w:val="00DA7C3E"/>
    <w:rsid w:val="00DB0162"/>
    <w:rsid w:val="00DB129B"/>
    <w:rsid w:val="00DC488B"/>
    <w:rsid w:val="00DC778C"/>
    <w:rsid w:val="00DD3BEC"/>
    <w:rsid w:val="00DD5F38"/>
    <w:rsid w:val="00DD6F93"/>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4F35"/>
    <w:rsid w:val="00E208BA"/>
    <w:rsid w:val="00E20CB2"/>
    <w:rsid w:val="00E2172E"/>
    <w:rsid w:val="00E25738"/>
    <w:rsid w:val="00E27459"/>
    <w:rsid w:val="00E32627"/>
    <w:rsid w:val="00E327A1"/>
    <w:rsid w:val="00E3396E"/>
    <w:rsid w:val="00E3413E"/>
    <w:rsid w:val="00E341AB"/>
    <w:rsid w:val="00E41D46"/>
    <w:rsid w:val="00E458AF"/>
    <w:rsid w:val="00E46AB7"/>
    <w:rsid w:val="00E46C13"/>
    <w:rsid w:val="00E519AA"/>
    <w:rsid w:val="00E557C8"/>
    <w:rsid w:val="00E56803"/>
    <w:rsid w:val="00E56873"/>
    <w:rsid w:val="00E612D0"/>
    <w:rsid w:val="00E61534"/>
    <w:rsid w:val="00E61749"/>
    <w:rsid w:val="00E622D2"/>
    <w:rsid w:val="00E72CA6"/>
    <w:rsid w:val="00E72E9A"/>
    <w:rsid w:val="00E74FAA"/>
    <w:rsid w:val="00E75961"/>
    <w:rsid w:val="00E77270"/>
    <w:rsid w:val="00E80E8B"/>
    <w:rsid w:val="00E82F72"/>
    <w:rsid w:val="00E843BA"/>
    <w:rsid w:val="00E86DB9"/>
    <w:rsid w:val="00EA12DE"/>
    <w:rsid w:val="00EA1380"/>
    <w:rsid w:val="00EA300D"/>
    <w:rsid w:val="00EB5143"/>
    <w:rsid w:val="00EB5B54"/>
    <w:rsid w:val="00EB5DA0"/>
    <w:rsid w:val="00EC01F0"/>
    <w:rsid w:val="00EC329F"/>
    <w:rsid w:val="00EC466B"/>
    <w:rsid w:val="00EC7D38"/>
    <w:rsid w:val="00ED27DB"/>
    <w:rsid w:val="00ED3BBD"/>
    <w:rsid w:val="00ED3D4B"/>
    <w:rsid w:val="00ED460E"/>
    <w:rsid w:val="00ED54D7"/>
    <w:rsid w:val="00ED69E3"/>
    <w:rsid w:val="00ED6E3F"/>
    <w:rsid w:val="00EE0030"/>
    <w:rsid w:val="00EE5128"/>
    <w:rsid w:val="00EF3B65"/>
    <w:rsid w:val="00F028B2"/>
    <w:rsid w:val="00F0305B"/>
    <w:rsid w:val="00F03814"/>
    <w:rsid w:val="00F0497B"/>
    <w:rsid w:val="00F05DF7"/>
    <w:rsid w:val="00F06DD4"/>
    <w:rsid w:val="00F1165C"/>
    <w:rsid w:val="00F11FEA"/>
    <w:rsid w:val="00F135C6"/>
    <w:rsid w:val="00F16CEE"/>
    <w:rsid w:val="00F2760B"/>
    <w:rsid w:val="00F30940"/>
    <w:rsid w:val="00F33C4F"/>
    <w:rsid w:val="00F3407D"/>
    <w:rsid w:val="00F37BEF"/>
    <w:rsid w:val="00F37C05"/>
    <w:rsid w:val="00F4224D"/>
    <w:rsid w:val="00F430F6"/>
    <w:rsid w:val="00F431DD"/>
    <w:rsid w:val="00F47999"/>
    <w:rsid w:val="00F50D83"/>
    <w:rsid w:val="00F51309"/>
    <w:rsid w:val="00F523F5"/>
    <w:rsid w:val="00F53B60"/>
    <w:rsid w:val="00F551E9"/>
    <w:rsid w:val="00F55A50"/>
    <w:rsid w:val="00F61027"/>
    <w:rsid w:val="00F614AA"/>
    <w:rsid w:val="00F61CE1"/>
    <w:rsid w:val="00F6274D"/>
    <w:rsid w:val="00F6344B"/>
    <w:rsid w:val="00F63772"/>
    <w:rsid w:val="00F73374"/>
    <w:rsid w:val="00F742BB"/>
    <w:rsid w:val="00F756A6"/>
    <w:rsid w:val="00F8466C"/>
    <w:rsid w:val="00F86810"/>
    <w:rsid w:val="00F86FD9"/>
    <w:rsid w:val="00F91456"/>
    <w:rsid w:val="00F91ED0"/>
    <w:rsid w:val="00F92166"/>
    <w:rsid w:val="00F92401"/>
    <w:rsid w:val="00F953CC"/>
    <w:rsid w:val="00F95D91"/>
    <w:rsid w:val="00F97219"/>
    <w:rsid w:val="00FA05FE"/>
    <w:rsid w:val="00FA3651"/>
    <w:rsid w:val="00FA6890"/>
    <w:rsid w:val="00FA6CE5"/>
    <w:rsid w:val="00FB06DB"/>
    <w:rsid w:val="00FB0882"/>
    <w:rsid w:val="00FB2A77"/>
    <w:rsid w:val="00FB4DF7"/>
    <w:rsid w:val="00FB535F"/>
    <w:rsid w:val="00FB617B"/>
    <w:rsid w:val="00FB6C45"/>
    <w:rsid w:val="00FB7845"/>
    <w:rsid w:val="00FC04C5"/>
    <w:rsid w:val="00FC09AC"/>
    <w:rsid w:val="00FC0B3D"/>
    <w:rsid w:val="00FC356A"/>
    <w:rsid w:val="00FC3B5E"/>
    <w:rsid w:val="00FC40E0"/>
    <w:rsid w:val="00FC4236"/>
    <w:rsid w:val="00FC4D80"/>
    <w:rsid w:val="00FC6CB0"/>
    <w:rsid w:val="00FD0140"/>
    <w:rsid w:val="00FD01AF"/>
    <w:rsid w:val="00FD1B70"/>
    <w:rsid w:val="00FD30D0"/>
    <w:rsid w:val="00FD32FB"/>
    <w:rsid w:val="00FD5F65"/>
    <w:rsid w:val="00FD709D"/>
    <w:rsid w:val="00FD7600"/>
    <w:rsid w:val="00FE325E"/>
    <w:rsid w:val="00FE4DA2"/>
    <w:rsid w:val="00FE77EA"/>
    <w:rsid w:val="00FF043A"/>
    <w:rsid w:val="00FF09C3"/>
    <w:rsid w:val="00FF2F7D"/>
    <w:rsid w:val="00FF3048"/>
    <w:rsid w:val="00FF484C"/>
    <w:rsid w:val="00FF49E6"/>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4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ies.ed.gov/ncee/wwc/Docs/ReferenceResources/wwc_attrition_v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4.xml><?xml version="1.0" encoding="utf-8"?>
<ds:datastoreItem xmlns:ds="http://schemas.openxmlformats.org/officeDocument/2006/customXml" ds:itemID="{3E9B4839-CA65-4DCB-A937-9469D40C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10166</Words>
  <Characters>57948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67979</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2018-02-23T20:27:00Z</cp:lastPrinted>
  <dcterms:created xsi:type="dcterms:W3CDTF">2018-03-14T16:22:00Z</dcterms:created>
  <dcterms:modified xsi:type="dcterms:W3CDTF">2018-03-14T16:22:00Z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