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5F6AC" w14:textId="77777777" w:rsidR="002C4F75" w:rsidRPr="002C4F75" w:rsidRDefault="002C4F75" w:rsidP="002C4F75">
      <w:pPr>
        <w:jc w:val="center"/>
        <w:rPr>
          <w:rFonts w:ascii="Arial" w:hAnsi="Arial" w:cs="Arial"/>
          <w:b/>
        </w:rPr>
      </w:pPr>
      <w:bookmarkStart w:id="0" w:name="_GoBack"/>
      <w:bookmarkEnd w:id="0"/>
    </w:p>
    <w:p w14:paraId="7B051493" w14:textId="77777777" w:rsidR="002C4F75" w:rsidRPr="002C4F75" w:rsidRDefault="002C4F75" w:rsidP="002C4F75">
      <w:pPr>
        <w:pStyle w:val="ReportCover-Title"/>
        <w:rPr>
          <w:rFonts w:ascii="Arial" w:hAnsi="Arial" w:cs="Arial"/>
          <w:color w:val="auto"/>
        </w:rPr>
      </w:pPr>
    </w:p>
    <w:p w14:paraId="0CF3416B" w14:textId="77777777" w:rsidR="002C4F75" w:rsidRPr="002C4F75" w:rsidRDefault="0062485C" w:rsidP="002C4F75">
      <w:pPr>
        <w:pStyle w:val="ReportCover-Title"/>
        <w:rPr>
          <w:rFonts w:ascii="Arial" w:hAnsi="Arial" w:cs="Arial"/>
          <w:color w:val="auto"/>
        </w:rPr>
      </w:pPr>
      <w:r>
        <w:rPr>
          <w:rFonts w:ascii="Arial" w:eastAsia="Arial Unicode MS" w:hAnsi="Arial" w:cs="Arial"/>
          <w:noProof/>
          <w:color w:val="auto"/>
          <w:lang w:val="en"/>
        </w:rPr>
        <w:t>Justification for the Collection of Information for Local Evaluations as part of t</w:t>
      </w:r>
      <w:r w:rsidR="00375D20" w:rsidRPr="00375D20">
        <w:rPr>
          <w:rFonts w:ascii="Arial" w:eastAsia="Arial Unicode MS" w:hAnsi="Arial" w:cs="Arial"/>
          <w:noProof/>
          <w:color w:val="auto"/>
          <w:lang w:val="en"/>
        </w:rPr>
        <w:t>he Personal Responsibility Education Program</w:t>
      </w:r>
      <w:r>
        <w:rPr>
          <w:rFonts w:ascii="Arial" w:eastAsia="Arial Unicode MS" w:hAnsi="Arial" w:cs="Arial"/>
          <w:noProof/>
          <w:color w:val="auto"/>
          <w:lang w:val="en"/>
        </w:rPr>
        <w:t xml:space="preserve"> (PREP)</w:t>
      </w:r>
      <w:r w:rsidR="00375D20" w:rsidRPr="00375D20">
        <w:rPr>
          <w:rFonts w:ascii="Arial" w:eastAsia="Arial Unicode MS" w:hAnsi="Arial" w:cs="Arial"/>
          <w:noProof/>
          <w:color w:val="auto"/>
          <w:lang w:val="en"/>
        </w:rPr>
        <w:t>: Promising Youth Programs (PYP)</w:t>
      </w:r>
    </w:p>
    <w:p w14:paraId="6B215CA4" w14:textId="77777777" w:rsidR="002C4F75" w:rsidRPr="002C4F75" w:rsidRDefault="002C4F75" w:rsidP="002C4F75">
      <w:pPr>
        <w:pStyle w:val="ReportCover-Title"/>
        <w:rPr>
          <w:rFonts w:ascii="Arial" w:hAnsi="Arial" w:cs="Arial"/>
          <w:color w:val="auto"/>
        </w:rPr>
      </w:pPr>
    </w:p>
    <w:p w14:paraId="79EBF74F" w14:textId="77777777" w:rsidR="002C4F75" w:rsidRPr="00B10C00"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 xml:space="preserve">OMB </w:t>
      </w:r>
      <w:r w:rsidRPr="00B10C00">
        <w:rPr>
          <w:rFonts w:ascii="Arial" w:hAnsi="Arial" w:cs="Arial"/>
          <w:color w:val="auto"/>
          <w:sz w:val="32"/>
          <w:szCs w:val="32"/>
        </w:rPr>
        <w:t>Information Collection Request</w:t>
      </w:r>
    </w:p>
    <w:p w14:paraId="6C7B9C17" w14:textId="4EE0F540" w:rsidR="002C4F75" w:rsidRPr="002C4F75" w:rsidRDefault="00CC67BA" w:rsidP="002C4F75">
      <w:pPr>
        <w:pStyle w:val="ReportCover-Title"/>
        <w:jc w:val="center"/>
        <w:rPr>
          <w:rFonts w:ascii="Arial" w:hAnsi="Arial" w:cs="Arial"/>
          <w:color w:val="auto"/>
          <w:sz w:val="32"/>
          <w:szCs w:val="32"/>
        </w:rPr>
      </w:pPr>
      <w:r>
        <w:rPr>
          <w:rFonts w:ascii="Arial" w:hAnsi="Arial" w:cs="Arial"/>
          <w:color w:val="auto"/>
          <w:sz w:val="32"/>
          <w:szCs w:val="32"/>
        </w:rPr>
        <w:t>New Collection</w:t>
      </w:r>
    </w:p>
    <w:p w14:paraId="5D200B13" w14:textId="77777777" w:rsidR="002C4F75" w:rsidRPr="002C4F75" w:rsidRDefault="002C4F75" w:rsidP="002C4F75">
      <w:pPr>
        <w:rPr>
          <w:rFonts w:ascii="Arial" w:hAnsi="Arial" w:cs="Arial"/>
          <w:szCs w:val="22"/>
        </w:rPr>
      </w:pPr>
    </w:p>
    <w:p w14:paraId="3155C752" w14:textId="77777777" w:rsidR="002C4F75" w:rsidRPr="002C4F75" w:rsidRDefault="002C4F75" w:rsidP="002C4F75">
      <w:pPr>
        <w:pStyle w:val="ReportCover-Date"/>
        <w:jc w:val="center"/>
        <w:rPr>
          <w:rFonts w:ascii="Arial" w:hAnsi="Arial" w:cs="Arial"/>
          <w:color w:val="auto"/>
        </w:rPr>
      </w:pPr>
    </w:p>
    <w:p w14:paraId="42CC7273"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84F8191"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5D2A5EB5" w14:textId="3E0EEDF5" w:rsidR="002C4F75" w:rsidRPr="002C4F75" w:rsidRDefault="00674934" w:rsidP="002C4F75">
      <w:pPr>
        <w:pStyle w:val="ReportCover-Date"/>
        <w:jc w:val="center"/>
        <w:rPr>
          <w:rFonts w:ascii="Arial" w:hAnsi="Arial" w:cs="Arial"/>
          <w:color w:val="auto"/>
        </w:rPr>
      </w:pPr>
      <w:r>
        <w:rPr>
          <w:rFonts w:ascii="Arial" w:hAnsi="Arial" w:cs="Arial"/>
          <w:color w:val="auto"/>
        </w:rPr>
        <w:t xml:space="preserve">August </w:t>
      </w:r>
      <w:r w:rsidR="00CC67BA">
        <w:rPr>
          <w:rFonts w:ascii="Arial" w:hAnsi="Arial" w:cs="Arial"/>
          <w:color w:val="auto"/>
        </w:rPr>
        <w:t>2017</w:t>
      </w:r>
    </w:p>
    <w:p w14:paraId="3D802716" w14:textId="77777777" w:rsidR="002C4F75" w:rsidRPr="002C4F75" w:rsidRDefault="002C4F75" w:rsidP="002C4F75">
      <w:pPr>
        <w:jc w:val="center"/>
        <w:rPr>
          <w:rFonts w:ascii="Arial" w:hAnsi="Arial" w:cs="Arial"/>
        </w:rPr>
      </w:pPr>
    </w:p>
    <w:p w14:paraId="78684EF4" w14:textId="77777777" w:rsidR="002C4F75" w:rsidRPr="002C4F75" w:rsidRDefault="002C4F75" w:rsidP="002C4F75">
      <w:pPr>
        <w:jc w:val="center"/>
        <w:rPr>
          <w:rFonts w:ascii="Arial" w:hAnsi="Arial" w:cs="Arial"/>
        </w:rPr>
      </w:pPr>
      <w:r w:rsidRPr="002C4F75">
        <w:rPr>
          <w:rFonts w:ascii="Arial" w:hAnsi="Arial" w:cs="Arial"/>
        </w:rPr>
        <w:t>Submitted By:</w:t>
      </w:r>
    </w:p>
    <w:p w14:paraId="54A9F048" w14:textId="77777777" w:rsidR="002C4F75" w:rsidRPr="002C4F75" w:rsidRDefault="002C4F75" w:rsidP="002C4F75">
      <w:pPr>
        <w:jc w:val="center"/>
        <w:rPr>
          <w:rFonts w:ascii="Arial" w:hAnsi="Arial" w:cs="Arial"/>
        </w:rPr>
      </w:pPr>
      <w:r w:rsidRPr="002C4F75">
        <w:rPr>
          <w:rFonts w:ascii="Arial" w:hAnsi="Arial" w:cs="Arial"/>
        </w:rPr>
        <w:t>Office of Planning, Research and Evaluation</w:t>
      </w:r>
    </w:p>
    <w:p w14:paraId="1673EDEC" w14:textId="77777777"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14:paraId="787B428F" w14:textId="77777777" w:rsidR="002C4F75" w:rsidRPr="002C4F75" w:rsidRDefault="002C4F75" w:rsidP="002C4F75">
      <w:pPr>
        <w:jc w:val="center"/>
        <w:rPr>
          <w:rFonts w:ascii="Arial" w:hAnsi="Arial" w:cs="Arial"/>
        </w:rPr>
      </w:pPr>
      <w:r w:rsidRPr="002C4F75">
        <w:rPr>
          <w:rFonts w:ascii="Arial" w:hAnsi="Arial" w:cs="Arial"/>
        </w:rPr>
        <w:t>U.S. Department of Health and Human Services</w:t>
      </w:r>
    </w:p>
    <w:p w14:paraId="2BB56142" w14:textId="77777777" w:rsidR="002C4F75" w:rsidRPr="002C4F75" w:rsidRDefault="002C4F75" w:rsidP="002C4F75">
      <w:pPr>
        <w:jc w:val="center"/>
        <w:rPr>
          <w:rFonts w:ascii="Arial" w:hAnsi="Arial" w:cs="Arial"/>
        </w:rPr>
      </w:pPr>
    </w:p>
    <w:p w14:paraId="6860FDD0" w14:textId="77777777" w:rsidR="002C4F75" w:rsidRPr="002C4F75" w:rsidRDefault="007C13A4" w:rsidP="002C4F75">
      <w:pPr>
        <w:jc w:val="center"/>
        <w:rPr>
          <w:rFonts w:ascii="Arial" w:hAnsi="Arial" w:cs="Arial"/>
        </w:rPr>
      </w:pPr>
      <w:r>
        <w:rPr>
          <w:rFonts w:ascii="Arial" w:hAnsi="Arial" w:cs="Arial"/>
        </w:rPr>
        <w:t>4th Floor Mary Switzer</w:t>
      </w:r>
      <w:r w:rsidR="002C4F75" w:rsidRPr="002C4F75">
        <w:rPr>
          <w:rFonts w:ascii="Arial" w:hAnsi="Arial" w:cs="Arial"/>
        </w:rPr>
        <w:t xml:space="preserve"> Building</w:t>
      </w:r>
    </w:p>
    <w:p w14:paraId="6BF5F06C" w14:textId="77777777" w:rsidR="002C4F75" w:rsidRPr="002C4F75" w:rsidRDefault="007C13A4" w:rsidP="002C4F75">
      <w:pPr>
        <w:jc w:val="center"/>
        <w:rPr>
          <w:rFonts w:ascii="Arial" w:hAnsi="Arial" w:cs="Arial"/>
        </w:rPr>
      </w:pPr>
      <w:r>
        <w:rPr>
          <w:rFonts w:ascii="Arial" w:hAnsi="Arial" w:cs="Arial"/>
        </w:rPr>
        <w:t>330 C St</w:t>
      </w:r>
      <w:r w:rsidR="002C4F75" w:rsidRPr="002C4F75">
        <w:rPr>
          <w:rFonts w:ascii="Arial" w:hAnsi="Arial" w:cs="Arial"/>
        </w:rPr>
        <w:t>, SW</w:t>
      </w:r>
    </w:p>
    <w:p w14:paraId="55155399" w14:textId="77777777" w:rsidR="002C4F75" w:rsidRPr="002C4F75" w:rsidRDefault="002C4F75" w:rsidP="002C4F75">
      <w:pPr>
        <w:jc w:val="center"/>
        <w:rPr>
          <w:rFonts w:ascii="Arial" w:hAnsi="Arial" w:cs="Arial"/>
        </w:rPr>
      </w:pPr>
      <w:r w:rsidRPr="002C4F75">
        <w:rPr>
          <w:rFonts w:ascii="Arial" w:hAnsi="Arial" w:cs="Arial"/>
        </w:rPr>
        <w:t xml:space="preserve">Washington, D.C. </w:t>
      </w:r>
      <w:r w:rsidR="007C13A4" w:rsidRPr="002C4F75">
        <w:rPr>
          <w:rFonts w:ascii="Arial" w:hAnsi="Arial" w:cs="Arial"/>
        </w:rPr>
        <w:t>20</w:t>
      </w:r>
      <w:r w:rsidR="007C13A4">
        <w:rPr>
          <w:rFonts w:ascii="Arial" w:hAnsi="Arial" w:cs="Arial"/>
        </w:rPr>
        <w:t>201</w:t>
      </w:r>
    </w:p>
    <w:p w14:paraId="2E34F1DF" w14:textId="77777777" w:rsidR="002C4F75" w:rsidRPr="002C4F75" w:rsidRDefault="002C4F75" w:rsidP="002C4F75">
      <w:pPr>
        <w:jc w:val="center"/>
        <w:rPr>
          <w:rFonts w:ascii="Arial" w:hAnsi="Arial" w:cs="Arial"/>
        </w:rPr>
      </w:pPr>
    </w:p>
    <w:p w14:paraId="402FB0F5" w14:textId="77777777" w:rsidR="002C4F75" w:rsidRPr="002C4F75" w:rsidRDefault="007C13A4" w:rsidP="002C4F75">
      <w:pPr>
        <w:jc w:val="center"/>
        <w:rPr>
          <w:rFonts w:ascii="Arial" w:hAnsi="Arial" w:cs="Arial"/>
        </w:rPr>
      </w:pPr>
      <w:r>
        <w:rPr>
          <w:rFonts w:ascii="Arial" w:hAnsi="Arial" w:cs="Arial"/>
        </w:rPr>
        <w:t xml:space="preserve">Federal </w:t>
      </w:r>
      <w:r w:rsidR="002C4F75" w:rsidRPr="00BE7952">
        <w:rPr>
          <w:rFonts w:ascii="Arial" w:hAnsi="Arial" w:cs="Arial"/>
        </w:rPr>
        <w:t>Project Officer:</w:t>
      </w:r>
      <w:r w:rsidR="00456489">
        <w:rPr>
          <w:rFonts w:ascii="Arial" w:hAnsi="Arial" w:cs="Arial"/>
        </w:rPr>
        <w:t xml:space="preserve"> </w:t>
      </w:r>
    </w:p>
    <w:p w14:paraId="00A482A5" w14:textId="77777777" w:rsidR="007C13A4" w:rsidRDefault="00456489" w:rsidP="00B10C00">
      <w:pPr>
        <w:spacing w:after="120"/>
        <w:jc w:val="center"/>
        <w:rPr>
          <w:rFonts w:ascii="Arial" w:hAnsi="Arial" w:cs="Arial"/>
        </w:rPr>
      </w:pPr>
      <w:r w:rsidRPr="00BD03D2">
        <w:rPr>
          <w:rFonts w:ascii="Arial" w:hAnsi="Arial" w:cs="Arial"/>
        </w:rPr>
        <w:t>Seth Chamberlain (COR</w:t>
      </w:r>
      <w:r w:rsidR="007C13A4" w:rsidRPr="00BD03D2">
        <w:rPr>
          <w:rFonts w:ascii="Arial" w:hAnsi="Arial" w:cs="Arial"/>
        </w:rPr>
        <w:t>)</w:t>
      </w:r>
    </w:p>
    <w:p w14:paraId="4234AD09" w14:textId="77777777" w:rsidR="007C13A4" w:rsidRDefault="007C13A4" w:rsidP="00BD03D2">
      <w:pPr>
        <w:jc w:val="center"/>
        <w:rPr>
          <w:rFonts w:ascii="Arial" w:hAnsi="Arial" w:cs="Arial"/>
        </w:rPr>
      </w:pPr>
      <w:r>
        <w:rPr>
          <w:rFonts w:ascii="Arial" w:hAnsi="Arial" w:cs="Arial"/>
        </w:rPr>
        <w:t xml:space="preserve">Project Monitor: </w:t>
      </w:r>
    </w:p>
    <w:p w14:paraId="79DF1BD7" w14:textId="77777777" w:rsidR="00BE7952" w:rsidRDefault="00456489" w:rsidP="00BD03D2">
      <w:pPr>
        <w:jc w:val="center"/>
      </w:pPr>
      <w:r w:rsidRPr="00BD03D2">
        <w:rPr>
          <w:rFonts w:ascii="Arial" w:hAnsi="Arial" w:cs="Arial"/>
        </w:rPr>
        <w:t xml:space="preserve">Kathleen McCoy </w:t>
      </w:r>
    </w:p>
    <w:p w14:paraId="7F3C1025" w14:textId="77777777" w:rsidR="00B10C00" w:rsidRDefault="00B10C00" w:rsidP="002C4F75"/>
    <w:p w14:paraId="3E446430" w14:textId="77777777" w:rsidR="00945CD6" w:rsidRDefault="00292B70" w:rsidP="002C4F75">
      <w:pPr>
        <w:rPr>
          <w:b/>
        </w:rPr>
      </w:pPr>
      <w:r w:rsidRPr="000D53DF">
        <w:rPr>
          <w:b/>
        </w:rPr>
        <w:lastRenderedPageBreak/>
        <w:t xml:space="preserve">A1. </w:t>
      </w:r>
      <w:r w:rsidR="00945CD6" w:rsidRPr="000D53DF">
        <w:rPr>
          <w:b/>
        </w:rPr>
        <w:t>Necessity for the Data Collection</w:t>
      </w:r>
    </w:p>
    <w:p w14:paraId="60C44BF1" w14:textId="77777777" w:rsidR="00B85BD8" w:rsidRDefault="00984CA2" w:rsidP="00EB7F96">
      <w:pPr>
        <w:ind w:left="360"/>
      </w:pPr>
      <w:r w:rsidRPr="000517EA">
        <w:t>The Administration for Children and Families (ACF) at the U.S. Department of Health and Human Services (HHS)</w:t>
      </w:r>
      <w:r w:rsidR="00B85BD8">
        <w:t xml:space="preserve"> oversees the Personal Responsibility Education Program (PREP), which comprises several teen pregnancy prevention programs. All grantees receiving PREP funding must educate youth on both abstinence and contraception.</w:t>
      </w:r>
      <w:r w:rsidR="00B7467D">
        <w:t xml:space="preserve"> ACF’s Family and Youth Services Bureau (FYSB) administers PREP programs, and ACF’s Office of Planning, Research, and Evaluation (OPRE) collaborates with FYSB to conduct PREP research and evaluation efforts.</w:t>
      </w:r>
    </w:p>
    <w:p w14:paraId="65A259D4" w14:textId="77777777" w:rsidR="00B85BD8" w:rsidRDefault="00B85BD8" w:rsidP="00EB7F96">
      <w:pPr>
        <w:ind w:left="360"/>
      </w:pPr>
    </w:p>
    <w:p w14:paraId="205D0ED5" w14:textId="3EFFE107" w:rsidR="00B85BD8" w:rsidRDefault="00B85BD8" w:rsidP="00EB7F96">
      <w:pPr>
        <w:ind w:left="360"/>
      </w:pPr>
      <w:r>
        <w:t xml:space="preserve">ACF </w:t>
      </w:r>
      <w:r w:rsidR="00EB7F96">
        <w:t xml:space="preserve">is proposing to collect data </w:t>
      </w:r>
      <w:r>
        <w:t>related to PREP in two different areas:</w:t>
      </w:r>
    </w:p>
    <w:p w14:paraId="2D0EBBAD" w14:textId="77777777" w:rsidR="00B85BD8" w:rsidRDefault="00AF55EC" w:rsidP="003908D1">
      <w:pPr>
        <w:numPr>
          <w:ilvl w:val="0"/>
          <w:numId w:val="31"/>
        </w:numPr>
      </w:pPr>
      <w:r w:rsidRPr="003908D1">
        <w:rPr>
          <w:b/>
        </w:rPr>
        <w:t>Local evaluation information</w:t>
      </w:r>
      <w:r>
        <w:t xml:space="preserve">. </w:t>
      </w:r>
      <w:r w:rsidR="00B85BD8">
        <w:t xml:space="preserve">ACF </w:t>
      </w:r>
      <w:r w:rsidR="00B85BD8" w:rsidRPr="000517EA">
        <w:t xml:space="preserve">seeks approval </w:t>
      </w:r>
      <w:r w:rsidR="00B85BD8">
        <w:t>to request information from</w:t>
      </w:r>
      <w:r w:rsidR="00B85BD8" w:rsidRPr="00714B89">
        <w:t xml:space="preserve"> </w:t>
      </w:r>
      <w:r w:rsidR="00B85BD8">
        <w:t xml:space="preserve">PREP-funded grantees </w:t>
      </w:r>
      <w:r w:rsidR="00B85BD8" w:rsidRPr="00714B89">
        <w:t>about the</w:t>
      </w:r>
      <w:r w:rsidR="00B85BD8">
        <w:t xml:space="preserve">ir grantee-led evaluations, called “local evaluations.” </w:t>
      </w:r>
      <w:r w:rsidR="00B85BD8" w:rsidRPr="00A44349">
        <w:t xml:space="preserve">This request will support </w:t>
      </w:r>
      <w:r w:rsidR="00B85BD8">
        <w:t xml:space="preserve">reviews of analysis plans, </w:t>
      </w:r>
      <w:r w:rsidR="00B85BD8" w:rsidRPr="00A44349">
        <w:t>monitoring</w:t>
      </w:r>
      <w:r w:rsidR="00B85BD8">
        <w:t>,</w:t>
      </w:r>
      <w:r w:rsidR="00B85BD8" w:rsidRPr="00A44349">
        <w:t xml:space="preserve"> and </w:t>
      </w:r>
      <w:r w:rsidR="00B85BD8">
        <w:t>ongoing</w:t>
      </w:r>
      <w:r w:rsidR="00B85BD8" w:rsidRPr="00A44349">
        <w:t xml:space="preserve"> technical assistance</w:t>
      </w:r>
      <w:r w:rsidR="00B85BD8">
        <w:t>.</w:t>
      </w:r>
    </w:p>
    <w:p w14:paraId="29429B77" w14:textId="0233F962" w:rsidR="00B85BD8" w:rsidRDefault="00AF55EC" w:rsidP="003908D1">
      <w:pPr>
        <w:numPr>
          <w:ilvl w:val="0"/>
          <w:numId w:val="31"/>
        </w:numPr>
      </w:pPr>
      <w:r w:rsidRPr="003908D1">
        <w:rPr>
          <w:b/>
        </w:rPr>
        <w:t>Interviews</w:t>
      </w:r>
      <w:r w:rsidR="000D4152">
        <w:rPr>
          <w:b/>
        </w:rPr>
        <w:t>/focus groups</w:t>
      </w:r>
      <w:r w:rsidRPr="003908D1">
        <w:rPr>
          <w:b/>
        </w:rPr>
        <w:t xml:space="preserve"> with youth to inform curriculum development</w:t>
      </w:r>
      <w:r>
        <w:t xml:space="preserve">. </w:t>
      </w:r>
      <w:r w:rsidR="00B85BD8" w:rsidRPr="00EB7F96">
        <w:t xml:space="preserve">ACF seeks approval to conduct </w:t>
      </w:r>
      <w:r w:rsidR="00B85BD8">
        <w:t xml:space="preserve">interviews and </w:t>
      </w:r>
      <w:r w:rsidR="00B85BD8" w:rsidRPr="00EB7F96">
        <w:t>focus groups with youth to inform the development of curricula</w:t>
      </w:r>
      <w:r w:rsidR="00BB160D">
        <w:t xml:space="preserve"> to address PREP related </w:t>
      </w:r>
      <w:r w:rsidR="00164ED5">
        <w:t>needs</w:t>
      </w:r>
      <w:r w:rsidR="00B85BD8" w:rsidRPr="00EB7F96">
        <w:t xml:space="preserve"> for underserved populations</w:t>
      </w:r>
      <w:r w:rsidR="00B85BD8">
        <w:t xml:space="preserve">. This work will </w:t>
      </w:r>
      <w:r w:rsidR="00B85BD8" w:rsidRPr="00AC4F7F">
        <w:t xml:space="preserve">involve </w:t>
      </w:r>
      <w:r w:rsidR="00B85BD8">
        <w:t xml:space="preserve">talking with youth about how they make decisions related to sexual health and their experiences with </w:t>
      </w:r>
      <w:r w:rsidR="00D96E78">
        <w:t xml:space="preserve">formal </w:t>
      </w:r>
      <w:r w:rsidR="00B85BD8">
        <w:t>sexual health education</w:t>
      </w:r>
      <w:r w:rsidR="00D96E78">
        <w:t xml:space="preserve"> programs</w:t>
      </w:r>
      <w:r>
        <w:t>.</w:t>
      </w:r>
    </w:p>
    <w:p w14:paraId="7B52DFDF" w14:textId="77777777" w:rsidR="00EB7F96" w:rsidRDefault="00EB7F96" w:rsidP="00EB7F96">
      <w:pPr>
        <w:ind w:left="360"/>
      </w:pPr>
    </w:p>
    <w:p w14:paraId="35635E55" w14:textId="77777777" w:rsidR="00B85BD8" w:rsidRDefault="00AF55EC" w:rsidP="003908D1">
      <w:pPr>
        <w:ind w:left="360"/>
      </w:pPr>
      <w:r>
        <w:t xml:space="preserve">This work will be conducted under a new contract, called </w:t>
      </w:r>
      <w:r w:rsidR="00B85BD8">
        <w:t>the Personal Responsibility Education Program:</w:t>
      </w:r>
      <w:r w:rsidR="00B85BD8" w:rsidRPr="00A44349">
        <w:t xml:space="preserve"> Promising Youth Programs (PYP) project</w:t>
      </w:r>
      <w:r>
        <w:t xml:space="preserve">; </w:t>
      </w:r>
      <w:r w:rsidR="00B85BD8">
        <w:t>Mathematica Policy Research</w:t>
      </w:r>
      <w:r>
        <w:t xml:space="preserve"> is the contractor</w:t>
      </w:r>
      <w:r w:rsidR="00B85BD8">
        <w:t xml:space="preserve">.  </w:t>
      </w:r>
    </w:p>
    <w:p w14:paraId="4026A125" w14:textId="77777777" w:rsidR="0062485C" w:rsidRDefault="0062485C" w:rsidP="00BD03D2"/>
    <w:p w14:paraId="2500E01C" w14:textId="77777777" w:rsidR="00984CA2" w:rsidRPr="00177982" w:rsidRDefault="00984CA2" w:rsidP="002338AC">
      <w:pPr>
        <w:pStyle w:val="Heading4"/>
        <w:numPr>
          <w:ilvl w:val="3"/>
          <w:numId w:val="0"/>
        </w:numPr>
        <w:tabs>
          <w:tab w:val="num" w:pos="180"/>
        </w:tabs>
        <w:spacing w:before="60" w:line="264" w:lineRule="auto"/>
        <w:ind w:left="180"/>
        <w:rPr>
          <w:rFonts w:ascii="Times New Roman" w:hAnsi="Times New Roman"/>
          <w:i/>
          <w:sz w:val="24"/>
          <w:szCs w:val="24"/>
        </w:rPr>
      </w:pPr>
      <w:r w:rsidRPr="00177982">
        <w:rPr>
          <w:rFonts w:ascii="Times New Roman" w:hAnsi="Times New Roman"/>
          <w:i/>
          <w:sz w:val="24"/>
          <w:szCs w:val="24"/>
        </w:rPr>
        <w:t xml:space="preserve">Background </w:t>
      </w:r>
    </w:p>
    <w:p w14:paraId="2DA25994" w14:textId="77777777" w:rsidR="00CC67BA" w:rsidRDefault="00F514A8" w:rsidP="00675299">
      <w:pPr>
        <w:ind w:left="360"/>
      </w:pPr>
      <w:r>
        <w:t>To reduce the risks related to sexual activity,</w:t>
      </w:r>
      <w:r w:rsidR="00AF55EC">
        <w:t xml:space="preserve"> </w:t>
      </w:r>
      <w:r>
        <w:t xml:space="preserve">Congress authorized PREP as part of the 2010 Affordable Care Act. </w:t>
      </w:r>
      <w:r w:rsidR="00297990">
        <w:t>It was</w:t>
      </w:r>
      <w:r w:rsidR="00297990" w:rsidRPr="0058602E">
        <w:t xml:space="preserve"> </w:t>
      </w:r>
      <w:r w:rsidR="00297990">
        <w:t xml:space="preserve">reauthorized in 2015 for an additional two years of funding through the Medicare Access and CHIP Reauthorization ACT of 2015. </w:t>
      </w:r>
      <w:r w:rsidR="00675299">
        <w:t xml:space="preserve">PREP programs are administered by ACF’s Family and Youth </w:t>
      </w:r>
      <w:r w:rsidR="00B7486A">
        <w:t>Services</w:t>
      </w:r>
      <w:r w:rsidR="00675299">
        <w:t xml:space="preserve"> Bureau (FYSB). </w:t>
      </w:r>
      <w:r w:rsidR="00675299" w:rsidRPr="00F514A8">
        <w:t xml:space="preserve">FYSB awards </w:t>
      </w:r>
      <w:r w:rsidR="00675299">
        <w:t xml:space="preserve">PREP </w:t>
      </w:r>
      <w:r w:rsidR="00675299" w:rsidRPr="00F514A8">
        <w:t>grants</w:t>
      </w:r>
      <w:r w:rsidR="00675299">
        <w:t xml:space="preserve"> </w:t>
      </w:r>
      <w:r w:rsidR="00675299" w:rsidRPr="00F514A8">
        <w:t xml:space="preserve">under four separate but related programs: (1) </w:t>
      </w:r>
      <w:r w:rsidR="00675299">
        <w:t xml:space="preserve">State PREP (SPREP), </w:t>
      </w:r>
      <w:r w:rsidR="00675299" w:rsidRPr="00F514A8">
        <w:t>(2)</w:t>
      </w:r>
      <w:r w:rsidR="00675299">
        <w:t xml:space="preserve"> Competitive PREP (CPREP)</w:t>
      </w:r>
      <w:r w:rsidR="00675299" w:rsidRPr="00F514A8">
        <w:t xml:space="preserve">, (3) </w:t>
      </w:r>
      <w:r w:rsidR="00675299" w:rsidRPr="005E3DBB">
        <w:t xml:space="preserve">Personal Responsibility Education Innovative Strategies Program (PREIS), </w:t>
      </w:r>
      <w:r w:rsidR="00675299">
        <w:t xml:space="preserve">and </w:t>
      </w:r>
      <w:r w:rsidR="00675299" w:rsidRPr="00F514A8">
        <w:t xml:space="preserve">(4) </w:t>
      </w:r>
      <w:r w:rsidR="00675299" w:rsidRPr="005E3DBB">
        <w:t>Tribal PREP</w:t>
      </w:r>
      <w:r w:rsidR="00675299">
        <w:t xml:space="preserve"> (TPREP)</w:t>
      </w:r>
      <w:r w:rsidR="00675299" w:rsidRPr="00F514A8">
        <w:t>.</w:t>
      </w:r>
      <w:r w:rsidR="00675299">
        <w:t xml:space="preserve">  </w:t>
      </w:r>
      <w:r>
        <w:t>PREP programs</w:t>
      </w:r>
      <w:r w:rsidR="00A42D4F">
        <w:t xml:space="preserve"> </w:t>
      </w:r>
      <w:r w:rsidR="00AF55EC">
        <w:t xml:space="preserve">must educate youth on both abstinence and contraception for the prevention of pregnancy and sexually transmitted infections, and must provide instruction to </w:t>
      </w:r>
      <w:r>
        <w:t>prepare youth for adulthood. FYSB supports programs that exhibit evidence of effectiveness</w:t>
      </w:r>
      <w:r w:rsidR="00FB2191">
        <w:t>,</w:t>
      </w:r>
      <w:r>
        <w:t xml:space="preserve"> innovative adaptations of evidence-based programs</w:t>
      </w:r>
      <w:r w:rsidR="00FB2191">
        <w:t>, and promising programs</w:t>
      </w:r>
      <w:r>
        <w:t xml:space="preserve">. </w:t>
      </w:r>
      <w:r w:rsidR="00A42D4F">
        <w:t xml:space="preserve">They encourage, and in some cases require, grantees to conduct </w:t>
      </w:r>
      <w:r w:rsidRPr="00F514A8">
        <w:t>evaluations to inform the field’s</w:t>
      </w:r>
      <w:r>
        <w:t xml:space="preserve"> </w:t>
      </w:r>
      <w:r w:rsidRPr="00F514A8">
        <w:t xml:space="preserve">current efforts and future programming for youth risk behavior prevention. </w:t>
      </w:r>
    </w:p>
    <w:p w14:paraId="48536093" w14:textId="77777777" w:rsidR="00CC67BA" w:rsidRDefault="00CC67BA" w:rsidP="00675299">
      <w:pPr>
        <w:ind w:left="360"/>
      </w:pPr>
    </w:p>
    <w:p w14:paraId="41ACD120" w14:textId="4260C42F" w:rsidR="002C6847" w:rsidRDefault="00334EB6" w:rsidP="00675299">
      <w:pPr>
        <w:ind w:left="360"/>
      </w:pPr>
      <w:r w:rsidRPr="008F5ADF">
        <w:rPr>
          <w:b/>
        </w:rPr>
        <w:t xml:space="preserve">For the </w:t>
      </w:r>
      <w:r w:rsidR="00D85BB7">
        <w:rPr>
          <w:b/>
        </w:rPr>
        <w:t xml:space="preserve">first </w:t>
      </w:r>
      <w:r w:rsidR="00675299" w:rsidRPr="008F5ADF">
        <w:rPr>
          <w:b/>
        </w:rPr>
        <w:t xml:space="preserve">component of this </w:t>
      </w:r>
      <w:r w:rsidR="00CC67BA">
        <w:rPr>
          <w:b/>
        </w:rPr>
        <w:t xml:space="preserve">information collection request </w:t>
      </w:r>
      <w:r w:rsidR="00D45F5A">
        <w:rPr>
          <w:b/>
        </w:rPr>
        <w:t>(</w:t>
      </w:r>
      <w:r w:rsidR="00675299" w:rsidRPr="008F5ADF">
        <w:rPr>
          <w:b/>
        </w:rPr>
        <w:t>ICR</w:t>
      </w:r>
      <w:r w:rsidR="00D45F5A">
        <w:rPr>
          <w:b/>
        </w:rPr>
        <w:t>)</w:t>
      </w:r>
      <w:r w:rsidRPr="008F5ADF">
        <w:rPr>
          <w:b/>
        </w:rPr>
        <w:t xml:space="preserve">, </w:t>
      </w:r>
      <w:r w:rsidR="00D85BB7">
        <w:rPr>
          <w:b/>
        </w:rPr>
        <w:t xml:space="preserve">the local evaluation, </w:t>
      </w:r>
      <w:r w:rsidR="00B311B2" w:rsidRPr="008F5ADF">
        <w:rPr>
          <w:b/>
        </w:rPr>
        <w:t>the study team</w:t>
      </w:r>
      <w:r w:rsidRPr="008F5ADF">
        <w:rPr>
          <w:b/>
        </w:rPr>
        <w:t xml:space="preserve"> will </w:t>
      </w:r>
      <w:r w:rsidR="00675299" w:rsidRPr="008F5ADF">
        <w:rPr>
          <w:b/>
        </w:rPr>
        <w:t xml:space="preserve">primarily </w:t>
      </w:r>
      <w:r w:rsidR="000C5448">
        <w:rPr>
          <w:b/>
        </w:rPr>
        <w:t xml:space="preserve">gather data from </w:t>
      </w:r>
      <w:r w:rsidRPr="008F5ADF">
        <w:rPr>
          <w:b/>
        </w:rPr>
        <w:t xml:space="preserve">PREIS and </w:t>
      </w:r>
      <w:r w:rsidR="00B311B2" w:rsidRPr="008F5ADF">
        <w:rPr>
          <w:b/>
        </w:rPr>
        <w:t>T</w:t>
      </w:r>
      <w:r w:rsidRPr="008F5ADF">
        <w:rPr>
          <w:b/>
        </w:rPr>
        <w:t>PREP grantees</w:t>
      </w:r>
      <w:r w:rsidR="00675299">
        <w:rPr>
          <w:b/>
        </w:rPr>
        <w:t>:</w:t>
      </w:r>
    </w:p>
    <w:p w14:paraId="1DDF9DC8" w14:textId="77777777" w:rsidR="00675299" w:rsidRDefault="00F514A8" w:rsidP="008F5ADF">
      <w:pPr>
        <w:numPr>
          <w:ilvl w:val="0"/>
          <w:numId w:val="32"/>
        </w:numPr>
      </w:pPr>
      <w:r w:rsidRPr="00F514A8">
        <w:lastRenderedPageBreak/>
        <w:t xml:space="preserve">PREIS supports </w:t>
      </w:r>
      <w:r w:rsidR="008E4348">
        <w:t xml:space="preserve">the development of </w:t>
      </w:r>
      <w:r w:rsidRPr="00F514A8">
        <w:t>innovative strategies to prevent teen pregnancy</w:t>
      </w:r>
      <w:r w:rsidR="00AB1664">
        <w:t>. This program targets services to high-risk, vulnerable, and culturally underrepresented youth populations. This includes</w:t>
      </w:r>
      <w:r w:rsidRPr="00F514A8">
        <w:t xml:space="preserve"> youth who are</w:t>
      </w:r>
      <w:r w:rsidR="008E4348">
        <w:t xml:space="preserve"> </w:t>
      </w:r>
      <w:r w:rsidRPr="00F514A8">
        <w:t>homeless, live in foster care, reside in areas with high teen birth rates, are members of racial or</w:t>
      </w:r>
      <w:r>
        <w:t xml:space="preserve"> </w:t>
      </w:r>
      <w:r w:rsidRPr="00F514A8">
        <w:t>ethnic minority groups, or have HIV/AIDS. Programs may also target pregnant and parenting youth</w:t>
      </w:r>
      <w:r>
        <w:t xml:space="preserve"> </w:t>
      </w:r>
      <w:r w:rsidRPr="00F514A8">
        <w:t>up to age 21. Projects must be based on some evidence of effectiveness, represent a significant</w:t>
      </w:r>
      <w:r>
        <w:t xml:space="preserve"> </w:t>
      </w:r>
      <w:r w:rsidRPr="00F514A8">
        <w:t>adaptation of an effective program, or offer an innovative approach. Projects are also required to</w:t>
      </w:r>
      <w:r>
        <w:t xml:space="preserve"> </w:t>
      </w:r>
      <w:r w:rsidRPr="00F514A8">
        <w:t>generate lessons learned by documenting the intervention, conducting process and outcome</w:t>
      </w:r>
      <w:r>
        <w:t xml:space="preserve"> </w:t>
      </w:r>
      <w:r w:rsidRPr="00F514A8">
        <w:t>evaluations, and disseminating findings.</w:t>
      </w:r>
      <w:r w:rsidR="005C728D">
        <w:t xml:space="preserve"> The second cohort of PREIS grantees </w:t>
      </w:r>
      <w:r w:rsidR="00404877">
        <w:t>received funding</w:t>
      </w:r>
      <w:r w:rsidR="00AC4F7F">
        <w:t xml:space="preserve"> </w:t>
      </w:r>
      <w:r w:rsidR="005C728D">
        <w:t>in September</w:t>
      </w:r>
      <w:r w:rsidR="00876EB1">
        <w:t xml:space="preserve"> 2016</w:t>
      </w:r>
      <w:r w:rsidR="00675299">
        <w:t xml:space="preserve"> for five year grant periods (pending continued funding of PREP)</w:t>
      </w:r>
      <w:r w:rsidR="005C728D">
        <w:t>.</w:t>
      </w:r>
    </w:p>
    <w:p w14:paraId="26B4BD60" w14:textId="77777777" w:rsidR="00356DD4" w:rsidRDefault="00F7456D" w:rsidP="008F5ADF">
      <w:pPr>
        <w:numPr>
          <w:ilvl w:val="0"/>
          <w:numId w:val="32"/>
        </w:numPr>
      </w:pPr>
      <w:r>
        <w:t xml:space="preserve">The overall goal of the TPREP </w:t>
      </w:r>
      <w:r w:rsidR="00A80A91">
        <w:t xml:space="preserve">grantees </w:t>
      </w:r>
      <w:r>
        <w:t>is to reduce teen pregna</w:t>
      </w:r>
      <w:r w:rsidR="00876EB1">
        <w:t>n</w:t>
      </w:r>
      <w:r>
        <w:t xml:space="preserve">cy and birth rates and the spread of STIs </w:t>
      </w:r>
      <w:r w:rsidR="000C17A2">
        <w:t xml:space="preserve">among </w:t>
      </w:r>
      <w:r>
        <w:t>Ameri</w:t>
      </w:r>
      <w:r w:rsidR="00876EB1">
        <w:t>c</w:t>
      </w:r>
      <w:r>
        <w:t>an Indian/Alaska Native (AI/AN) youth. TPREP programs are expected to replicat</w:t>
      </w:r>
      <w:r w:rsidR="00267D4D">
        <w:t>e</w:t>
      </w:r>
      <w:r>
        <w:t xml:space="preserve"> evidence-based programs (using culturally and linguistically </w:t>
      </w:r>
      <w:r w:rsidR="00876EB1">
        <w:t>appropriate</w:t>
      </w:r>
      <w:r>
        <w:t xml:space="preserve"> adaptations as necessary)</w:t>
      </w:r>
      <w:r w:rsidR="00267D4D">
        <w:t>,</w:t>
      </w:r>
      <w:r>
        <w:t xml:space="preserve"> substantially incorporate elements of programs that have been </w:t>
      </w:r>
      <w:r w:rsidR="00876EB1">
        <w:t>prove</w:t>
      </w:r>
      <w:r w:rsidR="00267D4D">
        <w:t>n to be effective</w:t>
      </w:r>
      <w:r w:rsidR="00101A91">
        <w:t xml:space="preserve"> a</w:t>
      </w:r>
      <w:r w:rsidR="00267D4D">
        <w:t>t</w:t>
      </w:r>
      <w:r w:rsidR="00101A91">
        <w:t xml:space="preserve"> </w:t>
      </w:r>
      <w:r w:rsidR="00267D4D">
        <w:t>changing behaviors</w:t>
      </w:r>
      <w:r>
        <w:t xml:space="preserve"> </w:t>
      </w:r>
      <w:r w:rsidR="00267D4D">
        <w:t>based on</w:t>
      </w:r>
      <w:r w:rsidR="00101A91">
        <w:t xml:space="preserve"> </w:t>
      </w:r>
      <w:r w:rsidR="00876EB1">
        <w:t>scientific</w:t>
      </w:r>
      <w:r>
        <w:t xml:space="preserve"> research</w:t>
      </w:r>
      <w:r w:rsidR="00267D4D">
        <w:t>,</w:t>
      </w:r>
      <w:r>
        <w:t xml:space="preserve"> or substantially incorporat</w:t>
      </w:r>
      <w:r w:rsidR="00267D4D">
        <w:t>e</w:t>
      </w:r>
      <w:r>
        <w:t xml:space="preserve"> elements or practices from programs that have demonstrated effectiveness within AI/AN tribal communities. All TPREP grantees are required to </w:t>
      </w:r>
      <w:r w:rsidR="005710E1">
        <w:t xml:space="preserve">conduct </w:t>
      </w:r>
      <w:r>
        <w:t>a local evaluation.</w:t>
      </w:r>
      <w:r w:rsidR="00876EB1">
        <w:t xml:space="preserve"> </w:t>
      </w:r>
      <w:r w:rsidR="005C728D">
        <w:t xml:space="preserve">The </w:t>
      </w:r>
      <w:r w:rsidR="00AC4F7F">
        <w:t xml:space="preserve">current </w:t>
      </w:r>
      <w:r w:rsidR="005C728D">
        <w:t xml:space="preserve">cohort of TPREP grantees </w:t>
      </w:r>
      <w:r w:rsidR="00AC4F7F">
        <w:t>received</w:t>
      </w:r>
      <w:r w:rsidR="005C728D">
        <w:t xml:space="preserve"> fund</w:t>
      </w:r>
      <w:r w:rsidR="00AC4F7F">
        <w:t>ing</w:t>
      </w:r>
      <w:r w:rsidR="005C728D">
        <w:t xml:space="preserve"> in September</w:t>
      </w:r>
      <w:r w:rsidR="00876EB1">
        <w:t xml:space="preserve"> 2016</w:t>
      </w:r>
      <w:r w:rsidR="00675299">
        <w:t xml:space="preserve"> for five year grant periods (pending continued funding of PREP)</w:t>
      </w:r>
      <w:r w:rsidR="005C728D">
        <w:t>.</w:t>
      </w:r>
    </w:p>
    <w:p w14:paraId="7ED1DCCB" w14:textId="77777777" w:rsidR="00CC67BA" w:rsidRDefault="00CC67BA" w:rsidP="00BD03D2">
      <w:pPr>
        <w:ind w:left="360"/>
      </w:pPr>
    </w:p>
    <w:p w14:paraId="54105E8B" w14:textId="0ABBA97A" w:rsidR="000273F1" w:rsidRDefault="0094174E" w:rsidP="00BD03D2">
      <w:pPr>
        <w:ind w:left="360"/>
      </w:pPr>
      <w:r>
        <w:t xml:space="preserve">Pending funding, we may also collect local evaluation information from </w:t>
      </w:r>
      <w:r w:rsidR="00977BC9">
        <w:t>state PREP grantees</w:t>
      </w:r>
      <w:r w:rsidR="00AC3C52">
        <w:t>. If funded, program templates will be revised to make them applicable to these grantees.</w:t>
      </w:r>
      <w:r w:rsidR="00B324A3">
        <w:t xml:space="preserve"> The revised templates will be submitted to OMB for review. If the revisions are minimal and/or not substantive they will be submitted as a nonsubstantive change. </w:t>
      </w:r>
    </w:p>
    <w:p w14:paraId="77133385" w14:textId="77777777" w:rsidR="00977BC9" w:rsidRDefault="00977BC9" w:rsidP="00BD03D2">
      <w:pPr>
        <w:ind w:left="360"/>
      </w:pPr>
    </w:p>
    <w:p w14:paraId="49C94C0B" w14:textId="32965ED8" w:rsidR="00D21EFB" w:rsidRDefault="00AF57BF" w:rsidP="008A4F01">
      <w:pPr>
        <w:pStyle w:val="ListParagraph"/>
        <w:ind w:left="360"/>
      </w:pPr>
      <w:r>
        <w:t xml:space="preserve">State PREP </w:t>
      </w:r>
      <w:r w:rsidR="00977BC9">
        <w:t>provide</w:t>
      </w:r>
      <w:r w:rsidR="008A4F01">
        <w:t>s</w:t>
      </w:r>
      <w:r w:rsidR="00977BC9">
        <w:t xml:space="preserve"> funding to state agencies</w:t>
      </w:r>
      <w:r>
        <w:t xml:space="preserve"> and local organizations, respectively,</w:t>
      </w:r>
      <w:r w:rsidR="00977BC9">
        <w:t xml:space="preserve"> to educate youth on both abstinence and contraception to prevent</w:t>
      </w:r>
      <w:r w:rsidR="00D21EFB">
        <w:t xml:space="preserve"> teen</w:t>
      </w:r>
      <w:r w:rsidR="00977BC9">
        <w:t xml:space="preserve"> </w:t>
      </w:r>
      <w:r w:rsidR="00D21EFB">
        <w:t xml:space="preserve">pregnancy and STIs. Grantees are encouraged to replicate evidence-based programs identified by the HHS Teen Pregnancy Prevention Evidence Review and are required to educate youth on at least three adulthood preparation subjects, for example healthy relationships, financial literacy, or healthy life skills. State PREP </w:t>
      </w:r>
      <w:r w:rsidR="00AC3C52">
        <w:t>targets</w:t>
      </w:r>
      <w:r w:rsidR="00D21EFB">
        <w:t xml:space="preserve"> programming to high-risk populations, for example youth in foster care, minority youth, or pregnant and parenting teens.</w:t>
      </w:r>
      <w:r>
        <w:t xml:space="preserve"> </w:t>
      </w:r>
    </w:p>
    <w:p w14:paraId="1307CBA6" w14:textId="77777777" w:rsidR="0094174E" w:rsidRDefault="0094174E" w:rsidP="00BD03D2">
      <w:pPr>
        <w:ind w:left="360"/>
      </w:pPr>
    </w:p>
    <w:p w14:paraId="2D1C47EB" w14:textId="52CFE7E0" w:rsidR="00F90E35" w:rsidRDefault="00F90E35" w:rsidP="00BD03D2">
      <w:pPr>
        <w:ind w:left="360"/>
      </w:pPr>
      <w:r>
        <w:t xml:space="preserve">PREP grantees are expected to focus programming on those at risk of pregnancy </w:t>
      </w:r>
      <w:r w:rsidR="000C5448">
        <w:t>and other negative sexual health outcomes. There are some populations of youth for which no evidence-based curricula exist</w:t>
      </w:r>
      <w:r w:rsidR="00737793">
        <w:t xml:space="preserve">, or who are otherwise underserved by existing </w:t>
      </w:r>
      <w:r w:rsidR="0096550B">
        <w:t>abstinence and contraception programming</w:t>
      </w:r>
      <w:r w:rsidR="000C5448">
        <w:t xml:space="preserve">. </w:t>
      </w:r>
      <w:r w:rsidR="000C5448" w:rsidRPr="007969B8">
        <w:rPr>
          <w:b/>
        </w:rPr>
        <w:t xml:space="preserve">For the </w:t>
      </w:r>
      <w:r w:rsidR="000C5448">
        <w:rPr>
          <w:b/>
        </w:rPr>
        <w:t xml:space="preserve">second </w:t>
      </w:r>
      <w:r w:rsidR="000C5448" w:rsidRPr="007969B8">
        <w:rPr>
          <w:b/>
        </w:rPr>
        <w:t xml:space="preserve">component of this ICR, the study team will </w:t>
      </w:r>
      <w:r w:rsidR="000C5448">
        <w:rPr>
          <w:b/>
        </w:rPr>
        <w:t xml:space="preserve">interview and hold focus groups with </w:t>
      </w:r>
      <w:r w:rsidR="000C5448" w:rsidRPr="007969B8">
        <w:rPr>
          <w:b/>
        </w:rPr>
        <w:t xml:space="preserve">youth </w:t>
      </w:r>
      <w:r w:rsidR="000C5448">
        <w:rPr>
          <w:b/>
        </w:rPr>
        <w:t xml:space="preserve">from populations of youth that </w:t>
      </w:r>
      <w:r w:rsidR="00D70F32">
        <w:rPr>
          <w:b/>
        </w:rPr>
        <w:t xml:space="preserve">either </w:t>
      </w:r>
      <w:r w:rsidR="000C5448">
        <w:rPr>
          <w:b/>
        </w:rPr>
        <w:t>have no evidence-based curricula</w:t>
      </w:r>
      <w:r w:rsidR="00C129C5">
        <w:rPr>
          <w:b/>
        </w:rPr>
        <w:t xml:space="preserve"> or are underserved by current </w:t>
      </w:r>
      <w:r w:rsidR="00D70F32">
        <w:rPr>
          <w:b/>
        </w:rPr>
        <w:t>curricula</w:t>
      </w:r>
      <w:r w:rsidR="000C5448">
        <w:rPr>
          <w:b/>
        </w:rPr>
        <w:t xml:space="preserve">, </w:t>
      </w:r>
      <w:r w:rsidR="000C5448" w:rsidRPr="007969B8">
        <w:rPr>
          <w:b/>
        </w:rPr>
        <w:t>to inform curriculum development</w:t>
      </w:r>
      <w:r w:rsidR="000C5448">
        <w:rPr>
          <w:b/>
        </w:rPr>
        <w:t>.</w:t>
      </w:r>
      <w:r w:rsidR="000C5448" w:rsidRPr="007969B8">
        <w:rPr>
          <w:b/>
        </w:rPr>
        <w:t xml:space="preserve"> </w:t>
      </w:r>
    </w:p>
    <w:p w14:paraId="30FFC715" w14:textId="77777777" w:rsidR="00702E09" w:rsidRDefault="00702E09" w:rsidP="00BD03D2">
      <w:pPr>
        <w:ind w:left="360"/>
      </w:pPr>
    </w:p>
    <w:p w14:paraId="5F8539C2" w14:textId="77777777" w:rsidR="00984CA2" w:rsidRPr="00177982" w:rsidRDefault="00984CA2" w:rsidP="002338AC">
      <w:pPr>
        <w:pStyle w:val="Heading4"/>
        <w:numPr>
          <w:ilvl w:val="3"/>
          <w:numId w:val="0"/>
        </w:numPr>
        <w:tabs>
          <w:tab w:val="num" w:pos="180"/>
        </w:tabs>
        <w:spacing w:before="60" w:line="264" w:lineRule="auto"/>
        <w:ind w:left="180"/>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14:paraId="1505AC1C" w14:textId="77777777" w:rsidR="00C55460" w:rsidRDefault="00EB273B" w:rsidP="00C55460">
      <w:pPr>
        <w:autoSpaceDE w:val="0"/>
        <w:autoSpaceDN w:val="0"/>
        <w:adjustRightInd w:val="0"/>
        <w:ind w:left="360"/>
        <w:rPr>
          <w:iCs/>
        </w:rPr>
      </w:pPr>
      <w:r>
        <w:t xml:space="preserve">Section 215 of the </w:t>
      </w:r>
      <w:r w:rsidRPr="0007058E">
        <w:rPr>
          <w:rFonts w:cs="Arial"/>
          <w:lang w:val="en"/>
        </w:rPr>
        <w:t>Medicare Access and CHIP Reauthorization Act of 2015</w:t>
      </w:r>
      <w:r w:rsidRPr="0007058E">
        <w:rPr>
          <w:rFonts w:cs="Arial"/>
          <w:color w:val="333333"/>
          <w:lang w:val="en"/>
        </w:rPr>
        <w:t xml:space="preserve"> extends </w:t>
      </w:r>
      <w:r>
        <w:rPr>
          <w:rFonts w:cs="Arial"/>
          <w:color w:val="333333"/>
          <w:lang w:val="en"/>
        </w:rPr>
        <w:t xml:space="preserve">funding </w:t>
      </w:r>
      <w:r w:rsidRPr="0007058E">
        <w:rPr>
          <w:rFonts w:cs="Arial"/>
          <w:color w:val="333333"/>
          <w:lang w:val="en"/>
        </w:rPr>
        <w:t xml:space="preserve">through FY2017 </w:t>
      </w:r>
      <w:r>
        <w:rPr>
          <w:rFonts w:cs="Arial"/>
          <w:color w:val="333333"/>
          <w:lang w:val="en"/>
        </w:rPr>
        <w:t xml:space="preserve">for PREP </w:t>
      </w:r>
      <w:r w:rsidRPr="0007058E">
        <w:rPr>
          <w:rFonts w:cs="Arial"/>
          <w:color w:val="333333"/>
          <w:lang w:val="en"/>
        </w:rPr>
        <w:t>formula grants to states</w:t>
      </w:r>
      <w:r>
        <w:rPr>
          <w:rFonts w:cs="Arial"/>
          <w:color w:val="333333"/>
          <w:lang w:val="en"/>
        </w:rPr>
        <w:t xml:space="preserve">. </w:t>
      </w:r>
      <w:r w:rsidRPr="00726759">
        <w:rPr>
          <w:iCs/>
        </w:rPr>
        <w:t xml:space="preserve">The legislation mandates the Secretary </w:t>
      </w:r>
      <w:r w:rsidR="00962614">
        <w:rPr>
          <w:iCs/>
        </w:rPr>
        <w:t xml:space="preserve">to </w:t>
      </w:r>
      <w:r w:rsidRPr="00726759">
        <w:rPr>
          <w:iCs/>
        </w:rPr>
        <w:t xml:space="preserve">evaluate the programs and activities carried out with funds made available through PREP. To meet this requirement, </w:t>
      </w:r>
      <w:r w:rsidRPr="00726759">
        <w:rPr>
          <w:rFonts w:cs="Garamond"/>
        </w:rPr>
        <w:t xml:space="preserve">FYSB and OPRE within ACF </w:t>
      </w:r>
      <w:r w:rsidRPr="00726759">
        <w:rPr>
          <w:iCs/>
        </w:rPr>
        <w:t xml:space="preserve">contracted with Mathematica Policy Research to </w:t>
      </w:r>
      <w:r w:rsidR="00C55460">
        <w:rPr>
          <w:iCs/>
        </w:rPr>
        <w:t xml:space="preserve">conduct the PREP: Promising Youth Programs (PYP) project. The project: </w:t>
      </w:r>
    </w:p>
    <w:p w14:paraId="15A85F7A" w14:textId="77777777" w:rsidR="00C55460" w:rsidRDefault="00E804C6" w:rsidP="008F5ADF">
      <w:pPr>
        <w:numPr>
          <w:ilvl w:val="0"/>
          <w:numId w:val="33"/>
        </w:numPr>
        <w:autoSpaceDE w:val="0"/>
        <w:autoSpaceDN w:val="0"/>
        <w:adjustRightInd w:val="0"/>
        <w:rPr>
          <w:iCs/>
        </w:rPr>
      </w:pPr>
      <w:r>
        <w:rPr>
          <w:iCs/>
        </w:rPr>
        <w:t>provide</w:t>
      </w:r>
      <w:r w:rsidR="00C55460">
        <w:rPr>
          <w:iCs/>
        </w:rPr>
        <w:t>s</w:t>
      </w:r>
      <w:r>
        <w:rPr>
          <w:iCs/>
        </w:rPr>
        <w:t xml:space="preserve"> support to a subset of grantees who are conducting </w:t>
      </w:r>
      <w:r w:rsidR="00EB273B">
        <w:rPr>
          <w:iCs/>
        </w:rPr>
        <w:t>local evaluation</w:t>
      </w:r>
      <w:r w:rsidR="00F7456D">
        <w:rPr>
          <w:iCs/>
        </w:rPr>
        <w:t xml:space="preserve">s </w:t>
      </w:r>
      <w:r w:rsidR="001172BB">
        <w:rPr>
          <w:iCs/>
        </w:rPr>
        <w:t>to ensure the studies are designed and implemented with rigor</w:t>
      </w:r>
      <w:r w:rsidR="00C55460">
        <w:rPr>
          <w:iCs/>
        </w:rPr>
        <w:t>; and</w:t>
      </w:r>
      <w:r>
        <w:rPr>
          <w:iCs/>
        </w:rPr>
        <w:t xml:space="preserve"> </w:t>
      </w:r>
    </w:p>
    <w:p w14:paraId="776392B9" w14:textId="77777777" w:rsidR="00EB273B" w:rsidRDefault="00E804C6" w:rsidP="008F5ADF">
      <w:pPr>
        <w:numPr>
          <w:ilvl w:val="0"/>
          <w:numId w:val="33"/>
        </w:numPr>
        <w:autoSpaceDE w:val="0"/>
        <w:autoSpaceDN w:val="0"/>
        <w:adjustRightInd w:val="0"/>
        <w:rPr>
          <w:iCs/>
        </w:rPr>
      </w:pPr>
      <w:r>
        <w:rPr>
          <w:iCs/>
        </w:rPr>
        <w:t>support</w:t>
      </w:r>
      <w:r w:rsidR="00C55460">
        <w:rPr>
          <w:iCs/>
        </w:rPr>
        <w:t>s</w:t>
      </w:r>
      <w:r>
        <w:rPr>
          <w:iCs/>
        </w:rPr>
        <w:t xml:space="preserve"> </w:t>
      </w:r>
      <w:r w:rsidR="00737793">
        <w:rPr>
          <w:iCs/>
        </w:rPr>
        <w:t xml:space="preserve">development </w:t>
      </w:r>
      <w:r w:rsidR="001172BB">
        <w:rPr>
          <w:iCs/>
        </w:rPr>
        <w:t>of</w:t>
      </w:r>
      <w:r>
        <w:rPr>
          <w:iCs/>
        </w:rPr>
        <w:t xml:space="preserve"> curricula </w:t>
      </w:r>
      <w:r w:rsidR="001172BB">
        <w:rPr>
          <w:iCs/>
        </w:rPr>
        <w:t>to make them more effective for and accessible to</w:t>
      </w:r>
      <w:r>
        <w:rPr>
          <w:iCs/>
        </w:rPr>
        <w:t xml:space="preserve"> underserved youth populations</w:t>
      </w:r>
      <w:r w:rsidR="00F7456D">
        <w:rPr>
          <w:iCs/>
        </w:rPr>
        <w:t>.</w:t>
      </w:r>
    </w:p>
    <w:p w14:paraId="4200C761" w14:textId="77777777" w:rsidR="00B13724" w:rsidRDefault="00B13724" w:rsidP="00B76F42">
      <w:pPr>
        <w:autoSpaceDE w:val="0"/>
        <w:autoSpaceDN w:val="0"/>
        <w:adjustRightInd w:val="0"/>
        <w:ind w:left="360"/>
        <w:rPr>
          <w:iCs/>
        </w:rPr>
      </w:pPr>
    </w:p>
    <w:p w14:paraId="32EDBDF7" w14:textId="77777777" w:rsidR="00945CD6" w:rsidRPr="0072204D" w:rsidRDefault="00292B70" w:rsidP="00292B70">
      <w:pPr>
        <w:rPr>
          <w:b/>
        </w:rPr>
      </w:pPr>
      <w:r>
        <w:rPr>
          <w:b/>
        </w:rPr>
        <w:t xml:space="preserve">A2. </w:t>
      </w:r>
      <w:r w:rsidR="00945CD6" w:rsidRPr="0072204D">
        <w:rPr>
          <w:b/>
        </w:rPr>
        <w:t>Purpose of Survey and Data Collection Procedures</w:t>
      </w:r>
    </w:p>
    <w:p w14:paraId="0E799941" w14:textId="77777777" w:rsidR="00FA220C" w:rsidRDefault="00FA220C" w:rsidP="002338AC">
      <w:pPr>
        <w:ind w:left="180"/>
        <w:rPr>
          <w:b/>
          <w:i/>
        </w:rPr>
      </w:pPr>
    </w:p>
    <w:p w14:paraId="659D6B85" w14:textId="77777777" w:rsidR="00984CA2" w:rsidRPr="00177982" w:rsidRDefault="00984CA2" w:rsidP="002338AC">
      <w:pPr>
        <w:ind w:left="180"/>
        <w:rPr>
          <w:b/>
          <w:i/>
        </w:rPr>
      </w:pPr>
      <w:r w:rsidRPr="00177982">
        <w:rPr>
          <w:b/>
          <w:i/>
        </w:rPr>
        <w:t>Overview of Purpose and Approach</w:t>
      </w:r>
    </w:p>
    <w:p w14:paraId="6332AF65" w14:textId="4DC13FE3" w:rsidR="005312C9" w:rsidRDefault="00DC2132" w:rsidP="00535BD8">
      <w:pPr>
        <w:autoSpaceDE w:val="0"/>
        <w:autoSpaceDN w:val="0"/>
        <w:adjustRightInd w:val="0"/>
        <w:ind w:left="360"/>
      </w:pPr>
      <w:r>
        <w:t>O</w:t>
      </w:r>
      <w:r w:rsidR="00C95403">
        <w:t>ne of the broad objective</w:t>
      </w:r>
      <w:r w:rsidR="000273F1">
        <w:t>s</w:t>
      </w:r>
      <w:r w:rsidR="00C95403">
        <w:t xml:space="preserve"> of the PYP project is</w:t>
      </w:r>
      <w:r w:rsidR="00EB273B">
        <w:t xml:space="preserve"> to</w:t>
      </w:r>
      <w:r w:rsidR="00C95403">
        <w:t xml:space="preserve"> p</w:t>
      </w:r>
      <w:r w:rsidR="00C95403" w:rsidRPr="00C95403">
        <w:t xml:space="preserve">rovide </w:t>
      </w:r>
      <w:r w:rsidR="000273F1">
        <w:t xml:space="preserve">evaluation support to </w:t>
      </w:r>
      <w:r w:rsidR="00381D79">
        <w:t xml:space="preserve">grantees and their </w:t>
      </w:r>
      <w:r w:rsidR="000273F1">
        <w:t>local evaluators</w:t>
      </w:r>
      <w:r w:rsidR="00C95403" w:rsidRPr="00C95403">
        <w:t>.</w:t>
      </w:r>
      <w:r w:rsidR="00C95403">
        <w:t xml:space="preserve"> </w:t>
      </w:r>
      <w:r w:rsidR="00D45F5A">
        <w:t xml:space="preserve">One </w:t>
      </w:r>
      <w:r w:rsidR="00C95403">
        <w:t xml:space="preserve">purpose of the information collection instruments submitted through this request </w:t>
      </w:r>
      <w:r w:rsidR="001D76F0">
        <w:t>is</w:t>
      </w:r>
      <w:r w:rsidR="00C95403">
        <w:t xml:space="preserve"> to help the federal government and contract</w:t>
      </w:r>
      <w:r w:rsidR="00A8611C">
        <w:t>or</w:t>
      </w:r>
      <w:r w:rsidR="00C95403">
        <w:t xml:space="preserve"> staff</w:t>
      </w:r>
      <w:r w:rsidR="00E272D2">
        <w:t xml:space="preserve"> </w:t>
      </w:r>
      <w:r w:rsidR="00E272D2" w:rsidRPr="00E272D2">
        <w:t>provide evaluation technical assistance</w:t>
      </w:r>
      <w:r w:rsidR="00E272D2">
        <w:t xml:space="preserve"> </w:t>
      </w:r>
      <w:r w:rsidR="00381D79">
        <w:t xml:space="preserve">by providing </w:t>
      </w:r>
      <w:r w:rsidR="005710E1">
        <w:t>the grantee</w:t>
      </w:r>
      <w:r w:rsidR="00E804C6">
        <w:t>s</w:t>
      </w:r>
      <w:r w:rsidR="005710E1">
        <w:t xml:space="preserve"> feedback</w:t>
      </w:r>
      <w:r w:rsidR="00381D79">
        <w:t xml:space="preserve"> on their evaluation’s </w:t>
      </w:r>
      <w:r w:rsidR="00C95403">
        <w:t xml:space="preserve">progress. </w:t>
      </w:r>
      <w:r w:rsidR="00EB273B">
        <w:t xml:space="preserve">This will help to ensure that </w:t>
      </w:r>
      <w:r w:rsidR="005312C9">
        <w:t xml:space="preserve">grantees plan for and conduct high-quality evaluations designed to meet ACF’s evaluation standards and </w:t>
      </w:r>
      <w:r w:rsidR="005312C9" w:rsidRPr="005312C9">
        <w:t xml:space="preserve">the HHS Teen Pregnancy Prevention </w:t>
      </w:r>
      <w:r w:rsidR="00C55460">
        <w:t xml:space="preserve">Evidence Review </w:t>
      </w:r>
      <w:r w:rsidR="00B13724">
        <w:t>s</w:t>
      </w:r>
      <w:r w:rsidR="005312C9" w:rsidRPr="005312C9">
        <w:t>tandards.</w:t>
      </w:r>
      <w:r w:rsidR="005312C9" w:rsidRPr="005312C9">
        <w:rPr>
          <w:vertAlign w:val="superscript"/>
        </w:rPr>
        <w:footnoteReference w:id="2"/>
      </w:r>
      <w:r w:rsidR="00096BAA">
        <w:t xml:space="preserve"> </w:t>
      </w:r>
    </w:p>
    <w:p w14:paraId="2A7FACFB" w14:textId="77777777" w:rsidR="005312C9" w:rsidRDefault="005312C9" w:rsidP="00535BD8">
      <w:pPr>
        <w:autoSpaceDE w:val="0"/>
        <w:autoSpaceDN w:val="0"/>
        <w:adjustRightInd w:val="0"/>
        <w:ind w:left="360"/>
      </w:pPr>
    </w:p>
    <w:p w14:paraId="7F1BD340" w14:textId="77777777" w:rsidR="00535BD8" w:rsidRDefault="006A5123" w:rsidP="00535BD8">
      <w:pPr>
        <w:autoSpaceDE w:val="0"/>
        <w:autoSpaceDN w:val="0"/>
        <w:adjustRightInd w:val="0"/>
        <w:ind w:left="360"/>
      </w:pPr>
      <w:r>
        <w:t xml:space="preserve">The project also </w:t>
      </w:r>
      <w:r w:rsidR="00535BD8" w:rsidRPr="00535BD8">
        <w:t>aims to develop curricula for underserved youth to address sexual health and other PREP-related priorities</w:t>
      </w:r>
      <w:r w:rsidR="00E81C27">
        <w:t xml:space="preserve">. </w:t>
      </w:r>
      <w:r w:rsidR="009F094A">
        <w:t>To inform the development of curricula</w:t>
      </w:r>
      <w:r w:rsidR="00E81C27">
        <w:t xml:space="preserve"> appropriate</w:t>
      </w:r>
      <w:r w:rsidR="00535BD8">
        <w:t xml:space="preserve"> for the selected target </w:t>
      </w:r>
      <w:r w:rsidR="00146192">
        <w:t>population</w:t>
      </w:r>
      <w:r w:rsidR="00E804C6">
        <w:t>s</w:t>
      </w:r>
      <w:r w:rsidR="00535BD8">
        <w:t>, the project team wi</w:t>
      </w:r>
      <w:r w:rsidR="00414B67">
        <w:t xml:space="preserve">ll </w:t>
      </w:r>
      <w:r w:rsidR="009F094A">
        <w:t>collect</w:t>
      </w:r>
      <w:r w:rsidR="00535BD8">
        <w:t xml:space="preserve"> </w:t>
      </w:r>
      <w:r w:rsidR="00146192">
        <w:t>information</w:t>
      </w:r>
      <w:r w:rsidR="00535BD8">
        <w:t xml:space="preserve"> from </w:t>
      </w:r>
      <w:r w:rsidR="009F094A">
        <w:t xml:space="preserve">members of the target populations </w:t>
      </w:r>
      <w:r w:rsidR="00535BD8">
        <w:t xml:space="preserve">to </w:t>
      </w:r>
      <w:r w:rsidR="009F094A">
        <w:t>better understand their specific circumstances, needs, and preferences regarding sexual health education</w:t>
      </w:r>
      <w:r w:rsidR="00535BD8">
        <w:t xml:space="preserve">. </w:t>
      </w:r>
    </w:p>
    <w:p w14:paraId="698435AF" w14:textId="77777777" w:rsidR="002338AC" w:rsidRPr="00535BD8" w:rsidRDefault="002338AC" w:rsidP="002338AC">
      <w:pPr>
        <w:ind w:left="180"/>
      </w:pPr>
    </w:p>
    <w:p w14:paraId="100C6919" w14:textId="77777777" w:rsidR="00984CA2" w:rsidRPr="00177982" w:rsidRDefault="00984CA2" w:rsidP="002338AC">
      <w:pPr>
        <w:ind w:left="180"/>
        <w:rPr>
          <w:b/>
          <w:i/>
        </w:rPr>
      </w:pPr>
      <w:r>
        <w:rPr>
          <w:b/>
          <w:i/>
        </w:rPr>
        <w:t>Universe of Data Collection Efforts</w:t>
      </w:r>
    </w:p>
    <w:p w14:paraId="4728947C" w14:textId="39D31E40" w:rsidR="00984CA2" w:rsidRDefault="000D4152" w:rsidP="00BD03D2">
      <w:pPr>
        <w:ind w:left="360"/>
      </w:pPr>
      <w:r w:rsidRPr="008F5ADF">
        <w:rPr>
          <w:b/>
        </w:rPr>
        <w:t>Local evaluation information</w:t>
      </w:r>
      <w:r>
        <w:t xml:space="preserve">. </w:t>
      </w:r>
      <w:r w:rsidR="00FE5CF3">
        <w:t xml:space="preserve">The information collected by the contractor </w:t>
      </w:r>
      <w:r w:rsidR="00096BAA">
        <w:t xml:space="preserve">for the </w:t>
      </w:r>
      <w:r w:rsidR="00DA1C98">
        <w:t xml:space="preserve">local evaluation component of this ICR </w:t>
      </w:r>
      <w:r w:rsidR="00FE5CF3">
        <w:t>will help monitor the evaluation</w:t>
      </w:r>
      <w:r w:rsidR="00980C96">
        <w:t>s and</w:t>
      </w:r>
      <w:r w:rsidR="00FE5CF3">
        <w:t xml:space="preserve"> </w:t>
      </w:r>
      <w:r w:rsidR="00E272D2">
        <w:t>provide evaluation technical assistance</w:t>
      </w:r>
      <w:r w:rsidR="00FE5CF3">
        <w:t>.</w:t>
      </w:r>
      <w:r w:rsidR="00E272D2">
        <w:t xml:space="preserve"> </w:t>
      </w:r>
      <w:r w:rsidR="00B311B2">
        <w:t>The study team</w:t>
      </w:r>
      <w:r w:rsidR="001F0564" w:rsidRPr="001F0564">
        <w:t xml:space="preserve"> will provide support </w:t>
      </w:r>
      <w:r w:rsidR="008C28F6">
        <w:t>to</w:t>
      </w:r>
      <w:r w:rsidR="001F0564" w:rsidRPr="001F0564">
        <w:t xml:space="preserve"> up to 16</w:t>
      </w:r>
      <w:r w:rsidR="00390AD3">
        <w:t xml:space="preserve"> local evaluations with an</w:t>
      </w:r>
      <w:r w:rsidR="001F0564" w:rsidRPr="001F0564">
        <w:t xml:space="preserve"> impact </w:t>
      </w:r>
      <w:r w:rsidR="00390AD3">
        <w:t xml:space="preserve">design, </w:t>
      </w:r>
      <w:r w:rsidR="001F0564" w:rsidRPr="001F0564">
        <w:t xml:space="preserve">and 13 </w:t>
      </w:r>
      <w:r w:rsidR="00390AD3">
        <w:t xml:space="preserve">local evaluations with a </w:t>
      </w:r>
      <w:r w:rsidR="001F0564" w:rsidRPr="001F0564">
        <w:t xml:space="preserve">descriptive </w:t>
      </w:r>
      <w:r w:rsidR="00390AD3">
        <w:t>design</w:t>
      </w:r>
      <w:r w:rsidR="001F0564" w:rsidRPr="001F0564">
        <w:t xml:space="preserve">. </w:t>
      </w:r>
      <w:r w:rsidR="00FE5CF3">
        <w:t xml:space="preserve">To achieve this, </w:t>
      </w:r>
      <w:r w:rsidR="00B311B2">
        <w:t xml:space="preserve">the study team </w:t>
      </w:r>
      <w:r w:rsidR="00FE5CF3">
        <w:t>propose</w:t>
      </w:r>
      <w:r w:rsidR="00B311B2">
        <w:t>s to collect</w:t>
      </w:r>
      <w:r w:rsidR="00FE5CF3">
        <w:t xml:space="preserve"> information from grantees, </w:t>
      </w:r>
      <w:r w:rsidR="002F1525">
        <w:t xml:space="preserve">which will </w:t>
      </w:r>
      <w:r w:rsidR="001F0564">
        <w:t xml:space="preserve">differ </w:t>
      </w:r>
      <w:r w:rsidR="008C28F6">
        <w:t>by</w:t>
      </w:r>
      <w:r w:rsidR="00FE5CF3">
        <w:t xml:space="preserve"> the </w:t>
      </w:r>
      <w:r w:rsidR="00980C96">
        <w:t xml:space="preserve">proposed </w:t>
      </w:r>
      <w:r w:rsidR="00FE5CF3">
        <w:t>design. Table A</w:t>
      </w:r>
      <w:r w:rsidR="00484CB4">
        <w:t>2</w:t>
      </w:r>
      <w:r w:rsidR="00FE5CF3">
        <w:t>.</w:t>
      </w:r>
      <w:r w:rsidR="004F4B68">
        <w:t>1</w:t>
      </w:r>
      <w:r w:rsidR="00FE5CF3">
        <w:t xml:space="preserve"> shows which grantees will complete each </w:t>
      </w:r>
      <w:r w:rsidR="001F0564">
        <w:t>instrument</w:t>
      </w:r>
      <w:r w:rsidR="00893890">
        <w:t>, based on the evaluation design proposed</w:t>
      </w:r>
      <w:r w:rsidR="00FE5CF3">
        <w:t>.</w:t>
      </w:r>
      <w:r w:rsidR="0036326E">
        <w:t xml:space="preserve"> </w:t>
      </w:r>
    </w:p>
    <w:p w14:paraId="7AD53FEC" w14:textId="557BCE72" w:rsidR="00154D5D" w:rsidRDefault="00154D5D">
      <w:r>
        <w:br w:type="page"/>
      </w:r>
    </w:p>
    <w:p w14:paraId="09ABDE95" w14:textId="77777777" w:rsidR="00FE5CF3" w:rsidRDefault="00FE5CF3" w:rsidP="00BD03D2">
      <w:pPr>
        <w:ind w:left="360"/>
      </w:pPr>
    </w:p>
    <w:p w14:paraId="620229A2" w14:textId="77777777" w:rsidR="00972C5F" w:rsidRPr="00BD03D2" w:rsidRDefault="00972C5F" w:rsidP="00BD03D2">
      <w:pPr>
        <w:ind w:left="360"/>
        <w:rPr>
          <w:b/>
        </w:rPr>
      </w:pPr>
      <w:r w:rsidRPr="00BD03D2">
        <w:rPr>
          <w:b/>
        </w:rPr>
        <w:t>Table A</w:t>
      </w:r>
      <w:r w:rsidR="00736E6C" w:rsidRPr="00BD03D2">
        <w:rPr>
          <w:b/>
        </w:rPr>
        <w:t>2</w:t>
      </w:r>
      <w:r w:rsidRPr="00BD03D2">
        <w:rPr>
          <w:b/>
        </w:rPr>
        <w:t>.</w:t>
      </w:r>
      <w:r w:rsidR="004F4B68" w:rsidRPr="00BD03D2">
        <w:rPr>
          <w:b/>
        </w:rPr>
        <w:t>1</w:t>
      </w:r>
      <w:r w:rsidRPr="00BD03D2">
        <w:rPr>
          <w:b/>
        </w:rPr>
        <w:t xml:space="preserve"> </w:t>
      </w:r>
      <w:r w:rsidR="00390AD3">
        <w:rPr>
          <w:b/>
        </w:rPr>
        <w:t xml:space="preserve">Data Collection </w:t>
      </w:r>
      <w:r w:rsidR="006204BB">
        <w:rPr>
          <w:b/>
        </w:rPr>
        <w:t>Instruments</w:t>
      </w:r>
      <w:r w:rsidR="00390AD3">
        <w:rPr>
          <w:b/>
        </w:rPr>
        <w:t>,</w:t>
      </w:r>
      <w:r w:rsidR="006204BB" w:rsidRPr="00BD03D2">
        <w:rPr>
          <w:b/>
        </w:rPr>
        <w:t xml:space="preserve"> </w:t>
      </w:r>
      <w:r w:rsidR="00893890" w:rsidRPr="00BD03D2">
        <w:rPr>
          <w:b/>
        </w:rPr>
        <w:t xml:space="preserve">by </w:t>
      </w:r>
      <w:r w:rsidR="00390AD3">
        <w:rPr>
          <w:b/>
        </w:rPr>
        <w:t xml:space="preserve">Grantees’ </w:t>
      </w:r>
      <w:r w:rsidR="00893890" w:rsidRPr="00BD03D2">
        <w:rPr>
          <w:b/>
        </w:rPr>
        <w:t>Proposed Evaluation Design</w:t>
      </w:r>
    </w:p>
    <w:tbl>
      <w:tblPr>
        <w:tblW w:w="94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2520"/>
        <w:gridCol w:w="2430"/>
      </w:tblGrid>
      <w:tr w:rsidR="0034768A" w14:paraId="14E63EE1" w14:textId="77777777" w:rsidTr="008F5ADF">
        <w:trPr>
          <w:trHeight w:val="323"/>
        </w:trPr>
        <w:tc>
          <w:tcPr>
            <w:tcW w:w="4518" w:type="dxa"/>
            <w:shd w:val="clear" w:color="auto" w:fill="BFBFBF"/>
          </w:tcPr>
          <w:p w14:paraId="08041115" w14:textId="77777777" w:rsidR="00972C5F" w:rsidRPr="0034768A" w:rsidRDefault="007C5DC8" w:rsidP="0034768A">
            <w:pPr>
              <w:jc w:val="center"/>
              <w:rPr>
                <w:b/>
              </w:rPr>
            </w:pPr>
            <w:r>
              <w:rPr>
                <w:b/>
              </w:rPr>
              <w:t xml:space="preserve">Instrument </w:t>
            </w:r>
          </w:p>
        </w:tc>
        <w:tc>
          <w:tcPr>
            <w:tcW w:w="2520" w:type="dxa"/>
            <w:shd w:val="clear" w:color="auto" w:fill="BFBFBF"/>
          </w:tcPr>
          <w:p w14:paraId="1F101551" w14:textId="77777777" w:rsidR="00972C5F" w:rsidRPr="0034768A" w:rsidRDefault="00390AD3" w:rsidP="00390AD3">
            <w:pPr>
              <w:jc w:val="center"/>
              <w:rPr>
                <w:b/>
              </w:rPr>
            </w:pPr>
            <w:r>
              <w:rPr>
                <w:b/>
              </w:rPr>
              <w:t>Grantees conducting local evaluations with an i</w:t>
            </w:r>
            <w:r w:rsidR="00972C5F" w:rsidRPr="0034768A">
              <w:rPr>
                <w:b/>
              </w:rPr>
              <w:t xml:space="preserve">mpact </w:t>
            </w:r>
            <w:r>
              <w:rPr>
                <w:b/>
              </w:rPr>
              <w:t>design</w:t>
            </w:r>
          </w:p>
        </w:tc>
        <w:tc>
          <w:tcPr>
            <w:tcW w:w="2430" w:type="dxa"/>
            <w:shd w:val="clear" w:color="auto" w:fill="BFBFBF"/>
          </w:tcPr>
          <w:p w14:paraId="470E913A" w14:textId="77777777" w:rsidR="00972C5F" w:rsidRPr="0034768A" w:rsidRDefault="00390AD3" w:rsidP="00980C96">
            <w:pPr>
              <w:jc w:val="center"/>
              <w:rPr>
                <w:b/>
              </w:rPr>
            </w:pPr>
            <w:r>
              <w:rPr>
                <w:b/>
              </w:rPr>
              <w:t>Grantees conducting local evaluations with a descriptive design</w:t>
            </w:r>
          </w:p>
        </w:tc>
      </w:tr>
      <w:tr w:rsidR="0034768A" w14:paraId="02D4F03E" w14:textId="77777777" w:rsidTr="008F5ADF">
        <w:tc>
          <w:tcPr>
            <w:tcW w:w="4518" w:type="dxa"/>
            <w:shd w:val="clear" w:color="auto" w:fill="auto"/>
          </w:tcPr>
          <w:p w14:paraId="60070B4A" w14:textId="77777777" w:rsidR="00972C5F" w:rsidRDefault="00BB2114" w:rsidP="0034768A">
            <w:r>
              <w:t>Instrument 1</w:t>
            </w:r>
            <w:r w:rsidR="0034768A">
              <w:t xml:space="preserve">: </w:t>
            </w:r>
            <w:r w:rsidR="00972C5F" w:rsidRPr="00972C5F">
              <w:t>Evaluation abstract template</w:t>
            </w:r>
          </w:p>
        </w:tc>
        <w:tc>
          <w:tcPr>
            <w:tcW w:w="2520" w:type="dxa"/>
            <w:shd w:val="clear" w:color="auto" w:fill="auto"/>
            <w:vAlign w:val="center"/>
          </w:tcPr>
          <w:p w14:paraId="0948EFA7" w14:textId="77777777" w:rsidR="00972C5F" w:rsidRDefault="00972C5F" w:rsidP="006B3A37">
            <w:pPr>
              <w:jc w:val="center"/>
            </w:pPr>
            <w:r>
              <w:t>X</w:t>
            </w:r>
          </w:p>
        </w:tc>
        <w:tc>
          <w:tcPr>
            <w:tcW w:w="2430" w:type="dxa"/>
            <w:shd w:val="clear" w:color="auto" w:fill="auto"/>
            <w:vAlign w:val="center"/>
          </w:tcPr>
          <w:p w14:paraId="4E1E7E02" w14:textId="77777777" w:rsidR="00972C5F" w:rsidRDefault="00972C5F" w:rsidP="00980C96">
            <w:pPr>
              <w:jc w:val="center"/>
            </w:pPr>
            <w:r>
              <w:t>X</w:t>
            </w:r>
          </w:p>
        </w:tc>
      </w:tr>
      <w:tr w:rsidR="0034768A" w14:paraId="56337974" w14:textId="77777777" w:rsidTr="008F5ADF">
        <w:tc>
          <w:tcPr>
            <w:tcW w:w="4518" w:type="dxa"/>
            <w:shd w:val="clear" w:color="auto" w:fill="auto"/>
          </w:tcPr>
          <w:p w14:paraId="3E112203" w14:textId="77777777" w:rsidR="00972C5F" w:rsidRDefault="00BB2114" w:rsidP="0034768A">
            <w:r>
              <w:t>Instrument 2</w:t>
            </w:r>
            <w:r w:rsidR="0034768A">
              <w:t xml:space="preserve">: </w:t>
            </w:r>
            <w:r w:rsidR="00972C5F" w:rsidRPr="00972C5F">
              <w:t>CONSORT diagram template</w:t>
            </w:r>
          </w:p>
        </w:tc>
        <w:tc>
          <w:tcPr>
            <w:tcW w:w="2520" w:type="dxa"/>
            <w:shd w:val="clear" w:color="auto" w:fill="auto"/>
            <w:vAlign w:val="center"/>
          </w:tcPr>
          <w:p w14:paraId="32529C5E" w14:textId="77777777" w:rsidR="00972C5F" w:rsidRDefault="00972C5F" w:rsidP="006B3A37">
            <w:pPr>
              <w:jc w:val="center"/>
            </w:pPr>
            <w:r>
              <w:t>X</w:t>
            </w:r>
          </w:p>
        </w:tc>
        <w:tc>
          <w:tcPr>
            <w:tcW w:w="2430" w:type="dxa"/>
            <w:shd w:val="clear" w:color="auto" w:fill="auto"/>
            <w:vAlign w:val="center"/>
          </w:tcPr>
          <w:p w14:paraId="2645935F" w14:textId="77777777" w:rsidR="00972C5F" w:rsidRDefault="00972C5F" w:rsidP="00980C96">
            <w:pPr>
              <w:jc w:val="center"/>
            </w:pPr>
            <w:r>
              <w:t>X</w:t>
            </w:r>
          </w:p>
        </w:tc>
      </w:tr>
      <w:tr w:rsidR="0034768A" w14:paraId="27611BFD" w14:textId="77777777" w:rsidTr="008F5ADF">
        <w:tc>
          <w:tcPr>
            <w:tcW w:w="4518" w:type="dxa"/>
            <w:shd w:val="clear" w:color="auto" w:fill="auto"/>
          </w:tcPr>
          <w:p w14:paraId="0FC73E18" w14:textId="77777777" w:rsidR="00972C5F" w:rsidRDefault="00BB2114" w:rsidP="0034768A">
            <w:r>
              <w:t>Instrument 3</w:t>
            </w:r>
            <w:r w:rsidR="0034768A">
              <w:t xml:space="preserve">: </w:t>
            </w:r>
            <w:r w:rsidR="00972C5F" w:rsidRPr="00972C5F">
              <w:t>Baseline equivalence template</w:t>
            </w:r>
          </w:p>
        </w:tc>
        <w:tc>
          <w:tcPr>
            <w:tcW w:w="2520" w:type="dxa"/>
            <w:shd w:val="clear" w:color="auto" w:fill="auto"/>
            <w:vAlign w:val="center"/>
          </w:tcPr>
          <w:p w14:paraId="69A5E839" w14:textId="77777777" w:rsidR="00972C5F" w:rsidRDefault="00972C5F" w:rsidP="006B3A37">
            <w:pPr>
              <w:jc w:val="center"/>
            </w:pPr>
            <w:r>
              <w:t>X</w:t>
            </w:r>
          </w:p>
        </w:tc>
        <w:tc>
          <w:tcPr>
            <w:tcW w:w="2430" w:type="dxa"/>
            <w:shd w:val="clear" w:color="auto" w:fill="auto"/>
            <w:vAlign w:val="center"/>
          </w:tcPr>
          <w:p w14:paraId="1CCAB3D1" w14:textId="77777777" w:rsidR="00972C5F" w:rsidRDefault="00972C5F" w:rsidP="006B3A37">
            <w:pPr>
              <w:jc w:val="center"/>
            </w:pPr>
          </w:p>
        </w:tc>
      </w:tr>
    </w:tbl>
    <w:p w14:paraId="7F6870E5" w14:textId="77777777" w:rsidR="00B25B37" w:rsidRDefault="00B25B37" w:rsidP="00BD03D2">
      <w:pPr>
        <w:ind w:left="360"/>
      </w:pPr>
    </w:p>
    <w:p w14:paraId="64C00E6E" w14:textId="77777777" w:rsidR="001D55B6" w:rsidRDefault="00E272D2" w:rsidP="00BD03D2">
      <w:pPr>
        <w:ind w:left="360"/>
      </w:pPr>
      <w:r w:rsidRPr="008F5ADF">
        <w:rPr>
          <w:i/>
        </w:rPr>
        <w:t xml:space="preserve">Evaluation abstract </w:t>
      </w:r>
      <w:r w:rsidR="00277298" w:rsidRPr="008F5ADF">
        <w:rPr>
          <w:i/>
        </w:rPr>
        <w:t>(</w:t>
      </w:r>
      <w:r w:rsidR="002F1525" w:rsidRPr="008F5ADF">
        <w:rPr>
          <w:i/>
        </w:rPr>
        <w:t>Instrument 1</w:t>
      </w:r>
      <w:r w:rsidR="00277298" w:rsidRPr="008F5ADF">
        <w:rPr>
          <w:i/>
        </w:rPr>
        <w:t>)</w:t>
      </w:r>
      <w:r w:rsidR="00301C2E" w:rsidRPr="008F5ADF">
        <w:rPr>
          <w:i/>
        </w:rPr>
        <w:t>.</w:t>
      </w:r>
      <w:r w:rsidRPr="00E272D2">
        <w:t xml:space="preserve"> </w:t>
      </w:r>
      <w:r w:rsidR="005B51A7">
        <w:t>All</w:t>
      </w:r>
      <w:r w:rsidR="00301C2E" w:rsidRPr="00301C2E">
        <w:t xml:space="preserve"> grantees</w:t>
      </w:r>
      <w:r w:rsidR="005B51A7">
        <w:t xml:space="preserve"> </w:t>
      </w:r>
      <w:r w:rsidR="0036326E">
        <w:t>receiving technical assistance</w:t>
      </w:r>
      <w:r w:rsidR="00F7456D">
        <w:t xml:space="preserve"> through </w:t>
      </w:r>
      <w:r w:rsidR="009031DC">
        <w:t xml:space="preserve">the </w:t>
      </w:r>
      <w:r w:rsidR="00F7456D">
        <w:t>PYP</w:t>
      </w:r>
      <w:r w:rsidR="0036326E">
        <w:t xml:space="preserve"> </w:t>
      </w:r>
      <w:r w:rsidR="009031DC">
        <w:t xml:space="preserve">project </w:t>
      </w:r>
      <w:r w:rsidR="005B51A7">
        <w:t>will complete t</w:t>
      </w:r>
      <w:r w:rsidR="00301C2E" w:rsidRPr="00301C2E">
        <w:t>he abstract template</w:t>
      </w:r>
      <w:r w:rsidR="00F56E3E">
        <w:t>. The abstract</w:t>
      </w:r>
      <w:r w:rsidR="00301C2E" w:rsidRPr="00301C2E">
        <w:t xml:space="preserve"> is a structured summary of the intervention, outcomes of interest, sample, setting, and planned evaluation design including data collection.</w:t>
      </w:r>
      <w:r w:rsidR="00F56E3E">
        <w:t xml:space="preserve"> Grantees will complete this template once the evaluation design is approved by ACF, and will update the abstract </w:t>
      </w:r>
      <w:r w:rsidR="00E22AF3">
        <w:t xml:space="preserve">in the second year of the grant to </w:t>
      </w:r>
      <w:r w:rsidR="0036326E">
        <w:t>reflect</w:t>
      </w:r>
      <w:r w:rsidR="00E22AF3">
        <w:t xml:space="preserve"> any modifications to the evaluation</w:t>
      </w:r>
      <w:r w:rsidR="00F56E3E">
        <w:t>.</w:t>
      </w:r>
      <w:r w:rsidR="007942F6">
        <w:t xml:space="preserve"> The abstract will be used for registering the evaluation at a registry such as clinicaltrials.gov </w:t>
      </w:r>
      <w:r w:rsidR="0012521D">
        <w:t>and</w:t>
      </w:r>
      <w:r w:rsidR="007942F6">
        <w:t xml:space="preserve"> potentially posted on the </w:t>
      </w:r>
      <w:r w:rsidR="00F7456D">
        <w:t xml:space="preserve">FYSB Adolescent </w:t>
      </w:r>
      <w:r w:rsidR="00876EB1">
        <w:t>Pregnancy</w:t>
      </w:r>
      <w:r w:rsidR="00F7456D">
        <w:t xml:space="preserve"> Prevention Evaluation</w:t>
      </w:r>
      <w:r w:rsidR="007942F6">
        <w:t xml:space="preserve"> website, hosted by ACF.</w:t>
      </w:r>
    </w:p>
    <w:p w14:paraId="36F67AF0" w14:textId="77777777" w:rsidR="00B25B37" w:rsidRDefault="00B25B37" w:rsidP="00BD03D2">
      <w:pPr>
        <w:ind w:left="360"/>
      </w:pPr>
    </w:p>
    <w:p w14:paraId="28D70F06" w14:textId="77777777" w:rsidR="001D55B6" w:rsidRDefault="001D55B6" w:rsidP="00BD03D2">
      <w:pPr>
        <w:ind w:left="360"/>
      </w:pPr>
      <w:r w:rsidRPr="008F5ADF">
        <w:rPr>
          <w:i/>
        </w:rPr>
        <w:t>CONSORT</w:t>
      </w:r>
      <w:r w:rsidR="00E272D2" w:rsidRPr="008F5ADF">
        <w:rPr>
          <w:i/>
        </w:rPr>
        <w:t xml:space="preserve"> diagram </w:t>
      </w:r>
      <w:r w:rsidR="00277298" w:rsidRPr="008F5ADF">
        <w:rPr>
          <w:i/>
        </w:rPr>
        <w:t>(</w:t>
      </w:r>
      <w:r w:rsidR="002F1525" w:rsidRPr="008F5ADF">
        <w:rPr>
          <w:i/>
        </w:rPr>
        <w:t>Instrument 2</w:t>
      </w:r>
      <w:r w:rsidR="00277298" w:rsidRPr="008F5ADF">
        <w:rPr>
          <w:i/>
        </w:rPr>
        <w:t>)</w:t>
      </w:r>
      <w:r w:rsidR="005A4262" w:rsidRPr="008F5ADF">
        <w:rPr>
          <w:i/>
        </w:rPr>
        <w:t>.</w:t>
      </w:r>
      <w:r w:rsidR="00E272D2" w:rsidRPr="00E272D2">
        <w:t xml:space="preserve"> </w:t>
      </w:r>
      <w:r w:rsidR="00AB4868">
        <w:t>A</w:t>
      </w:r>
      <w:r w:rsidR="0036326E">
        <w:t>ll</w:t>
      </w:r>
      <w:r w:rsidR="005A4262" w:rsidRPr="005A4262">
        <w:t xml:space="preserve"> grantees</w:t>
      </w:r>
      <w:r w:rsidR="0036326E">
        <w:t xml:space="preserve"> receiving technical assistance</w:t>
      </w:r>
      <w:r w:rsidR="00F7456D">
        <w:t xml:space="preserve"> through </w:t>
      </w:r>
      <w:r w:rsidR="009031DC">
        <w:t xml:space="preserve">the </w:t>
      </w:r>
      <w:r w:rsidR="00F7456D">
        <w:t>PYP</w:t>
      </w:r>
      <w:r w:rsidR="00AB4868">
        <w:t xml:space="preserve"> </w:t>
      </w:r>
      <w:r w:rsidR="009031DC">
        <w:t xml:space="preserve">project </w:t>
      </w:r>
      <w:r w:rsidR="00AB4868">
        <w:t>will complete the CONSORT</w:t>
      </w:r>
      <w:r w:rsidR="00390AD3">
        <w:rPr>
          <w:rStyle w:val="FootnoteReference"/>
        </w:rPr>
        <w:footnoteReference w:id="3"/>
      </w:r>
      <w:r w:rsidR="00AB4868">
        <w:t xml:space="preserve"> diagram template</w:t>
      </w:r>
      <w:r w:rsidR="005A4262" w:rsidRPr="005A4262">
        <w:t xml:space="preserve">. The CONSORT diagram template collects data on the number of youth and clusters, if applicable, </w:t>
      </w:r>
      <w:r w:rsidR="009E7338">
        <w:t xml:space="preserve">enrolled in the </w:t>
      </w:r>
      <w:r w:rsidR="0099397C">
        <w:t>evaluation</w:t>
      </w:r>
      <w:r w:rsidR="009E7338">
        <w:t xml:space="preserve"> and retained through data collection</w:t>
      </w:r>
      <w:r w:rsidR="005A4262" w:rsidRPr="005A4262">
        <w:t xml:space="preserve">. </w:t>
      </w:r>
      <w:r w:rsidR="004F416B">
        <w:t xml:space="preserve">For </w:t>
      </w:r>
      <w:r w:rsidR="0099397C">
        <w:t xml:space="preserve">study </w:t>
      </w:r>
      <w:r w:rsidR="004F416B">
        <w:t>participants not retained</w:t>
      </w:r>
      <w:r w:rsidR="0099397C">
        <w:t>, g</w:t>
      </w:r>
      <w:r w:rsidR="005A4262" w:rsidRPr="005A4262">
        <w:t>rantees will also be asked to report reasons for survey non-completion.</w:t>
      </w:r>
      <w:r w:rsidR="009E7338">
        <w:t xml:space="preserve"> To monitor the progress of each evaluation, this template will be completed </w:t>
      </w:r>
      <w:r w:rsidR="00100F39" w:rsidRPr="00100F39">
        <w:t xml:space="preserve">by grantees </w:t>
      </w:r>
      <w:r w:rsidR="009E7338">
        <w:t>every six months</w:t>
      </w:r>
      <w:r w:rsidR="00100F39">
        <w:t xml:space="preserve"> while the study is enrolling sample and collecting data</w:t>
      </w:r>
      <w:r w:rsidR="009E7338">
        <w:t>.</w:t>
      </w:r>
    </w:p>
    <w:p w14:paraId="5D6817BE" w14:textId="77777777" w:rsidR="00B25B37" w:rsidRDefault="00B25B37" w:rsidP="00BD03D2">
      <w:pPr>
        <w:ind w:left="360"/>
      </w:pPr>
    </w:p>
    <w:p w14:paraId="7D63C78F" w14:textId="77777777" w:rsidR="001D55B6" w:rsidRDefault="001D55B6" w:rsidP="00BD03D2">
      <w:pPr>
        <w:ind w:left="360"/>
      </w:pPr>
      <w:r w:rsidRPr="008F5ADF">
        <w:rPr>
          <w:i/>
        </w:rPr>
        <w:t>B</w:t>
      </w:r>
      <w:r w:rsidR="00E272D2" w:rsidRPr="008F5ADF">
        <w:rPr>
          <w:i/>
        </w:rPr>
        <w:t>aseline equivalence template</w:t>
      </w:r>
      <w:r w:rsidR="00277298" w:rsidRPr="008F5ADF">
        <w:rPr>
          <w:i/>
        </w:rPr>
        <w:t xml:space="preserve"> (</w:t>
      </w:r>
      <w:r w:rsidR="002F1525" w:rsidRPr="008F5ADF">
        <w:rPr>
          <w:i/>
        </w:rPr>
        <w:t>Instrument 3</w:t>
      </w:r>
      <w:r w:rsidR="00277298" w:rsidRPr="008F5ADF">
        <w:rPr>
          <w:i/>
        </w:rPr>
        <w:t>)</w:t>
      </w:r>
      <w:r w:rsidR="005A4262" w:rsidRPr="008F5ADF">
        <w:rPr>
          <w:i/>
        </w:rPr>
        <w:t>.</w:t>
      </w:r>
      <w:r w:rsidR="00E272D2" w:rsidRPr="00E272D2">
        <w:t xml:space="preserve"> </w:t>
      </w:r>
      <w:r w:rsidR="0050773E">
        <w:t xml:space="preserve">Only grantees conducting </w:t>
      </w:r>
      <w:r w:rsidR="000D4152">
        <w:t xml:space="preserve">local evaluations with an </w:t>
      </w:r>
      <w:r w:rsidR="0050773E">
        <w:t xml:space="preserve">impact </w:t>
      </w:r>
      <w:r w:rsidR="000D4152">
        <w:t xml:space="preserve">design </w:t>
      </w:r>
      <w:r w:rsidR="0050773E">
        <w:t>(i.e. those with a comparison group) will com</w:t>
      </w:r>
      <w:r w:rsidR="0036326E">
        <w:t>p</w:t>
      </w:r>
      <w:r w:rsidR="0050773E">
        <w:t>lete t</w:t>
      </w:r>
      <w:r w:rsidR="005A4262" w:rsidRPr="005A4262">
        <w:t xml:space="preserve">he baseline equivalence template. To assess whether treatment and comparison groups differ at baseline, data will be collected on key demographics and behavioral measures. The template </w:t>
      </w:r>
      <w:r w:rsidR="009031DC">
        <w:t>will</w:t>
      </w:r>
      <w:r w:rsidR="005A4262" w:rsidRPr="005A4262">
        <w:t xml:space="preserve"> automatically calculate the differences between groups</w:t>
      </w:r>
      <w:r w:rsidR="00F56E3E">
        <w:t xml:space="preserve"> in a consistent way, minimizing the burden on grantees.</w:t>
      </w:r>
      <w:r w:rsidR="009E7338" w:rsidRPr="009E7338">
        <w:t xml:space="preserve"> To monitor the progress of each evaluation, this template will be completed </w:t>
      </w:r>
      <w:r w:rsidR="00100F39" w:rsidRPr="00100F39">
        <w:t xml:space="preserve">by grantees </w:t>
      </w:r>
      <w:r w:rsidR="009E7338" w:rsidRPr="009E7338">
        <w:t>every six months</w:t>
      </w:r>
      <w:r w:rsidR="00100F39">
        <w:t xml:space="preserve"> while the study is enrolling sample and collecting data</w:t>
      </w:r>
      <w:r w:rsidR="009E7338" w:rsidRPr="009E7338">
        <w:t>.</w:t>
      </w:r>
    </w:p>
    <w:p w14:paraId="77EBBC98" w14:textId="77777777" w:rsidR="002F1525" w:rsidRDefault="002F1525" w:rsidP="00BD03D2">
      <w:pPr>
        <w:ind w:left="360"/>
      </w:pPr>
    </w:p>
    <w:p w14:paraId="3D5D9E69" w14:textId="77777777" w:rsidR="002F1525" w:rsidRDefault="002F1525" w:rsidP="00BD03D2">
      <w:pPr>
        <w:ind w:left="360"/>
      </w:pPr>
    </w:p>
    <w:p w14:paraId="4B930473" w14:textId="77777777" w:rsidR="00DC1EAD" w:rsidRDefault="000D4152" w:rsidP="00BD03D2">
      <w:pPr>
        <w:ind w:left="360"/>
      </w:pPr>
      <w:r w:rsidRPr="007969B8">
        <w:rPr>
          <w:b/>
        </w:rPr>
        <w:t>Interviews</w:t>
      </w:r>
      <w:r>
        <w:rPr>
          <w:b/>
        </w:rPr>
        <w:t>/focus groups</w:t>
      </w:r>
      <w:r w:rsidRPr="007969B8">
        <w:rPr>
          <w:b/>
        </w:rPr>
        <w:t xml:space="preserve"> with youth to inform curriculum development</w:t>
      </w:r>
      <w:r>
        <w:rPr>
          <w:b/>
        </w:rPr>
        <w:t>.</w:t>
      </w:r>
      <w:r w:rsidRPr="00DC1EAD">
        <w:t xml:space="preserve"> </w:t>
      </w:r>
      <w:r w:rsidR="00DC1EAD" w:rsidRPr="00DC1EAD">
        <w:t xml:space="preserve">To develop </w:t>
      </w:r>
      <w:r w:rsidR="001D76F0">
        <w:t xml:space="preserve">the </w:t>
      </w:r>
      <w:r w:rsidR="00DC1EAD" w:rsidRPr="00DC1EAD">
        <w:t>theories of change</w:t>
      </w:r>
      <w:r w:rsidR="007C5DC8">
        <w:t xml:space="preserve"> </w:t>
      </w:r>
      <w:r w:rsidR="001D76F0">
        <w:t xml:space="preserve">that will </w:t>
      </w:r>
      <w:r w:rsidR="007C5DC8">
        <w:t>inform curricula development</w:t>
      </w:r>
      <w:r w:rsidR="00DC1EAD" w:rsidRPr="00DC1EAD">
        <w:t xml:space="preserve"> for the PYP project, </w:t>
      </w:r>
      <w:r w:rsidR="00B311B2">
        <w:t xml:space="preserve">the study team </w:t>
      </w:r>
      <w:r w:rsidR="00DC1EAD" w:rsidRPr="00DC1EAD">
        <w:t xml:space="preserve">will collect data through qualitative interviews with youth to understand their perspectives and experiences. </w:t>
      </w:r>
      <w:r w:rsidR="00B311B2">
        <w:t>The study team</w:t>
      </w:r>
      <w:r w:rsidR="00DC1EAD" w:rsidRPr="00DC1EAD">
        <w:t xml:space="preserve"> will conduct in-depth qualitative interviews with </w:t>
      </w:r>
      <w:r w:rsidR="009031DC">
        <w:t xml:space="preserve">no more than </w:t>
      </w:r>
      <w:r w:rsidR="00AE3113" w:rsidRPr="009031DC">
        <w:t>64</w:t>
      </w:r>
      <w:r w:rsidR="00DC1EAD" w:rsidRPr="00DC1EAD">
        <w:t xml:space="preserve"> youth</w:t>
      </w:r>
      <w:r w:rsidR="009031DC">
        <w:t xml:space="preserve"> </w:t>
      </w:r>
      <w:r w:rsidR="00DC1EAD" w:rsidRPr="00DC1EAD">
        <w:t>fro</w:t>
      </w:r>
      <w:r w:rsidR="00D40E02">
        <w:t>m four target populations</w:t>
      </w:r>
      <w:r w:rsidR="00102057">
        <w:t>, recruiting</w:t>
      </w:r>
      <w:r w:rsidR="00DC1EAD" w:rsidRPr="00DC1EAD">
        <w:t xml:space="preserve"> via channels linked to the target populations, such as prov</w:t>
      </w:r>
      <w:r w:rsidR="007C5DC8">
        <w:t>iders that serve targeted youth (including PREP/PREIS grantee</w:t>
      </w:r>
      <w:r w:rsidR="006F6E2D">
        <w:t>s</w:t>
      </w:r>
      <w:r w:rsidR="007C5DC8">
        <w:t>).</w:t>
      </w:r>
    </w:p>
    <w:p w14:paraId="621E959A" w14:textId="77777777" w:rsidR="007C5DC8" w:rsidRDefault="007C5DC8" w:rsidP="00BD03D2">
      <w:pPr>
        <w:ind w:left="360"/>
      </w:pPr>
    </w:p>
    <w:p w14:paraId="4A5E2F61" w14:textId="568D215E" w:rsidR="00102057" w:rsidRDefault="002F1525" w:rsidP="000E0C3F">
      <w:pPr>
        <w:ind w:left="360"/>
      </w:pPr>
      <w:r w:rsidRPr="008F5ADF">
        <w:rPr>
          <w:i/>
        </w:rPr>
        <w:t xml:space="preserve">Youth </w:t>
      </w:r>
      <w:r w:rsidR="00803F4F">
        <w:rPr>
          <w:i/>
        </w:rPr>
        <w:t>interview/focus group</w:t>
      </w:r>
      <w:r w:rsidR="00803F4F" w:rsidRPr="008F5ADF">
        <w:rPr>
          <w:i/>
        </w:rPr>
        <w:t xml:space="preserve"> </w:t>
      </w:r>
      <w:r w:rsidRPr="008F5ADF">
        <w:rPr>
          <w:i/>
        </w:rPr>
        <w:t xml:space="preserve">topic guide (Instrument </w:t>
      </w:r>
      <w:r w:rsidR="0034581A">
        <w:rPr>
          <w:i/>
        </w:rPr>
        <w:t>4</w:t>
      </w:r>
      <w:r w:rsidRPr="008F5ADF">
        <w:rPr>
          <w:i/>
        </w:rPr>
        <w:t>)</w:t>
      </w:r>
      <w:r w:rsidR="00DC1EAD" w:rsidRPr="008F5ADF">
        <w:rPr>
          <w:i/>
        </w:rPr>
        <w:t>.</w:t>
      </w:r>
      <w:r w:rsidR="00DC1EAD" w:rsidRPr="000E0C3F">
        <w:t xml:space="preserve"> </w:t>
      </w:r>
      <w:r w:rsidR="006F6E2D">
        <w:t>The d</w:t>
      </w:r>
      <w:r w:rsidR="00A50C6A">
        <w:t xml:space="preserve">iscussion </w:t>
      </w:r>
      <w:r w:rsidR="006F6E2D">
        <w:t xml:space="preserve">guide </w:t>
      </w:r>
      <w:r w:rsidR="00F409C0">
        <w:t>covers</w:t>
      </w:r>
      <w:r w:rsidR="00F409C0" w:rsidRPr="00DC1EAD">
        <w:t xml:space="preserve"> </w:t>
      </w:r>
      <w:r w:rsidR="00DC1EAD" w:rsidRPr="00DC1EAD">
        <w:t xml:space="preserve">several topics: (1) </w:t>
      </w:r>
      <w:r w:rsidR="00F409C0">
        <w:t xml:space="preserve">youths’ experiences receiving sexual health </w:t>
      </w:r>
      <w:r w:rsidR="00D40867">
        <w:t>education programs</w:t>
      </w:r>
      <w:r w:rsidR="00D53083">
        <w:t>;</w:t>
      </w:r>
      <w:r w:rsidR="00F409C0">
        <w:t xml:space="preserve"> (2) preferences regarding the content and delivery of sexual </w:t>
      </w:r>
      <w:r w:rsidR="00D53083">
        <w:t>health education</w:t>
      </w:r>
      <w:r w:rsidR="00D40867">
        <w:t xml:space="preserve"> programs</w:t>
      </w:r>
      <w:r w:rsidR="00D53083">
        <w:t>;</w:t>
      </w:r>
      <w:r w:rsidR="00F409C0">
        <w:t xml:space="preserve"> (3) how youths make decisions regarding relationships, sexual activity, and use of condoms and other birth control</w:t>
      </w:r>
      <w:r w:rsidR="00D53083">
        <w:t xml:space="preserve"> methods</w:t>
      </w:r>
      <w:r w:rsidR="00F409C0">
        <w:t xml:space="preserve">; and (4) </w:t>
      </w:r>
      <w:r w:rsidR="00D53083">
        <w:t xml:space="preserve">youths’ access to and </w:t>
      </w:r>
      <w:r w:rsidR="00F409C0">
        <w:t>source</w:t>
      </w:r>
      <w:r w:rsidR="00D53083">
        <w:t>s of sexual health information</w:t>
      </w:r>
      <w:r w:rsidR="00DC1EAD" w:rsidRPr="00DC1EAD">
        <w:t>.</w:t>
      </w:r>
      <w:r w:rsidR="00102057" w:rsidRPr="00102057">
        <w:t xml:space="preserve"> </w:t>
      </w:r>
      <w:r w:rsidR="00102057" w:rsidRPr="00D407F1">
        <w:t xml:space="preserve">To ensure that youth from diverse target populations participate in interviews, </w:t>
      </w:r>
      <w:r w:rsidR="00102057">
        <w:t>the project team will</w:t>
      </w:r>
      <w:r w:rsidR="00102057" w:rsidRPr="00D407F1">
        <w:t xml:space="preserve"> conduct the interviews in formats that best fit participants’ circumstances and preferences</w:t>
      </w:r>
      <w:r w:rsidR="00102057">
        <w:t xml:space="preserve">. This </w:t>
      </w:r>
      <w:r w:rsidR="00A50C6A">
        <w:t>may</w:t>
      </w:r>
      <w:r w:rsidR="00102057">
        <w:t xml:space="preserve"> include </w:t>
      </w:r>
      <w:r w:rsidR="006F6E2D">
        <w:t xml:space="preserve">individual interviews held </w:t>
      </w:r>
      <w:r w:rsidR="00102057">
        <w:t>in-person,</w:t>
      </w:r>
      <w:r w:rsidR="00A50C6A">
        <w:t xml:space="preserve"> </w:t>
      </w:r>
      <w:r w:rsidR="006F6E2D">
        <w:t xml:space="preserve">or by </w:t>
      </w:r>
      <w:r w:rsidR="00102057">
        <w:t xml:space="preserve">telephone </w:t>
      </w:r>
      <w:r w:rsidR="006F6E2D">
        <w:t>videoconference</w:t>
      </w:r>
      <w:r w:rsidR="00102057">
        <w:t>,</w:t>
      </w:r>
      <w:r w:rsidR="00A50C6A">
        <w:t xml:space="preserve"> </w:t>
      </w:r>
      <w:r w:rsidR="006F6E2D">
        <w:t xml:space="preserve">or focus </w:t>
      </w:r>
      <w:r w:rsidR="00A50C6A">
        <w:t>groups</w:t>
      </w:r>
      <w:r w:rsidR="006F6E2D">
        <w:t xml:space="preserve"> held either virtually or using </w:t>
      </w:r>
      <w:r w:rsidR="00102057">
        <w:t xml:space="preserve">secure online discussion boards. </w:t>
      </w:r>
    </w:p>
    <w:p w14:paraId="1A4C6E70" w14:textId="77777777" w:rsidR="002F1525" w:rsidRDefault="002F1525" w:rsidP="00BD03D2">
      <w:pPr>
        <w:ind w:left="360"/>
      </w:pPr>
    </w:p>
    <w:p w14:paraId="01357C22" w14:textId="77777777" w:rsidR="00945CD6" w:rsidRPr="0072204D" w:rsidRDefault="00292B70" w:rsidP="00292B70">
      <w:pPr>
        <w:rPr>
          <w:b/>
        </w:rPr>
      </w:pPr>
      <w:r>
        <w:rPr>
          <w:b/>
        </w:rPr>
        <w:t xml:space="preserve">A3. </w:t>
      </w:r>
      <w:r w:rsidR="00945CD6" w:rsidRPr="0072204D">
        <w:rPr>
          <w:b/>
        </w:rPr>
        <w:t>Improved Information Technology to Reduce Burden</w:t>
      </w:r>
    </w:p>
    <w:p w14:paraId="7BE7D5BA" w14:textId="77777777" w:rsidR="00A81513" w:rsidRDefault="00671737" w:rsidP="00BD03D2">
      <w:pPr>
        <w:ind w:left="360"/>
      </w:pPr>
      <w:r w:rsidRPr="00C23AAF">
        <w:t>ACF</w:t>
      </w:r>
      <w:r>
        <w:t xml:space="preserve"> and its contractors</w:t>
      </w:r>
      <w:r w:rsidRPr="00C23AAF">
        <w:t xml:space="preserve"> will employ information technology as appropriate to reduce the burden of respondents who agree </w:t>
      </w:r>
      <w:r>
        <w:t xml:space="preserve">to participate. </w:t>
      </w:r>
    </w:p>
    <w:p w14:paraId="07FF3550" w14:textId="77777777" w:rsidR="00A81513" w:rsidRDefault="006F6E2D" w:rsidP="008F5ADF">
      <w:pPr>
        <w:numPr>
          <w:ilvl w:val="0"/>
          <w:numId w:val="34"/>
        </w:numPr>
      </w:pPr>
      <w:r>
        <w:t xml:space="preserve">For the instruments related to the </w:t>
      </w:r>
      <w:r w:rsidR="00A81513">
        <w:t xml:space="preserve">local evaluation </w:t>
      </w:r>
      <w:r>
        <w:t>tasks, t</w:t>
      </w:r>
      <w:r w:rsidR="00671737">
        <w:t xml:space="preserve">his data collection effort will make use of electronic templates for completion and electronic submission. </w:t>
      </w:r>
    </w:p>
    <w:p w14:paraId="64ACFCED" w14:textId="77777777" w:rsidR="00D90EF6" w:rsidRDefault="006F6E2D" w:rsidP="008F5ADF">
      <w:pPr>
        <w:numPr>
          <w:ilvl w:val="0"/>
          <w:numId w:val="34"/>
        </w:numPr>
      </w:pPr>
      <w:r>
        <w:t xml:space="preserve">For the instrument related to the </w:t>
      </w:r>
      <w:r w:rsidR="00A81513">
        <w:t>interviews/focus groups with underserved youth</w:t>
      </w:r>
      <w:r>
        <w:t>, t</w:t>
      </w:r>
      <w:r w:rsidR="002F1525">
        <w:t xml:space="preserve">his effort </w:t>
      </w:r>
      <w:r>
        <w:t xml:space="preserve">may use </w:t>
      </w:r>
      <w:r w:rsidR="00A50C6A">
        <w:t>virtual</w:t>
      </w:r>
      <w:r w:rsidR="002F1525">
        <w:t xml:space="preserve"> </w:t>
      </w:r>
      <w:r w:rsidR="00404877">
        <w:t>focus</w:t>
      </w:r>
      <w:r w:rsidR="002F1525">
        <w:t xml:space="preserve"> groups</w:t>
      </w:r>
      <w:r>
        <w:t xml:space="preserve"> or secure online discussion boards</w:t>
      </w:r>
      <w:r w:rsidR="002F1525">
        <w:t>, when feasible and appropriate</w:t>
      </w:r>
      <w:r w:rsidR="000E0C3F">
        <w:t xml:space="preserve"> for the target</w:t>
      </w:r>
      <w:r>
        <w:t>ed</w:t>
      </w:r>
      <w:r w:rsidR="000E0C3F">
        <w:t xml:space="preserve"> youth</w:t>
      </w:r>
      <w:r w:rsidR="00A50C6A">
        <w:t xml:space="preserve">. Virtual focus groups </w:t>
      </w:r>
      <w:r w:rsidR="00EF4F86">
        <w:t>are</w:t>
      </w:r>
      <w:r w:rsidR="00A50C6A">
        <w:t xml:space="preserve"> conducted via screen-sharing technology, enabling users to attend from </w:t>
      </w:r>
      <w:r w:rsidR="001F1AE3">
        <w:t xml:space="preserve">their location of choice </w:t>
      </w:r>
      <w:r w:rsidR="00A50C6A">
        <w:t xml:space="preserve">without losing </w:t>
      </w:r>
      <w:r w:rsidR="00EF4F86">
        <w:t>the visual experience</w:t>
      </w:r>
      <w:r w:rsidR="00723DE1">
        <w:t xml:space="preserve"> of the focus group.</w:t>
      </w:r>
      <w:r>
        <w:t xml:space="preserve"> Secure online discussion boards allow users to </w:t>
      </w:r>
      <w:r w:rsidR="00334149">
        <w:t>access focus group questions through a secure online platform and respond to questions at their convenience during a set time period.</w:t>
      </w:r>
      <w:r w:rsidR="000005D6">
        <w:t xml:space="preserve"> Moderators of the discussion boards are able to guide the discussion through prompts and follow-up questions to individual participants.</w:t>
      </w:r>
    </w:p>
    <w:p w14:paraId="5B6FF925" w14:textId="77777777" w:rsidR="005046F0" w:rsidRDefault="005046F0" w:rsidP="005046F0">
      <w:pPr>
        <w:ind w:left="360"/>
      </w:pPr>
    </w:p>
    <w:p w14:paraId="71B5F39A" w14:textId="77777777" w:rsidR="00945CD6" w:rsidRPr="0072204D" w:rsidRDefault="00292B70" w:rsidP="00292B70">
      <w:pPr>
        <w:rPr>
          <w:b/>
        </w:rPr>
      </w:pPr>
      <w:r>
        <w:rPr>
          <w:b/>
        </w:rPr>
        <w:t xml:space="preserve">A4. </w:t>
      </w:r>
      <w:r w:rsidR="00945CD6" w:rsidRPr="0072204D">
        <w:rPr>
          <w:b/>
        </w:rPr>
        <w:t>Efforts to Identify Duplication</w:t>
      </w:r>
    </w:p>
    <w:p w14:paraId="6C4F621D" w14:textId="77777777" w:rsidR="00823523" w:rsidRDefault="0012521D" w:rsidP="00BD03D2">
      <w:pPr>
        <w:ind w:left="360"/>
      </w:pPr>
      <w:r>
        <w:t>N</w:t>
      </w:r>
      <w:r w:rsidR="00823523" w:rsidRPr="00BD03D2">
        <w:t xml:space="preserve">o other sources of information </w:t>
      </w:r>
      <w:r>
        <w:t>will</w:t>
      </w:r>
      <w:r w:rsidR="00823523" w:rsidRPr="00BD03D2">
        <w:t xml:space="preserve"> allow </w:t>
      </w:r>
      <w:r w:rsidR="00B311B2">
        <w:t xml:space="preserve">the study team </w:t>
      </w:r>
      <w:r w:rsidR="00823523" w:rsidRPr="00BD03D2">
        <w:t xml:space="preserve">to assess ACF-funded PREP </w:t>
      </w:r>
      <w:r w:rsidR="00A81513">
        <w:t>grantee local evaluations, n</w:t>
      </w:r>
      <w:r>
        <w:t>or</w:t>
      </w:r>
      <w:r w:rsidR="00FC193C">
        <w:t xml:space="preserve"> supply the </w:t>
      </w:r>
      <w:r>
        <w:t xml:space="preserve">data </w:t>
      </w:r>
      <w:r w:rsidR="00B311B2">
        <w:t xml:space="preserve">the study team </w:t>
      </w:r>
      <w:r>
        <w:t>will obtain</w:t>
      </w:r>
      <w:r w:rsidR="00FC193C">
        <w:t xml:space="preserve"> through discussions with youth.</w:t>
      </w:r>
      <w:r w:rsidR="00823523" w:rsidRPr="00BD03D2">
        <w:t xml:space="preserve"> No unnecessary information is being requested of program staff</w:t>
      </w:r>
      <w:r w:rsidR="00FC193C">
        <w:t xml:space="preserve">, grantees, or youth. </w:t>
      </w:r>
      <w:r w:rsidR="00823523" w:rsidRPr="00BD03D2">
        <w:t xml:space="preserve">None of the instruments will ask for information that can be reliably obtained through other sources. </w:t>
      </w:r>
    </w:p>
    <w:p w14:paraId="3C73E673" w14:textId="77777777" w:rsidR="00D40867" w:rsidRDefault="00D40867" w:rsidP="00BD03D2">
      <w:pPr>
        <w:ind w:left="360"/>
      </w:pPr>
    </w:p>
    <w:p w14:paraId="455CA39E" w14:textId="77777777" w:rsidR="00945CD6" w:rsidRPr="0072204D" w:rsidRDefault="00292B70" w:rsidP="00292B70">
      <w:pPr>
        <w:rPr>
          <w:b/>
        </w:rPr>
      </w:pPr>
      <w:r>
        <w:rPr>
          <w:b/>
        </w:rPr>
        <w:t xml:space="preserve">A5. </w:t>
      </w:r>
      <w:r w:rsidR="00945CD6" w:rsidRPr="0072204D">
        <w:rPr>
          <w:b/>
        </w:rPr>
        <w:t>Involvement of Small Organizations</w:t>
      </w:r>
    </w:p>
    <w:p w14:paraId="0DFDB613" w14:textId="77777777" w:rsidR="00823523" w:rsidRPr="00BD03D2" w:rsidRDefault="00823523" w:rsidP="00BD03D2">
      <w:pPr>
        <w:ind w:left="360"/>
      </w:pPr>
      <w:r w:rsidRPr="00BD03D2">
        <w:t>The potential exists for data collection activities to affect small entities associated with the grantee. PREP grantees may conduct evaluations led by local evaluators</w:t>
      </w:r>
      <w:r w:rsidR="00CA09D7">
        <w:t xml:space="preserve"> affiliated with small organizations. Grantees </w:t>
      </w:r>
      <w:r w:rsidRPr="00BD03D2">
        <w:t>may task the local evaluator with the collection of some or all of the data requested. Proposed data collection efforts are designed to minimize the burden on all organizations involved, including small businesses and entities, by collecting only critical information</w:t>
      </w:r>
      <w:r w:rsidR="00F7456D">
        <w:t xml:space="preserve"> </w:t>
      </w:r>
      <w:r w:rsidR="0012521D">
        <w:t>using</w:t>
      </w:r>
      <w:r w:rsidR="00F7456D">
        <w:t xml:space="preserve"> standardized templates.</w:t>
      </w:r>
    </w:p>
    <w:p w14:paraId="593EA9ED" w14:textId="2186B493" w:rsidR="00154D5D" w:rsidRDefault="00154D5D">
      <w:pPr>
        <w:rPr>
          <w:b/>
        </w:rPr>
      </w:pPr>
      <w:r>
        <w:rPr>
          <w:b/>
        </w:rPr>
        <w:br w:type="page"/>
      </w:r>
    </w:p>
    <w:p w14:paraId="47CA38F4" w14:textId="77777777" w:rsidR="008C78B4" w:rsidRDefault="008C78B4" w:rsidP="00292B70">
      <w:pPr>
        <w:rPr>
          <w:b/>
        </w:rPr>
      </w:pPr>
    </w:p>
    <w:p w14:paraId="5409DDAF" w14:textId="77777777" w:rsidR="00945CD6" w:rsidRPr="0072204D" w:rsidRDefault="00292B70" w:rsidP="00292B70">
      <w:pPr>
        <w:rPr>
          <w:b/>
        </w:rPr>
      </w:pPr>
      <w:r>
        <w:rPr>
          <w:b/>
        </w:rPr>
        <w:t xml:space="preserve">A6. </w:t>
      </w:r>
      <w:r w:rsidR="00945CD6" w:rsidRPr="0072204D">
        <w:rPr>
          <w:b/>
        </w:rPr>
        <w:t>Consequences of Less Frequent Data Collection</w:t>
      </w:r>
    </w:p>
    <w:p w14:paraId="198A74B1" w14:textId="77777777" w:rsidR="00263DB3" w:rsidRDefault="007C5A70" w:rsidP="00BD03D2">
      <w:pPr>
        <w:ind w:left="360"/>
      </w:pPr>
      <w:r w:rsidRPr="00BD03D2">
        <w:t xml:space="preserve">The purpose of each information collection instrument included in this submission is described in Item A2, above. </w:t>
      </w:r>
    </w:p>
    <w:p w14:paraId="6FAB7647" w14:textId="77777777" w:rsidR="00263DB3" w:rsidRDefault="00263DB3" w:rsidP="00BD03D2">
      <w:pPr>
        <w:ind w:left="360"/>
      </w:pPr>
    </w:p>
    <w:p w14:paraId="1FE562AD" w14:textId="77777777" w:rsidR="001A1A7A" w:rsidRPr="001A1A7A" w:rsidRDefault="007C5A70" w:rsidP="001A1A7A">
      <w:pPr>
        <w:ind w:left="360"/>
      </w:pPr>
      <w:r w:rsidRPr="00BD03D2">
        <w:t>Not collecting information using the</w:t>
      </w:r>
      <w:r w:rsidR="00263DB3">
        <w:t xml:space="preserve"> </w:t>
      </w:r>
      <w:r w:rsidR="00160680">
        <w:t xml:space="preserve">local evaluation </w:t>
      </w:r>
      <w:r w:rsidRPr="00BD03D2">
        <w:t>instruments</w:t>
      </w:r>
      <w:r w:rsidR="006B091A">
        <w:t>, or collecting data less frequently,</w:t>
      </w:r>
      <w:r w:rsidRPr="00BD03D2">
        <w:t xml:space="preserve"> would limit the government’s ability to document the performance of its grantees</w:t>
      </w:r>
      <w:r w:rsidR="00160680">
        <w:t>’ evaluations</w:t>
      </w:r>
      <w:r w:rsidRPr="00BD03D2">
        <w:t xml:space="preserve"> and to assess the extent to which these federal grants are successful in achieving their purpose.</w:t>
      </w:r>
      <w:r w:rsidR="00B53C36" w:rsidRPr="00BD03D2">
        <w:t xml:space="preserve"> </w:t>
      </w:r>
      <w:r w:rsidR="00691794">
        <w:t>To ensure t</w:t>
      </w:r>
      <w:r w:rsidR="00C6331C">
        <w:t>he federal government</w:t>
      </w:r>
      <w:r w:rsidR="00691794">
        <w:t xml:space="preserve"> </w:t>
      </w:r>
      <w:r w:rsidR="00C6331C">
        <w:t>has</w:t>
      </w:r>
      <w:r w:rsidR="00691794">
        <w:t xml:space="preserve"> an accurate </w:t>
      </w:r>
      <w:r w:rsidR="00045712">
        <w:t>summary</w:t>
      </w:r>
      <w:r w:rsidR="00691794">
        <w:t xml:space="preserve"> of each study, g</w:t>
      </w:r>
      <w:r w:rsidR="001A1A7A">
        <w:t xml:space="preserve">rantees will need to </w:t>
      </w:r>
      <w:r w:rsidR="001A1A7A" w:rsidRPr="001A1A7A">
        <w:t>update</w:t>
      </w:r>
      <w:r w:rsidR="001A1A7A">
        <w:t xml:space="preserve"> the</w:t>
      </w:r>
      <w:r w:rsidR="00691794">
        <w:t>ir</w:t>
      </w:r>
      <w:r w:rsidR="001A1A7A">
        <w:t xml:space="preserve"> original </w:t>
      </w:r>
      <w:r w:rsidR="006B091A">
        <w:t>abstracts</w:t>
      </w:r>
      <w:r w:rsidR="001A1A7A">
        <w:t xml:space="preserve"> </w:t>
      </w:r>
      <w:r w:rsidR="00691794">
        <w:t xml:space="preserve">to reflect any </w:t>
      </w:r>
      <w:r w:rsidR="001A1A7A" w:rsidRPr="001A1A7A">
        <w:t xml:space="preserve">modifications </w:t>
      </w:r>
      <w:r w:rsidR="00691794">
        <w:t xml:space="preserve">they make </w:t>
      </w:r>
      <w:r w:rsidR="001A1A7A">
        <w:t>during</w:t>
      </w:r>
      <w:r w:rsidR="001A1A7A" w:rsidRPr="001A1A7A">
        <w:t xml:space="preserve"> the early stages</w:t>
      </w:r>
      <w:r w:rsidR="00691794">
        <w:t xml:space="preserve"> of their evaluations</w:t>
      </w:r>
      <w:r w:rsidR="001A1A7A" w:rsidRPr="001A1A7A">
        <w:t>.</w:t>
      </w:r>
      <w:r w:rsidR="001A1A7A">
        <w:t xml:space="preserve"> </w:t>
      </w:r>
      <w:r w:rsidR="00691794">
        <w:t>I</w:t>
      </w:r>
      <w:r w:rsidR="001A1A7A" w:rsidRPr="001A1A7A">
        <w:t>n previous evaluation TA efforts, the contractor has found that monitoring data</w:t>
      </w:r>
      <w:r w:rsidR="00691794">
        <w:t xml:space="preserve"> in CONSO</w:t>
      </w:r>
      <w:r w:rsidR="006B091A">
        <w:t>RT diagrams and baseline equivalence instruments semi-annually</w:t>
      </w:r>
      <w:r w:rsidR="001A1A7A" w:rsidRPr="001A1A7A">
        <w:t xml:space="preserve"> allows the TA provider to help the evaluator and grantee identify problems, discuss potential solutions, and monitor progress in implementing those solutions. If these data were collected less frequently</w:t>
      </w:r>
      <w:r w:rsidR="002D4151">
        <w:t xml:space="preserve"> (</w:t>
      </w:r>
      <w:r w:rsidR="001A1A7A" w:rsidRPr="001A1A7A">
        <w:t>for example, annually</w:t>
      </w:r>
      <w:r w:rsidR="002D4151">
        <w:t xml:space="preserve">), grantees and their evaluators may not identify and remedy </w:t>
      </w:r>
      <w:r w:rsidR="001A1A7A" w:rsidRPr="001A1A7A">
        <w:t xml:space="preserve">problems related to recruitment, sample assignment, and data collection </w:t>
      </w:r>
      <w:r w:rsidR="001A29D0">
        <w:t xml:space="preserve">as early as possible. </w:t>
      </w:r>
    </w:p>
    <w:p w14:paraId="3E075B71" w14:textId="77777777" w:rsidR="003A6752" w:rsidRDefault="003A6752" w:rsidP="00BD03D2">
      <w:pPr>
        <w:ind w:left="360"/>
      </w:pPr>
    </w:p>
    <w:p w14:paraId="3B4BDAAA" w14:textId="77777777" w:rsidR="00263DB3" w:rsidRPr="00263DB3" w:rsidRDefault="00263DB3" w:rsidP="00263DB3">
      <w:pPr>
        <w:ind w:left="360"/>
      </w:pPr>
      <w:r w:rsidRPr="00263DB3">
        <w:t xml:space="preserve">Not collecting information using the </w:t>
      </w:r>
      <w:r w:rsidR="00160680">
        <w:t>interview/focus group</w:t>
      </w:r>
      <w:r w:rsidR="00160680" w:rsidRPr="00263DB3">
        <w:t xml:space="preserve"> </w:t>
      </w:r>
      <w:r w:rsidRPr="00263DB3">
        <w:t xml:space="preserve">instrument would limit the government’s ability to understand the target populations’ </w:t>
      </w:r>
      <w:r w:rsidR="000005D6">
        <w:t xml:space="preserve">circumstances, </w:t>
      </w:r>
      <w:r w:rsidRPr="00263DB3">
        <w:t>needs</w:t>
      </w:r>
      <w:r w:rsidR="000005D6">
        <w:t>,</w:t>
      </w:r>
      <w:r w:rsidRPr="00263DB3">
        <w:t xml:space="preserve"> </w:t>
      </w:r>
      <w:r w:rsidR="000005D6">
        <w:t xml:space="preserve">and </w:t>
      </w:r>
      <w:r w:rsidR="003E3F44">
        <w:t>preferences</w:t>
      </w:r>
      <w:r w:rsidR="000005D6">
        <w:t xml:space="preserve"> regarding sexual health education</w:t>
      </w:r>
      <w:r w:rsidR="00D40867">
        <w:t xml:space="preserve"> programs</w:t>
      </w:r>
      <w:r>
        <w:t xml:space="preserve">. This information is critical </w:t>
      </w:r>
      <w:r w:rsidR="000005D6">
        <w:t xml:space="preserve">for tailoring curricula to the characteristics of these </w:t>
      </w:r>
      <w:r w:rsidR="003E3F44">
        <w:t>populations</w:t>
      </w:r>
      <w:r w:rsidR="006972B3">
        <w:t xml:space="preserve">. </w:t>
      </w:r>
      <w:r w:rsidR="0007705A">
        <w:t xml:space="preserve">Youth will participate in one focus group or interview. </w:t>
      </w:r>
    </w:p>
    <w:p w14:paraId="681072B6" w14:textId="77777777" w:rsidR="005046F0" w:rsidRDefault="005046F0" w:rsidP="005046F0">
      <w:pPr>
        <w:ind w:left="360"/>
      </w:pPr>
    </w:p>
    <w:p w14:paraId="5A0DB0D8" w14:textId="77777777" w:rsidR="00945CD6" w:rsidRPr="0072204D" w:rsidRDefault="00292B70" w:rsidP="00292B70">
      <w:pPr>
        <w:rPr>
          <w:b/>
        </w:rPr>
      </w:pPr>
      <w:r>
        <w:rPr>
          <w:b/>
        </w:rPr>
        <w:t xml:space="preserve">A7. </w:t>
      </w:r>
      <w:r w:rsidR="00945CD6" w:rsidRPr="0072204D">
        <w:rPr>
          <w:b/>
        </w:rPr>
        <w:t>Special Circumstances</w:t>
      </w:r>
    </w:p>
    <w:p w14:paraId="5A462A8E" w14:textId="77777777" w:rsidR="0020382F" w:rsidRPr="00FC3DF6" w:rsidRDefault="00D90EF6" w:rsidP="00BD03D2">
      <w:pPr>
        <w:ind w:left="360"/>
        <w:rPr>
          <w:szCs w:val="22"/>
        </w:rPr>
      </w:pPr>
      <w:r w:rsidRPr="00FC3DF6">
        <w:rPr>
          <w:szCs w:val="22"/>
        </w:rPr>
        <w:t xml:space="preserve">There are no special circumstances </w:t>
      </w:r>
      <w:r w:rsidR="00993945">
        <w:rPr>
          <w:szCs w:val="22"/>
        </w:rPr>
        <w:t>associated with this information collection</w:t>
      </w:r>
      <w:r w:rsidRPr="00FC3DF6">
        <w:rPr>
          <w:szCs w:val="22"/>
        </w:rPr>
        <w:t>.</w:t>
      </w:r>
    </w:p>
    <w:p w14:paraId="50DB6C7E" w14:textId="77777777" w:rsidR="00D90EF6" w:rsidRDefault="00D90EF6" w:rsidP="00D90EF6">
      <w:pPr>
        <w:rPr>
          <w:b/>
        </w:rPr>
      </w:pPr>
    </w:p>
    <w:p w14:paraId="0CDDEEA0" w14:textId="77777777" w:rsidR="00D90EF6" w:rsidRDefault="00292B70" w:rsidP="00D90EF6">
      <w:pPr>
        <w:rPr>
          <w:b/>
        </w:rPr>
      </w:pPr>
      <w:r w:rsidRPr="000D53DF">
        <w:rPr>
          <w:b/>
        </w:rPr>
        <w:t xml:space="preserve">A8. </w:t>
      </w:r>
      <w:r w:rsidR="00945CD6" w:rsidRPr="000D53DF">
        <w:rPr>
          <w:b/>
        </w:rPr>
        <w:t>Federal Register Notice and Consultation</w:t>
      </w:r>
    </w:p>
    <w:p w14:paraId="3918233A" w14:textId="77777777" w:rsidR="00B91D97" w:rsidRPr="00B91D97" w:rsidRDefault="00B91D97" w:rsidP="002338AC">
      <w:pPr>
        <w:ind w:left="180"/>
        <w:rPr>
          <w:b/>
          <w:i/>
        </w:rPr>
      </w:pPr>
      <w:r w:rsidRPr="004B63ED">
        <w:rPr>
          <w:b/>
          <w:i/>
        </w:rPr>
        <w:t>Federal Register Notice and Comments</w:t>
      </w:r>
    </w:p>
    <w:p w14:paraId="6E0C3D43" w14:textId="77777777" w:rsidR="008F10A2" w:rsidRPr="00B10C00" w:rsidRDefault="008F10A2" w:rsidP="00D90EF6">
      <w:pPr>
        <w:ind w:left="360"/>
      </w:pPr>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This notice was published on </w:t>
      </w:r>
      <w:r w:rsidR="007E7AB5">
        <w:t>October 19, 2016</w:t>
      </w:r>
      <w:r w:rsidR="003872F6" w:rsidRPr="00B10C00">
        <w:t xml:space="preserve">, Volume </w:t>
      </w:r>
      <w:r w:rsidR="007E7AB5">
        <w:t>81</w:t>
      </w:r>
      <w:r w:rsidR="003872F6" w:rsidRPr="00B10C00">
        <w:t xml:space="preserve">, Number </w:t>
      </w:r>
      <w:r w:rsidR="007E7AB5">
        <w:t>202</w:t>
      </w:r>
      <w:r w:rsidR="003872F6" w:rsidRPr="00B10C00">
        <w:t xml:space="preserve">, page </w:t>
      </w:r>
      <w:r w:rsidR="007E7AB5">
        <w:t>72056</w:t>
      </w:r>
      <w:r w:rsidR="003872F6" w:rsidRPr="00B10C00">
        <w:t xml:space="preserve">, </w:t>
      </w:r>
      <w:r w:rsidRPr="00B10C00">
        <w:t xml:space="preserve">and provided a sixty-day period for public comment. </w:t>
      </w:r>
      <w:r w:rsidR="006950AB">
        <w:t>No substantial changes in burden are proposed over those proposed in the 60-Day FRN.</w:t>
      </w:r>
      <w:r w:rsidR="006950AB" w:rsidRPr="004358CF">
        <w:t xml:space="preserve"> </w:t>
      </w:r>
      <w:r w:rsidR="006950AB" w:rsidRPr="00F92585">
        <w:t xml:space="preserve">During </w:t>
      </w:r>
      <w:r w:rsidRPr="00F92585">
        <w:t xml:space="preserve">the notice and comment period, </w:t>
      </w:r>
      <w:r w:rsidR="003872F6" w:rsidRPr="00F92585">
        <w:t xml:space="preserve">no </w:t>
      </w:r>
      <w:r w:rsidRPr="00F92585">
        <w:t>comments were received</w:t>
      </w:r>
      <w:r w:rsidR="00751E04" w:rsidRPr="00F92585">
        <w:t>.</w:t>
      </w:r>
      <w:r w:rsidRPr="00B10C00">
        <w:t xml:space="preserve"> </w:t>
      </w:r>
    </w:p>
    <w:p w14:paraId="66972155" w14:textId="77777777" w:rsidR="00B91D97" w:rsidRPr="00B91D97" w:rsidRDefault="00B91D97" w:rsidP="002338AC">
      <w:pPr>
        <w:pStyle w:val="Heading4"/>
        <w:ind w:left="180"/>
        <w:rPr>
          <w:rFonts w:ascii="Times New Roman" w:hAnsi="Times New Roman"/>
          <w:i/>
          <w:sz w:val="24"/>
          <w:szCs w:val="24"/>
        </w:rPr>
      </w:pPr>
      <w:r w:rsidRPr="00B10C00">
        <w:rPr>
          <w:rFonts w:ascii="Times New Roman" w:hAnsi="Times New Roman"/>
          <w:i/>
          <w:sz w:val="24"/>
          <w:szCs w:val="24"/>
        </w:rPr>
        <w:t>Consultation with Experts Outside</w:t>
      </w:r>
      <w:r w:rsidRPr="004B63ED">
        <w:rPr>
          <w:rFonts w:ascii="Times New Roman" w:hAnsi="Times New Roman"/>
          <w:i/>
          <w:sz w:val="24"/>
          <w:szCs w:val="24"/>
        </w:rPr>
        <w:t xml:space="preserve"> of the Study</w:t>
      </w:r>
    </w:p>
    <w:p w14:paraId="4EE6AC98" w14:textId="7F45EF02" w:rsidR="008F10A2" w:rsidRPr="00FC3DF6" w:rsidRDefault="009C08C2" w:rsidP="00D069D4">
      <w:pPr>
        <w:ind w:left="360"/>
        <w:rPr>
          <w:highlight w:val="yellow"/>
        </w:rPr>
      </w:pPr>
      <w:r>
        <w:t>ACF consulted staff from Mathematica Policy Research and their subcontractor the Center for American Indian and Native American Health at the University of Colorado, Denver when preparing the templates.</w:t>
      </w:r>
    </w:p>
    <w:p w14:paraId="02782095" w14:textId="33F7C268" w:rsidR="00154D5D" w:rsidRDefault="00154D5D">
      <w:pPr>
        <w:rPr>
          <w:b/>
        </w:rPr>
      </w:pPr>
      <w:r>
        <w:rPr>
          <w:b/>
        </w:rPr>
        <w:br w:type="page"/>
      </w:r>
    </w:p>
    <w:p w14:paraId="42E9DA7C" w14:textId="77777777" w:rsidR="00D90EF6" w:rsidRDefault="00D90EF6" w:rsidP="00292B70">
      <w:pPr>
        <w:rPr>
          <w:b/>
        </w:rPr>
      </w:pPr>
    </w:p>
    <w:p w14:paraId="5586B40B" w14:textId="77777777" w:rsidR="00945CD6" w:rsidRPr="0072204D" w:rsidRDefault="00292B70" w:rsidP="00292B70">
      <w:pPr>
        <w:rPr>
          <w:b/>
        </w:rPr>
      </w:pPr>
      <w:r>
        <w:rPr>
          <w:b/>
        </w:rPr>
        <w:t xml:space="preserve">A9. </w:t>
      </w:r>
      <w:r w:rsidR="00B66874">
        <w:rPr>
          <w:b/>
        </w:rPr>
        <w:t>Incentives for</w:t>
      </w:r>
      <w:r w:rsidR="00945CD6" w:rsidRPr="0072204D">
        <w:rPr>
          <w:b/>
        </w:rPr>
        <w:t xml:space="preserve"> Respondents</w:t>
      </w:r>
    </w:p>
    <w:p w14:paraId="2BB5E184" w14:textId="77777777" w:rsidR="00435E14" w:rsidRDefault="00B311B2" w:rsidP="00BE521C">
      <w:pPr>
        <w:pStyle w:val="NormalSS"/>
        <w:ind w:left="450" w:firstLine="0"/>
        <w:jc w:val="left"/>
      </w:pPr>
      <w:r>
        <w:t>The study team</w:t>
      </w:r>
      <w:r w:rsidR="008B2BE2">
        <w:t xml:space="preserve"> </w:t>
      </w:r>
      <w:r>
        <w:t xml:space="preserve">is </w:t>
      </w:r>
      <w:r w:rsidR="008B2BE2">
        <w:t>not proposing to provide incentives</w:t>
      </w:r>
      <w:r w:rsidR="00E239DA">
        <w:t xml:space="preserve"> to </w:t>
      </w:r>
      <w:r w:rsidR="0012521D">
        <w:t>respondents</w:t>
      </w:r>
      <w:r w:rsidR="00E239DA">
        <w:t xml:space="preserve"> </w:t>
      </w:r>
      <w:r w:rsidR="00C36CA5">
        <w:t xml:space="preserve">completing instruments </w:t>
      </w:r>
      <w:r w:rsidR="008B2BE2">
        <w:t xml:space="preserve">for the </w:t>
      </w:r>
      <w:r w:rsidR="00160680">
        <w:t xml:space="preserve">local evaluation information </w:t>
      </w:r>
      <w:r w:rsidR="00C36CA5">
        <w:t>tasks</w:t>
      </w:r>
      <w:r w:rsidR="008B2BE2">
        <w:t xml:space="preserve">. </w:t>
      </w:r>
    </w:p>
    <w:p w14:paraId="7B99556C" w14:textId="77777777" w:rsidR="000A5C13" w:rsidRDefault="000A5C13" w:rsidP="00BE521C">
      <w:pPr>
        <w:pStyle w:val="NormalSS"/>
        <w:ind w:left="450" w:firstLine="0"/>
        <w:jc w:val="left"/>
      </w:pPr>
    </w:p>
    <w:p w14:paraId="446F1395" w14:textId="639F53C4" w:rsidR="00D90EF6" w:rsidRDefault="00876E81" w:rsidP="00164ED5">
      <w:pPr>
        <w:ind w:left="450"/>
      </w:pPr>
      <w:r>
        <w:t xml:space="preserve">For the </w:t>
      </w:r>
      <w:r w:rsidR="00642C67">
        <w:t>interviews/focus groups</w:t>
      </w:r>
      <w:r w:rsidR="00B52BC3">
        <w:t xml:space="preserve">, </w:t>
      </w:r>
      <w:r w:rsidR="00B311B2">
        <w:t xml:space="preserve">the study team </w:t>
      </w:r>
      <w:r w:rsidR="00B52BC3">
        <w:t>propose</w:t>
      </w:r>
      <w:r w:rsidR="00B311B2">
        <w:t>s</w:t>
      </w:r>
      <w:r w:rsidR="00B52BC3">
        <w:t xml:space="preserve"> to </w:t>
      </w:r>
      <w:r w:rsidR="00435E14">
        <w:t>provide a</w:t>
      </w:r>
      <w:r w:rsidR="00740247">
        <w:t xml:space="preserve"> token of appreciation</w:t>
      </w:r>
      <w:r w:rsidR="00B52BC3">
        <w:t xml:space="preserve"> </w:t>
      </w:r>
      <w:r w:rsidR="00435E14">
        <w:t xml:space="preserve">of $20 to youth who complete an interview or participate in a focus group. </w:t>
      </w:r>
      <w:r w:rsidR="00B311B2">
        <w:t>The study team</w:t>
      </w:r>
      <w:r w:rsidR="00435E14">
        <w:t xml:space="preserve"> make</w:t>
      </w:r>
      <w:r w:rsidR="00B311B2">
        <w:t>s</w:t>
      </w:r>
      <w:r w:rsidR="00435E14">
        <w:t xml:space="preserve"> this proposal primarily to increase response rates and reduce nonresponse bias. </w:t>
      </w:r>
      <w:r w:rsidR="00EE46DE" w:rsidRPr="00EE46DE">
        <w:t xml:space="preserve">By encouraging otherwise reluctant young adults, the study reduces the risks associated with nonresponse bias – namely the risk that the research team draws inaccurate or biased conclusions about the program. </w:t>
      </w:r>
      <w:r w:rsidR="00EE46DE">
        <w:rPr>
          <w:rFonts w:ascii="Lato Regular" w:hAnsi="Lato Regular"/>
          <w:sz w:val="20"/>
        </w:rPr>
        <w:t xml:space="preserve"> </w:t>
      </w:r>
      <w:r w:rsidR="006F2BC9" w:rsidRPr="006F2BC9">
        <w:t xml:space="preserve">This is especially important due to the underserved status of the populations </w:t>
      </w:r>
      <w:r w:rsidR="00933674">
        <w:t>under consideration for these interviews</w:t>
      </w:r>
      <w:r w:rsidR="006F2BC9" w:rsidRPr="006F2BC9">
        <w:t>, includ</w:t>
      </w:r>
      <w:r w:rsidR="006F2BC9">
        <w:t>ing</w:t>
      </w:r>
      <w:r w:rsidR="006F2BC9" w:rsidRPr="006F2BC9">
        <w:t xml:space="preserve"> </w:t>
      </w:r>
      <w:r w:rsidR="006F2BC9" w:rsidRPr="000F3F67">
        <w:t>youth who have experienced trauma, trafficked youth</w:t>
      </w:r>
      <w:r w:rsidR="006F2BC9">
        <w:t xml:space="preserve"> or youth at risk of trafficking</w:t>
      </w:r>
      <w:r w:rsidR="006F2BC9" w:rsidRPr="000F3F67">
        <w:t>, transient youth, cognitively impaired or disabled youth, immigrants and refugees, transgender youth, and parents and caregivers of youth in foster care</w:t>
      </w:r>
      <w:r w:rsidR="006F2BC9">
        <w:t xml:space="preserve">. </w:t>
      </w:r>
      <w:r w:rsidR="007218EA" w:rsidRPr="007218EA">
        <w:t xml:space="preserve">The incentive is intended to assist with transportation costs, child care, or other expenses that might prevent some in </w:t>
      </w:r>
      <w:r w:rsidR="00487076">
        <w:t xml:space="preserve">the </w:t>
      </w:r>
      <w:r w:rsidR="007218EA" w:rsidRPr="007218EA">
        <w:t>target population</w:t>
      </w:r>
      <w:r w:rsidR="00487076">
        <w:t>s under consideration</w:t>
      </w:r>
      <w:r w:rsidR="007218EA" w:rsidRPr="007218EA">
        <w:t xml:space="preserve"> from participating – i.e., those with the greatest financial challenges or other barriers, </w:t>
      </w:r>
      <w:r w:rsidR="00164ED5" w:rsidRPr="007218EA">
        <w:t>and whose</w:t>
      </w:r>
      <w:r w:rsidR="007218EA" w:rsidRPr="007218EA">
        <w:t xml:space="preserve"> absence could contribute to nonresponse bias.</w:t>
      </w:r>
      <w:r w:rsidR="007218EA">
        <w:t xml:space="preserve"> </w:t>
      </w:r>
      <w:r w:rsidR="00435E14" w:rsidRPr="00435E14">
        <w:t>When participants know that their time will be appreciated, the likelihood increases that those respondents will spend time completing the data activity</w:t>
      </w:r>
      <w:r w:rsidR="00642C67" w:rsidRPr="00435E14">
        <w:t>.</w:t>
      </w:r>
      <w:r w:rsidR="00642C67">
        <w:t xml:space="preserve">  </w:t>
      </w:r>
      <w:r w:rsidR="00EE46DE" w:rsidRPr="00EE46DE">
        <w:t>Based on the project team’s prior experience with studies of similar youth populations, $20 is high enough to support participation, but not so high that it is overly generous or that participants would feel the incentive is excessive or coercive.</w:t>
      </w:r>
      <w:r w:rsidR="00EE46DE">
        <w:rPr>
          <w:rFonts w:ascii="Lato" w:hAnsi="Lato"/>
          <w:sz w:val="20"/>
          <w:szCs w:val="20"/>
        </w:rPr>
        <w:t xml:space="preserve"> </w:t>
      </w:r>
      <w:r w:rsidR="00642C67">
        <w:rPr>
          <w:color w:val="000000"/>
        </w:rPr>
        <w:t xml:space="preserve">The proposed amount for </w:t>
      </w:r>
      <w:r w:rsidR="009B3C20">
        <w:rPr>
          <w:color w:val="000000"/>
        </w:rPr>
        <w:t xml:space="preserve">the </w:t>
      </w:r>
      <w:r w:rsidR="00642C67">
        <w:rPr>
          <w:color w:val="000000"/>
        </w:rPr>
        <w:t>interviews/focus group</w:t>
      </w:r>
      <w:r w:rsidR="009B3C20">
        <w:rPr>
          <w:color w:val="000000"/>
        </w:rPr>
        <w:t>s</w:t>
      </w:r>
      <w:r w:rsidR="00642C67">
        <w:rPr>
          <w:color w:val="000000"/>
        </w:rPr>
        <w:t xml:space="preserve"> </w:t>
      </w:r>
      <w:r w:rsidR="003A02E5">
        <w:rPr>
          <w:color w:val="000000"/>
        </w:rPr>
        <w:t xml:space="preserve">is comparable </w:t>
      </w:r>
      <w:r w:rsidR="00642C67">
        <w:rPr>
          <w:color w:val="000000"/>
        </w:rPr>
        <w:t>to the amount used successfully in other recent and ongoing ACF-sponsored and O</w:t>
      </w:r>
      <w:r w:rsidR="00123976">
        <w:rPr>
          <w:color w:val="000000"/>
        </w:rPr>
        <w:t xml:space="preserve">ffice of </w:t>
      </w:r>
      <w:r w:rsidR="00642C67">
        <w:rPr>
          <w:color w:val="000000"/>
        </w:rPr>
        <w:t>A</w:t>
      </w:r>
      <w:r w:rsidR="00123976">
        <w:rPr>
          <w:color w:val="000000"/>
        </w:rPr>
        <w:t xml:space="preserve">dolescent </w:t>
      </w:r>
      <w:r w:rsidR="00642C67">
        <w:rPr>
          <w:color w:val="000000"/>
        </w:rPr>
        <w:t>H</w:t>
      </w:r>
      <w:r w:rsidR="00123976">
        <w:rPr>
          <w:color w:val="000000"/>
        </w:rPr>
        <w:t xml:space="preserve">ealth </w:t>
      </w:r>
      <w:r w:rsidR="00642C67">
        <w:rPr>
          <w:color w:val="000000"/>
        </w:rPr>
        <w:t xml:space="preserve">sponsored evaluations of </w:t>
      </w:r>
      <w:r w:rsidR="00C22B57">
        <w:rPr>
          <w:color w:val="000000"/>
        </w:rPr>
        <w:t xml:space="preserve">youth </w:t>
      </w:r>
      <w:r w:rsidR="00642C67">
        <w:rPr>
          <w:color w:val="000000"/>
        </w:rPr>
        <w:t>populations, including the PREP Multi-Component Evaluation (OMB no. 0970-0398) the Pregnancy Assistance Fund (PAF) Implementation Study (OMB no. 0990-0428)</w:t>
      </w:r>
      <w:r w:rsidR="00C22B57">
        <w:rPr>
          <w:color w:val="000000"/>
        </w:rPr>
        <w:t>, and the Strengthening Relationship Education and Marriage Serv</w:t>
      </w:r>
      <w:r w:rsidR="00A23A89">
        <w:rPr>
          <w:color w:val="000000"/>
        </w:rPr>
        <w:t>ic</w:t>
      </w:r>
      <w:r w:rsidR="00C22B57">
        <w:rPr>
          <w:color w:val="000000"/>
        </w:rPr>
        <w:t>es (STREAMS) process study (OMB no. 0970-</w:t>
      </w:r>
      <w:r w:rsidR="008F51E3">
        <w:rPr>
          <w:color w:val="000000"/>
        </w:rPr>
        <w:t>0481</w:t>
      </w:r>
      <w:r w:rsidR="00C22B57">
        <w:rPr>
          <w:color w:val="000000"/>
        </w:rPr>
        <w:t>)</w:t>
      </w:r>
      <w:r w:rsidR="00642C67">
        <w:rPr>
          <w:color w:val="000000"/>
        </w:rPr>
        <w:t>.</w:t>
      </w:r>
      <w:r w:rsidR="009305DA">
        <w:rPr>
          <w:color w:val="000000"/>
        </w:rPr>
        <w:t xml:space="preserve"> </w:t>
      </w:r>
      <w:r w:rsidR="00642C67" w:rsidRPr="00435E14">
        <w:t>Research has</w:t>
      </w:r>
      <w:r w:rsidR="00642C67">
        <w:t xml:space="preserve"> also</w:t>
      </w:r>
      <w:r w:rsidR="00642C67" w:rsidRPr="00435E14">
        <w:t xml:space="preserve"> </w:t>
      </w:r>
      <w:r w:rsidR="00435E14" w:rsidRPr="00435E14">
        <w:t>shown that such tokens of appreciation are effective at increasing response rates for populations similar to</w:t>
      </w:r>
      <w:r w:rsidR="00142670">
        <w:t xml:space="preserve"> the</w:t>
      </w:r>
      <w:r w:rsidR="00435E14" w:rsidRPr="00435E14">
        <w:t xml:space="preserve"> participants in </w:t>
      </w:r>
      <w:r w:rsidR="00435E14">
        <w:t>adolescent pregnancy prevention programs</w:t>
      </w:r>
      <w:r w:rsidR="00632053">
        <w:t xml:space="preserve">. </w:t>
      </w:r>
      <w:r w:rsidR="002D2838">
        <w:t xml:space="preserve">For example, </w:t>
      </w:r>
      <w:r w:rsidR="00632053">
        <w:t xml:space="preserve">Berlin et al. </w:t>
      </w:r>
      <w:r w:rsidR="002D2838">
        <w:t xml:space="preserve">(1992) evaluated differences in survey completion rates between no incentive, $20, and $35 and found significantly higher response rates among minority and low education populations when respondents received </w:t>
      </w:r>
      <w:r w:rsidR="00F97059">
        <w:t>either the</w:t>
      </w:r>
      <w:r w:rsidR="002D2838">
        <w:t xml:space="preserve"> </w:t>
      </w:r>
      <w:r w:rsidR="00F97059">
        <w:t xml:space="preserve">$20 or $35 </w:t>
      </w:r>
      <w:r w:rsidR="002D2838">
        <w:t xml:space="preserve">financial incentive. Similarly, </w:t>
      </w:r>
      <w:r w:rsidR="00435E14" w:rsidRPr="00435E14">
        <w:t xml:space="preserve">Singer and Kulka (2002) showed </w:t>
      </w:r>
      <w:r w:rsidR="002D2838">
        <w:t xml:space="preserve">that incentives seemed to have more of an impact on </w:t>
      </w:r>
      <w:r w:rsidR="00F97059">
        <w:t xml:space="preserve">increasing response rates for </w:t>
      </w:r>
      <w:r w:rsidR="002D2838">
        <w:t>underrepresented populations, including respondents from low-income households, with low education, and minority groups</w:t>
      </w:r>
      <w:r w:rsidR="00C67F3B">
        <w:t xml:space="preserve"> as well as respondents with low levels of community involvement</w:t>
      </w:r>
      <w:r w:rsidR="002D2838">
        <w:t xml:space="preserve">. </w:t>
      </w:r>
    </w:p>
    <w:p w14:paraId="364BA032" w14:textId="77777777" w:rsidR="004222F8" w:rsidRDefault="004222F8" w:rsidP="004222F8">
      <w:pPr>
        <w:spacing w:after="120"/>
        <w:rPr>
          <w:b/>
        </w:rPr>
      </w:pPr>
    </w:p>
    <w:p w14:paraId="0E4D6FD7" w14:textId="77777777" w:rsidR="004222F8" w:rsidRPr="0072204D" w:rsidRDefault="004222F8" w:rsidP="00BE521C">
      <w:pPr>
        <w:rPr>
          <w:b/>
        </w:rPr>
      </w:pPr>
      <w:r>
        <w:rPr>
          <w:b/>
        </w:rPr>
        <w:t>A10. Privacy</w:t>
      </w:r>
      <w:r w:rsidRPr="0072204D">
        <w:rPr>
          <w:b/>
        </w:rPr>
        <w:t xml:space="preserve"> of Respondents</w:t>
      </w:r>
    </w:p>
    <w:p w14:paraId="4BC83E22" w14:textId="77777777" w:rsidR="00E239DA" w:rsidRPr="00E239DA" w:rsidRDefault="00E239DA" w:rsidP="00BE521C">
      <w:pPr>
        <w:widowControl w:val="0"/>
        <w:autoSpaceDE w:val="0"/>
        <w:autoSpaceDN w:val="0"/>
        <w:adjustRightInd w:val="0"/>
        <w:ind w:left="360"/>
        <w:rPr>
          <w:rFonts w:cs="Arial"/>
          <w:szCs w:val="26"/>
        </w:rPr>
      </w:pPr>
      <w:r w:rsidRPr="00E239DA">
        <w:rPr>
          <w:rFonts w:cs="Arial"/>
          <w:szCs w:val="26"/>
        </w:rPr>
        <w:t xml:space="preserve">As specified in the contract, Mathematica (the Contractor) shall protect respondent privacy to the extent permitted by law and will comply with all Federal and Departmental regulations for private information. The Contractor shall ensure that all employees, </w:t>
      </w:r>
      <w:r w:rsidR="0012521D">
        <w:rPr>
          <w:rFonts w:cs="Arial"/>
          <w:szCs w:val="26"/>
        </w:rPr>
        <w:t>including</w:t>
      </w:r>
      <w:r w:rsidRPr="00E239DA">
        <w:rPr>
          <w:rFonts w:cs="Arial"/>
          <w:szCs w:val="26"/>
        </w:rPr>
        <w:t xml:space="preserve"> employees of </w:t>
      </w:r>
      <w:r w:rsidR="002A4309">
        <w:rPr>
          <w:rFonts w:cs="Arial"/>
          <w:szCs w:val="26"/>
        </w:rPr>
        <w:t>all</w:t>
      </w:r>
      <w:r w:rsidRPr="00E239DA">
        <w:rPr>
          <w:rFonts w:cs="Arial"/>
          <w:szCs w:val="26"/>
        </w:rPr>
        <w:t xml:space="preserve"> subcontractor</w:t>
      </w:r>
      <w:r w:rsidR="002A4309">
        <w:rPr>
          <w:rFonts w:cs="Arial"/>
          <w:szCs w:val="26"/>
        </w:rPr>
        <w:t>s</w:t>
      </w:r>
      <w:r w:rsidR="0012521D">
        <w:rPr>
          <w:rFonts w:cs="Arial"/>
          <w:szCs w:val="26"/>
        </w:rPr>
        <w:t>,</w:t>
      </w:r>
      <w:r w:rsidRPr="00E239DA">
        <w:rPr>
          <w:rFonts w:cs="Arial"/>
          <w:szCs w:val="26"/>
        </w:rPr>
        <w:t xml:space="preserve"> who perform work </w:t>
      </w:r>
      <w:r w:rsidR="0012521D">
        <w:rPr>
          <w:rFonts w:cs="Arial"/>
          <w:szCs w:val="26"/>
        </w:rPr>
        <w:t>under this contract/subcontract</w:t>
      </w:r>
      <w:r w:rsidR="006204BB">
        <w:rPr>
          <w:rFonts w:cs="Arial"/>
          <w:szCs w:val="26"/>
        </w:rPr>
        <w:t xml:space="preserve"> receive training</w:t>
      </w:r>
      <w:r w:rsidRPr="00E239DA">
        <w:rPr>
          <w:rFonts w:cs="Arial"/>
          <w:szCs w:val="26"/>
        </w:rPr>
        <w:t xml:space="preserve"> on data privacy issues and comply with the above requirements. </w:t>
      </w:r>
      <w:r w:rsidR="002A4309" w:rsidRPr="002A4309">
        <w:rPr>
          <w:rFonts w:cs="Arial"/>
          <w:szCs w:val="26"/>
        </w:rPr>
        <w:t xml:space="preserve">Respondents will be informed </w:t>
      </w:r>
      <w:r w:rsidR="002A4309">
        <w:rPr>
          <w:rFonts w:cs="Arial"/>
          <w:szCs w:val="26"/>
        </w:rPr>
        <w:t>about the planned</w:t>
      </w:r>
      <w:r w:rsidR="002A4309" w:rsidRPr="002A4309">
        <w:rPr>
          <w:rFonts w:cs="Arial"/>
          <w:szCs w:val="26"/>
        </w:rPr>
        <w:t xml:space="preserve"> uses of data, that their participation is voluntary, and that their information will be kept private to the extent permitted by law.</w:t>
      </w:r>
    </w:p>
    <w:p w14:paraId="5C046C93" w14:textId="77777777" w:rsidR="00E239DA" w:rsidRPr="00E239DA" w:rsidRDefault="00E239DA" w:rsidP="00BE521C">
      <w:pPr>
        <w:widowControl w:val="0"/>
        <w:autoSpaceDE w:val="0"/>
        <w:autoSpaceDN w:val="0"/>
        <w:adjustRightInd w:val="0"/>
        <w:ind w:left="360"/>
        <w:rPr>
          <w:rFonts w:cs="Arial"/>
          <w:szCs w:val="26"/>
        </w:rPr>
      </w:pPr>
    </w:p>
    <w:p w14:paraId="30C63585" w14:textId="77777777" w:rsidR="00E309E4" w:rsidRDefault="002A4309" w:rsidP="00BE521C">
      <w:pPr>
        <w:widowControl w:val="0"/>
        <w:autoSpaceDE w:val="0"/>
        <w:autoSpaceDN w:val="0"/>
        <w:adjustRightInd w:val="0"/>
        <w:ind w:left="360"/>
        <w:rPr>
          <w:rFonts w:cs="Arial"/>
          <w:szCs w:val="26"/>
        </w:rPr>
      </w:pPr>
      <w:r>
        <w:rPr>
          <w:rFonts w:cs="Arial"/>
          <w:szCs w:val="26"/>
        </w:rPr>
        <w:t xml:space="preserve">For the </w:t>
      </w:r>
      <w:r w:rsidR="00642C67">
        <w:rPr>
          <w:rFonts w:cs="Arial"/>
          <w:szCs w:val="26"/>
        </w:rPr>
        <w:t>local evaluation information collection</w:t>
      </w:r>
      <w:r>
        <w:rPr>
          <w:rFonts w:cs="Arial"/>
          <w:szCs w:val="26"/>
        </w:rPr>
        <w:t>, t</w:t>
      </w:r>
      <w:r w:rsidR="00E309E4">
        <w:rPr>
          <w:rFonts w:cs="Arial"/>
          <w:szCs w:val="26"/>
        </w:rPr>
        <w:t xml:space="preserve">he abstract is the only document expected to be publicly available and the grantees will </w:t>
      </w:r>
      <w:r>
        <w:rPr>
          <w:rFonts w:cs="Arial"/>
          <w:szCs w:val="26"/>
        </w:rPr>
        <w:t>learn</w:t>
      </w:r>
      <w:r w:rsidR="00E309E4">
        <w:rPr>
          <w:rFonts w:cs="Arial"/>
          <w:szCs w:val="26"/>
        </w:rPr>
        <w:t xml:space="preserve"> of that in advance of preparing the document.</w:t>
      </w:r>
      <w:r>
        <w:rPr>
          <w:rFonts w:cs="Arial"/>
          <w:szCs w:val="26"/>
        </w:rPr>
        <w:t xml:space="preserve"> </w:t>
      </w:r>
    </w:p>
    <w:p w14:paraId="3EFFFB4B" w14:textId="77777777" w:rsidR="002A4309" w:rsidRDefault="002A4309" w:rsidP="00BE521C">
      <w:pPr>
        <w:widowControl w:val="0"/>
        <w:autoSpaceDE w:val="0"/>
        <w:autoSpaceDN w:val="0"/>
        <w:adjustRightInd w:val="0"/>
        <w:ind w:left="360"/>
        <w:rPr>
          <w:rFonts w:cs="Arial"/>
          <w:szCs w:val="26"/>
        </w:rPr>
      </w:pPr>
    </w:p>
    <w:p w14:paraId="7D584D20" w14:textId="1C5295E9" w:rsidR="004222F8" w:rsidRPr="00B10727" w:rsidRDefault="002A4309" w:rsidP="00B10727">
      <w:pPr>
        <w:pStyle w:val="CommentText"/>
        <w:ind w:left="360"/>
        <w:rPr>
          <w:rFonts w:cs="Arial"/>
          <w:sz w:val="24"/>
          <w:szCs w:val="26"/>
        </w:rPr>
      </w:pPr>
      <w:r w:rsidRPr="00B10727">
        <w:rPr>
          <w:rFonts w:cs="Arial"/>
          <w:sz w:val="24"/>
          <w:szCs w:val="26"/>
        </w:rPr>
        <w:t xml:space="preserve">For the </w:t>
      </w:r>
      <w:r w:rsidR="00642C67" w:rsidRPr="00B10727">
        <w:rPr>
          <w:rFonts w:cs="Arial"/>
          <w:sz w:val="24"/>
          <w:szCs w:val="26"/>
        </w:rPr>
        <w:t>interviews/focus groups</w:t>
      </w:r>
      <w:r w:rsidRPr="00B10727">
        <w:rPr>
          <w:rFonts w:cs="Arial"/>
          <w:sz w:val="24"/>
          <w:szCs w:val="26"/>
        </w:rPr>
        <w:t xml:space="preserve">, study participants will be informed that participation in data collection is </w:t>
      </w:r>
      <w:r w:rsidR="00146192" w:rsidRPr="00B10727">
        <w:rPr>
          <w:rFonts w:cs="Arial"/>
          <w:sz w:val="24"/>
          <w:szCs w:val="26"/>
        </w:rPr>
        <w:t>voluntary</w:t>
      </w:r>
      <w:r w:rsidRPr="00B10727">
        <w:rPr>
          <w:rFonts w:cs="Arial"/>
          <w:sz w:val="24"/>
          <w:szCs w:val="26"/>
        </w:rPr>
        <w:t xml:space="preserve">. </w:t>
      </w:r>
      <w:r w:rsidR="00B10727" w:rsidRPr="00B10727">
        <w:rPr>
          <w:rFonts w:cs="Arial"/>
          <w:sz w:val="24"/>
          <w:szCs w:val="26"/>
        </w:rPr>
        <w:t xml:space="preserve"> Prior to starting a discussion with a youth or a focus group, all respondents will be informed that their full names will not be used during the focus group or in any reporting. </w:t>
      </w:r>
      <w:r w:rsidR="0029075E" w:rsidRPr="00B10727">
        <w:rPr>
          <w:rFonts w:cs="Arial"/>
          <w:sz w:val="24"/>
          <w:szCs w:val="26"/>
        </w:rPr>
        <w:t xml:space="preserve">Recruitment and interview procedures will incorporate measures for protecting the privacy of participants as well as processes for obtaining informed consent. </w:t>
      </w:r>
      <w:r w:rsidR="00EF0F5A" w:rsidRPr="00B10727">
        <w:rPr>
          <w:rFonts w:cs="Arial"/>
          <w:sz w:val="24"/>
          <w:szCs w:val="26"/>
        </w:rPr>
        <w:t xml:space="preserve">These procedures </w:t>
      </w:r>
      <w:r w:rsidR="00024C27" w:rsidRPr="00B10727">
        <w:rPr>
          <w:rFonts w:cs="Arial"/>
          <w:sz w:val="24"/>
          <w:szCs w:val="26"/>
        </w:rPr>
        <w:t xml:space="preserve">will include </w:t>
      </w:r>
      <w:r w:rsidR="002C1622" w:rsidRPr="00B10727">
        <w:rPr>
          <w:rFonts w:cs="Arial"/>
          <w:sz w:val="24"/>
          <w:szCs w:val="26"/>
        </w:rPr>
        <w:t xml:space="preserve">requiring that focus group participants </w:t>
      </w:r>
      <w:r w:rsidR="00EF0F5A" w:rsidRPr="00B10727">
        <w:rPr>
          <w:rFonts w:cs="Arial"/>
          <w:sz w:val="24"/>
          <w:szCs w:val="26"/>
        </w:rPr>
        <w:t>u</w:t>
      </w:r>
      <w:r w:rsidR="002C1622" w:rsidRPr="00B10727">
        <w:rPr>
          <w:rFonts w:cs="Arial"/>
          <w:sz w:val="24"/>
          <w:szCs w:val="26"/>
        </w:rPr>
        <w:t>se</w:t>
      </w:r>
      <w:r w:rsidR="00EF0F5A" w:rsidRPr="00B10727">
        <w:rPr>
          <w:rFonts w:cs="Arial"/>
          <w:sz w:val="24"/>
          <w:szCs w:val="26"/>
        </w:rPr>
        <w:t xml:space="preserve"> only </w:t>
      </w:r>
      <w:r w:rsidR="002C1622" w:rsidRPr="00B10727">
        <w:rPr>
          <w:rFonts w:cs="Arial"/>
          <w:sz w:val="24"/>
          <w:szCs w:val="26"/>
        </w:rPr>
        <w:t xml:space="preserve">their </w:t>
      </w:r>
      <w:r w:rsidR="00EF0F5A" w:rsidRPr="00B10727">
        <w:rPr>
          <w:rFonts w:cs="Arial"/>
          <w:sz w:val="24"/>
          <w:szCs w:val="26"/>
        </w:rPr>
        <w:t xml:space="preserve">first names </w:t>
      </w:r>
      <w:r w:rsidR="002C1622" w:rsidRPr="00B10727">
        <w:rPr>
          <w:rFonts w:cs="Arial"/>
          <w:sz w:val="24"/>
          <w:szCs w:val="26"/>
        </w:rPr>
        <w:t xml:space="preserve">during discussions. In addition, when reporting the results of focus groups, researchers will not identify participants by </w:t>
      </w:r>
      <w:r w:rsidR="00F97059" w:rsidRPr="00B10727">
        <w:rPr>
          <w:rFonts w:cs="Arial"/>
          <w:sz w:val="24"/>
          <w:szCs w:val="26"/>
        </w:rPr>
        <w:t xml:space="preserve">their real </w:t>
      </w:r>
      <w:r w:rsidR="002C1622" w:rsidRPr="00B10727">
        <w:rPr>
          <w:rFonts w:cs="Arial"/>
          <w:sz w:val="24"/>
          <w:szCs w:val="26"/>
        </w:rPr>
        <w:t>name</w:t>
      </w:r>
      <w:r w:rsidR="00F97059" w:rsidRPr="00B10727">
        <w:rPr>
          <w:rFonts w:cs="Arial"/>
          <w:sz w:val="24"/>
          <w:szCs w:val="26"/>
        </w:rPr>
        <w:t>s</w:t>
      </w:r>
      <w:r w:rsidR="00024C27" w:rsidRPr="00B10727">
        <w:rPr>
          <w:rFonts w:cs="Arial"/>
          <w:sz w:val="24"/>
          <w:szCs w:val="26"/>
        </w:rPr>
        <w:t xml:space="preserve">. </w:t>
      </w:r>
    </w:p>
    <w:p w14:paraId="3F93BF82" w14:textId="77777777" w:rsidR="003872F6" w:rsidRDefault="003872F6" w:rsidP="005046F0">
      <w:pPr>
        <w:ind w:left="360"/>
      </w:pPr>
    </w:p>
    <w:p w14:paraId="2226B3DF" w14:textId="77777777" w:rsidR="00945CD6" w:rsidRPr="0072204D" w:rsidRDefault="00292B70" w:rsidP="00292B70">
      <w:pPr>
        <w:rPr>
          <w:b/>
        </w:rPr>
      </w:pPr>
      <w:r>
        <w:rPr>
          <w:b/>
        </w:rPr>
        <w:t xml:space="preserve">A11. </w:t>
      </w:r>
      <w:r w:rsidR="00945CD6" w:rsidRPr="0072204D">
        <w:rPr>
          <w:b/>
        </w:rPr>
        <w:t>Sensitive Questions</w:t>
      </w:r>
    </w:p>
    <w:p w14:paraId="41CF3D17" w14:textId="77777777" w:rsidR="00A70B48" w:rsidRDefault="00D90EF6" w:rsidP="00BE521C">
      <w:pPr>
        <w:pStyle w:val="NormalSS"/>
        <w:ind w:left="450" w:firstLine="0"/>
        <w:jc w:val="left"/>
      </w:pPr>
      <w:r w:rsidRPr="00375D20">
        <w:t xml:space="preserve">There are no sensitive questions </w:t>
      </w:r>
      <w:r w:rsidR="001221B8">
        <w:t xml:space="preserve">for the instruments associated with the </w:t>
      </w:r>
      <w:r w:rsidR="00642C67">
        <w:t>local evaluation information</w:t>
      </w:r>
      <w:r w:rsidRPr="00375D20">
        <w:t>.</w:t>
      </w:r>
      <w:r w:rsidR="001221B8">
        <w:t xml:space="preserve"> </w:t>
      </w:r>
    </w:p>
    <w:p w14:paraId="46677558" w14:textId="77777777" w:rsidR="00A70B48" w:rsidRDefault="00A70B48" w:rsidP="00BE521C">
      <w:pPr>
        <w:pStyle w:val="NormalSS"/>
        <w:ind w:left="450" w:firstLine="0"/>
        <w:jc w:val="left"/>
      </w:pPr>
    </w:p>
    <w:p w14:paraId="0A0D9095" w14:textId="77777777" w:rsidR="008A39A2" w:rsidRPr="00B673BB" w:rsidRDefault="008A39A2" w:rsidP="00BE521C">
      <w:pPr>
        <w:pStyle w:val="NormalSS"/>
        <w:ind w:left="450" w:firstLine="0"/>
        <w:jc w:val="left"/>
      </w:pPr>
      <w:r>
        <w:t>T</w:t>
      </w:r>
      <w:r w:rsidR="001221B8">
        <w:t xml:space="preserve">he youth discussion guide associated with the </w:t>
      </w:r>
      <w:r w:rsidR="00642C67">
        <w:t xml:space="preserve">interviews/focus groups </w:t>
      </w:r>
      <w:r>
        <w:t xml:space="preserve">may generate discussion of topics that may be considered sensitive such as how youth make decisions related to their sexual health and beliefs and attitudes about contraception. </w:t>
      </w:r>
      <w:r w:rsidR="00A70B48">
        <w:t xml:space="preserve">The goal of these interviews is to assist with specifying theories of change that will support the development of sexual health education curricula for selected underserved populations. Information on how youth in these underserved populations make decisions related to sexual health and their beliefs and attitudes about contraception is not available from other sources and is needed understand how to develop curricula for the targeted populations. </w:t>
      </w:r>
      <w:r>
        <w:t xml:space="preserve">Prior to starting a discussion with a youth or a focus group, all respondents will be informed that their </w:t>
      </w:r>
      <w:r w:rsidR="002C1622">
        <w:t xml:space="preserve">full names </w:t>
      </w:r>
      <w:r>
        <w:t xml:space="preserve">will </w:t>
      </w:r>
      <w:r w:rsidR="002C1622">
        <w:t>not be used during the focus group or in any reporting.</w:t>
      </w:r>
      <w:r>
        <w:t xml:space="preserve"> </w:t>
      </w:r>
      <w:r w:rsidR="002C1622">
        <w:t xml:space="preserve">In addition, respondents will be informed </w:t>
      </w:r>
      <w:r>
        <w:t xml:space="preserve">that they do not have to answer questions that make them uncomfortable. </w:t>
      </w:r>
      <w:r w:rsidR="00484CB4">
        <w:t>A</w:t>
      </w:r>
      <w:r w:rsidRPr="00C65101">
        <w:t>ll respondents will be informed that they can decline to answer any question that they do not wish to answer</w:t>
      </w:r>
      <w:r>
        <w:t xml:space="preserve">, with </w:t>
      </w:r>
      <w:r w:rsidRPr="00C65101">
        <w:t>no negative co</w:t>
      </w:r>
      <w:r>
        <w:t>nsequences for not responding.</w:t>
      </w:r>
      <w:r w:rsidRPr="00C65101">
        <w:t xml:space="preserve"> </w:t>
      </w:r>
      <w:r>
        <w:t xml:space="preserve">Table </w:t>
      </w:r>
      <w:r w:rsidR="00484CB4">
        <w:t>A11.1</w:t>
      </w:r>
      <w:r>
        <w:t xml:space="preserve"> presents the justification for the sensitive topics included in the youth discussion guide.</w:t>
      </w:r>
    </w:p>
    <w:p w14:paraId="45704EEA" w14:textId="206FA48F" w:rsidR="00154D5D" w:rsidRDefault="00154D5D">
      <w:r>
        <w:br w:type="page"/>
      </w:r>
    </w:p>
    <w:p w14:paraId="7608CFCC" w14:textId="77777777" w:rsidR="008A39A2" w:rsidRDefault="008A39A2" w:rsidP="008A39A2">
      <w:pPr>
        <w:pStyle w:val="NormalSS"/>
      </w:pPr>
    </w:p>
    <w:p w14:paraId="009035FD" w14:textId="274DC351" w:rsidR="008A39A2" w:rsidRPr="00DC45E3" w:rsidRDefault="008A39A2" w:rsidP="008A39A2">
      <w:pPr>
        <w:pStyle w:val="MarkforTableHeading"/>
      </w:pPr>
      <w:bookmarkStart w:id="1" w:name="_Toc347323082"/>
      <w:r w:rsidRPr="0004451C">
        <w:t xml:space="preserve">Table </w:t>
      </w:r>
      <w:r w:rsidR="00484CB4" w:rsidRPr="0004451C">
        <w:t>A11.1</w:t>
      </w:r>
      <w:r w:rsidRPr="0004451C">
        <w:t xml:space="preserve">. Justification for Sensitive Questions in the </w:t>
      </w:r>
      <w:bookmarkEnd w:id="1"/>
      <w:r w:rsidRPr="0004451C">
        <w:t xml:space="preserve">Youth </w:t>
      </w:r>
      <w:r w:rsidR="00803F4F">
        <w:t xml:space="preserve">Interview/Focus Group </w:t>
      </w:r>
      <w:r w:rsidR="00776E40">
        <w:t>Topic</w:t>
      </w:r>
      <w:r w:rsidRPr="0004451C">
        <w:t xml:space="preserve"> Guide</w:t>
      </w:r>
      <w:r w:rsidR="0005133F" w:rsidRPr="0004451C">
        <w:t xml:space="preserve"> </w:t>
      </w:r>
      <w:r w:rsidR="00776E40">
        <w:t>(Instrument 4)</w:t>
      </w:r>
    </w:p>
    <w:tbl>
      <w:tblPr>
        <w:tblW w:w="5000" w:type="pct"/>
        <w:tblInd w:w="115" w:type="dxa"/>
        <w:tblBorders>
          <w:top w:val="single" w:sz="12" w:space="0" w:color="auto"/>
          <w:bottom w:val="single" w:sz="4" w:space="0" w:color="auto"/>
        </w:tblBorders>
        <w:tblLook w:val="04A0" w:firstRow="1" w:lastRow="0" w:firstColumn="1" w:lastColumn="0" w:noHBand="0" w:noVBand="1"/>
      </w:tblPr>
      <w:tblGrid>
        <w:gridCol w:w="3398"/>
        <w:gridCol w:w="6178"/>
      </w:tblGrid>
      <w:tr w:rsidR="008A39A2" w:rsidRPr="00DC45E3" w14:paraId="4C49A5E7" w14:textId="77777777" w:rsidTr="00874F8C">
        <w:trPr>
          <w:tblHeader/>
        </w:trPr>
        <w:tc>
          <w:tcPr>
            <w:tcW w:w="1774" w:type="pct"/>
            <w:tcBorders>
              <w:top w:val="single" w:sz="12" w:space="0" w:color="auto"/>
              <w:left w:val="nil"/>
              <w:bottom w:val="single" w:sz="2" w:space="0" w:color="auto"/>
              <w:right w:val="nil"/>
              <w:tl2br w:val="nil"/>
              <w:tr2bl w:val="nil"/>
            </w:tcBorders>
            <w:shd w:val="clear" w:color="auto" w:fill="auto"/>
          </w:tcPr>
          <w:p w14:paraId="3773C942" w14:textId="77777777" w:rsidR="008A39A2" w:rsidRPr="00DC45E3" w:rsidRDefault="008A39A2" w:rsidP="0004451C">
            <w:pPr>
              <w:pStyle w:val="TableText"/>
            </w:pPr>
            <w:r w:rsidRPr="00DC45E3">
              <w:t>Question Topic</w:t>
            </w:r>
          </w:p>
        </w:tc>
        <w:tc>
          <w:tcPr>
            <w:tcW w:w="3226" w:type="pct"/>
            <w:tcBorders>
              <w:top w:val="single" w:sz="12" w:space="0" w:color="auto"/>
              <w:left w:val="nil"/>
              <w:bottom w:val="single" w:sz="2" w:space="0" w:color="auto"/>
              <w:right w:val="nil"/>
              <w:tl2br w:val="nil"/>
              <w:tr2bl w:val="nil"/>
            </w:tcBorders>
            <w:shd w:val="clear" w:color="auto" w:fill="auto"/>
          </w:tcPr>
          <w:p w14:paraId="6FFCB21B" w14:textId="77777777" w:rsidR="008A39A2" w:rsidRPr="00DC45E3" w:rsidRDefault="008A39A2" w:rsidP="0004451C">
            <w:pPr>
              <w:pStyle w:val="TableText"/>
            </w:pPr>
            <w:r w:rsidRPr="00DC45E3">
              <w:t>Justification</w:t>
            </w:r>
          </w:p>
        </w:tc>
      </w:tr>
      <w:tr w:rsidR="008A39A2" w:rsidRPr="00DC45E3" w14:paraId="09883BD1" w14:textId="77777777" w:rsidTr="00874F8C">
        <w:tc>
          <w:tcPr>
            <w:tcW w:w="1774" w:type="pct"/>
            <w:shd w:val="clear" w:color="auto" w:fill="auto"/>
          </w:tcPr>
          <w:p w14:paraId="406E5E91" w14:textId="77777777" w:rsidR="008A39A2" w:rsidRPr="00DC45E3" w:rsidRDefault="004013EF" w:rsidP="0004451C">
            <w:pPr>
              <w:pStyle w:val="TableText"/>
            </w:pPr>
            <w:r>
              <w:t>S</w:t>
            </w:r>
            <w:r w:rsidR="00DB189B" w:rsidRPr="002C2822">
              <w:t>ex</w:t>
            </w:r>
            <w:r>
              <w:t>ual decision making (questions in section VI.A)</w:t>
            </w:r>
          </w:p>
        </w:tc>
        <w:tc>
          <w:tcPr>
            <w:tcW w:w="3226" w:type="pct"/>
            <w:shd w:val="clear" w:color="auto" w:fill="auto"/>
          </w:tcPr>
          <w:p w14:paraId="652EBDBC" w14:textId="77777777" w:rsidR="008A39A2" w:rsidRDefault="004013EF" w:rsidP="0004451C">
            <w:pPr>
              <w:pStyle w:val="TableText"/>
            </w:pPr>
            <w:r>
              <w:t xml:space="preserve">Sexual health education </w:t>
            </w:r>
            <w:r w:rsidR="00DB189B">
              <w:t xml:space="preserve">programs for youth aim to </w:t>
            </w:r>
            <w:r>
              <w:t xml:space="preserve">influence how youth make decisions about their involvement in sexual activity, including </w:t>
            </w:r>
            <w:r w:rsidR="00692291">
              <w:t xml:space="preserve">use of contraception when engaging in sexual activity and preventing the incidence of pregnancy and sexual transmitted infections. </w:t>
            </w:r>
            <w:r w:rsidR="00DB189B" w:rsidRPr="001352FA">
              <w:t>These questions were adapted from</w:t>
            </w:r>
            <w:r w:rsidR="00DB189B">
              <w:t xml:space="preserve"> </w:t>
            </w:r>
            <w:r w:rsidR="00716929">
              <w:t>similar instruments used by the Center for Innovative Public Health Research to inform development of their programs: Girl2Girl and Guy2Guy.</w:t>
            </w:r>
          </w:p>
          <w:p w14:paraId="4D31C610" w14:textId="77777777" w:rsidR="0004451C" w:rsidRPr="00DC45E3" w:rsidRDefault="0004451C" w:rsidP="0004451C">
            <w:pPr>
              <w:pStyle w:val="TableText"/>
              <w:rPr>
                <w:color w:val="000000"/>
              </w:rPr>
            </w:pPr>
          </w:p>
        </w:tc>
      </w:tr>
      <w:tr w:rsidR="008A39A2" w:rsidRPr="006F39B7" w14:paraId="4D7CCE2F" w14:textId="77777777" w:rsidTr="00874F8C">
        <w:tc>
          <w:tcPr>
            <w:tcW w:w="1774" w:type="pct"/>
            <w:shd w:val="clear" w:color="auto" w:fill="auto"/>
          </w:tcPr>
          <w:p w14:paraId="4A6B78E6" w14:textId="77777777" w:rsidR="008A39A2" w:rsidRPr="00874F8C" w:rsidRDefault="00692291" w:rsidP="0004451C">
            <w:pPr>
              <w:pStyle w:val="TableText"/>
              <w:rPr>
                <w:highlight w:val="yellow"/>
              </w:rPr>
            </w:pPr>
            <w:r>
              <w:t>Contraception</w:t>
            </w:r>
            <w:r w:rsidR="00DB189B" w:rsidRPr="00C72963">
              <w:t xml:space="preserve"> use </w:t>
            </w:r>
            <w:r>
              <w:t>(questions in section VI.B)</w:t>
            </w:r>
          </w:p>
        </w:tc>
        <w:tc>
          <w:tcPr>
            <w:tcW w:w="3226" w:type="pct"/>
            <w:shd w:val="clear" w:color="auto" w:fill="auto"/>
          </w:tcPr>
          <w:p w14:paraId="1809DD55" w14:textId="77777777" w:rsidR="008A39A2" w:rsidRPr="00874F8C" w:rsidRDefault="00692291" w:rsidP="0004451C">
            <w:pPr>
              <w:pStyle w:val="TableText"/>
              <w:rPr>
                <w:color w:val="000000"/>
              </w:rPr>
            </w:pPr>
            <w:r>
              <w:t>Contraception</w:t>
            </w:r>
            <w:r w:rsidR="00DB189B" w:rsidRPr="00C72963">
              <w:t xml:space="preserve"> use </w:t>
            </w:r>
            <w:r>
              <w:t>is central to both sexual health education programs</w:t>
            </w:r>
            <w:r w:rsidR="00B075BE">
              <w:t xml:space="preserve"> like the ones planned for development under this project</w:t>
            </w:r>
            <w:r>
              <w:t xml:space="preserve"> and PREP programs. </w:t>
            </w:r>
            <w:r w:rsidR="00DB189B">
              <w:t xml:space="preserve">Collecting this information will allow </w:t>
            </w:r>
            <w:r w:rsidR="0004451C">
              <w:t xml:space="preserve">the research team </w:t>
            </w:r>
            <w:r w:rsidR="00DB189B">
              <w:t xml:space="preserve">to </w:t>
            </w:r>
            <w:r>
              <w:t xml:space="preserve">understand the preferences of youth in the targeted underserved populations regarding types of contraception and access and use barriers. </w:t>
            </w:r>
          </w:p>
        </w:tc>
      </w:tr>
    </w:tbl>
    <w:p w14:paraId="47FEC5C7" w14:textId="77777777" w:rsidR="008A39A2" w:rsidRDefault="008A39A2" w:rsidP="008A39A2">
      <w:pPr>
        <w:pStyle w:val="NormalSS"/>
        <w:rPr>
          <w:b/>
        </w:rPr>
      </w:pPr>
    </w:p>
    <w:p w14:paraId="13F641EE" w14:textId="77777777" w:rsidR="00221133" w:rsidRDefault="00221133" w:rsidP="00292B70">
      <w:pPr>
        <w:rPr>
          <w:b/>
        </w:rPr>
      </w:pPr>
    </w:p>
    <w:p w14:paraId="694C0ABF" w14:textId="77777777" w:rsidR="00945CD6" w:rsidRPr="0072204D" w:rsidRDefault="00292B70" w:rsidP="00292B70">
      <w:pPr>
        <w:rPr>
          <w:b/>
        </w:rPr>
      </w:pPr>
      <w:r>
        <w:rPr>
          <w:b/>
        </w:rPr>
        <w:t xml:space="preserve">A12. </w:t>
      </w:r>
      <w:r w:rsidR="00945CD6" w:rsidRPr="0072204D">
        <w:rPr>
          <w:b/>
        </w:rPr>
        <w:t>Estimation of Information Collection Burden</w:t>
      </w:r>
    </w:p>
    <w:p w14:paraId="25451F93" w14:textId="6A81A917" w:rsidR="00F5009C" w:rsidRPr="00F5009C" w:rsidRDefault="00484CB4" w:rsidP="00BE521C">
      <w:pPr>
        <w:ind w:left="360"/>
      </w:pPr>
      <w:r>
        <w:t>Table A12.1</w:t>
      </w:r>
      <w:r w:rsidR="00D10DD6">
        <w:t xml:space="preserve"> provides the estimated annual reporting burden calculations for</w:t>
      </w:r>
      <w:r w:rsidR="00E730CF">
        <w:t xml:space="preserve"> the five</w:t>
      </w:r>
      <w:r w:rsidR="00D10DD6">
        <w:t xml:space="preserve"> instruments included in this request. </w:t>
      </w:r>
      <w:r w:rsidR="0082643D">
        <w:t>This request i</w:t>
      </w:r>
      <w:r w:rsidR="00C2063C">
        <w:t>s</w:t>
      </w:r>
      <w:r w:rsidR="0082643D">
        <w:t xml:space="preserve"> for three years of data collection. </w:t>
      </w:r>
      <w:r w:rsidR="00D10DD6">
        <w:t xml:space="preserve">The total annual burden is estimated to </w:t>
      </w:r>
      <w:r w:rsidR="00D10DD6" w:rsidRPr="007E7AB5">
        <w:t xml:space="preserve">be </w:t>
      </w:r>
      <w:r w:rsidR="00E54BBA">
        <w:t>2</w:t>
      </w:r>
      <w:r w:rsidR="00C64DA1">
        <w:t>4</w:t>
      </w:r>
      <w:r w:rsidR="00E54BBA">
        <w:t xml:space="preserve">1 </w:t>
      </w:r>
      <w:r w:rsidR="00D10DD6" w:rsidRPr="00026E3C">
        <w:t>hours</w:t>
      </w:r>
      <w:r w:rsidR="00B35C2E">
        <w:t>.</w:t>
      </w:r>
      <w:r w:rsidR="00D10DD6">
        <w:t xml:space="preserve"> </w:t>
      </w:r>
      <w:r w:rsidR="00F5009C" w:rsidRPr="00F5009C">
        <w:t xml:space="preserve">Assumptions by instrument </w:t>
      </w:r>
      <w:r w:rsidR="00F5009C">
        <w:t>follow.</w:t>
      </w:r>
      <w:r w:rsidR="00F5009C" w:rsidRPr="00F5009C">
        <w:t xml:space="preserve"> </w:t>
      </w:r>
    </w:p>
    <w:p w14:paraId="67D90A3D" w14:textId="77777777" w:rsidR="00A35B0D" w:rsidRDefault="00A35B0D" w:rsidP="00D069D4">
      <w:pPr>
        <w:ind w:left="360"/>
      </w:pPr>
    </w:p>
    <w:p w14:paraId="0C6ABD13" w14:textId="1CA53B21" w:rsidR="00BE521C" w:rsidRPr="00BE521C" w:rsidRDefault="00BE521C" w:rsidP="00BE521C">
      <w:pPr>
        <w:ind w:left="360"/>
      </w:pPr>
      <w:r w:rsidRPr="00BE521C">
        <w:rPr>
          <w:b/>
        </w:rPr>
        <w:t>Evaluation abstract template (Instrument 1).</w:t>
      </w:r>
      <w:r w:rsidRPr="00BE521C">
        <w:t xml:space="preserve"> At most, 29 grantees will complete the evaluation abstract template (i.e. all grantees, regardless of study design). On average, it will take three hours to complete this </w:t>
      </w:r>
      <w:r w:rsidR="00642C67">
        <w:t>template.</w:t>
      </w:r>
      <w:r w:rsidR="00642C67" w:rsidRPr="00BE521C">
        <w:t xml:space="preserve"> </w:t>
      </w:r>
      <w:r w:rsidRPr="00BE521C">
        <w:t>The abstract will be updated each year to make sure that it remains current. The estimated total annual burden for this effort is 87 hours.</w:t>
      </w:r>
    </w:p>
    <w:p w14:paraId="75E43F7E" w14:textId="77777777" w:rsidR="00BE521C" w:rsidRPr="00BE521C" w:rsidRDefault="00BE521C" w:rsidP="00BE521C">
      <w:pPr>
        <w:ind w:left="360"/>
      </w:pPr>
    </w:p>
    <w:p w14:paraId="5064AA73" w14:textId="77777777" w:rsidR="00221133" w:rsidRDefault="00221133" w:rsidP="00221133">
      <w:pPr>
        <w:ind w:left="360"/>
      </w:pPr>
      <w:r w:rsidRPr="00221133">
        <w:rPr>
          <w:b/>
        </w:rPr>
        <w:t>CONSORT diagram template (Instrument 2).</w:t>
      </w:r>
      <w:r w:rsidRPr="00221133">
        <w:t xml:space="preserve"> At most, 29 grantees will complete the CONSORT diagram template (i.e. all grantees, regardless of study design). Respondents will submit a completed CONSORT diagram template every six months while the evaluation enrolls sample and collects follow-up data. Assuming that this could occur over a maximum of three years, the study team expects grantees to submit the CONSORT diagram up to six times and it will take an hour to complete the CONSORT each time. The estimated annual burden for the effort is 58 hours.</w:t>
      </w:r>
    </w:p>
    <w:p w14:paraId="40EBEA59" w14:textId="4B18BABF" w:rsidR="00154D5D" w:rsidRDefault="00154D5D">
      <w:r>
        <w:br w:type="page"/>
      </w:r>
    </w:p>
    <w:p w14:paraId="0EC1121F" w14:textId="77777777" w:rsidR="007E35A1" w:rsidRPr="00221133" w:rsidRDefault="007E35A1" w:rsidP="00221133">
      <w:pPr>
        <w:ind w:left="360"/>
      </w:pPr>
    </w:p>
    <w:p w14:paraId="358A39BD" w14:textId="77777777" w:rsidR="00080FD0" w:rsidRPr="00080FD0" w:rsidRDefault="00080FD0" w:rsidP="00D069D4">
      <w:pPr>
        <w:ind w:left="360"/>
      </w:pPr>
      <w:r>
        <w:rPr>
          <w:b/>
        </w:rPr>
        <w:t>Table</w:t>
      </w:r>
      <w:r w:rsidR="00736E6C">
        <w:rPr>
          <w:b/>
        </w:rPr>
        <w:t xml:space="preserve"> A12</w:t>
      </w:r>
      <w:r>
        <w:rPr>
          <w:b/>
        </w:rPr>
        <w:t>.</w:t>
      </w:r>
      <w:r w:rsidR="00736E6C">
        <w:rPr>
          <w:b/>
        </w:rPr>
        <w:t>1</w:t>
      </w:r>
      <w:r>
        <w:rPr>
          <w:b/>
        </w:rPr>
        <w:t xml:space="preserve"> </w:t>
      </w:r>
      <w:r w:rsidRPr="00080FD0">
        <w:rPr>
          <w:b/>
        </w:rPr>
        <w:t>Total Burden Requested Under this Information Collection</w:t>
      </w:r>
      <w:r w:rsidR="00736E6C">
        <w:rPr>
          <w:b/>
        </w:rPr>
        <w:t xml:space="preserve"> Request</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1170"/>
        <w:gridCol w:w="1170"/>
        <w:gridCol w:w="1260"/>
        <w:gridCol w:w="1260"/>
        <w:gridCol w:w="1170"/>
        <w:gridCol w:w="810"/>
        <w:gridCol w:w="1004"/>
      </w:tblGrid>
      <w:tr w:rsidR="00B35C2E" w:rsidRPr="00E730CF" w14:paraId="1AFEA02E" w14:textId="77777777" w:rsidTr="00F310F4">
        <w:trPr>
          <w:trHeight w:val="872"/>
          <w:jc w:val="center"/>
        </w:trPr>
        <w:tc>
          <w:tcPr>
            <w:tcW w:w="1440" w:type="dxa"/>
            <w:shd w:val="clear" w:color="auto" w:fill="BFBFBF"/>
            <w:vAlign w:val="center"/>
          </w:tcPr>
          <w:p w14:paraId="12D5E699" w14:textId="77777777" w:rsidR="00080FD0" w:rsidRPr="00B35C2E" w:rsidRDefault="00080FD0" w:rsidP="00B35C2E">
            <w:pPr>
              <w:rPr>
                <w:sz w:val="17"/>
                <w:szCs w:val="17"/>
              </w:rPr>
            </w:pPr>
            <w:r w:rsidRPr="00B35C2E">
              <w:rPr>
                <w:sz w:val="17"/>
                <w:szCs w:val="17"/>
              </w:rPr>
              <w:t>Instrument</w:t>
            </w:r>
          </w:p>
        </w:tc>
        <w:tc>
          <w:tcPr>
            <w:tcW w:w="1170" w:type="dxa"/>
            <w:shd w:val="clear" w:color="auto" w:fill="BFBFBF"/>
            <w:vAlign w:val="center"/>
          </w:tcPr>
          <w:p w14:paraId="32FC3461" w14:textId="77777777" w:rsidR="00080FD0" w:rsidRPr="00B35C2E" w:rsidRDefault="00080FD0" w:rsidP="00B35C2E">
            <w:pPr>
              <w:jc w:val="center"/>
              <w:rPr>
                <w:sz w:val="17"/>
                <w:szCs w:val="17"/>
              </w:rPr>
            </w:pPr>
            <w:r w:rsidRPr="00B35C2E">
              <w:rPr>
                <w:sz w:val="17"/>
                <w:szCs w:val="17"/>
              </w:rPr>
              <w:t>Total Number of Respondents</w:t>
            </w:r>
          </w:p>
        </w:tc>
        <w:tc>
          <w:tcPr>
            <w:tcW w:w="1170" w:type="dxa"/>
            <w:shd w:val="clear" w:color="auto" w:fill="BFBFBF"/>
            <w:vAlign w:val="center"/>
          </w:tcPr>
          <w:p w14:paraId="10723AF1" w14:textId="77777777" w:rsidR="00080FD0" w:rsidRPr="00B35C2E" w:rsidRDefault="00080FD0" w:rsidP="00B35C2E">
            <w:pPr>
              <w:jc w:val="center"/>
              <w:rPr>
                <w:sz w:val="17"/>
                <w:szCs w:val="17"/>
              </w:rPr>
            </w:pPr>
            <w:r w:rsidRPr="00B35C2E">
              <w:rPr>
                <w:sz w:val="17"/>
                <w:szCs w:val="17"/>
              </w:rPr>
              <w:t>Annual Number of Respondents</w:t>
            </w:r>
          </w:p>
        </w:tc>
        <w:tc>
          <w:tcPr>
            <w:tcW w:w="1260" w:type="dxa"/>
            <w:shd w:val="clear" w:color="auto" w:fill="BFBFBF"/>
            <w:vAlign w:val="center"/>
          </w:tcPr>
          <w:p w14:paraId="094BF0E4" w14:textId="77777777" w:rsidR="00080FD0" w:rsidRPr="00B35C2E" w:rsidRDefault="00080FD0" w:rsidP="00B35C2E">
            <w:pPr>
              <w:jc w:val="center"/>
              <w:rPr>
                <w:sz w:val="17"/>
                <w:szCs w:val="17"/>
              </w:rPr>
            </w:pPr>
            <w:r w:rsidRPr="00B35C2E">
              <w:rPr>
                <w:sz w:val="17"/>
                <w:szCs w:val="17"/>
              </w:rPr>
              <w:t>Number of Responses Per Respondent</w:t>
            </w:r>
            <w:r w:rsidR="00F310F4">
              <w:rPr>
                <w:sz w:val="17"/>
                <w:szCs w:val="17"/>
              </w:rPr>
              <w:t xml:space="preserve"> per year</w:t>
            </w:r>
          </w:p>
        </w:tc>
        <w:tc>
          <w:tcPr>
            <w:tcW w:w="1260" w:type="dxa"/>
            <w:shd w:val="clear" w:color="auto" w:fill="BFBFBF"/>
            <w:vAlign w:val="center"/>
          </w:tcPr>
          <w:p w14:paraId="41651D4A" w14:textId="77777777" w:rsidR="00080FD0" w:rsidRPr="00B35C2E" w:rsidRDefault="00080FD0" w:rsidP="00B35C2E">
            <w:pPr>
              <w:jc w:val="center"/>
              <w:rPr>
                <w:sz w:val="17"/>
                <w:szCs w:val="17"/>
              </w:rPr>
            </w:pPr>
            <w:r w:rsidRPr="00B35C2E">
              <w:rPr>
                <w:sz w:val="17"/>
                <w:szCs w:val="17"/>
              </w:rPr>
              <w:t>Average Burden Hours Per Response</w:t>
            </w:r>
          </w:p>
        </w:tc>
        <w:tc>
          <w:tcPr>
            <w:tcW w:w="1170" w:type="dxa"/>
            <w:shd w:val="clear" w:color="auto" w:fill="BFBFBF"/>
            <w:vAlign w:val="center"/>
          </w:tcPr>
          <w:p w14:paraId="5F217E24" w14:textId="77777777" w:rsidR="00080FD0" w:rsidRPr="00B35C2E" w:rsidRDefault="00080FD0" w:rsidP="00B35C2E">
            <w:pPr>
              <w:jc w:val="center"/>
              <w:rPr>
                <w:bCs/>
                <w:sz w:val="17"/>
                <w:szCs w:val="17"/>
              </w:rPr>
            </w:pPr>
            <w:r w:rsidRPr="00B35C2E">
              <w:rPr>
                <w:bCs/>
                <w:sz w:val="17"/>
                <w:szCs w:val="17"/>
              </w:rPr>
              <w:t>Annual Burden Hours</w:t>
            </w:r>
          </w:p>
        </w:tc>
        <w:tc>
          <w:tcPr>
            <w:tcW w:w="810" w:type="dxa"/>
            <w:shd w:val="clear" w:color="auto" w:fill="BFBFBF"/>
            <w:vAlign w:val="center"/>
          </w:tcPr>
          <w:p w14:paraId="22F11840" w14:textId="77777777" w:rsidR="00080FD0" w:rsidRPr="00B35C2E" w:rsidRDefault="00080FD0" w:rsidP="00B35C2E">
            <w:pPr>
              <w:jc w:val="center"/>
              <w:rPr>
                <w:sz w:val="17"/>
                <w:szCs w:val="17"/>
              </w:rPr>
            </w:pPr>
            <w:r w:rsidRPr="00B35C2E">
              <w:rPr>
                <w:bCs/>
                <w:sz w:val="17"/>
                <w:szCs w:val="17"/>
              </w:rPr>
              <w:t>Average Hourly Wage</w:t>
            </w:r>
          </w:p>
        </w:tc>
        <w:tc>
          <w:tcPr>
            <w:tcW w:w="1004" w:type="dxa"/>
            <w:shd w:val="clear" w:color="auto" w:fill="BFBFBF"/>
            <w:vAlign w:val="center"/>
          </w:tcPr>
          <w:p w14:paraId="163C1BAE" w14:textId="77777777" w:rsidR="00080FD0" w:rsidRPr="00B35C2E" w:rsidRDefault="00080FD0" w:rsidP="00B35C2E">
            <w:pPr>
              <w:jc w:val="center"/>
              <w:rPr>
                <w:sz w:val="17"/>
                <w:szCs w:val="17"/>
              </w:rPr>
            </w:pPr>
            <w:r w:rsidRPr="00B35C2E">
              <w:rPr>
                <w:bCs/>
                <w:sz w:val="17"/>
                <w:szCs w:val="17"/>
              </w:rPr>
              <w:t>Total Annual Cost</w:t>
            </w:r>
          </w:p>
        </w:tc>
      </w:tr>
      <w:tr w:rsidR="00B35C2E" w:rsidRPr="00E730CF" w14:paraId="0411BE2D" w14:textId="77777777" w:rsidTr="00192D8F">
        <w:trPr>
          <w:trHeight w:val="432"/>
          <w:jc w:val="center"/>
        </w:trPr>
        <w:tc>
          <w:tcPr>
            <w:tcW w:w="1440" w:type="dxa"/>
          </w:tcPr>
          <w:p w14:paraId="3553C081" w14:textId="77777777" w:rsidR="00080FD0" w:rsidRPr="00B35C2E" w:rsidRDefault="000562EB" w:rsidP="00B35C2E">
            <w:pPr>
              <w:rPr>
                <w:sz w:val="17"/>
                <w:szCs w:val="17"/>
              </w:rPr>
            </w:pPr>
            <w:r>
              <w:rPr>
                <w:sz w:val="17"/>
                <w:szCs w:val="17"/>
              </w:rPr>
              <w:t>Instrument 1</w:t>
            </w:r>
            <w:r w:rsidR="001C1C4C">
              <w:rPr>
                <w:sz w:val="17"/>
                <w:szCs w:val="17"/>
              </w:rPr>
              <w:t xml:space="preserve"> </w:t>
            </w:r>
            <w:r w:rsidR="00080FD0" w:rsidRPr="00B35C2E">
              <w:rPr>
                <w:sz w:val="17"/>
                <w:szCs w:val="17"/>
              </w:rPr>
              <w:t>Evaluation abstract template</w:t>
            </w:r>
          </w:p>
        </w:tc>
        <w:tc>
          <w:tcPr>
            <w:tcW w:w="1170" w:type="dxa"/>
            <w:vAlign w:val="center"/>
          </w:tcPr>
          <w:p w14:paraId="690CECC1" w14:textId="77777777" w:rsidR="00080FD0" w:rsidRPr="00B35C2E" w:rsidRDefault="00E13DC1" w:rsidP="00B35C2E">
            <w:pPr>
              <w:jc w:val="center"/>
              <w:rPr>
                <w:sz w:val="17"/>
                <w:szCs w:val="17"/>
              </w:rPr>
            </w:pPr>
            <w:r w:rsidRPr="00B35C2E">
              <w:rPr>
                <w:sz w:val="17"/>
                <w:szCs w:val="17"/>
              </w:rPr>
              <w:t>29</w:t>
            </w:r>
          </w:p>
        </w:tc>
        <w:tc>
          <w:tcPr>
            <w:tcW w:w="1170" w:type="dxa"/>
            <w:vAlign w:val="center"/>
          </w:tcPr>
          <w:p w14:paraId="2FE3846D" w14:textId="77777777" w:rsidR="00080FD0" w:rsidRPr="00B35C2E" w:rsidRDefault="00F310F4" w:rsidP="00B35C2E">
            <w:pPr>
              <w:jc w:val="center"/>
              <w:rPr>
                <w:sz w:val="17"/>
                <w:szCs w:val="17"/>
              </w:rPr>
            </w:pPr>
            <w:r>
              <w:rPr>
                <w:sz w:val="17"/>
                <w:szCs w:val="17"/>
              </w:rPr>
              <w:t>29</w:t>
            </w:r>
          </w:p>
        </w:tc>
        <w:tc>
          <w:tcPr>
            <w:tcW w:w="1260" w:type="dxa"/>
            <w:vAlign w:val="center"/>
          </w:tcPr>
          <w:p w14:paraId="465C1B0B" w14:textId="77777777" w:rsidR="00080FD0" w:rsidRPr="00B35C2E" w:rsidRDefault="00DD1BBF" w:rsidP="00B35C2E">
            <w:pPr>
              <w:jc w:val="center"/>
              <w:rPr>
                <w:sz w:val="17"/>
                <w:szCs w:val="17"/>
              </w:rPr>
            </w:pPr>
            <w:r>
              <w:rPr>
                <w:sz w:val="17"/>
                <w:szCs w:val="17"/>
              </w:rPr>
              <w:t>1</w:t>
            </w:r>
          </w:p>
        </w:tc>
        <w:tc>
          <w:tcPr>
            <w:tcW w:w="1260" w:type="dxa"/>
            <w:vAlign w:val="center"/>
          </w:tcPr>
          <w:p w14:paraId="56865FD8" w14:textId="77777777" w:rsidR="00080FD0" w:rsidRPr="00B35C2E" w:rsidRDefault="00080FD0" w:rsidP="00B35C2E">
            <w:pPr>
              <w:jc w:val="center"/>
              <w:rPr>
                <w:sz w:val="17"/>
                <w:szCs w:val="17"/>
              </w:rPr>
            </w:pPr>
            <w:r w:rsidRPr="00B35C2E">
              <w:rPr>
                <w:sz w:val="17"/>
                <w:szCs w:val="17"/>
              </w:rPr>
              <w:t>3</w:t>
            </w:r>
          </w:p>
        </w:tc>
        <w:tc>
          <w:tcPr>
            <w:tcW w:w="1170" w:type="dxa"/>
            <w:vAlign w:val="center"/>
          </w:tcPr>
          <w:p w14:paraId="7C17BC0E" w14:textId="77777777" w:rsidR="00080FD0" w:rsidRPr="00B35C2E" w:rsidRDefault="00F310F4" w:rsidP="00B35C2E">
            <w:pPr>
              <w:jc w:val="center"/>
              <w:rPr>
                <w:sz w:val="17"/>
                <w:szCs w:val="17"/>
              </w:rPr>
            </w:pPr>
            <w:r>
              <w:rPr>
                <w:sz w:val="17"/>
                <w:szCs w:val="17"/>
              </w:rPr>
              <w:t>87</w:t>
            </w:r>
          </w:p>
        </w:tc>
        <w:tc>
          <w:tcPr>
            <w:tcW w:w="810" w:type="dxa"/>
            <w:vAlign w:val="center"/>
          </w:tcPr>
          <w:p w14:paraId="35965614" w14:textId="77777777" w:rsidR="00080FD0" w:rsidRPr="00B35C2E" w:rsidRDefault="00BE088C" w:rsidP="00B35C2E">
            <w:pPr>
              <w:jc w:val="center"/>
              <w:rPr>
                <w:sz w:val="17"/>
                <w:szCs w:val="17"/>
              </w:rPr>
            </w:pPr>
            <w:r w:rsidRPr="00BE088C">
              <w:rPr>
                <w:sz w:val="17"/>
                <w:szCs w:val="17"/>
              </w:rPr>
              <w:t>$33.38</w:t>
            </w:r>
          </w:p>
        </w:tc>
        <w:tc>
          <w:tcPr>
            <w:tcW w:w="1004" w:type="dxa"/>
            <w:shd w:val="clear" w:color="auto" w:fill="auto"/>
            <w:vAlign w:val="center"/>
          </w:tcPr>
          <w:p w14:paraId="637113CE" w14:textId="77777777" w:rsidR="00080FD0" w:rsidRPr="00B35C2E" w:rsidRDefault="00466B03" w:rsidP="00BE088C">
            <w:pPr>
              <w:jc w:val="center"/>
              <w:rPr>
                <w:sz w:val="17"/>
                <w:szCs w:val="17"/>
              </w:rPr>
            </w:pPr>
            <w:r>
              <w:rPr>
                <w:sz w:val="17"/>
                <w:szCs w:val="17"/>
              </w:rPr>
              <w:t>$2,904.06</w:t>
            </w:r>
          </w:p>
        </w:tc>
      </w:tr>
      <w:tr w:rsidR="00B35C2E" w:rsidRPr="00E730CF" w14:paraId="472919A4" w14:textId="77777777" w:rsidTr="00192D8F">
        <w:trPr>
          <w:trHeight w:val="432"/>
          <w:jc w:val="center"/>
        </w:trPr>
        <w:tc>
          <w:tcPr>
            <w:tcW w:w="1440" w:type="dxa"/>
          </w:tcPr>
          <w:p w14:paraId="37B96CE2" w14:textId="77777777" w:rsidR="00080FD0" w:rsidRPr="00B35C2E" w:rsidRDefault="000562EB" w:rsidP="000562EB">
            <w:pPr>
              <w:rPr>
                <w:sz w:val="17"/>
                <w:szCs w:val="17"/>
              </w:rPr>
            </w:pPr>
            <w:r>
              <w:rPr>
                <w:sz w:val="17"/>
                <w:szCs w:val="17"/>
              </w:rPr>
              <w:t>Instrument 2</w:t>
            </w:r>
            <w:r w:rsidR="001C1C4C">
              <w:rPr>
                <w:sz w:val="17"/>
                <w:szCs w:val="17"/>
              </w:rPr>
              <w:t xml:space="preserve"> </w:t>
            </w:r>
            <w:r w:rsidR="00080FD0" w:rsidRPr="00B35C2E">
              <w:rPr>
                <w:sz w:val="17"/>
                <w:szCs w:val="17"/>
              </w:rPr>
              <w:t>CONSORT diagram template</w:t>
            </w:r>
          </w:p>
        </w:tc>
        <w:tc>
          <w:tcPr>
            <w:tcW w:w="1170" w:type="dxa"/>
            <w:vAlign w:val="center"/>
          </w:tcPr>
          <w:p w14:paraId="5F92FE34" w14:textId="77777777" w:rsidR="00080FD0" w:rsidRPr="00B35C2E" w:rsidRDefault="00E13DC1" w:rsidP="00B35C2E">
            <w:pPr>
              <w:jc w:val="center"/>
              <w:rPr>
                <w:sz w:val="17"/>
                <w:szCs w:val="17"/>
              </w:rPr>
            </w:pPr>
            <w:r w:rsidRPr="00B35C2E">
              <w:rPr>
                <w:sz w:val="17"/>
                <w:szCs w:val="17"/>
              </w:rPr>
              <w:t>29</w:t>
            </w:r>
          </w:p>
        </w:tc>
        <w:tc>
          <w:tcPr>
            <w:tcW w:w="1170" w:type="dxa"/>
            <w:vAlign w:val="center"/>
          </w:tcPr>
          <w:p w14:paraId="252F0482" w14:textId="77777777" w:rsidR="00080FD0" w:rsidRPr="00B35C2E" w:rsidRDefault="00F310F4" w:rsidP="00B35C2E">
            <w:pPr>
              <w:jc w:val="center"/>
              <w:rPr>
                <w:sz w:val="17"/>
                <w:szCs w:val="17"/>
              </w:rPr>
            </w:pPr>
            <w:r>
              <w:rPr>
                <w:sz w:val="17"/>
                <w:szCs w:val="17"/>
              </w:rPr>
              <w:t>29</w:t>
            </w:r>
          </w:p>
        </w:tc>
        <w:tc>
          <w:tcPr>
            <w:tcW w:w="1260" w:type="dxa"/>
            <w:vAlign w:val="center"/>
          </w:tcPr>
          <w:p w14:paraId="17CCAD1F" w14:textId="77777777" w:rsidR="00080FD0" w:rsidRPr="00B35C2E" w:rsidRDefault="00DD1BBF" w:rsidP="00B35C2E">
            <w:pPr>
              <w:jc w:val="center"/>
              <w:rPr>
                <w:sz w:val="17"/>
                <w:szCs w:val="17"/>
              </w:rPr>
            </w:pPr>
            <w:r>
              <w:rPr>
                <w:sz w:val="17"/>
                <w:szCs w:val="17"/>
              </w:rPr>
              <w:t>2</w:t>
            </w:r>
          </w:p>
        </w:tc>
        <w:tc>
          <w:tcPr>
            <w:tcW w:w="1260" w:type="dxa"/>
            <w:vAlign w:val="center"/>
          </w:tcPr>
          <w:p w14:paraId="221A3317" w14:textId="77777777" w:rsidR="00080FD0" w:rsidRPr="00B35C2E" w:rsidRDefault="002C04E6" w:rsidP="00B35C2E">
            <w:pPr>
              <w:jc w:val="center"/>
              <w:rPr>
                <w:sz w:val="17"/>
                <w:szCs w:val="17"/>
              </w:rPr>
            </w:pPr>
            <w:r>
              <w:rPr>
                <w:sz w:val="17"/>
                <w:szCs w:val="17"/>
              </w:rPr>
              <w:t>1</w:t>
            </w:r>
          </w:p>
        </w:tc>
        <w:tc>
          <w:tcPr>
            <w:tcW w:w="1170" w:type="dxa"/>
            <w:vAlign w:val="center"/>
          </w:tcPr>
          <w:p w14:paraId="6226AF01" w14:textId="77777777" w:rsidR="00080FD0" w:rsidRPr="00B35C2E" w:rsidRDefault="00466B03" w:rsidP="00466B03">
            <w:pPr>
              <w:jc w:val="center"/>
              <w:rPr>
                <w:sz w:val="17"/>
                <w:szCs w:val="17"/>
              </w:rPr>
            </w:pPr>
            <w:r>
              <w:rPr>
                <w:sz w:val="17"/>
                <w:szCs w:val="17"/>
              </w:rPr>
              <w:t>58</w:t>
            </w:r>
          </w:p>
        </w:tc>
        <w:tc>
          <w:tcPr>
            <w:tcW w:w="810" w:type="dxa"/>
            <w:vAlign w:val="center"/>
          </w:tcPr>
          <w:p w14:paraId="0114954E" w14:textId="77777777" w:rsidR="00080FD0" w:rsidRPr="00B35C2E" w:rsidRDefault="00BE088C" w:rsidP="00B35C2E">
            <w:pPr>
              <w:jc w:val="center"/>
              <w:rPr>
                <w:sz w:val="17"/>
                <w:szCs w:val="17"/>
              </w:rPr>
            </w:pPr>
            <w:r w:rsidRPr="00BE088C">
              <w:rPr>
                <w:sz w:val="17"/>
                <w:szCs w:val="17"/>
              </w:rPr>
              <w:t>$33.38</w:t>
            </w:r>
          </w:p>
        </w:tc>
        <w:tc>
          <w:tcPr>
            <w:tcW w:w="1004" w:type="dxa"/>
            <w:shd w:val="clear" w:color="auto" w:fill="auto"/>
            <w:vAlign w:val="center"/>
          </w:tcPr>
          <w:p w14:paraId="0DB07FF2" w14:textId="77777777" w:rsidR="00080FD0" w:rsidRPr="00B35C2E" w:rsidRDefault="00466B03" w:rsidP="00466B03">
            <w:pPr>
              <w:jc w:val="center"/>
              <w:rPr>
                <w:sz w:val="17"/>
                <w:szCs w:val="17"/>
              </w:rPr>
            </w:pPr>
            <w:r>
              <w:rPr>
                <w:sz w:val="17"/>
                <w:szCs w:val="17"/>
              </w:rPr>
              <w:t>$1,936.04</w:t>
            </w:r>
          </w:p>
        </w:tc>
      </w:tr>
      <w:tr w:rsidR="00B35C2E" w:rsidRPr="00E730CF" w14:paraId="65BF0414" w14:textId="77777777" w:rsidTr="00192D8F">
        <w:trPr>
          <w:trHeight w:val="432"/>
          <w:jc w:val="center"/>
        </w:trPr>
        <w:tc>
          <w:tcPr>
            <w:tcW w:w="1440" w:type="dxa"/>
          </w:tcPr>
          <w:p w14:paraId="0EC98CCC" w14:textId="77777777" w:rsidR="00080FD0" w:rsidRPr="00B35C2E" w:rsidRDefault="000562EB" w:rsidP="00B35C2E">
            <w:pPr>
              <w:rPr>
                <w:sz w:val="17"/>
                <w:szCs w:val="17"/>
              </w:rPr>
            </w:pPr>
            <w:r>
              <w:rPr>
                <w:sz w:val="17"/>
                <w:szCs w:val="17"/>
              </w:rPr>
              <w:t>Instrument 3</w:t>
            </w:r>
            <w:r w:rsidR="001C1C4C">
              <w:rPr>
                <w:sz w:val="17"/>
                <w:szCs w:val="17"/>
              </w:rPr>
              <w:t xml:space="preserve"> </w:t>
            </w:r>
            <w:r w:rsidR="00080FD0" w:rsidRPr="00B35C2E">
              <w:rPr>
                <w:sz w:val="17"/>
                <w:szCs w:val="17"/>
              </w:rPr>
              <w:t>Baseline equivalence template</w:t>
            </w:r>
          </w:p>
        </w:tc>
        <w:tc>
          <w:tcPr>
            <w:tcW w:w="1170" w:type="dxa"/>
            <w:vAlign w:val="center"/>
          </w:tcPr>
          <w:p w14:paraId="652B3298" w14:textId="77777777" w:rsidR="00080FD0" w:rsidRPr="00B35C2E" w:rsidRDefault="00080FD0" w:rsidP="00B35C2E">
            <w:pPr>
              <w:jc w:val="center"/>
              <w:rPr>
                <w:sz w:val="17"/>
                <w:szCs w:val="17"/>
              </w:rPr>
            </w:pPr>
            <w:r w:rsidRPr="00B35C2E">
              <w:rPr>
                <w:sz w:val="17"/>
                <w:szCs w:val="17"/>
              </w:rPr>
              <w:t>1</w:t>
            </w:r>
            <w:r w:rsidR="00E13DC1" w:rsidRPr="00B35C2E">
              <w:rPr>
                <w:sz w:val="17"/>
                <w:szCs w:val="17"/>
              </w:rPr>
              <w:t>6</w:t>
            </w:r>
          </w:p>
        </w:tc>
        <w:tc>
          <w:tcPr>
            <w:tcW w:w="1170" w:type="dxa"/>
            <w:vAlign w:val="center"/>
          </w:tcPr>
          <w:p w14:paraId="4540CBCF" w14:textId="77777777" w:rsidR="00080FD0" w:rsidRPr="00B35C2E" w:rsidRDefault="00466B03" w:rsidP="00B35C2E">
            <w:pPr>
              <w:jc w:val="center"/>
              <w:rPr>
                <w:sz w:val="17"/>
                <w:szCs w:val="17"/>
              </w:rPr>
            </w:pPr>
            <w:r>
              <w:rPr>
                <w:sz w:val="17"/>
                <w:szCs w:val="17"/>
              </w:rPr>
              <w:t>16</w:t>
            </w:r>
          </w:p>
        </w:tc>
        <w:tc>
          <w:tcPr>
            <w:tcW w:w="1260" w:type="dxa"/>
            <w:vAlign w:val="center"/>
          </w:tcPr>
          <w:p w14:paraId="61D78ED3" w14:textId="77777777" w:rsidR="00080FD0" w:rsidRPr="00B35C2E" w:rsidRDefault="00DD1BBF" w:rsidP="00B35C2E">
            <w:pPr>
              <w:jc w:val="center"/>
              <w:rPr>
                <w:sz w:val="17"/>
                <w:szCs w:val="17"/>
              </w:rPr>
            </w:pPr>
            <w:r>
              <w:rPr>
                <w:sz w:val="17"/>
                <w:szCs w:val="17"/>
              </w:rPr>
              <w:t>2</w:t>
            </w:r>
          </w:p>
        </w:tc>
        <w:tc>
          <w:tcPr>
            <w:tcW w:w="1260" w:type="dxa"/>
            <w:vAlign w:val="center"/>
          </w:tcPr>
          <w:p w14:paraId="258F318F" w14:textId="77777777" w:rsidR="00080FD0" w:rsidRPr="00B35C2E" w:rsidRDefault="002C04E6" w:rsidP="00B35C2E">
            <w:pPr>
              <w:jc w:val="center"/>
              <w:rPr>
                <w:sz w:val="17"/>
                <w:szCs w:val="17"/>
              </w:rPr>
            </w:pPr>
            <w:r>
              <w:rPr>
                <w:sz w:val="17"/>
                <w:szCs w:val="17"/>
              </w:rPr>
              <w:t>2</w:t>
            </w:r>
          </w:p>
        </w:tc>
        <w:tc>
          <w:tcPr>
            <w:tcW w:w="1170" w:type="dxa"/>
            <w:vAlign w:val="center"/>
          </w:tcPr>
          <w:p w14:paraId="016D0CED" w14:textId="77777777" w:rsidR="00080FD0" w:rsidRPr="00B35C2E" w:rsidRDefault="00466B03" w:rsidP="00B35C2E">
            <w:pPr>
              <w:jc w:val="center"/>
              <w:rPr>
                <w:sz w:val="17"/>
                <w:szCs w:val="17"/>
              </w:rPr>
            </w:pPr>
            <w:r>
              <w:rPr>
                <w:sz w:val="17"/>
                <w:szCs w:val="17"/>
              </w:rPr>
              <w:t>64</w:t>
            </w:r>
          </w:p>
        </w:tc>
        <w:tc>
          <w:tcPr>
            <w:tcW w:w="810" w:type="dxa"/>
            <w:vAlign w:val="center"/>
          </w:tcPr>
          <w:p w14:paraId="4F9588A2" w14:textId="77777777" w:rsidR="00080FD0" w:rsidRPr="00B35C2E" w:rsidRDefault="00BE088C" w:rsidP="00B35C2E">
            <w:pPr>
              <w:jc w:val="center"/>
              <w:rPr>
                <w:sz w:val="17"/>
                <w:szCs w:val="17"/>
              </w:rPr>
            </w:pPr>
            <w:r w:rsidRPr="00BE088C">
              <w:rPr>
                <w:sz w:val="17"/>
                <w:szCs w:val="17"/>
              </w:rPr>
              <w:t>$33.38</w:t>
            </w:r>
          </w:p>
        </w:tc>
        <w:tc>
          <w:tcPr>
            <w:tcW w:w="1004" w:type="dxa"/>
            <w:shd w:val="clear" w:color="auto" w:fill="auto"/>
            <w:vAlign w:val="center"/>
          </w:tcPr>
          <w:p w14:paraId="36A792F5" w14:textId="77777777" w:rsidR="00080FD0" w:rsidRDefault="00080FD0" w:rsidP="00BE088C">
            <w:pPr>
              <w:jc w:val="center"/>
              <w:rPr>
                <w:sz w:val="17"/>
                <w:szCs w:val="17"/>
              </w:rPr>
            </w:pPr>
          </w:p>
          <w:p w14:paraId="55BD99B8" w14:textId="77777777" w:rsidR="00F507A8" w:rsidRPr="00B35C2E" w:rsidRDefault="00F507A8" w:rsidP="00466B03">
            <w:pPr>
              <w:jc w:val="center"/>
              <w:rPr>
                <w:sz w:val="17"/>
                <w:szCs w:val="17"/>
              </w:rPr>
            </w:pPr>
            <w:r>
              <w:rPr>
                <w:sz w:val="17"/>
                <w:szCs w:val="17"/>
              </w:rPr>
              <w:t>$</w:t>
            </w:r>
            <w:r w:rsidR="00466B03">
              <w:rPr>
                <w:sz w:val="17"/>
                <w:szCs w:val="17"/>
              </w:rPr>
              <w:t>2,136.32</w:t>
            </w:r>
          </w:p>
        </w:tc>
      </w:tr>
      <w:tr w:rsidR="000562EB" w:rsidRPr="00E730CF" w14:paraId="36357F0B" w14:textId="77777777" w:rsidTr="00192D8F">
        <w:trPr>
          <w:trHeight w:val="432"/>
          <w:jc w:val="center"/>
        </w:trPr>
        <w:tc>
          <w:tcPr>
            <w:tcW w:w="1440" w:type="dxa"/>
          </w:tcPr>
          <w:p w14:paraId="30F6E5BC" w14:textId="09DA1704" w:rsidR="000562EB" w:rsidDel="000562EB" w:rsidRDefault="001D5A50" w:rsidP="00B35C2E">
            <w:pPr>
              <w:rPr>
                <w:sz w:val="17"/>
                <w:szCs w:val="17"/>
              </w:rPr>
            </w:pPr>
            <w:r>
              <w:rPr>
                <w:sz w:val="17"/>
                <w:szCs w:val="17"/>
              </w:rPr>
              <w:t xml:space="preserve">Instrument </w:t>
            </w:r>
            <w:r w:rsidR="00C978F0">
              <w:rPr>
                <w:sz w:val="17"/>
                <w:szCs w:val="17"/>
              </w:rPr>
              <w:t>4</w:t>
            </w:r>
            <w:r w:rsidR="0017725C">
              <w:rPr>
                <w:sz w:val="17"/>
                <w:szCs w:val="17"/>
              </w:rPr>
              <w:t>:</w:t>
            </w:r>
            <w:r w:rsidR="00C90CB1">
              <w:rPr>
                <w:sz w:val="17"/>
                <w:szCs w:val="17"/>
              </w:rPr>
              <w:t xml:space="preserve"> Youth </w:t>
            </w:r>
            <w:r w:rsidR="00642C67">
              <w:rPr>
                <w:sz w:val="17"/>
                <w:szCs w:val="17"/>
              </w:rPr>
              <w:t xml:space="preserve">interview/focus group </w:t>
            </w:r>
            <w:r w:rsidR="00C90CB1">
              <w:rPr>
                <w:sz w:val="17"/>
                <w:szCs w:val="17"/>
              </w:rPr>
              <w:t>topic guide</w:t>
            </w:r>
          </w:p>
        </w:tc>
        <w:tc>
          <w:tcPr>
            <w:tcW w:w="1170" w:type="dxa"/>
            <w:vAlign w:val="center"/>
          </w:tcPr>
          <w:p w14:paraId="0AD82E99" w14:textId="77777777" w:rsidR="000562EB" w:rsidRPr="00B35C2E" w:rsidRDefault="00DD00EA" w:rsidP="00B35C2E">
            <w:pPr>
              <w:jc w:val="center"/>
              <w:rPr>
                <w:sz w:val="17"/>
                <w:szCs w:val="17"/>
              </w:rPr>
            </w:pPr>
            <w:r>
              <w:rPr>
                <w:sz w:val="17"/>
                <w:szCs w:val="17"/>
              </w:rPr>
              <w:t>64</w:t>
            </w:r>
          </w:p>
        </w:tc>
        <w:tc>
          <w:tcPr>
            <w:tcW w:w="1170" w:type="dxa"/>
            <w:vAlign w:val="center"/>
          </w:tcPr>
          <w:p w14:paraId="22805A22" w14:textId="77777777" w:rsidR="000562EB" w:rsidRPr="00B35C2E" w:rsidRDefault="00DD00EA" w:rsidP="00B35C2E">
            <w:pPr>
              <w:jc w:val="center"/>
              <w:rPr>
                <w:sz w:val="17"/>
                <w:szCs w:val="17"/>
              </w:rPr>
            </w:pPr>
            <w:r>
              <w:rPr>
                <w:sz w:val="17"/>
                <w:szCs w:val="17"/>
              </w:rPr>
              <w:t>21</w:t>
            </w:r>
          </w:p>
        </w:tc>
        <w:tc>
          <w:tcPr>
            <w:tcW w:w="1260" w:type="dxa"/>
            <w:vAlign w:val="center"/>
          </w:tcPr>
          <w:p w14:paraId="310E86D2" w14:textId="77777777" w:rsidR="000562EB" w:rsidRPr="00B35C2E" w:rsidRDefault="00DD00EA" w:rsidP="00B35C2E">
            <w:pPr>
              <w:jc w:val="center"/>
              <w:rPr>
                <w:sz w:val="17"/>
                <w:szCs w:val="17"/>
              </w:rPr>
            </w:pPr>
            <w:r>
              <w:rPr>
                <w:sz w:val="17"/>
                <w:szCs w:val="17"/>
              </w:rPr>
              <w:t>1</w:t>
            </w:r>
          </w:p>
        </w:tc>
        <w:tc>
          <w:tcPr>
            <w:tcW w:w="1260" w:type="dxa"/>
            <w:vAlign w:val="center"/>
          </w:tcPr>
          <w:p w14:paraId="1556F02C" w14:textId="77777777" w:rsidR="000562EB" w:rsidRDefault="00DD00EA" w:rsidP="00B35C2E">
            <w:pPr>
              <w:jc w:val="center"/>
              <w:rPr>
                <w:sz w:val="17"/>
                <w:szCs w:val="17"/>
              </w:rPr>
            </w:pPr>
            <w:r>
              <w:rPr>
                <w:sz w:val="17"/>
                <w:szCs w:val="17"/>
              </w:rPr>
              <w:t>1.5</w:t>
            </w:r>
          </w:p>
        </w:tc>
        <w:tc>
          <w:tcPr>
            <w:tcW w:w="1170" w:type="dxa"/>
            <w:vAlign w:val="center"/>
          </w:tcPr>
          <w:p w14:paraId="43487F35" w14:textId="77777777" w:rsidR="000562EB" w:rsidRDefault="00DD00EA" w:rsidP="00B35C2E">
            <w:pPr>
              <w:jc w:val="center"/>
              <w:rPr>
                <w:sz w:val="17"/>
                <w:szCs w:val="17"/>
              </w:rPr>
            </w:pPr>
            <w:r>
              <w:rPr>
                <w:sz w:val="17"/>
                <w:szCs w:val="17"/>
              </w:rPr>
              <w:t>32</w:t>
            </w:r>
          </w:p>
        </w:tc>
        <w:tc>
          <w:tcPr>
            <w:tcW w:w="810" w:type="dxa"/>
            <w:vAlign w:val="center"/>
          </w:tcPr>
          <w:p w14:paraId="4F44E912" w14:textId="77777777" w:rsidR="000562EB" w:rsidRPr="00BE088C" w:rsidRDefault="00E54BBA" w:rsidP="00B35C2E">
            <w:pPr>
              <w:jc w:val="center"/>
              <w:rPr>
                <w:sz w:val="17"/>
                <w:szCs w:val="17"/>
              </w:rPr>
            </w:pPr>
            <w:r>
              <w:rPr>
                <w:sz w:val="17"/>
                <w:szCs w:val="17"/>
              </w:rPr>
              <w:t>$7.25</w:t>
            </w:r>
          </w:p>
        </w:tc>
        <w:tc>
          <w:tcPr>
            <w:tcW w:w="1004" w:type="dxa"/>
            <w:shd w:val="clear" w:color="auto" w:fill="auto"/>
            <w:vAlign w:val="center"/>
          </w:tcPr>
          <w:p w14:paraId="21AE490F" w14:textId="77777777" w:rsidR="000562EB" w:rsidRPr="00B35C2E" w:rsidRDefault="00E54BBA" w:rsidP="002F5DE7">
            <w:pPr>
              <w:jc w:val="center"/>
              <w:rPr>
                <w:sz w:val="17"/>
                <w:szCs w:val="17"/>
              </w:rPr>
            </w:pPr>
            <w:r>
              <w:rPr>
                <w:sz w:val="17"/>
                <w:szCs w:val="17"/>
              </w:rPr>
              <w:t>$</w:t>
            </w:r>
            <w:r w:rsidR="002F5DE7">
              <w:rPr>
                <w:sz w:val="17"/>
                <w:szCs w:val="17"/>
              </w:rPr>
              <w:t>116*</w:t>
            </w:r>
          </w:p>
        </w:tc>
      </w:tr>
      <w:tr w:rsidR="00E730CF" w:rsidRPr="00E730CF" w14:paraId="5EF6DB86" w14:textId="77777777" w:rsidTr="00192D8F">
        <w:trPr>
          <w:trHeight w:val="432"/>
          <w:jc w:val="center"/>
        </w:trPr>
        <w:tc>
          <w:tcPr>
            <w:tcW w:w="6300" w:type="dxa"/>
            <w:gridSpan w:val="5"/>
          </w:tcPr>
          <w:p w14:paraId="3D57A47C" w14:textId="77777777" w:rsidR="00E730CF" w:rsidRDefault="00E730CF" w:rsidP="00B35C2E">
            <w:pPr>
              <w:rPr>
                <w:sz w:val="17"/>
                <w:szCs w:val="17"/>
              </w:rPr>
            </w:pPr>
            <w:r w:rsidRPr="00B35C2E">
              <w:rPr>
                <w:b/>
                <w:sz w:val="17"/>
                <w:szCs w:val="17"/>
              </w:rPr>
              <w:t>Estimated annual burden</w:t>
            </w:r>
          </w:p>
        </w:tc>
        <w:tc>
          <w:tcPr>
            <w:tcW w:w="1170" w:type="dxa"/>
            <w:vAlign w:val="center"/>
          </w:tcPr>
          <w:p w14:paraId="664DFA91" w14:textId="0EB1A682" w:rsidR="00E730CF" w:rsidRPr="00E730CF" w:rsidDel="002C04E6" w:rsidRDefault="00E54BBA" w:rsidP="00E54BBA">
            <w:pPr>
              <w:jc w:val="center"/>
              <w:rPr>
                <w:sz w:val="17"/>
                <w:szCs w:val="17"/>
              </w:rPr>
            </w:pPr>
            <w:r>
              <w:rPr>
                <w:sz w:val="17"/>
                <w:szCs w:val="17"/>
              </w:rPr>
              <w:t>2</w:t>
            </w:r>
            <w:r w:rsidR="00C64DA1">
              <w:rPr>
                <w:sz w:val="17"/>
                <w:szCs w:val="17"/>
              </w:rPr>
              <w:t>4</w:t>
            </w:r>
            <w:r>
              <w:rPr>
                <w:sz w:val="17"/>
                <w:szCs w:val="17"/>
              </w:rPr>
              <w:t>1</w:t>
            </w:r>
          </w:p>
        </w:tc>
        <w:tc>
          <w:tcPr>
            <w:tcW w:w="810" w:type="dxa"/>
            <w:vAlign w:val="center"/>
          </w:tcPr>
          <w:p w14:paraId="58927E7E" w14:textId="77777777" w:rsidR="00E730CF" w:rsidRPr="00E730CF" w:rsidRDefault="00E730CF" w:rsidP="00B35C2E">
            <w:pPr>
              <w:jc w:val="center"/>
              <w:rPr>
                <w:sz w:val="17"/>
                <w:szCs w:val="17"/>
              </w:rPr>
            </w:pPr>
          </w:p>
        </w:tc>
        <w:tc>
          <w:tcPr>
            <w:tcW w:w="1004" w:type="dxa"/>
            <w:shd w:val="clear" w:color="auto" w:fill="auto"/>
            <w:vAlign w:val="center"/>
          </w:tcPr>
          <w:p w14:paraId="070B7E3F" w14:textId="49A440D1" w:rsidR="00E730CF" w:rsidRPr="00E730CF" w:rsidRDefault="00E54BBA" w:rsidP="00C64DA1">
            <w:pPr>
              <w:jc w:val="center"/>
              <w:rPr>
                <w:sz w:val="17"/>
                <w:szCs w:val="17"/>
              </w:rPr>
            </w:pPr>
            <w:r>
              <w:rPr>
                <w:sz w:val="17"/>
                <w:szCs w:val="17"/>
              </w:rPr>
              <w:t>$</w:t>
            </w:r>
            <w:r w:rsidR="00C64DA1">
              <w:rPr>
                <w:sz w:val="17"/>
                <w:szCs w:val="17"/>
              </w:rPr>
              <w:t>7,092</w:t>
            </w:r>
            <w:r>
              <w:rPr>
                <w:sz w:val="17"/>
                <w:szCs w:val="17"/>
              </w:rPr>
              <w:t>.42</w:t>
            </w:r>
          </w:p>
        </w:tc>
      </w:tr>
    </w:tbl>
    <w:p w14:paraId="3F509D10" w14:textId="77777777" w:rsidR="00127C48" w:rsidRPr="002F5DE7" w:rsidRDefault="002F5DE7" w:rsidP="002F5DE7">
      <w:pPr>
        <w:rPr>
          <w:sz w:val="20"/>
          <w:szCs w:val="20"/>
        </w:rPr>
      </w:pPr>
      <w:r w:rsidRPr="002F5DE7">
        <w:rPr>
          <w:sz w:val="20"/>
          <w:szCs w:val="20"/>
        </w:rPr>
        <w:t>* Assume that half of youth are 18 or over and included in estimate of total annual cost.</w:t>
      </w:r>
    </w:p>
    <w:p w14:paraId="12A6528C" w14:textId="77777777" w:rsidR="002F5DE7" w:rsidRPr="0050690C" w:rsidRDefault="002F5DE7" w:rsidP="00D069D4">
      <w:pPr>
        <w:ind w:left="360"/>
      </w:pPr>
    </w:p>
    <w:p w14:paraId="11B96F46" w14:textId="77777777" w:rsidR="000C7090" w:rsidRPr="000C7090" w:rsidRDefault="00080FD0" w:rsidP="000C7090">
      <w:pPr>
        <w:ind w:left="360"/>
      </w:pPr>
      <w:r>
        <w:rPr>
          <w:b/>
        </w:rPr>
        <w:t>Baseline equivalence</w:t>
      </w:r>
      <w:r w:rsidRPr="00080FD0">
        <w:rPr>
          <w:b/>
        </w:rPr>
        <w:t xml:space="preserve"> template</w:t>
      </w:r>
      <w:r w:rsidR="00DC45E3">
        <w:rPr>
          <w:b/>
        </w:rPr>
        <w:t xml:space="preserve"> (Instrument 3)</w:t>
      </w:r>
      <w:r w:rsidRPr="00080FD0">
        <w:rPr>
          <w:b/>
        </w:rPr>
        <w:t>.</w:t>
      </w:r>
      <w:r w:rsidRPr="00080FD0">
        <w:t xml:space="preserve"> </w:t>
      </w:r>
      <w:r w:rsidR="00605888">
        <w:t>At most,</w:t>
      </w:r>
      <w:r w:rsidRPr="00080FD0">
        <w:t xml:space="preserve"> </w:t>
      </w:r>
      <w:r w:rsidR="000C7090">
        <w:t>1</w:t>
      </w:r>
      <w:r w:rsidR="00024C27">
        <w:t>6</w:t>
      </w:r>
      <w:r w:rsidR="00642C67">
        <w:rPr>
          <w:rStyle w:val="FootnoteReference"/>
        </w:rPr>
        <w:footnoteReference w:id="4"/>
      </w:r>
      <w:r w:rsidR="000C7090">
        <w:t xml:space="preserve"> </w:t>
      </w:r>
      <w:r w:rsidRPr="00080FD0">
        <w:t xml:space="preserve">grantees will complete the </w:t>
      </w:r>
      <w:r w:rsidR="00D75CBF">
        <w:t>baseline equivalence</w:t>
      </w:r>
      <w:r w:rsidRPr="00080FD0">
        <w:t xml:space="preserve"> template</w:t>
      </w:r>
      <w:r w:rsidR="00D75CBF">
        <w:t xml:space="preserve"> (i.e. all grantees conducting an impact evaluation)</w:t>
      </w:r>
      <w:r w:rsidRPr="00080FD0">
        <w:t xml:space="preserve">. Respondents will submit the </w:t>
      </w:r>
      <w:r>
        <w:t xml:space="preserve">baseline </w:t>
      </w:r>
      <w:r w:rsidR="00876EB1">
        <w:t>equivalence</w:t>
      </w:r>
      <w:r>
        <w:t xml:space="preserve"> </w:t>
      </w:r>
      <w:r w:rsidRPr="00080FD0">
        <w:t xml:space="preserve">template every six months while the evaluation enrolls sample and collects follow-up data. Assuming that this could occur over a maximum of </w:t>
      </w:r>
      <w:r w:rsidR="00D75CBF">
        <w:t>three</w:t>
      </w:r>
      <w:r w:rsidRPr="00080FD0">
        <w:t xml:space="preserve"> year</w:t>
      </w:r>
      <w:r w:rsidR="0033101A">
        <w:t>s</w:t>
      </w:r>
      <w:r w:rsidRPr="00080FD0">
        <w:t xml:space="preserve">, </w:t>
      </w:r>
      <w:r w:rsidR="00B311B2">
        <w:t>the study team</w:t>
      </w:r>
      <w:r w:rsidRPr="00080FD0">
        <w:t xml:space="preserve"> </w:t>
      </w:r>
      <w:r w:rsidR="002A43DC">
        <w:t>expect</w:t>
      </w:r>
      <w:r w:rsidR="00B311B2">
        <w:t>s</w:t>
      </w:r>
      <w:r w:rsidRPr="00080FD0">
        <w:t xml:space="preserve"> grantees </w:t>
      </w:r>
      <w:r w:rsidR="002A43DC">
        <w:t>to</w:t>
      </w:r>
      <w:r w:rsidR="002A43DC" w:rsidRPr="00080FD0">
        <w:t xml:space="preserve"> </w:t>
      </w:r>
      <w:r w:rsidRPr="00080FD0">
        <w:t xml:space="preserve">submit the </w:t>
      </w:r>
      <w:r>
        <w:t xml:space="preserve">baseline </w:t>
      </w:r>
      <w:r w:rsidR="00876EB1">
        <w:t>equivalence</w:t>
      </w:r>
      <w:r>
        <w:t xml:space="preserve"> template </w:t>
      </w:r>
      <w:r w:rsidRPr="00080FD0">
        <w:t xml:space="preserve">up to </w:t>
      </w:r>
      <w:r w:rsidR="00D75CBF">
        <w:t>six</w:t>
      </w:r>
      <w:r w:rsidRPr="00080FD0">
        <w:t xml:space="preserve"> times</w:t>
      </w:r>
      <w:r w:rsidR="00C90CB1">
        <w:t xml:space="preserve"> </w:t>
      </w:r>
      <w:r w:rsidR="002A43DC">
        <w:t xml:space="preserve">and it </w:t>
      </w:r>
      <w:r w:rsidR="00605888">
        <w:t>will take approximately two hours to complete the template each time.</w:t>
      </w:r>
      <w:r w:rsidR="000C7090" w:rsidRPr="000C7090">
        <w:t xml:space="preserve"> The estimated </w:t>
      </w:r>
      <w:r w:rsidR="00605888">
        <w:t xml:space="preserve">annual </w:t>
      </w:r>
      <w:r w:rsidR="000C7090" w:rsidRPr="000C7090">
        <w:t>burden</w:t>
      </w:r>
      <w:r w:rsidR="002A43DC">
        <w:t xml:space="preserve"> for this effort</w:t>
      </w:r>
      <w:r w:rsidR="000C7090" w:rsidRPr="000C7090">
        <w:t xml:space="preserve"> is</w:t>
      </w:r>
      <w:r w:rsidR="000C7090">
        <w:t xml:space="preserve"> </w:t>
      </w:r>
      <w:r w:rsidR="002A43DC">
        <w:t>64</w:t>
      </w:r>
      <w:r w:rsidR="000C7090">
        <w:t xml:space="preserve"> hours</w:t>
      </w:r>
      <w:r w:rsidR="000C7090" w:rsidRPr="000C7090">
        <w:t>.</w:t>
      </w:r>
    </w:p>
    <w:p w14:paraId="11EE7C91" w14:textId="77777777" w:rsidR="0050690C" w:rsidRDefault="0050690C" w:rsidP="00D069D4">
      <w:pPr>
        <w:ind w:left="360"/>
      </w:pPr>
    </w:p>
    <w:p w14:paraId="3C9FDCBF" w14:textId="77777777" w:rsidR="002338AC" w:rsidRDefault="002338AC" w:rsidP="00192D8F">
      <w:pPr>
        <w:ind w:left="360"/>
      </w:pPr>
    </w:p>
    <w:p w14:paraId="5BE45B42" w14:textId="65D143EE" w:rsidR="001E15C8" w:rsidRDefault="001E15C8" w:rsidP="00192D8F">
      <w:pPr>
        <w:ind w:left="360"/>
      </w:pPr>
      <w:r w:rsidRPr="00594956">
        <w:rPr>
          <w:b/>
        </w:rPr>
        <w:t xml:space="preserve">Youth </w:t>
      </w:r>
      <w:r w:rsidR="00642C67">
        <w:rPr>
          <w:b/>
        </w:rPr>
        <w:t>interview/focus group</w:t>
      </w:r>
      <w:r w:rsidR="00642C67" w:rsidRPr="00594956">
        <w:rPr>
          <w:b/>
        </w:rPr>
        <w:t xml:space="preserve"> </w:t>
      </w:r>
      <w:r w:rsidRPr="00594956">
        <w:rPr>
          <w:b/>
        </w:rPr>
        <w:t>topic guide</w:t>
      </w:r>
      <w:r w:rsidR="00DC45E3">
        <w:rPr>
          <w:b/>
        </w:rPr>
        <w:t xml:space="preserve"> (Instrument </w:t>
      </w:r>
      <w:r w:rsidR="00C978F0">
        <w:rPr>
          <w:b/>
        </w:rPr>
        <w:t>4</w:t>
      </w:r>
      <w:r w:rsidR="00DC45E3">
        <w:rPr>
          <w:b/>
        </w:rPr>
        <w:t>)</w:t>
      </w:r>
      <w:r w:rsidRPr="00594956">
        <w:rPr>
          <w:b/>
        </w:rPr>
        <w:t>.</w:t>
      </w:r>
      <w:r>
        <w:t xml:space="preserve"> </w:t>
      </w:r>
      <w:r w:rsidR="00B311B2">
        <w:t>The study team</w:t>
      </w:r>
      <w:r w:rsidRPr="001E15C8">
        <w:t xml:space="preserve"> expect</w:t>
      </w:r>
      <w:r w:rsidR="00B311B2">
        <w:t>s</w:t>
      </w:r>
      <w:r w:rsidRPr="001E15C8">
        <w:t xml:space="preserve"> </w:t>
      </w:r>
      <w:r w:rsidR="00A85E84">
        <w:t>64 youth to participate in 90</w:t>
      </w:r>
      <w:r w:rsidR="00146192">
        <w:t>-</w:t>
      </w:r>
      <w:r w:rsidR="00A85E84">
        <w:t>minute interviews or focus groups</w:t>
      </w:r>
      <w:r w:rsidR="002A43DC">
        <w:t xml:space="preserve">, with 21 youth participating each year. </w:t>
      </w:r>
      <w:r w:rsidR="00A85E84">
        <w:t>The</w:t>
      </w:r>
      <w:r w:rsidRPr="001E15C8">
        <w:t xml:space="preserve"> </w:t>
      </w:r>
      <w:r w:rsidR="00A85E84" w:rsidRPr="00A85E84">
        <w:t xml:space="preserve">estimated </w:t>
      </w:r>
      <w:r w:rsidR="002A43DC">
        <w:t>annual burden for this effort i</w:t>
      </w:r>
      <w:r w:rsidRPr="001E15C8">
        <w:t xml:space="preserve">s </w:t>
      </w:r>
      <w:r w:rsidR="00146192">
        <w:t xml:space="preserve">32 hours. </w:t>
      </w:r>
    </w:p>
    <w:p w14:paraId="628DE4F1" w14:textId="77777777" w:rsidR="00A35B0D" w:rsidRDefault="00A35B0D" w:rsidP="00A35B0D">
      <w:pPr>
        <w:rPr>
          <w:b/>
        </w:rPr>
      </w:pPr>
    </w:p>
    <w:p w14:paraId="7894D5F4" w14:textId="77777777" w:rsidR="002338AC" w:rsidRPr="002F3EDE" w:rsidRDefault="002338AC" w:rsidP="002338AC">
      <w:pPr>
        <w:ind w:left="180"/>
        <w:rPr>
          <w:b/>
          <w:i/>
        </w:rPr>
      </w:pPr>
      <w:r w:rsidRPr="002F3EDE">
        <w:rPr>
          <w:b/>
          <w:i/>
        </w:rPr>
        <w:t>Total Annual Cost</w:t>
      </w:r>
    </w:p>
    <w:p w14:paraId="00E0DAC5" w14:textId="20C0B4D9" w:rsidR="003B4398" w:rsidRDefault="003B4398" w:rsidP="00192D8F">
      <w:pPr>
        <w:ind w:left="360"/>
      </w:pPr>
      <w:r>
        <w:t>T</w:t>
      </w:r>
      <w:r w:rsidRPr="003B4398">
        <w:t xml:space="preserve">he </w:t>
      </w:r>
      <w:r>
        <w:t>total</w:t>
      </w:r>
      <w:r w:rsidRPr="003B4398">
        <w:t xml:space="preserve"> annual burden cost is estimated to be </w:t>
      </w:r>
      <w:r w:rsidR="00E54BBA">
        <w:t>$</w:t>
      </w:r>
      <w:r w:rsidR="00C64DA1">
        <w:t>7,092</w:t>
      </w:r>
      <w:r w:rsidR="00E54BBA">
        <w:t>.42</w:t>
      </w:r>
      <w:r w:rsidRPr="003B4398">
        <w:t>.</w:t>
      </w:r>
      <w:r>
        <w:t xml:space="preserve"> </w:t>
      </w:r>
      <w:r w:rsidR="00F70CF9">
        <w:t>For</w:t>
      </w:r>
      <w:r>
        <w:t xml:space="preserve"> </w:t>
      </w:r>
      <w:r w:rsidR="00F70CF9">
        <w:t>cost calculations f</w:t>
      </w:r>
      <w:r w:rsidRPr="003B4398">
        <w:t xml:space="preserve">or </w:t>
      </w:r>
      <w:r w:rsidR="00F70CF9">
        <w:t xml:space="preserve">instruments associated with </w:t>
      </w:r>
      <w:r w:rsidR="002022AF">
        <w:t xml:space="preserve">LES </w:t>
      </w:r>
      <w:r w:rsidR="00F70CF9">
        <w:t xml:space="preserve">tasks, we </w:t>
      </w:r>
      <w:r w:rsidRPr="003B4398">
        <w:t>estimate the average hourly wage for program directors and managers to be the average hourly wage for “Social and Community Services Manager” ($3</w:t>
      </w:r>
      <w:r>
        <w:t>3</w:t>
      </w:r>
      <w:r w:rsidRPr="003B4398">
        <w:t>.</w:t>
      </w:r>
      <w:r>
        <w:t>38</w:t>
      </w:r>
      <w:r w:rsidRPr="003B4398">
        <w:t>), taken from the U.S. Bureau of Labor Statistics, Occupational Employment Statistics, 201</w:t>
      </w:r>
      <w:r>
        <w:t>5</w:t>
      </w:r>
      <w:r w:rsidRPr="003B4398">
        <w:t>.</w:t>
      </w:r>
      <w:r w:rsidR="002022AF">
        <w:t xml:space="preserve"> To calculate the burden cost for youth </w:t>
      </w:r>
      <w:r w:rsidR="00AD76D9">
        <w:t>discussions</w:t>
      </w:r>
      <w:r w:rsidR="002022AF">
        <w:t xml:space="preserve">, we used $7.25, which is the </w:t>
      </w:r>
      <w:r w:rsidR="00F70CF9">
        <w:t xml:space="preserve">federal minimum hourly </w:t>
      </w:r>
      <w:r w:rsidR="002022AF">
        <w:t>wage</w:t>
      </w:r>
      <w:r w:rsidR="00F70CF9">
        <w:t xml:space="preserve"> rate; we assume that 50 percent of youth participating in youth discussions will be 18 years or older.</w:t>
      </w:r>
    </w:p>
    <w:p w14:paraId="4D35650C" w14:textId="77777777" w:rsidR="00CA2333" w:rsidRPr="003B4398" w:rsidRDefault="00CA2333" w:rsidP="00192D8F">
      <w:pPr>
        <w:ind w:left="360"/>
      </w:pPr>
    </w:p>
    <w:p w14:paraId="14726105" w14:textId="77777777" w:rsidR="00945CD6" w:rsidRPr="0072204D" w:rsidRDefault="00292B70" w:rsidP="00292B70">
      <w:pPr>
        <w:rPr>
          <w:b/>
        </w:rPr>
      </w:pPr>
      <w:r>
        <w:rPr>
          <w:b/>
        </w:rPr>
        <w:t xml:space="preserve">A13. </w:t>
      </w:r>
      <w:r w:rsidR="00945CD6" w:rsidRPr="0072204D">
        <w:rPr>
          <w:b/>
        </w:rPr>
        <w:t>Cost Burden to Respondents or Record Keepers</w:t>
      </w:r>
    </w:p>
    <w:p w14:paraId="0300ABBA" w14:textId="77777777" w:rsidR="00536CC5" w:rsidRPr="00D069D4" w:rsidRDefault="00536CC5" w:rsidP="00D069D4">
      <w:pPr>
        <w:ind w:left="360"/>
      </w:pPr>
      <w:r w:rsidRPr="00D069D4">
        <w:t xml:space="preserve">These information collection activities do not place any additional costs on respondents or record keepers other than those described above. </w:t>
      </w:r>
    </w:p>
    <w:p w14:paraId="4BC8A6CE" w14:textId="77777777" w:rsidR="002338AC" w:rsidRDefault="002338AC" w:rsidP="005046F0">
      <w:pPr>
        <w:ind w:left="360"/>
      </w:pPr>
    </w:p>
    <w:p w14:paraId="6BB41B6E" w14:textId="77777777" w:rsidR="00945CD6" w:rsidRPr="00CC7951" w:rsidRDefault="00292B70" w:rsidP="00292B70">
      <w:pPr>
        <w:rPr>
          <w:b/>
        </w:rPr>
      </w:pPr>
      <w:r w:rsidRPr="00CC7951">
        <w:rPr>
          <w:b/>
        </w:rPr>
        <w:t xml:space="preserve">A14. </w:t>
      </w:r>
      <w:r w:rsidR="00945CD6" w:rsidRPr="00CC7951">
        <w:rPr>
          <w:b/>
        </w:rPr>
        <w:t>Estimate of Cost to the Federal Government</w:t>
      </w:r>
    </w:p>
    <w:p w14:paraId="778D3FB2" w14:textId="77777777" w:rsidR="00D610D0" w:rsidRDefault="00C10B67" w:rsidP="008C78B4">
      <w:pPr>
        <w:ind w:left="360"/>
      </w:pPr>
      <w:r>
        <w:t xml:space="preserve">The estimated total cost the federal government for data collection associated with this ICR is $156,119. </w:t>
      </w:r>
      <w:r w:rsidR="00D610D0">
        <w:t>Over three years, the annual cost of data collection is $52,039.</w:t>
      </w:r>
    </w:p>
    <w:p w14:paraId="00D18FDF" w14:textId="77777777" w:rsidR="00D610D0" w:rsidRDefault="00D610D0" w:rsidP="008C78B4">
      <w:pPr>
        <w:ind w:left="360"/>
      </w:pPr>
    </w:p>
    <w:p w14:paraId="02890966" w14:textId="10D14073" w:rsidR="00B91D97" w:rsidRPr="00BB2157" w:rsidRDefault="00B91D97" w:rsidP="008C78B4">
      <w:pPr>
        <w:ind w:left="360"/>
      </w:pPr>
      <w:r w:rsidRPr="00CC7951">
        <w:t>The total cost for the</w:t>
      </w:r>
      <w:r w:rsidR="00CC7951" w:rsidRPr="00CC7951">
        <w:t xml:space="preserve"> </w:t>
      </w:r>
      <w:r w:rsidR="00642C67">
        <w:t>local evaluation</w:t>
      </w:r>
      <w:r w:rsidR="00642C67" w:rsidRPr="00CC7951">
        <w:t xml:space="preserve"> </w:t>
      </w:r>
      <w:r w:rsidRPr="00CC7951">
        <w:t>data collection activities</w:t>
      </w:r>
      <w:r w:rsidR="005828D0" w:rsidRPr="00CC7951">
        <w:t xml:space="preserve"> </w:t>
      </w:r>
      <w:r w:rsidRPr="00CC7951">
        <w:t>under this current request</w:t>
      </w:r>
      <w:r w:rsidR="005828D0" w:rsidRPr="00CC7951">
        <w:t>, including the develop</w:t>
      </w:r>
      <w:r w:rsidR="00A8145D" w:rsidRPr="00CC7951">
        <w:t>ment</w:t>
      </w:r>
      <w:r w:rsidR="005828D0" w:rsidRPr="00CC7951">
        <w:t xml:space="preserve"> of the templates and monitoring the CONSORT and baseline equivalence reports,</w:t>
      </w:r>
      <w:r w:rsidRPr="00CC7951">
        <w:t xml:space="preserve"> will be</w:t>
      </w:r>
      <w:r w:rsidR="00B61A3A">
        <w:t xml:space="preserve"> $</w:t>
      </w:r>
      <w:r w:rsidR="000D350E" w:rsidRPr="005B27C8">
        <w:t>47,997</w:t>
      </w:r>
      <w:r w:rsidR="00B61A3A">
        <w:t>.</w:t>
      </w:r>
      <w:r w:rsidR="00F70CF9">
        <w:t xml:space="preserve"> The total cost for data collection associated with the </w:t>
      </w:r>
      <w:r w:rsidR="00642C67">
        <w:t xml:space="preserve">interviews/focus groups </w:t>
      </w:r>
      <w:r w:rsidR="00F70CF9">
        <w:t>is $68,122.</w:t>
      </w:r>
    </w:p>
    <w:p w14:paraId="5E3A480D" w14:textId="77777777" w:rsidR="002338AC" w:rsidRDefault="002338AC" w:rsidP="005046F0">
      <w:pPr>
        <w:ind w:left="360"/>
      </w:pPr>
    </w:p>
    <w:p w14:paraId="7CEAF053" w14:textId="77777777" w:rsidR="00945CD6" w:rsidRDefault="00292B70" w:rsidP="00292B70">
      <w:pPr>
        <w:rPr>
          <w:b/>
        </w:rPr>
      </w:pPr>
      <w:r>
        <w:rPr>
          <w:b/>
        </w:rPr>
        <w:t xml:space="preserve">A15. </w:t>
      </w:r>
      <w:r w:rsidR="00945CD6" w:rsidRPr="0072204D">
        <w:rPr>
          <w:b/>
        </w:rPr>
        <w:t>Change in Burden</w:t>
      </w:r>
    </w:p>
    <w:p w14:paraId="5C128A53" w14:textId="77777777" w:rsidR="002338AC" w:rsidRDefault="00C232E9" w:rsidP="00D069D4">
      <w:pPr>
        <w:ind w:left="360"/>
      </w:pPr>
      <w:r w:rsidRPr="00D069D4">
        <w:t>This is a new data collection. There are no changes or adjustments.</w:t>
      </w:r>
    </w:p>
    <w:p w14:paraId="4E517AD4" w14:textId="77777777" w:rsidR="00D90EF6" w:rsidRDefault="00D90EF6" w:rsidP="00D069D4">
      <w:pPr>
        <w:ind w:left="360"/>
      </w:pPr>
    </w:p>
    <w:p w14:paraId="26E1E757" w14:textId="77777777" w:rsidR="00945CD6" w:rsidRPr="005A64C5" w:rsidRDefault="00292B70" w:rsidP="00292B70">
      <w:pPr>
        <w:rPr>
          <w:b/>
        </w:rPr>
      </w:pPr>
      <w:r w:rsidRPr="005A64C5">
        <w:rPr>
          <w:b/>
        </w:rPr>
        <w:t xml:space="preserve">A16. </w:t>
      </w:r>
      <w:r w:rsidR="00945CD6" w:rsidRPr="005A64C5">
        <w:rPr>
          <w:b/>
        </w:rPr>
        <w:t>Plan and Time Schedule for Information Collection, Tabulation and Publication</w:t>
      </w:r>
    </w:p>
    <w:p w14:paraId="4374C3A8" w14:textId="77777777" w:rsidR="00BE521C" w:rsidRDefault="00E10FC7" w:rsidP="00D069D4">
      <w:pPr>
        <w:ind w:left="360"/>
      </w:pPr>
      <w:r>
        <w:t>The schedule for data collection is shown below in Table A</w:t>
      </w:r>
      <w:r w:rsidR="00832EBA">
        <w:t>16</w:t>
      </w:r>
      <w:r>
        <w:t>.</w:t>
      </w:r>
      <w:r w:rsidR="00832EBA">
        <w:t>1</w:t>
      </w:r>
      <w:r w:rsidR="00D115E4">
        <w:t xml:space="preserve"> and Table A16.2</w:t>
      </w:r>
      <w:r>
        <w:t>.</w:t>
      </w:r>
      <w:r w:rsidR="001C1C4C">
        <w:t xml:space="preserve"> All dates are dependent on OMB approval of this ICR. </w:t>
      </w:r>
    </w:p>
    <w:p w14:paraId="7182CFB5" w14:textId="77777777" w:rsidR="00BE521C" w:rsidRDefault="00BE521C" w:rsidP="00D069D4">
      <w:pPr>
        <w:ind w:left="360"/>
      </w:pPr>
    </w:p>
    <w:p w14:paraId="42673E20" w14:textId="77777777" w:rsidR="00E10FC7" w:rsidRPr="00D069D4" w:rsidRDefault="00E10FC7" w:rsidP="00D069D4">
      <w:pPr>
        <w:ind w:left="360"/>
        <w:rPr>
          <w:b/>
        </w:rPr>
      </w:pPr>
      <w:r w:rsidRPr="00D069D4">
        <w:rPr>
          <w:b/>
        </w:rPr>
        <w:t>Table A</w:t>
      </w:r>
      <w:r w:rsidR="00832EBA" w:rsidRPr="00D069D4">
        <w:rPr>
          <w:b/>
        </w:rPr>
        <w:t>16</w:t>
      </w:r>
      <w:r w:rsidRPr="00D069D4">
        <w:rPr>
          <w:b/>
        </w:rPr>
        <w:t>.</w:t>
      </w:r>
      <w:r w:rsidR="00832EBA" w:rsidRPr="00D069D4">
        <w:rPr>
          <w:b/>
        </w:rPr>
        <w:t>1</w:t>
      </w:r>
      <w:r w:rsidRPr="00D069D4">
        <w:rPr>
          <w:b/>
        </w:rPr>
        <w:t xml:space="preserve"> </w:t>
      </w:r>
      <w:r w:rsidR="00E22AF3" w:rsidRPr="00D069D4">
        <w:rPr>
          <w:b/>
        </w:rPr>
        <w:t xml:space="preserve">Schedule for PYP </w:t>
      </w:r>
      <w:r w:rsidR="00642C67">
        <w:rPr>
          <w:b/>
        </w:rPr>
        <w:t xml:space="preserve">Local </w:t>
      </w:r>
      <w:r w:rsidR="00E22AF3" w:rsidRPr="00D069D4">
        <w:rPr>
          <w:b/>
        </w:rPr>
        <w:t>Evaluation Monitoring Data Collection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5022"/>
      </w:tblGrid>
      <w:tr w:rsidR="00F4167B" w:rsidRPr="00832EBA" w14:paraId="105793E9" w14:textId="77777777" w:rsidTr="000A3482">
        <w:tc>
          <w:tcPr>
            <w:tcW w:w="3968" w:type="dxa"/>
            <w:shd w:val="clear" w:color="auto" w:fill="BFBFBF"/>
          </w:tcPr>
          <w:p w14:paraId="0DC736B5" w14:textId="77777777" w:rsidR="00F4167B" w:rsidRPr="00A55BE2" w:rsidRDefault="00F4167B" w:rsidP="00C10B67">
            <w:pPr>
              <w:rPr>
                <w:b/>
              </w:rPr>
            </w:pPr>
            <w:r w:rsidRPr="00A55BE2">
              <w:rPr>
                <w:b/>
              </w:rPr>
              <w:t>Activity</w:t>
            </w:r>
          </w:p>
        </w:tc>
        <w:tc>
          <w:tcPr>
            <w:tcW w:w="5022" w:type="dxa"/>
            <w:shd w:val="clear" w:color="auto" w:fill="BFBFBF"/>
          </w:tcPr>
          <w:p w14:paraId="2E8A7281" w14:textId="77777777" w:rsidR="00F4167B" w:rsidRPr="00A55BE2" w:rsidRDefault="00F4167B" w:rsidP="00C10B67">
            <w:pPr>
              <w:rPr>
                <w:b/>
              </w:rPr>
            </w:pPr>
            <w:r w:rsidRPr="00A55BE2">
              <w:rPr>
                <w:b/>
              </w:rPr>
              <w:t>Date</w:t>
            </w:r>
          </w:p>
        </w:tc>
      </w:tr>
      <w:tr w:rsidR="00F4167B" w:rsidRPr="00E10FC7" w14:paraId="1077CA24" w14:textId="77777777" w:rsidTr="000A3482">
        <w:tc>
          <w:tcPr>
            <w:tcW w:w="3968" w:type="dxa"/>
            <w:shd w:val="clear" w:color="auto" w:fill="auto"/>
          </w:tcPr>
          <w:p w14:paraId="0AD20B58" w14:textId="77777777" w:rsidR="00F4167B" w:rsidRPr="00E10FC7" w:rsidRDefault="00F4167B" w:rsidP="00C10B67">
            <w:r>
              <w:t>Grant awards</w:t>
            </w:r>
          </w:p>
        </w:tc>
        <w:tc>
          <w:tcPr>
            <w:tcW w:w="5022" w:type="dxa"/>
            <w:shd w:val="clear" w:color="auto" w:fill="auto"/>
          </w:tcPr>
          <w:p w14:paraId="3709DD33" w14:textId="77777777" w:rsidR="00F4167B" w:rsidRPr="00E10FC7" w:rsidRDefault="00F4167B" w:rsidP="00C10B67">
            <w:r>
              <w:t>September 30, 2016</w:t>
            </w:r>
          </w:p>
        </w:tc>
      </w:tr>
      <w:tr w:rsidR="00F4167B" w:rsidRPr="00E10FC7" w14:paraId="70C727F0" w14:textId="77777777" w:rsidTr="000A3482">
        <w:tc>
          <w:tcPr>
            <w:tcW w:w="3968" w:type="dxa"/>
            <w:shd w:val="clear" w:color="auto" w:fill="auto"/>
          </w:tcPr>
          <w:p w14:paraId="5E928E09" w14:textId="77777777" w:rsidR="00F4167B" w:rsidRPr="00E10FC7" w:rsidRDefault="00F4167B" w:rsidP="00C10B67">
            <w:r w:rsidRPr="00E10FC7">
              <w:t>Evaluation abstract template</w:t>
            </w:r>
          </w:p>
        </w:tc>
        <w:tc>
          <w:tcPr>
            <w:tcW w:w="5022" w:type="dxa"/>
            <w:shd w:val="clear" w:color="auto" w:fill="auto"/>
          </w:tcPr>
          <w:p w14:paraId="375FC9A2" w14:textId="4DF28E9E" w:rsidR="00F4167B" w:rsidRPr="00E10FC7" w:rsidRDefault="007449BB" w:rsidP="00BD23BD">
            <w:r>
              <w:t xml:space="preserve">Winter </w:t>
            </w:r>
            <w:r w:rsidR="00F4167B">
              <w:t>201</w:t>
            </w:r>
            <w:r>
              <w:t>8</w:t>
            </w:r>
            <w:r w:rsidR="00F4167B">
              <w:t xml:space="preserve">, </w:t>
            </w:r>
            <w:r w:rsidR="00B56578">
              <w:t>updated annually</w:t>
            </w:r>
          </w:p>
        </w:tc>
      </w:tr>
      <w:tr w:rsidR="00F4167B" w:rsidRPr="00E10FC7" w14:paraId="5F57A623" w14:textId="77777777" w:rsidTr="000A3482">
        <w:tc>
          <w:tcPr>
            <w:tcW w:w="3968" w:type="dxa"/>
            <w:shd w:val="clear" w:color="auto" w:fill="auto"/>
          </w:tcPr>
          <w:p w14:paraId="23540518" w14:textId="77777777" w:rsidR="00F4167B" w:rsidRPr="00E10FC7" w:rsidRDefault="00F4167B" w:rsidP="00C10B67">
            <w:r w:rsidRPr="00E10FC7">
              <w:t>CONSORT diagram template</w:t>
            </w:r>
          </w:p>
        </w:tc>
        <w:tc>
          <w:tcPr>
            <w:tcW w:w="5022" w:type="dxa"/>
            <w:shd w:val="clear" w:color="auto" w:fill="auto"/>
          </w:tcPr>
          <w:p w14:paraId="69543A90" w14:textId="77777777" w:rsidR="00F4167B" w:rsidRPr="00E10FC7" w:rsidRDefault="00F4167B" w:rsidP="00C10B67">
            <w:r>
              <w:t>Spring 2018, updated semi-annually through Summer 2020</w:t>
            </w:r>
          </w:p>
        </w:tc>
      </w:tr>
      <w:tr w:rsidR="00F4167B" w:rsidRPr="00E10FC7" w14:paraId="0B490B2B" w14:textId="77777777" w:rsidTr="000A3482">
        <w:tc>
          <w:tcPr>
            <w:tcW w:w="3968" w:type="dxa"/>
            <w:shd w:val="clear" w:color="auto" w:fill="auto"/>
          </w:tcPr>
          <w:p w14:paraId="408D8846" w14:textId="77777777" w:rsidR="00F4167B" w:rsidRPr="00E10FC7" w:rsidRDefault="00F4167B" w:rsidP="00C10B67">
            <w:r w:rsidRPr="00E10FC7">
              <w:t>Baseline equivalence template</w:t>
            </w:r>
          </w:p>
        </w:tc>
        <w:tc>
          <w:tcPr>
            <w:tcW w:w="5022" w:type="dxa"/>
            <w:shd w:val="clear" w:color="auto" w:fill="auto"/>
          </w:tcPr>
          <w:p w14:paraId="10B1AD10" w14:textId="77777777" w:rsidR="00F4167B" w:rsidRPr="00E10FC7" w:rsidRDefault="00F4167B" w:rsidP="00C10B67">
            <w:r>
              <w:t>Spring</w:t>
            </w:r>
            <w:r w:rsidRPr="00C37F53">
              <w:t xml:space="preserve"> 2018, updated semi-annually through Summer 202</w:t>
            </w:r>
            <w:r>
              <w:t>0</w:t>
            </w:r>
          </w:p>
        </w:tc>
      </w:tr>
    </w:tbl>
    <w:p w14:paraId="2735319F" w14:textId="77777777" w:rsidR="00E10FC7" w:rsidRPr="00E10FC7" w:rsidRDefault="00E10FC7" w:rsidP="00D069D4">
      <w:pPr>
        <w:ind w:left="360"/>
      </w:pPr>
    </w:p>
    <w:p w14:paraId="3EBD6087" w14:textId="57885C69" w:rsidR="00A93707" w:rsidRDefault="00A93707" w:rsidP="00D069D4">
      <w:pPr>
        <w:ind w:left="360"/>
      </w:pPr>
      <w:r>
        <w:t>In order to complete the CONSORT diagram template, grantees will need to tabulate data on the number of youth eligible for the evaluation, the number consente</w:t>
      </w:r>
      <w:r w:rsidR="00F718F4">
        <w:t>d, the number assigned</w:t>
      </w:r>
      <w:r w:rsidR="0031381F">
        <w:t xml:space="preserve"> to condition (for impact evaluations)</w:t>
      </w:r>
      <w:r w:rsidR="00F718F4">
        <w:t xml:space="preserve">, and the number completing each follow-up survey.  Mathematica will then </w:t>
      </w:r>
      <w:r w:rsidR="00D610D0">
        <w:t xml:space="preserve">use </w:t>
      </w:r>
      <w:r w:rsidR="00164ED5">
        <w:t>these data</w:t>
      </w:r>
      <w:r w:rsidR="00D610D0">
        <w:t xml:space="preserve"> to </w:t>
      </w:r>
      <w:r w:rsidR="00F718F4">
        <w:t>calculate rates of consent, random assignment, and response rates for each follow-up</w:t>
      </w:r>
      <w:r w:rsidR="009955AC">
        <w:t xml:space="preserve"> period in each individual evaluation</w:t>
      </w:r>
      <w:r w:rsidR="00F718F4">
        <w:t>. Mathematica will use that information to generate cross-grantee reports for ACF on the status of the evaluations and identify grantees at risk of not achieving their target sample size or response rates.</w:t>
      </w:r>
    </w:p>
    <w:p w14:paraId="022CE4A0" w14:textId="77777777" w:rsidR="00A93707" w:rsidRDefault="00A93707" w:rsidP="00D069D4">
      <w:pPr>
        <w:ind w:left="360"/>
      </w:pPr>
    </w:p>
    <w:p w14:paraId="0F4B8FD7" w14:textId="77777777" w:rsidR="00AD7D9A" w:rsidRPr="00AD7D9A" w:rsidRDefault="00AD7D9A" w:rsidP="00D069D4">
      <w:pPr>
        <w:ind w:left="360"/>
      </w:pPr>
      <w:r>
        <w:t xml:space="preserve">Grantees conducting </w:t>
      </w:r>
      <w:r w:rsidR="00642C67">
        <w:t xml:space="preserve">local </w:t>
      </w:r>
      <w:r>
        <w:t xml:space="preserve">evaluations </w:t>
      </w:r>
      <w:r w:rsidR="00642C67">
        <w:t xml:space="preserve">with an impact design </w:t>
      </w:r>
      <w:r>
        <w:t>will complete th</w:t>
      </w:r>
      <w:r w:rsidR="00F718F4">
        <w:t>e baseline equivalence</w:t>
      </w:r>
      <w:r>
        <w:t xml:space="preserve"> template</w:t>
      </w:r>
      <w:r w:rsidR="007B377A">
        <w:t>, which</w:t>
      </w:r>
      <w:r>
        <w:t xml:space="preserve"> a</w:t>
      </w:r>
      <w:r w:rsidR="00EA32E9">
        <w:t xml:space="preserve">utomatically calculates significance tests to </w:t>
      </w:r>
      <w:r w:rsidR="00EA32E9" w:rsidRPr="00EA32E9">
        <w:t>assess baseline equivalence in applicant characteristics between program and control/comparison groups</w:t>
      </w:r>
      <w:r w:rsidR="00EA32E9">
        <w:t>.</w:t>
      </w:r>
      <w:r w:rsidR="00EA32E9" w:rsidRPr="00EA32E9">
        <w:t xml:space="preserve"> </w:t>
      </w:r>
      <w:r w:rsidR="007B377A">
        <w:t>No additional tabulations of these data are expected.</w:t>
      </w:r>
    </w:p>
    <w:p w14:paraId="60D9EA0C" w14:textId="77777777" w:rsidR="00FC69E9" w:rsidRDefault="00FC69E9" w:rsidP="00D069D4">
      <w:pPr>
        <w:ind w:left="360"/>
      </w:pPr>
    </w:p>
    <w:p w14:paraId="22F4AF05" w14:textId="77777777" w:rsidR="00D90EF6" w:rsidRDefault="00832EBA" w:rsidP="00D069D4">
      <w:pPr>
        <w:ind w:left="360"/>
      </w:pPr>
      <w:r>
        <w:t xml:space="preserve">The completed abstracts will be published on ACF’s PREP website. </w:t>
      </w:r>
      <w:r w:rsidR="00536CC5">
        <w:t xml:space="preserve">No </w:t>
      </w:r>
      <w:r>
        <w:t xml:space="preserve">other </w:t>
      </w:r>
      <w:r w:rsidR="00536CC5">
        <w:t>publications are expected from this data collection.</w:t>
      </w:r>
      <w:r w:rsidR="005E2F15">
        <w:t xml:space="preserve"> </w:t>
      </w:r>
    </w:p>
    <w:p w14:paraId="1FEB126F" w14:textId="77777777" w:rsidR="00404877" w:rsidRDefault="00404877" w:rsidP="00D069D4">
      <w:pPr>
        <w:ind w:left="360"/>
      </w:pPr>
    </w:p>
    <w:p w14:paraId="182EE7F8" w14:textId="77777777" w:rsidR="0035445B" w:rsidRDefault="0035445B" w:rsidP="00D069D4">
      <w:pPr>
        <w:ind w:left="360"/>
      </w:pPr>
      <w:r w:rsidRPr="0035445B">
        <w:rPr>
          <w:b/>
        </w:rPr>
        <w:t>Table A16.2 Schedule for PYP Curricula Development Data Collection and Analysis Activity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3775"/>
      </w:tblGrid>
      <w:tr w:rsidR="00F4167B" w:rsidRPr="00F4167B" w14:paraId="6764E8B4" w14:textId="77777777" w:rsidTr="00661AA0">
        <w:tc>
          <w:tcPr>
            <w:tcW w:w="5215" w:type="dxa"/>
            <w:shd w:val="clear" w:color="auto" w:fill="BFBFBF"/>
          </w:tcPr>
          <w:p w14:paraId="5A85DF0C" w14:textId="77777777" w:rsidR="00F4167B" w:rsidRPr="008F3046" w:rsidRDefault="0035445B" w:rsidP="00C10B67">
            <w:pPr>
              <w:rPr>
                <w:b/>
              </w:rPr>
            </w:pPr>
            <w:r>
              <w:rPr>
                <w:b/>
              </w:rPr>
              <w:t>Activity</w:t>
            </w:r>
          </w:p>
        </w:tc>
        <w:tc>
          <w:tcPr>
            <w:tcW w:w="3775" w:type="dxa"/>
            <w:shd w:val="clear" w:color="auto" w:fill="BFBFBF"/>
          </w:tcPr>
          <w:p w14:paraId="5CCAB3E9" w14:textId="321E68BD" w:rsidR="00F4167B" w:rsidRPr="008F3046" w:rsidRDefault="00F4167B" w:rsidP="00C10B67">
            <w:pPr>
              <w:rPr>
                <w:b/>
              </w:rPr>
            </w:pPr>
            <w:r w:rsidRPr="008F3046">
              <w:rPr>
                <w:b/>
              </w:rPr>
              <w:t>Date</w:t>
            </w:r>
            <w:r w:rsidR="00DD400B">
              <w:rPr>
                <w:b/>
              </w:rPr>
              <w:t>*</w:t>
            </w:r>
          </w:p>
        </w:tc>
      </w:tr>
      <w:tr w:rsidR="008F3046" w:rsidRPr="00C37F53" w:rsidDel="002F1525" w14:paraId="1B54D1A3" w14:textId="77777777" w:rsidTr="00661AA0">
        <w:tc>
          <w:tcPr>
            <w:tcW w:w="5215" w:type="dxa"/>
            <w:tcBorders>
              <w:top w:val="single" w:sz="4" w:space="0" w:color="auto"/>
              <w:left w:val="single" w:sz="4" w:space="0" w:color="auto"/>
              <w:bottom w:val="single" w:sz="4" w:space="0" w:color="auto"/>
              <w:right w:val="single" w:sz="4" w:space="0" w:color="auto"/>
            </w:tcBorders>
            <w:shd w:val="clear" w:color="auto" w:fill="auto"/>
          </w:tcPr>
          <w:p w14:paraId="63E19296" w14:textId="77777777" w:rsidR="008F3046" w:rsidRPr="00E10FC7" w:rsidRDefault="008F3046" w:rsidP="00C10B67">
            <w:r>
              <w:t>Conduct discussions with youth</w:t>
            </w: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5FC1728F" w14:textId="76B2A1D9" w:rsidR="008F3046" w:rsidRPr="00C37F53" w:rsidDel="002F1525" w:rsidRDefault="00E30880" w:rsidP="00661AA0">
            <w:r>
              <w:t>November</w:t>
            </w:r>
            <w:r w:rsidR="00C2063C">
              <w:t xml:space="preserve"> 2017-</w:t>
            </w:r>
            <w:r>
              <w:t>February</w:t>
            </w:r>
            <w:r w:rsidR="00C2063C">
              <w:t xml:space="preserve"> 2018</w:t>
            </w:r>
          </w:p>
        </w:tc>
      </w:tr>
      <w:tr w:rsidR="008F3046" w:rsidRPr="00C37F53" w:rsidDel="002F1525" w14:paraId="04E9AABA" w14:textId="77777777" w:rsidTr="00661AA0">
        <w:tc>
          <w:tcPr>
            <w:tcW w:w="5215" w:type="dxa"/>
            <w:tcBorders>
              <w:top w:val="single" w:sz="4" w:space="0" w:color="auto"/>
              <w:left w:val="single" w:sz="4" w:space="0" w:color="auto"/>
              <w:bottom w:val="single" w:sz="4" w:space="0" w:color="auto"/>
              <w:right w:val="single" w:sz="4" w:space="0" w:color="auto"/>
            </w:tcBorders>
            <w:shd w:val="clear" w:color="auto" w:fill="auto"/>
          </w:tcPr>
          <w:p w14:paraId="1FFB0D18" w14:textId="77777777" w:rsidR="008F3046" w:rsidRPr="00E10FC7" w:rsidRDefault="008F3046" w:rsidP="00C10B67">
            <w:r w:rsidRPr="008F3046">
              <w:t>Conduct other data collection activities</w:t>
            </w: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7D321201" w14:textId="6F86D899" w:rsidR="008F3046" w:rsidRPr="00C37F53" w:rsidDel="002F1525" w:rsidRDefault="00C2063C" w:rsidP="00661AA0">
            <w:r>
              <w:t xml:space="preserve">September </w:t>
            </w:r>
            <w:r w:rsidR="00E30880">
              <w:t>–</w:t>
            </w:r>
            <w:r>
              <w:t xml:space="preserve"> </w:t>
            </w:r>
            <w:r w:rsidR="00E30880">
              <w:t xml:space="preserve">December </w:t>
            </w:r>
            <w:r w:rsidR="008F3046" w:rsidRPr="008F3046">
              <w:t>2017</w:t>
            </w:r>
          </w:p>
        </w:tc>
      </w:tr>
      <w:tr w:rsidR="008F3046" w:rsidRPr="00C37F53" w:rsidDel="002F1525" w14:paraId="4137F082" w14:textId="77777777" w:rsidTr="00661AA0">
        <w:tc>
          <w:tcPr>
            <w:tcW w:w="5215" w:type="dxa"/>
            <w:tcBorders>
              <w:top w:val="single" w:sz="4" w:space="0" w:color="auto"/>
              <w:left w:val="single" w:sz="4" w:space="0" w:color="auto"/>
              <w:bottom w:val="single" w:sz="4" w:space="0" w:color="auto"/>
              <w:right w:val="single" w:sz="4" w:space="0" w:color="auto"/>
            </w:tcBorders>
            <w:shd w:val="clear" w:color="auto" w:fill="auto"/>
          </w:tcPr>
          <w:p w14:paraId="13474683" w14:textId="77777777" w:rsidR="008F3046" w:rsidRPr="00E10FC7" w:rsidRDefault="008F3046" w:rsidP="00C10B67">
            <w:r w:rsidRPr="008F3046">
              <w:t>Analyze qualitative interview and other data</w:t>
            </w: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3068D81F" w14:textId="23306051" w:rsidR="008F3046" w:rsidRPr="00C37F53" w:rsidDel="002F1525" w:rsidRDefault="008F3046" w:rsidP="00661AA0">
            <w:r w:rsidRPr="008F3046">
              <w:t>November 2017</w:t>
            </w:r>
            <w:r w:rsidR="00C2063C">
              <w:t xml:space="preserve"> – </w:t>
            </w:r>
            <w:r w:rsidR="00661AA0">
              <w:t xml:space="preserve">March </w:t>
            </w:r>
            <w:r w:rsidR="00C2063C">
              <w:t>2018</w:t>
            </w:r>
          </w:p>
        </w:tc>
      </w:tr>
      <w:tr w:rsidR="008F3046" w:rsidRPr="00C37F53" w:rsidDel="002F1525" w14:paraId="1583CD44" w14:textId="77777777" w:rsidTr="00661AA0">
        <w:tc>
          <w:tcPr>
            <w:tcW w:w="5215" w:type="dxa"/>
            <w:tcBorders>
              <w:top w:val="single" w:sz="4" w:space="0" w:color="auto"/>
              <w:left w:val="single" w:sz="4" w:space="0" w:color="auto"/>
              <w:bottom w:val="single" w:sz="4" w:space="0" w:color="auto"/>
              <w:right w:val="single" w:sz="4" w:space="0" w:color="auto"/>
            </w:tcBorders>
            <w:shd w:val="clear" w:color="auto" w:fill="auto"/>
          </w:tcPr>
          <w:p w14:paraId="1A127D80" w14:textId="77777777" w:rsidR="008F3046" w:rsidRPr="00E10FC7" w:rsidRDefault="008F3046" w:rsidP="00C10B67">
            <w:r w:rsidRPr="008F3046">
              <w:t>Develop theories of change</w:t>
            </w: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52655BE9" w14:textId="11EBCB49" w:rsidR="008F3046" w:rsidRPr="00C37F53" w:rsidDel="002F1525" w:rsidRDefault="00661AA0" w:rsidP="00C10B67">
            <w:r>
              <w:t>March –April 2018</w:t>
            </w:r>
          </w:p>
        </w:tc>
      </w:tr>
      <w:tr w:rsidR="008F3046" w:rsidRPr="00C37F53" w:rsidDel="002F1525" w14:paraId="4C6F3C58" w14:textId="77777777" w:rsidTr="00661AA0">
        <w:tc>
          <w:tcPr>
            <w:tcW w:w="5215" w:type="dxa"/>
            <w:tcBorders>
              <w:top w:val="single" w:sz="4" w:space="0" w:color="auto"/>
              <w:left w:val="single" w:sz="4" w:space="0" w:color="auto"/>
              <w:bottom w:val="single" w:sz="4" w:space="0" w:color="auto"/>
              <w:right w:val="single" w:sz="4" w:space="0" w:color="auto"/>
            </w:tcBorders>
            <w:shd w:val="clear" w:color="auto" w:fill="auto"/>
          </w:tcPr>
          <w:p w14:paraId="7C667873" w14:textId="77777777" w:rsidR="008F3046" w:rsidRPr="00E10FC7" w:rsidRDefault="008F3046" w:rsidP="00C10B67">
            <w:r w:rsidRPr="008F3046">
              <w:t>Stakeholder review of theories of change</w:t>
            </w: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0227D050" w14:textId="1DE26A6A" w:rsidR="008F3046" w:rsidRPr="00C37F53" w:rsidDel="002F1525" w:rsidRDefault="00661AA0" w:rsidP="00C10B67">
            <w:r>
              <w:t>May – June 2018</w:t>
            </w:r>
          </w:p>
        </w:tc>
      </w:tr>
      <w:tr w:rsidR="008F3046" w:rsidRPr="00C37F53" w:rsidDel="002F1525" w14:paraId="33443B3D" w14:textId="77777777" w:rsidTr="00661AA0">
        <w:tc>
          <w:tcPr>
            <w:tcW w:w="5215" w:type="dxa"/>
            <w:tcBorders>
              <w:top w:val="single" w:sz="4" w:space="0" w:color="auto"/>
              <w:left w:val="single" w:sz="4" w:space="0" w:color="auto"/>
              <w:bottom w:val="single" w:sz="4" w:space="0" w:color="auto"/>
              <w:right w:val="single" w:sz="4" w:space="0" w:color="auto"/>
            </w:tcBorders>
            <w:shd w:val="clear" w:color="auto" w:fill="auto"/>
          </w:tcPr>
          <w:p w14:paraId="626AC70C" w14:textId="77777777" w:rsidR="008F3046" w:rsidRPr="00E10FC7" w:rsidRDefault="008F3046" w:rsidP="00C10B67">
            <w:r w:rsidRPr="008F3046">
              <w:t>Revise theories of change</w:t>
            </w: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3563085A" w14:textId="12193582" w:rsidR="008F3046" w:rsidRPr="00C37F53" w:rsidDel="002F1525" w:rsidRDefault="00661AA0" w:rsidP="00C10B67">
            <w:r>
              <w:t>July</w:t>
            </w:r>
            <w:r w:rsidR="006D067E" w:rsidRPr="008F3046">
              <w:t xml:space="preserve"> </w:t>
            </w:r>
            <w:r w:rsidR="008F3046" w:rsidRPr="008F3046">
              <w:t>2018</w:t>
            </w:r>
          </w:p>
        </w:tc>
      </w:tr>
    </w:tbl>
    <w:p w14:paraId="5BA16521" w14:textId="229B126B" w:rsidR="00F4167B" w:rsidRDefault="00DD400B" w:rsidP="00D069D4">
      <w:pPr>
        <w:ind w:left="360"/>
      </w:pPr>
      <w:r>
        <w:t xml:space="preserve">*Dates are dependent on date of OMB approval. </w:t>
      </w:r>
    </w:p>
    <w:p w14:paraId="69349DEA" w14:textId="77777777" w:rsidR="00DD400B" w:rsidRDefault="00DD400B" w:rsidP="00D069D4">
      <w:pPr>
        <w:ind w:left="360"/>
      </w:pPr>
    </w:p>
    <w:p w14:paraId="59B19840" w14:textId="77777777" w:rsidR="00BD23BD" w:rsidRDefault="00D115E4" w:rsidP="007724B4">
      <w:pPr>
        <w:ind w:left="360"/>
      </w:pPr>
      <w:r>
        <w:t xml:space="preserve">The data collected through </w:t>
      </w:r>
      <w:r w:rsidR="006204BB">
        <w:t>qualitative</w:t>
      </w:r>
      <w:r>
        <w:t xml:space="preserve"> interviews with youth will support the development of theories of change and curricula for underserved youth. </w:t>
      </w:r>
      <w:r w:rsidR="00BD23BD" w:rsidRPr="00C0556D">
        <w:t xml:space="preserve">To analyze the qualitative data gathered through the interviews, </w:t>
      </w:r>
      <w:r w:rsidR="00BD23BD">
        <w:t xml:space="preserve">the study team </w:t>
      </w:r>
      <w:r w:rsidR="00BD23BD" w:rsidRPr="00C0556D">
        <w:t xml:space="preserve">will </w:t>
      </w:r>
      <w:r w:rsidR="00BD23BD">
        <w:t xml:space="preserve">use the framework method to identify commonalities and differences within the data for each target population, describe relationships and interconnections across topics, and specify descriptive or explanatory themes (Gale et al 2013). Analysis will involve multiple steps, including two stages of coding, charting data into a framework matrix, and producing internal analytic memos. The coding structure will include </w:t>
      </w:r>
      <w:r w:rsidR="00BD23BD" w:rsidRPr="00A0565E">
        <w:t xml:space="preserve">deductive </w:t>
      </w:r>
      <w:r w:rsidR="00BD23BD">
        <w:t>codes</w:t>
      </w:r>
      <w:r w:rsidR="00BD23BD" w:rsidRPr="00A0565E">
        <w:t xml:space="preserve"> based on the </w:t>
      </w:r>
      <w:r w:rsidR="00BD23BD">
        <w:t xml:space="preserve">interview topic guide and inductive codes </w:t>
      </w:r>
      <w:r w:rsidR="00BD23BD" w:rsidRPr="00A0565E">
        <w:t xml:space="preserve">that “bubble up” </w:t>
      </w:r>
      <w:r w:rsidR="00BD23BD">
        <w:t xml:space="preserve">or emerge </w:t>
      </w:r>
      <w:r w:rsidR="00BD23BD" w:rsidRPr="00A0565E">
        <w:t>from the transcripts.</w:t>
      </w:r>
      <w:r w:rsidR="00D22977">
        <w:t xml:space="preserve"> </w:t>
      </w:r>
      <w:r w:rsidR="00D22977" w:rsidRPr="00D22977">
        <w:t>For example, coders might find that youth repeatedly discuss positive experiences with prior formal sexual health education that emphasized inclusivity for LGBTQ youth.</w:t>
      </w:r>
    </w:p>
    <w:p w14:paraId="0D2AB35C" w14:textId="77777777" w:rsidR="00BD23BD" w:rsidRDefault="00BD23BD" w:rsidP="007724B4">
      <w:pPr>
        <w:ind w:left="360"/>
      </w:pPr>
    </w:p>
    <w:p w14:paraId="3A2F774F" w14:textId="77777777" w:rsidR="00D22977" w:rsidRPr="00A91B94" w:rsidRDefault="00D22977" w:rsidP="00A91B94">
      <w:pPr>
        <w:pStyle w:val="BulletBlack"/>
        <w:rPr>
          <w:rFonts w:ascii="Times New Roman" w:hAnsi="Times New Roman"/>
        </w:rPr>
      </w:pPr>
      <w:r w:rsidRPr="00A91B94">
        <w:rPr>
          <w:rFonts w:ascii="Times New Roman" w:hAnsi="Times New Roman"/>
          <w:b/>
        </w:rPr>
        <w:t>Applying thematic codes (first coding stage).</w:t>
      </w:r>
      <w:r w:rsidRPr="00A91B94">
        <w:rPr>
          <w:rFonts w:ascii="Times New Roman" w:hAnsi="Times New Roman"/>
        </w:rPr>
        <w:t xml:space="preserve"> Prior to thematic coding, the study team will develop a thematic coding structure that identifies each code and provides a definition. The coding structure will be a dynamic, meaning the team will update it as codes are added and definitions for codes are refined. Using the NVivo qualitative analysis software package, all members of the coding team will code an initial set of three transcripts following the coding structure. The purpose of this step is to support all team members in developing a shared and consistent understanding of the codes. After reviewing the initial transcripts, the coding team will meet to discuss and finalize the thematic coding structure. </w:t>
      </w:r>
      <w:r w:rsidR="00DD13BD" w:rsidRPr="00A91B94">
        <w:rPr>
          <w:rFonts w:ascii="Times New Roman" w:hAnsi="Times New Roman"/>
        </w:rPr>
        <w:t>The study team</w:t>
      </w:r>
      <w:r w:rsidRPr="00A91B94">
        <w:rPr>
          <w:rFonts w:ascii="Times New Roman" w:hAnsi="Times New Roman"/>
        </w:rPr>
        <w:t xml:space="preserve"> then will use the coding structure to systematically code all transcripts. </w:t>
      </w:r>
    </w:p>
    <w:p w14:paraId="4A00F5F4" w14:textId="77777777" w:rsidR="00D22977" w:rsidRPr="00A91B94" w:rsidRDefault="00D22977" w:rsidP="00A91B94">
      <w:pPr>
        <w:pStyle w:val="BulletBlack"/>
        <w:rPr>
          <w:rFonts w:ascii="Times New Roman" w:hAnsi="Times New Roman"/>
        </w:rPr>
      </w:pPr>
      <w:r w:rsidRPr="00A91B94">
        <w:rPr>
          <w:rFonts w:ascii="Times New Roman" w:hAnsi="Times New Roman"/>
          <w:b/>
        </w:rPr>
        <w:t>Identifying and applying analytic subcodes (second coding stage).</w:t>
      </w:r>
      <w:r w:rsidRPr="00A91B94">
        <w:rPr>
          <w:rFonts w:ascii="Times New Roman" w:hAnsi="Times New Roman"/>
        </w:rPr>
        <w:t xml:space="preserve"> After thematic coding, the study team will complete analytic subcoding, which will allow for deeper analysis by identifying patterns within each thematic code. Members of the coding team will focus on subsets of thematic codes. For each thematic code, the team member will consider all output for the thematic code to develop additional codes that help to explain the theme. The analysis will focus on identifying commonalities and differences </w:t>
      </w:r>
      <w:r w:rsidR="00B311B2" w:rsidRPr="00A91B94">
        <w:rPr>
          <w:rFonts w:ascii="Times New Roman" w:hAnsi="Times New Roman"/>
        </w:rPr>
        <w:t>among</w:t>
      </w:r>
      <w:r w:rsidRPr="00A91B94">
        <w:rPr>
          <w:rFonts w:ascii="Times New Roman" w:hAnsi="Times New Roman"/>
        </w:rPr>
        <w:t xml:space="preserve"> youth from a target population on topics such as use of and access to methods of contraception or the most important topics for sexual health education or the method of program delivery.</w:t>
      </w:r>
    </w:p>
    <w:p w14:paraId="21E86CD5" w14:textId="77777777" w:rsidR="00D22977" w:rsidRPr="00A91B94" w:rsidRDefault="00D22977" w:rsidP="00A91B94">
      <w:pPr>
        <w:pStyle w:val="BulletBlack"/>
        <w:rPr>
          <w:rFonts w:ascii="Times New Roman" w:hAnsi="Times New Roman"/>
        </w:rPr>
      </w:pPr>
      <w:r w:rsidRPr="00A91B94">
        <w:rPr>
          <w:rFonts w:ascii="Times New Roman" w:hAnsi="Times New Roman"/>
          <w:b/>
        </w:rPr>
        <w:t>Developing the framework matrix.</w:t>
      </w:r>
      <w:r w:rsidRPr="00A91B94">
        <w:rPr>
          <w:rFonts w:ascii="Times New Roman" w:hAnsi="Times New Roman"/>
        </w:rPr>
        <w:t xml:space="preserve"> Simultaneous with analytic subcoding, the study team will also will chart data into a spreadsheet or matrix where the rows will be individual cases and the columns will be the key categories or themes. In the matrix, for each case, </w:t>
      </w:r>
      <w:r w:rsidR="00B311B2" w:rsidRPr="00A91B94">
        <w:rPr>
          <w:rFonts w:ascii="Times New Roman" w:hAnsi="Times New Roman"/>
        </w:rPr>
        <w:t xml:space="preserve">the study team </w:t>
      </w:r>
      <w:r w:rsidRPr="00A91B94">
        <w:rPr>
          <w:rFonts w:ascii="Times New Roman" w:hAnsi="Times New Roman"/>
        </w:rPr>
        <w:t>will summarize data for each category or theme, in an effort to reduce the data. The matrix will include interesting and illustrative quotes.</w:t>
      </w:r>
    </w:p>
    <w:p w14:paraId="6CA3DD06" w14:textId="77777777" w:rsidR="00BD23BD" w:rsidRDefault="00D22977" w:rsidP="00A91B94">
      <w:pPr>
        <w:pStyle w:val="BulletBlack"/>
      </w:pPr>
      <w:r w:rsidRPr="00A91B94">
        <w:rPr>
          <w:rFonts w:ascii="Times New Roman" w:hAnsi="Times New Roman"/>
          <w:b/>
        </w:rPr>
        <w:t>Producing analytic memos.</w:t>
      </w:r>
      <w:r w:rsidRPr="00A91B94">
        <w:rPr>
          <w:rFonts w:ascii="Times New Roman" w:hAnsi="Times New Roman"/>
        </w:rPr>
        <w:t xml:space="preserve"> The final analysis stage will involve producing internal memos around key themes. The memos will discuss the theme, highlight how data supported identification of the theme, and identify support quotations from the transcripts.</w:t>
      </w:r>
    </w:p>
    <w:p w14:paraId="6563317A" w14:textId="77777777" w:rsidR="00BD23BD" w:rsidRDefault="00BD23BD" w:rsidP="007724B4">
      <w:pPr>
        <w:ind w:left="360"/>
      </w:pPr>
    </w:p>
    <w:p w14:paraId="296E10BB" w14:textId="77777777" w:rsidR="007724B4" w:rsidRPr="007724B4" w:rsidRDefault="007724B4" w:rsidP="008C478C">
      <w:pPr>
        <w:pStyle w:val="NormalSS"/>
        <w:tabs>
          <w:tab w:val="clear" w:pos="432"/>
          <w:tab w:val="left" w:pos="360"/>
        </w:tabs>
        <w:ind w:firstLine="360"/>
      </w:pPr>
      <w:r w:rsidRPr="007724B4">
        <w:t xml:space="preserve">Results from these interviews may be summarized in a </w:t>
      </w:r>
      <w:r w:rsidR="008C478C">
        <w:t xml:space="preserve">research </w:t>
      </w:r>
      <w:r w:rsidRPr="007724B4">
        <w:t xml:space="preserve">brief or journal article. </w:t>
      </w:r>
    </w:p>
    <w:p w14:paraId="7E848FA0" w14:textId="77777777" w:rsidR="007724B4" w:rsidRPr="00766DD4" w:rsidRDefault="007724B4" w:rsidP="0035445B">
      <w:pPr>
        <w:pStyle w:val="NormalSS"/>
      </w:pPr>
    </w:p>
    <w:p w14:paraId="3E86E815" w14:textId="77777777" w:rsidR="0035445B" w:rsidRDefault="0035445B" w:rsidP="00D069D4">
      <w:pPr>
        <w:ind w:left="360"/>
      </w:pPr>
    </w:p>
    <w:p w14:paraId="58824A50" w14:textId="77777777" w:rsidR="00945CD6" w:rsidRPr="0072204D" w:rsidRDefault="00292B70" w:rsidP="00292B70">
      <w:pPr>
        <w:rPr>
          <w:b/>
        </w:rPr>
      </w:pPr>
      <w:r>
        <w:rPr>
          <w:b/>
        </w:rPr>
        <w:t xml:space="preserve">A17. </w:t>
      </w:r>
      <w:r w:rsidR="00945CD6" w:rsidRPr="0072204D">
        <w:rPr>
          <w:b/>
        </w:rPr>
        <w:t>Reasons Not to Display OMB Expiration Date</w:t>
      </w:r>
    </w:p>
    <w:p w14:paraId="1969D35B" w14:textId="77777777" w:rsidR="00D90EF6" w:rsidRPr="00375D20" w:rsidRDefault="00D90EF6" w:rsidP="00D069D4">
      <w:pPr>
        <w:ind w:left="360"/>
      </w:pPr>
      <w:r w:rsidRPr="00375D20">
        <w:t>All instruments will display the expiration date for OMB approval.</w:t>
      </w:r>
    </w:p>
    <w:p w14:paraId="0BDDF9F1" w14:textId="77777777" w:rsidR="002338AC" w:rsidRPr="00375D20" w:rsidRDefault="002338AC" w:rsidP="005046F0">
      <w:pPr>
        <w:ind w:left="360"/>
      </w:pPr>
    </w:p>
    <w:p w14:paraId="5DCA48A6" w14:textId="77777777" w:rsidR="00945CD6" w:rsidRPr="00375D20" w:rsidRDefault="00292B70" w:rsidP="00292B70">
      <w:pPr>
        <w:rPr>
          <w:b/>
        </w:rPr>
      </w:pPr>
      <w:r w:rsidRPr="00375D20">
        <w:rPr>
          <w:b/>
        </w:rPr>
        <w:t>A18.</w:t>
      </w:r>
      <w:r w:rsidR="000B5EA8" w:rsidRPr="00375D20">
        <w:rPr>
          <w:b/>
        </w:rPr>
        <w:t xml:space="preserve"> Exceptions to Certification for Paperwork Reduction Act Submissions</w:t>
      </w:r>
    </w:p>
    <w:p w14:paraId="3451E7B0" w14:textId="77777777" w:rsidR="0072204D" w:rsidRPr="0072204D" w:rsidRDefault="00D90EF6" w:rsidP="00B311B2">
      <w:pPr>
        <w:ind w:left="360"/>
      </w:pPr>
      <w:r w:rsidRPr="00832EBA">
        <w:rPr>
          <w:szCs w:val="22"/>
        </w:rPr>
        <w:t>No exceptions are necessary for this information collection.</w:t>
      </w:r>
      <w:r w:rsidR="000B5EA8">
        <w:tab/>
      </w:r>
    </w:p>
    <w:sectPr w:rsidR="0072204D" w:rsidRPr="0072204D" w:rsidSect="00327B2E">
      <w:headerReference w:type="default" r:id="rId12"/>
      <w:footerReference w:type="default" r:id="rId13"/>
      <w:pgSz w:w="12240" w:h="15840"/>
      <w:pgMar w:top="216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35F575" w15:done="0"/>
  <w15:commentEx w15:paraId="407F2F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591B0" w14:textId="77777777" w:rsidR="00A51978" w:rsidRDefault="00A51978">
      <w:r>
        <w:separator/>
      </w:r>
    </w:p>
  </w:endnote>
  <w:endnote w:type="continuationSeparator" w:id="0">
    <w:p w14:paraId="350A360C" w14:textId="77777777" w:rsidR="00A51978" w:rsidRDefault="00A51978">
      <w:r>
        <w:continuationSeparator/>
      </w:r>
    </w:p>
  </w:endnote>
  <w:endnote w:type="continuationNotice" w:id="1">
    <w:p w14:paraId="14B0CCEB" w14:textId="77777777" w:rsidR="00A51978" w:rsidRDefault="00A51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ato Regular">
    <w:altName w:val="Calibri"/>
    <w:charset w:val="00"/>
    <w:family w:val="auto"/>
    <w:pitch w:val="variable"/>
    <w:sig w:usb0="00000001" w:usb1="5000ECFF" w:usb2="00000009" w:usb3="00000000" w:csb0="0000019F" w:csb1="00000000"/>
  </w:font>
  <w:font w:name="Lato">
    <w:altName w:val="Calibr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F0F30" w14:textId="77777777" w:rsidR="00387960" w:rsidRDefault="00387960">
    <w:pPr>
      <w:pStyle w:val="Footer"/>
      <w:jc w:val="center"/>
    </w:pPr>
    <w:r>
      <w:fldChar w:fldCharType="begin"/>
    </w:r>
    <w:r>
      <w:instrText xml:space="preserve"> PAGE   \* MERGEFORMAT </w:instrText>
    </w:r>
    <w:r>
      <w:fldChar w:fldCharType="separate"/>
    </w:r>
    <w:r w:rsidR="000C4BD2">
      <w:rPr>
        <w:noProof/>
      </w:rPr>
      <w:t>1</w:t>
    </w:r>
    <w:r>
      <w:fldChar w:fldCharType="end"/>
    </w:r>
  </w:p>
  <w:p w14:paraId="1B965DFC" w14:textId="77777777" w:rsidR="00387960" w:rsidRDefault="00387960"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B0538" w14:textId="77777777" w:rsidR="00A51978" w:rsidRDefault="00A51978">
      <w:r>
        <w:separator/>
      </w:r>
    </w:p>
  </w:footnote>
  <w:footnote w:type="continuationSeparator" w:id="0">
    <w:p w14:paraId="1EC74385" w14:textId="77777777" w:rsidR="00A51978" w:rsidRDefault="00A51978">
      <w:r>
        <w:continuationSeparator/>
      </w:r>
    </w:p>
  </w:footnote>
  <w:footnote w:type="continuationNotice" w:id="1">
    <w:p w14:paraId="1662810B" w14:textId="77777777" w:rsidR="00A51978" w:rsidRDefault="00A51978"/>
  </w:footnote>
  <w:footnote w:id="2">
    <w:p w14:paraId="4DCF23BE" w14:textId="77777777" w:rsidR="005312C9" w:rsidRDefault="005312C9" w:rsidP="005312C9">
      <w:pPr>
        <w:pStyle w:val="FootnoteText"/>
      </w:pPr>
      <w:r>
        <w:rPr>
          <w:rStyle w:val="FootnoteReference"/>
        </w:rPr>
        <w:footnoteRef/>
      </w:r>
      <w:r>
        <w:t xml:space="preserve"> </w:t>
      </w:r>
      <w:hyperlink r:id="rId1" w:history="1">
        <w:r w:rsidRPr="006121CB">
          <w:rPr>
            <w:rStyle w:val="Hyperlink"/>
          </w:rPr>
          <w:t>http://tppevidencereview.aspe.hhs.gov/pdfs/Review_protocol_v4.pdf</w:t>
        </w:r>
      </w:hyperlink>
    </w:p>
  </w:footnote>
  <w:footnote w:id="3">
    <w:p w14:paraId="400F2FD7" w14:textId="77777777" w:rsidR="00390AD3" w:rsidRDefault="00390AD3">
      <w:pPr>
        <w:pStyle w:val="FootnoteText"/>
      </w:pPr>
      <w:r>
        <w:rPr>
          <w:rStyle w:val="FootnoteReference"/>
        </w:rPr>
        <w:footnoteRef/>
      </w:r>
      <w:r>
        <w:t xml:space="preserve"> CONsolidated Standards of Reporting Trials: see </w:t>
      </w:r>
      <w:r w:rsidRPr="00390AD3">
        <w:t>http://www.consort-statement.org/</w:t>
      </w:r>
      <w:r>
        <w:t>.</w:t>
      </w:r>
    </w:p>
  </w:footnote>
  <w:footnote w:id="4">
    <w:p w14:paraId="21AB2B04" w14:textId="77777777" w:rsidR="00642C67" w:rsidRDefault="00642C67">
      <w:pPr>
        <w:pStyle w:val="FootnoteText"/>
      </w:pPr>
      <w:r>
        <w:rPr>
          <w:rStyle w:val="FootnoteReference"/>
        </w:rPr>
        <w:footnoteRef/>
      </w:r>
      <w:r>
        <w:t xml:space="preserve"> This is less than the 29 grantees for the other instruments: since not all grantees will conduct local evaluations with an impact design, not all will need to complete this instrument.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4D457" w14:textId="77777777" w:rsidR="00387960" w:rsidRDefault="00387960"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527"/>
    <w:multiLevelType w:val="hybridMultilevel"/>
    <w:tmpl w:val="6BDA0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76B93"/>
    <w:multiLevelType w:val="hybridMultilevel"/>
    <w:tmpl w:val="5000A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863492"/>
    <w:multiLevelType w:val="hybridMultilevel"/>
    <w:tmpl w:val="0F2E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44346E9"/>
    <w:multiLevelType w:val="hybridMultilevel"/>
    <w:tmpl w:val="2EB890F8"/>
    <w:lvl w:ilvl="0" w:tplc="7784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D36CB1"/>
    <w:multiLevelType w:val="hybridMultilevel"/>
    <w:tmpl w:val="659C9DAC"/>
    <w:lvl w:ilvl="0" w:tplc="6C741F6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12FB8"/>
    <w:multiLevelType w:val="hybridMultilevel"/>
    <w:tmpl w:val="CB088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10412"/>
    <w:multiLevelType w:val="hybridMultilevel"/>
    <w:tmpl w:val="A8544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28E4111"/>
    <w:multiLevelType w:val="hybridMultilevel"/>
    <w:tmpl w:val="BCCA0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D54E80"/>
    <w:multiLevelType w:val="hybridMultilevel"/>
    <w:tmpl w:val="FF842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657A4C"/>
    <w:multiLevelType w:val="hybridMultilevel"/>
    <w:tmpl w:val="2696AE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C97C12"/>
    <w:multiLevelType w:val="hybridMultilevel"/>
    <w:tmpl w:val="1660A0DA"/>
    <w:lvl w:ilvl="0" w:tplc="C782393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F32E58"/>
    <w:multiLevelType w:val="hybridMultilevel"/>
    <w:tmpl w:val="493E3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505823"/>
    <w:multiLevelType w:val="hybridMultilevel"/>
    <w:tmpl w:val="D9008A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326EEF"/>
    <w:multiLevelType w:val="hybridMultilevel"/>
    <w:tmpl w:val="FCE21EB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9A11EDF"/>
    <w:multiLevelType w:val="hybridMultilevel"/>
    <w:tmpl w:val="868669F2"/>
    <w:lvl w:ilvl="0" w:tplc="C78239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C723D4"/>
    <w:multiLevelType w:val="hybridMultilevel"/>
    <w:tmpl w:val="48CAE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863398"/>
    <w:multiLevelType w:val="hybridMultilevel"/>
    <w:tmpl w:val="02C0D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EB41E97"/>
    <w:multiLevelType w:val="hybridMultilevel"/>
    <w:tmpl w:val="90FE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6"/>
  </w:num>
  <w:num w:numId="4">
    <w:abstractNumId w:val="15"/>
  </w:num>
  <w:num w:numId="5">
    <w:abstractNumId w:val="17"/>
  </w:num>
  <w:num w:numId="6">
    <w:abstractNumId w:val="28"/>
  </w:num>
  <w:num w:numId="7">
    <w:abstractNumId w:val="27"/>
  </w:num>
  <w:num w:numId="8">
    <w:abstractNumId w:val="18"/>
  </w:num>
  <w:num w:numId="9">
    <w:abstractNumId w:val="22"/>
  </w:num>
  <w:num w:numId="10">
    <w:abstractNumId w:val="3"/>
  </w:num>
  <w:num w:numId="11">
    <w:abstractNumId w:val="1"/>
  </w:num>
  <w:num w:numId="12">
    <w:abstractNumId w:val="4"/>
  </w:num>
  <w:num w:numId="13">
    <w:abstractNumId w:val="29"/>
  </w:num>
  <w:num w:numId="14">
    <w:abstractNumId w:val="11"/>
  </w:num>
  <w:num w:numId="15">
    <w:abstractNumId w:val="12"/>
  </w:num>
  <w:num w:numId="16">
    <w:abstractNumId w:val="20"/>
  </w:num>
  <w:num w:numId="17">
    <w:abstractNumId w:val="19"/>
  </w:num>
  <w:num w:numId="18">
    <w:abstractNumId w:val="24"/>
  </w:num>
  <w:num w:numId="19">
    <w:abstractNumId w:val="14"/>
  </w:num>
  <w:num w:numId="20">
    <w:abstractNumId w:val="31"/>
  </w:num>
  <w:num w:numId="21">
    <w:abstractNumId w:val="21"/>
  </w:num>
  <w:num w:numId="22">
    <w:abstractNumId w:val="9"/>
  </w:num>
  <w:num w:numId="23">
    <w:abstractNumId w:val="6"/>
  </w:num>
  <w:num w:numId="24">
    <w:abstractNumId w:val="34"/>
  </w:num>
  <w:num w:numId="25">
    <w:abstractNumId w:val="35"/>
  </w:num>
  <w:num w:numId="26">
    <w:abstractNumId w:val="25"/>
  </w:num>
  <w:num w:numId="27">
    <w:abstractNumId w:val="10"/>
  </w:num>
  <w:num w:numId="28">
    <w:abstractNumId w:val="8"/>
  </w:num>
  <w:num w:numId="29">
    <w:abstractNumId w:val="32"/>
  </w:num>
  <w:num w:numId="30">
    <w:abstractNumId w:val="5"/>
  </w:num>
  <w:num w:numId="31">
    <w:abstractNumId w:val="30"/>
  </w:num>
  <w:num w:numId="32">
    <w:abstractNumId w:val="23"/>
  </w:num>
  <w:num w:numId="33">
    <w:abstractNumId w:val="33"/>
  </w:num>
  <w:num w:numId="34">
    <w:abstractNumId w:val="0"/>
  </w:num>
  <w:num w:numId="35">
    <w:abstractNumId w:val="13"/>
  </w:num>
  <w:num w:numId="3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Zaveri">
    <w15:presenceInfo w15:providerId="AD" w15:userId="S-1-5-21-484763869-796845957-839522115-14798"/>
  </w15:person>
  <w15:person w15:author="Katie Adamek">
    <w15:presenceInfo w15:providerId="None" w15:userId="Katie Adam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05D6"/>
    <w:rsid w:val="00001D6C"/>
    <w:rsid w:val="000059B7"/>
    <w:rsid w:val="000078B5"/>
    <w:rsid w:val="000216B7"/>
    <w:rsid w:val="000233D9"/>
    <w:rsid w:val="00024C27"/>
    <w:rsid w:val="00026E3C"/>
    <w:rsid w:val="000273F1"/>
    <w:rsid w:val="000431B8"/>
    <w:rsid w:val="0004451C"/>
    <w:rsid w:val="00045712"/>
    <w:rsid w:val="0005133F"/>
    <w:rsid w:val="00055E83"/>
    <w:rsid w:val="00056121"/>
    <w:rsid w:val="000562EB"/>
    <w:rsid w:val="0007705A"/>
    <w:rsid w:val="000775BA"/>
    <w:rsid w:val="00080FD0"/>
    <w:rsid w:val="000823EB"/>
    <w:rsid w:val="00083508"/>
    <w:rsid w:val="00083C27"/>
    <w:rsid w:val="0008643E"/>
    <w:rsid w:val="000876D7"/>
    <w:rsid w:val="00091C59"/>
    <w:rsid w:val="000961A9"/>
    <w:rsid w:val="0009667E"/>
    <w:rsid w:val="00096BAA"/>
    <w:rsid w:val="000973A2"/>
    <w:rsid w:val="000A3482"/>
    <w:rsid w:val="000A5C13"/>
    <w:rsid w:val="000A6810"/>
    <w:rsid w:val="000B20FD"/>
    <w:rsid w:val="000B5EA8"/>
    <w:rsid w:val="000C01C0"/>
    <w:rsid w:val="000C17A2"/>
    <w:rsid w:val="000C2866"/>
    <w:rsid w:val="000C4BD2"/>
    <w:rsid w:val="000C5448"/>
    <w:rsid w:val="000C7090"/>
    <w:rsid w:val="000D0257"/>
    <w:rsid w:val="000D350E"/>
    <w:rsid w:val="000D4110"/>
    <w:rsid w:val="000D4152"/>
    <w:rsid w:val="000D53DF"/>
    <w:rsid w:val="000E0C3F"/>
    <w:rsid w:val="000E3E73"/>
    <w:rsid w:val="000E40D1"/>
    <w:rsid w:val="000F3A3A"/>
    <w:rsid w:val="00100F39"/>
    <w:rsid w:val="00101A91"/>
    <w:rsid w:val="00102057"/>
    <w:rsid w:val="0011656B"/>
    <w:rsid w:val="001172BB"/>
    <w:rsid w:val="00120747"/>
    <w:rsid w:val="001221B8"/>
    <w:rsid w:val="00123976"/>
    <w:rsid w:val="00124EBF"/>
    <w:rsid w:val="0012521D"/>
    <w:rsid w:val="00127C48"/>
    <w:rsid w:val="001352FA"/>
    <w:rsid w:val="00136C1D"/>
    <w:rsid w:val="00137A8B"/>
    <w:rsid w:val="00142670"/>
    <w:rsid w:val="00145FB9"/>
    <w:rsid w:val="00146192"/>
    <w:rsid w:val="0014772A"/>
    <w:rsid w:val="00147BCC"/>
    <w:rsid w:val="00153224"/>
    <w:rsid w:val="00154D5D"/>
    <w:rsid w:val="0016012E"/>
    <w:rsid w:val="00160680"/>
    <w:rsid w:val="00164ED5"/>
    <w:rsid w:val="001658EA"/>
    <w:rsid w:val="00166647"/>
    <w:rsid w:val="00171790"/>
    <w:rsid w:val="0017725C"/>
    <w:rsid w:val="00183C0F"/>
    <w:rsid w:val="00192D8F"/>
    <w:rsid w:val="001932DA"/>
    <w:rsid w:val="001A0B65"/>
    <w:rsid w:val="001A1A7A"/>
    <w:rsid w:val="001A29D0"/>
    <w:rsid w:val="001A53CE"/>
    <w:rsid w:val="001A5AF9"/>
    <w:rsid w:val="001B1FDB"/>
    <w:rsid w:val="001B2F1D"/>
    <w:rsid w:val="001C1C4C"/>
    <w:rsid w:val="001C20F1"/>
    <w:rsid w:val="001C2162"/>
    <w:rsid w:val="001C3350"/>
    <w:rsid w:val="001C3AF9"/>
    <w:rsid w:val="001C4D60"/>
    <w:rsid w:val="001D1B41"/>
    <w:rsid w:val="001D36EB"/>
    <w:rsid w:val="001D4EA0"/>
    <w:rsid w:val="001D55B6"/>
    <w:rsid w:val="001D5A50"/>
    <w:rsid w:val="001D76F0"/>
    <w:rsid w:val="001E11E1"/>
    <w:rsid w:val="001E15C8"/>
    <w:rsid w:val="001F0564"/>
    <w:rsid w:val="001F1AE3"/>
    <w:rsid w:val="001F354A"/>
    <w:rsid w:val="001F46D7"/>
    <w:rsid w:val="001F6EA9"/>
    <w:rsid w:val="002022AF"/>
    <w:rsid w:val="0020382F"/>
    <w:rsid w:val="00203AE0"/>
    <w:rsid w:val="002102A9"/>
    <w:rsid w:val="00217A24"/>
    <w:rsid w:val="00221133"/>
    <w:rsid w:val="00221980"/>
    <w:rsid w:val="002231FA"/>
    <w:rsid w:val="002307AA"/>
    <w:rsid w:val="002338AC"/>
    <w:rsid w:val="00234E8D"/>
    <w:rsid w:val="00235A6D"/>
    <w:rsid w:val="002408DE"/>
    <w:rsid w:val="00243F3F"/>
    <w:rsid w:val="002468D7"/>
    <w:rsid w:val="0025173C"/>
    <w:rsid w:val="00253148"/>
    <w:rsid w:val="002555E4"/>
    <w:rsid w:val="00256769"/>
    <w:rsid w:val="00263DB3"/>
    <w:rsid w:val="00267D4D"/>
    <w:rsid w:val="00275476"/>
    <w:rsid w:val="00275530"/>
    <w:rsid w:val="00275ECC"/>
    <w:rsid w:val="00277298"/>
    <w:rsid w:val="00281026"/>
    <w:rsid w:val="00285F3C"/>
    <w:rsid w:val="0029075E"/>
    <w:rsid w:val="00292B70"/>
    <w:rsid w:val="00297990"/>
    <w:rsid w:val="002A1F68"/>
    <w:rsid w:val="002A4309"/>
    <w:rsid w:val="002A43DC"/>
    <w:rsid w:val="002A5B76"/>
    <w:rsid w:val="002A5DA9"/>
    <w:rsid w:val="002B4DBE"/>
    <w:rsid w:val="002C04E6"/>
    <w:rsid w:val="002C0CD1"/>
    <w:rsid w:val="002C1622"/>
    <w:rsid w:val="002C36D6"/>
    <w:rsid w:val="002C499C"/>
    <w:rsid w:val="002C4F75"/>
    <w:rsid w:val="002C5DD2"/>
    <w:rsid w:val="002C6847"/>
    <w:rsid w:val="002C79DA"/>
    <w:rsid w:val="002D2838"/>
    <w:rsid w:val="002D4151"/>
    <w:rsid w:val="002D7DC3"/>
    <w:rsid w:val="002F1525"/>
    <w:rsid w:val="002F5CF5"/>
    <w:rsid w:val="002F5DE7"/>
    <w:rsid w:val="00301C2E"/>
    <w:rsid w:val="003034D2"/>
    <w:rsid w:val="00303AE7"/>
    <w:rsid w:val="00303FC0"/>
    <w:rsid w:val="00304719"/>
    <w:rsid w:val="0030490D"/>
    <w:rsid w:val="003136DC"/>
    <w:rsid w:val="0031381F"/>
    <w:rsid w:val="00314004"/>
    <w:rsid w:val="00327B2E"/>
    <w:rsid w:val="0033101A"/>
    <w:rsid w:val="00332B69"/>
    <w:rsid w:val="00334149"/>
    <w:rsid w:val="00334EB6"/>
    <w:rsid w:val="003358E7"/>
    <w:rsid w:val="003439B8"/>
    <w:rsid w:val="0034581A"/>
    <w:rsid w:val="0034768A"/>
    <w:rsid w:val="0035445B"/>
    <w:rsid w:val="00356DD4"/>
    <w:rsid w:val="0036326E"/>
    <w:rsid w:val="00364782"/>
    <w:rsid w:val="00370558"/>
    <w:rsid w:val="003734BA"/>
    <w:rsid w:val="00374091"/>
    <w:rsid w:val="00374DAB"/>
    <w:rsid w:val="00375D20"/>
    <w:rsid w:val="00375F8D"/>
    <w:rsid w:val="00376121"/>
    <w:rsid w:val="00377944"/>
    <w:rsid w:val="00381D79"/>
    <w:rsid w:val="0038291A"/>
    <w:rsid w:val="003872F6"/>
    <w:rsid w:val="00387960"/>
    <w:rsid w:val="003908D1"/>
    <w:rsid w:val="00390AD3"/>
    <w:rsid w:val="00394301"/>
    <w:rsid w:val="003A02E5"/>
    <w:rsid w:val="003A6752"/>
    <w:rsid w:val="003B25E4"/>
    <w:rsid w:val="003B4398"/>
    <w:rsid w:val="003C4207"/>
    <w:rsid w:val="003C4EF2"/>
    <w:rsid w:val="003D1870"/>
    <w:rsid w:val="003D5231"/>
    <w:rsid w:val="003D7D66"/>
    <w:rsid w:val="003E20D7"/>
    <w:rsid w:val="003E3F44"/>
    <w:rsid w:val="003F33B5"/>
    <w:rsid w:val="003F6CAD"/>
    <w:rsid w:val="004013EF"/>
    <w:rsid w:val="00401929"/>
    <w:rsid w:val="00404877"/>
    <w:rsid w:val="0041112E"/>
    <w:rsid w:val="00413208"/>
    <w:rsid w:val="00413900"/>
    <w:rsid w:val="00414B67"/>
    <w:rsid w:val="00415EA2"/>
    <w:rsid w:val="004222F8"/>
    <w:rsid w:val="00422C1B"/>
    <w:rsid w:val="0042578F"/>
    <w:rsid w:val="0043159A"/>
    <w:rsid w:val="00435E14"/>
    <w:rsid w:val="004360DB"/>
    <w:rsid w:val="00441271"/>
    <w:rsid w:val="00446558"/>
    <w:rsid w:val="004522FF"/>
    <w:rsid w:val="00453B25"/>
    <w:rsid w:val="004554B1"/>
    <w:rsid w:val="00456489"/>
    <w:rsid w:val="00456E2F"/>
    <w:rsid w:val="0046066C"/>
    <w:rsid w:val="004666D5"/>
    <w:rsid w:val="00466B03"/>
    <w:rsid w:val="0047361B"/>
    <w:rsid w:val="004744C1"/>
    <w:rsid w:val="004745CC"/>
    <w:rsid w:val="0047647E"/>
    <w:rsid w:val="00476B0E"/>
    <w:rsid w:val="0048294C"/>
    <w:rsid w:val="00482DDE"/>
    <w:rsid w:val="00484CB4"/>
    <w:rsid w:val="00487076"/>
    <w:rsid w:val="00487A8B"/>
    <w:rsid w:val="0049416A"/>
    <w:rsid w:val="00494622"/>
    <w:rsid w:val="00494EFD"/>
    <w:rsid w:val="004A44DD"/>
    <w:rsid w:val="004A5FE6"/>
    <w:rsid w:val="004B587E"/>
    <w:rsid w:val="004B5E77"/>
    <w:rsid w:val="004C2ADD"/>
    <w:rsid w:val="004D096F"/>
    <w:rsid w:val="004D255B"/>
    <w:rsid w:val="004D27C8"/>
    <w:rsid w:val="004D5DDE"/>
    <w:rsid w:val="004D6CA9"/>
    <w:rsid w:val="004D7002"/>
    <w:rsid w:val="004E0AE8"/>
    <w:rsid w:val="004E4AFB"/>
    <w:rsid w:val="004F416B"/>
    <w:rsid w:val="004F4B68"/>
    <w:rsid w:val="004F4E1D"/>
    <w:rsid w:val="00504510"/>
    <w:rsid w:val="005046F0"/>
    <w:rsid w:val="0050690C"/>
    <w:rsid w:val="0050773E"/>
    <w:rsid w:val="00520737"/>
    <w:rsid w:val="005246DA"/>
    <w:rsid w:val="00525060"/>
    <w:rsid w:val="005312C9"/>
    <w:rsid w:val="005353B7"/>
    <w:rsid w:val="00535BD8"/>
    <w:rsid w:val="00536CC5"/>
    <w:rsid w:val="00541024"/>
    <w:rsid w:val="005444BE"/>
    <w:rsid w:val="00547D08"/>
    <w:rsid w:val="0055465E"/>
    <w:rsid w:val="00555076"/>
    <w:rsid w:val="00556F36"/>
    <w:rsid w:val="00563A06"/>
    <w:rsid w:val="00565800"/>
    <w:rsid w:val="005710E1"/>
    <w:rsid w:val="00572DC7"/>
    <w:rsid w:val="00573341"/>
    <w:rsid w:val="00580009"/>
    <w:rsid w:val="005828D0"/>
    <w:rsid w:val="00590477"/>
    <w:rsid w:val="00591907"/>
    <w:rsid w:val="00594956"/>
    <w:rsid w:val="005A0DAD"/>
    <w:rsid w:val="005A129B"/>
    <w:rsid w:val="005A4262"/>
    <w:rsid w:val="005A64C5"/>
    <w:rsid w:val="005B060D"/>
    <w:rsid w:val="005B27C8"/>
    <w:rsid w:val="005B3D74"/>
    <w:rsid w:val="005B51A7"/>
    <w:rsid w:val="005C728D"/>
    <w:rsid w:val="005D40C0"/>
    <w:rsid w:val="005D6A99"/>
    <w:rsid w:val="005E2F15"/>
    <w:rsid w:val="005E3DBB"/>
    <w:rsid w:val="005F2061"/>
    <w:rsid w:val="005F4313"/>
    <w:rsid w:val="006010CA"/>
    <w:rsid w:val="00602C77"/>
    <w:rsid w:val="00605888"/>
    <w:rsid w:val="00607351"/>
    <w:rsid w:val="006126FC"/>
    <w:rsid w:val="006204BB"/>
    <w:rsid w:val="0062485C"/>
    <w:rsid w:val="00632053"/>
    <w:rsid w:val="00636E34"/>
    <w:rsid w:val="00642C67"/>
    <w:rsid w:val="00645356"/>
    <w:rsid w:val="00651DBA"/>
    <w:rsid w:val="006536DB"/>
    <w:rsid w:val="0065737D"/>
    <w:rsid w:val="00657424"/>
    <w:rsid w:val="00661AA0"/>
    <w:rsid w:val="00667462"/>
    <w:rsid w:val="00671737"/>
    <w:rsid w:val="00672A5C"/>
    <w:rsid w:val="006741CD"/>
    <w:rsid w:val="00674934"/>
    <w:rsid w:val="00675299"/>
    <w:rsid w:val="00676625"/>
    <w:rsid w:val="00687F65"/>
    <w:rsid w:val="00691794"/>
    <w:rsid w:val="00692291"/>
    <w:rsid w:val="006950AB"/>
    <w:rsid w:val="006972B3"/>
    <w:rsid w:val="006A01ED"/>
    <w:rsid w:val="006A5123"/>
    <w:rsid w:val="006B091A"/>
    <w:rsid w:val="006B3A37"/>
    <w:rsid w:val="006B6845"/>
    <w:rsid w:val="006C0DE9"/>
    <w:rsid w:val="006C7EEF"/>
    <w:rsid w:val="006D067E"/>
    <w:rsid w:val="006D2D2E"/>
    <w:rsid w:val="006D4B00"/>
    <w:rsid w:val="006D755A"/>
    <w:rsid w:val="006E57BC"/>
    <w:rsid w:val="006E5814"/>
    <w:rsid w:val="006F2BC9"/>
    <w:rsid w:val="006F2C85"/>
    <w:rsid w:val="006F6E2D"/>
    <w:rsid w:val="006F7BD4"/>
    <w:rsid w:val="00700032"/>
    <w:rsid w:val="00701045"/>
    <w:rsid w:val="0070118D"/>
    <w:rsid w:val="00702E09"/>
    <w:rsid w:val="00705450"/>
    <w:rsid w:val="00705D3E"/>
    <w:rsid w:val="00711BC5"/>
    <w:rsid w:val="00714B89"/>
    <w:rsid w:val="00716929"/>
    <w:rsid w:val="00716E3E"/>
    <w:rsid w:val="007218EA"/>
    <w:rsid w:val="0072204D"/>
    <w:rsid w:val="00723DE1"/>
    <w:rsid w:val="00736E6C"/>
    <w:rsid w:val="00736F1D"/>
    <w:rsid w:val="00737793"/>
    <w:rsid w:val="00740247"/>
    <w:rsid w:val="00740FA2"/>
    <w:rsid w:val="007449BB"/>
    <w:rsid w:val="00751E04"/>
    <w:rsid w:val="007538C5"/>
    <w:rsid w:val="00763129"/>
    <w:rsid w:val="00772457"/>
    <w:rsid w:val="007724B4"/>
    <w:rsid w:val="00774E4B"/>
    <w:rsid w:val="00776537"/>
    <w:rsid w:val="00776E40"/>
    <w:rsid w:val="007803E9"/>
    <w:rsid w:val="00784137"/>
    <w:rsid w:val="007942F6"/>
    <w:rsid w:val="007A4AE2"/>
    <w:rsid w:val="007A77DC"/>
    <w:rsid w:val="007B2496"/>
    <w:rsid w:val="007B377A"/>
    <w:rsid w:val="007B49CE"/>
    <w:rsid w:val="007C0F11"/>
    <w:rsid w:val="007C13A4"/>
    <w:rsid w:val="007C5A70"/>
    <w:rsid w:val="007C5DC8"/>
    <w:rsid w:val="007D295D"/>
    <w:rsid w:val="007D3D45"/>
    <w:rsid w:val="007D3E62"/>
    <w:rsid w:val="007E35A1"/>
    <w:rsid w:val="007E423B"/>
    <w:rsid w:val="007E434E"/>
    <w:rsid w:val="007E4569"/>
    <w:rsid w:val="007E7AB5"/>
    <w:rsid w:val="007F4A02"/>
    <w:rsid w:val="007F7559"/>
    <w:rsid w:val="00801FFF"/>
    <w:rsid w:val="00803F4F"/>
    <w:rsid w:val="008045D0"/>
    <w:rsid w:val="008110B6"/>
    <w:rsid w:val="00815CE8"/>
    <w:rsid w:val="008163E9"/>
    <w:rsid w:val="00823523"/>
    <w:rsid w:val="0082643D"/>
    <w:rsid w:val="00826701"/>
    <w:rsid w:val="00832EBA"/>
    <w:rsid w:val="008412E4"/>
    <w:rsid w:val="00844C10"/>
    <w:rsid w:val="00845D5C"/>
    <w:rsid w:val="0087234E"/>
    <w:rsid w:val="00874F8C"/>
    <w:rsid w:val="00876C6C"/>
    <w:rsid w:val="00876E81"/>
    <w:rsid w:val="00876EB1"/>
    <w:rsid w:val="0088370C"/>
    <w:rsid w:val="00885C64"/>
    <w:rsid w:val="008937D9"/>
    <w:rsid w:val="00893890"/>
    <w:rsid w:val="00895213"/>
    <w:rsid w:val="008A0875"/>
    <w:rsid w:val="008A39A2"/>
    <w:rsid w:val="008A4F01"/>
    <w:rsid w:val="008B2BE2"/>
    <w:rsid w:val="008B6EFA"/>
    <w:rsid w:val="008B7F2C"/>
    <w:rsid w:val="008C28F6"/>
    <w:rsid w:val="008C478C"/>
    <w:rsid w:val="008C5B7A"/>
    <w:rsid w:val="008C6A6B"/>
    <w:rsid w:val="008C78B4"/>
    <w:rsid w:val="008D7783"/>
    <w:rsid w:val="008E259F"/>
    <w:rsid w:val="008E4348"/>
    <w:rsid w:val="008F08B8"/>
    <w:rsid w:val="008F10A2"/>
    <w:rsid w:val="008F3046"/>
    <w:rsid w:val="008F51E3"/>
    <w:rsid w:val="008F5ADF"/>
    <w:rsid w:val="009031DC"/>
    <w:rsid w:val="00920FD5"/>
    <w:rsid w:val="0092109A"/>
    <w:rsid w:val="00924A51"/>
    <w:rsid w:val="009305DA"/>
    <w:rsid w:val="009307DA"/>
    <w:rsid w:val="00932D71"/>
    <w:rsid w:val="00933674"/>
    <w:rsid w:val="0094174E"/>
    <w:rsid w:val="00944AF7"/>
    <w:rsid w:val="00945CD6"/>
    <w:rsid w:val="0095210C"/>
    <w:rsid w:val="00957AE3"/>
    <w:rsid w:val="009603D9"/>
    <w:rsid w:val="00960ABE"/>
    <w:rsid w:val="00962614"/>
    <w:rsid w:val="009648CE"/>
    <w:rsid w:val="0096550B"/>
    <w:rsid w:val="00966C09"/>
    <w:rsid w:val="00972C5F"/>
    <w:rsid w:val="0097301E"/>
    <w:rsid w:val="00977BC9"/>
    <w:rsid w:val="00980C96"/>
    <w:rsid w:val="009814CB"/>
    <w:rsid w:val="0098485E"/>
    <w:rsid w:val="00984AA1"/>
    <w:rsid w:val="00984CA2"/>
    <w:rsid w:val="00987CAE"/>
    <w:rsid w:val="009925C6"/>
    <w:rsid w:val="00993945"/>
    <w:rsid w:val="0099397C"/>
    <w:rsid w:val="009955AC"/>
    <w:rsid w:val="009A0CC2"/>
    <w:rsid w:val="009A3A68"/>
    <w:rsid w:val="009A3F46"/>
    <w:rsid w:val="009B1638"/>
    <w:rsid w:val="009B3C20"/>
    <w:rsid w:val="009B52FC"/>
    <w:rsid w:val="009B7E84"/>
    <w:rsid w:val="009C08C2"/>
    <w:rsid w:val="009C59A2"/>
    <w:rsid w:val="009D3E03"/>
    <w:rsid w:val="009D47D2"/>
    <w:rsid w:val="009E28C8"/>
    <w:rsid w:val="009E3EC7"/>
    <w:rsid w:val="009E7338"/>
    <w:rsid w:val="009F094A"/>
    <w:rsid w:val="009F33B4"/>
    <w:rsid w:val="00A03EA5"/>
    <w:rsid w:val="00A04C0D"/>
    <w:rsid w:val="00A04CE3"/>
    <w:rsid w:val="00A1595A"/>
    <w:rsid w:val="00A23A89"/>
    <w:rsid w:val="00A24B0D"/>
    <w:rsid w:val="00A35B0D"/>
    <w:rsid w:val="00A35CFD"/>
    <w:rsid w:val="00A35E23"/>
    <w:rsid w:val="00A364EC"/>
    <w:rsid w:val="00A412C5"/>
    <w:rsid w:val="00A42D4F"/>
    <w:rsid w:val="00A44209"/>
    <w:rsid w:val="00A44349"/>
    <w:rsid w:val="00A50148"/>
    <w:rsid w:val="00A50C6A"/>
    <w:rsid w:val="00A510FF"/>
    <w:rsid w:val="00A51978"/>
    <w:rsid w:val="00A519BE"/>
    <w:rsid w:val="00A55BE2"/>
    <w:rsid w:val="00A70B48"/>
    <w:rsid w:val="00A80216"/>
    <w:rsid w:val="00A80A91"/>
    <w:rsid w:val="00A81075"/>
    <w:rsid w:val="00A8145D"/>
    <w:rsid w:val="00A81513"/>
    <w:rsid w:val="00A81ADA"/>
    <w:rsid w:val="00A821EF"/>
    <w:rsid w:val="00A83897"/>
    <w:rsid w:val="00A85E84"/>
    <w:rsid w:val="00A8611C"/>
    <w:rsid w:val="00A91B94"/>
    <w:rsid w:val="00A93707"/>
    <w:rsid w:val="00A96A4B"/>
    <w:rsid w:val="00AA29C0"/>
    <w:rsid w:val="00AA3D77"/>
    <w:rsid w:val="00AB1664"/>
    <w:rsid w:val="00AB2EF5"/>
    <w:rsid w:val="00AB3340"/>
    <w:rsid w:val="00AB4868"/>
    <w:rsid w:val="00AB7550"/>
    <w:rsid w:val="00AC3C52"/>
    <w:rsid w:val="00AC4F7F"/>
    <w:rsid w:val="00AC5CA4"/>
    <w:rsid w:val="00AD2870"/>
    <w:rsid w:val="00AD2DC6"/>
    <w:rsid w:val="00AD670A"/>
    <w:rsid w:val="00AD76D9"/>
    <w:rsid w:val="00AD7D9A"/>
    <w:rsid w:val="00AE2616"/>
    <w:rsid w:val="00AE3113"/>
    <w:rsid w:val="00AE42A9"/>
    <w:rsid w:val="00AE7CC5"/>
    <w:rsid w:val="00AF0789"/>
    <w:rsid w:val="00AF55EC"/>
    <w:rsid w:val="00AF57BF"/>
    <w:rsid w:val="00B0174C"/>
    <w:rsid w:val="00B075BE"/>
    <w:rsid w:val="00B10727"/>
    <w:rsid w:val="00B10C00"/>
    <w:rsid w:val="00B13724"/>
    <w:rsid w:val="00B14396"/>
    <w:rsid w:val="00B15765"/>
    <w:rsid w:val="00B2036B"/>
    <w:rsid w:val="00B2284F"/>
    <w:rsid w:val="00B22987"/>
    <w:rsid w:val="00B25B37"/>
    <w:rsid w:val="00B302F7"/>
    <w:rsid w:val="00B311B2"/>
    <w:rsid w:val="00B324A3"/>
    <w:rsid w:val="00B34ED1"/>
    <w:rsid w:val="00B35C2E"/>
    <w:rsid w:val="00B37545"/>
    <w:rsid w:val="00B415F7"/>
    <w:rsid w:val="00B52BC3"/>
    <w:rsid w:val="00B53C36"/>
    <w:rsid w:val="00B56578"/>
    <w:rsid w:val="00B61A3A"/>
    <w:rsid w:val="00B629E0"/>
    <w:rsid w:val="00B66874"/>
    <w:rsid w:val="00B73ACF"/>
    <w:rsid w:val="00B7467D"/>
    <w:rsid w:val="00B7486A"/>
    <w:rsid w:val="00B75622"/>
    <w:rsid w:val="00B76F42"/>
    <w:rsid w:val="00B77B9F"/>
    <w:rsid w:val="00B85BD8"/>
    <w:rsid w:val="00B908D1"/>
    <w:rsid w:val="00B90941"/>
    <w:rsid w:val="00B90E24"/>
    <w:rsid w:val="00B91026"/>
    <w:rsid w:val="00B91D97"/>
    <w:rsid w:val="00BB13A6"/>
    <w:rsid w:val="00BB160D"/>
    <w:rsid w:val="00BB2114"/>
    <w:rsid w:val="00BD03D2"/>
    <w:rsid w:val="00BD172A"/>
    <w:rsid w:val="00BD23BD"/>
    <w:rsid w:val="00BD4CFB"/>
    <w:rsid w:val="00BE088C"/>
    <w:rsid w:val="00BE521C"/>
    <w:rsid w:val="00BE7952"/>
    <w:rsid w:val="00BF2819"/>
    <w:rsid w:val="00BF488D"/>
    <w:rsid w:val="00BF4A54"/>
    <w:rsid w:val="00BF4DA3"/>
    <w:rsid w:val="00BF794D"/>
    <w:rsid w:val="00C068F8"/>
    <w:rsid w:val="00C10B67"/>
    <w:rsid w:val="00C129C5"/>
    <w:rsid w:val="00C12A24"/>
    <w:rsid w:val="00C12B95"/>
    <w:rsid w:val="00C15CB4"/>
    <w:rsid w:val="00C15D72"/>
    <w:rsid w:val="00C1674B"/>
    <w:rsid w:val="00C2063C"/>
    <w:rsid w:val="00C22057"/>
    <w:rsid w:val="00C22B57"/>
    <w:rsid w:val="00C232E9"/>
    <w:rsid w:val="00C23499"/>
    <w:rsid w:val="00C2528D"/>
    <w:rsid w:val="00C33A7E"/>
    <w:rsid w:val="00C364B9"/>
    <w:rsid w:val="00C36CA5"/>
    <w:rsid w:val="00C37F53"/>
    <w:rsid w:val="00C44A1C"/>
    <w:rsid w:val="00C47526"/>
    <w:rsid w:val="00C55460"/>
    <w:rsid w:val="00C56EA9"/>
    <w:rsid w:val="00C57142"/>
    <w:rsid w:val="00C6171E"/>
    <w:rsid w:val="00C6331C"/>
    <w:rsid w:val="00C63EC1"/>
    <w:rsid w:val="00C64A2C"/>
    <w:rsid w:val="00C64DA1"/>
    <w:rsid w:val="00C67F3B"/>
    <w:rsid w:val="00C813C7"/>
    <w:rsid w:val="00C83473"/>
    <w:rsid w:val="00C83880"/>
    <w:rsid w:val="00C84384"/>
    <w:rsid w:val="00C90CB1"/>
    <w:rsid w:val="00C95403"/>
    <w:rsid w:val="00C964A2"/>
    <w:rsid w:val="00C96B9E"/>
    <w:rsid w:val="00C978F0"/>
    <w:rsid w:val="00CA09D7"/>
    <w:rsid w:val="00CA2333"/>
    <w:rsid w:val="00CB5653"/>
    <w:rsid w:val="00CC4096"/>
    <w:rsid w:val="00CC67BA"/>
    <w:rsid w:val="00CC7951"/>
    <w:rsid w:val="00CD1050"/>
    <w:rsid w:val="00CE6EFF"/>
    <w:rsid w:val="00CF183E"/>
    <w:rsid w:val="00CF63C3"/>
    <w:rsid w:val="00D012A6"/>
    <w:rsid w:val="00D054B4"/>
    <w:rsid w:val="00D069D4"/>
    <w:rsid w:val="00D06D5F"/>
    <w:rsid w:val="00D10CD7"/>
    <w:rsid w:val="00D10DD6"/>
    <w:rsid w:val="00D115E4"/>
    <w:rsid w:val="00D11E1F"/>
    <w:rsid w:val="00D21EFB"/>
    <w:rsid w:val="00D22977"/>
    <w:rsid w:val="00D232D2"/>
    <w:rsid w:val="00D246FA"/>
    <w:rsid w:val="00D3041B"/>
    <w:rsid w:val="00D356C3"/>
    <w:rsid w:val="00D40867"/>
    <w:rsid w:val="00D40E02"/>
    <w:rsid w:val="00D414F9"/>
    <w:rsid w:val="00D4233A"/>
    <w:rsid w:val="00D45F5A"/>
    <w:rsid w:val="00D50759"/>
    <w:rsid w:val="00D519D9"/>
    <w:rsid w:val="00D5205B"/>
    <w:rsid w:val="00D53083"/>
    <w:rsid w:val="00D610D0"/>
    <w:rsid w:val="00D70426"/>
    <w:rsid w:val="00D70F32"/>
    <w:rsid w:val="00D75CBF"/>
    <w:rsid w:val="00D75CDC"/>
    <w:rsid w:val="00D7619F"/>
    <w:rsid w:val="00D85BB7"/>
    <w:rsid w:val="00D9037A"/>
    <w:rsid w:val="00D90EF6"/>
    <w:rsid w:val="00D94413"/>
    <w:rsid w:val="00D96E78"/>
    <w:rsid w:val="00DA1C98"/>
    <w:rsid w:val="00DA30B6"/>
    <w:rsid w:val="00DA3A10"/>
    <w:rsid w:val="00DB189B"/>
    <w:rsid w:val="00DB6251"/>
    <w:rsid w:val="00DC0AF4"/>
    <w:rsid w:val="00DC1EAD"/>
    <w:rsid w:val="00DC2132"/>
    <w:rsid w:val="00DC45E3"/>
    <w:rsid w:val="00DD00EA"/>
    <w:rsid w:val="00DD1290"/>
    <w:rsid w:val="00DD13BD"/>
    <w:rsid w:val="00DD1BBF"/>
    <w:rsid w:val="00DD24ED"/>
    <w:rsid w:val="00DD400B"/>
    <w:rsid w:val="00DD673F"/>
    <w:rsid w:val="00DE29D7"/>
    <w:rsid w:val="00DE53C2"/>
    <w:rsid w:val="00DE6915"/>
    <w:rsid w:val="00DE6A75"/>
    <w:rsid w:val="00DF13C3"/>
    <w:rsid w:val="00DF4577"/>
    <w:rsid w:val="00DF7143"/>
    <w:rsid w:val="00E00860"/>
    <w:rsid w:val="00E026B4"/>
    <w:rsid w:val="00E0498C"/>
    <w:rsid w:val="00E05A0A"/>
    <w:rsid w:val="00E07631"/>
    <w:rsid w:val="00E10FC7"/>
    <w:rsid w:val="00E1303E"/>
    <w:rsid w:val="00E13DC1"/>
    <w:rsid w:val="00E21297"/>
    <w:rsid w:val="00E22AF3"/>
    <w:rsid w:val="00E239DA"/>
    <w:rsid w:val="00E24322"/>
    <w:rsid w:val="00E272D2"/>
    <w:rsid w:val="00E30880"/>
    <w:rsid w:val="00E309E4"/>
    <w:rsid w:val="00E31690"/>
    <w:rsid w:val="00E32F41"/>
    <w:rsid w:val="00E34496"/>
    <w:rsid w:val="00E40C4E"/>
    <w:rsid w:val="00E41D46"/>
    <w:rsid w:val="00E46250"/>
    <w:rsid w:val="00E4789D"/>
    <w:rsid w:val="00E5046C"/>
    <w:rsid w:val="00E51585"/>
    <w:rsid w:val="00E526BF"/>
    <w:rsid w:val="00E53E76"/>
    <w:rsid w:val="00E54322"/>
    <w:rsid w:val="00E54BBA"/>
    <w:rsid w:val="00E57085"/>
    <w:rsid w:val="00E706DD"/>
    <w:rsid w:val="00E70B27"/>
    <w:rsid w:val="00E70CA7"/>
    <w:rsid w:val="00E71C61"/>
    <w:rsid w:val="00E72E9A"/>
    <w:rsid w:val="00E730CF"/>
    <w:rsid w:val="00E77651"/>
    <w:rsid w:val="00E804C6"/>
    <w:rsid w:val="00E81C27"/>
    <w:rsid w:val="00E83FC0"/>
    <w:rsid w:val="00E86DB9"/>
    <w:rsid w:val="00EA12DE"/>
    <w:rsid w:val="00EA32E9"/>
    <w:rsid w:val="00EA4BE6"/>
    <w:rsid w:val="00EB202A"/>
    <w:rsid w:val="00EB273B"/>
    <w:rsid w:val="00EB57DC"/>
    <w:rsid w:val="00EB5B54"/>
    <w:rsid w:val="00EB7F96"/>
    <w:rsid w:val="00EC0FBD"/>
    <w:rsid w:val="00EC329F"/>
    <w:rsid w:val="00EC4A27"/>
    <w:rsid w:val="00EC620E"/>
    <w:rsid w:val="00ED09E5"/>
    <w:rsid w:val="00ED5A45"/>
    <w:rsid w:val="00ED5E0F"/>
    <w:rsid w:val="00ED713C"/>
    <w:rsid w:val="00EE3923"/>
    <w:rsid w:val="00EE46DE"/>
    <w:rsid w:val="00EE74B2"/>
    <w:rsid w:val="00EE74B3"/>
    <w:rsid w:val="00EF0F5A"/>
    <w:rsid w:val="00EF2653"/>
    <w:rsid w:val="00EF4F86"/>
    <w:rsid w:val="00F06173"/>
    <w:rsid w:val="00F06BA4"/>
    <w:rsid w:val="00F26BDF"/>
    <w:rsid w:val="00F310F4"/>
    <w:rsid w:val="00F35D77"/>
    <w:rsid w:val="00F409C0"/>
    <w:rsid w:val="00F4167B"/>
    <w:rsid w:val="00F5009C"/>
    <w:rsid w:val="00F507A8"/>
    <w:rsid w:val="00F514A8"/>
    <w:rsid w:val="00F56E3E"/>
    <w:rsid w:val="00F642AD"/>
    <w:rsid w:val="00F70CF9"/>
    <w:rsid w:val="00F717DF"/>
    <w:rsid w:val="00F718F4"/>
    <w:rsid w:val="00F72B6C"/>
    <w:rsid w:val="00F73374"/>
    <w:rsid w:val="00F7456D"/>
    <w:rsid w:val="00F7536B"/>
    <w:rsid w:val="00F80A00"/>
    <w:rsid w:val="00F87D37"/>
    <w:rsid w:val="00F90268"/>
    <w:rsid w:val="00F90E35"/>
    <w:rsid w:val="00F922CB"/>
    <w:rsid w:val="00F92585"/>
    <w:rsid w:val="00F97016"/>
    <w:rsid w:val="00F97059"/>
    <w:rsid w:val="00FA05FE"/>
    <w:rsid w:val="00FA1389"/>
    <w:rsid w:val="00FA220C"/>
    <w:rsid w:val="00FA3C60"/>
    <w:rsid w:val="00FA7367"/>
    <w:rsid w:val="00FB1313"/>
    <w:rsid w:val="00FB2191"/>
    <w:rsid w:val="00FB6D78"/>
    <w:rsid w:val="00FC04C5"/>
    <w:rsid w:val="00FC07CA"/>
    <w:rsid w:val="00FC193C"/>
    <w:rsid w:val="00FC3DF6"/>
    <w:rsid w:val="00FC69E9"/>
    <w:rsid w:val="00FD080E"/>
    <w:rsid w:val="00FD1B70"/>
    <w:rsid w:val="00FD51F1"/>
    <w:rsid w:val="00FD7600"/>
    <w:rsid w:val="00FE262C"/>
    <w:rsid w:val="00FE3358"/>
    <w:rsid w:val="00FE5CF3"/>
    <w:rsid w:val="00FF3048"/>
    <w:rsid w:val="00FF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customStyle="1" w:styleId="NormalSS">
    <w:name w:val="NormalSS"/>
    <w:basedOn w:val="Normal"/>
    <w:link w:val="NormalSSChar"/>
    <w:qFormat/>
    <w:rsid w:val="00823523"/>
    <w:pPr>
      <w:tabs>
        <w:tab w:val="left" w:pos="432"/>
      </w:tabs>
      <w:ind w:firstLine="432"/>
      <w:jc w:val="both"/>
    </w:pPr>
  </w:style>
  <w:style w:type="character" w:customStyle="1" w:styleId="NormalSSChar">
    <w:name w:val="NormalSS Char"/>
    <w:link w:val="NormalSS"/>
    <w:rsid w:val="00823523"/>
    <w:rPr>
      <w:sz w:val="24"/>
      <w:szCs w:val="24"/>
    </w:rPr>
  </w:style>
  <w:style w:type="table" w:styleId="TableGrid">
    <w:name w:val="Table Grid"/>
    <w:basedOn w:val="TableNormal"/>
    <w:uiPriority w:val="59"/>
    <w:rsid w:val="0097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C48"/>
    <w:pPr>
      <w:ind w:left="720"/>
    </w:pPr>
  </w:style>
  <w:style w:type="paragraph" w:styleId="FootnoteText">
    <w:name w:val="footnote text"/>
    <w:basedOn w:val="Normal"/>
    <w:link w:val="FootnoteTextChar"/>
    <w:rsid w:val="004F4B68"/>
    <w:rPr>
      <w:sz w:val="20"/>
      <w:szCs w:val="20"/>
    </w:rPr>
  </w:style>
  <w:style w:type="character" w:customStyle="1" w:styleId="FootnoteTextChar">
    <w:name w:val="Footnote Text Char"/>
    <w:basedOn w:val="DefaultParagraphFont"/>
    <w:link w:val="FootnoteText"/>
    <w:rsid w:val="004F4B68"/>
  </w:style>
  <w:style w:type="character" w:styleId="FootnoteReference">
    <w:name w:val="footnote reference"/>
    <w:rsid w:val="004F4B68"/>
    <w:rPr>
      <w:vertAlign w:val="superscript"/>
    </w:rPr>
  </w:style>
  <w:style w:type="paragraph" w:styleId="Revision">
    <w:name w:val="Revision"/>
    <w:hidden/>
    <w:uiPriority w:val="99"/>
    <w:semiHidden/>
    <w:rsid w:val="004F4B68"/>
    <w:rPr>
      <w:sz w:val="24"/>
      <w:szCs w:val="24"/>
    </w:rPr>
  </w:style>
  <w:style w:type="paragraph" w:customStyle="1" w:styleId="MarkforTableHeading">
    <w:name w:val="Mark for Table Heading"/>
    <w:basedOn w:val="Normal"/>
    <w:next w:val="Normal"/>
    <w:qFormat/>
    <w:rsid w:val="005D40C0"/>
    <w:pPr>
      <w:keepNext/>
      <w:tabs>
        <w:tab w:val="left" w:pos="432"/>
      </w:tabs>
      <w:spacing w:after="60"/>
      <w:jc w:val="both"/>
    </w:pPr>
    <w:rPr>
      <w:rFonts w:ascii="Lucida Sans" w:hAnsi="Lucida Sans"/>
      <w:b/>
      <w:sz w:val="18"/>
    </w:rPr>
  </w:style>
  <w:style w:type="paragraph" w:customStyle="1" w:styleId="TableText">
    <w:name w:val="Table Text"/>
    <w:basedOn w:val="NormalSS"/>
    <w:qFormat/>
    <w:rsid w:val="005D40C0"/>
    <w:pPr>
      <w:tabs>
        <w:tab w:val="clear" w:pos="432"/>
      </w:tabs>
      <w:ind w:firstLine="0"/>
      <w:jc w:val="left"/>
    </w:pPr>
    <w:rPr>
      <w:rFonts w:ascii="Lucida Sans" w:hAnsi="Lucida Sans"/>
      <w:sz w:val="18"/>
    </w:rPr>
  </w:style>
  <w:style w:type="character" w:styleId="FollowedHyperlink">
    <w:name w:val="FollowedHyperlink"/>
    <w:rsid w:val="00BB2114"/>
    <w:rPr>
      <w:color w:val="954F72"/>
      <w:u w:val="single"/>
    </w:rPr>
  </w:style>
  <w:style w:type="paragraph" w:customStyle="1" w:styleId="NumberedBullet">
    <w:name w:val="Numbered Bullet"/>
    <w:basedOn w:val="Normal"/>
    <w:qFormat/>
    <w:rsid w:val="00435E14"/>
    <w:pPr>
      <w:numPr>
        <w:numId w:val="26"/>
      </w:numPr>
      <w:tabs>
        <w:tab w:val="left" w:pos="360"/>
      </w:tabs>
      <w:spacing w:after="120"/>
      <w:ind w:right="360"/>
      <w:jc w:val="both"/>
    </w:pPr>
    <w:rPr>
      <w:rFonts w:ascii="Garamond" w:hAnsi="Garamond"/>
    </w:rPr>
  </w:style>
  <w:style w:type="paragraph" w:customStyle="1" w:styleId="NumberedBulletLASTSS">
    <w:name w:val="Numbered Bullet (LAST SS)"/>
    <w:basedOn w:val="NumberedBullet"/>
    <w:next w:val="Normal"/>
    <w:qFormat/>
    <w:rsid w:val="00435E14"/>
    <w:pPr>
      <w:spacing w:after="240"/>
    </w:pPr>
  </w:style>
  <w:style w:type="paragraph" w:customStyle="1" w:styleId="TableHeaderCenter">
    <w:name w:val="Table Header Center"/>
    <w:basedOn w:val="NormalSS"/>
    <w:qFormat/>
    <w:rsid w:val="008A39A2"/>
    <w:pPr>
      <w:spacing w:before="120" w:after="60"/>
      <w:ind w:firstLine="0"/>
      <w:jc w:val="center"/>
    </w:pPr>
    <w:rPr>
      <w:rFonts w:ascii="Lucida Sans" w:hAnsi="Lucida Sans"/>
      <w:sz w:val="18"/>
    </w:rPr>
  </w:style>
  <w:style w:type="paragraph" w:customStyle="1" w:styleId="TableHeaderLeft">
    <w:name w:val="Table Header Left"/>
    <w:basedOn w:val="NormalSS"/>
    <w:qFormat/>
    <w:rsid w:val="008A39A2"/>
    <w:pPr>
      <w:spacing w:before="120" w:after="60"/>
      <w:ind w:firstLine="0"/>
      <w:jc w:val="left"/>
    </w:pPr>
    <w:rPr>
      <w:rFonts w:ascii="Lucida Sans" w:hAnsi="Lucida Sans"/>
      <w:sz w:val="18"/>
    </w:rPr>
  </w:style>
  <w:style w:type="paragraph" w:customStyle="1" w:styleId="BulletBlack">
    <w:name w:val="Bullet_Black"/>
    <w:basedOn w:val="Normal"/>
    <w:qFormat/>
    <w:rsid w:val="008A39A2"/>
    <w:pPr>
      <w:numPr>
        <w:numId w:val="28"/>
      </w:numPr>
      <w:tabs>
        <w:tab w:val="left" w:pos="360"/>
      </w:tabs>
      <w:spacing w:after="120"/>
      <w:ind w:right="360"/>
      <w:jc w:val="both"/>
    </w:pPr>
    <w:rPr>
      <w:rFonts w:ascii="Garamond" w:hAnsi="Garamond"/>
    </w:rPr>
  </w:style>
  <w:style w:type="table" w:customStyle="1" w:styleId="SMPRTableBlack">
    <w:name w:val="SMPR_Table_Black"/>
    <w:basedOn w:val="TableNormal"/>
    <w:uiPriority w:val="99"/>
    <w:rsid w:val="008A39A2"/>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
    <w:name w:val="Bullet"/>
    <w:basedOn w:val="Normal"/>
    <w:qFormat/>
    <w:rsid w:val="00D22977"/>
    <w:pPr>
      <w:numPr>
        <w:numId w:val="29"/>
      </w:numPr>
      <w:tabs>
        <w:tab w:val="left" w:pos="432"/>
      </w:tabs>
      <w:spacing w:after="120"/>
      <w:ind w:left="432" w:hanging="432"/>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customStyle="1" w:styleId="NormalSS">
    <w:name w:val="NormalSS"/>
    <w:basedOn w:val="Normal"/>
    <w:link w:val="NormalSSChar"/>
    <w:qFormat/>
    <w:rsid w:val="00823523"/>
    <w:pPr>
      <w:tabs>
        <w:tab w:val="left" w:pos="432"/>
      </w:tabs>
      <w:ind w:firstLine="432"/>
      <w:jc w:val="both"/>
    </w:pPr>
  </w:style>
  <w:style w:type="character" w:customStyle="1" w:styleId="NormalSSChar">
    <w:name w:val="NormalSS Char"/>
    <w:link w:val="NormalSS"/>
    <w:rsid w:val="00823523"/>
    <w:rPr>
      <w:sz w:val="24"/>
      <w:szCs w:val="24"/>
    </w:rPr>
  </w:style>
  <w:style w:type="table" w:styleId="TableGrid">
    <w:name w:val="Table Grid"/>
    <w:basedOn w:val="TableNormal"/>
    <w:uiPriority w:val="59"/>
    <w:rsid w:val="0097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C48"/>
    <w:pPr>
      <w:ind w:left="720"/>
    </w:pPr>
  </w:style>
  <w:style w:type="paragraph" w:styleId="FootnoteText">
    <w:name w:val="footnote text"/>
    <w:basedOn w:val="Normal"/>
    <w:link w:val="FootnoteTextChar"/>
    <w:rsid w:val="004F4B68"/>
    <w:rPr>
      <w:sz w:val="20"/>
      <w:szCs w:val="20"/>
    </w:rPr>
  </w:style>
  <w:style w:type="character" w:customStyle="1" w:styleId="FootnoteTextChar">
    <w:name w:val="Footnote Text Char"/>
    <w:basedOn w:val="DefaultParagraphFont"/>
    <w:link w:val="FootnoteText"/>
    <w:rsid w:val="004F4B68"/>
  </w:style>
  <w:style w:type="character" w:styleId="FootnoteReference">
    <w:name w:val="footnote reference"/>
    <w:rsid w:val="004F4B68"/>
    <w:rPr>
      <w:vertAlign w:val="superscript"/>
    </w:rPr>
  </w:style>
  <w:style w:type="paragraph" w:styleId="Revision">
    <w:name w:val="Revision"/>
    <w:hidden/>
    <w:uiPriority w:val="99"/>
    <w:semiHidden/>
    <w:rsid w:val="004F4B68"/>
    <w:rPr>
      <w:sz w:val="24"/>
      <w:szCs w:val="24"/>
    </w:rPr>
  </w:style>
  <w:style w:type="paragraph" w:customStyle="1" w:styleId="MarkforTableHeading">
    <w:name w:val="Mark for Table Heading"/>
    <w:basedOn w:val="Normal"/>
    <w:next w:val="Normal"/>
    <w:qFormat/>
    <w:rsid w:val="005D40C0"/>
    <w:pPr>
      <w:keepNext/>
      <w:tabs>
        <w:tab w:val="left" w:pos="432"/>
      </w:tabs>
      <w:spacing w:after="60"/>
      <w:jc w:val="both"/>
    </w:pPr>
    <w:rPr>
      <w:rFonts w:ascii="Lucida Sans" w:hAnsi="Lucida Sans"/>
      <w:b/>
      <w:sz w:val="18"/>
    </w:rPr>
  </w:style>
  <w:style w:type="paragraph" w:customStyle="1" w:styleId="TableText">
    <w:name w:val="Table Text"/>
    <w:basedOn w:val="NormalSS"/>
    <w:qFormat/>
    <w:rsid w:val="005D40C0"/>
    <w:pPr>
      <w:tabs>
        <w:tab w:val="clear" w:pos="432"/>
      </w:tabs>
      <w:ind w:firstLine="0"/>
      <w:jc w:val="left"/>
    </w:pPr>
    <w:rPr>
      <w:rFonts w:ascii="Lucida Sans" w:hAnsi="Lucida Sans"/>
      <w:sz w:val="18"/>
    </w:rPr>
  </w:style>
  <w:style w:type="character" w:styleId="FollowedHyperlink">
    <w:name w:val="FollowedHyperlink"/>
    <w:rsid w:val="00BB2114"/>
    <w:rPr>
      <w:color w:val="954F72"/>
      <w:u w:val="single"/>
    </w:rPr>
  </w:style>
  <w:style w:type="paragraph" w:customStyle="1" w:styleId="NumberedBullet">
    <w:name w:val="Numbered Bullet"/>
    <w:basedOn w:val="Normal"/>
    <w:qFormat/>
    <w:rsid w:val="00435E14"/>
    <w:pPr>
      <w:numPr>
        <w:numId w:val="26"/>
      </w:numPr>
      <w:tabs>
        <w:tab w:val="left" w:pos="360"/>
      </w:tabs>
      <w:spacing w:after="120"/>
      <w:ind w:right="360"/>
      <w:jc w:val="both"/>
    </w:pPr>
    <w:rPr>
      <w:rFonts w:ascii="Garamond" w:hAnsi="Garamond"/>
    </w:rPr>
  </w:style>
  <w:style w:type="paragraph" w:customStyle="1" w:styleId="NumberedBulletLASTSS">
    <w:name w:val="Numbered Bullet (LAST SS)"/>
    <w:basedOn w:val="NumberedBullet"/>
    <w:next w:val="Normal"/>
    <w:qFormat/>
    <w:rsid w:val="00435E14"/>
    <w:pPr>
      <w:spacing w:after="240"/>
    </w:pPr>
  </w:style>
  <w:style w:type="paragraph" w:customStyle="1" w:styleId="TableHeaderCenter">
    <w:name w:val="Table Header Center"/>
    <w:basedOn w:val="NormalSS"/>
    <w:qFormat/>
    <w:rsid w:val="008A39A2"/>
    <w:pPr>
      <w:spacing w:before="120" w:after="60"/>
      <w:ind w:firstLine="0"/>
      <w:jc w:val="center"/>
    </w:pPr>
    <w:rPr>
      <w:rFonts w:ascii="Lucida Sans" w:hAnsi="Lucida Sans"/>
      <w:sz w:val="18"/>
    </w:rPr>
  </w:style>
  <w:style w:type="paragraph" w:customStyle="1" w:styleId="TableHeaderLeft">
    <w:name w:val="Table Header Left"/>
    <w:basedOn w:val="NormalSS"/>
    <w:qFormat/>
    <w:rsid w:val="008A39A2"/>
    <w:pPr>
      <w:spacing w:before="120" w:after="60"/>
      <w:ind w:firstLine="0"/>
      <w:jc w:val="left"/>
    </w:pPr>
    <w:rPr>
      <w:rFonts w:ascii="Lucida Sans" w:hAnsi="Lucida Sans"/>
      <w:sz w:val="18"/>
    </w:rPr>
  </w:style>
  <w:style w:type="paragraph" w:customStyle="1" w:styleId="BulletBlack">
    <w:name w:val="Bullet_Black"/>
    <w:basedOn w:val="Normal"/>
    <w:qFormat/>
    <w:rsid w:val="008A39A2"/>
    <w:pPr>
      <w:numPr>
        <w:numId w:val="28"/>
      </w:numPr>
      <w:tabs>
        <w:tab w:val="left" w:pos="360"/>
      </w:tabs>
      <w:spacing w:after="120"/>
      <w:ind w:right="360"/>
      <w:jc w:val="both"/>
    </w:pPr>
    <w:rPr>
      <w:rFonts w:ascii="Garamond" w:hAnsi="Garamond"/>
    </w:rPr>
  </w:style>
  <w:style w:type="table" w:customStyle="1" w:styleId="SMPRTableBlack">
    <w:name w:val="SMPR_Table_Black"/>
    <w:basedOn w:val="TableNormal"/>
    <w:uiPriority w:val="99"/>
    <w:rsid w:val="008A39A2"/>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
    <w:name w:val="Bullet"/>
    <w:basedOn w:val="Normal"/>
    <w:qFormat/>
    <w:rsid w:val="00D22977"/>
    <w:pPr>
      <w:numPr>
        <w:numId w:val="29"/>
      </w:numPr>
      <w:tabs>
        <w:tab w:val="left" w:pos="432"/>
      </w:tabs>
      <w:spacing w:after="120"/>
      <w:ind w:left="432" w:hanging="432"/>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73209">
      <w:bodyDiv w:val="1"/>
      <w:marLeft w:val="0"/>
      <w:marRight w:val="0"/>
      <w:marTop w:val="0"/>
      <w:marBottom w:val="0"/>
      <w:divBdr>
        <w:top w:val="none" w:sz="0" w:space="0" w:color="auto"/>
        <w:left w:val="none" w:sz="0" w:space="0" w:color="auto"/>
        <w:bottom w:val="none" w:sz="0" w:space="0" w:color="auto"/>
        <w:right w:val="none" w:sz="0" w:space="0" w:color="auto"/>
      </w:divBdr>
    </w:div>
    <w:div w:id="411200302">
      <w:bodyDiv w:val="1"/>
      <w:marLeft w:val="0"/>
      <w:marRight w:val="0"/>
      <w:marTop w:val="0"/>
      <w:marBottom w:val="0"/>
      <w:divBdr>
        <w:top w:val="none" w:sz="0" w:space="0" w:color="auto"/>
        <w:left w:val="none" w:sz="0" w:space="0" w:color="auto"/>
        <w:bottom w:val="none" w:sz="0" w:space="0" w:color="auto"/>
        <w:right w:val="none" w:sz="0" w:space="0" w:color="auto"/>
      </w:divBdr>
      <w:divsChild>
        <w:div w:id="1790513164">
          <w:marLeft w:val="274"/>
          <w:marRight w:val="0"/>
          <w:marTop w:val="0"/>
          <w:marBottom w:val="0"/>
          <w:divBdr>
            <w:top w:val="none" w:sz="0" w:space="0" w:color="auto"/>
            <w:left w:val="none" w:sz="0" w:space="0" w:color="auto"/>
            <w:bottom w:val="none" w:sz="0" w:space="0" w:color="auto"/>
            <w:right w:val="none" w:sz="0" w:space="0" w:color="auto"/>
          </w:divBdr>
        </w:div>
      </w:divsChild>
    </w:div>
    <w:div w:id="1230655081">
      <w:bodyDiv w:val="1"/>
      <w:marLeft w:val="0"/>
      <w:marRight w:val="0"/>
      <w:marTop w:val="0"/>
      <w:marBottom w:val="0"/>
      <w:divBdr>
        <w:top w:val="none" w:sz="0" w:space="0" w:color="auto"/>
        <w:left w:val="none" w:sz="0" w:space="0" w:color="auto"/>
        <w:bottom w:val="none" w:sz="0" w:space="0" w:color="auto"/>
        <w:right w:val="none" w:sz="0" w:space="0" w:color="auto"/>
      </w:divBdr>
    </w:div>
    <w:div w:id="1913541378">
      <w:bodyDiv w:val="1"/>
      <w:marLeft w:val="0"/>
      <w:marRight w:val="0"/>
      <w:marTop w:val="0"/>
      <w:marBottom w:val="0"/>
      <w:divBdr>
        <w:top w:val="none" w:sz="0" w:space="0" w:color="auto"/>
        <w:left w:val="none" w:sz="0" w:space="0" w:color="auto"/>
        <w:bottom w:val="none" w:sz="0" w:space="0" w:color="auto"/>
        <w:right w:val="none" w:sz="0" w:space="0" w:color="auto"/>
      </w:divBdr>
    </w:div>
    <w:div w:id="197914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ppevidencereview.aspe.hhs.gov/pdfs/Review_protocol_v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1A9198DA05149A7C30077CFE864AC" ma:contentTypeVersion="0" ma:contentTypeDescription="Create a new document." ma:contentTypeScope="" ma:versionID="e0927d36fa05886e400dbd51dd9eb4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992C6-00CD-49A3-B14E-2947CA1BFDF5}">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478460D-907B-4593-90EC-5C3788B45FDB}">
  <ds:schemaRefs>
    <ds:schemaRef ds:uri="http://schemas.microsoft.com/sharepoint/v3/contenttype/forms"/>
  </ds:schemaRefs>
</ds:datastoreItem>
</file>

<file path=customXml/itemProps3.xml><?xml version="1.0" encoding="utf-8"?>
<ds:datastoreItem xmlns:ds="http://schemas.openxmlformats.org/officeDocument/2006/customXml" ds:itemID="{167F49F1-7A29-4C27-B881-BEA3D1DDE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D35922-AA09-483F-91A6-2594EE84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5062</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33849</CharactersWithSpaces>
  <SharedDoc>false</SharedDoc>
  <HLinks>
    <vt:vector size="6" baseType="variant">
      <vt:variant>
        <vt:i4>6815846</vt:i4>
      </vt:variant>
      <vt:variant>
        <vt:i4>0</vt:i4>
      </vt:variant>
      <vt:variant>
        <vt:i4>0</vt:i4>
      </vt:variant>
      <vt:variant>
        <vt:i4>5</vt:i4>
      </vt:variant>
      <vt:variant>
        <vt:lpwstr>http://tppevidencereview.aspe.hhs.gov/pdfs/Review_protocol_v4.pdf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2016-11-03T21:24:00Z</cp:lastPrinted>
  <dcterms:created xsi:type="dcterms:W3CDTF">2017-08-03T18:56:00Z</dcterms:created>
  <dcterms:modified xsi:type="dcterms:W3CDTF">2017-08-03T18:56:00Z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