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3937" w14:textId="77777777" w:rsidR="009B633D" w:rsidRDefault="009B633D" w:rsidP="009B633D">
      <w:pPr>
        <w:jc w:val="center"/>
        <w:rPr>
          <w:sz w:val="28"/>
          <w:szCs w:val="28"/>
        </w:rPr>
      </w:pPr>
      <w:bookmarkStart w:id="0" w:name="_GoBack"/>
      <w:bookmarkEnd w:id="0"/>
    </w:p>
    <w:p w14:paraId="6073BCDC" w14:textId="77777777" w:rsidR="009B633D" w:rsidRDefault="009B633D" w:rsidP="009B633D">
      <w:pPr>
        <w:jc w:val="center"/>
        <w:rPr>
          <w:sz w:val="28"/>
          <w:szCs w:val="28"/>
        </w:rPr>
      </w:pPr>
    </w:p>
    <w:p w14:paraId="53212182" w14:textId="77777777" w:rsidR="009B633D" w:rsidRDefault="00456179" w:rsidP="009B633D">
      <w:pPr>
        <w:jc w:val="center"/>
        <w:rPr>
          <w:b/>
          <w:sz w:val="28"/>
          <w:szCs w:val="28"/>
        </w:rPr>
      </w:pPr>
      <w:r w:rsidRPr="00456179">
        <w:rPr>
          <w:b/>
          <w:sz w:val="28"/>
          <w:szCs w:val="28"/>
        </w:rPr>
        <w:t>SUPPORTING STATEMENT</w:t>
      </w:r>
    </w:p>
    <w:p w14:paraId="390F4D0C" w14:textId="77777777" w:rsidR="00635119" w:rsidRDefault="00635119" w:rsidP="009B633D">
      <w:pPr>
        <w:jc w:val="center"/>
        <w:rPr>
          <w:b/>
          <w:sz w:val="28"/>
          <w:szCs w:val="28"/>
        </w:rPr>
      </w:pPr>
    </w:p>
    <w:p w14:paraId="1B0B9084" w14:textId="77777777" w:rsidR="009B633D" w:rsidRDefault="00456179" w:rsidP="009B633D">
      <w:pPr>
        <w:jc w:val="center"/>
        <w:rPr>
          <w:sz w:val="28"/>
          <w:szCs w:val="28"/>
        </w:rPr>
      </w:pPr>
      <w:r>
        <w:rPr>
          <w:b/>
          <w:sz w:val="28"/>
          <w:szCs w:val="28"/>
        </w:rPr>
        <w:t>Part A</w:t>
      </w:r>
    </w:p>
    <w:p w14:paraId="25B3D28D" w14:textId="77777777" w:rsidR="009B633D" w:rsidRDefault="009B633D" w:rsidP="009B633D">
      <w:pPr>
        <w:jc w:val="center"/>
        <w:rPr>
          <w:sz w:val="28"/>
          <w:szCs w:val="28"/>
        </w:rPr>
      </w:pPr>
    </w:p>
    <w:p w14:paraId="7EA12058" w14:textId="77777777" w:rsidR="009B633D" w:rsidRDefault="009B633D" w:rsidP="009B633D">
      <w:pPr>
        <w:jc w:val="center"/>
        <w:rPr>
          <w:sz w:val="28"/>
          <w:szCs w:val="28"/>
        </w:rPr>
      </w:pPr>
    </w:p>
    <w:p w14:paraId="2966918F" w14:textId="77777777" w:rsidR="009B633D" w:rsidRDefault="009B633D" w:rsidP="009B633D">
      <w:pPr>
        <w:jc w:val="center"/>
        <w:rPr>
          <w:sz w:val="28"/>
          <w:szCs w:val="28"/>
        </w:rPr>
      </w:pPr>
    </w:p>
    <w:p w14:paraId="5EEAE5F3" w14:textId="77777777" w:rsidR="009B633D" w:rsidRDefault="009B633D" w:rsidP="009B633D">
      <w:pPr>
        <w:jc w:val="center"/>
        <w:rPr>
          <w:sz w:val="28"/>
          <w:szCs w:val="28"/>
        </w:rPr>
      </w:pPr>
    </w:p>
    <w:p w14:paraId="748494A9" w14:textId="77777777" w:rsidR="009B633D" w:rsidRPr="00C4006D" w:rsidRDefault="002B0A17" w:rsidP="009B633D">
      <w:pPr>
        <w:jc w:val="center"/>
        <w:rPr>
          <w:i/>
          <w:sz w:val="28"/>
          <w:szCs w:val="28"/>
        </w:rPr>
      </w:pPr>
      <w:r>
        <w:rPr>
          <w:i/>
          <w:sz w:val="28"/>
          <w:szCs w:val="28"/>
        </w:rPr>
        <w:t xml:space="preserve">TeamSTEPPS </w:t>
      </w:r>
      <w:r w:rsidR="001D4B1F">
        <w:rPr>
          <w:i/>
          <w:sz w:val="28"/>
          <w:szCs w:val="28"/>
        </w:rPr>
        <w:t xml:space="preserve">2.0 </w:t>
      </w:r>
      <w:r>
        <w:rPr>
          <w:i/>
          <w:sz w:val="28"/>
          <w:szCs w:val="28"/>
        </w:rPr>
        <w:t xml:space="preserve">Online </w:t>
      </w:r>
      <w:r w:rsidR="001D4B1F">
        <w:rPr>
          <w:i/>
          <w:sz w:val="28"/>
          <w:szCs w:val="28"/>
        </w:rPr>
        <w:t xml:space="preserve">Master </w:t>
      </w:r>
      <w:r>
        <w:rPr>
          <w:i/>
          <w:sz w:val="28"/>
          <w:szCs w:val="28"/>
        </w:rPr>
        <w:t>Train</w:t>
      </w:r>
      <w:r w:rsidR="006D3640">
        <w:rPr>
          <w:i/>
          <w:sz w:val="28"/>
          <w:szCs w:val="28"/>
        </w:rPr>
        <w:t>er Course</w:t>
      </w:r>
    </w:p>
    <w:p w14:paraId="1D47FB20" w14:textId="77777777" w:rsidR="009B633D" w:rsidRPr="00082047" w:rsidRDefault="009B633D" w:rsidP="009B633D">
      <w:pPr>
        <w:jc w:val="center"/>
        <w:rPr>
          <w:i/>
          <w:sz w:val="28"/>
          <w:szCs w:val="28"/>
        </w:rPr>
      </w:pPr>
    </w:p>
    <w:p w14:paraId="6D79CB78" w14:textId="77777777" w:rsidR="009B633D" w:rsidRDefault="009B633D" w:rsidP="009B633D">
      <w:pPr>
        <w:jc w:val="center"/>
        <w:rPr>
          <w:sz w:val="28"/>
          <w:szCs w:val="28"/>
        </w:rPr>
      </w:pPr>
    </w:p>
    <w:p w14:paraId="723393B2" w14:textId="0AE9E647" w:rsidR="00DD0274" w:rsidRDefault="00DD0274" w:rsidP="00DD0274">
      <w:pPr>
        <w:autoSpaceDE w:val="0"/>
        <w:autoSpaceDN w:val="0"/>
        <w:adjustRightInd w:val="0"/>
        <w:jc w:val="center"/>
        <w:rPr>
          <w:b/>
          <w:bCs/>
          <w:sz w:val="28"/>
          <w:szCs w:val="28"/>
        </w:rPr>
      </w:pPr>
      <w:r>
        <w:rPr>
          <w:b/>
          <w:bCs/>
          <w:sz w:val="28"/>
          <w:szCs w:val="28"/>
        </w:rPr>
        <w:t>OMB CONTROL NO. 0935-0224</w:t>
      </w:r>
    </w:p>
    <w:p w14:paraId="747FBA6B" w14:textId="77777777" w:rsidR="009B633D" w:rsidRDefault="009B633D" w:rsidP="009B633D">
      <w:pPr>
        <w:jc w:val="center"/>
        <w:rPr>
          <w:sz w:val="28"/>
          <w:szCs w:val="28"/>
        </w:rPr>
      </w:pPr>
    </w:p>
    <w:p w14:paraId="631F9693" w14:textId="77777777" w:rsidR="009B633D" w:rsidRDefault="009B633D" w:rsidP="009B633D">
      <w:pPr>
        <w:jc w:val="center"/>
        <w:rPr>
          <w:sz w:val="28"/>
          <w:szCs w:val="28"/>
        </w:rPr>
      </w:pPr>
    </w:p>
    <w:p w14:paraId="4DE08168" w14:textId="33A2E8D5"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94098B">
        <w:rPr>
          <w:b/>
          <w:sz w:val="28"/>
          <w:szCs w:val="28"/>
        </w:rPr>
        <w:t xml:space="preserve"> </w:t>
      </w:r>
      <w:r w:rsidR="00173323">
        <w:rPr>
          <w:i/>
          <w:sz w:val="28"/>
          <w:szCs w:val="28"/>
        </w:rPr>
        <w:t>April 6</w:t>
      </w:r>
      <w:r w:rsidR="0061051D">
        <w:rPr>
          <w:i/>
          <w:sz w:val="28"/>
          <w:szCs w:val="28"/>
        </w:rPr>
        <w:t>, 2017</w:t>
      </w:r>
    </w:p>
    <w:p w14:paraId="38D16439" w14:textId="77777777" w:rsidR="009B633D" w:rsidRDefault="009B633D" w:rsidP="009B633D">
      <w:pPr>
        <w:jc w:val="center"/>
        <w:rPr>
          <w:i/>
          <w:sz w:val="28"/>
          <w:szCs w:val="28"/>
        </w:rPr>
      </w:pPr>
    </w:p>
    <w:p w14:paraId="53FEB8B2" w14:textId="77777777" w:rsidR="009B633D" w:rsidRDefault="009B633D" w:rsidP="009B633D">
      <w:pPr>
        <w:jc w:val="center"/>
        <w:rPr>
          <w:sz w:val="28"/>
          <w:szCs w:val="28"/>
        </w:rPr>
      </w:pPr>
    </w:p>
    <w:p w14:paraId="6E006445" w14:textId="77777777" w:rsidR="009B633D" w:rsidRDefault="009B633D" w:rsidP="009B633D">
      <w:pPr>
        <w:jc w:val="center"/>
        <w:rPr>
          <w:sz w:val="28"/>
          <w:szCs w:val="28"/>
        </w:rPr>
      </w:pPr>
    </w:p>
    <w:p w14:paraId="2013A294" w14:textId="77777777" w:rsidR="009B633D" w:rsidRDefault="009B633D" w:rsidP="009B633D">
      <w:pPr>
        <w:jc w:val="center"/>
        <w:rPr>
          <w:sz w:val="28"/>
          <w:szCs w:val="28"/>
        </w:rPr>
      </w:pPr>
    </w:p>
    <w:p w14:paraId="2C50D6D1" w14:textId="77777777" w:rsidR="009B633D" w:rsidRDefault="009B633D" w:rsidP="009B633D">
      <w:pPr>
        <w:jc w:val="center"/>
        <w:rPr>
          <w:sz w:val="28"/>
          <w:szCs w:val="28"/>
        </w:rPr>
      </w:pPr>
    </w:p>
    <w:p w14:paraId="344DDB9B" w14:textId="77777777" w:rsidR="009B633D" w:rsidRDefault="009B633D" w:rsidP="009B633D">
      <w:pPr>
        <w:jc w:val="center"/>
        <w:rPr>
          <w:sz w:val="28"/>
          <w:szCs w:val="28"/>
        </w:rPr>
      </w:pPr>
    </w:p>
    <w:p w14:paraId="29EE8E52" w14:textId="77777777" w:rsidR="009B633D" w:rsidRDefault="009B633D" w:rsidP="009B633D">
      <w:pPr>
        <w:jc w:val="center"/>
        <w:rPr>
          <w:sz w:val="28"/>
          <w:szCs w:val="28"/>
        </w:rPr>
      </w:pPr>
      <w:r w:rsidRPr="00677A0B">
        <w:rPr>
          <w:sz w:val="28"/>
          <w:szCs w:val="28"/>
        </w:rPr>
        <w:t xml:space="preserve">Agency </w:t>
      </w:r>
      <w:r w:rsidR="00281113">
        <w:rPr>
          <w:sz w:val="28"/>
          <w:szCs w:val="28"/>
        </w:rPr>
        <w:t xml:space="preserve">for </w:t>
      </w:r>
      <w:r w:rsidRPr="00677A0B">
        <w:rPr>
          <w:sz w:val="28"/>
          <w:szCs w:val="28"/>
        </w:rPr>
        <w:t>Healthcare Research and Quality</w:t>
      </w:r>
    </w:p>
    <w:p w14:paraId="3FD69E6E" w14:textId="77777777" w:rsidR="009B633D" w:rsidRDefault="009B633D">
      <w:pPr>
        <w:rPr>
          <w:sz w:val="28"/>
          <w:szCs w:val="28"/>
        </w:rPr>
      </w:pPr>
    </w:p>
    <w:p w14:paraId="2788B61B" w14:textId="77777777" w:rsidR="009B633D" w:rsidRDefault="009B633D">
      <w:pPr>
        <w:rPr>
          <w:sz w:val="28"/>
          <w:szCs w:val="28"/>
        </w:rPr>
      </w:pPr>
    </w:p>
    <w:p w14:paraId="42BF02F9" w14:textId="77777777" w:rsidR="00AC2A7F" w:rsidRDefault="00AC2A7F" w:rsidP="008C580E">
      <w:pPr>
        <w:rPr>
          <w:i/>
        </w:rPr>
      </w:pPr>
    </w:p>
    <w:p w14:paraId="34E1EA24" w14:textId="77777777" w:rsidR="00AC2A7F" w:rsidRDefault="00AC2A7F" w:rsidP="008C580E">
      <w:pPr>
        <w:rPr>
          <w:i/>
        </w:rPr>
      </w:pPr>
    </w:p>
    <w:p w14:paraId="59E03F31" w14:textId="77777777" w:rsidR="00AC2A7F" w:rsidRDefault="00AC2A7F" w:rsidP="008C580E">
      <w:pPr>
        <w:rPr>
          <w:i/>
        </w:rPr>
      </w:pPr>
    </w:p>
    <w:p w14:paraId="0AE52C05" w14:textId="77777777" w:rsidR="00AC2A7F" w:rsidRDefault="00AC2A7F" w:rsidP="008C580E">
      <w:pPr>
        <w:rPr>
          <w:i/>
        </w:rPr>
      </w:pPr>
    </w:p>
    <w:p w14:paraId="14D680E7" w14:textId="4A33DFB9" w:rsidR="00870D9A" w:rsidRDefault="00870D9A" w:rsidP="008C580E">
      <w:pPr>
        <w:rPr>
          <w:i/>
        </w:rPr>
        <w:sectPr w:rsidR="00870D9A" w:rsidSect="00870D9A">
          <w:footerReference w:type="even" r:id="rId9"/>
          <w:footerReference w:type="default" r:id="rId10"/>
          <w:footerReference w:type="first" r:id="rId11"/>
          <w:endnotePr>
            <w:numFmt w:val="decimal"/>
          </w:endnotePr>
          <w:pgSz w:w="12240" w:h="15840"/>
          <w:pgMar w:top="1440" w:right="1800" w:bottom="1260" w:left="1800" w:header="720" w:footer="720" w:gutter="0"/>
          <w:cols w:space="720"/>
          <w:titlePg/>
          <w:docGrid w:linePitch="360"/>
        </w:sectPr>
      </w:pPr>
    </w:p>
    <w:p w14:paraId="041BE388" w14:textId="77777777" w:rsidR="009B633D" w:rsidRDefault="003F75B2" w:rsidP="008C580E">
      <w:pPr>
        <w:rPr>
          <w:b/>
        </w:rPr>
      </w:pPr>
      <w:r>
        <w:rPr>
          <w:b/>
        </w:rPr>
        <w:lastRenderedPageBreak/>
        <w:t>Table of C</w:t>
      </w:r>
      <w:r w:rsidR="009B633D" w:rsidRPr="001D0454">
        <w:rPr>
          <w:b/>
        </w:rPr>
        <w:t>ontents</w:t>
      </w:r>
    </w:p>
    <w:p w14:paraId="3CF48211" w14:textId="77777777" w:rsidR="00EB58F3" w:rsidRDefault="00EB58F3" w:rsidP="009B633D">
      <w:pPr>
        <w:jc w:val="center"/>
        <w:rPr>
          <w:b/>
        </w:rPr>
      </w:pPr>
    </w:p>
    <w:p w14:paraId="0B2E9FB8" w14:textId="77777777" w:rsidR="001F3785" w:rsidRPr="00D875D3" w:rsidRDefault="00FB2F59">
      <w:pPr>
        <w:pStyle w:val="TOC1"/>
        <w:tabs>
          <w:tab w:val="right" w:leader="dot" w:pos="8630"/>
        </w:tabs>
        <w:rPr>
          <w:rFonts w:ascii="Calibri" w:hAnsi="Calibri"/>
          <w:noProof/>
          <w:sz w:val="22"/>
          <w:szCs w:val="22"/>
        </w:rPr>
      </w:pPr>
      <w:r>
        <w:rPr>
          <w:b/>
        </w:rPr>
        <w:fldChar w:fldCharType="begin"/>
      </w:r>
      <w:r>
        <w:rPr>
          <w:b/>
        </w:rPr>
        <w:instrText xml:space="preserve"> TOC \o "1-2" \h \z </w:instrText>
      </w:r>
      <w:r>
        <w:rPr>
          <w:b/>
        </w:rPr>
        <w:fldChar w:fldCharType="separate"/>
      </w:r>
      <w:hyperlink w:anchor="_Toc377626210" w:history="1">
        <w:r w:rsidR="001F3785" w:rsidRPr="00E3096D">
          <w:rPr>
            <w:rStyle w:val="Hyperlink"/>
            <w:noProof/>
          </w:rPr>
          <w:t>A. Justification</w:t>
        </w:r>
        <w:r w:rsidR="001F3785">
          <w:rPr>
            <w:noProof/>
            <w:webHidden/>
          </w:rPr>
          <w:tab/>
        </w:r>
        <w:r w:rsidR="001F3785">
          <w:rPr>
            <w:noProof/>
            <w:webHidden/>
          </w:rPr>
          <w:fldChar w:fldCharType="begin"/>
        </w:r>
        <w:r w:rsidR="001F3785">
          <w:rPr>
            <w:noProof/>
            <w:webHidden/>
          </w:rPr>
          <w:instrText xml:space="preserve"> PAGEREF _Toc377626210 \h </w:instrText>
        </w:r>
        <w:r w:rsidR="001F3785">
          <w:rPr>
            <w:noProof/>
            <w:webHidden/>
          </w:rPr>
        </w:r>
        <w:r w:rsidR="001F3785">
          <w:rPr>
            <w:noProof/>
            <w:webHidden/>
          </w:rPr>
          <w:fldChar w:fldCharType="separate"/>
        </w:r>
        <w:r w:rsidR="00173323">
          <w:rPr>
            <w:noProof/>
            <w:webHidden/>
          </w:rPr>
          <w:t>3</w:t>
        </w:r>
        <w:r w:rsidR="001F3785">
          <w:rPr>
            <w:noProof/>
            <w:webHidden/>
          </w:rPr>
          <w:fldChar w:fldCharType="end"/>
        </w:r>
      </w:hyperlink>
    </w:p>
    <w:p w14:paraId="16B20BA5" w14:textId="77777777" w:rsidR="001F3785" w:rsidRPr="00D875D3" w:rsidRDefault="00861091">
      <w:pPr>
        <w:pStyle w:val="TOC2"/>
        <w:tabs>
          <w:tab w:val="right" w:leader="dot" w:pos="8630"/>
        </w:tabs>
        <w:rPr>
          <w:rFonts w:ascii="Calibri" w:hAnsi="Calibri"/>
          <w:noProof/>
          <w:sz w:val="22"/>
          <w:szCs w:val="22"/>
        </w:rPr>
      </w:pPr>
      <w:hyperlink w:anchor="_Toc377626211" w:history="1">
        <w:r w:rsidR="001F3785" w:rsidRPr="00E3096D">
          <w:rPr>
            <w:rStyle w:val="Hyperlink"/>
            <w:noProof/>
          </w:rPr>
          <w:t>1. Circumstances That Make the Collection of Information Necessary</w:t>
        </w:r>
        <w:r w:rsidR="001F3785">
          <w:rPr>
            <w:noProof/>
            <w:webHidden/>
          </w:rPr>
          <w:tab/>
        </w:r>
        <w:r w:rsidR="001F3785">
          <w:rPr>
            <w:noProof/>
            <w:webHidden/>
          </w:rPr>
          <w:fldChar w:fldCharType="begin"/>
        </w:r>
        <w:r w:rsidR="001F3785">
          <w:rPr>
            <w:noProof/>
            <w:webHidden/>
          </w:rPr>
          <w:instrText xml:space="preserve"> PAGEREF _Toc377626211 \h </w:instrText>
        </w:r>
        <w:r w:rsidR="001F3785">
          <w:rPr>
            <w:noProof/>
            <w:webHidden/>
          </w:rPr>
        </w:r>
        <w:r w:rsidR="001F3785">
          <w:rPr>
            <w:noProof/>
            <w:webHidden/>
          </w:rPr>
          <w:fldChar w:fldCharType="separate"/>
        </w:r>
        <w:r w:rsidR="00173323">
          <w:rPr>
            <w:noProof/>
            <w:webHidden/>
          </w:rPr>
          <w:t>3</w:t>
        </w:r>
        <w:r w:rsidR="001F3785">
          <w:rPr>
            <w:noProof/>
            <w:webHidden/>
          </w:rPr>
          <w:fldChar w:fldCharType="end"/>
        </w:r>
      </w:hyperlink>
    </w:p>
    <w:p w14:paraId="47757C74" w14:textId="77777777" w:rsidR="001F3785" w:rsidRPr="00D875D3" w:rsidRDefault="00861091">
      <w:pPr>
        <w:pStyle w:val="TOC2"/>
        <w:tabs>
          <w:tab w:val="right" w:leader="dot" w:pos="8630"/>
        </w:tabs>
        <w:rPr>
          <w:rFonts w:ascii="Calibri" w:hAnsi="Calibri"/>
          <w:noProof/>
          <w:sz w:val="22"/>
          <w:szCs w:val="22"/>
        </w:rPr>
      </w:pPr>
      <w:hyperlink w:anchor="_Toc377626212" w:history="1">
        <w:r w:rsidR="001F3785" w:rsidRPr="00E3096D">
          <w:rPr>
            <w:rStyle w:val="Hyperlink"/>
            <w:noProof/>
          </w:rPr>
          <w:t>2. Purpose and Use of Information</w:t>
        </w:r>
        <w:r w:rsidR="001F3785">
          <w:rPr>
            <w:noProof/>
            <w:webHidden/>
          </w:rPr>
          <w:tab/>
        </w:r>
        <w:r w:rsidR="001F3785">
          <w:rPr>
            <w:noProof/>
            <w:webHidden/>
          </w:rPr>
          <w:fldChar w:fldCharType="begin"/>
        </w:r>
        <w:r w:rsidR="001F3785">
          <w:rPr>
            <w:noProof/>
            <w:webHidden/>
          </w:rPr>
          <w:instrText xml:space="preserve"> PAGEREF _Toc377626212 \h </w:instrText>
        </w:r>
        <w:r w:rsidR="001F3785">
          <w:rPr>
            <w:noProof/>
            <w:webHidden/>
          </w:rPr>
        </w:r>
        <w:r w:rsidR="001F3785">
          <w:rPr>
            <w:noProof/>
            <w:webHidden/>
          </w:rPr>
          <w:fldChar w:fldCharType="separate"/>
        </w:r>
        <w:r w:rsidR="00173323">
          <w:rPr>
            <w:noProof/>
            <w:webHidden/>
          </w:rPr>
          <w:t>5</w:t>
        </w:r>
        <w:r w:rsidR="001F3785">
          <w:rPr>
            <w:noProof/>
            <w:webHidden/>
          </w:rPr>
          <w:fldChar w:fldCharType="end"/>
        </w:r>
      </w:hyperlink>
    </w:p>
    <w:p w14:paraId="01343ADF" w14:textId="77777777" w:rsidR="001F3785" w:rsidRPr="00D875D3" w:rsidRDefault="00861091">
      <w:pPr>
        <w:pStyle w:val="TOC2"/>
        <w:tabs>
          <w:tab w:val="right" w:leader="dot" w:pos="8630"/>
        </w:tabs>
        <w:rPr>
          <w:rFonts w:ascii="Calibri" w:hAnsi="Calibri"/>
          <w:noProof/>
          <w:sz w:val="22"/>
          <w:szCs w:val="22"/>
        </w:rPr>
      </w:pPr>
      <w:hyperlink w:anchor="_Toc377626213" w:history="1">
        <w:r w:rsidR="001F3785" w:rsidRPr="00E3096D">
          <w:rPr>
            <w:rStyle w:val="Hyperlink"/>
            <w:noProof/>
          </w:rPr>
          <w:t>3. Use of Improved Information Technology</w:t>
        </w:r>
        <w:r w:rsidR="001F3785">
          <w:rPr>
            <w:noProof/>
            <w:webHidden/>
          </w:rPr>
          <w:tab/>
        </w:r>
        <w:r w:rsidR="001F3785">
          <w:rPr>
            <w:noProof/>
            <w:webHidden/>
          </w:rPr>
          <w:fldChar w:fldCharType="begin"/>
        </w:r>
        <w:r w:rsidR="001F3785">
          <w:rPr>
            <w:noProof/>
            <w:webHidden/>
          </w:rPr>
          <w:instrText xml:space="preserve"> PAGEREF _Toc377626213 \h </w:instrText>
        </w:r>
        <w:r w:rsidR="001F3785">
          <w:rPr>
            <w:noProof/>
            <w:webHidden/>
          </w:rPr>
        </w:r>
        <w:r w:rsidR="001F3785">
          <w:rPr>
            <w:noProof/>
            <w:webHidden/>
          </w:rPr>
          <w:fldChar w:fldCharType="separate"/>
        </w:r>
        <w:r w:rsidR="00173323">
          <w:rPr>
            <w:noProof/>
            <w:webHidden/>
          </w:rPr>
          <w:t>5</w:t>
        </w:r>
        <w:r w:rsidR="001F3785">
          <w:rPr>
            <w:noProof/>
            <w:webHidden/>
          </w:rPr>
          <w:fldChar w:fldCharType="end"/>
        </w:r>
      </w:hyperlink>
    </w:p>
    <w:p w14:paraId="4BC3307D" w14:textId="77777777" w:rsidR="001F3785" w:rsidRPr="00D875D3" w:rsidRDefault="00861091">
      <w:pPr>
        <w:pStyle w:val="TOC2"/>
        <w:tabs>
          <w:tab w:val="right" w:leader="dot" w:pos="8630"/>
        </w:tabs>
        <w:rPr>
          <w:rFonts w:ascii="Calibri" w:hAnsi="Calibri"/>
          <w:noProof/>
          <w:sz w:val="22"/>
          <w:szCs w:val="22"/>
        </w:rPr>
      </w:pPr>
      <w:hyperlink w:anchor="_Toc377626214" w:history="1">
        <w:r w:rsidR="001F3785" w:rsidRPr="00E3096D">
          <w:rPr>
            <w:rStyle w:val="Hyperlink"/>
            <w:noProof/>
          </w:rPr>
          <w:t>4. Efforts to Identify Duplication</w:t>
        </w:r>
        <w:r w:rsidR="001F3785">
          <w:rPr>
            <w:noProof/>
            <w:webHidden/>
          </w:rPr>
          <w:tab/>
        </w:r>
        <w:r w:rsidR="001F3785">
          <w:rPr>
            <w:noProof/>
            <w:webHidden/>
          </w:rPr>
          <w:fldChar w:fldCharType="begin"/>
        </w:r>
        <w:r w:rsidR="001F3785">
          <w:rPr>
            <w:noProof/>
            <w:webHidden/>
          </w:rPr>
          <w:instrText xml:space="preserve"> PAGEREF _Toc377626214 \h </w:instrText>
        </w:r>
        <w:r w:rsidR="001F3785">
          <w:rPr>
            <w:noProof/>
            <w:webHidden/>
          </w:rPr>
        </w:r>
        <w:r w:rsidR="001F3785">
          <w:rPr>
            <w:noProof/>
            <w:webHidden/>
          </w:rPr>
          <w:fldChar w:fldCharType="separate"/>
        </w:r>
        <w:r w:rsidR="00173323">
          <w:rPr>
            <w:noProof/>
            <w:webHidden/>
          </w:rPr>
          <w:t>5</w:t>
        </w:r>
        <w:r w:rsidR="001F3785">
          <w:rPr>
            <w:noProof/>
            <w:webHidden/>
          </w:rPr>
          <w:fldChar w:fldCharType="end"/>
        </w:r>
      </w:hyperlink>
    </w:p>
    <w:p w14:paraId="1A27FD16" w14:textId="77777777" w:rsidR="001F3785" w:rsidRPr="00D875D3" w:rsidRDefault="00861091">
      <w:pPr>
        <w:pStyle w:val="TOC2"/>
        <w:tabs>
          <w:tab w:val="right" w:leader="dot" w:pos="8630"/>
        </w:tabs>
        <w:rPr>
          <w:rFonts w:ascii="Calibri" w:hAnsi="Calibri"/>
          <w:noProof/>
          <w:sz w:val="22"/>
          <w:szCs w:val="22"/>
        </w:rPr>
      </w:pPr>
      <w:hyperlink w:anchor="_Toc377626215" w:history="1">
        <w:r w:rsidR="001F3785" w:rsidRPr="00E3096D">
          <w:rPr>
            <w:rStyle w:val="Hyperlink"/>
            <w:noProof/>
          </w:rPr>
          <w:t>5. Involvement of Small Entities</w:t>
        </w:r>
        <w:r w:rsidR="001F3785">
          <w:rPr>
            <w:noProof/>
            <w:webHidden/>
          </w:rPr>
          <w:tab/>
        </w:r>
        <w:r w:rsidR="001F3785">
          <w:rPr>
            <w:noProof/>
            <w:webHidden/>
          </w:rPr>
          <w:fldChar w:fldCharType="begin"/>
        </w:r>
        <w:r w:rsidR="001F3785">
          <w:rPr>
            <w:noProof/>
            <w:webHidden/>
          </w:rPr>
          <w:instrText xml:space="preserve"> PAGEREF _Toc377626215 \h </w:instrText>
        </w:r>
        <w:r w:rsidR="001F3785">
          <w:rPr>
            <w:noProof/>
            <w:webHidden/>
          </w:rPr>
        </w:r>
        <w:r w:rsidR="001F3785">
          <w:rPr>
            <w:noProof/>
            <w:webHidden/>
          </w:rPr>
          <w:fldChar w:fldCharType="separate"/>
        </w:r>
        <w:r w:rsidR="00173323">
          <w:rPr>
            <w:noProof/>
            <w:webHidden/>
          </w:rPr>
          <w:t>6</w:t>
        </w:r>
        <w:r w:rsidR="001F3785">
          <w:rPr>
            <w:noProof/>
            <w:webHidden/>
          </w:rPr>
          <w:fldChar w:fldCharType="end"/>
        </w:r>
      </w:hyperlink>
    </w:p>
    <w:p w14:paraId="0B24F37C" w14:textId="77777777" w:rsidR="001F3785" w:rsidRPr="00D875D3" w:rsidRDefault="00861091">
      <w:pPr>
        <w:pStyle w:val="TOC2"/>
        <w:tabs>
          <w:tab w:val="right" w:leader="dot" w:pos="8630"/>
        </w:tabs>
        <w:rPr>
          <w:rFonts w:ascii="Calibri" w:hAnsi="Calibri"/>
          <w:noProof/>
          <w:sz w:val="22"/>
          <w:szCs w:val="22"/>
        </w:rPr>
      </w:pPr>
      <w:hyperlink w:anchor="_Toc377626216" w:history="1">
        <w:r w:rsidR="001F3785" w:rsidRPr="00E3096D">
          <w:rPr>
            <w:rStyle w:val="Hyperlink"/>
            <w:noProof/>
          </w:rPr>
          <w:t>6. Consequences if Information Collected Less Frequently</w:t>
        </w:r>
        <w:r w:rsidR="001F3785">
          <w:rPr>
            <w:noProof/>
            <w:webHidden/>
          </w:rPr>
          <w:tab/>
        </w:r>
        <w:r w:rsidR="001F3785">
          <w:rPr>
            <w:noProof/>
            <w:webHidden/>
          </w:rPr>
          <w:fldChar w:fldCharType="begin"/>
        </w:r>
        <w:r w:rsidR="001F3785">
          <w:rPr>
            <w:noProof/>
            <w:webHidden/>
          </w:rPr>
          <w:instrText xml:space="preserve"> PAGEREF _Toc377626216 \h </w:instrText>
        </w:r>
        <w:r w:rsidR="001F3785">
          <w:rPr>
            <w:noProof/>
            <w:webHidden/>
          </w:rPr>
        </w:r>
        <w:r w:rsidR="001F3785">
          <w:rPr>
            <w:noProof/>
            <w:webHidden/>
          </w:rPr>
          <w:fldChar w:fldCharType="separate"/>
        </w:r>
        <w:r w:rsidR="00173323">
          <w:rPr>
            <w:noProof/>
            <w:webHidden/>
          </w:rPr>
          <w:t>6</w:t>
        </w:r>
        <w:r w:rsidR="001F3785">
          <w:rPr>
            <w:noProof/>
            <w:webHidden/>
          </w:rPr>
          <w:fldChar w:fldCharType="end"/>
        </w:r>
      </w:hyperlink>
    </w:p>
    <w:p w14:paraId="239DA242" w14:textId="77777777" w:rsidR="001F3785" w:rsidRPr="00D875D3" w:rsidRDefault="00861091">
      <w:pPr>
        <w:pStyle w:val="TOC2"/>
        <w:tabs>
          <w:tab w:val="right" w:leader="dot" w:pos="8630"/>
        </w:tabs>
        <w:rPr>
          <w:rFonts w:ascii="Calibri" w:hAnsi="Calibri"/>
          <w:noProof/>
          <w:sz w:val="22"/>
          <w:szCs w:val="22"/>
        </w:rPr>
      </w:pPr>
      <w:hyperlink w:anchor="_Toc377626217" w:history="1">
        <w:r w:rsidR="001F3785" w:rsidRPr="00E3096D">
          <w:rPr>
            <w:rStyle w:val="Hyperlink"/>
            <w:noProof/>
          </w:rPr>
          <w:t>7. Special Circumstances</w:t>
        </w:r>
        <w:r w:rsidR="001F3785">
          <w:rPr>
            <w:noProof/>
            <w:webHidden/>
          </w:rPr>
          <w:tab/>
        </w:r>
        <w:r w:rsidR="001F3785">
          <w:rPr>
            <w:noProof/>
            <w:webHidden/>
          </w:rPr>
          <w:fldChar w:fldCharType="begin"/>
        </w:r>
        <w:r w:rsidR="001F3785">
          <w:rPr>
            <w:noProof/>
            <w:webHidden/>
          </w:rPr>
          <w:instrText xml:space="preserve"> PAGEREF _Toc377626217 \h </w:instrText>
        </w:r>
        <w:r w:rsidR="001F3785">
          <w:rPr>
            <w:noProof/>
            <w:webHidden/>
          </w:rPr>
        </w:r>
        <w:r w:rsidR="001F3785">
          <w:rPr>
            <w:noProof/>
            <w:webHidden/>
          </w:rPr>
          <w:fldChar w:fldCharType="separate"/>
        </w:r>
        <w:r w:rsidR="00173323">
          <w:rPr>
            <w:noProof/>
            <w:webHidden/>
          </w:rPr>
          <w:t>6</w:t>
        </w:r>
        <w:r w:rsidR="001F3785">
          <w:rPr>
            <w:noProof/>
            <w:webHidden/>
          </w:rPr>
          <w:fldChar w:fldCharType="end"/>
        </w:r>
      </w:hyperlink>
    </w:p>
    <w:p w14:paraId="71667904" w14:textId="77777777" w:rsidR="001F3785" w:rsidRPr="00D875D3" w:rsidRDefault="00861091">
      <w:pPr>
        <w:pStyle w:val="TOC2"/>
        <w:tabs>
          <w:tab w:val="right" w:leader="dot" w:pos="8630"/>
        </w:tabs>
        <w:rPr>
          <w:rFonts w:ascii="Calibri" w:hAnsi="Calibri"/>
          <w:noProof/>
          <w:sz w:val="22"/>
          <w:szCs w:val="22"/>
        </w:rPr>
      </w:pPr>
      <w:hyperlink w:anchor="_Toc377626218" w:history="1">
        <w:r w:rsidR="001F3785" w:rsidRPr="00E3096D">
          <w:rPr>
            <w:rStyle w:val="Hyperlink"/>
            <w:noProof/>
          </w:rPr>
          <w:t>8. Federal Register Notice and Outside Consultations</w:t>
        </w:r>
        <w:r w:rsidR="001F3785">
          <w:rPr>
            <w:noProof/>
            <w:webHidden/>
          </w:rPr>
          <w:tab/>
        </w:r>
        <w:r w:rsidR="001F3785">
          <w:rPr>
            <w:noProof/>
            <w:webHidden/>
          </w:rPr>
          <w:fldChar w:fldCharType="begin"/>
        </w:r>
        <w:r w:rsidR="001F3785">
          <w:rPr>
            <w:noProof/>
            <w:webHidden/>
          </w:rPr>
          <w:instrText xml:space="preserve"> PAGEREF _Toc377626218 \h </w:instrText>
        </w:r>
        <w:r w:rsidR="001F3785">
          <w:rPr>
            <w:noProof/>
            <w:webHidden/>
          </w:rPr>
        </w:r>
        <w:r w:rsidR="001F3785">
          <w:rPr>
            <w:noProof/>
            <w:webHidden/>
          </w:rPr>
          <w:fldChar w:fldCharType="separate"/>
        </w:r>
        <w:r w:rsidR="00173323">
          <w:rPr>
            <w:noProof/>
            <w:webHidden/>
          </w:rPr>
          <w:t>6</w:t>
        </w:r>
        <w:r w:rsidR="001F3785">
          <w:rPr>
            <w:noProof/>
            <w:webHidden/>
          </w:rPr>
          <w:fldChar w:fldCharType="end"/>
        </w:r>
      </w:hyperlink>
    </w:p>
    <w:p w14:paraId="033D93C1" w14:textId="77777777" w:rsidR="001F3785" w:rsidRPr="00D875D3" w:rsidRDefault="00861091">
      <w:pPr>
        <w:pStyle w:val="TOC2"/>
        <w:tabs>
          <w:tab w:val="right" w:leader="dot" w:pos="8630"/>
        </w:tabs>
        <w:rPr>
          <w:rFonts w:ascii="Calibri" w:hAnsi="Calibri"/>
          <w:noProof/>
          <w:sz w:val="22"/>
          <w:szCs w:val="22"/>
        </w:rPr>
      </w:pPr>
      <w:hyperlink w:anchor="_Toc377626219" w:history="1">
        <w:r w:rsidR="001F3785" w:rsidRPr="00E3096D">
          <w:rPr>
            <w:rStyle w:val="Hyperlink"/>
            <w:noProof/>
          </w:rPr>
          <w:t>8.b. Outside Consultations</w:t>
        </w:r>
        <w:r w:rsidR="001F3785">
          <w:rPr>
            <w:noProof/>
            <w:webHidden/>
          </w:rPr>
          <w:tab/>
        </w:r>
        <w:r w:rsidR="001F3785">
          <w:rPr>
            <w:noProof/>
            <w:webHidden/>
          </w:rPr>
          <w:fldChar w:fldCharType="begin"/>
        </w:r>
        <w:r w:rsidR="001F3785">
          <w:rPr>
            <w:noProof/>
            <w:webHidden/>
          </w:rPr>
          <w:instrText xml:space="preserve"> PAGEREF _Toc377626219 \h </w:instrText>
        </w:r>
        <w:r w:rsidR="001F3785">
          <w:rPr>
            <w:noProof/>
            <w:webHidden/>
          </w:rPr>
        </w:r>
        <w:r w:rsidR="001F3785">
          <w:rPr>
            <w:noProof/>
            <w:webHidden/>
          </w:rPr>
          <w:fldChar w:fldCharType="separate"/>
        </w:r>
        <w:r w:rsidR="00173323">
          <w:rPr>
            <w:noProof/>
            <w:webHidden/>
          </w:rPr>
          <w:t>7</w:t>
        </w:r>
        <w:r w:rsidR="001F3785">
          <w:rPr>
            <w:noProof/>
            <w:webHidden/>
          </w:rPr>
          <w:fldChar w:fldCharType="end"/>
        </w:r>
      </w:hyperlink>
    </w:p>
    <w:p w14:paraId="6C5A0BFB" w14:textId="77777777" w:rsidR="001F3785" w:rsidRPr="00D875D3" w:rsidRDefault="00861091">
      <w:pPr>
        <w:pStyle w:val="TOC2"/>
        <w:tabs>
          <w:tab w:val="right" w:leader="dot" w:pos="8630"/>
        </w:tabs>
        <w:rPr>
          <w:rFonts w:ascii="Calibri" w:hAnsi="Calibri"/>
          <w:noProof/>
          <w:sz w:val="22"/>
          <w:szCs w:val="22"/>
        </w:rPr>
      </w:pPr>
      <w:hyperlink w:anchor="_Toc377626220" w:history="1">
        <w:r w:rsidR="001F3785" w:rsidRPr="00E3096D">
          <w:rPr>
            <w:rStyle w:val="Hyperlink"/>
            <w:noProof/>
          </w:rPr>
          <w:t>9. Payments/Gifts to Respondents</w:t>
        </w:r>
        <w:r w:rsidR="001F3785">
          <w:rPr>
            <w:noProof/>
            <w:webHidden/>
          </w:rPr>
          <w:tab/>
        </w:r>
        <w:r w:rsidR="001F3785">
          <w:rPr>
            <w:noProof/>
            <w:webHidden/>
          </w:rPr>
          <w:fldChar w:fldCharType="begin"/>
        </w:r>
        <w:r w:rsidR="001F3785">
          <w:rPr>
            <w:noProof/>
            <w:webHidden/>
          </w:rPr>
          <w:instrText xml:space="preserve"> PAGEREF _Toc377626220 \h </w:instrText>
        </w:r>
        <w:r w:rsidR="001F3785">
          <w:rPr>
            <w:noProof/>
            <w:webHidden/>
          </w:rPr>
        </w:r>
        <w:r w:rsidR="001F3785">
          <w:rPr>
            <w:noProof/>
            <w:webHidden/>
          </w:rPr>
          <w:fldChar w:fldCharType="separate"/>
        </w:r>
        <w:r w:rsidR="00173323">
          <w:rPr>
            <w:noProof/>
            <w:webHidden/>
          </w:rPr>
          <w:t>7</w:t>
        </w:r>
        <w:r w:rsidR="001F3785">
          <w:rPr>
            <w:noProof/>
            <w:webHidden/>
          </w:rPr>
          <w:fldChar w:fldCharType="end"/>
        </w:r>
      </w:hyperlink>
    </w:p>
    <w:p w14:paraId="558A9738" w14:textId="77777777" w:rsidR="001F3785" w:rsidRPr="00D875D3" w:rsidRDefault="00861091">
      <w:pPr>
        <w:pStyle w:val="TOC2"/>
        <w:tabs>
          <w:tab w:val="right" w:leader="dot" w:pos="8630"/>
        </w:tabs>
        <w:rPr>
          <w:rFonts w:ascii="Calibri" w:hAnsi="Calibri"/>
          <w:noProof/>
          <w:sz w:val="22"/>
          <w:szCs w:val="22"/>
        </w:rPr>
      </w:pPr>
      <w:hyperlink w:anchor="_Toc377626221" w:history="1">
        <w:r w:rsidR="001F3785" w:rsidRPr="00E3096D">
          <w:rPr>
            <w:rStyle w:val="Hyperlink"/>
            <w:noProof/>
          </w:rPr>
          <w:t>10. Assurance of Confidentiality</w:t>
        </w:r>
        <w:r w:rsidR="001F3785">
          <w:rPr>
            <w:noProof/>
            <w:webHidden/>
          </w:rPr>
          <w:tab/>
        </w:r>
        <w:r w:rsidR="001F3785">
          <w:rPr>
            <w:noProof/>
            <w:webHidden/>
          </w:rPr>
          <w:fldChar w:fldCharType="begin"/>
        </w:r>
        <w:r w:rsidR="001F3785">
          <w:rPr>
            <w:noProof/>
            <w:webHidden/>
          </w:rPr>
          <w:instrText xml:space="preserve"> PAGEREF _Toc377626221 \h </w:instrText>
        </w:r>
        <w:r w:rsidR="001F3785">
          <w:rPr>
            <w:noProof/>
            <w:webHidden/>
          </w:rPr>
        </w:r>
        <w:r w:rsidR="001F3785">
          <w:rPr>
            <w:noProof/>
            <w:webHidden/>
          </w:rPr>
          <w:fldChar w:fldCharType="separate"/>
        </w:r>
        <w:r w:rsidR="00173323">
          <w:rPr>
            <w:noProof/>
            <w:webHidden/>
          </w:rPr>
          <w:t>7</w:t>
        </w:r>
        <w:r w:rsidR="001F3785">
          <w:rPr>
            <w:noProof/>
            <w:webHidden/>
          </w:rPr>
          <w:fldChar w:fldCharType="end"/>
        </w:r>
      </w:hyperlink>
    </w:p>
    <w:p w14:paraId="40D813A3" w14:textId="77777777" w:rsidR="001F3785" w:rsidRPr="00D875D3" w:rsidRDefault="00861091">
      <w:pPr>
        <w:pStyle w:val="TOC2"/>
        <w:tabs>
          <w:tab w:val="right" w:leader="dot" w:pos="8630"/>
        </w:tabs>
        <w:rPr>
          <w:rFonts w:ascii="Calibri" w:hAnsi="Calibri"/>
          <w:noProof/>
          <w:sz w:val="22"/>
          <w:szCs w:val="22"/>
        </w:rPr>
      </w:pPr>
      <w:hyperlink w:anchor="_Toc377626222" w:history="1">
        <w:r w:rsidR="001F3785" w:rsidRPr="00E3096D">
          <w:rPr>
            <w:rStyle w:val="Hyperlink"/>
            <w:noProof/>
          </w:rPr>
          <w:t>11. Questions of a Sensitive Nature</w:t>
        </w:r>
        <w:r w:rsidR="001F3785">
          <w:rPr>
            <w:noProof/>
            <w:webHidden/>
          </w:rPr>
          <w:tab/>
        </w:r>
        <w:r w:rsidR="001F3785">
          <w:rPr>
            <w:noProof/>
            <w:webHidden/>
          </w:rPr>
          <w:fldChar w:fldCharType="begin"/>
        </w:r>
        <w:r w:rsidR="001F3785">
          <w:rPr>
            <w:noProof/>
            <w:webHidden/>
          </w:rPr>
          <w:instrText xml:space="preserve"> PAGEREF _Toc377626222 \h </w:instrText>
        </w:r>
        <w:r w:rsidR="001F3785">
          <w:rPr>
            <w:noProof/>
            <w:webHidden/>
          </w:rPr>
        </w:r>
        <w:r w:rsidR="001F3785">
          <w:rPr>
            <w:noProof/>
            <w:webHidden/>
          </w:rPr>
          <w:fldChar w:fldCharType="separate"/>
        </w:r>
        <w:r w:rsidR="00173323">
          <w:rPr>
            <w:noProof/>
            <w:webHidden/>
          </w:rPr>
          <w:t>8</w:t>
        </w:r>
        <w:r w:rsidR="001F3785">
          <w:rPr>
            <w:noProof/>
            <w:webHidden/>
          </w:rPr>
          <w:fldChar w:fldCharType="end"/>
        </w:r>
      </w:hyperlink>
    </w:p>
    <w:p w14:paraId="3C763B51" w14:textId="77777777" w:rsidR="001F3785" w:rsidRPr="00D875D3" w:rsidRDefault="00861091">
      <w:pPr>
        <w:pStyle w:val="TOC2"/>
        <w:tabs>
          <w:tab w:val="right" w:leader="dot" w:pos="8630"/>
        </w:tabs>
        <w:rPr>
          <w:rFonts w:ascii="Calibri" w:hAnsi="Calibri"/>
          <w:noProof/>
          <w:sz w:val="22"/>
          <w:szCs w:val="22"/>
        </w:rPr>
      </w:pPr>
      <w:hyperlink w:anchor="_Toc377626223" w:history="1">
        <w:r w:rsidR="001F3785" w:rsidRPr="00E3096D">
          <w:rPr>
            <w:rStyle w:val="Hyperlink"/>
            <w:noProof/>
          </w:rPr>
          <w:t>12. Estimates of Annualized Burden Hours and Costs</w:t>
        </w:r>
        <w:r w:rsidR="001F3785">
          <w:rPr>
            <w:noProof/>
            <w:webHidden/>
          </w:rPr>
          <w:tab/>
        </w:r>
        <w:r w:rsidR="001F3785">
          <w:rPr>
            <w:noProof/>
            <w:webHidden/>
          </w:rPr>
          <w:fldChar w:fldCharType="begin"/>
        </w:r>
        <w:r w:rsidR="001F3785">
          <w:rPr>
            <w:noProof/>
            <w:webHidden/>
          </w:rPr>
          <w:instrText xml:space="preserve"> PAGEREF _Toc377626223 \h </w:instrText>
        </w:r>
        <w:r w:rsidR="001F3785">
          <w:rPr>
            <w:noProof/>
            <w:webHidden/>
          </w:rPr>
        </w:r>
        <w:r w:rsidR="001F3785">
          <w:rPr>
            <w:noProof/>
            <w:webHidden/>
          </w:rPr>
          <w:fldChar w:fldCharType="separate"/>
        </w:r>
        <w:r w:rsidR="00173323">
          <w:rPr>
            <w:noProof/>
            <w:webHidden/>
          </w:rPr>
          <w:t>8</w:t>
        </w:r>
        <w:r w:rsidR="001F3785">
          <w:rPr>
            <w:noProof/>
            <w:webHidden/>
          </w:rPr>
          <w:fldChar w:fldCharType="end"/>
        </w:r>
      </w:hyperlink>
    </w:p>
    <w:p w14:paraId="1ECE69DF" w14:textId="77777777" w:rsidR="001F3785" w:rsidRPr="00D875D3" w:rsidRDefault="00861091">
      <w:pPr>
        <w:pStyle w:val="TOC2"/>
        <w:tabs>
          <w:tab w:val="right" w:leader="dot" w:pos="8630"/>
        </w:tabs>
        <w:rPr>
          <w:rFonts w:ascii="Calibri" w:hAnsi="Calibri"/>
          <w:noProof/>
          <w:sz w:val="22"/>
          <w:szCs w:val="22"/>
        </w:rPr>
      </w:pPr>
      <w:hyperlink w:anchor="_Toc377626224" w:history="1">
        <w:r w:rsidR="001F3785" w:rsidRPr="00E3096D">
          <w:rPr>
            <w:rStyle w:val="Hyperlink"/>
            <w:noProof/>
          </w:rPr>
          <w:t>13. Estimates of Annualized Respondent Capital and Maintenance Costs</w:t>
        </w:r>
        <w:r w:rsidR="001F3785">
          <w:rPr>
            <w:noProof/>
            <w:webHidden/>
          </w:rPr>
          <w:tab/>
        </w:r>
        <w:r w:rsidR="001F3785">
          <w:rPr>
            <w:noProof/>
            <w:webHidden/>
          </w:rPr>
          <w:fldChar w:fldCharType="begin"/>
        </w:r>
        <w:r w:rsidR="001F3785">
          <w:rPr>
            <w:noProof/>
            <w:webHidden/>
          </w:rPr>
          <w:instrText xml:space="preserve"> PAGEREF _Toc377626224 \h </w:instrText>
        </w:r>
        <w:r w:rsidR="001F3785">
          <w:rPr>
            <w:noProof/>
            <w:webHidden/>
          </w:rPr>
        </w:r>
        <w:r w:rsidR="001F3785">
          <w:rPr>
            <w:noProof/>
            <w:webHidden/>
          </w:rPr>
          <w:fldChar w:fldCharType="separate"/>
        </w:r>
        <w:r w:rsidR="00173323">
          <w:rPr>
            <w:noProof/>
            <w:webHidden/>
          </w:rPr>
          <w:t>9</w:t>
        </w:r>
        <w:r w:rsidR="001F3785">
          <w:rPr>
            <w:noProof/>
            <w:webHidden/>
          </w:rPr>
          <w:fldChar w:fldCharType="end"/>
        </w:r>
      </w:hyperlink>
    </w:p>
    <w:p w14:paraId="6FC04283" w14:textId="77777777" w:rsidR="001F3785" w:rsidRPr="00D875D3" w:rsidRDefault="00861091">
      <w:pPr>
        <w:pStyle w:val="TOC2"/>
        <w:tabs>
          <w:tab w:val="right" w:leader="dot" w:pos="8630"/>
        </w:tabs>
        <w:rPr>
          <w:rFonts w:ascii="Calibri" w:hAnsi="Calibri"/>
          <w:noProof/>
          <w:sz w:val="22"/>
          <w:szCs w:val="22"/>
        </w:rPr>
      </w:pPr>
      <w:hyperlink w:anchor="_Toc377626225" w:history="1">
        <w:r w:rsidR="001F3785" w:rsidRPr="00E3096D">
          <w:rPr>
            <w:rStyle w:val="Hyperlink"/>
            <w:noProof/>
          </w:rPr>
          <w:t>14. Estimates of Total and Annualized Cost to the Government</w:t>
        </w:r>
        <w:r w:rsidR="001F3785">
          <w:rPr>
            <w:noProof/>
            <w:webHidden/>
          </w:rPr>
          <w:tab/>
        </w:r>
        <w:r w:rsidR="001F3785">
          <w:rPr>
            <w:noProof/>
            <w:webHidden/>
          </w:rPr>
          <w:fldChar w:fldCharType="begin"/>
        </w:r>
        <w:r w:rsidR="001F3785">
          <w:rPr>
            <w:noProof/>
            <w:webHidden/>
          </w:rPr>
          <w:instrText xml:space="preserve"> PAGEREF _Toc377626225 \h </w:instrText>
        </w:r>
        <w:r w:rsidR="001F3785">
          <w:rPr>
            <w:noProof/>
            <w:webHidden/>
          </w:rPr>
        </w:r>
        <w:r w:rsidR="001F3785">
          <w:rPr>
            <w:noProof/>
            <w:webHidden/>
          </w:rPr>
          <w:fldChar w:fldCharType="separate"/>
        </w:r>
        <w:r w:rsidR="00173323">
          <w:rPr>
            <w:noProof/>
            <w:webHidden/>
          </w:rPr>
          <w:t>9</w:t>
        </w:r>
        <w:r w:rsidR="001F3785">
          <w:rPr>
            <w:noProof/>
            <w:webHidden/>
          </w:rPr>
          <w:fldChar w:fldCharType="end"/>
        </w:r>
      </w:hyperlink>
    </w:p>
    <w:p w14:paraId="3DC485C4" w14:textId="77777777" w:rsidR="001F3785" w:rsidRPr="00D875D3" w:rsidRDefault="00861091">
      <w:pPr>
        <w:pStyle w:val="TOC2"/>
        <w:tabs>
          <w:tab w:val="right" w:leader="dot" w:pos="8630"/>
        </w:tabs>
        <w:rPr>
          <w:rFonts w:ascii="Calibri" w:hAnsi="Calibri"/>
          <w:noProof/>
          <w:sz w:val="22"/>
          <w:szCs w:val="22"/>
        </w:rPr>
      </w:pPr>
      <w:hyperlink w:anchor="_Toc377626226" w:history="1">
        <w:r w:rsidR="001F3785" w:rsidRPr="00E3096D">
          <w:rPr>
            <w:rStyle w:val="Hyperlink"/>
            <w:noProof/>
          </w:rPr>
          <w:t>15. Changes in Hour Burden</w:t>
        </w:r>
        <w:r w:rsidR="001F3785">
          <w:rPr>
            <w:noProof/>
            <w:webHidden/>
          </w:rPr>
          <w:tab/>
        </w:r>
        <w:r w:rsidR="001F3785">
          <w:rPr>
            <w:noProof/>
            <w:webHidden/>
          </w:rPr>
          <w:fldChar w:fldCharType="begin"/>
        </w:r>
        <w:r w:rsidR="001F3785">
          <w:rPr>
            <w:noProof/>
            <w:webHidden/>
          </w:rPr>
          <w:instrText xml:space="preserve"> PAGEREF _Toc377626226 \h </w:instrText>
        </w:r>
        <w:r w:rsidR="001F3785">
          <w:rPr>
            <w:noProof/>
            <w:webHidden/>
          </w:rPr>
        </w:r>
        <w:r w:rsidR="001F3785">
          <w:rPr>
            <w:noProof/>
            <w:webHidden/>
          </w:rPr>
          <w:fldChar w:fldCharType="separate"/>
        </w:r>
        <w:r w:rsidR="00173323">
          <w:rPr>
            <w:noProof/>
            <w:webHidden/>
          </w:rPr>
          <w:t>10</w:t>
        </w:r>
        <w:r w:rsidR="001F3785">
          <w:rPr>
            <w:noProof/>
            <w:webHidden/>
          </w:rPr>
          <w:fldChar w:fldCharType="end"/>
        </w:r>
      </w:hyperlink>
    </w:p>
    <w:p w14:paraId="374C7284" w14:textId="77777777" w:rsidR="001F3785" w:rsidRPr="00D875D3" w:rsidRDefault="00861091">
      <w:pPr>
        <w:pStyle w:val="TOC2"/>
        <w:tabs>
          <w:tab w:val="right" w:leader="dot" w:pos="8630"/>
        </w:tabs>
        <w:rPr>
          <w:rFonts w:ascii="Calibri" w:hAnsi="Calibri"/>
          <w:noProof/>
          <w:sz w:val="22"/>
          <w:szCs w:val="22"/>
        </w:rPr>
      </w:pPr>
      <w:hyperlink w:anchor="_Toc377626227" w:history="1">
        <w:r w:rsidR="001F3785" w:rsidRPr="00E3096D">
          <w:rPr>
            <w:rStyle w:val="Hyperlink"/>
            <w:noProof/>
          </w:rPr>
          <w:t>16. Time Schedule, Publication, and Analysis Plans</w:t>
        </w:r>
        <w:r w:rsidR="001F3785">
          <w:rPr>
            <w:noProof/>
            <w:webHidden/>
          </w:rPr>
          <w:tab/>
        </w:r>
        <w:r w:rsidR="001F3785">
          <w:rPr>
            <w:noProof/>
            <w:webHidden/>
          </w:rPr>
          <w:fldChar w:fldCharType="begin"/>
        </w:r>
        <w:r w:rsidR="001F3785">
          <w:rPr>
            <w:noProof/>
            <w:webHidden/>
          </w:rPr>
          <w:instrText xml:space="preserve"> PAGEREF _Toc377626227 \h </w:instrText>
        </w:r>
        <w:r w:rsidR="001F3785">
          <w:rPr>
            <w:noProof/>
            <w:webHidden/>
          </w:rPr>
        </w:r>
        <w:r w:rsidR="001F3785">
          <w:rPr>
            <w:noProof/>
            <w:webHidden/>
          </w:rPr>
          <w:fldChar w:fldCharType="separate"/>
        </w:r>
        <w:r w:rsidR="00173323">
          <w:rPr>
            <w:noProof/>
            <w:webHidden/>
          </w:rPr>
          <w:t>10</w:t>
        </w:r>
        <w:r w:rsidR="001F3785">
          <w:rPr>
            <w:noProof/>
            <w:webHidden/>
          </w:rPr>
          <w:fldChar w:fldCharType="end"/>
        </w:r>
      </w:hyperlink>
    </w:p>
    <w:p w14:paraId="0AD20248" w14:textId="77777777" w:rsidR="001F3785" w:rsidRPr="00D875D3" w:rsidRDefault="00861091">
      <w:pPr>
        <w:pStyle w:val="TOC2"/>
        <w:tabs>
          <w:tab w:val="right" w:leader="dot" w:pos="8630"/>
        </w:tabs>
        <w:rPr>
          <w:rFonts w:ascii="Calibri" w:hAnsi="Calibri"/>
          <w:noProof/>
          <w:sz w:val="22"/>
          <w:szCs w:val="22"/>
        </w:rPr>
      </w:pPr>
      <w:hyperlink w:anchor="_Toc377626228" w:history="1">
        <w:r w:rsidR="001F3785" w:rsidRPr="00E3096D">
          <w:rPr>
            <w:rStyle w:val="Hyperlink"/>
            <w:noProof/>
          </w:rPr>
          <w:t>17. Exemption for Display of Expiration Date</w:t>
        </w:r>
        <w:r w:rsidR="001F3785">
          <w:rPr>
            <w:noProof/>
            <w:webHidden/>
          </w:rPr>
          <w:tab/>
        </w:r>
        <w:r w:rsidR="001F3785">
          <w:rPr>
            <w:noProof/>
            <w:webHidden/>
          </w:rPr>
          <w:fldChar w:fldCharType="begin"/>
        </w:r>
        <w:r w:rsidR="001F3785">
          <w:rPr>
            <w:noProof/>
            <w:webHidden/>
          </w:rPr>
          <w:instrText xml:space="preserve"> PAGEREF _Toc377626228 \h </w:instrText>
        </w:r>
        <w:r w:rsidR="001F3785">
          <w:rPr>
            <w:noProof/>
            <w:webHidden/>
          </w:rPr>
        </w:r>
        <w:r w:rsidR="001F3785">
          <w:rPr>
            <w:noProof/>
            <w:webHidden/>
          </w:rPr>
          <w:fldChar w:fldCharType="separate"/>
        </w:r>
        <w:r w:rsidR="00173323">
          <w:rPr>
            <w:noProof/>
            <w:webHidden/>
          </w:rPr>
          <w:t>11</w:t>
        </w:r>
        <w:r w:rsidR="001F3785">
          <w:rPr>
            <w:noProof/>
            <w:webHidden/>
          </w:rPr>
          <w:fldChar w:fldCharType="end"/>
        </w:r>
      </w:hyperlink>
    </w:p>
    <w:p w14:paraId="35AE2CD8" w14:textId="77777777" w:rsidR="001F3785" w:rsidRPr="00D875D3" w:rsidRDefault="00861091">
      <w:pPr>
        <w:pStyle w:val="TOC2"/>
        <w:tabs>
          <w:tab w:val="right" w:leader="dot" w:pos="8630"/>
        </w:tabs>
        <w:rPr>
          <w:rFonts w:ascii="Calibri" w:hAnsi="Calibri"/>
          <w:noProof/>
          <w:sz w:val="22"/>
          <w:szCs w:val="22"/>
        </w:rPr>
      </w:pPr>
      <w:hyperlink w:anchor="_Toc377626229" w:history="1">
        <w:r w:rsidR="001F3785" w:rsidRPr="00E3096D">
          <w:rPr>
            <w:rStyle w:val="Hyperlink"/>
            <w:noProof/>
          </w:rPr>
          <w:t>List of Attachments</w:t>
        </w:r>
        <w:r w:rsidR="001F3785">
          <w:rPr>
            <w:noProof/>
            <w:webHidden/>
          </w:rPr>
          <w:tab/>
        </w:r>
        <w:r w:rsidR="001F3785">
          <w:rPr>
            <w:noProof/>
            <w:webHidden/>
          </w:rPr>
          <w:fldChar w:fldCharType="begin"/>
        </w:r>
        <w:r w:rsidR="001F3785">
          <w:rPr>
            <w:noProof/>
            <w:webHidden/>
          </w:rPr>
          <w:instrText xml:space="preserve"> PAGEREF _Toc377626229 \h </w:instrText>
        </w:r>
        <w:r w:rsidR="001F3785">
          <w:rPr>
            <w:noProof/>
            <w:webHidden/>
          </w:rPr>
        </w:r>
        <w:r w:rsidR="001F3785">
          <w:rPr>
            <w:noProof/>
            <w:webHidden/>
          </w:rPr>
          <w:fldChar w:fldCharType="separate"/>
        </w:r>
        <w:r w:rsidR="00173323">
          <w:rPr>
            <w:noProof/>
            <w:webHidden/>
          </w:rPr>
          <w:t>12</w:t>
        </w:r>
        <w:r w:rsidR="001F3785">
          <w:rPr>
            <w:noProof/>
            <w:webHidden/>
          </w:rPr>
          <w:fldChar w:fldCharType="end"/>
        </w:r>
      </w:hyperlink>
    </w:p>
    <w:p w14:paraId="75FB2625" w14:textId="77777777" w:rsidR="009B633D" w:rsidRDefault="00FB2F59">
      <w:pPr>
        <w:pStyle w:val="TOC2"/>
        <w:tabs>
          <w:tab w:val="right" w:leader="dot" w:pos="8630"/>
        </w:tabs>
        <w:rPr>
          <w:noProof/>
        </w:rPr>
      </w:pPr>
      <w:r>
        <w:rPr>
          <w:b/>
        </w:rPr>
        <w:fldChar w:fldCharType="end"/>
      </w:r>
      <w:r w:rsidR="009B633D">
        <w:rPr>
          <w:b/>
        </w:rPr>
        <w:fldChar w:fldCharType="begin"/>
      </w:r>
      <w:r w:rsidR="009B633D">
        <w:rPr>
          <w:b/>
        </w:rPr>
        <w:instrText xml:space="preserve"> TOC \o "1-3" \h \z \u </w:instrText>
      </w:r>
      <w:r w:rsidR="009B633D">
        <w:rPr>
          <w:b/>
        </w:rPr>
        <w:fldChar w:fldCharType="separate"/>
      </w:r>
    </w:p>
    <w:p w14:paraId="3EF344D0" w14:textId="77777777" w:rsidR="00870D9A" w:rsidRDefault="009B633D" w:rsidP="009B633D">
      <w:pPr>
        <w:jc w:val="center"/>
        <w:rPr>
          <w:b/>
        </w:rPr>
        <w:sectPr w:rsidR="00870D9A" w:rsidSect="00870D9A">
          <w:endnotePr>
            <w:numFmt w:val="decimal"/>
          </w:endnotePr>
          <w:pgSz w:w="12240" w:h="15840"/>
          <w:pgMar w:top="1440" w:right="1800" w:bottom="1260" w:left="1800" w:header="720" w:footer="720" w:gutter="0"/>
          <w:cols w:space="720"/>
          <w:titlePg/>
          <w:docGrid w:linePitch="360"/>
        </w:sectPr>
      </w:pPr>
      <w:r>
        <w:rPr>
          <w:b/>
        </w:rPr>
        <w:fldChar w:fldCharType="end"/>
      </w:r>
    </w:p>
    <w:p w14:paraId="15A3C4A5" w14:textId="77777777" w:rsidR="009B633D" w:rsidRPr="00FB2F59" w:rsidRDefault="009B633D" w:rsidP="00FB2F59">
      <w:pPr>
        <w:pStyle w:val="Heading1"/>
      </w:pPr>
      <w:bookmarkStart w:id="1" w:name="_Toc151782175"/>
      <w:bookmarkStart w:id="2" w:name="_Toc158526215"/>
      <w:bookmarkStart w:id="3" w:name="_Toc377626210"/>
      <w:r w:rsidRPr="00FB2F59">
        <w:lastRenderedPageBreak/>
        <w:t>A. Justification</w:t>
      </w:r>
      <w:bookmarkEnd w:id="1"/>
      <w:bookmarkEnd w:id="2"/>
      <w:bookmarkEnd w:id="3"/>
    </w:p>
    <w:p w14:paraId="46BBA2B1" w14:textId="77777777" w:rsidR="009B633D" w:rsidRPr="00B727C7" w:rsidRDefault="009B633D" w:rsidP="00FB2F59">
      <w:pPr>
        <w:pStyle w:val="Heading2"/>
        <w:rPr>
          <w:rFonts w:ascii="Times New Roman" w:hAnsi="Times New Roman" w:cs="Times New Roman"/>
          <w:i w:val="0"/>
        </w:rPr>
      </w:pPr>
      <w:bookmarkStart w:id="4" w:name="_Toc151782176"/>
      <w:bookmarkStart w:id="5" w:name="_Toc158526216"/>
      <w:bookmarkStart w:id="6" w:name="_Toc377626211"/>
      <w:r w:rsidRPr="00B727C7">
        <w:rPr>
          <w:rFonts w:ascii="Times New Roman" w:hAnsi="Times New Roman" w:cs="Times New Roman"/>
          <w:i w:val="0"/>
        </w:rPr>
        <w:t xml:space="preserve">1. </w:t>
      </w:r>
      <w:bookmarkEnd w:id="4"/>
      <w:bookmarkEnd w:id="5"/>
      <w:r w:rsidR="00FB2F59" w:rsidRPr="00B727C7">
        <w:rPr>
          <w:rFonts w:ascii="Times New Roman" w:hAnsi="Times New Roman" w:cs="Times New Roman"/>
          <w:i w:val="0"/>
        </w:rPr>
        <w:t xml:space="preserve">Circumstances </w:t>
      </w:r>
      <w:r w:rsidR="00A04A4C" w:rsidRPr="00B727C7">
        <w:rPr>
          <w:rFonts w:ascii="Times New Roman" w:hAnsi="Times New Roman" w:cs="Times New Roman"/>
          <w:i w:val="0"/>
        </w:rPr>
        <w:t>T</w:t>
      </w:r>
      <w:r w:rsidR="00FB2F59" w:rsidRPr="00B727C7">
        <w:rPr>
          <w:rFonts w:ascii="Times New Roman" w:hAnsi="Times New Roman" w:cs="Times New Roman"/>
          <w:i w:val="0"/>
        </w:rPr>
        <w:t>hat Make the Collection of Information N</w:t>
      </w:r>
      <w:r w:rsidR="006014DB" w:rsidRPr="00B727C7">
        <w:rPr>
          <w:rFonts w:ascii="Times New Roman" w:hAnsi="Times New Roman" w:cs="Times New Roman"/>
          <w:i w:val="0"/>
        </w:rPr>
        <w:t>ecessary</w:t>
      </w:r>
      <w:bookmarkEnd w:id="6"/>
    </w:p>
    <w:p w14:paraId="275D3559" w14:textId="77777777" w:rsidR="006014DB" w:rsidRDefault="006014DB" w:rsidP="006014DB"/>
    <w:p w14:paraId="3DD45107" w14:textId="77777777" w:rsidR="000A140E" w:rsidRDefault="000A140E" w:rsidP="000A140E">
      <w:r>
        <w:t xml:space="preserve">The mission of the Agency for Healthcare Research and Quality (AHRQ) set out in its authorizing legislation, </w:t>
      </w:r>
      <w:r w:rsidR="00575ADB">
        <w:t>t</w:t>
      </w:r>
      <w:r>
        <w:t xml:space="preserve">he Healthcare Research and Quality Act of 1999 (see </w:t>
      </w:r>
      <w:r w:rsidR="008573ED" w:rsidRPr="008573ED">
        <w:t>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15354E24" w14:textId="77777777" w:rsidR="00606400" w:rsidRDefault="00606400" w:rsidP="00606400">
      <w:pPr>
        <w:tabs>
          <w:tab w:val="left" w:pos="360"/>
        </w:tabs>
      </w:pPr>
    </w:p>
    <w:p w14:paraId="39037154" w14:textId="77777777" w:rsidR="00606400" w:rsidRDefault="00D80F0B" w:rsidP="00872D9E">
      <w:pPr>
        <w:numPr>
          <w:ilvl w:val="0"/>
          <w:numId w:val="5"/>
        </w:numPr>
        <w:tabs>
          <w:tab w:val="left" w:pos="360"/>
        </w:tabs>
      </w:pPr>
      <w:r>
        <w:t>R</w:t>
      </w:r>
      <w:r w:rsidR="00606400">
        <w:t>esearch that develops and presents scientific evidence regardi</w:t>
      </w:r>
      <w:r w:rsidR="003F75B2">
        <w:t xml:space="preserve">ng all aspects of </w:t>
      </w:r>
      <w:r w:rsidR="00AA1DDC">
        <w:t>health care</w:t>
      </w:r>
      <w:r w:rsidR="00325B9C">
        <w:t>;</w:t>
      </w:r>
      <w:r w:rsidR="00B645ED">
        <w:t xml:space="preserve"> </w:t>
      </w:r>
    </w:p>
    <w:p w14:paraId="541F6A79" w14:textId="77777777" w:rsidR="00325B9C" w:rsidRDefault="00325B9C" w:rsidP="00606400">
      <w:pPr>
        <w:tabs>
          <w:tab w:val="left" w:pos="360"/>
        </w:tabs>
        <w:ind w:left="360"/>
      </w:pPr>
    </w:p>
    <w:p w14:paraId="54447E52" w14:textId="77777777" w:rsidR="00325B9C" w:rsidRDefault="00D80F0B" w:rsidP="00872D9E">
      <w:pPr>
        <w:numPr>
          <w:ilvl w:val="0"/>
          <w:numId w:val="5"/>
        </w:numPr>
        <w:tabs>
          <w:tab w:val="left" w:pos="360"/>
        </w:tabs>
      </w:pPr>
      <w:r>
        <w:t>T</w:t>
      </w:r>
      <w:r w:rsidR="00B645ED">
        <w:t xml:space="preserve">he synthesis and dissemination of available </w:t>
      </w:r>
      <w:r w:rsidR="003F75B2">
        <w:t xml:space="preserve">scientific evidence for use by </w:t>
      </w:r>
      <w:r w:rsidR="00B645ED">
        <w:t xml:space="preserve">patients, consumers, practitioners, providers, </w:t>
      </w:r>
      <w:r w:rsidR="003F75B2">
        <w:t xml:space="preserve">purchasers, policymakers, and </w:t>
      </w:r>
      <w:r w:rsidR="00B645ED">
        <w:t>educators; and</w:t>
      </w:r>
    </w:p>
    <w:p w14:paraId="62AEEBE0" w14:textId="77777777" w:rsidR="00B645ED" w:rsidRDefault="00B645ED" w:rsidP="00606400">
      <w:pPr>
        <w:tabs>
          <w:tab w:val="left" w:pos="360"/>
        </w:tabs>
        <w:ind w:left="360"/>
      </w:pPr>
    </w:p>
    <w:p w14:paraId="6B9BD347" w14:textId="77777777" w:rsidR="00B645ED" w:rsidRDefault="00D80F0B" w:rsidP="00872D9E">
      <w:pPr>
        <w:numPr>
          <w:ilvl w:val="0"/>
          <w:numId w:val="5"/>
        </w:numPr>
        <w:tabs>
          <w:tab w:val="left" w:pos="360"/>
        </w:tabs>
      </w:pPr>
      <w:r>
        <w:t>I</w:t>
      </w:r>
      <w:r w:rsidR="00B645ED">
        <w:t>nitiatives to advance private and public efforts to improve health care quality.</w:t>
      </w:r>
    </w:p>
    <w:p w14:paraId="54054201" w14:textId="77777777" w:rsidR="00B645ED" w:rsidRDefault="00B645ED" w:rsidP="00B645ED">
      <w:pPr>
        <w:tabs>
          <w:tab w:val="left" w:pos="360"/>
        </w:tabs>
      </w:pPr>
    </w:p>
    <w:p w14:paraId="68C1F9E7"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elderly</w:t>
      </w:r>
      <w:r w:rsidR="009B7F90">
        <w:t xml:space="preserve"> people</w:t>
      </w:r>
      <w:r>
        <w:t>, and (6) individuals with special health care needs, including individuals with disabilities and individuals who need chronic care or end-of-life health care.</w:t>
      </w:r>
    </w:p>
    <w:p w14:paraId="749CEF14" w14:textId="77777777" w:rsidR="008450C0" w:rsidRDefault="008450C0" w:rsidP="00B645ED">
      <w:pPr>
        <w:tabs>
          <w:tab w:val="left" w:pos="360"/>
        </w:tabs>
      </w:pPr>
    </w:p>
    <w:p w14:paraId="438CBC24" w14:textId="77777777" w:rsidR="007F4F49" w:rsidRPr="007F4F49" w:rsidRDefault="00DC75D6" w:rsidP="007F4F49">
      <w:r w:rsidRPr="00DC75D6">
        <w:t>As</w:t>
      </w:r>
      <w:r w:rsidRPr="003F75B2">
        <w:t xml:space="preserve"> </w:t>
      </w:r>
      <w:r w:rsidRPr="00DC75D6">
        <w:t>part</w:t>
      </w:r>
      <w:r w:rsidRPr="003F75B2">
        <w:t xml:space="preserve"> </w:t>
      </w:r>
      <w:r w:rsidRPr="00DC75D6">
        <w:t>of</w:t>
      </w:r>
      <w:r w:rsidRPr="003F75B2">
        <w:t xml:space="preserve"> </w:t>
      </w:r>
      <w:r w:rsidR="00310A52">
        <w:t>its</w:t>
      </w:r>
      <w:r w:rsidR="00310A52" w:rsidRPr="003F75B2">
        <w:t xml:space="preserve"> </w:t>
      </w:r>
      <w:r w:rsidRPr="00DC75D6">
        <w:t>effort</w:t>
      </w:r>
      <w:r w:rsidRPr="003F75B2">
        <w:t xml:space="preserve"> </w:t>
      </w:r>
      <w:r w:rsidRPr="00DC75D6">
        <w:t>to</w:t>
      </w:r>
      <w:r w:rsidRPr="003F75B2">
        <w:t xml:space="preserve"> fulfill </w:t>
      </w:r>
      <w:r w:rsidR="00310A52">
        <w:t>its</w:t>
      </w:r>
      <w:r w:rsidR="00310A52" w:rsidRPr="003F75B2">
        <w:t xml:space="preserve"> </w:t>
      </w:r>
      <w:r w:rsidRPr="003F75B2">
        <w:t xml:space="preserve">mission </w:t>
      </w:r>
      <w:r w:rsidRPr="00DC75D6">
        <w:t>goals, AHRQ,</w:t>
      </w:r>
      <w:r w:rsidRPr="003F75B2">
        <w:t xml:space="preserve"> </w:t>
      </w:r>
      <w:r w:rsidRPr="00DC75D6">
        <w:t>in</w:t>
      </w:r>
      <w:r w:rsidRPr="003F75B2">
        <w:t xml:space="preserve"> collaboration with </w:t>
      </w:r>
      <w:r w:rsidRPr="00DC75D6">
        <w:t>the</w:t>
      </w:r>
      <w:r w:rsidRPr="003F75B2">
        <w:t xml:space="preserve"> </w:t>
      </w:r>
      <w:r w:rsidR="00B521BB">
        <w:t xml:space="preserve">U.S. </w:t>
      </w:r>
      <w:r w:rsidRPr="003F75B2">
        <w:t xml:space="preserve">Department </w:t>
      </w:r>
      <w:r w:rsidRPr="00DC75D6">
        <w:t>of</w:t>
      </w:r>
      <w:r w:rsidRPr="003F75B2">
        <w:t xml:space="preserve"> Defense’s </w:t>
      </w:r>
      <w:r w:rsidR="00826F55">
        <w:t>TRICARE</w:t>
      </w:r>
      <w:r w:rsidRPr="003F75B2">
        <w:t xml:space="preserve"> Management Activity, developed TeamSTEPPS</w:t>
      </w:r>
      <w:r w:rsidRPr="003F75B2">
        <w:rPr>
          <w:vertAlign w:val="superscript"/>
        </w:rPr>
        <w:t xml:space="preserve">® </w:t>
      </w:r>
      <w:r w:rsidRPr="00DC75D6">
        <w:t>(aka</w:t>
      </w:r>
      <w:r w:rsidR="00104DBD">
        <w:t>,</w:t>
      </w:r>
      <w:r w:rsidRPr="003F75B2">
        <w:t xml:space="preserve"> Team Strategies </w:t>
      </w:r>
      <w:r w:rsidRPr="00DC75D6">
        <w:t>and Tools for</w:t>
      </w:r>
      <w:r w:rsidRPr="003F75B2">
        <w:t xml:space="preserve"> Enhancing Performance </w:t>
      </w:r>
      <w:r w:rsidRPr="00DC75D6">
        <w:t xml:space="preserve">and </w:t>
      </w:r>
      <w:r w:rsidRPr="003F75B2">
        <w:t xml:space="preserve">Patient </w:t>
      </w:r>
      <w:r w:rsidRPr="00DC75D6">
        <w:t xml:space="preserve">Safety) </w:t>
      </w:r>
      <w:r w:rsidRPr="003F75B2">
        <w:t xml:space="preserve">to provide </w:t>
      </w:r>
      <w:r w:rsidRPr="00DC75D6">
        <w:t>an</w:t>
      </w:r>
      <w:r w:rsidRPr="003F75B2">
        <w:t xml:space="preserve"> evidence-based suite </w:t>
      </w:r>
      <w:r w:rsidRPr="00DC75D6">
        <w:t>of</w:t>
      </w:r>
      <w:r w:rsidRPr="003F75B2">
        <w:t xml:space="preserve"> tools </w:t>
      </w:r>
      <w:r w:rsidRPr="00DC75D6">
        <w:t xml:space="preserve">and </w:t>
      </w:r>
      <w:r w:rsidRPr="003F75B2">
        <w:t xml:space="preserve">strategies </w:t>
      </w:r>
      <w:r w:rsidRPr="00DC75D6">
        <w:t>for</w:t>
      </w:r>
      <w:r w:rsidRPr="003F75B2">
        <w:t xml:space="preserve"> training teamwork-based </w:t>
      </w:r>
      <w:r w:rsidR="007F4F49" w:rsidRPr="007F4F49">
        <w:t xml:space="preserve">patient safety to health care professionals. TeamSTEPPS includes multiple toolkits, which are all tied to or are variants of the core curriculum. TeamSTEPPS resources have been developed for primary care, rapid response systems, long-term care, and patients with limited English proficiency. </w:t>
      </w:r>
    </w:p>
    <w:p w14:paraId="091A7DE2" w14:textId="77777777" w:rsidR="007F4F49" w:rsidRPr="007F4F49" w:rsidRDefault="007F4F49" w:rsidP="007F4F49"/>
    <w:p w14:paraId="585C018B" w14:textId="4F80A405" w:rsidR="007F4F49" w:rsidRPr="007F4F49" w:rsidRDefault="007F4F49" w:rsidP="007F4F49">
      <w:r w:rsidRPr="007F4F49">
        <w:t xml:space="preserve">The main objective of the TeamSTEPPS program is to improve patient safety by training health care staff in various teamwork, communication, and patient safety concepts, tools, and techniques and ultimately helping to build national capacity for supporting teamwork-based patient safety efforts in health care organizations. Since 2007, AHRQ’s National Implementation Program has produced (and continues to produce) Master Trainers who have stimulated the use and adoption of TeamSTEPPS in health care delivery systems. These individuals were trained during two-day, in-person classes using the TeamSTEPPS core curriculum at regional training centers across the U.S. AHRQ has also provided technical assistance and consultation on implementing TeamSTEPPS and has developed various channels of learning (e.g., user networks, various educational venues) for continued support and the improvement of teamwork in health care. Since the inception of the National Implementation Program, AHRQ has </w:t>
      </w:r>
      <w:r w:rsidRPr="008D443B">
        <w:t xml:space="preserve">trained more than </w:t>
      </w:r>
      <w:r w:rsidR="00AC2A7F" w:rsidRPr="008D443B">
        <w:t>6</w:t>
      </w:r>
      <w:r w:rsidRPr="008D443B">
        <w:t>,000</w:t>
      </w:r>
      <w:r w:rsidRPr="007F4F49">
        <w:t xml:space="preserve"> participants to serve as TeamSTEPPS Master Trainers.</w:t>
      </w:r>
    </w:p>
    <w:p w14:paraId="5CB42569" w14:textId="77777777" w:rsidR="007F4F49" w:rsidRPr="007F4F49" w:rsidRDefault="007F4F49" w:rsidP="007F4F49"/>
    <w:p w14:paraId="060C06EA" w14:textId="21C10941" w:rsidR="002B0A17" w:rsidRPr="003F75B2" w:rsidRDefault="007F4F49" w:rsidP="007F4F49">
      <w:r w:rsidRPr="007F4F49">
        <w:t>Despite the success of the National Implementation Program and the availability of training through this initiative, AHRQ ha</w:t>
      </w:r>
      <w:r w:rsidR="001E6E92">
        <w:t>d</w:t>
      </w:r>
      <w:r w:rsidRPr="007F4F49">
        <w:t xml:space="preserve"> been unable to match the demand for </w:t>
      </w:r>
      <w:r w:rsidR="002B0A17" w:rsidRPr="003F75B2">
        <w:t xml:space="preserve">TeamSTEPPS Master </w:t>
      </w:r>
      <w:r w:rsidR="00325C2C">
        <w:t>T</w:t>
      </w:r>
      <w:r w:rsidR="002B0A17" w:rsidRPr="003F75B2">
        <w:t xml:space="preserve">raining. Wait lists for training </w:t>
      </w:r>
      <w:r w:rsidR="001E6E92">
        <w:t xml:space="preserve">at times </w:t>
      </w:r>
      <w:r w:rsidR="002B0A17" w:rsidRPr="003F75B2">
        <w:t>exceed</w:t>
      </w:r>
      <w:r w:rsidR="001E6E92">
        <w:t>ed</w:t>
      </w:r>
      <w:r w:rsidR="002B0A17" w:rsidRPr="003F75B2">
        <w:t xml:space="preserve"> 500 individuals. </w:t>
      </w:r>
    </w:p>
    <w:p w14:paraId="1671E35A" w14:textId="77777777" w:rsidR="002B0A17" w:rsidRPr="003F75B2" w:rsidRDefault="002B0A17" w:rsidP="003A61F3"/>
    <w:p w14:paraId="2A2BAAD8" w14:textId="50BBFD46" w:rsidR="00DC75D6" w:rsidRPr="009816C4" w:rsidRDefault="002B0A17" w:rsidP="003A61F3">
      <w:r w:rsidRPr="003F75B2">
        <w:t xml:space="preserve">To address this prevailing need, AHRQ </w:t>
      </w:r>
      <w:r w:rsidR="00DC75D6" w:rsidRPr="003F75B2">
        <w:t xml:space="preserve">launched an effort to </w:t>
      </w:r>
      <w:r w:rsidR="008A4A99" w:rsidRPr="003F75B2">
        <w:t xml:space="preserve">develop and </w:t>
      </w:r>
      <w:r w:rsidR="00DC75D6" w:rsidRPr="003F75B2">
        <w:t xml:space="preserve">provide TeamSTEPPS training </w:t>
      </w:r>
      <w:r w:rsidRPr="003F75B2">
        <w:t>online</w:t>
      </w:r>
      <w:r w:rsidR="00DC75D6" w:rsidRPr="003F75B2">
        <w:t>.</w:t>
      </w:r>
      <w:r w:rsidRPr="003F75B2">
        <w:t xml:space="preserve"> </w:t>
      </w:r>
      <w:r w:rsidR="001D4B1F" w:rsidRPr="003F75B2">
        <w:t xml:space="preserve">This program, known as TeamSTEPPS 2.0 Online Master </w:t>
      </w:r>
      <w:r w:rsidR="006D3640" w:rsidRPr="003F75B2">
        <w:t>Train</w:t>
      </w:r>
      <w:r w:rsidR="006D3640">
        <w:t>er course</w:t>
      </w:r>
      <w:r w:rsidR="001D4B1F" w:rsidRPr="003F75B2">
        <w:t xml:space="preserve">, </w:t>
      </w:r>
      <w:r w:rsidRPr="003F75B2">
        <w:t>mirror</w:t>
      </w:r>
      <w:r w:rsidR="001E6E92">
        <w:t>s</w:t>
      </w:r>
      <w:r w:rsidRPr="003F75B2">
        <w:t xml:space="preserve"> the TeamSTEPPS </w:t>
      </w:r>
      <w:r w:rsidR="001D4B1F" w:rsidRPr="003F75B2">
        <w:t xml:space="preserve">2.0 </w:t>
      </w:r>
      <w:r w:rsidRPr="003F75B2">
        <w:t>core curriculum and provide</w:t>
      </w:r>
      <w:r w:rsidR="001E6E92">
        <w:t>s</w:t>
      </w:r>
      <w:r w:rsidRPr="003F75B2">
        <w:t xml:space="preserve"> equivalent training to the in-person classes offered through the National Implementation Program</w:t>
      </w:r>
      <w:r w:rsidR="008A4A99" w:rsidRPr="003F75B2">
        <w:t xml:space="preserve">. </w:t>
      </w:r>
    </w:p>
    <w:p w14:paraId="6845EE51" w14:textId="77777777" w:rsidR="006014DB" w:rsidRDefault="006014DB" w:rsidP="006014DB"/>
    <w:p w14:paraId="5DD48F10" w14:textId="56F0565F" w:rsidR="00EB5943" w:rsidRDefault="00DC75D6" w:rsidP="000F3D6D">
      <w:r>
        <w:t>As part of this init</w:t>
      </w:r>
      <w:r w:rsidR="00373D3C">
        <w:t xml:space="preserve">iative, AHRQ seeks to </w:t>
      </w:r>
      <w:r w:rsidR="001E6E92">
        <w:t xml:space="preserve">continue to </w:t>
      </w:r>
      <w:r w:rsidR="00373D3C">
        <w:t xml:space="preserve">conduct an </w:t>
      </w:r>
      <w:r>
        <w:t xml:space="preserve">evaluation of the </w:t>
      </w:r>
      <w:r w:rsidR="00ED6003" w:rsidRPr="001D4B1F">
        <w:t>T</w:t>
      </w:r>
      <w:r w:rsidRPr="001D4B1F">
        <w:t xml:space="preserve">eamSTEPPS </w:t>
      </w:r>
      <w:r w:rsidR="001D4B1F" w:rsidRPr="001D4B1F">
        <w:t xml:space="preserve">2.0 </w:t>
      </w:r>
      <w:r w:rsidR="008A4A99" w:rsidRPr="001D4B1F">
        <w:t xml:space="preserve">Online </w:t>
      </w:r>
      <w:r w:rsidR="001D4B1F" w:rsidRPr="001D4B1F">
        <w:t xml:space="preserve">Master </w:t>
      </w:r>
      <w:r w:rsidR="000915DB" w:rsidRPr="001D4B1F">
        <w:t>Train</w:t>
      </w:r>
      <w:r w:rsidR="000915DB">
        <w:t>er</w:t>
      </w:r>
      <w:r w:rsidR="000915DB" w:rsidRPr="003F75B2">
        <w:t xml:space="preserve"> </w:t>
      </w:r>
      <w:r w:rsidR="00373D3C">
        <w:t>program</w:t>
      </w:r>
      <w:r>
        <w:t xml:space="preserve">. </w:t>
      </w:r>
      <w:r w:rsidR="00527BBD">
        <w:t xml:space="preserve">This </w:t>
      </w:r>
      <w:r>
        <w:t xml:space="preserve">evaluation </w:t>
      </w:r>
      <w:r w:rsidR="000F3D6D">
        <w:t>seeks t</w:t>
      </w:r>
      <w:r w:rsidR="00EB5943">
        <w:t xml:space="preserve">o understand </w:t>
      </w:r>
      <w:r w:rsidR="001D4B1F">
        <w:t xml:space="preserve">the </w:t>
      </w:r>
      <w:r w:rsidR="008A4A99">
        <w:t>effective</w:t>
      </w:r>
      <w:r w:rsidR="001D4B1F">
        <w:t>ness of</w:t>
      </w:r>
      <w:r w:rsidR="008A4A99">
        <w:t xml:space="preserve"> </w:t>
      </w:r>
      <w:r w:rsidR="00EB5943">
        <w:t>TeamSTEPPS</w:t>
      </w:r>
      <w:r w:rsidR="008A4A99">
        <w:t xml:space="preserve"> </w:t>
      </w:r>
      <w:r w:rsidR="001D4B1F">
        <w:t xml:space="preserve">2.0 </w:t>
      </w:r>
      <w:r w:rsidR="008A4A99">
        <w:t xml:space="preserve">Online </w:t>
      </w:r>
      <w:r w:rsidR="001D4B1F">
        <w:t>Master T</w:t>
      </w:r>
      <w:r w:rsidR="008A4A99">
        <w:t>raining and what revisions might be required to improve the training program</w:t>
      </w:r>
      <w:r w:rsidR="000F3D6D">
        <w:t>.</w:t>
      </w:r>
    </w:p>
    <w:p w14:paraId="3E813965" w14:textId="77777777" w:rsidR="00EB5943" w:rsidRDefault="00EB5943" w:rsidP="003F75B2"/>
    <w:p w14:paraId="7E83B6B2" w14:textId="77777777" w:rsidR="00AD59DB" w:rsidRDefault="00AD59DB" w:rsidP="00AD59DB">
      <w:r>
        <w:t>This research has the following goals:</w:t>
      </w:r>
    </w:p>
    <w:p w14:paraId="1E04D728" w14:textId="77777777" w:rsidR="00AD59DB" w:rsidRDefault="00AD59DB" w:rsidP="00AD59DB"/>
    <w:p w14:paraId="3ABEE330" w14:textId="77777777" w:rsidR="00AD59DB" w:rsidRDefault="00AD59DB" w:rsidP="00AD59DB">
      <w:pPr>
        <w:tabs>
          <w:tab w:val="left" w:pos="360"/>
        </w:tabs>
        <w:ind w:left="360" w:hanging="360"/>
      </w:pPr>
      <w:r>
        <w:t>1)</w:t>
      </w:r>
      <w:r>
        <w:tab/>
        <w:t>Conduct a formative assessment of the TeamSTEPPS 2.0 Online Master Trainer program to determine what improvements should be made to the training and how it is delivered, and</w:t>
      </w:r>
    </w:p>
    <w:p w14:paraId="481E711E" w14:textId="77777777" w:rsidR="00AD59DB" w:rsidRDefault="00AD59DB" w:rsidP="00AD59DB">
      <w:pPr>
        <w:tabs>
          <w:tab w:val="left" w:pos="360"/>
        </w:tabs>
        <w:ind w:left="360" w:hanging="360"/>
      </w:pPr>
      <w:r>
        <w:t>2)</w:t>
      </w:r>
      <w:r>
        <w:tab/>
        <w:t>Identify how trained participants use and implement the TeamSTEPPS tools and resources.</w:t>
      </w:r>
    </w:p>
    <w:p w14:paraId="52E66D14" w14:textId="77777777" w:rsidR="00AD59DB" w:rsidRDefault="00AD59DB" w:rsidP="00AD59DB">
      <w:pPr>
        <w:tabs>
          <w:tab w:val="left" w:pos="360"/>
        </w:tabs>
        <w:ind w:left="360"/>
      </w:pPr>
    </w:p>
    <w:p w14:paraId="6CF388A8" w14:textId="77777777" w:rsidR="00527BBD" w:rsidRDefault="00527BBD" w:rsidP="006014DB">
      <w:r>
        <w:t>To achieve this project</w:t>
      </w:r>
      <w:r w:rsidR="00556F5B">
        <w:t>’s goals</w:t>
      </w:r>
      <w:r w:rsidR="001D4B1F">
        <w:t>,</w:t>
      </w:r>
      <w:r>
        <w:t xml:space="preserve"> </w:t>
      </w:r>
      <w:r w:rsidR="008A4A99">
        <w:t xml:space="preserve">AHRQ </w:t>
      </w:r>
      <w:r w:rsidR="000F3D6D">
        <w:t xml:space="preserve">will train </w:t>
      </w:r>
      <w:r w:rsidR="008A4A99">
        <w:t xml:space="preserve">participants using </w:t>
      </w:r>
      <w:r w:rsidR="001D4B1F">
        <w:t xml:space="preserve">the </w:t>
      </w:r>
      <w:r w:rsidR="00373D3C">
        <w:t xml:space="preserve">TeamSTEPPS </w:t>
      </w:r>
      <w:r w:rsidR="001D4B1F">
        <w:t xml:space="preserve">2.0 </w:t>
      </w:r>
      <w:r w:rsidR="008A4A99">
        <w:t xml:space="preserve">Online </w:t>
      </w:r>
      <w:r w:rsidR="001D4B1F">
        <w:t xml:space="preserve">Master </w:t>
      </w:r>
      <w:r w:rsidR="000915DB">
        <w:t xml:space="preserve">Trainer </w:t>
      </w:r>
      <w:r w:rsidR="001D4B1F">
        <w:t>p</w:t>
      </w:r>
      <w:r w:rsidR="008A4A99">
        <w:t xml:space="preserve">rogram </w:t>
      </w:r>
      <w:r w:rsidR="000F3D6D">
        <w:t xml:space="preserve">and then survey </w:t>
      </w:r>
      <w:r w:rsidR="008A4A99">
        <w:t xml:space="preserve">these participants </w:t>
      </w:r>
      <w:r w:rsidR="00E24D88">
        <w:t>six</w:t>
      </w:r>
      <w:r w:rsidR="000F3D6D">
        <w:t xml:space="preserve"> months post</w:t>
      </w:r>
      <w:r w:rsidR="00E24D88">
        <w:t>-</w:t>
      </w:r>
      <w:r w:rsidR="000F3D6D">
        <w:t>training. Each activity is briefly described below.</w:t>
      </w:r>
    </w:p>
    <w:p w14:paraId="55CE808D" w14:textId="77777777" w:rsidR="00F041E2" w:rsidRDefault="00F041E2" w:rsidP="003F75B2"/>
    <w:p w14:paraId="6E26943C" w14:textId="77777777" w:rsidR="00291C0C" w:rsidRPr="003F75B2" w:rsidRDefault="00F041E2" w:rsidP="00872D9E">
      <w:pPr>
        <w:numPr>
          <w:ilvl w:val="0"/>
          <w:numId w:val="4"/>
        </w:numPr>
      </w:pPr>
      <w:r w:rsidRPr="003F75B2">
        <w:rPr>
          <w:i/>
        </w:rPr>
        <w:t xml:space="preserve">TeamSTEPPS </w:t>
      </w:r>
      <w:r w:rsidR="001D4B1F" w:rsidRPr="003F75B2">
        <w:rPr>
          <w:i/>
        </w:rPr>
        <w:t xml:space="preserve">2.0 </w:t>
      </w:r>
      <w:r w:rsidR="008A4A99" w:rsidRPr="003F75B2">
        <w:rPr>
          <w:i/>
        </w:rPr>
        <w:t>Online</w:t>
      </w:r>
      <w:r w:rsidRPr="003F75B2">
        <w:rPr>
          <w:i/>
        </w:rPr>
        <w:t xml:space="preserve"> </w:t>
      </w:r>
      <w:r w:rsidR="001D4B1F" w:rsidRPr="003F75B2">
        <w:rPr>
          <w:i/>
        </w:rPr>
        <w:t xml:space="preserve">Master </w:t>
      </w:r>
      <w:r w:rsidR="000915DB" w:rsidRPr="003F75B2">
        <w:rPr>
          <w:i/>
        </w:rPr>
        <w:t>Train</w:t>
      </w:r>
      <w:r w:rsidR="000915DB">
        <w:rPr>
          <w:i/>
        </w:rPr>
        <w:t>er</w:t>
      </w:r>
      <w:r w:rsidR="001F3785">
        <w:rPr>
          <w:i/>
        </w:rPr>
        <w:t xml:space="preserve"> Course</w:t>
      </w:r>
      <w:r>
        <w:t xml:space="preserve">. </w:t>
      </w:r>
      <w:r w:rsidR="00ED6003">
        <w:t xml:space="preserve">This training </w:t>
      </w:r>
      <w:r w:rsidR="003A61F3">
        <w:t>program</w:t>
      </w:r>
      <w:r w:rsidR="001D4B1F">
        <w:t xml:space="preserve">, </w:t>
      </w:r>
      <w:r w:rsidR="008540BE">
        <w:t xml:space="preserve">which includes 13 accredited hours of training, is </w:t>
      </w:r>
      <w:r w:rsidR="001D4B1F">
        <w:t>based on the TeamSTE</w:t>
      </w:r>
      <w:r w:rsidR="008540BE">
        <w:t xml:space="preserve">PPS 2.0 instructional materials and </w:t>
      </w:r>
      <w:r w:rsidR="003A61F3">
        <w:t xml:space="preserve">will be delivered </w:t>
      </w:r>
      <w:r w:rsidR="001D4B1F">
        <w:t xml:space="preserve">online </w:t>
      </w:r>
      <w:r w:rsidR="003A61F3">
        <w:t xml:space="preserve">to </w:t>
      </w:r>
      <w:r w:rsidR="00DD3016" w:rsidRPr="00AC2A7F">
        <w:t>3,000</w:t>
      </w:r>
      <w:r w:rsidR="00DD3016">
        <w:t xml:space="preserve"> </w:t>
      </w:r>
      <w:r w:rsidR="008A4A99">
        <w:t>participants</w:t>
      </w:r>
      <w:r w:rsidR="00ED6003">
        <w:t xml:space="preserve">. </w:t>
      </w:r>
      <w:r w:rsidR="001D4B1F">
        <w:t xml:space="preserve">The </w:t>
      </w:r>
      <w:r w:rsidR="00373D3C">
        <w:t>training will cover</w:t>
      </w:r>
      <w:r w:rsidR="00ED6003">
        <w:t xml:space="preserve"> the core TeamSTEPPS tools and strategies</w:t>
      </w:r>
      <w:r w:rsidR="008A4A99">
        <w:t>,</w:t>
      </w:r>
      <w:r w:rsidR="00ED6003">
        <w:t xml:space="preserve"> coaching, organizational change, and implementation science. </w:t>
      </w:r>
    </w:p>
    <w:p w14:paraId="5911BB08" w14:textId="77777777" w:rsidR="00291C0C" w:rsidRPr="003F75B2" w:rsidRDefault="00291C0C" w:rsidP="003F75B2"/>
    <w:p w14:paraId="1840F7DA" w14:textId="7FFBD9A6" w:rsidR="00527BBD" w:rsidRDefault="00ED6003" w:rsidP="001E6E92">
      <w:pPr>
        <w:numPr>
          <w:ilvl w:val="0"/>
          <w:numId w:val="4"/>
        </w:numPr>
      </w:pPr>
      <w:r w:rsidRPr="003F75B2">
        <w:rPr>
          <w:i/>
        </w:rPr>
        <w:t xml:space="preserve">TeamSTEPPS </w:t>
      </w:r>
      <w:r w:rsidR="001D4B1F" w:rsidRPr="003F75B2">
        <w:rPr>
          <w:i/>
        </w:rPr>
        <w:t xml:space="preserve">2.0 Online </w:t>
      </w:r>
      <w:r w:rsidR="00373D3C" w:rsidRPr="003F75B2">
        <w:rPr>
          <w:i/>
        </w:rPr>
        <w:t xml:space="preserve">Post-Training </w:t>
      </w:r>
      <w:r w:rsidRPr="003F75B2">
        <w:rPr>
          <w:i/>
        </w:rPr>
        <w:t>Survey</w:t>
      </w:r>
      <w:r>
        <w:t xml:space="preserve">. This online instrument </w:t>
      </w:r>
      <w:r w:rsidR="00440235">
        <w:t xml:space="preserve">will be administered to </w:t>
      </w:r>
      <w:r w:rsidR="000F3D6D">
        <w:t xml:space="preserve">all </w:t>
      </w:r>
      <w:r w:rsidR="008A4A99">
        <w:t>participants</w:t>
      </w:r>
      <w:r w:rsidR="001E6E92">
        <w:t xml:space="preserve"> who complete the</w:t>
      </w:r>
      <w:r w:rsidR="000F3D6D">
        <w:t xml:space="preserve"> TeamSTEPPS </w:t>
      </w:r>
      <w:r w:rsidR="001D4B1F">
        <w:t xml:space="preserve">2.0 </w:t>
      </w:r>
      <w:r w:rsidR="008A4A99">
        <w:t xml:space="preserve">Online </w:t>
      </w:r>
      <w:r w:rsidR="001D4B1F">
        <w:t xml:space="preserve">Master </w:t>
      </w:r>
      <w:r w:rsidR="000F3D6D">
        <w:t>Training</w:t>
      </w:r>
      <w:r w:rsidR="00440235">
        <w:t>. The survey will be administered</w:t>
      </w:r>
      <w:r w:rsidR="00527BBD">
        <w:t xml:space="preserve"> </w:t>
      </w:r>
      <w:r w:rsidR="00C572DB">
        <w:t>six</w:t>
      </w:r>
      <w:r w:rsidRPr="00DD3016">
        <w:t xml:space="preserve"> months</w:t>
      </w:r>
      <w:r>
        <w:t xml:space="preserve"> after </w:t>
      </w:r>
      <w:r w:rsidR="00373D3C">
        <w:t xml:space="preserve">participants complete </w:t>
      </w:r>
      <w:r w:rsidR="00E36859">
        <w:t xml:space="preserve">the </w:t>
      </w:r>
      <w:r>
        <w:t>train</w:t>
      </w:r>
      <w:r w:rsidR="000F3D6D">
        <w:t>ing</w:t>
      </w:r>
      <w:r w:rsidR="001E6E92">
        <w:t xml:space="preserve"> program. (see Attachment A – </w:t>
      </w:r>
      <w:r w:rsidR="008D6FC6" w:rsidRPr="00935332">
        <w:t xml:space="preserve">TeamSTEPPS </w:t>
      </w:r>
      <w:r w:rsidR="008D6FC6">
        <w:t>2.0 Online</w:t>
      </w:r>
      <w:r w:rsidR="008D6FC6" w:rsidRPr="00935332">
        <w:t xml:space="preserve"> Post-Training Survey</w:t>
      </w:r>
      <w:r w:rsidR="008D6FC6">
        <w:t>)</w:t>
      </w:r>
    </w:p>
    <w:p w14:paraId="0F7126C9" w14:textId="77777777" w:rsidR="00527BBD" w:rsidRDefault="00527BBD" w:rsidP="006014DB"/>
    <w:p w14:paraId="02E9B687" w14:textId="6EB17DC1" w:rsidR="00527BBD" w:rsidRPr="00527BBD" w:rsidRDefault="001E6E92" w:rsidP="006014DB">
      <w:r>
        <w:t xml:space="preserve">The TeamSTEPPS 2.0 Online Master Trainer program is led by Reingold, Inc. (Reingold). This study is being conducted by Reingold’s subcontractor, IMPAQ International (IMPAQ). </w:t>
      </w:r>
      <w:r w:rsidR="00527BBD" w:rsidRPr="00527BBD">
        <w:t>This study is being conducted pursuant to AHRQ’s statutory authority to conduct and support research on health</w:t>
      </w:r>
      <w:r w:rsidR="00766704">
        <w:t xml:space="preserve"> </w:t>
      </w:r>
      <w:r w:rsidR="00527BBD" w:rsidRPr="00527BBD">
        <w:t>care and on systems for the delivery of such care, including activities with respect to the quality, effectiveness, efficiency, appropriateness</w:t>
      </w:r>
      <w:r w:rsidR="00766704">
        <w:t>,</w:t>
      </w:r>
      <w:r w:rsidR="00527BBD" w:rsidRPr="00527BBD">
        <w:t xml:space="preserve"> and value of health</w:t>
      </w:r>
      <w:r w:rsidR="00766704">
        <w:t xml:space="preserve"> </w:t>
      </w:r>
      <w:r w:rsidR="00527BBD" w:rsidRPr="00527BBD">
        <w:t>care services and with respect to quality measurement and improvement</w:t>
      </w:r>
      <w:r w:rsidR="00766704">
        <w:t>,</w:t>
      </w:r>
      <w:r w:rsidR="00527BBD" w:rsidRPr="00527BBD">
        <w:t xml:space="preserve"> 42 U.S.C. 299a(a)(1) and (2).</w:t>
      </w:r>
    </w:p>
    <w:p w14:paraId="5B0C13C9" w14:textId="77777777" w:rsidR="009B633D" w:rsidRPr="00FB2F59" w:rsidRDefault="009B633D" w:rsidP="00FB2F59">
      <w:pPr>
        <w:pStyle w:val="Heading2"/>
      </w:pPr>
      <w:bookmarkStart w:id="7" w:name="_Toc151782177"/>
      <w:bookmarkStart w:id="8" w:name="_Toc158526217"/>
      <w:bookmarkStart w:id="9" w:name="_Toc377626212"/>
      <w:r w:rsidRPr="00FB2F59">
        <w:t>2. Purpose and Use of Information</w:t>
      </w:r>
      <w:bookmarkEnd w:id="7"/>
      <w:bookmarkEnd w:id="8"/>
      <w:bookmarkEnd w:id="9"/>
    </w:p>
    <w:p w14:paraId="795FEF71" w14:textId="030EED47" w:rsidR="00DC01CB" w:rsidRDefault="00583D3A" w:rsidP="00E11FB1">
      <w:pPr>
        <w:rPr>
          <w:szCs w:val="22"/>
        </w:rPr>
      </w:pPr>
      <w:r w:rsidRPr="003A61F3">
        <w:t xml:space="preserve">This is a </w:t>
      </w:r>
      <w:r w:rsidR="001E6E92">
        <w:t xml:space="preserve">continuation of </w:t>
      </w:r>
      <w:r w:rsidRPr="003A61F3">
        <w:t>data collec</w:t>
      </w:r>
      <w:r w:rsidR="00205D6E">
        <w:t xml:space="preserve">tion for the purpose of conducting an evaluation of </w:t>
      </w:r>
      <w:r w:rsidR="001E6E92">
        <w:t xml:space="preserve">the </w:t>
      </w:r>
      <w:r w:rsidR="00205D6E">
        <w:t xml:space="preserve">TeamSTEPPS </w:t>
      </w:r>
      <w:r w:rsidR="001D4B1F">
        <w:t xml:space="preserve">2.0 </w:t>
      </w:r>
      <w:r w:rsidR="00FC6810">
        <w:t>Online</w:t>
      </w:r>
      <w:r w:rsidR="00205D6E">
        <w:t xml:space="preserve"> </w:t>
      </w:r>
      <w:r w:rsidR="001D4B1F">
        <w:t xml:space="preserve">Master </w:t>
      </w:r>
      <w:r w:rsidR="000915DB">
        <w:t>Trainer program</w:t>
      </w:r>
      <w:r w:rsidRPr="003A61F3">
        <w:t xml:space="preserve">. </w:t>
      </w:r>
      <w:bookmarkStart w:id="10" w:name="_Toc151782178"/>
      <w:bookmarkStart w:id="11" w:name="_Toc158526218"/>
      <w:r w:rsidR="00205D6E">
        <w:t>The evaluation will be primarily formative in nature</w:t>
      </w:r>
      <w:r w:rsidR="001C69A2">
        <w:t xml:space="preserve"> as</w:t>
      </w:r>
      <w:r w:rsidR="00205D6E">
        <w:t xml:space="preserve"> </w:t>
      </w:r>
      <w:r w:rsidR="005D545B">
        <w:t>AHRQ seeks</w:t>
      </w:r>
      <w:r w:rsidR="00205D6E">
        <w:t xml:space="preserve"> information to improve the delivery of the training. </w:t>
      </w:r>
    </w:p>
    <w:p w14:paraId="7071C8B2" w14:textId="77777777" w:rsidR="001C69A2" w:rsidRDefault="001C69A2" w:rsidP="00E11FB1">
      <w:pPr>
        <w:rPr>
          <w:szCs w:val="22"/>
        </w:rPr>
      </w:pPr>
    </w:p>
    <w:p w14:paraId="582D3E3D" w14:textId="65062F72" w:rsidR="00E11FB1" w:rsidRDefault="00205D6E" w:rsidP="00E11FB1">
      <w:r>
        <w:rPr>
          <w:szCs w:val="22"/>
        </w:rPr>
        <w:t>To conduct the evaluation</w:t>
      </w:r>
      <w:r w:rsidR="00CE1209">
        <w:rPr>
          <w:szCs w:val="22"/>
        </w:rPr>
        <w:t xml:space="preserve">, the </w:t>
      </w:r>
      <w:r w:rsidR="00CE1209" w:rsidRPr="001D4B1F">
        <w:rPr>
          <w:i/>
          <w:szCs w:val="22"/>
        </w:rPr>
        <w:t xml:space="preserve">TeamSTEPPS </w:t>
      </w:r>
      <w:r w:rsidR="001D4B1F" w:rsidRPr="001D4B1F">
        <w:rPr>
          <w:i/>
          <w:szCs w:val="22"/>
        </w:rPr>
        <w:t>2.0 Online</w:t>
      </w:r>
      <w:r w:rsidR="001D4B1F">
        <w:rPr>
          <w:szCs w:val="22"/>
        </w:rPr>
        <w:t xml:space="preserve"> </w:t>
      </w:r>
      <w:r w:rsidR="005402AF" w:rsidRPr="005402AF">
        <w:rPr>
          <w:i/>
          <w:szCs w:val="22"/>
        </w:rPr>
        <w:t>Post-Training</w:t>
      </w:r>
      <w:r w:rsidR="00CE1209" w:rsidRPr="005402AF">
        <w:rPr>
          <w:i/>
          <w:szCs w:val="22"/>
        </w:rPr>
        <w:t xml:space="preserve"> Survey</w:t>
      </w:r>
      <w:r w:rsidR="00CE1209">
        <w:rPr>
          <w:szCs w:val="22"/>
        </w:rPr>
        <w:t xml:space="preserve"> </w:t>
      </w:r>
      <w:r w:rsidR="003F75B2">
        <w:rPr>
          <w:szCs w:val="22"/>
        </w:rPr>
        <w:t xml:space="preserve">will be administered </w:t>
      </w:r>
      <w:r w:rsidR="00CE1209">
        <w:rPr>
          <w:szCs w:val="22"/>
        </w:rPr>
        <w:t xml:space="preserve">to all individuals who completed the TeamSTEPPS </w:t>
      </w:r>
      <w:r w:rsidR="001D4B1F">
        <w:rPr>
          <w:szCs w:val="22"/>
        </w:rPr>
        <w:t xml:space="preserve">2.0 </w:t>
      </w:r>
      <w:r w:rsidR="00FC6810">
        <w:rPr>
          <w:szCs w:val="22"/>
        </w:rPr>
        <w:t xml:space="preserve">Online </w:t>
      </w:r>
      <w:r w:rsidR="001D4B1F">
        <w:rPr>
          <w:szCs w:val="22"/>
        </w:rPr>
        <w:t xml:space="preserve">Master </w:t>
      </w:r>
      <w:r w:rsidR="000915DB">
        <w:rPr>
          <w:szCs w:val="22"/>
        </w:rPr>
        <w:t>Trainer program</w:t>
      </w:r>
      <w:r w:rsidR="001E6E92">
        <w:rPr>
          <w:szCs w:val="22"/>
        </w:rPr>
        <w:t>,</w:t>
      </w:r>
      <w:r w:rsidR="000915DB">
        <w:rPr>
          <w:szCs w:val="22"/>
        </w:rPr>
        <w:t xml:space="preserve"> </w:t>
      </w:r>
      <w:r>
        <w:rPr>
          <w:szCs w:val="22"/>
        </w:rPr>
        <w:t xml:space="preserve">six months after </w:t>
      </w:r>
      <w:r w:rsidR="001E6E92">
        <w:rPr>
          <w:szCs w:val="22"/>
        </w:rPr>
        <w:t xml:space="preserve">completing </w:t>
      </w:r>
      <w:r>
        <w:rPr>
          <w:szCs w:val="22"/>
        </w:rPr>
        <w:t>training</w:t>
      </w:r>
      <w:r w:rsidR="00CE1209">
        <w:rPr>
          <w:szCs w:val="22"/>
        </w:rPr>
        <w:t>. The purpose of the survey is to assess the degree to which participants felt prepare</w:t>
      </w:r>
      <w:r>
        <w:rPr>
          <w:szCs w:val="22"/>
        </w:rPr>
        <w:t>d</w:t>
      </w:r>
      <w:r w:rsidR="00CE1209">
        <w:rPr>
          <w:szCs w:val="22"/>
        </w:rPr>
        <w:t xml:space="preserve"> by the training and what they did to implement TeamSTEPPS. Specifically</w:t>
      </w:r>
      <w:r w:rsidR="001D4B1F">
        <w:rPr>
          <w:szCs w:val="22"/>
        </w:rPr>
        <w:t>,</w:t>
      </w:r>
      <w:r w:rsidR="00CE1209">
        <w:rPr>
          <w:szCs w:val="22"/>
        </w:rPr>
        <w:t xml:space="preserve"> participants </w:t>
      </w:r>
      <w:r w:rsidR="003F75B2">
        <w:rPr>
          <w:szCs w:val="22"/>
        </w:rPr>
        <w:t xml:space="preserve">will be asked </w:t>
      </w:r>
      <w:r w:rsidR="00CE1209">
        <w:rPr>
          <w:szCs w:val="22"/>
        </w:rPr>
        <w:t xml:space="preserve">about their reasons for participating in the </w:t>
      </w:r>
      <w:r w:rsidR="001D4B1F">
        <w:rPr>
          <w:szCs w:val="22"/>
        </w:rPr>
        <w:t>program</w:t>
      </w:r>
      <w:r w:rsidR="00870D9A">
        <w:rPr>
          <w:szCs w:val="22"/>
        </w:rPr>
        <w:t>;</w:t>
      </w:r>
      <w:r w:rsidR="00CE1209">
        <w:rPr>
          <w:szCs w:val="22"/>
        </w:rPr>
        <w:t xml:space="preserve"> the degree to which they feel the training prepared them to </w:t>
      </w:r>
      <w:r w:rsidR="00870D9A">
        <w:rPr>
          <w:szCs w:val="22"/>
        </w:rPr>
        <w:t>train other</w:t>
      </w:r>
      <w:r w:rsidR="00CE1362">
        <w:rPr>
          <w:szCs w:val="22"/>
        </w:rPr>
        <w:t>s</w:t>
      </w:r>
      <w:r w:rsidR="00870D9A">
        <w:rPr>
          <w:szCs w:val="22"/>
        </w:rPr>
        <w:t xml:space="preserve"> in and </w:t>
      </w:r>
      <w:r w:rsidR="00CE1209">
        <w:rPr>
          <w:szCs w:val="22"/>
        </w:rPr>
        <w:t>use TeamSTEPPS</w:t>
      </w:r>
      <w:r w:rsidR="00870D9A">
        <w:rPr>
          <w:szCs w:val="22"/>
        </w:rPr>
        <w:t>;</w:t>
      </w:r>
      <w:r w:rsidR="00CE1209">
        <w:rPr>
          <w:szCs w:val="22"/>
        </w:rPr>
        <w:t xml:space="preserve"> what tools they have implemented in</w:t>
      </w:r>
      <w:r w:rsidR="00FC6810">
        <w:rPr>
          <w:szCs w:val="22"/>
        </w:rPr>
        <w:t xml:space="preserve"> their organizations</w:t>
      </w:r>
      <w:r w:rsidR="00870D9A">
        <w:rPr>
          <w:szCs w:val="22"/>
        </w:rPr>
        <w:t>;</w:t>
      </w:r>
      <w:r w:rsidR="00CE1209">
        <w:rPr>
          <w:szCs w:val="22"/>
        </w:rPr>
        <w:t xml:space="preserve"> and resulting changes they have observed in the delivery of care. </w:t>
      </w:r>
    </w:p>
    <w:p w14:paraId="5AB98173" w14:textId="77777777" w:rsidR="009B633D" w:rsidRPr="00FB2F59" w:rsidRDefault="009B633D" w:rsidP="00FB2F59">
      <w:pPr>
        <w:pStyle w:val="Heading2"/>
      </w:pPr>
      <w:bookmarkStart w:id="12" w:name="_Toc377626213"/>
      <w:r w:rsidRPr="00FB2F59">
        <w:t>3. Use of Improved Information Technology</w:t>
      </w:r>
      <w:bookmarkEnd w:id="10"/>
      <w:bookmarkEnd w:id="11"/>
      <w:bookmarkEnd w:id="12"/>
    </w:p>
    <w:p w14:paraId="19A80A12" w14:textId="77777777" w:rsidR="00E21D22" w:rsidRDefault="00E21D22" w:rsidP="0039619F"/>
    <w:p w14:paraId="5E972097" w14:textId="77777777" w:rsidR="00211E70" w:rsidRDefault="0039619F" w:rsidP="0039619F">
      <w:r>
        <w:t xml:space="preserve">The </w:t>
      </w:r>
      <w:r w:rsidRPr="001D4B1F">
        <w:rPr>
          <w:i/>
        </w:rPr>
        <w:t xml:space="preserve">TeamSTEPPS </w:t>
      </w:r>
      <w:r w:rsidR="001D4B1F" w:rsidRPr="001D4B1F">
        <w:rPr>
          <w:i/>
        </w:rPr>
        <w:t>2.0 Online Post-Training Survey</w:t>
      </w:r>
      <w:r>
        <w:t xml:space="preserve"> will be administered via the </w:t>
      </w:r>
      <w:r w:rsidR="00EA407F">
        <w:t>W</w:t>
      </w:r>
      <w:r>
        <w:t xml:space="preserve">eb to participants. </w:t>
      </w:r>
    </w:p>
    <w:p w14:paraId="66CA28B4" w14:textId="77777777" w:rsidR="00AD59DB" w:rsidRDefault="00AD59DB" w:rsidP="0039619F"/>
    <w:p w14:paraId="74887826" w14:textId="3F77DE8F" w:rsidR="00AD59DB" w:rsidRDefault="00AD59DB" w:rsidP="00AD59DB">
      <w:r>
        <w:t xml:space="preserve">In order to reduce respondent burden, the training participant questionnaire will be administered via the Web. The participant information acquired by Reingold when participants enroll in the TeamSTEPPS 2.0 Online Master Trainer program will be used to develop the questionnaire’s distribution lists. Each potential respondent will receive </w:t>
      </w:r>
      <w:r w:rsidR="00713BEE">
        <w:t>up to five</w:t>
      </w:r>
      <w:r>
        <w:t xml:space="preserve"> e-mail </w:t>
      </w:r>
      <w:r w:rsidR="00713BEE">
        <w:t xml:space="preserve">communications </w:t>
      </w:r>
      <w:r>
        <w:t>to encourage participation (i.e., an advance notice of the questionnaire, an initial invitation to com</w:t>
      </w:r>
      <w:r w:rsidR="00713BEE">
        <w:t>plete the questionnaire, and three</w:t>
      </w:r>
      <w:r>
        <w:t xml:space="preserve"> follow-up e-mails to remind respondents to complete the questionnaire). </w:t>
      </w:r>
    </w:p>
    <w:p w14:paraId="32764630" w14:textId="77777777" w:rsidR="00AD59DB" w:rsidRDefault="00AD59DB" w:rsidP="00AD59DB"/>
    <w:p w14:paraId="7E6F66FE" w14:textId="77777777" w:rsidR="00AD59DB" w:rsidRPr="006470F2" w:rsidRDefault="00AD59DB" w:rsidP="00AD59DB">
      <w:r>
        <w:t xml:space="preserve">Using an online system for data collection, rather than administering a paper-based questionnaire, makes completing and submitting the questionnaire less time-consuming for respondents. Any skip patterns included in the questionnaire (i.e., questions that are appropriate only for a subset of the respondents) will be automatically programmed into the Web-based form of the questionnaire, thereby eliminating any confusion during questionnaire completion. In addition, the contractors can also ensure that important items are not inadvertently skipped or ignored by setting software requirements to ensure proper completion of questionnaires based on specific respondent selections. </w:t>
      </w:r>
    </w:p>
    <w:p w14:paraId="12CF0A06" w14:textId="77777777" w:rsidR="00AD59DB" w:rsidRPr="007E4359" w:rsidRDefault="00AD59DB" w:rsidP="00AD59DB"/>
    <w:p w14:paraId="2BC04373" w14:textId="77777777" w:rsidR="009B633D" w:rsidRPr="00FB2F59" w:rsidRDefault="009B633D" w:rsidP="00FB2F59">
      <w:pPr>
        <w:pStyle w:val="Heading2"/>
      </w:pPr>
      <w:bookmarkStart w:id="13" w:name="_Toc151782179"/>
      <w:bookmarkStart w:id="14" w:name="_Toc158526219"/>
      <w:bookmarkStart w:id="15" w:name="_Toc377626214"/>
      <w:r w:rsidRPr="00FB2F59">
        <w:t>4. Efforts to Identify Duplication</w:t>
      </w:r>
      <w:bookmarkEnd w:id="13"/>
      <w:bookmarkEnd w:id="14"/>
      <w:bookmarkEnd w:id="15"/>
    </w:p>
    <w:p w14:paraId="09E86042" w14:textId="77777777" w:rsidR="006D1511" w:rsidRDefault="006D1511" w:rsidP="006D1511">
      <w:pPr>
        <w:spacing w:before="100" w:beforeAutospacing="1" w:after="100" w:afterAutospacing="1"/>
      </w:pPr>
      <w:r>
        <w:t xml:space="preserve">AHRQ is aware of two other evaluations of the TeamSTEPPS suite of training programs, each requiring an </w:t>
      </w:r>
      <w:r w:rsidR="003F492B">
        <w:t>Office of Management and Budget (</w:t>
      </w:r>
      <w:r>
        <w:t>OMB</w:t>
      </w:r>
      <w:r w:rsidR="003F492B">
        <w:t>)</w:t>
      </w:r>
      <w:r>
        <w:t xml:space="preserve"> clearance package. Each project is evaluating a different TeamSTEPPS training program and will collect data from distinct populations of individuals who participate in training. Each of these two other evaluations is described below.</w:t>
      </w:r>
    </w:p>
    <w:p w14:paraId="32C17069" w14:textId="713ADDE3" w:rsidR="006D1511" w:rsidRDefault="006D1511" w:rsidP="006D1511">
      <w:pPr>
        <w:numPr>
          <w:ilvl w:val="0"/>
          <w:numId w:val="7"/>
        </w:numPr>
        <w:spacing w:before="100" w:beforeAutospacing="1" w:after="100" w:afterAutospacing="1"/>
      </w:pPr>
      <w:r w:rsidRPr="00F56B5F">
        <w:rPr>
          <w:b/>
          <w:bCs/>
          <w:i/>
          <w:iCs/>
        </w:rPr>
        <w:t>Assessing the Impact of the National Implementation of TeamSTEPPS Master Training Program</w:t>
      </w:r>
      <w:r>
        <w:rPr>
          <w:b/>
          <w:i/>
        </w:rPr>
        <w:t xml:space="preserve">. </w:t>
      </w:r>
      <w:r>
        <w:t xml:space="preserve">This effort provides in-person training to participants using the TeamSTEPPS </w:t>
      </w:r>
      <w:r w:rsidR="00A2580F">
        <w:t xml:space="preserve">2.0 </w:t>
      </w:r>
      <w:r>
        <w:t xml:space="preserve">core curriculum. AHRQ </w:t>
      </w:r>
      <w:r w:rsidR="001E6E92">
        <w:t>is administering a version of the post-training survey to these participants. The survey used for this effort has obtained initial and renewed OMB clearance (#0935-0170)</w:t>
      </w:r>
      <w:r>
        <w:t>.</w:t>
      </w:r>
    </w:p>
    <w:p w14:paraId="42023AF8" w14:textId="666F6970" w:rsidR="003F492B" w:rsidRDefault="003F492B" w:rsidP="003F492B">
      <w:pPr>
        <w:numPr>
          <w:ilvl w:val="0"/>
          <w:numId w:val="7"/>
        </w:numPr>
        <w:spacing w:before="120"/>
      </w:pPr>
      <w:r w:rsidRPr="003F492B">
        <w:rPr>
          <w:b/>
          <w:i/>
        </w:rPr>
        <w:t>Implementation of TeamSTEPPS in Primary Care Settings</w:t>
      </w:r>
      <w:r w:rsidRPr="003F492B">
        <w:rPr>
          <w:b/>
        </w:rPr>
        <w:t>.</w:t>
      </w:r>
      <w:r w:rsidR="00A2580F">
        <w:t xml:space="preserve"> This effort provides online training to participants using the TeamSTEPPS for Office-Based curriculum. AHRQ proposes to continue to conduct a formative evaluation of the TeamSTEPPS for Office-Based Care program using a version of the post-training survey tailored to this group of training participants. The survey obtained OMB approval (#0935-0222) and will be undergoing review for OMB renewal. </w:t>
      </w:r>
    </w:p>
    <w:p w14:paraId="6A9D193A" w14:textId="77777777" w:rsidR="003F492B" w:rsidRDefault="003F492B" w:rsidP="003F492B">
      <w:pPr>
        <w:ind w:left="360"/>
      </w:pPr>
    </w:p>
    <w:p w14:paraId="27DDBDCF" w14:textId="47A6CC77" w:rsidR="006D1511" w:rsidRDefault="006D1511" w:rsidP="006D1511">
      <w:pPr>
        <w:spacing w:before="120"/>
      </w:pPr>
      <w:r>
        <w:t xml:space="preserve">Besides the two evaluation efforts listed above, AHRQ intends to </w:t>
      </w:r>
      <w:r w:rsidR="001E6E92">
        <w:t xml:space="preserve">continue to </w:t>
      </w:r>
      <w:r>
        <w:t xml:space="preserve">collect similar data on the </w:t>
      </w:r>
      <w:r w:rsidR="003F492B">
        <w:rPr>
          <w:b/>
          <w:i/>
        </w:rPr>
        <w:t>TeamSTEPPS 2.0 Online Master Training</w:t>
      </w:r>
      <w:r>
        <w:t xml:space="preserve"> project. </w:t>
      </w:r>
      <w:r w:rsidR="003F492B">
        <w:t xml:space="preserve">This effort (described in this </w:t>
      </w:r>
      <w:r w:rsidR="001E6E92">
        <w:t xml:space="preserve">renewal </w:t>
      </w:r>
      <w:r w:rsidR="003F492B">
        <w:t xml:space="preserve">submission) provides online training to participants using a newly developed online version of the TeamSTEPPS 2.0 core curriculum. AHRQ proposes to </w:t>
      </w:r>
      <w:r w:rsidR="001E6E92">
        <w:t xml:space="preserve">continue to </w:t>
      </w:r>
      <w:r w:rsidR="003F492B">
        <w:t xml:space="preserve">conduct a formative evaluation of the TeamSTEPPS 2.0 Online Master Trainer program. </w:t>
      </w:r>
      <w:r>
        <w:t xml:space="preserve">The survey approved for the </w:t>
      </w:r>
      <w:r w:rsidRPr="002F646F">
        <w:rPr>
          <w:bCs/>
          <w:iCs/>
        </w:rPr>
        <w:t>Assessing the Impact of the National Implementation of TeamSTEPPS Master Training Program</w:t>
      </w:r>
      <w:r>
        <w:rPr>
          <w:bCs/>
          <w:iCs/>
        </w:rPr>
        <w:t xml:space="preserve"> effort </w:t>
      </w:r>
      <w:r w:rsidR="001E6E92">
        <w:rPr>
          <w:bCs/>
          <w:iCs/>
        </w:rPr>
        <w:t>was</w:t>
      </w:r>
      <w:r>
        <w:rPr>
          <w:bCs/>
          <w:iCs/>
        </w:rPr>
        <w:t xml:space="preserve"> modified </w:t>
      </w:r>
      <w:r w:rsidR="001E6E92">
        <w:rPr>
          <w:bCs/>
          <w:iCs/>
        </w:rPr>
        <w:t xml:space="preserve">slightly </w:t>
      </w:r>
      <w:r>
        <w:rPr>
          <w:bCs/>
          <w:iCs/>
        </w:rPr>
        <w:t>to align with this program’s target participants and curriculum.</w:t>
      </w:r>
    </w:p>
    <w:p w14:paraId="00C76BB8" w14:textId="77777777" w:rsidR="009B633D" w:rsidRPr="00FB2F59" w:rsidRDefault="009B633D" w:rsidP="00FB2F59">
      <w:pPr>
        <w:pStyle w:val="Heading2"/>
      </w:pPr>
      <w:bookmarkStart w:id="16" w:name="_Toc151782180"/>
      <w:bookmarkStart w:id="17" w:name="_Toc158526220"/>
      <w:bookmarkStart w:id="18" w:name="_Toc377626215"/>
      <w:r w:rsidRPr="00FB2F59">
        <w:t>5. Involvement of Small Entities</w:t>
      </w:r>
      <w:bookmarkEnd w:id="16"/>
      <w:bookmarkEnd w:id="17"/>
      <w:bookmarkEnd w:id="18"/>
    </w:p>
    <w:p w14:paraId="7D7C2A30" w14:textId="77777777" w:rsidR="0089057B" w:rsidRPr="0089057B" w:rsidRDefault="0089057B" w:rsidP="00F60488">
      <w:pPr>
        <w:spacing w:after="240"/>
      </w:pPr>
      <w:r>
        <w:t>The information collected may involve small entities</w:t>
      </w:r>
      <w:r w:rsidR="0004247D">
        <w:t>,</w:t>
      </w:r>
      <w:r>
        <w:t xml:space="preserve"> as </w:t>
      </w:r>
      <w:r w:rsidR="0080328A">
        <w:t xml:space="preserve">TeamSTEPPS </w:t>
      </w:r>
      <w:r w:rsidR="001D4B1F">
        <w:t xml:space="preserve">2.0 </w:t>
      </w:r>
      <w:r w:rsidR="0080328A">
        <w:t xml:space="preserve">Online </w:t>
      </w:r>
      <w:r w:rsidR="001D4B1F">
        <w:t xml:space="preserve">Master </w:t>
      </w:r>
      <w:r w:rsidR="000915DB">
        <w:t xml:space="preserve">Trainer </w:t>
      </w:r>
      <w:r w:rsidR="001F3785">
        <w:t xml:space="preserve">course </w:t>
      </w:r>
      <w:r w:rsidR="0080328A">
        <w:t>participants</w:t>
      </w:r>
      <w:r w:rsidR="008C75DE">
        <w:t xml:space="preserve"> may work for </w:t>
      </w:r>
      <w:r>
        <w:t xml:space="preserve">very large </w:t>
      </w:r>
      <w:r w:rsidR="008C75DE">
        <w:t xml:space="preserve">or small </w:t>
      </w:r>
      <w:r w:rsidR="0080328A">
        <w:t xml:space="preserve">hospitals or </w:t>
      </w:r>
      <w:r>
        <w:t>practice</w:t>
      </w:r>
      <w:r w:rsidR="0080328A">
        <w:t>s</w:t>
      </w:r>
      <w:r>
        <w:t xml:space="preserve">. </w:t>
      </w:r>
      <w:r w:rsidR="0080328A">
        <w:t>All participants</w:t>
      </w:r>
      <w:r w:rsidR="00E21D22">
        <w:t xml:space="preserve"> will be required to complete the same number of items as large practices. For this study, only items that provide critical information for answering the study questions will be included.</w:t>
      </w:r>
    </w:p>
    <w:p w14:paraId="1F6B640F" w14:textId="77777777" w:rsidR="009B633D" w:rsidRPr="00FB2F59" w:rsidRDefault="009B633D" w:rsidP="00FB2F59">
      <w:pPr>
        <w:pStyle w:val="Heading2"/>
      </w:pPr>
      <w:bookmarkStart w:id="19" w:name="_Toc151782181"/>
      <w:bookmarkStart w:id="20" w:name="_Toc158526221"/>
      <w:bookmarkStart w:id="21" w:name="_Toc377626216"/>
      <w:r w:rsidRPr="00FB2F59">
        <w:t>6. Consequences if Information Collected Less Frequently</w:t>
      </w:r>
      <w:bookmarkEnd w:id="19"/>
      <w:bookmarkEnd w:id="20"/>
      <w:bookmarkEnd w:id="21"/>
    </w:p>
    <w:p w14:paraId="75EA52C3" w14:textId="77777777" w:rsidR="007E1674" w:rsidRPr="007E1674" w:rsidRDefault="007E1674" w:rsidP="00723075">
      <w:pPr>
        <w:spacing w:after="240"/>
      </w:pPr>
      <w:bookmarkStart w:id="22" w:name="_Toc151782182"/>
      <w:bookmarkStart w:id="23" w:name="_Toc158526222"/>
      <w:r>
        <w:t xml:space="preserve">This is a one-time collection to answer specific questions about the TeamSTEPPS </w:t>
      </w:r>
      <w:r w:rsidR="001D4B1F">
        <w:t xml:space="preserve">2.0 </w:t>
      </w:r>
      <w:r w:rsidR="0080328A">
        <w:t xml:space="preserve">Online </w:t>
      </w:r>
      <w:r w:rsidR="001D4B1F">
        <w:t xml:space="preserve">Master </w:t>
      </w:r>
      <w:r w:rsidR="000915DB">
        <w:t xml:space="preserve">Trainer </w:t>
      </w:r>
      <w:r>
        <w:t>program.</w:t>
      </w:r>
    </w:p>
    <w:p w14:paraId="3975EF56" w14:textId="77777777" w:rsidR="009B633D" w:rsidRPr="00FB2F59" w:rsidRDefault="009B633D" w:rsidP="00FB2F59">
      <w:pPr>
        <w:pStyle w:val="Heading2"/>
      </w:pPr>
      <w:bookmarkStart w:id="24" w:name="_Toc377626217"/>
      <w:r w:rsidRPr="00FB2F59">
        <w:t>7. Special Circumstances</w:t>
      </w:r>
      <w:bookmarkEnd w:id="22"/>
      <w:bookmarkEnd w:id="23"/>
      <w:bookmarkEnd w:id="24"/>
    </w:p>
    <w:p w14:paraId="7C6B90AD" w14:textId="77777777" w:rsidR="009B633D" w:rsidRDefault="009B633D" w:rsidP="009B633D">
      <w:pPr>
        <w:spacing w:before="120"/>
      </w:pPr>
      <w:r w:rsidRPr="004F03D2">
        <w:t>This request is consistent with the general information collection guid</w:t>
      </w:r>
      <w:r w:rsidR="00472E6E">
        <w:t xml:space="preserve">elines of 5 CFR 1320.5(d)(2). </w:t>
      </w:r>
      <w:r>
        <w:t>No special circumstances apply.</w:t>
      </w:r>
    </w:p>
    <w:p w14:paraId="459A4644" w14:textId="77777777" w:rsidR="004E3A1B" w:rsidRPr="00FB2F59" w:rsidRDefault="009B633D" w:rsidP="00FB2F59">
      <w:pPr>
        <w:pStyle w:val="Heading2"/>
      </w:pPr>
      <w:bookmarkStart w:id="25" w:name="_Toc151782183"/>
      <w:bookmarkStart w:id="26" w:name="_Toc158526223"/>
      <w:bookmarkStart w:id="27" w:name="_Toc377626218"/>
      <w:r w:rsidRPr="00FB2F59">
        <w:t xml:space="preserve">8. </w:t>
      </w:r>
      <w:bookmarkEnd w:id="25"/>
      <w:bookmarkEnd w:id="26"/>
      <w:r w:rsidR="004E3A1B" w:rsidRPr="00FB2F59">
        <w:t>Federal Register Notice and Outside Consultations</w:t>
      </w:r>
      <w:bookmarkEnd w:id="27"/>
    </w:p>
    <w:p w14:paraId="4A867DA3" w14:textId="3FDC262B" w:rsidR="004E3A1B" w:rsidRPr="004E3A1B" w:rsidRDefault="00A30D9A" w:rsidP="004E3A1B">
      <w:bookmarkStart w:id="28" w:name="OLE_LINK3"/>
      <w:bookmarkStart w:id="29" w:name="OLE_LINK4"/>
      <w:r w:rsidRPr="007E7D29">
        <w:t xml:space="preserve">As required by </w:t>
      </w:r>
      <w:r w:rsidR="0037771B" w:rsidRPr="007E7D29">
        <w:t>5 CFR 1320.8(d), n</w:t>
      </w:r>
      <w:r w:rsidR="009374DF" w:rsidRPr="007E7D29">
        <w:t xml:space="preserve">otice was published in the Federal Register on </w:t>
      </w:r>
      <w:r w:rsidR="00EC7099">
        <w:t>May 18</w:t>
      </w:r>
      <w:r w:rsidR="00EC7099" w:rsidRPr="00EC7099">
        <w:rPr>
          <w:vertAlign w:val="superscript"/>
        </w:rPr>
        <w:t>th</w:t>
      </w:r>
      <w:r w:rsidR="00EC7099">
        <w:t xml:space="preserve">, 2017 on </w:t>
      </w:r>
      <w:r w:rsidR="00EC7099" w:rsidRPr="00EC7099">
        <w:t>Page 22828</w:t>
      </w:r>
      <w:r w:rsidR="009374DF" w:rsidRPr="007E7D29">
        <w:t xml:space="preserve"> for 60 days</w:t>
      </w:r>
      <w:r w:rsidR="00016560" w:rsidRPr="007E7D29">
        <w:t xml:space="preserve"> </w:t>
      </w:r>
      <w:r w:rsidR="00620B93" w:rsidRPr="007E7D29">
        <w:t xml:space="preserve">(see </w:t>
      </w:r>
      <w:r w:rsidR="00620B93" w:rsidRPr="00435C87">
        <w:t>A</w:t>
      </w:r>
      <w:r w:rsidR="00EE4455" w:rsidRPr="00435C87">
        <w:t xml:space="preserve">ttachment </w:t>
      </w:r>
      <w:r w:rsidR="0059140A" w:rsidRPr="00435C87">
        <w:t>C</w:t>
      </w:r>
      <w:r w:rsidR="00016560" w:rsidRPr="00435C87">
        <w:t>)</w:t>
      </w:r>
      <w:r w:rsidR="009374DF" w:rsidRPr="00435C87">
        <w:t xml:space="preserve">. </w:t>
      </w:r>
      <w:bookmarkEnd w:id="28"/>
      <w:bookmarkEnd w:id="29"/>
      <w:r w:rsidR="00EC7099">
        <w:t xml:space="preserve">There were no substantive comments received for this notice.  </w:t>
      </w:r>
    </w:p>
    <w:p w14:paraId="248EB560" w14:textId="77777777" w:rsidR="009B633D" w:rsidRPr="00FB2F59" w:rsidRDefault="005D545B" w:rsidP="00FB2F59">
      <w:pPr>
        <w:pStyle w:val="Heading2"/>
      </w:pPr>
      <w:bookmarkStart w:id="30" w:name="_Toc377626219"/>
      <w:r w:rsidRPr="00FB2F59">
        <w:t xml:space="preserve">8.b. </w:t>
      </w:r>
      <w:r w:rsidR="004E3A1B" w:rsidRPr="00FB2F59">
        <w:t>Outside Consultations</w:t>
      </w:r>
      <w:bookmarkEnd w:id="30"/>
    </w:p>
    <w:p w14:paraId="11D0F194" w14:textId="5A50D469" w:rsidR="00B93879" w:rsidRPr="00B93879" w:rsidRDefault="00B93879" w:rsidP="0037771B">
      <w:pPr>
        <w:spacing w:after="240"/>
      </w:pPr>
      <w:bookmarkStart w:id="31" w:name="_Toc457285506"/>
      <w:bookmarkStart w:id="32" w:name="_Toc58725294"/>
      <w:bookmarkStart w:id="33" w:name="_Toc151782184"/>
      <w:bookmarkStart w:id="34" w:name="_Toc158526224"/>
      <w:r w:rsidRPr="00B93879">
        <w:t xml:space="preserve">This project is part of AHRQ’s patient safety portfolio and supports AHRQ’s TeamSTEPPS program. </w:t>
      </w:r>
      <w:r w:rsidR="007E5D14">
        <w:t>AHRQ consulted with the Health Research &amp; Educational Trust (HRET), the contractor leading AHRQ’s National Implementation of TeamSTEPPS</w:t>
      </w:r>
      <w:r w:rsidR="00B45C22">
        <w:t xml:space="preserve"> project</w:t>
      </w:r>
      <w:r w:rsidR="007E5D14">
        <w:t xml:space="preserve">. HRET is also a contractor on the TeamSTEPPS </w:t>
      </w:r>
      <w:r w:rsidR="001E6E92">
        <w:t xml:space="preserve">2.0 </w:t>
      </w:r>
      <w:r w:rsidR="007E5D14">
        <w:t xml:space="preserve">Online </w:t>
      </w:r>
      <w:r w:rsidR="001E6E92">
        <w:t xml:space="preserve">Master Training </w:t>
      </w:r>
      <w:r w:rsidR="007E5D14">
        <w:t>project. HRET confirmed that</w:t>
      </w:r>
      <w:r w:rsidRPr="00B93879">
        <w:t xml:space="preserve"> this is a unique, one-time data collection focused on the TeamSTEPPS </w:t>
      </w:r>
      <w:r w:rsidR="001D4B1F">
        <w:t>2.0 Online Master</w:t>
      </w:r>
      <w:r w:rsidRPr="00B93879">
        <w:t xml:space="preserve"> </w:t>
      </w:r>
      <w:r w:rsidR="000915DB">
        <w:t>T</w:t>
      </w:r>
      <w:r w:rsidR="000915DB" w:rsidRPr="00B93879">
        <w:t>rain</w:t>
      </w:r>
      <w:r w:rsidR="000915DB">
        <w:t>er</w:t>
      </w:r>
      <w:r w:rsidR="000915DB" w:rsidRPr="00B93879">
        <w:t xml:space="preserve"> </w:t>
      </w:r>
      <w:r w:rsidRPr="00B93879">
        <w:t xml:space="preserve">curriculum. </w:t>
      </w:r>
    </w:p>
    <w:p w14:paraId="17D07C1B" w14:textId="77777777" w:rsidR="00B93879" w:rsidRPr="00B93879" w:rsidRDefault="00B93879" w:rsidP="00B93879">
      <w:pPr>
        <w:spacing w:before="100" w:beforeAutospacing="1" w:after="100" w:afterAutospacing="1"/>
      </w:pPr>
      <w:r w:rsidRPr="00B93879">
        <w:t>There are no unresolved issues or conflicts associated with this initiative.</w:t>
      </w:r>
    </w:p>
    <w:p w14:paraId="3435DA45" w14:textId="77777777" w:rsidR="0038217D" w:rsidRPr="00FB2F59" w:rsidRDefault="009B633D" w:rsidP="00FB2F59">
      <w:pPr>
        <w:pStyle w:val="Heading2"/>
      </w:pPr>
      <w:bookmarkStart w:id="35" w:name="_Toc377626220"/>
      <w:r w:rsidRPr="00FB2F59">
        <w:t>9. Payments/Gifts to Respondents</w:t>
      </w:r>
      <w:bookmarkEnd w:id="31"/>
      <w:bookmarkEnd w:id="32"/>
      <w:bookmarkEnd w:id="33"/>
      <w:bookmarkEnd w:id="34"/>
      <w:bookmarkEnd w:id="35"/>
    </w:p>
    <w:p w14:paraId="11036754" w14:textId="77777777" w:rsidR="009B633D" w:rsidRPr="007E1674" w:rsidRDefault="007E1674" w:rsidP="009B633D">
      <w:pPr>
        <w:jc w:val="both"/>
      </w:pPr>
      <w:r w:rsidRPr="007E1674">
        <w:t xml:space="preserve">No </w:t>
      </w:r>
      <w:r w:rsidR="0038217D" w:rsidRPr="007E1674">
        <w:t>remuneration of respondents</w:t>
      </w:r>
      <w:r w:rsidRPr="007E1674">
        <w:t xml:space="preserve"> is planned. </w:t>
      </w:r>
    </w:p>
    <w:p w14:paraId="4A9FC853" w14:textId="77777777" w:rsidR="009B633D" w:rsidRPr="00FB2F59" w:rsidRDefault="009B633D" w:rsidP="00FB2F59">
      <w:pPr>
        <w:pStyle w:val="Heading2"/>
      </w:pPr>
      <w:bookmarkStart w:id="36" w:name="_Toc151782185"/>
      <w:bookmarkStart w:id="37" w:name="_Toc158526225"/>
      <w:bookmarkStart w:id="38" w:name="_Toc377626221"/>
      <w:r w:rsidRPr="00FB2F59">
        <w:t>10. Assurance of Confidentiality</w:t>
      </w:r>
      <w:bookmarkEnd w:id="36"/>
      <w:bookmarkEnd w:id="37"/>
      <w:bookmarkEnd w:id="38"/>
    </w:p>
    <w:p w14:paraId="5587BB4B" w14:textId="38A612AB" w:rsidR="00DF2CBB" w:rsidRDefault="00DF2CBB" w:rsidP="00DF2CBB">
      <w:r w:rsidRPr="00AC2A7F">
        <w:t xml:space="preserve">Individuals will be assured of the confidentiality of their replies </w:t>
      </w:r>
      <w:r>
        <w:t>is protected by Sections 944(c) and 308(d) of the Public Health Service Act [42 U.S.C. 299c-3(c) and 42 U.S.C. 242m(d)].</w:t>
      </w:r>
      <w:r w:rsidRPr="00AC2A7F">
        <w:t xml:space="preserve"> </w:t>
      </w:r>
      <w:r>
        <w:t xml:space="preserve">Information that could identify any individual respondent will not be disclosed outside of the Department of Health and Human Services unless the respondent has consented to that disclosure. </w:t>
      </w:r>
    </w:p>
    <w:p w14:paraId="0BA8606C" w14:textId="77777777" w:rsidR="00DF2CBB" w:rsidRPr="00AC2A7F" w:rsidRDefault="00DF2CBB" w:rsidP="008F0B8B">
      <w:pPr>
        <w:autoSpaceDE w:val="0"/>
        <w:autoSpaceDN w:val="0"/>
        <w:adjustRightInd w:val="0"/>
      </w:pPr>
    </w:p>
    <w:p w14:paraId="78F508F2" w14:textId="37C6AF13" w:rsidR="009F0B8F" w:rsidRDefault="00DB49A0" w:rsidP="008F0B8B">
      <w:pPr>
        <w:autoSpaceDE w:val="0"/>
        <w:autoSpaceDN w:val="0"/>
        <w:adjustRightInd w:val="0"/>
      </w:pPr>
      <w:r w:rsidRPr="00AC2A7F">
        <w:t>Information that can directly identify the respondent, such as</w:t>
      </w:r>
      <w:r w:rsidR="00433DB3" w:rsidRPr="00AC2A7F">
        <w:t xml:space="preserve"> a</w:t>
      </w:r>
      <w:r w:rsidRPr="00AC2A7F">
        <w:t xml:space="preserve"> name and/or social security number</w:t>
      </w:r>
      <w:r w:rsidR="00433DB3" w:rsidRPr="00AC2A7F">
        <w:t>,</w:t>
      </w:r>
      <w:r w:rsidRPr="00AC2A7F">
        <w:t xml:space="preserve"> </w:t>
      </w:r>
      <w:r w:rsidR="008C75DE" w:rsidRPr="00AC2A7F">
        <w:t>will not</w:t>
      </w:r>
      <w:r w:rsidR="005B2955" w:rsidRPr="00AC2A7F">
        <w:t xml:space="preserve"> </w:t>
      </w:r>
      <w:r w:rsidR="00472E6E" w:rsidRPr="00AC2A7F">
        <w:t xml:space="preserve">be collected. </w:t>
      </w:r>
      <w:r w:rsidR="008C75DE" w:rsidRPr="00AC2A7F">
        <w:t xml:space="preserve">Only basic </w:t>
      </w:r>
      <w:r w:rsidR="00483DCE">
        <w:t>demographic</w:t>
      </w:r>
      <w:r w:rsidR="00483DCE" w:rsidRPr="00AC2A7F">
        <w:t xml:space="preserve"> </w:t>
      </w:r>
      <w:r w:rsidR="008C75DE" w:rsidRPr="00AC2A7F">
        <w:t xml:space="preserve">information </w:t>
      </w:r>
      <w:r w:rsidR="00483DCE">
        <w:t xml:space="preserve">related to the individual’s organization and position </w:t>
      </w:r>
      <w:r w:rsidR="008C75DE" w:rsidRPr="00AC2A7F">
        <w:t xml:space="preserve">will be collected for the purpose of describing the respondents. </w:t>
      </w:r>
      <w:r w:rsidR="009F0B8F" w:rsidRPr="00AC2A7F">
        <w:t xml:space="preserve">Participation will be voluntary and participants will be informed that their responses will be confidential. </w:t>
      </w:r>
      <w:r w:rsidR="001E6E92">
        <w:t>The following</w:t>
      </w:r>
      <w:r w:rsidR="009F0B8F" w:rsidRPr="00AC2A7F">
        <w:t xml:space="preserve"> statement of confidentiality will appear on the </w:t>
      </w:r>
      <w:r w:rsidR="001E6E92">
        <w:t xml:space="preserve">initial screen of the Web-based </w:t>
      </w:r>
      <w:r w:rsidR="009F0B8F" w:rsidRPr="00AC2A7F">
        <w:t xml:space="preserve">survey and </w:t>
      </w:r>
      <w:r w:rsidR="001E6E92">
        <w:t>in email correspondence</w:t>
      </w:r>
      <w:r w:rsidR="009F0B8F" w:rsidRPr="00AC2A7F">
        <w:t>:</w:t>
      </w:r>
    </w:p>
    <w:p w14:paraId="5E3C09F1" w14:textId="77777777" w:rsidR="008D443B" w:rsidRPr="00AC2A7F" w:rsidRDefault="008D443B" w:rsidP="008F0B8B">
      <w:pPr>
        <w:autoSpaceDE w:val="0"/>
        <w:autoSpaceDN w:val="0"/>
        <w:adjustRightInd w:val="0"/>
      </w:pPr>
    </w:p>
    <w:p w14:paraId="74676CA3" w14:textId="4FB70784" w:rsidR="00512D5D" w:rsidRPr="008D443B" w:rsidRDefault="0094098B" w:rsidP="008D443B">
      <w:pPr>
        <w:autoSpaceDE w:val="0"/>
        <w:autoSpaceDN w:val="0"/>
        <w:adjustRightInd w:val="0"/>
        <w:ind w:left="540"/>
        <w:rPr>
          <w:bCs/>
          <w:i/>
        </w:rPr>
      </w:pPr>
      <w:r w:rsidRPr="008D443B" w:rsidDel="0094098B">
        <w:rPr>
          <w:bCs/>
          <w:i/>
        </w:rPr>
        <w:t xml:space="preserve"> </w:t>
      </w:r>
      <w:r>
        <w:rPr>
          <w:rFonts w:eastAsia="Arial" w:cs="Arial"/>
          <w:i/>
          <w:szCs w:val="20"/>
        </w:rPr>
        <w:t>“</w:t>
      </w:r>
      <w:r w:rsidRPr="0094098B">
        <w:rPr>
          <w:rFonts w:eastAsia="Arial" w:cs="Arial"/>
          <w:i/>
          <w:szCs w:val="20"/>
        </w:rPr>
        <w:t>This survey is authorized under 42 U.S.C. 299a. The confidentiality of your survey 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request additional information about your experiences with TeamSTEPPS.</w:t>
      </w:r>
      <w:r>
        <w:rPr>
          <w:rFonts w:eastAsia="Arial" w:cs="Arial"/>
          <w:i/>
          <w:szCs w:val="20"/>
        </w:rPr>
        <w:t>”</w:t>
      </w:r>
      <w:r w:rsidRPr="0094098B">
        <w:rPr>
          <w:rFonts w:eastAsia="Arial" w:cs="Arial"/>
          <w:i/>
          <w:szCs w:val="20"/>
        </w:rPr>
        <w:t xml:space="preserve"> </w:t>
      </w:r>
    </w:p>
    <w:p w14:paraId="60C62992" w14:textId="77777777" w:rsidR="008D443B" w:rsidRDefault="008D443B" w:rsidP="009F0B8F">
      <w:pPr>
        <w:autoSpaceDE w:val="0"/>
        <w:autoSpaceDN w:val="0"/>
        <w:adjustRightInd w:val="0"/>
        <w:rPr>
          <w:bCs/>
          <w:i/>
          <w:color w:val="555555"/>
        </w:rPr>
      </w:pPr>
    </w:p>
    <w:p w14:paraId="3A5658CD" w14:textId="3D91BC01" w:rsidR="00DF2CBB" w:rsidRPr="00DF2CBB" w:rsidRDefault="0080328A" w:rsidP="00DF2CBB">
      <w:pPr>
        <w:autoSpaceDE w:val="0"/>
        <w:autoSpaceDN w:val="0"/>
        <w:adjustRightInd w:val="0"/>
      </w:pPr>
      <w:r w:rsidRPr="00AC2A7F">
        <w:t>Reingold</w:t>
      </w:r>
      <w:r w:rsidR="001E6E92">
        <w:t>’s subcontractor, IMPAQ,</w:t>
      </w:r>
      <w:r w:rsidRPr="00AC2A7F">
        <w:t xml:space="preserve"> </w:t>
      </w:r>
      <w:r w:rsidR="008C75DE" w:rsidRPr="00AC2A7F">
        <w:t>will collect all information</w:t>
      </w:r>
      <w:r w:rsidR="001E6E92">
        <w:t>.</w:t>
      </w:r>
      <w:r w:rsidR="008C75DE" w:rsidRPr="00AC2A7F">
        <w:t xml:space="preserve"> </w:t>
      </w:r>
      <w:r w:rsidR="001E6E92">
        <w:t>R</w:t>
      </w:r>
      <w:r w:rsidR="008C75DE" w:rsidRPr="00AC2A7F">
        <w:t>esponse data will b</w:t>
      </w:r>
      <w:r w:rsidR="001E6E92">
        <w:t xml:space="preserve">e stored on password-protected </w:t>
      </w:r>
      <w:r w:rsidR="008C75DE" w:rsidRPr="00AC2A7F">
        <w:t>secure serve</w:t>
      </w:r>
      <w:r w:rsidR="001D4B1F" w:rsidRPr="00AC2A7F">
        <w:t>r</w:t>
      </w:r>
      <w:r w:rsidR="008C75DE" w:rsidRPr="00AC2A7F">
        <w:t>s</w:t>
      </w:r>
      <w:r w:rsidR="001E6E92">
        <w:t xml:space="preserve"> at IMPAQ</w:t>
      </w:r>
      <w:r w:rsidR="009F0B8F" w:rsidRPr="00AC2A7F">
        <w:t>.</w:t>
      </w:r>
      <w:r w:rsidR="00B63520">
        <w:t xml:space="preserve"> </w:t>
      </w:r>
      <w:r w:rsidR="008C75DE" w:rsidRPr="00AC2A7F">
        <w:t xml:space="preserve"> Only members of the </w:t>
      </w:r>
      <w:r w:rsidR="001E6E92">
        <w:t xml:space="preserve">IMPAQ </w:t>
      </w:r>
      <w:r w:rsidR="008C75DE" w:rsidRPr="00AC2A7F">
        <w:t xml:space="preserve">project team will have access to the </w:t>
      </w:r>
      <w:r w:rsidR="00DF2CBB">
        <w:t xml:space="preserve">password-protected </w:t>
      </w:r>
      <w:r w:rsidR="00DF2CBB" w:rsidRPr="00AC2A7F">
        <w:t>secure server</w:t>
      </w:r>
      <w:r w:rsidR="008C75DE" w:rsidRPr="00AC2A7F">
        <w:t xml:space="preserve">. </w:t>
      </w:r>
      <w:r w:rsidR="00DF2CBB" w:rsidRPr="00AC2A7F">
        <w:t xml:space="preserve">Only aggregated data will be </w:t>
      </w:r>
      <w:r w:rsidR="00DF2CBB">
        <w:t>included in reports submitted to AHRQ. A data file containing individual-level responses to the survey will be delivered to the AHRQ Task Order Officer at the end of the data collection effort.</w:t>
      </w:r>
    </w:p>
    <w:p w14:paraId="4CC846F1" w14:textId="77777777" w:rsidR="00DF2CBB" w:rsidRDefault="00DF2CBB" w:rsidP="009F0B8F">
      <w:pPr>
        <w:autoSpaceDE w:val="0"/>
        <w:autoSpaceDN w:val="0"/>
        <w:adjustRightInd w:val="0"/>
        <w:rPr>
          <w:i/>
        </w:rPr>
      </w:pPr>
    </w:p>
    <w:p w14:paraId="24EF56F1" w14:textId="77777777" w:rsidR="009B633D" w:rsidRPr="00FB2F59" w:rsidRDefault="009B633D" w:rsidP="00FB2F59">
      <w:pPr>
        <w:pStyle w:val="Heading2"/>
      </w:pPr>
      <w:bookmarkStart w:id="39" w:name="_Toc151782186"/>
      <w:bookmarkStart w:id="40" w:name="_Toc158526226"/>
      <w:bookmarkStart w:id="41" w:name="_Toc377626222"/>
      <w:r w:rsidRPr="00FB2F59">
        <w:t>11. Questions of a Sensitive Nature</w:t>
      </w:r>
      <w:bookmarkEnd w:id="39"/>
      <w:bookmarkEnd w:id="40"/>
      <w:bookmarkEnd w:id="41"/>
    </w:p>
    <w:p w14:paraId="0CE71FBD" w14:textId="4A4AE29B" w:rsidR="0075215A" w:rsidRDefault="0075215A" w:rsidP="0075215A">
      <w:r>
        <w:t xml:space="preserve">Questionnaire items do not require respondents to provide information of a sensitive nature as defined by OMB and DHHS or to provide information such as social security numbers or Medicare/Medicaid numbers. The </w:t>
      </w:r>
      <w:r w:rsidRPr="00F3268F">
        <w:rPr>
          <w:i/>
        </w:rPr>
        <w:t xml:space="preserve">TeamSTEPPS </w:t>
      </w:r>
      <w:r>
        <w:rPr>
          <w:i/>
        </w:rPr>
        <w:t>2.0 Online</w:t>
      </w:r>
      <w:r w:rsidRPr="00F3268F">
        <w:rPr>
          <w:i/>
        </w:rPr>
        <w:t xml:space="preserve"> Post-Training Survey</w:t>
      </w:r>
      <w:r>
        <w:t xml:space="preserve"> includes an introduction that addresses aspects of </w:t>
      </w:r>
      <w:r w:rsidRPr="00114A51">
        <w:t>informed consent</w:t>
      </w:r>
      <w:r>
        <w:t xml:space="preserve"> such as </w:t>
      </w:r>
      <w:r w:rsidRPr="00114A51">
        <w:t>a description of the research</w:t>
      </w:r>
      <w:r>
        <w:t xml:space="preserve"> objectives,</w:t>
      </w:r>
      <w:r w:rsidRPr="00114A51">
        <w:t xml:space="preserve"> a discussion of the importance of </w:t>
      </w:r>
      <w:r w:rsidR="00FA4F38">
        <w:t>respondents’</w:t>
      </w:r>
      <w:r w:rsidRPr="00114A51">
        <w:t xml:space="preserve"> input and experiences</w:t>
      </w:r>
      <w:r>
        <w:t>,</w:t>
      </w:r>
      <w:r w:rsidRPr="00114A51">
        <w:t xml:space="preserve"> </w:t>
      </w:r>
      <w:r>
        <w:t>details concerning how</w:t>
      </w:r>
      <w:r w:rsidRPr="00114A51">
        <w:t xml:space="preserve"> the data will be used</w:t>
      </w:r>
      <w:r>
        <w:t>, and confidentiality of personal information. The introduction will be positioned at the beginning of the questionnaire. Continuation to complete the questionnaire will indicate the respondent’s consent.</w:t>
      </w:r>
    </w:p>
    <w:p w14:paraId="19B95461" w14:textId="77777777" w:rsidR="0075215A" w:rsidRDefault="0075215A" w:rsidP="0075215A"/>
    <w:p w14:paraId="75E6C1FC" w14:textId="77777777" w:rsidR="001B1C61" w:rsidRDefault="00A1369F" w:rsidP="00A1369F">
      <w:r>
        <w:t>No questions of a sensitive nature will be asked</w:t>
      </w:r>
      <w:r w:rsidR="009F0B8F">
        <w:t xml:space="preserve"> on the </w:t>
      </w:r>
      <w:r w:rsidR="009F0B8F" w:rsidRPr="005402AF">
        <w:rPr>
          <w:i/>
        </w:rPr>
        <w:t xml:space="preserve">TeamSTEPPS </w:t>
      </w:r>
      <w:r w:rsidR="001D4B1F">
        <w:rPr>
          <w:i/>
        </w:rPr>
        <w:t xml:space="preserve">2.0 Online </w:t>
      </w:r>
      <w:r w:rsidR="005402AF" w:rsidRPr="005402AF">
        <w:rPr>
          <w:i/>
        </w:rPr>
        <w:t>Post-Training</w:t>
      </w:r>
      <w:r w:rsidR="009F0B8F" w:rsidRPr="005402AF">
        <w:rPr>
          <w:i/>
        </w:rPr>
        <w:t xml:space="preserve"> Survey</w:t>
      </w:r>
      <w:r>
        <w:t>. Although written consent will not be required, all</w:t>
      </w:r>
      <w:r w:rsidR="001B1C61" w:rsidRPr="001B1C61">
        <w:t xml:space="preserve"> respondents </w:t>
      </w:r>
      <w:r>
        <w:t xml:space="preserve">will be informed </w:t>
      </w:r>
      <w:r w:rsidR="001B1C61" w:rsidRPr="001B1C61">
        <w:t>about the nature of the study</w:t>
      </w:r>
      <w:r>
        <w:t xml:space="preserve"> and that</w:t>
      </w:r>
      <w:r w:rsidR="001B1C61" w:rsidRPr="001B1C61">
        <w:t xml:space="preserve"> their participation</w:t>
      </w:r>
      <w:r>
        <w:t xml:space="preserve"> is voluntary.</w:t>
      </w:r>
      <w:r w:rsidR="001B1C61" w:rsidRPr="001B1C61">
        <w:t xml:space="preserve"> </w:t>
      </w:r>
      <w:r w:rsidR="00480197">
        <w:t xml:space="preserve">There are no </w:t>
      </w:r>
      <w:r w:rsidR="001B1C61" w:rsidRPr="001B1C61">
        <w:t xml:space="preserve">known consequences of participation, and </w:t>
      </w:r>
      <w:r w:rsidR="00480197">
        <w:t xml:space="preserve">all </w:t>
      </w:r>
      <w:r w:rsidR="001B1C61" w:rsidRPr="001B1C61">
        <w:t xml:space="preserve">confidentiality </w:t>
      </w:r>
      <w:r w:rsidR="00480197">
        <w:t xml:space="preserve">procedures will </w:t>
      </w:r>
      <w:r w:rsidR="001B1C61" w:rsidRPr="001B1C61">
        <w:t>be described</w:t>
      </w:r>
      <w:r w:rsidR="00480197">
        <w:t>.</w:t>
      </w:r>
    </w:p>
    <w:p w14:paraId="30ACDBF4" w14:textId="77777777" w:rsidR="00E57A26" w:rsidRPr="00BC27A8" w:rsidRDefault="00E57A26" w:rsidP="00FB2F59">
      <w:pPr>
        <w:pStyle w:val="Heading2"/>
      </w:pPr>
      <w:bookmarkStart w:id="42" w:name="_Toc377626223"/>
      <w:bookmarkStart w:id="43" w:name="_Toc151782187"/>
      <w:bookmarkStart w:id="44" w:name="_Toc158526227"/>
      <w:r w:rsidRPr="00BC27A8">
        <w:t>12. Estimates of Annualized Burden Hours and Costs</w:t>
      </w:r>
      <w:bookmarkEnd w:id="42"/>
    </w:p>
    <w:p w14:paraId="727EFFC5" w14:textId="77777777" w:rsidR="001F206F" w:rsidRDefault="001F206F" w:rsidP="004928C0"/>
    <w:p w14:paraId="0D272A7F" w14:textId="25CF1F9A" w:rsidR="001F206F" w:rsidRPr="001F206F" w:rsidRDefault="001F206F" w:rsidP="004928C0">
      <w:r w:rsidRPr="008D443B">
        <w:t xml:space="preserve">Exhibit 1 shows the estimated annualized burden hours for the respondent’s time to participate in the study. The </w:t>
      </w:r>
      <w:r w:rsidRPr="008D443B">
        <w:rPr>
          <w:i/>
        </w:rPr>
        <w:t>TeamSTEPPS 2.0 Online Post-Training Survey</w:t>
      </w:r>
      <w:r w:rsidRPr="008D443B">
        <w:t xml:space="preserve"> will be completed by approximately 3,000 individuals. We estimate that each respondent will </w:t>
      </w:r>
      <w:r w:rsidR="00BE1866" w:rsidRPr="008D443B">
        <w:t xml:space="preserve">require 20 minutes to complete the survey. </w:t>
      </w:r>
      <w:r w:rsidRPr="008D443B">
        <w:t>The total annualized burden is estimated to be 1,000 hours.</w:t>
      </w:r>
    </w:p>
    <w:p w14:paraId="3295FC6A" w14:textId="77777777" w:rsidR="001F206F" w:rsidRPr="001F206F" w:rsidRDefault="001F206F" w:rsidP="004928C0"/>
    <w:p w14:paraId="5AE1CA21" w14:textId="5AAF5618" w:rsidR="00442CE5" w:rsidRPr="00B352C5" w:rsidRDefault="00442CE5" w:rsidP="00442CE5">
      <w:pPr>
        <w:spacing w:line="360" w:lineRule="auto"/>
      </w:pPr>
      <w:r w:rsidRPr="00B352C5">
        <w:t>Exhibit 2 shows the estimated annualized cost burden based on the respondents’ time to participate in the study. The total cost burden is estimated to be $</w:t>
      </w:r>
      <w:r w:rsidR="005E7699">
        <w:t>45</w:t>
      </w:r>
      <w:r w:rsidRPr="00B352C5">
        <w:t>,</w:t>
      </w:r>
      <w:r w:rsidR="005E7699">
        <w:t>320</w:t>
      </w:r>
      <w:r w:rsidRPr="00B352C5">
        <w:t>.</w:t>
      </w:r>
    </w:p>
    <w:p w14:paraId="23143E3D" w14:textId="77777777" w:rsidR="00442CE5" w:rsidRPr="00B352C5" w:rsidRDefault="00442CE5" w:rsidP="00442CE5">
      <w:pPr>
        <w:spacing w:line="360" w:lineRule="auto"/>
      </w:pPr>
    </w:p>
    <w:p w14:paraId="5AA4735D" w14:textId="77777777" w:rsidR="00442CE5" w:rsidRPr="00B352C5" w:rsidRDefault="00442CE5" w:rsidP="00442CE5">
      <w:pPr>
        <w:spacing w:before="120"/>
        <w:rPr>
          <w:b/>
          <w:bCs/>
        </w:rPr>
      </w:pPr>
      <w:r w:rsidRPr="00B352C5">
        <w:rPr>
          <w:b/>
          <w:bCs/>
        </w:rPr>
        <w:t>Exhibit 1. Estimated Annualized Burden Hours</w:t>
      </w:r>
    </w:p>
    <w:tbl>
      <w:tblPr>
        <w:tblW w:w="8896" w:type="dxa"/>
        <w:tblInd w:w="2" w:type="dxa"/>
        <w:tblLayout w:type="fixed"/>
        <w:tblCellMar>
          <w:left w:w="0" w:type="dxa"/>
          <w:right w:w="0" w:type="dxa"/>
        </w:tblCellMar>
        <w:tblLook w:val="0000" w:firstRow="0" w:lastRow="0" w:firstColumn="0" w:lastColumn="0" w:noHBand="0" w:noVBand="0"/>
      </w:tblPr>
      <w:tblGrid>
        <w:gridCol w:w="3505"/>
        <w:gridCol w:w="1551"/>
        <w:gridCol w:w="1620"/>
        <w:gridCol w:w="1151"/>
        <w:gridCol w:w="1069"/>
      </w:tblGrid>
      <w:tr w:rsidR="00442CE5" w:rsidRPr="00B352C5" w14:paraId="0C719A2A" w14:textId="77777777" w:rsidTr="00F228E2">
        <w:trPr>
          <w:trHeight w:val="864"/>
        </w:trPr>
        <w:tc>
          <w:tcPr>
            <w:tcW w:w="3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A261" w14:textId="77777777" w:rsidR="00442CE5" w:rsidRPr="00B352C5" w:rsidRDefault="00442CE5" w:rsidP="00F228E2">
            <w:pPr>
              <w:keepLines/>
              <w:autoSpaceDE w:val="0"/>
              <w:autoSpaceDN w:val="0"/>
              <w:adjustRightInd w:val="0"/>
              <w:rPr>
                <w:b/>
                <w:bCs/>
              </w:rPr>
            </w:pPr>
            <w:r w:rsidRPr="00B352C5">
              <w:rPr>
                <w:b/>
                <w:bCs/>
              </w:rPr>
              <w:t>Form Name</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45D25" w14:textId="77777777" w:rsidR="00442CE5" w:rsidRPr="00B352C5" w:rsidRDefault="00442CE5" w:rsidP="00F228E2">
            <w:pPr>
              <w:keepLines/>
              <w:autoSpaceDE w:val="0"/>
              <w:autoSpaceDN w:val="0"/>
              <w:adjustRightInd w:val="0"/>
              <w:rPr>
                <w:b/>
                <w:bCs/>
              </w:rPr>
            </w:pPr>
            <w:r w:rsidRPr="00B352C5">
              <w:rPr>
                <w:b/>
                <w:bCs/>
              </w:rPr>
              <w:t>Number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5642AA" w14:textId="77777777" w:rsidR="00442CE5" w:rsidRPr="00B352C5" w:rsidRDefault="00442CE5" w:rsidP="00F228E2">
            <w:pPr>
              <w:keepLines/>
              <w:autoSpaceDE w:val="0"/>
              <w:autoSpaceDN w:val="0"/>
              <w:adjustRightInd w:val="0"/>
              <w:rPr>
                <w:b/>
                <w:bCs/>
              </w:rPr>
            </w:pPr>
            <w:r w:rsidRPr="00B352C5">
              <w:rPr>
                <w:b/>
                <w:bCs/>
              </w:rPr>
              <w:t>Number of responses per respondent</w:t>
            </w:r>
          </w:p>
        </w:tc>
        <w:tc>
          <w:tcPr>
            <w:tcW w:w="1151" w:type="dxa"/>
            <w:tcBorders>
              <w:top w:val="single" w:sz="8" w:space="0" w:color="auto"/>
              <w:left w:val="nil"/>
              <w:bottom w:val="single" w:sz="8" w:space="0" w:color="auto"/>
              <w:right w:val="single" w:sz="8" w:space="0" w:color="auto"/>
            </w:tcBorders>
            <w:vAlign w:val="center"/>
          </w:tcPr>
          <w:p w14:paraId="12482EA8" w14:textId="77777777" w:rsidR="00442CE5" w:rsidRPr="00B352C5" w:rsidRDefault="00442CE5" w:rsidP="00F228E2">
            <w:pPr>
              <w:keepLines/>
              <w:autoSpaceDE w:val="0"/>
              <w:autoSpaceDN w:val="0"/>
              <w:adjustRightInd w:val="0"/>
              <w:rPr>
                <w:b/>
                <w:bCs/>
              </w:rPr>
            </w:pPr>
            <w:r w:rsidRPr="00B352C5">
              <w:rPr>
                <w:b/>
                <w:bCs/>
              </w:rPr>
              <w:t>Hours per response</w:t>
            </w:r>
          </w:p>
        </w:tc>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328DAA" w14:textId="77777777" w:rsidR="00442CE5" w:rsidRPr="00B352C5" w:rsidRDefault="00442CE5" w:rsidP="00F228E2">
            <w:pPr>
              <w:keepLines/>
              <w:autoSpaceDE w:val="0"/>
              <w:autoSpaceDN w:val="0"/>
              <w:adjustRightInd w:val="0"/>
              <w:rPr>
                <w:b/>
                <w:bCs/>
              </w:rPr>
            </w:pPr>
            <w:r w:rsidRPr="00B352C5">
              <w:rPr>
                <w:b/>
                <w:bCs/>
              </w:rPr>
              <w:t>Total burden hours</w:t>
            </w:r>
          </w:p>
        </w:tc>
      </w:tr>
      <w:tr w:rsidR="00442CE5" w:rsidRPr="00B352C5" w14:paraId="224EEF25" w14:textId="77777777" w:rsidTr="00F228E2">
        <w:trPr>
          <w:trHeight w:val="297"/>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3E3D8" w14:textId="77777777" w:rsidR="00442CE5" w:rsidRPr="00B352C5" w:rsidRDefault="00442CE5" w:rsidP="00F228E2">
            <w:pPr>
              <w:keepLines/>
              <w:autoSpaceDE w:val="0"/>
              <w:autoSpaceDN w:val="0"/>
              <w:adjustRightInd w:val="0"/>
              <w:rPr>
                <w:bCs/>
              </w:rPr>
            </w:pPr>
            <w:r w:rsidRPr="00B352C5">
              <w:rPr>
                <w:bCs/>
              </w:rPr>
              <w:t>Training participant questionnaire</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8C436" w14:textId="77777777" w:rsidR="00442CE5" w:rsidRPr="00B352C5" w:rsidRDefault="00442CE5" w:rsidP="00F228E2">
            <w:pPr>
              <w:keepLines/>
              <w:autoSpaceDE w:val="0"/>
              <w:autoSpaceDN w:val="0"/>
              <w:adjustRightInd w:val="0"/>
              <w:rPr>
                <w:bCs/>
              </w:rPr>
            </w:pPr>
            <w:r w:rsidRPr="00B352C5">
              <w:rPr>
                <w:bCs/>
              </w:rPr>
              <w:t>3,000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C374A" w14:textId="77777777" w:rsidR="00442CE5" w:rsidRPr="00B352C5" w:rsidRDefault="00442CE5" w:rsidP="00F228E2">
            <w:pPr>
              <w:keepLines/>
              <w:autoSpaceDE w:val="0"/>
              <w:autoSpaceDN w:val="0"/>
              <w:adjustRightInd w:val="0"/>
              <w:rPr>
                <w:bCs/>
              </w:rPr>
            </w:pPr>
            <w:r w:rsidRPr="00B352C5">
              <w:rPr>
                <w:bCs/>
              </w:rPr>
              <w:t>1</w:t>
            </w:r>
          </w:p>
        </w:tc>
        <w:tc>
          <w:tcPr>
            <w:tcW w:w="1151" w:type="dxa"/>
            <w:tcBorders>
              <w:top w:val="nil"/>
              <w:left w:val="nil"/>
              <w:bottom w:val="single" w:sz="8" w:space="0" w:color="auto"/>
              <w:right w:val="single" w:sz="8" w:space="0" w:color="auto"/>
            </w:tcBorders>
            <w:vAlign w:val="center"/>
          </w:tcPr>
          <w:p w14:paraId="5FF1EC65" w14:textId="77777777" w:rsidR="00442CE5" w:rsidRPr="00B352C5" w:rsidRDefault="00442CE5" w:rsidP="00F228E2">
            <w:pPr>
              <w:keepLines/>
              <w:autoSpaceDE w:val="0"/>
              <w:autoSpaceDN w:val="0"/>
              <w:adjustRightInd w:val="0"/>
              <w:rPr>
                <w:bCs/>
              </w:rPr>
            </w:pPr>
            <w:r w:rsidRPr="00B352C5">
              <w:rPr>
                <w:bCs/>
              </w:rPr>
              <w:t>20/60</w:t>
            </w:r>
          </w:p>
        </w:tc>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06C8B7" w14:textId="77777777" w:rsidR="00442CE5" w:rsidRPr="00B352C5" w:rsidRDefault="00442CE5" w:rsidP="00F228E2">
            <w:pPr>
              <w:keepLines/>
              <w:autoSpaceDE w:val="0"/>
              <w:autoSpaceDN w:val="0"/>
              <w:adjustRightInd w:val="0"/>
              <w:rPr>
                <w:bCs/>
              </w:rPr>
            </w:pPr>
            <w:r w:rsidRPr="00B352C5">
              <w:rPr>
                <w:bCs/>
              </w:rPr>
              <w:t>1,000</w:t>
            </w:r>
          </w:p>
        </w:tc>
      </w:tr>
      <w:tr w:rsidR="00442CE5" w:rsidRPr="00B352C5" w14:paraId="19A92FF4" w14:textId="77777777" w:rsidTr="00F228E2">
        <w:trPr>
          <w:trHeight w:val="297"/>
        </w:trPr>
        <w:tc>
          <w:tcPr>
            <w:tcW w:w="35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9300A" w14:textId="77777777" w:rsidR="00442CE5" w:rsidRPr="00B352C5" w:rsidRDefault="00442CE5" w:rsidP="00F228E2">
            <w:pPr>
              <w:keepLines/>
              <w:autoSpaceDE w:val="0"/>
              <w:autoSpaceDN w:val="0"/>
              <w:adjustRightInd w:val="0"/>
              <w:rPr>
                <w:bCs/>
              </w:rPr>
            </w:pPr>
            <w:r w:rsidRPr="00B352C5">
              <w:rPr>
                <w:bCs/>
              </w:rPr>
              <w:t>Total</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4C20E" w14:textId="77777777" w:rsidR="00442CE5" w:rsidRPr="00B352C5" w:rsidRDefault="00442CE5" w:rsidP="00F228E2">
            <w:pPr>
              <w:keepLines/>
              <w:autoSpaceDE w:val="0"/>
              <w:autoSpaceDN w:val="0"/>
              <w:adjustRightInd w:val="0"/>
              <w:rPr>
                <w:bCs/>
              </w:rPr>
            </w:pPr>
            <w:r w:rsidRPr="00B352C5">
              <w:rPr>
                <w:bCs/>
              </w:rPr>
              <w:t>3,000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5656F" w14:textId="77777777" w:rsidR="00442CE5" w:rsidRPr="00B352C5" w:rsidRDefault="00442CE5" w:rsidP="00F228E2">
            <w:pPr>
              <w:keepLines/>
              <w:autoSpaceDE w:val="0"/>
              <w:autoSpaceDN w:val="0"/>
              <w:adjustRightInd w:val="0"/>
              <w:rPr>
                <w:bCs/>
              </w:rPr>
            </w:pPr>
            <w:r w:rsidRPr="00B352C5">
              <w:rPr>
                <w:bCs/>
              </w:rPr>
              <w:t>N/A</w:t>
            </w:r>
          </w:p>
        </w:tc>
        <w:tc>
          <w:tcPr>
            <w:tcW w:w="1151" w:type="dxa"/>
            <w:tcBorders>
              <w:top w:val="nil"/>
              <w:left w:val="nil"/>
              <w:bottom w:val="single" w:sz="8" w:space="0" w:color="auto"/>
              <w:right w:val="single" w:sz="8" w:space="0" w:color="auto"/>
            </w:tcBorders>
            <w:vAlign w:val="center"/>
          </w:tcPr>
          <w:p w14:paraId="50D11EB4" w14:textId="77777777" w:rsidR="00442CE5" w:rsidRPr="00B352C5" w:rsidRDefault="00442CE5" w:rsidP="00F228E2">
            <w:pPr>
              <w:keepLines/>
              <w:autoSpaceDE w:val="0"/>
              <w:autoSpaceDN w:val="0"/>
              <w:adjustRightInd w:val="0"/>
              <w:rPr>
                <w:bCs/>
              </w:rPr>
            </w:pPr>
            <w:r w:rsidRPr="00B352C5">
              <w:rPr>
                <w:bCs/>
              </w:rPr>
              <w:t>N/A</w:t>
            </w:r>
          </w:p>
        </w:tc>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93AEE5" w14:textId="77777777" w:rsidR="00442CE5" w:rsidRPr="00B352C5" w:rsidRDefault="00442CE5" w:rsidP="00F228E2">
            <w:pPr>
              <w:keepLines/>
              <w:autoSpaceDE w:val="0"/>
              <w:autoSpaceDN w:val="0"/>
              <w:adjustRightInd w:val="0"/>
              <w:rPr>
                <w:bCs/>
              </w:rPr>
            </w:pPr>
            <w:r w:rsidRPr="00B352C5">
              <w:rPr>
                <w:bCs/>
              </w:rPr>
              <w:t>1,000</w:t>
            </w:r>
          </w:p>
        </w:tc>
      </w:tr>
    </w:tbl>
    <w:p w14:paraId="0AA1764B" w14:textId="77777777" w:rsidR="00442CE5" w:rsidRPr="00B352C5" w:rsidRDefault="00442CE5" w:rsidP="00442CE5"/>
    <w:p w14:paraId="6F43C145" w14:textId="77777777" w:rsidR="00442CE5" w:rsidRPr="00B352C5" w:rsidRDefault="00442CE5" w:rsidP="00442CE5">
      <w:pPr>
        <w:spacing w:before="120"/>
        <w:rPr>
          <w:b/>
          <w:bCs/>
        </w:rPr>
      </w:pPr>
    </w:p>
    <w:p w14:paraId="155A6819" w14:textId="77777777" w:rsidR="00442CE5" w:rsidRPr="00B352C5" w:rsidRDefault="00442CE5" w:rsidP="00442CE5">
      <w:pPr>
        <w:spacing w:before="120"/>
        <w:rPr>
          <w:b/>
          <w:bCs/>
        </w:rPr>
      </w:pPr>
      <w:r w:rsidRPr="00B352C5">
        <w:rPr>
          <w:b/>
          <w:bCs/>
        </w:rPr>
        <w:t>Exhibit 2. Estimated Annualized Cost Burden</w:t>
      </w:r>
    </w:p>
    <w:tbl>
      <w:tblPr>
        <w:tblW w:w="0" w:type="auto"/>
        <w:tblInd w:w="2" w:type="dxa"/>
        <w:tblCellMar>
          <w:left w:w="0" w:type="dxa"/>
          <w:right w:w="0" w:type="dxa"/>
        </w:tblCellMar>
        <w:tblLook w:val="0000" w:firstRow="0" w:lastRow="0" w:firstColumn="0" w:lastColumn="0" w:noHBand="0" w:noVBand="0"/>
      </w:tblPr>
      <w:tblGrid>
        <w:gridCol w:w="3485"/>
        <w:gridCol w:w="1457"/>
        <w:gridCol w:w="1053"/>
        <w:gridCol w:w="1563"/>
        <w:gridCol w:w="1296"/>
      </w:tblGrid>
      <w:tr w:rsidR="00442CE5" w:rsidRPr="00B352C5" w14:paraId="4D63A231" w14:textId="77777777" w:rsidTr="00F228E2">
        <w:trPr>
          <w:tblHeader/>
        </w:trPr>
        <w:tc>
          <w:tcPr>
            <w:tcW w:w="3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5831B7" w14:textId="77777777" w:rsidR="00442CE5" w:rsidRPr="00B352C5" w:rsidRDefault="00442CE5" w:rsidP="00F228E2">
            <w:pPr>
              <w:keepLines/>
              <w:autoSpaceDE w:val="0"/>
              <w:autoSpaceDN w:val="0"/>
              <w:adjustRightInd w:val="0"/>
              <w:rPr>
                <w:b/>
                <w:bCs/>
              </w:rPr>
            </w:pPr>
            <w:r w:rsidRPr="00B352C5">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7820E1" w14:textId="77777777" w:rsidR="00442CE5" w:rsidRPr="00B352C5" w:rsidRDefault="00442CE5" w:rsidP="00F228E2">
            <w:pPr>
              <w:keepLines/>
              <w:autoSpaceDE w:val="0"/>
              <w:autoSpaceDN w:val="0"/>
              <w:adjustRightInd w:val="0"/>
              <w:rPr>
                <w:b/>
                <w:bCs/>
              </w:rPr>
            </w:pPr>
            <w:r w:rsidRPr="00B352C5">
              <w:rPr>
                <w:b/>
                <w:bCs/>
              </w:rPr>
              <w:t>Number of respondents</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24B0D" w14:textId="77777777" w:rsidR="00442CE5" w:rsidRPr="00B352C5" w:rsidRDefault="00442CE5" w:rsidP="00F228E2">
            <w:pPr>
              <w:keepLines/>
              <w:autoSpaceDE w:val="0"/>
              <w:autoSpaceDN w:val="0"/>
              <w:adjustRightInd w:val="0"/>
              <w:rPr>
                <w:b/>
                <w:bCs/>
              </w:rPr>
            </w:pPr>
            <w:r w:rsidRPr="00B352C5">
              <w:rPr>
                <w:b/>
                <w:bCs/>
              </w:rPr>
              <w:t>Total burden hours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56208B" w14:textId="77777777" w:rsidR="00442CE5" w:rsidRPr="00B352C5" w:rsidRDefault="00442CE5" w:rsidP="00F228E2">
            <w:pPr>
              <w:keepLines/>
              <w:autoSpaceDE w:val="0"/>
              <w:autoSpaceDN w:val="0"/>
              <w:adjustRightInd w:val="0"/>
              <w:rPr>
                <w:b/>
                <w:bCs/>
              </w:rPr>
            </w:pPr>
            <w:r w:rsidRPr="00B352C5">
              <w:rPr>
                <w:b/>
                <w:bCs/>
              </w:rPr>
              <w:t>Average hourly wage rate*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2B40DA" w14:textId="77777777" w:rsidR="00442CE5" w:rsidRPr="00B352C5" w:rsidRDefault="00442CE5" w:rsidP="00F228E2">
            <w:pPr>
              <w:keepLines/>
              <w:autoSpaceDE w:val="0"/>
              <w:autoSpaceDN w:val="0"/>
              <w:adjustRightInd w:val="0"/>
              <w:rPr>
                <w:b/>
                <w:bCs/>
              </w:rPr>
            </w:pPr>
            <w:r w:rsidRPr="00B352C5">
              <w:rPr>
                <w:b/>
                <w:bCs/>
              </w:rPr>
              <w:t>Total cost burden</w:t>
            </w:r>
          </w:p>
        </w:tc>
      </w:tr>
      <w:tr w:rsidR="00442CE5" w:rsidRPr="00B352C5" w14:paraId="02158ABD" w14:textId="77777777" w:rsidTr="00F228E2">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521815" w14:textId="77777777" w:rsidR="00442CE5" w:rsidRPr="00B352C5" w:rsidRDefault="00442CE5" w:rsidP="00F228E2">
            <w:pPr>
              <w:keepLines/>
              <w:autoSpaceDE w:val="0"/>
              <w:autoSpaceDN w:val="0"/>
              <w:adjustRightInd w:val="0"/>
              <w:rPr>
                <w:bCs/>
              </w:rPr>
            </w:pPr>
            <w:r w:rsidRPr="00B352C5">
              <w:rPr>
                <w:bCs/>
              </w:rPr>
              <w:t>Training participant questionnaire</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22728EC9" w14:textId="77777777" w:rsidR="00442CE5" w:rsidRPr="00B352C5" w:rsidRDefault="00442CE5" w:rsidP="00F228E2">
            <w:pPr>
              <w:keepLines/>
              <w:autoSpaceDE w:val="0"/>
              <w:autoSpaceDN w:val="0"/>
              <w:adjustRightInd w:val="0"/>
              <w:rPr>
                <w:bCs/>
              </w:rPr>
            </w:pPr>
            <w:r w:rsidRPr="00B352C5">
              <w:rPr>
                <w:bCs/>
              </w:rPr>
              <w:t>3,000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14:paraId="1FDC6E7F" w14:textId="77777777" w:rsidR="00442CE5" w:rsidRPr="00B352C5" w:rsidRDefault="00442CE5" w:rsidP="00F228E2">
            <w:pPr>
              <w:keepLines/>
              <w:autoSpaceDE w:val="0"/>
              <w:autoSpaceDN w:val="0"/>
              <w:adjustRightInd w:val="0"/>
              <w:rPr>
                <w:bCs/>
              </w:rPr>
            </w:pPr>
            <w:r w:rsidRPr="00B352C5">
              <w:rPr>
                <w:bCs/>
              </w:rPr>
              <w:t>1,000</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14:paraId="6687AE77" w14:textId="3CD44398" w:rsidR="00442CE5" w:rsidRPr="00B352C5" w:rsidRDefault="00442CE5" w:rsidP="005E7699">
            <w:pPr>
              <w:keepLines/>
              <w:autoSpaceDE w:val="0"/>
              <w:autoSpaceDN w:val="0"/>
              <w:adjustRightInd w:val="0"/>
              <w:rPr>
                <w:b/>
                <w:bCs/>
              </w:rPr>
            </w:pPr>
            <w:r w:rsidRPr="00B352C5">
              <w:rPr>
                <w:bCs/>
              </w:rPr>
              <w:t>$4</w:t>
            </w:r>
            <w:r w:rsidR="005E7699">
              <w:rPr>
                <w:bCs/>
              </w:rPr>
              <w:t>5</w:t>
            </w:r>
            <w:r w:rsidRPr="00B352C5">
              <w:rPr>
                <w:bCs/>
              </w:rPr>
              <w:t>.</w:t>
            </w:r>
            <w:r w:rsidR="005E7699">
              <w:rPr>
                <w:bCs/>
              </w:rPr>
              <w:t>32</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14:paraId="7E3CEB23" w14:textId="1C7CC3D2" w:rsidR="00442CE5" w:rsidRPr="00B352C5" w:rsidRDefault="00442CE5" w:rsidP="00F228E2">
            <w:pPr>
              <w:keepLines/>
              <w:autoSpaceDE w:val="0"/>
              <w:autoSpaceDN w:val="0"/>
              <w:adjustRightInd w:val="0"/>
              <w:rPr>
                <w:bCs/>
              </w:rPr>
            </w:pPr>
            <w:r w:rsidRPr="00B352C5">
              <w:rPr>
                <w:bCs/>
              </w:rPr>
              <w:t>$</w:t>
            </w:r>
            <w:r w:rsidR="005E7699">
              <w:rPr>
                <w:bCs/>
              </w:rPr>
              <w:t>45,32</w:t>
            </w:r>
            <w:r w:rsidRPr="00B352C5">
              <w:rPr>
                <w:bCs/>
              </w:rPr>
              <w:t>0</w:t>
            </w:r>
          </w:p>
        </w:tc>
      </w:tr>
      <w:tr w:rsidR="00442CE5" w:rsidRPr="00B352C5" w14:paraId="677FADCF" w14:textId="77777777" w:rsidTr="00F228E2">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78333B" w14:textId="77777777" w:rsidR="00442CE5" w:rsidRPr="00B352C5" w:rsidRDefault="00442CE5" w:rsidP="00F228E2">
            <w:pPr>
              <w:keepLines/>
              <w:autoSpaceDE w:val="0"/>
              <w:autoSpaceDN w:val="0"/>
              <w:adjustRightInd w:val="0"/>
              <w:rPr>
                <w:b/>
                <w:bCs/>
              </w:rPr>
            </w:pPr>
            <w:r w:rsidRPr="00B352C5">
              <w:rPr>
                <w:bCs/>
              </w:rPr>
              <w:t>Total</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11520541" w14:textId="77777777" w:rsidR="00442CE5" w:rsidRPr="00B352C5" w:rsidRDefault="00442CE5" w:rsidP="00F228E2">
            <w:pPr>
              <w:keepLines/>
              <w:autoSpaceDE w:val="0"/>
              <w:autoSpaceDN w:val="0"/>
              <w:adjustRightInd w:val="0"/>
              <w:rPr>
                <w:bCs/>
              </w:rPr>
            </w:pPr>
            <w:r w:rsidRPr="00B352C5">
              <w:rPr>
                <w:bCs/>
              </w:rPr>
              <w:t>3,000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14:paraId="12A0362E" w14:textId="77777777" w:rsidR="00442CE5" w:rsidRPr="00B352C5" w:rsidRDefault="00442CE5" w:rsidP="00F228E2">
            <w:pPr>
              <w:keepLines/>
              <w:autoSpaceDE w:val="0"/>
              <w:autoSpaceDN w:val="0"/>
              <w:adjustRightInd w:val="0"/>
              <w:rPr>
                <w:bCs/>
              </w:rPr>
            </w:pPr>
            <w:r w:rsidRPr="00B352C5">
              <w:rPr>
                <w:bCs/>
              </w:rPr>
              <w:t>1,000</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14:paraId="274B3298" w14:textId="77777777" w:rsidR="00442CE5" w:rsidRPr="00B352C5" w:rsidRDefault="00442CE5" w:rsidP="00F228E2">
            <w:pPr>
              <w:keepLines/>
              <w:autoSpaceDE w:val="0"/>
              <w:autoSpaceDN w:val="0"/>
              <w:adjustRightInd w:val="0"/>
              <w:rPr>
                <w:bCs/>
              </w:rPr>
            </w:pPr>
            <w:r w:rsidRPr="00B352C5">
              <w:rPr>
                <w:bCs/>
              </w:rPr>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14:paraId="0AE0A752" w14:textId="45EE3CB6" w:rsidR="00442CE5" w:rsidRPr="00B352C5" w:rsidRDefault="005E7699" w:rsidP="005E7699">
            <w:pPr>
              <w:keepLines/>
              <w:autoSpaceDE w:val="0"/>
              <w:autoSpaceDN w:val="0"/>
              <w:adjustRightInd w:val="0"/>
              <w:rPr>
                <w:bCs/>
              </w:rPr>
            </w:pPr>
            <w:r>
              <w:rPr>
                <w:bCs/>
              </w:rPr>
              <w:t>$45</w:t>
            </w:r>
            <w:r w:rsidR="00442CE5" w:rsidRPr="00B352C5">
              <w:rPr>
                <w:bCs/>
              </w:rPr>
              <w:t>,</w:t>
            </w:r>
            <w:r>
              <w:rPr>
                <w:bCs/>
              </w:rPr>
              <w:t>32</w:t>
            </w:r>
            <w:r w:rsidR="00442CE5" w:rsidRPr="00B352C5">
              <w:rPr>
                <w:bCs/>
              </w:rPr>
              <w:t>0</w:t>
            </w:r>
          </w:p>
        </w:tc>
      </w:tr>
    </w:tbl>
    <w:p w14:paraId="60CFC1A4" w14:textId="17940B69" w:rsidR="005E7699" w:rsidRDefault="00442CE5" w:rsidP="004928C0">
      <w:r w:rsidRPr="00B352C5">
        <w:t>*Based on the mean of the average wages for all health professionals (29-0000) and wages for medical and health services managers (11-9111) for the training participant questionnaire presented in the National Compensation Survey: Occupational Wages in the United States, May 201</w:t>
      </w:r>
      <w:r>
        <w:t>6</w:t>
      </w:r>
      <w:r w:rsidRPr="00B352C5">
        <w:t>,</w:t>
      </w:r>
      <w:r w:rsidRPr="00B352C5" w:rsidDel="009B7FC6">
        <w:t xml:space="preserve"> </w:t>
      </w:r>
      <w:r w:rsidRPr="00B352C5">
        <w:t>U.S. Department of Labor, Bureau of Labor Statistics</w:t>
      </w:r>
      <w:r w:rsidR="005E7699">
        <w:t xml:space="preserve"> (</w:t>
      </w:r>
      <w:hyperlink r:id="rId12" w:history="1">
        <w:r w:rsidR="005E7699" w:rsidRPr="00A57FEA">
          <w:rPr>
            <w:rStyle w:val="Hyperlink"/>
          </w:rPr>
          <w:t>https://www.bls.gov/oes/current/oes_nat.htm</w:t>
        </w:r>
      </w:hyperlink>
      <w:r w:rsidR="005E7699">
        <w:t>).</w:t>
      </w:r>
    </w:p>
    <w:p w14:paraId="7D69F0FD" w14:textId="77777777" w:rsidR="005E7699" w:rsidRDefault="005E7699" w:rsidP="004928C0"/>
    <w:p w14:paraId="4412498B" w14:textId="77777777" w:rsidR="00E57A26" w:rsidRPr="00FB2F59" w:rsidRDefault="00E57A26" w:rsidP="00F85CCC">
      <w:pPr>
        <w:pStyle w:val="Heading2"/>
        <w:ind w:left="450" w:hanging="450"/>
      </w:pPr>
      <w:bookmarkStart w:id="45" w:name="_Toc196124491"/>
      <w:bookmarkStart w:id="46" w:name="_Toc257129388"/>
      <w:bookmarkStart w:id="47" w:name="_Toc377626224"/>
      <w:r w:rsidRPr="00FB2F59">
        <w:t>13. Estimates of Annualized Respondent Capital and Maintenance Costs</w:t>
      </w:r>
      <w:bookmarkEnd w:id="45"/>
      <w:bookmarkEnd w:id="46"/>
      <w:bookmarkEnd w:id="47"/>
    </w:p>
    <w:p w14:paraId="0C9C3FB4" w14:textId="77777777" w:rsidR="00E57A26" w:rsidRDefault="00E57A26" w:rsidP="00E57A26">
      <w:pPr>
        <w:spacing w:before="120"/>
      </w:pPr>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14:paraId="61448693" w14:textId="77777777" w:rsidR="00E57A26" w:rsidRPr="00FB2F59" w:rsidRDefault="00E57A26" w:rsidP="00FB2F59">
      <w:pPr>
        <w:pStyle w:val="Heading2"/>
      </w:pPr>
      <w:bookmarkStart w:id="48" w:name="_Toc196124492"/>
      <w:bookmarkStart w:id="49" w:name="_Toc257129389"/>
      <w:bookmarkStart w:id="50" w:name="_Toc377626225"/>
      <w:r w:rsidRPr="00FB2F59">
        <w:t>14. Estimates of Total and Annualized Cost to the Government</w:t>
      </w:r>
      <w:bookmarkEnd w:id="48"/>
      <w:bookmarkEnd w:id="49"/>
      <w:bookmarkEnd w:id="50"/>
    </w:p>
    <w:p w14:paraId="1CEB995C" w14:textId="50B3CE63" w:rsidR="00E57A26" w:rsidRDefault="00BE1866" w:rsidP="00E57A26">
      <w:pPr>
        <w:spacing w:before="120"/>
      </w:pPr>
      <w:r w:rsidRPr="00F95B24">
        <w:t>The total contractor cost to the government to conduct the one-time questionnaire</w:t>
      </w:r>
      <w:r w:rsidR="008D443B" w:rsidRPr="00F95B24">
        <w:t>,</w:t>
      </w:r>
      <w:r w:rsidRPr="00F95B24">
        <w:t xml:space="preserve"> as well as to analyze and present all results is estimated to be $</w:t>
      </w:r>
      <w:r w:rsidR="00F95B24" w:rsidRPr="00F95B24">
        <w:t>52,210</w:t>
      </w:r>
      <w:r w:rsidRPr="00F95B24">
        <w:t>. As shown in Exhibit 3a, this amount includes costs for collecting the data ($</w:t>
      </w:r>
      <w:r w:rsidR="00F95B24" w:rsidRPr="00F95B24">
        <w:t>36,222</w:t>
      </w:r>
      <w:r w:rsidRPr="00F95B24">
        <w:t>), analyzing the data ($</w:t>
      </w:r>
      <w:r w:rsidR="00F95B24" w:rsidRPr="00F95B24">
        <w:t>11,687</w:t>
      </w:r>
      <w:r w:rsidRPr="00F95B24">
        <w:t>), and reporting the findings ($</w:t>
      </w:r>
      <w:r w:rsidR="00F95B24" w:rsidRPr="00F95B24">
        <w:t>4,301</w:t>
      </w:r>
      <w:r w:rsidRPr="00F95B24">
        <w:t>).</w:t>
      </w:r>
    </w:p>
    <w:p w14:paraId="15671DBD" w14:textId="77777777" w:rsidR="00E57A26" w:rsidRDefault="00E57A26" w:rsidP="00E57A26">
      <w:pPr>
        <w:spacing w:before="120"/>
      </w:pPr>
    </w:p>
    <w:p w14:paraId="2FECA1CB" w14:textId="77777777" w:rsidR="00E57A26" w:rsidRDefault="00472E6E" w:rsidP="00E57A26">
      <w:r>
        <w:rPr>
          <w:b/>
          <w:bCs/>
          <w:color w:val="000000"/>
        </w:rPr>
        <w:t>Exhibit 3</w:t>
      </w:r>
      <w:r w:rsidR="00C63BE7">
        <w:rPr>
          <w:b/>
          <w:bCs/>
          <w:color w:val="000000"/>
        </w:rPr>
        <w:t>a</w:t>
      </w:r>
      <w:r>
        <w:rPr>
          <w:b/>
          <w:bCs/>
          <w:color w:val="000000"/>
        </w:rPr>
        <w:t>.</w:t>
      </w:r>
      <w:r w:rsidR="00E57A26">
        <w:rPr>
          <w:b/>
          <w:bCs/>
          <w:color w:val="000000"/>
        </w:rPr>
        <w:t xml:space="preserve"> Estimated Annualized </w:t>
      </w:r>
      <w:r w:rsidR="00ED21BC">
        <w:rPr>
          <w:b/>
          <w:bCs/>
          <w:color w:val="000000"/>
        </w:rPr>
        <w:t xml:space="preserve">Contractor </w:t>
      </w:r>
      <w:r w:rsidR="00E57A26">
        <w:rPr>
          <w:b/>
          <w:bCs/>
          <w:color w:val="000000"/>
        </w:rPr>
        <w:t>Cos</w:t>
      </w:r>
      <w:r w:rsidR="00407B83">
        <w:rPr>
          <w:b/>
          <w:bCs/>
          <w:color w:val="000000"/>
        </w:rPr>
        <w:t>t</w:t>
      </w:r>
    </w:p>
    <w:tbl>
      <w:tblPr>
        <w:tblW w:w="0" w:type="auto"/>
        <w:tblInd w:w="2" w:type="dxa"/>
        <w:tblCellMar>
          <w:left w:w="0" w:type="dxa"/>
          <w:right w:w="0" w:type="dxa"/>
        </w:tblCellMar>
        <w:tblLook w:val="0000" w:firstRow="0" w:lastRow="0" w:firstColumn="0" w:lastColumn="0" w:noHBand="0" w:noVBand="0"/>
      </w:tblPr>
      <w:tblGrid>
        <w:gridCol w:w="3708"/>
        <w:gridCol w:w="2428"/>
      </w:tblGrid>
      <w:tr w:rsidR="00E57A26" w14:paraId="68B261C5" w14:textId="77777777" w:rsidTr="00ED21BC">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407C330" w14:textId="77777777" w:rsidR="00E57A26" w:rsidRPr="00012FB9" w:rsidRDefault="00E57A26" w:rsidP="00E57A26">
            <w:pPr>
              <w:rPr>
                <w:b/>
                <w:bCs/>
              </w:rPr>
            </w:pPr>
            <w:r w:rsidRPr="00012FB9">
              <w:rPr>
                <w:b/>
                <w:bCs/>
                <w:color w:val="000000"/>
              </w:rPr>
              <w:t xml:space="preserve">Cost Component </w:t>
            </w:r>
          </w:p>
        </w:tc>
        <w:tc>
          <w:tcPr>
            <w:tcW w:w="2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D7C521" w14:textId="77777777" w:rsidR="00E57A26" w:rsidRPr="00012FB9" w:rsidRDefault="00C63BE7" w:rsidP="00E57A26">
            <w:pPr>
              <w:jc w:val="center"/>
              <w:rPr>
                <w:b/>
                <w:bCs/>
              </w:rPr>
            </w:pPr>
            <w:r>
              <w:rPr>
                <w:b/>
                <w:bCs/>
              </w:rPr>
              <w:t>Estimated Annualized</w:t>
            </w:r>
            <w:r w:rsidRPr="00012FB9">
              <w:rPr>
                <w:b/>
                <w:bCs/>
              </w:rPr>
              <w:t xml:space="preserve"> </w:t>
            </w:r>
            <w:r w:rsidR="00ED21BC">
              <w:rPr>
                <w:b/>
                <w:bCs/>
              </w:rPr>
              <w:t xml:space="preserve">Contractor </w:t>
            </w:r>
            <w:r w:rsidR="00E57A26" w:rsidRPr="00012FB9">
              <w:rPr>
                <w:b/>
                <w:bCs/>
              </w:rPr>
              <w:t>Cost</w:t>
            </w:r>
          </w:p>
        </w:tc>
      </w:tr>
      <w:tr w:rsidR="00E57A26" w14:paraId="3627E325" w14:textId="77777777" w:rsidTr="00ED21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42EA20" w14:textId="77777777" w:rsidR="00E57A26" w:rsidRDefault="00E57A26" w:rsidP="00E57A26">
            <w:r>
              <w:t>Data Collection Activities</w:t>
            </w:r>
          </w:p>
        </w:tc>
        <w:tc>
          <w:tcPr>
            <w:tcW w:w="24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1CD518" w14:textId="03C016B4" w:rsidR="00E57A26" w:rsidRPr="00F95B24" w:rsidRDefault="00E57A26" w:rsidP="00BE1866">
            <w:pPr>
              <w:jc w:val="center"/>
            </w:pPr>
            <w:r w:rsidRPr="00F95B24">
              <w:t>$</w:t>
            </w:r>
            <w:r w:rsidR="005E2DB2" w:rsidRPr="00F95B24">
              <w:t>36,222</w:t>
            </w:r>
          </w:p>
        </w:tc>
      </w:tr>
      <w:tr w:rsidR="00E57A26" w14:paraId="431A3F92" w14:textId="77777777" w:rsidTr="00ED21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41CBB9" w14:textId="77777777" w:rsidR="00E57A26" w:rsidRDefault="00E57A26" w:rsidP="00E57A26">
            <w:r>
              <w:t>Data Processing and Analysis</w:t>
            </w:r>
          </w:p>
        </w:tc>
        <w:tc>
          <w:tcPr>
            <w:tcW w:w="24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14468" w14:textId="7B339FA0" w:rsidR="00E57A26" w:rsidRPr="00F95B24" w:rsidRDefault="00E57A26" w:rsidP="00BE1866">
            <w:pPr>
              <w:jc w:val="center"/>
            </w:pPr>
            <w:r w:rsidRPr="00F95B24">
              <w:t>$</w:t>
            </w:r>
            <w:r w:rsidR="005E2DB2" w:rsidRPr="00F95B24">
              <w:t>11,687</w:t>
            </w:r>
          </w:p>
        </w:tc>
      </w:tr>
      <w:tr w:rsidR="00E57A26" w14:paraId="2FC20157" w14:textId="77777777" w:rsidTr="00ED21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58C31" w14:textId="77777777" w:rsidR="00E57A26" w:rsidRDefault="00E57A26" w:rsidP="00E57A26">
            <w:r>
              <w:t>Publication of Results</w:t>
            </w:r>
          </w:p>
        </w:tc>
        <w:tc>
          <w:tcPr>
            <w:tcW w:w="24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030EF" w14:textId="067FABB9" w:rsidR="00E57A26" w:rsidRPr="00F95B24" w:rsidRDefault="00E57A26" w:rsidP="00BE1866">
            <w:pPr>
              <w:jc w:val="center"/>
            </w:pPr>
            <w:r w:rsidRPr="00F95B24">
              <w:t>$</w:t>
            </w:r>
            <w:r w:rsidR="005E2DB2" w:rsidRPr="00F95B24">
              <w:t>4,301</w:t>
            </w:r>
          </w:p>
        </w:tc>
      </w:tr>
      <w:tr w:rsidR="00E57A26" w14:paraId="0128AC64" w14:textId="77777777" w:rsidTr="00ED21B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A2924" w14:textId="77777777" w:rsidR="00E57A26" w:rsidRPr="006D1C5E" w:rsidRDefault="00E57A26" w:rsidP="00E57A26">
            <w:r w:rsidRPr="006D1C5E">
              <w:rPr>
                <w:b/>
                <w:bCs/>
                <w:color w:val="000000"/>
              </w:rPr>
              <w:t>Total</w:t>
            </w:r>
          </w:p>
        </w:tc>
        <w:tc>
          <w:tcPr>
            <w:tcW w:w="24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92F4E" w14:textId="4278EABD" w:rsidR="00E57A26" w:rsidRPr="00F95B24" w:rsidRDefault="00E57A26" w:rsidP="00F95B24">
            <w:pPr>
              <w:jc w:val="center"/>
            </w:pPr>
            <w:r w:rsidRPr="00F95B24">
              <w:t>$</w:t>
            </w:r>
            <w:r w:rsidR="00F95B24">
              <w:t>52,210</w:t>
            </w:r>
          </w:p>
        </w:tc>
      </w:tr>
    </w:tbl>
    <w:p w14:paraId="106A1EC5" w14:textId="77777777" w:rsidR="00E57A26" w:rsidRDefault="00E57A26" w:rsidP="00E57A26">
      <w:pPr>
        <w:spacing w:before="120"/>
      </w:pPr>
    </w:p>
    <w:p w14:paraId="0E7A8A12" w14:textId="61E0D1F5" w:rsidR="0061051D" w:rsidRDefault="00A97FAB" w:rsidP="00A97FAB">
      <w:pPr>
        <w:pStyle w:val="CommentText"/>
        <w:rPr>
          <w:sz w:val="24"/>
        </w:rPr>
      </w:pPr>
      <w:r w:rsidRPr="008D443B">
        <w:rPr>
          <w:sz w:val="24"/>
          <w:szCs w:val="24"/>
        </w:rPr>
        <w:t xml:space="preserve">A </w:t>
      </w:r>
      <w:r w:rsidR="0058674F" w:rsidRPr="008D443B">
        <w:rPr>
          <w:sz w:val="24"/>
          <w:szCs w:val="24"/>
        </w:rPr>
        <w:t>Health Communications Specialist</w:t>
      </w:r>
      <w:r w:rsidRPr="008D443B">
        <w:rPr>
          <w:sz w:val="24"/>
          <w:szCs w:val="24"/>
        </w:rPr>
        <w:t xml:space="preserve"> (the Project Officer) will be responsible for project management and oversight. This will include oversight of the data collection approach and review of </w:t>
      </w:r>
      <w:r w:rsidR="00C63BE7" w:rsidRPr="008D443B">
        <w:rPr>
          <w:sz w:val="24"/>
          <w:szCs w:val="24"/>
        </w:rPr>
        <w:t xml:space="preserve">interim and final </w:t>
      </w:r>
      <w:r w:rsidRPr="008D443B">
        <w:rPr>
          <w:sz w:val="24"/>
          <w:szCs w:val="24"/>
        </w:rPr>
        <w:t>report</w:t>
      </w:r>
      <w:r w:rsidR="00C63BE7" w:rsidRPr="008D443B">
        <w:rPr>
          <w:sz w:val="24"/>
          <w:szCs w:val="24"/>
        </w:rPr>
        <w:t>s</w:t>
      </w:r>
      <w:r w:rsidRPr="008D443B">
        <w:rPr>
          <w:sz w:val="24"/>
          <w:szCs w:val="24"/>
        </w:rPr>
        <w:t xml:space="preserve"> of summarized results. The estimated cost to the Federal Government for these activities is provided in Exhibit 3b. The average </w:t>
      </w:r>
      <w:r w:rsidR="00C63BE7" w:rsidRPr="008D443B">
        <w:rPr>
          <w:sz w:val="24"/>
          <w:szCs w:val="24"/>
        </w:rPr>
        <w:t>annual</w:t>
      </w:r>
      <w:r w:rsidRPr="0021043D">
        <w:rPr>
          <w:sz w:val="24"/>
          <w:szCs w:val="24"/>
        </w:rPr>
        <w:t xml:space="preserve"> salary </w:t>
      </w:r>
      <w:r w:rsidR="0058674F" w:rsidRPr="0021043D">
        <w:rPr>
          <w:sz w:val="24"/>
          <w:szCs w:val="24"/>
        </w:rPr>
        <w:t xml:space="preserve">for </w:t>
      </w:r>
      <w:r w:rsidR="00CB7D66" w:rsidRPr="0021043D">
        <w:rPr>
          <w:sz w:val="24"/>
          <w:szCs w:val="24"/>
        </w:rPr>
        <w:t xml:space="preserve">the </w:t>
      </w:r>
      <w:r w:rsidR="00CB7D66" w:rsidRPr="0059140A">
        <w:rPr>
          <w:sz w:val="24"/>
          <w:szCs w:val="24"/>
        </w:rPr>
        <w:t xml:space="preserve">GS-13, Step 6 </w:t>
      </w:r>
      <w:r w:rsidRPr="0059140A">
        <w:rPr>
          <w:sz w:val="24"/>
          <w:szCs w:val="24"/>
        </w:rPr>
        <w:t>level is $</w:t>
      </w:r>
      <w:r w:rsidR="0061051D">
        <w:rPr>
          <w:sz w:val="24"/>
          <w:szCs w:val="24"/>
        </w:rPr>
        <w:t>110,595</w:t>
      </w:r>
      <w:r w:rsidRPr="0059140A">
        <w:rPr>
          <w:sz w:val="24"/>
          <w:szCs w:val="24"/>
        </w:rPr>
        <w:t>. Federal</w:t>
      </w:r>
      <w:r w:rsidRPr="0021043D">
        <w:rPr>
          <w:sz w:val="24"/>
          <w:szCs w:val="24"/>
        </w:rPr>
        <w:t xml:space="preserve"> salary information </w:t>
      </w:r>
      <w:r w:rsidR="0061051D">
        <w:rPr>
          <w:sz w:val="24"/>
          <w:szCs w:val="24"/>
        </w:rPr>
        <w:t>based on the 2017</w:t>
      </w:r>
      <w:r w:rsidR="00FC0F8D" w:rsidRPr="0021043D">
        <w:rPr>
          <w:sz w:val="24"/>
          <w:szCs w:val="24"/>
        </w:rPr>
        <w:t xml:space="preserve"> OPM Pay Schedule for the Washington/DC area </w:t>
      </w:r>
      <w:r w:rsidRPr="0021043D">
        <w:rPr>
          <w:sz w:val="24"/>
          <w:szCs w:val="24"/>
        </w:rPr>
        <w:t xml:space="preserve">is available on the OPM website at </w:t>
      </w:r>
      <w:hyperlink r:id="rId13" w:history="1">
        <w:r w:rsidR="0061051D" w:rsidRPr="00F47F28">
          <w:rPr>
            <w:rStyle w:val="Hyperlink"/>
            <w:sz w:val="24"/>
          </w:rPr>
          <w:t>https://www.opm.gov/policy-data-oversight/pay-leave/salaries-wages/salary-tables/pdf/2017/DCB.pdf</w:t>
        </w:r>
      </w:hyperlink>
      <w:r w:rsidR="0061051D">
        <w:rPr>
          <w:sz w:val="24"/>
        </w:rPr>
        <w:t>.</w:t>
      </w:r>
    </w:p>
    <w:p w14:paraId="5C5E1A24" w14:textId="77777777" w:rsidR="00A97FAB" w:rsidRDefault="00A97FAB" w:rsidP="00A97FAB">
      <w:pPr>
        <w:pStyle w:val="CommentText"/>
        <w:rPr>
          <w:sz w:val="24"/>
          <w:szCs w:val="24"/>
        </w:rPr>
      </w:pPr>
    </w:p>
    <w:p w14:paraId="337814C3" w14:textId="77777777" w:rsidR="00173323" w:rsidRDefault="00173323" w:rsidP="00A97FAB">
      <w:pPr>
        <w:pStyle w:val="CommentText"/>
        <w:ind w:firstLine="90"/>
        <w:rPr>
          <w:b/>
          <w:sz w:val="24"/>
          <w:szCs w:val="24"/>
        </w:rPr>
      </w:pPr>
      <w:r>
        <w:rPr>
          <w:b/>
          <w:sz w:val="24"/>
          <w:szCs w:val="24"/>
        </w:rPr>
        <w:br w:type="page"/>
      </w:r>
    </w:p>
    <w:p w14:paraId="211DBF88" w14:textId="653B6AAB" w:rsidR="00A97FAB" w:rsidRPr="0021043D" w:rsidRDefault="00A97FAB" w:rsidP="00A97FAB">
      <w:pPr>
        <w:pStyle w:val="CommentText"/>
        <w:ind w:firstLine="90"/>
        <w:rPr>
          <w:b/>
          <w:sz w:val="24"/>
          <w:szCs w:val="24"/>
        </w:rPr>
      </w:pPr>
      <w:r w:rsidRPr="0021043D">
        <w:rPr>
          <w:b/>
          <w:sz w:val="24"/>
          <w:szCs w:val="24"/>
        </w:rPr>
        <w:t>Exhibit 3b. Federal Government Personnel Cost</w:t>
      </w:r>
    </w:p>
    <w:tbl>
      <w:tblPr>
        <w:tblW w:w="9128" w:type="dxa"/>
        <w:jc w:val="center"/>
        <w:tblLayout w:type="fixed"/>
        <w:tblCellMar>
          <w:left w:w="100" w:type="dxa"/>
          <w:right w:w="100" w:type="dxa"/>
        </w:tblCellMar>
        <w:tblLook w:val="04A0" w:firstRow="1" w:lastRow="0" w:firstColumn="1" w:lastColumn="0" w:noHBand="0" w:noVBand="1"/>
      </w:tblPr>
      <w:tblGrid>
        <w:gridCol w:w="1414"/>
        <w:gridCol w:w="2044"/>
        <w:gridCol w:w="1440"/>
        <w:gridCol w:w="1350"/>
        <w:gridCol w:w="1440"/>
        <w:gridCol w:w="1440"/>
      </w:tblGrid>
      <w:tr w:rsidR="00CB7D66" w:rsidRPr="0021043D" w14:paraId="0068EDB1" w14:textId="77777777" w:rsidTr="00CB7D66">
        <w:trPr>
          <w:cantSplit/>
          <w:trHeight w:val="403"/>
          <w:jc w:val="center"/>
        </w:trPr>
        <w:tc>
          <w:tcPr>
            <w:tcW w:w="1414" w:type="dxa"/>
            <w:tcBorders>
              <w:top w:val="single" w:sz="6" w:space="0" w:color="auto"/>
              <w:left w:val="single" w:sz="6" w:space="0" w:color="auto"/>
              <w:bottom w:val="nil"/>
              <w:right w:val="nil"/>
            </w:tcBorders>
            <w:vAlign w:val="bottom"/>
          </w:tcPr>
          <w:p w14:paraId="0D497FD4" w14:textId="77777777" w:rsidR="00C63BE7" w:rsidRPr="0021043D" w:rsidRDefault="00C63BE7" w:rsidP="004850C6">
            <w:pPr>
              <w:jc w:val="center"/>
              <w:rPr>
                <w:b/>
                <w:bCs/>
                <w:sz w:val="20"/>
              </w:rPr>
            </w:pPr>
            <w:r w:rsidRPr="0021043D">
              <w:rPr>
                <w:b/>
                <w:bCs/>
                <w:sz w:val="20"/>
              </w:rPr>
              <w:t>Activity</w:t>
            </w:r>
          </w:p>
        </w:tc>
        <w:tc>
          <w:tcPr>
            <w:tcW w:w="2044" w:type="dxa"/>
            <w:tcBorders>
              <w:top w:val="single" w:sz="6" w:space="0" w:color="auto"/>
              <w:left w:val="single" w:sz="6" w:space="0" w:color="auto"/>
              <w:bottom w:val="single" w:sz="6" w:space="0" w:color="auto"/>
              <w:right w:val="nil"/>
            </w:tcBorders>
            <w:vAlign w:val="bottom"/>
          </w:tcPr>
          <w:p w14:paraId="57B99D10" w14:textId="77777777" w:rsidR="00C63BE7" w:rsidRPr="0021043D" w:rsidRDefault="00C63BE7" w:rsidP="004850C6">
            <w:pPr>
              <w:jc w:val="center"/>
              <w:rPr>
                <w:b/>
                <w:bCs/>
                <w:sz w:val="20"/>
              </w:rPr>
            </w:pPr>
            <w:r w:rsidRPr="0021043D">
              <w:rPr>
                <w:b/>
                <w:bCs/>
                <w:sz w:val="20"/>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06CB5FBC" w14:textId="77777777" w:rsidR="00C63BE7" w:rsidRPr="0021043D" w:rsidRDefault="00C63BE7" w:rsidP="004850C6">
            <w:pPr>
              <w:jc w:val="center"/>
              <w:rPr>
                <w:b/>
                <w:bCs/>
                <w:sz w:val="20"/>
              </w:rPr>
            </w:pPr>
            <w:r w:rsidRPr="0021043D">
              <w:rPr>
                <w:b/>
                <w:bCs/>
                <w:sz w:val="20"/>
              </w:rPr>
              <w:t>Average Annual Salary</w:t>
            </w:r>
          </w:p>
        </w:tc>
        <w:tc>
          <w:tcPr>
            <w:tcW w:w="1350" w:type="dxa"/>
            <w:tcBorders>
              <w:top w:val="single" w:sz="6" w:space="0" w:color="auto"/>
              <w:left w:val="single" w:sz="6" w:space="0" w:color="auto"/>
              <w:bottom w:val="single" w:sz="6" w:space="0" w:color="auto"/>
              <w:right w:val="nil"/>
            </w:tcBorders>
            <w:vAlign w:val="bottom"/>
          </w:tcPr>
          <w:p w14:paraId="43245882" w14:textId="77777777" w:rsidR="00C63BE7" w:rsidRPr="0021043D" w:rsidRDefault="00C63BE7" w:rsidP="004850C6">
            <w:pPr>
              <w:jc w:val="center"/>
              <w:rPr>
                <w:b/>
                <w:bCs/>
                <w:sz w:val="20"/>
              </w:rPr>
            </w:pPr>
            <w:r w:rsidRPr="0021043D">
              <w:rPr>
                <w:b/>
                <w:bCs/>
                <w:sz w:val="20"/>
              </w:rPr>
              <w:t>Estimated Hours Per Year</w:t>
            </w:r>
          </w:p>
        </w:tc>
        <w:tc>
          <w:tcPr>
            <w:tcW w:w="1440" w:type="dxa"/>
            <w:tcBorders>
              <w:top w:val="single" w:sz="6" w:space="0" w:color="auto"/>
              <w:left w:val="single" w:sz="6" w:space="0" w:color="auto"/>
              <w:bottom w:val="single" w:sz="6" w:space="0" w:color="auto"/>
              <w:right w:val="single" w:sz="6" w:space="0" w:color="auto"/>
            </w:tcBorders>
            <w:vAlign w:val="bottom"/>
          </w:tcPr>
          <w:p w14:paraId="64644951" w14:textId="77777777" w:rsidR="00C63BE7" w:rsidRPr="0021043D" w:rsidRDefault="00C63BE7" w:rsidP="004850C6">
            <w:pPr>
              <w:jc w:val="center"/>
              <w:rPr>
                <w:b/>
                <w:bCs/>
                <w:sz w:val="20"/>
              </w:rPr>
            </w:pPr>
            <w:r w:rsidRPr="0021043D">
              <w:rPr>
                <w:b/>
                <w:bCs/>
                <w:sz w:val="20"/>
              </w:rPr>
              <w:t>Annual Cost</w:t>
            </w:r>
          </w:p>
        </w:tc>
        <w:tc>
          <w:tcPr>
            <w:tcW w:w="1440" w:type="dxa"/>
            <w:tcBorders>
              <w:top w:val="single" w:sz="6" w:space="0" w:color="auto"/>
              <w:left w:val="single" w:sz="6" w:space="0" w:color="auto"/>
              <w:bottom w:val="single" w:sz="6" w:space="0" w:color="auto"/>
              <w:right w:val="single" w:sz="6" w:space="0" w:color="auto"/>
            </w:tcBorders>
            <w:vAlign w:val="bottom"/>
          </w:tcPr>
          <w:p w14:paraId="765D9D50" w14:textId="77777777" w:rsidR="00C63BE7" w:rsidRPr="0021043D" w:rsidRDefault="00C63BE7" w:rsidP="00ED21BC">
            <w:pPr>
              <w:jc w:val="center"/>
              <w:rPr>
                <w:b/>
                <w:bCs/>
                <w:sz w:val="20"/>
              </w:rPr>
            </w:pPr>
            <w:r w:rsidRPr="0021043D">
              <w:rPr>
                <w:b/>
                <w:bCs/>
                <w:sz w:val="20"/>
              </w:rPr>
              <w:t>Total Cost</w:t>
            </w:r>
            <w:r w:rsidR="00ED21BC" w:rsidRPr="0021043D">
              <w:rPr>
                <w:b/>
                <w:bCs/>
                <w:sz w:val="20"/>
              </w:rPr>
              <w:t>*</w:t>
            </w:r>
          </w:p>
        </w:tc>
      </w:tr>
      <w:tr w:rsidR="00CB7D66" w:rsidRPr="0021043D" w14:paraId="17C08277" w14:textId="77777777" w:rsidTr="00CB7D66">
        <w:trPr>
          <w:cantSplit/>
          <w:trHeight w:val="403"/>
          <w:jc w:val="center"/>
        </w:trPr>
        <w:tc>
          <w:tcPr>
            <w:tcW w:w="1414" w:type="dxa"/>
            <w:tcBorders>
              <w:top w:val="single" w:sz="6" w:space="0" w:color="auto"/>
              <w:left w:val="single" w:sz="6" w:space="0" w:color="auto"/>
              <w:bottom w:val="nil"/>
              <w:right w:val="nil"/>
            </w:tcBorders>
            <w:vAlign w:val="center"/>
          </w:tcPr>
          <w:p w14:paraId="54735ADE" w14:textId="77777777" w:rsidR="00C63BE7" w:rsidRPr="0021043D" w:rsidRDefault="00C63BE7" w:rsidP="0058674F">
            <w:pPr>
              <w:rPr>
                <w:sz w:val="20"/>
              </w:rPr>
            </w:pPr>
            <w:r w:rsidRPr="0021043D">
              <w:rPr>
                <w:sz w:val="20"/>
              </w:rPr>
              <w:t>Data Collection Oversight</w:t>
            </w:r>
          </w:p>
        </w:tc>
        <w:tc>
          <w:tcPr>
            <w:tcW w:w="2044" w:type="dxa"/>
            <w:tcBorders>
              <w:top w:val="single" w:sz="6" w:space="0" w:color="auto"/>
              <w:left w:val="single" w:sz="6" w:space="0" w:color="auto"/>
              <w:bottom w:val="single" w:sz="6" w:space="0" w:color="auto"/>
              <w:right w:val="nil"/>
            </w:tcBorders>
            <w:vAlign w:val="center"/>
          </w:tcPr>
          <w:p w14:paraId="6871DFFF" w14:textId="77777777" w:rsidR="00CB7D66" w:rsidRPr="00FA685E" w:rsidRDefault="0058674F" w:rsidP="00CB7D66">
            <w:pPr>
              <w:ind w:right="-126"/>
              <w:rPr>
                <w:sz w:val="20"/>
              </w:rPr>
            </w:pPr>
            <w:r w:rsidRPr="00FA685E">
              <w:rPr>
                <w:sz w:val="20"/>
              </w:rPr>
              <w:t xml:space="preserve">Health Communications Specialist </w:t>
            </w:r>
          </w:p>
          <w:p w14:paraId="73AB30B2" w14:textId="77777777" w:rsidR="00C63BE7" w:rsidRPr="00FA685E" w:rsidRDefault="0058674F" w:rsidP="00CB7D66">
            <w:pPr>
              <w:rPr>
                <w:sz w:val="20"/>
              </w:rPr>
            </w:pPr>
            <w:r w:rsidRPr="00FA685E">
              <w:rPr>
                <w:sz w:val="20"/>
              </w:rPr>
              <w:t>(GS-13, Step 6)</w:t>
            </w:r>
          </w:p>
        </w:tc>
        <w:tc>
          <w:tcPr>
            <w:tcW w:w="1440" w:type="dxa"/>
            <w:tcBorders>
              <w:top w:val="single" w:sz="6" w:space="0" w:color="auto"/>
              <w:left w:val="single" w:sz="6" w:space="0" w:color="auto"/>
              <w:bottom w:val="single" w:sz="6" w:space="0" w:color="auto"/>
              <w:right w:val="single" w:sz="6" w:space="0" w:color="auto"/>
            </w:tcBorders>
            <w:vAlign w:val="center"/>
          </w:tcPr>
          <w:p w14:paraId="09780E8F" w14:textId="1943C106" w:rsidR="00C63BE7" w:rsidRPr="00F95B24" w:rsidRDefault="00CB7D66" w:rsidP="0061051D">
            <w:pPr>
              <w:jc w:val="center"/>
              <w:rPr>
                <w:sz w:val="20"/>
              </w:rPr>
            </w:pPr>
            <w:r w:rsidRPr="00F95B24">
              <w:rPr>
                <w:sz w:val="20"/>
              </w:rPr>
              <w:t>$</w:t>
            </w:r>
            <w:r w:rsidR="00FC0F8D" w:rsidRPr="00F95B24">
              <w:rPr>
                <w:sz w:val="20"/>
              </w:rPr>
              <w:t>1</w:t>
            </w:r>
            <w:r w:rsidR="0061051D">
              <w:rPr>
                <w:sz w:val="20"/>
              </w:rPr>
              <w:t>10</w:t>
            </w:r>
            <w:r w:rsidR="00FC0F8D" w:rsidRPr="00F95B24">
              <w:rPr>
                <w:sz w:val="20"/>
              </w:rPr>
              <w:t>,</w:t>
            </w:r>
            <w:r w:rsidR="0061051D">
              <w:rPr>
                <w:sz w:val="20"/>
              </w:rPr>
              <w:t>595</w:t>
            </w:r>
          </w:p>
        </w:tc>
        <w:tc>
          <w:tcPr>
            <w:tcW w:w="1350" w:type="dxa"/>
            <w:tcBorders>
              <w:top w:val="single" w:sz="6" w:space="0" w:color="auto"/>
              <w:left w:val="single" w:sz="6" w:space="0" w:color="auto"/>
              <w:bottom w:val="single" w:sz="6" w:space="0" w:color="auto"/>
              <w:right w:val="nil"/>
            </w:tcBorders>
            <w:vAlign w:val="center"/>
          </w:tcPr>
          <w:p w14:paraId="5DD33B05" w14:textId="77777777" w:rsidR="00C63BE7" w:rsidRPr="008D443B" w:rsidRDefault="00C63BE7" w:rsidP="0058674F">
            <w:pPr>
              <w:jc w:val="center"/>
              <w:rPr>
                <w:sz w:val="20"/>
              </w:rPr>
            </w:pPr>
            <w:r w:rsidRPr="008D443B">
              <w:rPr>
                <w:sz w:val="20"/>
              </w:rPr>
              <w:t>6</w:t>
            </w:r>
          </w:p>
        </w:tc>
        <w:tc>
          <w:tcPr>
            <w:tcW w:w="1440" w:type="dxa"/>
            <w:tcBorders>
              <w:top w:val="single" w:sz="6" w:space="0" w:color="auto"/>
              <w:left w:val="single" w:sz="6" w:space="0" w:color="auto"/>
              <w:bottom w:val="single" w:sz="6" w:space="0" w:color="auto"/>
              <w:right w:val="single" w:sz="6" w:space="0" w:color="auto"/>
            </w:tcBorders>
            <w:vAlign w:val="center"/>
          </w:tcPr>
          <w:p w14:paraId="0B8C1C11" w14:textId="1E5C1307" w:rsidR="00C63BE7" w:rsidRPr="003026DE" w:rsidRDefault="00C63BE7" w:rsidP="0061051D">
            <w:pPr>
              <w:jc w:val="center"/>
              <w:rPr>
                <w:sz w:val="20"/>
              </w:rPr>
            </w:pPr>
            <w:r w:rsidRPr="003026DE">
              <w:rPr>
                <w:sz w:val="20"/>
              </w:rPr>
              <w:t>$</w:t>
            </w:r>
            <w:r w:rsidR="005E7699">
              <w:rPr>
                <w:sz w:val="20"/>
              </w:rPr>
              <w:t>319.02</w:t>
            </w:r>
          </w:p>
        </w:tc>
        <w:tc>
          <w:tcPr>
            <w:tcW w:w="1440" w:type="dxa"/>
            <w:tcBorders>
              <w:top w:val="single" w:sz="6" w:space="0" w:color="auto"/>
              <w:left w:val="single" w:sz="6" w:space="0" w:color="auto"/>
              <w:bottom w:val="single" w:sz="6" w:space="0" w:color="auto"/>
              <w:right w:val="single" w:sz="6" w:space="0" w:color="auto"/>
            </w:tcBorders>
            <w:vAlign w:val="center"/>
          </w:tcPr>
          <w:p w14:paraId="191D6536" w14:textId="4E3701F6" w:rsidR="00C63BE7" w:rsidRPr="003026DE" w:rsidRDefault="00ED21BC" w:rsidP="00173323">
            <w:pPr>
              <w:jc w:val="center"/>
              <w:rPr>
                <w:sz w:val="20"/>
              </w:rPr>
            </w:pPr>
            <w:r w:rsidRPr="003026DE">
              <w:rPr>
                <w:sz w:val="20"/>
              </w:rPr>
              <w:t>$</w:t>
            </w:r>
            <w:r w:rsidR="003026DE" w:rsidRPr="003026DE">
              <w:rPr>
                <w:sz w:val="20"/>
              </w:rPr>
              <w:t>6</w:t>
            </w:r>
            <w:r w:rsidR="00173323">
              <w:rPr>
                <w:sz w:val="20"/>
              </w:rPr>
              <w:t>91</w:t>
            </w:r>
            <w:r w:rsidR="003026DE" w:rsidRPr="003026DE">
              <w:rPr>
                <w:sz w:val="20"/>
              </w:rPr>
              <w:t>.</w:t>
            </w:r>
            <w:r w:rsidR="00173323">
              <w:rPr>
                <w:sz w:val="20"/>
              </w:rPr>
              <w:t>21</w:t>
            </w:r>
          </w:p>
        </w:tc>
      </w:tr>
      <w:tr w:rsidR="00CB7D66" w:rsidRPr="0021043D" w14:paraId="5843C639" w14:textId="77777777" w:rsidTr="00CB7D66">
        <w:trPr>
          <w:cantSplit/>
          <w:trHeight w:val="403"/>
          <w:jc w:val="center"/>
        </w:trPr>
        <w:tc>
          <w:tcPr>
            <w:tcW w:w="1414" w:type="dxa"/>
            <w:tcBorders>
              <w:top w:val="single" w:sz="6" w:space="0" w:color="auto"/>
              <w:left w:val="single" w:sz="6" w:space="0" w:color="auto"/>
              <w:bottom w:val="nil"/>
              <w:right w:val="nil"/>
            </w:tcBorders>
            <w:vAlign w:val="center"/>
          </w:tcPr>
          <w:p w14:paraId="4F59CB66" w14:textId="77777777" w:rsidR="00C63BE7" w:rsidRPr="0021043D" w:rsidRDefault="00C63BE7" w:rsidP="0058674F">
            <w:pPr>
              <w:rPr>
                <w:sz w:val="20"/>
              </w:rPr>
            </w:pPr>
            <w:r w:rsidRPr="0021043D">
              <w:rPr>
                <w:sz w:val="20"/>
              </w:rPr>
              <w:t>Review of Interim and Final Results</w:t>
            </w:r>
          </w:p>
        </w:tc>
        <w:tc>
          <w:tcPr>
            <w:tcW w:w="2044" w:type="dxa"/>
            <w:tcBorders>
              <w:top w:val="single" w:sz="6" w:space="0" w:color="auto"/>
              <w:left w:val="single" w:sz="6" w:space="0" w:color="auto"/>
              <w:bottom w:val="single" w:sz="6" w:space="0" w:color="auto"/>
              <w:right w:val="nil"/>
            </w:tcBorders>
            <w:vAlign w:val="center"/>
          </w:tcPr>
          <w:p w14:paraId="42DCDC6D" w14:textId="77777777" w:rsidR="00CB7D66" w:rsidRPr="00FA685E" w:rsidRDefault="0058674F" w:rsidP="00CB7D66">
            <w:pPr>
              <w:rPr>
                <w:sz w:val="20"/>
              </w:rPr>
            </w:pPr>
            <w:r w:rsidRPr="00FA685E">
              <w:rPr>
                <w:sz w:val="20"/>
              </w:rPr>
              <w:t>Health Communications Specialist</w:t>
            </w:r>
          </w:p>
          <w:p w14:paraId="2E01094E" w14:textId="77777777" w:rsidR="00C63BE7" w:rsidRPr="00FA685E" w:rsidRDefault="0058674F" w:rsidP="00CB7D66">
            <w:pPr>
              <w:rPr>
                <w:sz w:val="20"/>
              </w:rPr>
            </w:pPr>
            <w:r w:rsidRPr="00FA685E">
              <w:rPr>
                <w:sz w:val="20"/>
              </w:rPr>
              <w:t>(GS-13, Step 6)</w:t>
            </w:r>
          </w:p>
        </w:tc>
        <w:tc>
          <w:tcPr>
            <w:tcW w:w="1440" w:type="dxa"/>
            <w:tcBorders>
              <w:top w:val="single" w:sz="6" w:space="0" w:color="auto"/>
              <w:left w:val="single" w:sz="6" w:space="0" w:color="auto"/>
              <w:bottom w:val="single" w:sz="6" w:space="0" w:color="auto"/>
              <w:right w:val="single" w:sz="6" w:space="0" w:color="auto"/>
            </w:tcBorders>
            <w:vAlign w:val="center"/>
          </w:tcPr>
          <w:p w14:paraId="78CEC8A7" w14:textId="177ED50D" w:rsidR="00C63BE7" w:rsidRPr="00F95B24" w:rsidRDefault="00FC0F8D" w:rsidP="0061051D">
            <w:pPr>
              <w:jc w:val="center"/>
              <w:rPr>
                <w:sz w:val="20"/>
              </w:rPr>
            </w:pPr>
            <w:r w:rsidRPr="00F95B24">
              <w:rPr>
                <w:sz w:val="20"/>
              </w:rPr>
              <w:t>$1</w:t>
            </w:r>
            <w:r w:rsidR="0061051D">
              <w:rPr>
                <w:sz w:val="20"/>
              </w:rPr>
              <w:t>10</w:t>
            </w:r>
            <w:r w:rsidRPr="00F95B24">
              <w:rPr>
                <w:sz w:val="20"/>
              </w:rPr>
              <w:t>,</w:t>
            </w:r>
            <w:r w:rsidR="0061051D">
              <w:rPr>
                <w:sz w:val="20"/>
              </w:rPr>
              <w:t>595</w:t>
            </w:r>
          </w:p>
        </w:tc>
        <w:tc>
          <w:tcPr>
            <w:tcW w:w="1350" w:type="dxa"/>
            <w:tcBorders>
              <w:top w:val="single" w:sz="6" w:space="0" w:color="auto"/>
              <w:left w:val="single" w:sz="6" w:space="0" w:color="auto"/>
              <w:bottom w:val="single" w:sz="6" w:space="0" w:color="auto"/>
              <w:right w:val="nil"/>
            </w:tcBorders>
            <w:vAlign w:val="center"/>
          </w:tcPr>
          <w:p w14:paraId="2FF4AE46" w14:textId="77777777" w:rsidR="00C63BE7" w:rsidRPr="008D443B" w:rsidRDefault="00C63BE7" w:rsidP="0058674F">
            <w:pPr>
              <w:jc w:val="center"/>
              <w:rPr>
                <w:sz w:val="20"/>
              </w:rPr>
            </w:pPr>
            <w:r w:rsidRPr="008D443B">
              <w:rPr>
                <w:sz w:val="20"/>
              </w:rPr>
              <w:t>4</w:t>
            </w:r>
          </w:p>
        </w:tc>
        <w:tc>
          <w:tcPr>
            <w:tcW w:w="1440" w:type="dxa"/>
            <w:tcBorders>
              <w:top w:val="single" w:sz="6" w:space="0" w:color="auto"/>
              <w:left w:val="single" w:sz="6" w:space="0" w:color="auto"/>
              <w:bottom w:val="single" w:sz="6" w:space="0" w:color="auto"/>
              <w:right w:val="single" w:sz="6" w:space="0" w:color="auto"/>
            </w:tcBorders>
            <w:vAlign w:val="center"/>
          </w:tcPr>
          <w:p w14:paraId="58CE73CB" w14:textId="2D916F87" w:rsidR="00C63BE7" w:rsidRPr="003026DE" w:rsidRDefault="00C63BE7" w:rsidP="0061051D">
            <w:pPr>
              <w:jc w:val="center"/>
              <w:rPr>
                <w:sz w:val="20"/>
              </w:rPr>
            </w:pPr>
            <w:r w:rsidRPr="003026DE">
              <w:rPr>
                <w:sz w:val="20"/>
              </w:rPr>
              <w:t>$</w:t>
            </w:r>
            <w:r w:rsidR="005E7699">
              <w:rPr>
                <w:sz w:val="20"/>
              </w:rPr>
              <w:t>212.68</w:t>
            </w:r>
          </w:p>
        </w:tc>
        <w:tc>
          <w:tcPr>
            <w:tcW w:w="1440" w:type="dxa"/>
            <w:tcBorders>
              <w:top w:val="single" w:sz="6" w:space="0" w:color="auto"/>
              <w:left w:val="single" w:sz="6" w:space="0" w:color="auto"/>
              <w:bottom w:val="single" w:sz="6" w:space="0" w:color="auto"/>
              <w:right w:val="single" w:sz="6" w:space="0" w:color="auto"/>
            </w:tcBorders>
            <w:vAlign w:val="center"/>
          </w:tcPr>
          <w:p w14:paraId="033D0DB7" w14:textId="02086B9B" w:rsidR="00C63BE7" w:rsidRPr="003026DE" w:rsidRDefault="00ED21BC" w:rsidP="00173323">
            <w:pPr>
              <w:jc w:val="center"/>
              <w:rPr>
                <w:sz w:val="20"/>
              </w:rPr>
            </w:pPr>
            <w:r w:rsidRPr="003026DE">
              <w:rPr>
                <w:sz w:val="20"/>
              </w:rPr>
              <w:t>$</w:t>
            </w:r>
            <w:r w:rsidR="003026DE" w:rsidRPr="003026DE">
              <w:rPr>
                <w:sz w:val="20"/>
              </w:rPr>
              <w:t>4</w:t>
            </w:r>
            <w:r w:rsidR="00173323">
              <w:rPr>
                <w:sz w:val="20"/>
              </w:rPr>
              <w:t>60</w:t>
            </w:r>
            <w:r w:rsidR="00FC0F8D" w:rsidRPr="003026DE">
              <w:rPr>
                <w:sz w:val="20"/>
              </w:rPr>
              <w:t>.</w:t>
            </w:r>
            <w:r w:rsidR="00173323">
              <w:rPr>
                <w:sz w:val="20"/>
              </w:rPr>
              <w:t>81</w:t>
            </w:r>
          </w:p>
        </w:tc>
      </w:tr>
      <w:tr w:rsidR="00C63BE7" w:rsidRPr="0021043D" w14:paraId="5281ABE7" w14:textId="77777777" w:rsidTr="00ED21BC">
        <w:trPr>
          <w:cantSplit/>
          <w:trHeight w:val="403"/>
          <w:jc w:val="center"/>
        </w:trPr>
        <w:tc>
          <w:tcPr>
            <w:tcW w:w="6248" w:type="dxa"/>
            <w:gridSpan w:val="4"/>
            <w:tcBorders>
              <w:top w:val="single" w:sz="6" w:space="0" w:color="auto"/>
              <w:left w:val="single" w:sz="6" w:space="0" w:color="auto"/>
              <w:bottom w:val="single" w:sz="6" w:space="0" w:color="auto"/>
              <w:right w:val="nil"/>
            </w:tcBorders>
            <w:vAlign w:val="center"/>
            <w:hideMark/>
          </w:tcPr>
          <w:p w14:paraId="3B186103" w14:textId="77777777" w:rsidR="00C63BE7" w:rsidRPr="0021043D" w:rsidRDefault="00C63BE7" w:rsidP="00ED21BC">
            <w:pPr>
              <w:rPr>
                <w:b/>
                <w:bCs/>
                <w:sz w:val="20"/>
              </w:rPr>
            </w:pPr>
            <w:r w:rsidRPr="0021043D">
              <w:rPr>
                <w:b/>
                <w:bCs/>
                <w:sz w:val="20"/>
              </w:rPr>
              <w:t>Total</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14E7493" w14:textId="0185B89F" w:rsidR="00C63BE7" w:rsidRPr="003026DE" w:rsidRDefault="00C63BE7" w:rsidP="00173323">
            <w:pPr>
              <w:jc w:val="center"/>
              <w:rPr>
                <w:b/>
                <w:bCs/>
                <w:sz w:val="20"/>
              </w:rPr>
            </w:pPr>
            <w:r w:rsidRPr="003026DE">
              <w:rPr>
                <w:b/>
                <w:bCs/>
                <w:sz w:val="20"/>
              </w:rPr>
              <w:t>$</w:t>
            </w:r>
            <w:r w:rsidR="00FC0F8D" w:rsidRPr="003026DE">
              <w:rPr>
                <w:b/>
                <w:bCs/>
                <w:sz w:val="20"/>
              </w:rPr>
              <w:t>5</w:t>
            </w:r>
            <w:r w:rsidR="00173323">
              <w:rPr>
                <w:b/>
                <w:bCs/>
                <w:sz w:val="20"/>
              </w:rPr>
              <w:t>31</w:t>
            </w:r>
            <w:r w:rsidR="00FC0F8D" w:rsidRPr="003026DE">
              <w:rPr>
                <w:b/>
                <w:bCs/>
                <w:sz w:val="20"/>
              </w:rPr>
              <w:t>.</w:t>
            </w:r>
            <w:r w:rsidR="00173323">
              <w:rPr>
                <w:b/>
                <w:bCs/>
                <w:sz w:val="20"/>
              </w:rPr>
              <w:t>70</w:t>
            </w:r>
          </w:p>
        </w:tc>
        <w:tc>
          <w:tcPr>
            <w:tcW w:w="1440" w:type="dxa"/>
            <w:tcBorders>
              <w:top w:val="single" w:sz="6" w:space="0" w:color="auto"/>
              <w:left w:val="single" w:sz="6" w:space="0" w:color="auto"/>
              <w:bottom w:val="single" w:sz="6" w:space="0" w:color="auto"/>
              <w:right w:val="single" w:sz="6" w:space="0" w:color="auto"/>
            </w:tcBorders>
            <w:vAlign w:val="center"/>
          </w:tcPr>
          <w:p w14:paraId="29DB05FE" w14:textId="470C7057" w:rsidR="00C63BE7" w:rsidRPr="003026DE" w:rsidRDefault="00ED21BC" w:rsidP="00173323">
            <w:pPr>
              <w:jc w:val="center"/>
              <w:rPr>
                <w:b/>
                <w:bCs/>
                <w:sz w:val="20"/>
              </w:rPr>
            </w:pPr>
            <w:r w:rsidRPr="003026DE">
              <w:rPr>
                <w:b/>
                <w:bCs/>
                <w:sz w:val="20"/>
              </w:rPr>
              <w:t>$</w:t>
            </w:r>
            <w:r w:rsidR="00FC0F8D" w:rsidRPr="003026DE">
              <w:rPr>
                <w:b/>
                <w:bCs/>
                <w:sz w:val="20"/>
              </w:rPr>
              <w:t>1,</w:t>
            </w:r>
            <w:r w:rsidR="003026DE" w:rsidRPr="003026DE">
              <w:rPr>
                <w:b/>
                <w:bCs/>
                <w:sz w:val="20"/>
              </w:rPr>
              <w:t>1</w:t>
            </w:r>
            <w:r w:rsidR="00173323">
              <w:rPr>
                <w:b/>
                <w:bCs/>
                <w:sz w:val="20"/>
              </w:rPr>
              <w:t>52</w:t>
            </w:r>
            <w:r w:rsidR="00FC0F8D" w:rsidRPr="003026DE">
              <w:rPr>
                <w:b/>
                <w:bCs/>
                <w:sz w:val="20"/>
              </w:rPr>
              <w:t>.</w:t>
            </w:r>
            <w:r w:rsidR="00173323">
              <w:rPr>
                <w:b/>
                <w:bCs/>
                <w:sz w:val="20"/>
              </w:rPr>
              <w:t>02</w:t>
            </w:r>
          </w:p>
        </w:tc>
      </w:tr>
    </w:tbl>
    <w:p w14:paraId="53AC9376" w14:textId="789272D3" w:rsidR="00A97FAB" w:rsidRPr="0021043D" w:rsidRDefault="0059140A" w:rsidP="00A97FAB">
      <w:pPr>
        <w:rPr>
          <w:sz w:val="20"/>
        </w:rPr>
      </w:pPr>
      <w:r>
        <w:rPr>
          <w:sz w:val="20"/>
        </w:rPr>
        <w:t xml:space="preserve">*Total cost based on the </w:t>
      </w:r>
      <w:r w:rsidR="00F95B24">
        <w:rPr>
          <w:sz w:val="20"/>
        </w:rPr>
        <w:t>26</w:t>
      </w:r>
      <w:r>
        <w:rPr>
          <w:sz w:val="20"/>
        </w:rPr>
        <w:t>-month period of performance.</w:t>
      </w:r>
    </w:p>
    <w:p w14:paraId="1EA1E7D7" w14:textId="77777777" w:rsidR="00ED21BC" w:rsidRPr="0021043D" w:rsidRDefault="00ED21BC" w:rsidP="00A97FAB">
      <w:pPr>
        <w:rPr>
          <w:sz w:val="20"/>
        </w:rPr>
      </w:pPr>
    </w:p>
    <w:p w14:paraId="4447F201" w14:textId="765EA58B" w:rsidR="00A97FAB" w:rsidRDefault="00A97FAB" w:rsidP="00A97FAB">
      <w:pPr>
        <w:spacing w:before="120"/>
      </w:pPr>
      <w:r w:rsidRPr="00F95B24">
        <w:t xml:space="preserve">The </w:t>
      </w:r>
      <w:r w:rsidRPr="00F95B24">
        <w:rPr>
          <w:b/>
        </w:rPr>
        <w:t>estimated total annualized cost</w:t>
      </w:r>
      <w:r w:rsidRPr="00F95B24">
        <w:t xml:space="preserve"> for this </w:t>
      </w:r>
      <w:r w:rsidRPr="003026DE">
        <w:t xml:space="preserve">activity is </w:t>
      </w:r>
      <w:r w:rsidRPr="003026DE">
        <w:rPr>
          <w:b/>
        </w:rPr>
        <w:t>$</w:t>
      </w:r>
      <w:r w:rsidR="0017115A" w:rsidRPr="003026DE">
        <w:rPr>
          <w:b/>
        </w:rPr>
        <w:t>52,7</w:t>
      </w:r>
      <w:r w:rsidR="003026DE" w:rsidRPr="003026DE">
        <w:rPr>
          <w:b/>
        </w:rPr>
        <w:t>4</w:t>
      </w:r>
      <w:r w:rsidR="00173323">
        <w:rPr>
          <w:b/>
        </w:rPr>
        <w:t>2</w:t>
      </w:r>
      <w:r w:rsidRPr="003026DE">
        <w:t xml:space="preserve">. This cost includes </w:t>
      </w:r>
      <w:r w:rsidR="00ED21BC" w:rsidRPr="003026DE">
        <w:t xml:space="preserve">annual </w:t>
      </w:r>
      <w:r w:rsidRPr="003026DE">
        <w:t>contractor costs ($</w:t>
      </w:r>
      <w:r w:rsidR="0017115A" w:rsidRPr="003026DE">
        <w:t>52,210</w:t>
      </w:r>
      <w:r w:rsidRPr="003026DE">
        <w:t>) and Federal personnel costs ($</w:t>
      </w:r>
      <w:r w:rsidR="00FC0F8D" w:rsidRPr="003026DE">
        <w:t>5</w:t>
      </w:r>
      <w:r w:rsidR="00173323">
        <w:t>32</w:t>
      </w:r>
      <w:r w:rsidRPr="003026DE">
        <w:t>).</w:t>
      </w:r>
      <w:r>
        <w:t xml:space="preserve"> </w:t>
      </w:r>
    </w:p>
    <w:p w14:paraId="171BF478" w14:textId="77777777" w:rsidR="00E57A26" w:rsidRPr="00FB2F59" w:rsidRDefault="00E57A26" w:rsidP="00FB2F59">
      <w:pPr>
        <w:pStyle w:val="Heading2"/>
      </w:pPr>
      <w:bookmarkStart w:id="51" w:name="_Toc196124493"/>
      <w:bookmarkStart w:id="52" w:name="_Toc257129390"/>
      <w:bookmarkStart w:id="53" w:name="_Toc377626226"/>
      <w:r w:rsidRPr="00FB2F59">
        <w:t>15. Changes in Hour Burden</w:t>
      </w:r>
      <w:bookmarkEnd w:id="51"/>
      <w:bookmarkEnd w:id="52"/>
      <w:bookmarkEnd w:id="53"/>
    </w:p>
    <w:p w14:paraId="267E6CD9" w14:textId="77777777" w:rsidR="00E57A26" w:rsidRPr="00CB7694" w:rsidRDefault="00E57A26" w:rsidP="00E57A26">
      <w:pPr>
        <w:spacing w:before="120"/>
      </w:pPr>
      <w:r>
        <w:t>This is a new collection of information.</w:t>
      </w:r>
    </w:p>
    <w:p w14:paraId="5B227EB9" w14:textId="77777777" w:rsidR="00E57A26" w:rsidRPr="00FB2F59" w:rsidRDefault="00E57A26" w:rsidP="00FB2F59">
      <w:pPr>
        <w:pStyle w:val="Heading2"/>
      </w:pPr>
      <w:bookmarkStart w:id="54" w:name="_Toc196124494"/>
      <w:bookmarkStart w:id="55" w:name="_Toc257129391"/>
      <w:bookmarkStart w:id="56" w:name="_Toc377626227"/>
      <w:r w:rsidRPr="00FB2F59">
        <w:t>16. Time Schedule, Publication</w:t>
      </w:r>
      <w:r w:rsidR="002D797E">
        <w:t>,</w:t>
      </w:r>
      <w:r w:rsidRPr="00FB2F59">
        <w:t xml:space="preserve"> and Analysis Plans</w:t>
      </w:r>
      <w:bookmarkEnd w:id="54"/>
      <w:bookmarkEnd w:id="55"/>
      <w:bookmarkEnd w:id="56"/>
    </w:p>
    <w:p w14:paraId="55645A65" w14:textId="77777777" w:rsidR="00E57A26" w:rsidRDefault="00E57A26" w:rsidP="00E57A26">
      <w:pPr>
        <w:spacing w:before="120"/>
      </w:pPr>
      <w:r>
        <w:t>The time schedule for the data collection, data analysis, and final report preparation is presented in Exhibit 4.</w:t>
      </w:r>
    </w:p>
    <w:p w14:paraId="05ECB0B5" w14:textId="77777777" w:rsidR="00E57A26" w:rsidRDefault="00E57A26" w:rsidP="00E57A26">
      <w:pPr>
        <w:spacing w:before="120"/>
      </w:pPr>
    </w:p>
    <w:p w14:paraId="6443C553" w14:textId="689EB61B" w:rsidR="00E57A26" w:rsidRPr="0070211C" w:rsidRDefault="00E57A26" w:rsidP="00E57A26">
      <w:pPr>
        <w:spacing w:before="120"/>
        <w:rPr>
          <w:b/>
          <w:bCs/>
          <w:sz w:val="22"/>
          <w:szCs w:val="22"/>
        </w:rPr>
      </w:pPr>
      <w:r w:rsidRPr="0070211C">
        <w:rPr>
          <w:b/>
          <w:bCs/>
          <w:sz w:val="22"/>
          <w:szCs w:val="22"/>
        </w:rPr>
        <w:t>Exhibit 4. Time</w:t>
      </w:r>
      <w:r w:rsidR="008D443B">
        <w:rPr>
          <w:b/>
          <w:bCs/>
          <w:sz w:val="22"/>
          <w:szCs w:val="22"/>
        </w:rPr>
        <w:t>f</w:t>
      </w:r>
      <w:r w:rsidRPr="0070211C">
        <w:rPr>
          <w:b/>
          <w:bCs/>
          <w:sz w:val="22"/>
          <w:szCs w:val="22"/>
        </w:rPr>
        <w:t xml:space="preserve">rame for </w:t>
      </w:r>
      <w:r w:rsidR="00810B1E" w:rsidRPr="0070211C">
        <w:rPr>
          <w:b/>
          <w:bCs/>
          <w:sz w:val="22"/>
          <w:szCs w:val="22"/>
        </w:rPr>
        <w:t>D</w:t>
      </w:r>
      <w:r w:rsidRPr="0070211C">
        <w:rPr>
          <w:b/>
          <w:bCs/>
          <w:sz w:val="22"/>
          <w:szCs w:val="22"/>
        </w:rPr>
        <w:t xml:space="preserve">ata </w:t>
      </w:r>
      <w:r w:rsidR="00810B1E" w:rsidRPr="0070211C">
        <w:rPr>
          <w:b/>
          <w:bCs/>
          <w:sz w:val="22"/>
          <w:szCs w:val="22"/>
        </w:rPr>
        <w:t>C</w:t>
      </w:r>
      <w:r w:rsidRPr="0070211C">
        <w:rPr>
          <w:b/>
          <w:bCs/>
          <w:sz w:val="22"/>
          <w:szCs w:val="22"/>
        </w:rPr>
        <w:t xml:space="preserve">ollection, </w:t>
      </w:r>
      <w:r w:rsidR="00810B1E" w:rsidRPr="0070211C">
        <w:rPr>
          <w:b/>
          <w:bCs/>
          <w:sz w:val="22"/>
          <w:szCs w:val="22"/>
        </w:rPr>
        <w:t>A</w:t>
      </w:r>
      <w:r w:rsidRPr="0070211C">
        <w:rPr>
          <w:b/>
          <w:bCs/>
          <w:sz w:val="22"/>
          <w:szCs w:val="22"/>
        </w:rPr>
        <w:t xml:space="preserve">nalysis, and </w:t>
      </w:r>
      <w:r w:rsidR="00810B1E" w:rsidRPr="0070211C">
        <w:rPr>
          <w:b/>
          <w:bCs/>
          <w:sz w:val="22"/>
          <w:szCs w:val="22"/>
        </w:rPr>
        <w:t>P</w:t>
      </w:r>
      <w:r w:rsidRPr="0070211C">
        <w:rPr>
          <w:b/>
          <w:bCs/>
          <w:sz w:val="22"/>
          <w:szCs w:val="22"/>
        </w:rPr>
        <w:t xml:space="preserve">reparation of </w:t>
      </w:r>
      <w:r w:rsidR="00C26BA1" w:rsidRPr="0070211C">
        <w:rPr>
          <w:b/>
          <w:bCs/>
          <w:sz w:val="22"/>
          <w:szCs w:val="22"/>
        </w:rPr>
        <w:t>F</w:t>
      </w:r>
      <w:r w:rsidRPr="0070211C">
        <w:rPr>
          <w:b/>
          <w:bCs/>
          <w:sz w:val="22"/>
          <w:szCs w:val="22"/>
        </w:rPr>
        <w:t xml:space="preserve">inal </w:t>
      </w:r>
      <w:r w:rsidR="00C26BA1" w:rsidRPr="0070211C">
        <w:rPr>
          <w:b/>
          <w:bCs/>
          <w:sz w:val="22"/>
          <w:szCs w:val="22"/>
        </w:rPr>
        <w:t>R</w:t>
      </w:r>
      <w:r w:rsidRPr="0070211C">
        <w:rPr>
          <w:b/>
          <w:bCs/>
          <w:sz w:val="22"/>
          <w:szCs w:val="22"/>
        </w:rPr>
        <w:t>eport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70"/>
      </w:tblGrid>
      <w:tr w:rsidR="00E57A26" w:rsidRPr="007A43F7" w14:paraId="45FFE96E" w14:textId="77777777" w:rsidTr="00E57A26">
        <w:tc>
          <w:tcPr>
            <w:tcW w:w="4428" w:type="dxa"/>
          </w:tcPr>
          <w:p w14:paraId="16F5FC7D" w14:textId="77777777" w:rsidR="00E57A26" w:rsidRPr="007A43F7" w:rsidRDefault="00E57A26" w:rsidP="00E57A26">
            <w:pPr>
              <w:spacing w:before="120"/>
              <w:rPr>
                <w:b/>
                <w:bCs/>
              </w:rPr>
            </w:pPr>
            <w:r w:rsidRPr="007A43F7">
              <w:rPr>
                <w:b/>
                <w:bCs/>
              </w:rPr>
              <w:t>Data Collection and Analysis</w:t>
            </w:r>
          </w:p>
        </w:tc>
        <w:tc>
          <w:tcPr>
            <w:tcW w:w="3870" w:type="dxa"/>
          </w:tcPr>
          <w:p w14:paraId="75E3FA22" w14:textId="59F87D07" w:rsidR="00E57A26" w:rsidRPr="007A43F7" w:rsidRDefault="00E57A26" w:rsidP="00007454">
            <w:pPr>
              <w:spacing w:before="120"/>
              <w:jc w:val="center"/>
              <w:rPr>
                <w:b/>
                <w:bCs/>
              </w:rPr>
            </w:pPr>
            <w:r w:rsidRPr="007A43F7">
              <w:rPr>
                <w:b/>
                <w:bCs/>
              </w:rPr>
              <w:t>Time</w:t>
            </w:r>
            <w:r w:rsidR="008D443B">
              <w:rPr>
                <w:b/>
                <w:bCs/>
              </w:rPr>
              <w:t>f</w:t>
            </w:r>
            <w:r w:rsidRPr="007A43F7">
              <w:rPr>
                <w:b/>
                <w:bCs/>
              </w:rPr>
              <w:t>rame</w:t>
            </w:r>
          </w:p>
        </w:tc>
      </w:tr>
      <w:tr w:rsidR="00E57A26" w14:paraId="6CFD0D54" w14:textId="77777777" w:rsidTr="003F75B2">
        <w:tc>
          <w:tcPr>
            <w:tcW w:w="4428" w:type="dxa"/>
            <w:vAlign w:val="center"/>
          </w:tcPr>
          <w:p w14:paraId="05AAFD34" w14:textId="77777777" w:rsidR="00E57A26" w:rsidRDefault="00E57A26" w:rsidP="003F75B2">
            <w:r>
              <w:t>Administer t</w:t>
            </w:r>
            <w:r w:rsidRPr="00064457">
              <w:t>raining participant</w:t>
            </w:r>
            <w:r>
              <w:t xml:space="preserve"> questionnaire</w:t>
            </w:r>
          </w:p>
        </w:tc>
        <w:tc>
          <w:tcPr>
            <w:tcW w:w="3870" w:type="dxa"/>
            <w:vAlign w:val="center"/>
          </w:tcPr>
          <w:p w14:paraId="0BC05802" w14:textId="77777777" w:rsidR="00E57A26" w:rsidRDefault="00E57A26" w:rsidP="003F75B2">
            <w:r>
              <w:t>Immediately on OMB approval</w:t>
            </w:r>
          </w:p>
        </w:tc>
      </w:tr>
      <w:tr w:rsidR="00E57A26" w14:paraId="3DF30DCC" w14:textId="77777777" w:rsidTr="003F75B2">
        <w:tc>
          <w:tcPr>
            <w:tcW w:w="4428" w:type="dxa"/>
            <w:vAlign w:val="center"/>
          </w:tcPr>
          <w:p w14:paraId="42F55018" w14:textId="77777777" w:rsidR="00E57A26" w:rsidRDefault="00E57A26" w:rsidP="003F75B2">
            <w:r>
              <w:t>Analyze data</w:t>
            </w:r>
          </w:p>
        </w:tc>
        <w:tc>
          <w:tcPr>
            <w:tcW w:w="3870" w:type="dxa"/>
            <w:vAlign w:val="center"/>
          </w:tcPr>
          <w:p w14:paraId="580E76DE" w14:textId="77777777" w:rsidR="00E57A26" w:rsidRDefault="00E57A26" w:rsidP="003F75B2">
            <w:r>
              <w:t>60 days from end of data collection</w:t>
            </w:r>
          </w:p>
        </w:tc>
      </w:tr>
      <w:tr w:rsidR="00E57A26" w14:paraId="521130E1" w14:textId="77777777" w:rsidTr="003F75B2">
        <w:tc>
          <w:tcPr>
            <w:tcW w:w="4428" w:type="dxa"/>
            <w:vAlign w:val="center"/>
          </w:tcPr>
          <w:p w14:paraId="30651B36" w14:textId="77777777" w:rsidR="00E57A26" w:rsidRDefault="00E57A26" w:rsidP="003F75B2">
            <w:r>
              <w:t>Prepare final report</w:t>
            </w:r>
          </w:p>
        </w:tc>
        <w:tc>
          <w:tcPr>
            <w:tcW w:w="3870" w:type="dxa"/>
            <w:vAlign w:val="center"/>
          </w:tcPr>
          <w:p w14:paraId="31D1A0C3" w14:textId="77777777" w:rsidR="00E57A26" w:rsidRDefault="00E57A26" w:rsidP="003F75B2">
            <w:r>
              <w:t>90 days from end of data analysis</w:t>
            </w:r>
          </w:p>
        </w:tc>
      </w:tr>
    </w:tbl>
    <w:p w14:paraId="788D11FC" w14:textId="77777777" w:rsidR="00E57A26" w:rsidRDefault="00E57A26" w:rsidP="00E57A26"/>
    <w:p w14:paraId="56F7E01D" w14:textId="292E2BEC" w:rsidR="00E57A26" w:rsidRPr="00114A51" w:rsidRDefault="00B45C22" w:rsidP="00E57A26">
      <w:pPr>
        <w:autoSpaceDE w:val="0"/>
        <w:autoSpaceDN w:val="0"/>
        <w:adjustRightInd w:val="0"/>
      </w:pPr>
      <w:r>
        <w:t xml:space="preserve">The contractor team </w:t>
      </w:r>
      <w:r w:rsidR="00E57A26">
        <w:t xml:space="preserve">will analyze the survey data to identify trends in </w:t>
      </w:r>
      <w:r w:rsidR="00E233E5">
        <w:t xml:space="preserve">use </w:t>
      </w:r>
      <w:r w:rsidR="00E57A26">
        <w:t xml:space="preserve">of the TeamSTEPPS 2.0 Online </w:t>
      </w:r>
      <w:r w:rsidR="003F75B2">
        <w:t xml:space="preserve">Master </w:t>
      </w:r>
      <w:r w:rsidR="000915DB">
        <w:t xml:space="preserve">Trainer </w:t>
      </w:r>
      <w:r w:rsidR="00E57A26">
        <w:t>curriculum, as well as the perceived impact of the progr</w:t>
      </w:r>
      <w:r w:rsidR="003F75B2">
        <w:t xml:space="preserve">am on organizational outcomes. </w:t>
      </w:r>
      <w:r w:rsidR="00E57A26">
        <w:t xml:space="preserve">To that end, a three-phase analysis </w:t>
      </w:r>
      <w:r w:rsidR="003F75B2">
        <w:t xml:space="preserve">is proposed. This analysis </w:t>
      </w:r>
      <w:r w:rsidR="00E57A26">
        <w:t>includes (1) ensuring the quality of the data collected, (2) conducting descriptive analyses, and (3) conducting co</w:t>
      </w:r>
      <w:r w:rsidR="003F75B2">
        <w:t xml:space="preserve">mparisons of specific cohorts. </w:t>
      </w:r>
      <w:r w:rsidR="00E57A26">
        <w:t>These phases of analyses are described below.</w:t>
      </w:r>
    </w:p>
    <w:p w14:paraId="7E5DA434" w14:textId="77777777" w:rsidR="00E57A26" w:rsidRDefault="00E57A26" w:rsidP="00E57A26">
      <w:pPr>
        <w:autoSpaceDE w:val="0"/>
        <w:autoSpaceDN w:val="0"/>
        <w:adjustRightInd w:val="0"/>
      </w:pPr>
    </w:p>
    <w:p w14:paraId="69715FC4" w14:textId="35E420A9" w:rsidR="00E57A26" w:rsidRDefault="00E57A26" w:rsidP="00E57A26">
      <w:pPr>
        <w:autoSpaceDE w:val="0"/>
        <w:autoSpaceDN w:val="0"/>
        <w:adjustRightInd w:val="0"/>
      </w:pPr>
      <w:r w:rsidRPr="00114A51">
        <w:t>To ensure maximum integrity of the results, several data</w:t>
      </w:r>
      <w:r w:rsidR="00E233E5">
        <w:t>-</w:t>
      </w:r>
      <w:r w:rsidRPr="00114A51">
        <w:t>screening and checking procedures (Tabach</w:t>
      </w:r>
      <w:r>
        <w:t>n</w:t>
      </w:r>
      <w:r w:rsidRPr="00114A51">
        <w:t>i</w:t>
      </w:r>
      <w:r>
        <w:t>c</w:t>
      </w:r>
      <w:r w:rsidRPr="00114A51">
        <w:t>k &amp; Fidell, 1996)</w:t>
      </w:r>
      <w:r w:rsidR="003F75B2">
        <w:t xml:space="preserve"> will be conducted. </w:t>
      </w:r>
      <w:r w:rsidRPr="00114A51">
        <w:t xml:space="preserve">Specifically, data quality checks </w:t>
      </w:r>
      <w:r w:rsidR="003F75B2">
        <w:t xml:space="preserve">will be performed </w:t>
      </w:r>
      <w:r w:rsidRPr="00114A51">
        <w:t>by searching for deviant response ranges, anomalous response patterns, excessive missing data, extreme outliers, and highly skewed or ir</w:t>
      </w:r>
      <w:r w:rsidR="003F75B2">
        <w:t xml:space="preserve">regular distributions. </w:t>
      </w:r>
      <w:r w:rsidRPr="00114A51">
        <w:t xml:space="preserve">From these analyses, </w:t>
      </w:r>
      <w:r w:rsidR="003F75B2" w:rsidRPr="00114A51">
        <w:t xml:space="preserve">faulty data or data of poor measurement quality </w:t>
      </w:r>
      <w:r w:rsidRPr="00114A51">
        <w:t xml:space="preserve">will </w:t>
      </w:r>
      <w:r w:rsidR="003F75B2">
        <w:t xml:space="preserve">be </w:t>
      </w:r>
      <w:r w:rsidRPr="00114A51">
        <w:t>flag</w:t>
      </w:r>
      <w:r w:rsidR="003F75B2">
        <w:t>ged</w:t>
      </w:r>
      <w:r w:rsidRPr="00114A51">
        <w:t>, correct</w:t>
      </w:r>
      <w:r w:rsidR="003F75B2">
        <w:t>ed</w:t>
      </w:r>
      <w:r w:rsidRPr="00114A51">
        <w:t>, and/or eliminate</w:t>
      </w:r>
      <w:r w:rsidR="003F75B2">
        <w:t>d</w:t>
      </w:r>
      <w:r w:rsidR="005442E4">
        <w:t xml:space="preserve">. </w:t>
      </w:r>
      <w:r w:rsidRPr="00114A51">
        <w:t>For example, excessive missing data is an i</w:t>
      </w:r>
      <w:r w:rsidR="003F75B2">
        <w:t>ndicator of poor data quality. R</w:t>
      </w:r>
      <w:r w:rsidRPr="00114A51">
        <w:t xml:space="preserve">espondents who fail to respond to more than 10 percent of the protocol questions </w:t>
      </w:r>
      <w:r w:rsidR="00E233E5">
        <w:t>i</w:t>
      </w:r>
      <w:r w:rsidRPr="00114A51">
        <w:t xml:space="preserve">n the </w:t>
      </w:r>
      <w:r w:rsidR="00FA4F38">
        <w:t xml:space="preserve">Web </w:t>
      </w:r>
      <w:r w:rsidRPr="00114A51">
        <w:t xml:space="preserve">survey </w:t>
      </w:r>
      <w:r w:rsidR="003F75B2">
        <w:t xml:space="preserve">will be identified; </w:t>
      </w:r>
      <w:r w:rsidR="005442E4">
        <w:t>for these cases, the</w:t>
      </w:r>
      <w:r w:rsidRPr="00114A51">
        <w:t xml:space="preserve"> pattern of responses </w:t>
      </w:r>
      <w:r w:rsidR="005442E4">
        <w:t xml:space="preserve">will be reviewed </w:t>
      </w:r>
      <w:r w:rsidRPr="00114A51">
        <w:t xml:space="preserve">more carefully to determine if, for example, </w:t>
      </w:r>
      <w:r w:rsidR="005442E4">
        <w:t>a given</w:t>
      </w:r>
      <w:r w:rsidRPr="00114A51">
        <w:t xml:space="preserve"> respondent’s data</w:t>
      </w:r>
      <w:r w:rsidR="005442E4">
        <w:t xml:space="preserve"> should be eliminated. A</w:t>
      </w:r>
      <w:r w:rsidRPr="00114A51">
        <w:t xml:space="preserve">ny strategies </w:t>
      </w:r>
      <w:r>
        <w:t>that result in the elimination of data</w:t>
      </w:r>
      <w:r w:rsidRPr="00114A51">
        <w:t xml:space="preserve"> </w:t>
      </w:r>
      <w:r w:rsidR="005442E4">
        <w:t xml:space="preserve">will be jointly discussed by the contractor and AHRQ </w:t>
      </w:r>
      <w:r w:rsidRPr="00114A51">
        <w:t xml:space="preserve">representatives and then fully documented in the final report. </w:t>
      </w:r>
    </w:p>
    <w:p w14:paraId="3D73CC3A" w14:textId="77777777" w:rsidR="00E57A26" w:rsidRDefault="00E57A26" w:rsidP="00E57A26">
      <w:pPr>
        <w:autoSpaceDE w:val="0"/>
        <w:autoSpaceDN w:val="0"/>
        <w:adjustRightInd w:val="0"/>
      </w:pPr>
    </w:p>
    <w:p w14:paraId="1E6EA7BC" w14:textId="2CD7D74E" w:rsidR="00E57A26" w:rsidRPr="00114A51" w:rsidRDefault="00E57A26" w:rsidP="00E57A26">
      <w:pPr>
        <w:autoSpaceDE w:val="0"/>
        <w:autoSpaceDN w:val="0"/>
        <w:adjustRightInd w:val="0"/>
      </w:pPr>
      <w:r>
        <w:t xml:space="preserve">For the descriptive analyses, </w:t>
      </w:r>
      <w:r w:rsidR="00FA4F38">
        <w:t xml:space="preserve">IMPAQ </w:t>
      </w:r>
      <w:r>
        <w:t xml:space="preserve">will </w:t>
      </w:r>
      <w:r w:rsidR="005442E4">
        <w:t xml:space="preserve">employ the following approach: </w:t>
      </w:r>
      <w:r>
        <w:t xml:space="preserve">(1) </w:t>
      </w:r>
      <w:r w:rsidR="00FA4F38">
        <w:t>c</w:t>
      </w:r>
      <w:r>
        <w:t xml:space="preserve">ompute </w:t>
      </w:r>
      <w:r w:rsidRPr="00114A51">
        <w:t xml:space="preserve">a number of descriptive statistics for each variable measured by </w:t>
      </w:r>
      <w:r>
        <w:t xml:space="preserve">the </w:t>
      </w:r>
      <w:r w:rsidRPr="00114A51">
        <w:t>survey</w:t>
      </w:r>
      <w:r>
        <w:t xml:space="preserve">; (2) develop </w:t>
      </w:r>
      <w:r w:rsidRPr="00114A51">
        <w:t>early warning data protocols (specific statistical analyses to indicate significant variability, low response rates, or error in the data)</w:t>
      </w:r>
      <w:r>
        <w:t>; (3) conduct item analyses; and (4) conduct comprehensive group and subgroup analyses.</w:t>
      </w:r>
      <w:r w:rsidRPr="00114A51">
        <w:t xml:space="preserve">  </w:t>
      </w:r>
    </w:p>
    <w:p w14:paraId="1625A8E6" w14:textId="77777777" w:rsidR="00E57A26" w:rsidRDefault="00E57A26" w:rsidP="00E57A26">
      <w:pPr>
        <w:autoSpaceDE w:val="0"/>
        <w:autoSpaceDN w:val="0"/>
        <w:adjustRightInd w:val="0"/>
      </w:pPr>
    </w:p>
    <w:p w14:paraId="3DCD2B9D" w14:textId="0BC14E28" w:rsidR="00E57A26" w:rsidRPr="00114A51" w:rsidRDefault="00FA4F38" w:rsidP="00E57A26">
      <w:pPr>
        <w:autoSpaceDE w:val="0"/>
        <w:autoSpaceDN w:val="0"/>
        <w:adjustRightInd w:val="0"/>
      </w:pPr>
      <w:r>
        <w:t>IMPAQ</w:t>
      </w:r>
      <w:r w:rsidR="00E57A26">
        <w:t xml:space="preserve"> will calculate f</w:t>
      </w:r>
      <w:r w:rsidR="00E57A26" w:rsidRPr="00114A51">
        <w:t>requency distributions, means, and standard deviations for each closed-en</w:t>
      </w:r>
      <w:r w:rsidR="00E57A26">
        <w:t>ded item included in the survey</w:t>
      </w:r>
      <w:r w:rsidR="00E57A26" w:rsidRPr="00114A51">
        <w:t xml:space="preserve"> and combinations of related items that focus on a </w:t>
      </w:r>
      <w:r w:rsidR="00D62835">
        <w:t>particular variable or issue. I</w:t>
      </w:r>
      <w:r w:rsidR="00E57A26" w:rsidRPr="00114A51">
        <w:t xml:space="preserve">n addition, </w:t>
      </w:r>
      <w:r w:rsidR="00D62835">
        <w:t>Reingold</w:t>
      </w:r>
      <w:r w:rsidR="00E57A26" w:rsidRPr="00114A51">
        <w:t xml:space="preserve"> will calculate these statistics for each subgroup represented in the sample (e.g., year of </w:t>
      </w:r>
      <w:r w:rsidR="00E57A26">
        <w:t>training attendance</w:t>
      </w:r>
      <w:r w:rsidR="00E57A26" w:rsidRPr="00114A51">
        <w:t xml:space="preserve">) and conduct analyses to </w:t>
      </w:r>
      <w:r w:rsidR="00D62835">
        <w:t xml:space="preserve">identify subgroup differences. </w:t>
      </w:r>
      <w:r w:rsidR="00E57A26" w:rsidRPr="00114A51">
        <w:t>Frequency distributions will show the percentage of people who responded to each response option for each item includ</w:t>
      </w:r>
      <w:r w:rsidR="00D62835">
        <w:t xml:space="preserve">ed in the protocol. </w:t>
      </w:r>
      <w:r w:rsidR="00E57A26" w:rsidRPr="00114A51">
        <w:t>Means and standard deviations will be used to examine the relative importance of different items and item combinations that measure specific issue</w:t>
      </w:r>
      <w:r w:rsidR="00D62835">
        <w:t xml:space="preserve">s associated with each survey. </w:t>
      </w:r>
      <w:r w:rsidR="00E57A26" w:rsidRPr="00114A51">
        <w:t xml:space="preserve">Finally, standard deviations will be used to examine the level of agreement among respondents regarding issues that are identified as important.  </w:t>
      </w:r>
    </w:p>
    <w:p w14:paraId="030EF863" w14:textId="77777777" w:rsidR="00E57A26" w:rsidRDefault="00E57A26" w:rsidP="00E57A26">
      <w:pPr>
        <w:autoSpaceDE w:val="0"/>
        <w:autoSpaceDN w:val="0"/>
        <w:adjustRightInd w:val="0"/>
      </w:pPr>
    </w:p>
    <w:p w14:paraId="705B92FA" w14:textId="77777777" w:rsidR="00E57A26" w:rsidRDefault="00E57A26" w:rsidP="00E57A26">
      <w:pPr>
        <w:autoSpaceDE w:val="0"/>
        <w:autoSpaceDN w:val="0"/>
        <w:adjustRightInd w:val="0"/>
      </w:pPr>
      <w:r>
        <w:t>A few</w:t>
      </w:r>
      <w:r w:rsidRPr="00114A51">
        <w:t xml:space="preserve"> items included will be open-ended in nature as a means of following up on closed-ended items to obtain richer detail on unique activities being conducted post-</w:t>
      </w:r>
      <w:r w:rsidR="00D62835">
        <w:t>training. T</w:t>
      </w:r>
      <w:r>
        <w:t xml:space="preserve">he individual responses to the open-ended items </w:t>
      </w:r>
      <w:r w:rsidR="00D62835">
        <w:t xml:space="preserve">will be recorded, compiled, </w:t>
      </w:r>
      <w:r>
        <w:t>and examine</w:t>
      </w:r>
      <w:r w:rsidR="00D62835">
        <w:t>d</w:t>
      </w:r>
      <w:r>
        <w:t xml:space="preserve"> for any t</w:t>
      </w:r>
      <w:r w:rsidR="00D62835">
        <w:t xml:space="preserve">hemes or patterns of interest. </w:t>
      </w:r>
      <w:r>
        <w:t>If appropriate, codes will be defined based on the themes identified</w:t>
      </w:r>
      <w:r w:rsidR="00861E77">
        <w:t>,</w:t>
      </w:r>
      <w:r>
        <w:t xml:space="preserve"> and the open-ended responses would be coded into closed-ended categories, </w:t>
      </w:r>
      <w:r w:rsidR="00D62835">
        <w:t xml:space="preserve">which would then be tabulated. </w:t>
      </w:r>
      <w:r>
        <w:t xml:space="preserve">Otherwise, the results will be summarized in a memo. </w:t>
      </w:r>
    </w:p>
    <w:p w14:paraId="042276B0" w14:textId="77777777" w:rsidR="00E57A26" w:rsidRDefault="00E57A26" w:rsidP="00E57A26"/>
    <w:p w14:paraId="392FFDB4" w14:textId="77777777" w:rsidR="00E57A26" w:rsidRDefault="00E57A26" w:rsidP="00E57A26">
      <w:pPr>
        <w:widowControl w:val="0"/>
      </w:pPr>
      <w:r>
        <w:t xml:space="preserve">The data gathered from the survey will allow </w:t>
      </w:r>
      <w:r w:rsidR="00D62835">
        <w:t>the identification of</w:t>
      </w:r>
      <w:r>
        <w:t xml:space="preserve"> diffe</w:t>
      </w:r>
      <w:r w:rsidR="00D62835">
        <w:t xml:space="preserve">rences between roles that Master Trainers may fulfill. </w:t>
      </w:r>
      <w:r>
        <w:t xml:space="preserve">For example, </w:t>
      </w:r>
      <w:r w:rsidR="00D62835">
        <w:t>the analyses will include</w:t>
      </w:r>
      <w:r>
        <w:t xml:space="preserve"> comparisons of each TeamSTEPPS tool and strategy based on the ratings of usefulness by averaging the usefulness ratings of each tool across all participants</w:t>
      </w:r>
      <w:r w:rsidR="00D62835">
        <w:t xml:space="preserve">. Then, </w:t>
      </w:r>
      <w:r>
        <w:t xml:space="preserve">t-tests </w:t>
      </w:r>
      <w:r w:rsidR="00D62835">
        <w:t xml:space="preserve">will be conducted </w:t>
      </w:r>
      <w:r>
        <w:t>to assess the magnitud</w:t>
      </w:r>
      <w:r w:rsidR="00D62835">
        <w:t xml:space="preserve">e of any subgroup differences. </w:t>
      </w:r>
      <w:r>
        <w:t xml:space="preserve">In addition to conducting comparisons of tool usefulness, </w:t>
      </w:r>
      <w:r w:rsidR="00472E6E">
        <w:t>the analyses will compare</w:t>
      </w:r>
      <w:r>
        <w:t xml:space="preserve"> tool </w:t>
      </w:r>
      <w:r w:rsidR="00291099">
        <w:t xml:space="preserve">use </w:t>
      </w:r>
      <w:r>
        <w:t>and perceived impact, and will analyze variations in these characteristics by traini</w:t>
      </w:r>
      <w:r w:rsidR="00472E6E">
        <w:t>ng participant type. T</w:t>
      </w:r>
      <w:r>
        <w:t xml:space="preserve">-tests </w:t>
      </w:r>
      <w:r w:rsidR="00472E6E">
        <w:t xml:space="preserve">will be conducted </w:t>
      </w:r>
      <w:r>
        <w:t>to identify the magnitude of any differences</w:t>
      </w:r>
      <w:r w:rsidR="00472E6E">
        <w:t xml:space="preserve"> by training participant type. </w:t>
      </w:r>
      <w:r>
        <w:t xml:space="preserve">For example, </w:t>
      </w:r>
      <w:r w:rsidR="00472E6E">
        <w:t>these analyses will demonstrate</w:t>
      </w:r>
      <w:r>
        <w:t xml:space="preserve"> how useful a specific tool is for </w:t>
      </w:r>
      <w:r w:rsidR="00472E6E">
        <w:t xml:space="preserve">direct </w:t>
      </w:r>
      <w:r>
        <w:t>im</w:t>
      </w:r>
      <w:r w:rsidR="00472E6E">
        <w:t>plementers as opposed to those Master T</w:t>
      </w:r>
      <w:r>
        <w:t>rainers whose roles are primarily to facilitate implementat</w:t>
      </w:r>
      <w:r w:rsidR="00472E6E">
        <w:t>ion or training of TeamSTEPPS.</w:t>
      </w:r>
    </w:p>
    <w:p w14:paraId="0124ABF9" w14:textId="77777777" w:rsidR="009B633D" w:rsidRPr="00FB2F59" w:rsidRDefault="009B633D" w:rsidP="00FB2F59">
      <w:pPr>
        <w:pStyle w:val="Heading2"/>
      </w:pPr>
      <w:bookmarkStart w:id="57" w:name="_Toc151782196"/>
      <w:bookmarkStart w:id="58" w:name="_Toc158526232"/>
      <w:bookmarkStart w:id="59" w:name="_Toc377626228"/>
      <w:bookmarkEnd w:id="43"/>
      <w:bookmarkEnd w:id="44"/>
      <w:r w:rsidRPr="00FB2F59">
        <w:t>17. Exemption for Display of Expiration Date</w:t>
      </w:r>
      <w:bookmarkEnd w:id="57"/>
      <w:bookmarkEnd w:id="58"/>
      <w:bookmarkEnd w:id="59"/>
    </w:p>
    <w:p w14:paraId="76E6312B" w14:textId="77777777" w:rsidR="009B633D" w:rsidRDefault="009B633D" w:rsidP="009B633D">
      <w:r w:rsidRPr="004F03D2">
        <w:t>AHRQ does not seek this exemption</w:t>
      </w:r>
      <w:r>
        <w:t>.</w:t>
      </w:r>
    </w:p>
    <w:p w14:paraId="47C40326" w14:textId="77777777" w:rsidR="00DF2CBB" w:rsidRDefault="00DF2CBB" w:rsidP="00FB2F59">
      <w:pPr>
        <w:pStyle w:val="Heading2"/>
      </w:pPr>
      <w:bookmarkStart w:id="60" w:name="_Toc377626229"/>
      <w:r>
        <w:br w:type="page"/>
      </w:r>
    </w:p>
    <w:p w14:paraId="77F923EC" w14:textId="51370B94" w:rsidR="00016560" w:rsidRPr="00016560" w:rsidRDefault="00904CC3" w:rsidP="00FB2F59">
      <w:pPr>
        <w:pStyle w:val="Heading2"/>
      </w:pPr>
      <w:r>
        <w:t xml:space="preserve">List of </w:t>
      </w:r>
      <w:r w:rsidR="00016560" w:rsidRPr="00016560">
        <w:t>Attachments</w:t>
      </w:r>
      <w:bookmarkEnd w:id="60"/>
    </w:p>
    <w:p w14:paraId="2BE4104B" w14:textId="77777777" w:rsidR="00A8750C" w:rsidRDefault="00A8750C" w:rsidP="00A8750C"/>
    <w:p w14:paraId="6751D4F3" w14:textId="67D99EBA" w:rsidR="00A8750C" w:rsidRPr="008D443B" w:rsidRDefault="00A8750C" w:rsidP="00A8750C">
      <w:r w:rsidRPr="008D443B">
        <w:t xml:space="preserve">Attachment </w:t>
      </w:r>
      <w:r w:rsidR="00FA4F38">
        <w:t>A</w:t>
      </w:r>
      <w:r w:rsidR="00FA4F38" w:rsidRPr="008D443B">
        <w:t xml:space="preserve"> – </w:t>
      </w:r>
      <w:r w:rsidRPr="008D443B">
        <w:t xml:space="preserve">TeamSTEPPS </w:t>
      </w:r>
      <w:r w:rsidR="00115709" w:rsidRPr="008D443B">
        <w:t>2.0 Online</w:t>
      </w:r>
      <w:r w:rsidRPr="008D443B">
        <w:t xml:space="preserve"> Post-Training Survey</w:t>
      </w:r>
    </w:p>
    <w:p w14:paraId="19E2DC68" w14:textId="77777777" w:rsidR="008D443B" w:rsidRPr="008D443B" w:rsidRDefault="008D443B" w:rsidP="00A8750C"/>
    <w:p w14:paraId="0598219C" w14:textId="7477157B" w:rsidR="0021043D" w:rsidRPr="008D443B" w:rsidRDefault="0021043D" w:rsidP="00A8750C">
      <w:r w:rsidRPr="008D443B">
        <w:t xml:space="preserve">Attachment B – Advance </w:t>
      </w:r>
      <w:r w:rsidR="008D443B" w:rsidRPr="008D443B">
        <w:t>N</w:t>
      </w:r>
      <w:r w:rsidRPr="008D443B">
        <w:t xml:space="preserve">otice, </w:t>
      </w:r>
      <w:r w:rsidR="008D443B" w:rsidRPr="008D443B">
        <w:t>Invitation, Reminder Notice, and Thank You Letters for Training Participant Q</w:t>
      </w:r>
      <w:r w:rsidRPr="008D443B">
        <w:t>uestionnaire</w:t>
      </w:r>
    </w:p>
    <w:p w14:paraId="384E1DF6" w14:textId="77777777" w:rsidR="0021043D" w:rsidRPr="008D443B" w:rsidRDefault="0021043D" w:rsidP="00A8750C"/>
    <w:p w14:paraId="27E03A5D" w14:textId="1C59345E" w:rsidR="00A8750C" w:rsidRPr="00935332" w:rsidRDefault="00A8750C" w:rsidP="00A8750C">
      <w:r w:rsidRPr="008D443B">
        <w:t xml:space="preserve">Attachment </w:t>
      </w:r>
      <w:r w:rsidR="00FA4F38">
        <w:t>C</w:t>
      </w:r>
      <w:r w:rsidR="00FA4F38" w:rsidRPr="008D443B">
        <w:t xml:space="preserve"> – </w:t>
      </w:r>
      <w:r w:rsidRPr="008D443B">
        <w:t>Federal Register Notice</w:t>
      </w:r>
    </w:p>
    <w:p w14:paraId="602BCD03" w14:textId="77777777" w:rsidR="00A8750C" w:rsidRPr="00935332" w:rsidRDefault="00A8750C" w:rsidP="00A8750C"/>
    <w:p w14:paraId="1883A5B0" w14:textId="77777777" w:rsidR="00535B56" w:rsidRPr="00535B56" w:rsidRDefault="00535B56" w:rsidP="00A8750C">
      <w:pPr>
        <w:pStyle w:val="NormalWeb"/>
        <w:tabs>
          <w:tab w:val="left" w:pos="360"/>
        </w:tabs>
      </w:pPr>
    </w:p>
    <w:sectPr w:rsidR="00535B56" w:rsidRPr="00535B56" w:rsidSect="00870D9A">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9B73F" w14:textId="77777777" w:rsidR="00DC7FCB" w:rsidRDefault="00DC7FCB">
      <w:r>
        <w:separator/>
      </w:r>
    </w:p>
  </w:endnote>
  <w:endnote w:type="continuationSeparator" w:id="0">
    <w:p w14:paraId="78C0EF3F" w14:textId="77777777" w:rsidR="00DC7FCB" w:rsidRDefault="00DC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E61BF" w14:textId="77777777" w:rsidR="008D6FC6" w:rsidRDefault="008D6FC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8AD02" w14:textId="77777777" w:rsidR="008D6FC6" w:rsidRDefault="008D6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91DD" w14:textId="77777777" w:rsidR="008D6FC6" w:rsidRDefault="008D6FC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099">
      <w:rPr>
        <w:rStyle w:val="PageNumber"/>
        <w:noProof/>
      </w:rPr>
      <w:t>7</w:t>
    </w:r>
    <w:r>
      <w:rPr>
        <w:rStyle w:val="PageNumber"/>
      </w:rPr>
      <w:fldChar w:fldCharType="end"/>
    </w:r>
  </w:p>
  <w:p w14:paraId="4ED991CB" w14:textId="77777777" w:rsidR="008D6FC6" w:rsidRDefault="008D6FC6" w:rsidP="00870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91B36" w14:textId="77777777" w:rsidR="008D6FC6" w:rsidRDefault="008D6FC6">
    <w:pPr>
      <w:pStyle w:val="Footer"/>
      <w:jc w:val="center"/>
    </w:pPr>
    <w:r>
      <w:fldChar w:fldCharType="begin"/>
    </w:r>
    <w:r>
      <w:instrText xml:space="preserve"> PAGE   \* MERGEFORMAT </w:instrText>
    </w:r>
    <w:r>
      <w:fldChar w:fldCharType="separate"/>
    </w:r>
    <w:r w:rsidR="0086109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1DE9" w14:textId="77777777" w:rsidR="00DC7FCB" w:rsidRDefault="00DC7FCB">
      <w:r>
        <w:separator/>
      </w:r>
    </w:p>
  </w:footnote>
  <w:footnote w:type="continuationSeparator" w:id="0">
    <w:p w14:paraId="6DEB765D" w14:textId="77777777" w:rsidR="00DC7FCB" w:rsidRDefault="00DC7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44B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863E75"/>
    <w:multiLevelType w:val="hybridMultilevel"/>
    <w:tmpl w:val="23B6478C"/>
    <w:lvl w:ilvl="0" w:tplc="752E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4760F"/>
    <w:multiLevelType w:val="hybridMultilevel"/>
    <w:tmpl w:val="08B6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E6169"/>
    <w:multiLevelType w:val="hybridMultilevel"/>
    <w:tmpl w:val="FFC853BE"/>
    <w:lvl w:ilvl="0" w:tplc="752E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3636A"/>
    <w:multiLevelType w:val="hybridMultilevel"/>
    <w:tmpl w:val="95E0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7454"/>
    <w:rsid w:val="00011E85"/>
    <w:rsid w:val="00012921"/>
    <w:rsid w:val="00012FB9"/>
    <w:rsid w:val="00015AAF"/>
    <w:rsid w:val="00016560"/>
    <w:rsid w:val="0001692E"/>
    <w:rsid w:val="0002085A"/>
    <w:rsid w:val="000210F9"/>
    <w:rsid w:val="00024FEE"/>
    <w:rsid w:val="00033301"/>
    <w:rsid w:val="00037998"/>
    <w:rsid w:val="0004247D"/>
    <w:rsid w:val="00043473"/>
    <w:rsid w:val="00045959"/>
    <w:rsid w:val="00046359"/>
    <w:rsid w:val="000551EF"/>
    <w:rsid w:val="0005760B"/>
    <w:rsid w:val="00057844"/>
    <w:rsid w:val="00057C25"/>
    <w:rsid w:val="00060ED2"/>
    <w:rsid w:val="0006207D"/>
    <w:rsid w:val="000635EC"/>
    <w:rsid w:val="0007641D"/>
    <w:rsid w:val="000769F7"/>
    <w:rsid w:val="000779A9"/>
    <w:rsid w:val="00082047"/>
    <w:rsid w:val="000915DB"/>
    <w:rsid w:val="00094648"/>
    <w:rsid w:val="000A140E"/>
    <w:rsid w:val="000A3475"/>
    <w:rsid w:val="000B78CB"/>
    <w:rsid w:val="000D429E"/>
    <w:rsid w:val="000E01D1"/>
    <w:rsid w:val="000E4300"/>
    <w:rsid w:val="000E651D"/>
    <w:rsid w:val="000F1328"/>
    <w:rsid w:val="000F2B59"/>
    <w:rsid w:val="000F3D6D"/>
    <w:rsid w:val="00104DBD"/>
    <w:rsid w:val="00105C28"/>
    <w:rsid w:val="00112DF2"/>
    <w:rsid w:val="00115709"/>
    <w:rsid w:val="00120A0C"/>
    <w:rsid w:val="00124917"/>
    <w:rsid w:val="001301AA"/>
    <w:rsid w:val="00131443"/>
    <w:rsid w:val="00131DED"/>
    <w:rsid w:val="001436AA"/>
    <w:rsid w:val="0016672A"/>
    <w:rsid w:val="00166A69"/>
    <w:rsid w:val="0017115A"/>
    <w:rsid w:val="00173323"/>
    <w:rsid w:val="001868E0"/>
    <w:rsid w:val="00187A50"/>
    <w:rsid w:val="0019174C"/>
    <w:rsid w:val="001A28C0"/>
    <w:rsid w:val="001B1C61"/>
    <w:rsid w:val="001C59E4"/>
    <w:rsid w:val="001C69A2"/>
    <w:rsid w:val="001D3102"/>
    <w:rsid w:val="001D4B1F"/>
    <w:rsid w:val="001E55C5"/>
    <w:rsid w:val="001E63C6"/>
    <w:rsid w:val="001E6E92"/>
    <w:rsid w:val="001F206F"/>
    <w:rsid w:val="001F3785"/>
    <w:rsid w:val="00203309"/>
    <w:rsid w:val="00205D6E"/>
    <w:rsid w:val="0021043D"/>
    <w:rsid w:val="00211E70"/>
    <w:rsid w:val="0022366A"/>
    <w:rsid w:val="00230285"/>
    <w:rsid w:val="00241146"/>
    <w:rsid w:val="002530E7"/>
    <w:rsid w:val="0025427D"/>
    <w:rsid w:val="0026424E"/>
    <w:rsid w:val="00272E29"/>
    <w:rsid w:val="00274CA8"/>
    <w:rsid w:val="00281113"/>
    <w:rsid w:val="00286B57"/>
    <w:rsid w:val="00291099"/>
    <w:rsid w:val="00291B73"/>
    <w:rsid w:val="00291C0C"/>
    <w:rsid w:val="00294C04"/>
    <w:rsid w:val="002951EA"/>
    <w:rsid w:val="0029734C"/>
    <w:rsid w:val="002A688B"/>
    <w:rsid w:val="002B0A17"/>
    <w:rsid w:val="002B382B"/>
    <w:rsid w:val="002B7635"/>
    <w:rsid w:val="002C5064"/>
    <w:rsid w:val="002D797E"/>
    <w:rsid w:val="002E3213"/>
    <w:rsid w:val="002E54EF"/>
    <w:rsid w:val="002E798C"/>
    <w:rsid w:val="002F4DE8"/>
    <w:rsid w:val="003026DE"/>
    <w:rsid w:val="00310A52"/>
    <w:rsid w:val="00325B9C"/>
    <w:rsid w:val="00325C2C"/>
    <w:rsid w:val="00326026"/>
    <w:rsid w:val="003270FA"/>
    <w:rsid w:val="00340D97"/>
    <w:rsid w:val="0034325D"/>
    <w:rsid w:val="00350E4E"/>
    <w:rsid w:val="00361F52"/>
    <w:rsid w:val="00365B7B"/>
    <w:rsid w:val="0036765D"/>
    <w:rsid w:val="0037254D"/>
    <w:rsid w:val="00373D3C"/>
    <w:rsid w:val="0037427A"/>
    <w:rsid w:val="00377301"/>
    <w:rsid w:val="0037771B"/>
    <w:rsid w:val="00381B6A"/>
    <w:rsid w:val="0038217D"/>
    <w:rsid w:val="00395C4D"/>
    <w:rsid w:val="0039619F"/>
    <w:rsid w:val="003A0672"/>
    <w:rsid w:val="003A61F3"/>
    <w:rsid w:val="003B1EA3"/>
    <w:rsid w:val="003B2951"/>
    <w:rsid w:val="003B5859"/>
    <w:rsid w:val="003B6B41"/>
    <w:rsid w:val="003C60BD"/>
    <w:rsid w:val="003C7D46"/>
    <w:rsid w:val="003D21A7"/>
    <w:rsid w:val="003D3937"/>
    <w:rsid w:val="003D3C8C"/>
    <w:rsid w:val="003D73D8"/>
    <w:rsid w:val="003E2801"/>
    <w:rsid w:val="003F492B"/>
    <w:rsid w:val="003F4A38"/>
    <w:rsid w:val="003F5921"/>
    <w:rsid w:val="003F6A9C"/>
    <w:rsid w:val="003F75B2"/>
    <w:rsid w:val="00401C2A"/>
    <w:rsid w:val="00407B83"/>
    <w:rsid w:val="00414C80"/>
    <w:rsid w:val="004155E1"/>
    <w:rsid w:val="004219B1"/>
    <w:rsid w:val="00425974"/>
    <w:rsid w:val="00433DB3"/>
    <w:rsid w:val="00434A17"/>
    <w:rsid w:val="0043596B"/>
    <w:rsid w:val="00435C87"/>
    <w:rsid w:val="00440235"/>
    <w:rsid w:val="00442CE5"/>
    <w:rsid w:val="0044367F"/>
    <w:rsid w:val="0044769A"/>
    <w:rsid w:val="00450538"/>
    <w:rsid w:val="00452268"/>
    <w:rsid w:val="00456179"/>
    <w:rsid w:val="004670C2"/>
    <w:rsid w:val="00467163"/>
    <w:rsid w:val="00472E6E"/>
    <w:rsid w:val="0047504D"/>
    <w:rsid w:val="00477E26"/>
    <w:rsid w:val="00480197"/>
    <w:rsid w:val="00480368"/>
    <w:rsid w:val="00480523"/>
    <w:rsid w:val="004811AD"/>
    <w:rsid w:val="00481C4F"/>
    <w:rsid w:val="0048225F"/>
    <w:rsid w:val="00483A06"/>
    <w:rsid w:val="00483DCE"/>
    <w:rsid w:val="004850C6"/>
    <w:rsid w:val="004928C0"/>
    <w:rsid w:val="004A624D"/>
    <w:rsid w:val="004B1AEA"/>
    <w:rsid w:val="004C3BA7"/>
    <w:rsid w:val="004C4A74"/>
    <w:rsid w:val="004E16F6"/>
    <w:rsid w:val="004E3A1B"/>
    <w:rsid w:val="004F52A6"/>
    <w:rsid w:val="004F7150"/>
    <w:rsid w:val="0050001B"/>
    <w:rsid w:val="00501308"/>
    <w:rsid w:val="00510909"/>
    <w:rsid w:val="00511A70"/>
    <w:rsid w:val="00512D5D"/>
    <w:rsid w:val="00520CE0"/>
    <w:rsid w:val="00521D12"/>
    <w:rsid w:val="00523D78"/>
    <w:rsid w:val="00527BBD"/>
    <w:rsid w:val="00531857"/>
    <w:rsid w:val="00535B56"/>
    <w:rsid w:val="005402AF"/>
    <w:rsid w:val="00543738"/>
    <w:rsid w:val="005442E4"/>
    <w:rsid w:val="00556066"/>
    <w:rsid w:val="00556F5B"/>
    <w:rsid w:val="00560704"/>
    <w:rsid w:val="0056238F"/>
    <w:rsid w:val="00572EE9"/>
    <w:rsid w:val="00573FAD"/>
    <w:rsid w:val="00575ADB"/>
    <w:rsid w:val="00581FD2"/>
    <w:rsid w:val="00583D3A"/>
    <w:rsid w:val="0058674F"/>
    <w:rsid w:val="0059140A"/>
    <w:rsid w:val="00593E67"/>
    <w:rsid w:val="005941C9"/>
    <w:rsid w:val="005B1943"/>
    <w:rsid w:val="005B2955"/>
    <w:rsid w:val="005B3C01"/>
    <w:rsid w:val="005B62CF"/>
    <w:rsid w:val="005B6FAA"/>
    <w:rsid w:val="005B715B"/>
    <w:rsid w:val="005D0074"/>
    <w:rsid w:val="005D26E3"/>
    <w:rsid w:val="005D545B"/>
    <w:rsid w:val="005D74A9"/>
    <w:rsid w:val="005E2DB2"/>
    <w:rsid w:val="005E49B8"/>
    <w:rsid w:val="005E7699"/>
    <w:rsid w:val="005F0EE5"/>
    <w:rsid w:val="005F4B12"/>
    <w:rsid w:val="0060047D"/>
    <w:rsid w:val="006014DB"/>
    <w:rsid w:val="00604437"/>
    <w:rsid w:val="00606400"/>
    <w:rsid w:val="0061051D"/>
    <w:rsid w:val="00613C05"/>
    <w:rsid w:val="0062012E"/>
    <w:rsid w:val="00620B93"/>
    <w:rsid w:val="00621250"/>
    <w:rsid w:val="00625C1B"/>
    <w:rsid w:val="00626D1D"/>
    <w:rsid w:val="00631C81"/>
    <w:rsid w:val="006320C1"/>
    <w:rsid w:val="006332DF"/>
    <w:rsid w:val="00635119"/>
    <w:rsid w:val="00636A0C"/>
    <w:rsid w:val="00636B32"/>
    <w:rsid w:val="00644732"/>
    <w:rsid w:val="006545D6"/>
    <w:rsid w:val="00655A17"/>
    <w:rsid w:val="00673146"/>
    <w:rsid w:val="00673643"/>
    <w:rsid w:val="00676CC8"/>
    <w:rsid w:val="006804AA"/>
    <w:rsid w:val="006A28E1"/>
    <w:rsid w:val="006A4242"/>
    <w:rsid w:val="006A4D4E"/>
    <w:rsid w:val="006B5DF8"/>
    <w:rsid w:val="006B6361"/>
    <w:rsid w:val="006C45D0"/>
    <w:rsid w:val="006D1511"/>
    <w:rsid w:val="006D1C5E"/>
    <w:rsid w:val="006D3640"/>
    <w:rsid w:val="006E48F9"/>
    <w:rsid w:val="0070072D"/>
    <w:rsid w:val="0070211C"/>
    <w:rsid w:val="00703573"/>
    <w:rsid w:val="007109B1"/>
    <w:rsid w:val="00710C91"/>
    <w:rsid w:val="00713BEE"/>
    <w:rsid w:val="007208E0"/>
    <w:rsid w:val="00723075"/>
    <w:rsid w:val="00744D19"/>
    <w:rsid w:val="00747A7E"/>
    <w:rsid w:val="00747D2F"/>
    <w:rsid w:val="007504BC"/>
    <w:rsid w:val="00751222"/>
    <w:rsid w:val="0075215A"/>
    <w:rsid w:val="00752EA8"/>
    <w:rsid w:val="00765D1A"/>
    <w:rsid w:val="00766704"/>
    <w:rsid w:val="007700A7"/>
    <w:rsid w:val="007721F3"/>
    <w:rsid w:val="00776654"/>
    <w:rsid w:val="00794859"/>
    <w:rsid w:val="007A265C"/>
    <w:rsid w:val="007A5001"/>
    <w:rsid w:val="007B0CF3"/>
    <w:rsid w:val="007B3A8E"/>
    <w:rsid w:val="007C1ECB"/>
    <w:rsid w:val="007D4F9F"/>
    <w:rsid w:val="007E1674"/>
    <w:rsid w:val="007E4359"/>
    <w:rsid w:val="007E5D14"/>
    <w:rsid w:val="007E7D29"/>
    <w:rsid w:val="007F313A"/>
    <w:rsid w:val="007F4F49"/>
    <w:rsid w:val="007F768A"/>
    <w:rsid w:val="008020EE"/>
    <w:rsid w:val="0080328A"/>
    <w:rsid w:val="00803426"/>
    <w:rsid w:val="0080612B"/>
    <w:rsid w:val="00810B1E"/>
    <w:rsid w:val="00811735"/>
    <w:rsid w:val="008168C4"/>
    <w:rsid w:val="00817DA0"/>
    <w:rsid w:val="00824C9E"/>
    <w:rsid w:val="00825DA9"/>
    <w:rsid w:val="00826F55"/>
    <w:rsid w:val="0083145C"/>
    <w:rsid w:val="00832934"/>
    <w:rsid w:val="00841047"/>
    <w:rsid w:val="008450C0"/>
    <w:rsid w:val="008502FB"/>
    <w:rsid w:val="008540BE"/>
    <w:rsid w:val="008573ED"/>
    <w:rsid w:val="00861091"/>
    <w:rsid w:val="00861E61"/>
    <w:rsid w:val="00861E77"/>
    <w:rsid w:val="00862C7C"/>
    <w:rsid w:val="00870D9A"/>
    <w:rsid w:val="00872D9E"/>
    <w:rsid w:val="00873F74"/>
    <w:rsid w:val="00880DFE"/>
    <w:rsid w:val="00887F65"/>
    <w:rsid w:val="0089057B"/>
    <w:rsid w:val="00892655"/>
    <w:rsid w:val="00894BE7"/>
    <w:rsid w:val="008A30B9"/>
    <w:rsid w:val="008A4A99"/>
    <w:rsid w:val="008B593F"/>
    <w:rsid w:val="008C580E"/>
    <w:rsid w:val="008C5FF2"/>
    <w:rsid w:val="008C75DE"/>
    <w:rsid w:val="008D028E"/>
    <w:rsid w:val="008D443B"/>
    <w:rsid w:val="008D6FC6"/>
    <w:rsid w:val="008E4FC9"/>
    <w:rsid w:val="008E567E"/>
    <w:rsid w:val="008F0B8B"/>
    <w:rsid w:val="008F6F0C"/>
    <w:rsid w:val="00901FF8"/>
    <w:rsid w:val="009036D4"/>
    <w:rsid w:val="00904CC3"/>
    <w:rsid w:val="009374DF"/>
    <w:rsid w:val="00937E43"/>
    <w:rsid w:val="0094098B"/>
    <w:rsid w:val="0094102E"/>
    <w:rsid w:val="00946959"/>
    <w:rsid w:val="00951EA8"/>
    <w:rsid w:val="00953573"/>
    <w:rsid w:val="00955553"/>
    <w:rsid w:val="00964F76"/>
    <w:rsid w:val="00967059"/>
    <w:rsid w:val="00970DC3"/>
    <w:rsid w:val="009746A1"/>
    <w:rsid w:val="00974F40"/>
    <w:rsid w:val="00976DE9"/>
    <w:rsid w:val="00991B0B"/>
    <w:rsid w:val="009943E2"/>
    <w:rsid w:val="009943E4"/>
    <w:rsid w:val="00994C16"/>
    <w:rsid w:val="0099646C"/>
    <w:rsid w:val="009A0867"/>
    <w:rsid w:val="009A237A"/>
    <w:rsid w:val="009A49A7"/>
    <w:rsid w:val="009A6DCB"/>
    <w:rsid w:val="009B3622"/>
    <w:rsid w:val="009B633D"/>
    <w:rsid w:val="009B7F90"/>
    <w:rsid w:val="009C3301"/>
    <w:rsid w:val="009C4881"/>
    <w:rsid w:val="009D3DBB"/>
    <w:rsid w:val="009E2644"/>
    <w:rsid w:val="009F05FB"/>
    <w:rsid w:val="009F0B8F"/>
    <w:rsid w:val="009F227A"/>
    <w:rsid w:val="009F299E"/>
    <w:rsid w:val="009F43EA"/>
    <w:rsid w:val="009F597D"/>
    <w:rsid w:val="00A04A4C"/>
    <w:rsid w:val="00A101C6"/>
    <w:rsid w:val="00A1369F"/>
    <w:rsid w:val="00A13D8D"/>
    <w:rsid w:val="00A15D49"/>
    <w:rsid w:val="00A167CF"/>
    <w:rsid w:val="00A20724"/>
    <w:rsid w:val="00A2580F"/>
    <w:rsid w:val="00A30D9A"/>
    <w:rsid w:val="00A42847"/>
    <w:rsid w:val="00A44855"/>
    <w:rsid w:val="00A4694A"/>
    <w:rsid w:val="00A61E5A"/>
    <w:rsid w:val="00A64E80"/>
    <w:rsid w:val="00A65884"/>
    <w:rsid w:val="00A742FE"/>
    <w:rsid w:val="00A777E1"/>
    <w:rsid w:val="00A835E4"/>
    <w:rsid w:val="00A84DE9"/>
    <w:rsid w:val="00A8750C"/>
    <w:rsid w:val="00A905D8"/>
    <w:rsid w:val="00A94219"/>
    <w:rsid w:val="00A96105"/>
    <w:rsid w:val="00A97FAB"/>
    <w:rsid w:val="00AA0B6B"/>
    <w:rsid w:val="00AA1DDC"/>
    <w:rsid w:val="00AA3F0B"/>
    <w:rsid w:val="00AA7852"/>
    <w:rsid w:val="00AA788A"/>
    <w:rsid w:val="00AB1C6D"/>
    <w:rsid w:val="00AB1EB8"/>
    <w:rsid w:val="00AB4344"/>
    <w:rsid w:val="00AC2A7F"/>
    <w:rsid w:val="00AC5A4E"/>
    <w:rsid w:val="00AD59DB"/>
    <w:rsid w:val="00AD6516"/>
    <w:rsid w:val="00AE4702"/>
    <w:rsid w:val="00AF7C03"/>
    <w:rsid w:val="00B118C6"/>
    <w:rsid w:val="00B238AD"/>
    <w:rsid w:val="00B257FE"/>
    <w:rsid w:val="00B30A3F"/>
    <w:rsid w:val="00B37D11"/>
    <w:rsid w:val="00B45C22"/>
    <w:rsid w:val="00B47674"/>
    <w:rsid w:val="00B5208E"/>
    <w:rsid w:val="00B521BB"/>
    <w:rsid w:val="00B52533"/>
    <w:rsid w:val="00B61FEB"/>
    <w:rsid w:val="00B63520"/>
    <w:rsid w:val="00B645ED"/>
    <w:rsid w:val="00B720EC"/>
    <w:rsid w:val="00B727C7"/>
    <w:rsid w:val="00B74726"/>
    <w:rsid w:val="00B762E0"/>
    <w:rsid w:val="00B825D0"/>
    <w:rsid w:val="00B83929"/>
    <w:rsid w:val="00B84705"/>
    <w:rsid w:val="00B915F1"/>
    <w:rsid w:val="00B93879"/>
    <w:rsid w:val="00B9409E"/>
    <w:rsid w:val="00BA2FAD"/>
    <w:rsid w:val="00BA7DEC"/>
    <w:rsid w:val="00BB1C2F"/>
    <w:rsid w:val="00BB2479"/>
    <w:rsid w:val="00BB7136"/>
    <w:rsid w:val="00BC27A8"/>
    <w:rsid w:val="00BC2E2E"/>
    <w:rsid w:val="00BD357C"/>
    <w:rsid w:val="00BD533D"/>
    <w:rsid w:val="00BE0430"/>
    <w:rsid w:val="00BE1866"/>
    <w:rsid w:val="00BF735E"/>
    <w:rsid w:val="00C0644C"/>
    <w:rsid w:val="00C142E5"/>
    <w:rsid w:val="00C163C6"/>
    <w:rsid w:val="00C205C8"/>
    <w:rsid w:val="00C26BA1"/>
    <w:rsid w:val="00C30017"/>
    <w:rsid w:val="00C315C2"/>
    <w:rsid w:val="00C4006D"/>
    <w:rsid w:val="00C572DB"/>
    <w:rsid w:val="00C63BE7"/>
    <w:rsid w:val="00C65B05"/>
    <w:rsid w:val="00C677D1"/>
    <w:rsid w:val="00C73F08"/>
    <w:rsid w:val="00C77433"/>
    <w:rsid w:val="00C84911"/>
    <w:rsid w:val="00C929D4"/>
    <w:rsid w:val="00C933ED"/>
    <w:rsid w:val="00C96F07"/>
    <w:rsid w:val="00C97B86"/>
    <w:rsid w:val="00CA0497"/>
    <w:rsid w:val="00CA136B"/>
    <w:rsid w:val="00CA7470"/>
    <w:rsid w:val="00CB7D66"/>
    <w:rsid w:val="00CC26B5"/>
    <w:rsid w:val="00CC2FEA"/>
    <w:rsid w:val="00CC3621"/>
    <w:rsid w:val="00CD655B"/>
    <w:rsid w:val="00CE1209"/>
    <w:rsid w:val="00CE1362"/>
    <w:rsid w:val="00CF3861"/>
    <w:rsid w:val="00CF65D1"/>
    <w:rsid w:val="00CF67C0"/>
    <w:rsid w:val="00D03667"/>
    <w:rsid w:val="00D04F4D"/>
    <w:rsid w:val="00D0660C"/>
    <w:rsid w:val="00D11271"/>
    <w:rsid w:val="00D150A9"/>
    <w:rsid w:val="00D15528"/>
    <w:rsid w:val="00D205D7"/>
    <w:rsid w:val="00D2521F"/>
    <w:rsid w:val="00D268C6"/>
    <w:rsid w:val="00D27D52"/>
    <w:rsid w:val="00D33118"/>
    <w:rsid w:val="00D4130D"/>
    <w:rsid w:val="00D44D4E"/>
    <w:rsid w:val="00D474B5"/>
    <w:rsid w:val="00D543D5"/>
    <w:rsid w:val="00D55609"/>
    <w:rsid w:val="00D6130D"/>
    <w:rsid w:val="00D62835"/>
    <w:rsid w:val="00D66E74"/>
    <w:rsid w:val="00D70B0C"/>
    <w:rsid w:val="00D71086"/>
    <w:rsid w:val="00D71264"/>
    <w:rsid w:val="00D72A48"/>
    <w:rsid w:val="00D755B1"/>
    <w:rsid w:val="00D80F0B"/>
    <w:rsid w:val="00D875D3"/>
    <w:rsid w:val="00DA097F"/>
    <w:rsid w:val="00DA3E7C"/>
    <w:rsid w:val="00DA623E"/>
    <w:rsid w:val="00DA73A3"/>
    <w:rsid w:val="00DA784D"/>
    <w:rsid w:val="00DB054C"/>
    <w:rsid w:val="00DB1CEE"/>
    <w:rsid w:val="00DB3948"/>
    <w:rsid w:val="00DB49A0"/>
    <w:rsid w:val="00DC01CB"/>
    <w:rsid w:val="00DC75D6"/>
    <w:rsid w:val="00DC7FCB"/>
    <w:rsid w:val="00DD0274"/>
    <w:rsid w:val="00DD0A49"/>
    <w:rsid w:val="00DD3016"/>
    <w:rsid w:val="00DE7149"/>
    <w:rsid w:val="00DF2CBB"/>
    <w:rsid w:val="00DF432D"/>
    <w:rsid w:val="00DF4F3C"/>
    <w:rsid w:val="00DF4F6F"/>
    <w:rsid w:val="00E01482"/>
    <w:rsid w:val="00E0439E"/>
    <w:rsid w:val="00E04EF1"/>
    <w:rsid w:val="00E05053"/>
    <w:rsid w:val="00E076A3"/>
    <w:rsid w:val="00E107CC"/>
    <w:rsid w:val="00E10C09"/>
    <w:rsid w:val="00E11FB1"/>
    <w:rsid w:val="00E14FC3"/>
    <w:rsid w:val="00E21D22"/>
    <w:rsid w:val="00E233E5"/>
    <w:rsid w:val="00E24D88"/>
    <w:rsid w:val="00E2592B"/>
    <w:rsid w:val="00E3140F"/>
    <w:rsid w:val="00E329EE"/>
    <w:rsid w:val="00E36859"/>
    <w:rsid w:val="00E47851"/>
    <w:rsid w:val="00E52235"/>
    <w:rsid w:val="00E532EB"/>
    <w:rsid w:val="00E56716"/>
    <w:rsid w:val="00E57A26"/>
    <w:rsid w:val="00E706B3"/>
    <w:rsid w:val="00E73DA5"/>
    <w:rsid w:val="00E7422B"/>
    <w:rsid w:val="00E97584"/>
    <w:rsid w:val="00EA407F"/>
    <w:rsid w:val="00EB58F3"/>
    <w:rsid w:val="00EB5943"/>
    <w:rsid w:val="00EC176D"/>
    <w:rsid w:val="00EC7099"/>
    <w:rsid w:val="00ED0EBB"/>
    <w:rsid w:val="00ED11A1"/>
    <w:rsid w:val="00ED21BC"/>
    <w:rsid w:val="00ED6003"/>
    <w:rsid w:val="00EE4455"/>
    <w:rsid w:val="00EE6667"/>
    <w:rsid w:val="00EE6A41"/>
    <w:rsid w:val="00EF3F10"/>
    <w:rsid w:val="00F00EF3"/>
    <w:rsid w:val="00F021DA"/>
    <w:rsid w:val="00F04055"/>
    <w:rsid w:val="00F041E2"/>
    <w:rsid w:val="00F122B9"/>
    <w:rsid w:val="00F14191"/>
    <w:rsid w:val="00F21286"/>
    <w:rsid w:val="00F21CD9"/>
    <w:rsid w:val="00F22750"/>
    <w:rsid w:val="00F2678A"/>
    <w:rsid w:val="00F3207F"/>
    <w:rsid w:val="00F3541A"/>
    <w:rsid w:val="00F40661"/>
    <w:rsid w:val="00F40866"/>
    <w:rsid w:val="00F46275"/>
    <w:rsid w:val="00F5665F"/>
    <w:rsid w:val="00F60488"/>
    <w:rsid w:val="00F631B6"/>
    <w:rsid w:val="00F63BC0"/>
    <w:rsid w:val="00F640FB"/>
    <w:rsid w:val="00F70715"/>
    <w:rsid w:val="00F719B8"/>
    <w:rsid w:val="00F84395"/>
    <w:rsid w:val="00F85CCC"/>
    <w:rsid w:val="00F91458"/>
    <w:rsid w:val="00F94B00"/>
    <w:rsid w:val="00F95AA7"/>
    <w:rsid w:val="00F95B24"/>
    <w:rsid w:val="00FA03AD"/>
    <w:rsid w:val="00FA2E89"/>
    <w:rsid w:val="00FA4F38"/>
    <w:rsid w:val="00FA685E"/>
    <w:rsid w:val="00FB2F59"/>
    <w:rsid w:val="00FB4BFF"/>
    <w:rsid w:val="00FB6500"/>
    <w:rsid w:val="00FC0F8D"/>
    <w:rsid w:val="00FC430C"/>
    <w:rsid w:val="00FC6810"/>
    <w:rsid w:val="00FC7332"/>
    <w:rsid w:val="00FD1D9C"/>
    <w:rsid w:val="00FE0D9B"/>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55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uiPriority w:val="99"/>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2-Accent11">
    <w:name w:val="Medium Grid 2 - Accent 11"/>
    <w:uiPriority w:val="1"/>
    <w:qFormat/>
    <w:rsid w:val="00DC75D6"/>
    <w:pPr>
      <w:widowControl w:val="0"/>
    </w:pPr>
    <w:rPr>
      <w:rFonts w:ascii="Calibri" w:eastAsia="Calibri" w:hAnsi="Calibri"/>
      <w:sz w:val="22"/>
      <w:szCs w:val="22"/>
    </w:rPr>
  </w:style>
  <w:style w:type="paragraph" w:customStyle="1" w:styleId="LightGrid-Accent31">
    <w:name w:val="Light Grid - Accent 31"/>
    <w:basedOn w:val="Normal"/>
    <w:uiPriority w:val="34"/>
    <w:qFormat/>
    <w:rsid w:val="00E11FB1"/>
    <w:pPr>
      <w:spacing w:line="480" w:lineRule="auto"/>
      <w:ind w:left="720"/>
      <w:contextualSpacing/>
    </w:pPr>
    <w:rPr>
      <w:sz w:val="22"/>
    </w:rPr>
  </w:style>
  <w:style w:type="character" w:customStyle="1" w:styleId="Heading1Char">
    <w:name w:val="Heading 1 Char"/>
    <w:link w:val="Heading1"/>
    <w:uiPriority w:val="99"/>
    <w:locked/>
    <w:rsid w:val="00E57A26"/>
    <w:rPr>
      <w:rFonts w:ascii="Arial" w:hAnsi="Arial" w:cs="Arial"/>
      <w:b/>
      <w:bCs/>
      <w:kern w:val="32"/>
      <w:sz w:val="32"/>
      <w:szCs w:val="32"/>
    </w:rPr>
  </w:style>
  <w:style w:type="character" w:customStyle="1" w:styleId="Heading2Char">
    <w:name w:val="Heading 2 Char"/>
    <w:link w:val="Heading2"/>
    <w:uiPriority w:val="99"/>
    <w:locked/>
    <w:rsid w:val="00E57A26"/>
    <w:rPr>
      <w:rFonts w:ascii="Arial" w:hAnsi="Arial" w:cs="Arial"/>
      <w:b/>
      <w:bCs/>
      <w:i/>
      <w:iCs/>
      <w:sz w:val="28"/>
      <w:szCs w:val="28"/>
    </w:rPr>
  </w:style>
  <w:style w:type="character" w:customStyle="1" w:styleId="FooterChar">
    <w:name w:val="Footer Char"/>
    <w:link w:val="Footer"/>
    <w:uiPriority w:val="99"/>
    <w:rsid w:val="00870D9A"/>
    <w:rPr>
      <w:sz w:val="24"/>
      <w:szCs w:val="24"/>
    </w:rPr>
  </w:style>
  <w:style w:type="paragraph" w:styleId="ListParagraph">
    <w:name w:val="List Paragraph"/>
    <w:basedOn w:val="Normal"/>
    <w:uiPriority w:val="34"/>
    <w:qFormat/>
    <w:rsid w:val="001E6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link w:val="Heading1Char"/>
    <w:uiPriority w:val="99"/>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2-Accent11">
    <w:name w:val="Medium Grid 2 - Accent 11"/>
    <w:uiPriority w:val="1"/>
    <w:qFormat/>
    <w:rsid w:val="00DC75D6"/>
    <w:pPr>
      <w:widowControl w:val="0"/>
    </w:pPr>
    <w:rPr>
      <w:rFonts w:ascii="Calibri" w:eastAsia="Calibri" w:hAnsi="Calibri"/>
      <w:sz w:val="22"/>
      <w:szCs w:val="22"/>
    </w:rPr>
  </w:style>
  <w:style w:type="paragraph" w:customStyle="1" w:styleId="LightGrid-Accent31">
    <w:name w:val="Light Grid - Accent 31"/>
    <w:basedOn w:val="Normal"/>
    <w:uiPriority w:val="34"/>
    <w:qFormat/>
    <w:rsid w:val="00E11FB1"/>
    <w:pPr>
      <w:spacing w:line="480" w:lineRule="auto"/>
      <w:ind w:left="720"/>
      <w:contextualSpacing/>
    </w:pPr>
    <w:rPr>
      <w:sz w:val="22"/>
    </w:rPr>
  </w:style>
  <w:style w:type="character" w:customStyle="1" w:styleId="Heading1Char">
    <w:name w:val="Heading 1 Char"/>
    <w:link w:val="Heading1"/>
    <w:uiPriority w:val="99"/>
    <w:locked/>
    <w:rsid w:val="00E57A26"/>
    <w:rPr>
      <w:rFonts w:ascii="Arial" w:hAnsi="Arial" w:cs="Arial"/>
      <w:b/>
      <w:bCs/>
      <w:kern w:val="32"/>
      <w:sz w:val="32"/>
      <w:szCs w:val="32"/>
    </w:rPr>
  </w:style>
  <w:style w:type="character" w:customStyle="1" w:styleId="Heading2Char">
    <w:name w:val="Heading 2 Char"/>
    <w:link w:val="Heading2"/>
    <w:uiPriority w:val="99"/>
    <w:locked/>
    <w:rsid w:val="00E57A26"/>
    <w:rPr>
      <w:rFonts w:ascii="Arial" w:hAnsi="Arial" w:cs="Arial"/>
      <w:b/>
      <w:bCs/>
      <w:i/>
      <w:iCs/>
      <w:sz w:val="28"/>
      <w:szCs w:val="28"/>
    </w:rPr>
  </w:style>
  <w:style w:type="character" w:customStyle="1" w:styleId="FooterChar">
    <w:name w:val="Footer Char"/>
    <w:link w:val="Footer"/>
    <w:uiPriority w:val="99"/>
    <w:rsid w:val="00870D9A"/>
    <w:rPr>
      <w:sz w:val="24"/>
      <w:szCs w:val="24"/>
    </w:rPr>
  </w:style>
  <w:style w:type="paragraph" w:styleId="ListParagraph">
    <w:name w:val="List Paragraph"/>
    <w:basedOn w:val="Normal"/>
    <w:uiPriority w:val="34"/>
    <w:qFormat/>
    <w:rsid w:val="001E6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23954767">
      <w:bodyDiv w:val="1"/>
      <w:marLeft w:val="0"/>
      <w:marRight w:val="0"/>
      <w:marTop w:val="0"/>
      <w:marBottom w:val="0"/>
      <w:divBdr>
        <w:top w:val="none" w:sz="0" w:space="0" w:color="auto"/>
        <w:left w:val="none" w:sz="0" w:space="0" w:color="auto"/>
        <w:bottom w:val="none" w:sz="0" w:space="0" w:color="auto"/>
        <w:right w:val="none" w:sz="0" w:space="0" w:color="auto"/>
      </w:divBdr>
    </w:div>
    <w:div w:id="294070514">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A683-C8F1-4E3D-9D33-03C6549B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25849</CharactersWithSpaces>
  <SharedDoc>false</SharedDoc>
  <HLinks>
    <vt:vector size="126" baseType="variant">
      <vt:variant>
        <vt:i4>1376258</vt:i4>
      </vt:variant>
      <vt:variant>
        <vt:i4>126</vt:i4>
      </vt:variant>
      <vt:variant>
        <vt:i4>0</vt:i4>
      </vt:variant>
      <vt:variant>
        <vt:i4>5</vt:i4>
      </vt:variant>
      <vt:variant>
        <vt:lpwstr>http://www.opm.gov/policy-data-oversight/pay-leave/salaries-wages/salary-tables/pdf/2014/DCB.pdf</vt:lpwstr>
      </vt:variant>
      <vt:variant>
        <vt:lpwstr/>
      </vt:variant>
      <vt:variant>
        <vt:i4>1179700</vt:i4>
      </vt:variant>
      <vt:variant>
        <vt:i4>116</vt:i4>
      </vt:variant>
      <vt:variant>
        <vt:i4>0</vt:i4>
      </vt:variant>
      <vt:variant>
        <vt:i4>5</vt:i4>
      </vt:variant>
      <vt:variant>
        <vt:lpwstr/>
      </vt:variant>
      <vt:variant>
        <vt:lpwstr>_Toc377626229</vt:lpwstr>
      </vt:variant>
      <vt:variant>
        <vt:i4>1179700</vt:i4>
      </vt:variant>
      <vt:variant>
        <vt:i4>110</vt:i4>
      </vt:variant>
      <vt:variant>
        <vt:i4>0</vt:i4>
      </vt:variant>
      <vt:variant>
        <vt:i4>5</vt:i4>
      </vt:variant>
      <vt:variant>
        <vt:lpwstr/>
      </vt:variant>
      <vt:variant>
        <vt:lpwstr>_Toc377626228</vt:lpwstr>
      </vt:variant>
      <vt:variant>
        <vt:i4>1179700</vt:i4>
      </vt:variant>
      <vt:variant>
        <vt:i4>104</vt:i4>
      </vt:variant>
      <vt:variant>
        <vt:i4>0</vt:i4>
      </vt:variant>
      <vt:variant>
        <vt:i4>5</vt:i4>
      </vt:variant>
      <vt:variant>
        <vt:lpwstr/>
      </vt:variant>
      <vt:variant>
        <vt:lpwstr>_Toc377626227</vt:lpwstr>
      </vt:variant>
      <vt:variant>
        <vt:i4>1179700</vt:i4>
      </vt:variant>
      <vt:variant>
        <vt:i4>98</vt:i4>
      </vt:variant>
      <vt:variant>
        <vt:i4>0</vt:i4>
      </vt:variant>
      <vt:variant>
        <vt:i4>5</vt:i4>
      </vt:variant>
      <vt:variant>
        <vt:lpwstr/>
      </vt:variant>
      <vt:variant>
        <vt:lpwstr>_Toc377626226</vt:lpwstr>
      </vt:variant>
      <vt:variant>
        <vt:i4>1179700</vt:i4>
      </vt:variant>
      <vt:variant>
        <vt:i4>92</vt:i4>
      </vt:variant>
      <vt:variant>
        <vt:i4>0</vt:i4>
      </vt:variant>
      <vt:variant>
        <vt:i4>5</vt:i4>
      </vt:variant>
      <vt:variant>
        <vt:lpwstr/>
      </vt:variant>
      <vt:variant>
        <vt:lpwstr>_Toc377626225</vt:lpwstr>
      </vt:variant>
      <vt:variant>
        <vt:i4>1179700</vt:i4>
      </vt:variant>
      <vt:variant>
        <vt:i4>86</vt:i4>
      </vt:variant>
      <vt:variant>
        <vt:i4>0</vt:i4>
      </vt:variant>
      <vt:variant>
        <vt:i4>5</vt:i4>
      </vt:variant>
      <vt:variant>
        <vt:lpwstr/>
      </vt:variant>
      <vt:variant>
        <vt:lpwstr>_Toc377626224</vt:lpwstr>
      </vt:variant>
      <vt:variant>
        <vt:i4>1179700</vt:i4>
      </vt:variant>
      <vt:variant>
        <vt:i4>80</vt:i4>
      </vt:variant>
      <vt:variant>
        <vt:i4>0</vt:i4>
      </vt:variant>
      <vt:variant>
        <vt:i4>5</vt:i4>
      </vt:variant>
      <vt:variant>
        <vt:lpwstr/>
      </vt:variant>
      <vt:variant>
        <vt:lpwstr>_Toc377626223</vt:lpwstr>
      </vt:variant>
      <vt:variant>
        <vt:i4>1179700</vt:i4>
      </vt:variant>
      <vt:variant>
        <vt:i4>74</vt:i4>
      </vt:variant>
      <vt:variant>
        <vt:i4>0</vt:i4>
      </vt:variant>
      <vt:variant>
        <vt:i4>5</vt:i4>
      </vt:variant>
      <vt:variant>
        <vt:lpwstr/>
      </vt:variant>
      <vt:variant>
        <vt:lpwstr>_Toc377626222</vt:lpwstr>
      </vt:variant>
      <vt:variant>
        <vt:i4>1179700</vt:i4>
      </vt:variant>
      <vt:variant>
        <vt:i4>68</vt:i4>
      </vt:variant>
      <vt:variant>
        <vt:i4>0</vt:i4>
      </vt:variant>
      <vt:variant>
        <vt:i4>5</vt:i4>
      </vt:variant>
      <vt:variant>
        <vt:lpwstr/>
      </vt:variant>
      <vt:variant>
        <vt:lpwstr>_Toc377626221</vt:lpwstr>
      </vt:variant>
      <vt:variant>
        <vt:i4>1179700</vt:i4>
      </vt:variant>
      <vt:variant>
        <vt:i4>62</vt:i4>
      </vt:variant>
      <vt:variant>
        <vt:i4>0</vt:i4>
      </vt:variant>
      <vt:variant>
        <vt:i4>5</vt:i4>
      </vt:variant>
      <vt:variant>
        <vt:lpwstr/>
      </vt:variant>
      <vt:variant>
        <vt:lpwstr>_Toc377626220</vt:lpwstr>
      </vt:variant>
      <vt:variant>
        <vt:i4>1114164</vt:i4>
      </vt:variant>
      <vt:variant>
        <vt:i4>56</vt:i4>
      </vt:variant>
      <vt:variant>
        <vt:i4>0</vt:i4>
      </vt:variant>
      <vt:variant>
        <vt:i4>5</vt:i4>
      </vt:variant>
      <vt:variant>
        <vt:lpwstr/>
      </vt:variant>
      <vt:variant>
        <vt:lpwstr>_Toc377626219</vt:lpwstr>
      </vt:variant>
      <vt:variant>
        <vt:i4>1114164</vt:i4>
      </vt:variant>
      <vt:variant>
        <vt:i4>50</vt:i4>
      </vt:variant>
      <vt:variant>
        <vt:i4>0</vt:i4>
      </vt:variant>
      <vt:variant>
        <vt:i4>5</vt:i4>
      </vt:variant>
      <vt:variant>
        <vt:lpwstr/>
      </vt:variant>
      <vt:variant>
        <vt:lpwstr>_Toc377626218</vt:lpwstr>
      </vt:variant>
      <vt:variant>
        <vt:i4>1114164</vt:i4>
      </vt:variant>
      <vt:variant>
        <vt:i4>44</vt:i4>
      </vt:variant>
      <vt:variant>
        <vt:i4>0</vt:i4>
      </vt:variant>
      <vt:variant>
        <vt:i4>5</vt:i4>
      </vt:variant>
      <vt:variant>
        <vt:lpwstr/>
      </vt:variant>
      <vt:variant>
        <vt:lpwstr>_Toc377626217</vt:lpwstr>
      </vt:variant>
      <vt:variant>
        <vt:i4>1114164</vt:i4>
      </vt:variant>
      <vt:variant>
        <vt:i4>38</vt:i4>
      </vt:variant>
      <vt:variant>
        <vt:i4>0</vt:i4>
      </vt:variant>
      <vt:variant>
        <vt:i4>5</vt:i4>
      </vt:variant>
      <vt:variant>
        <vt:lpwstr/>
      </vt:variant>
      <vt:variant>
        <vt:lpwstr>_Toc377626216</vt:lpwstr>
      </vt:variant>
      <vt:variant>
        <vt:i4>1114164</vt:i4>
      </vt:variant>
      <vt:variant>
        <vt:i4>32</vt:i4>
      </vt:variant>
      <vt:variant>
        <vt:i4>0</vt:i4>
      </vt:variant>
      <vt:variant>
        <vt:i4>5</vt:i4>
      </vt:variant>
      <vt:variant>
        <vt:lpwstr/>
      </vt:variant>
      <vt:variant>
        <vt:lpwstr>_Toc377626215</vt:lpwstr>
      </vt:variant>
      <vt:variant>
        <vt:i4>1114164</vt:i4>
      </vt:variant>
      <vt:variant>
        <vt:i4>26</vt:i4>
      </vt:variant>
      <vt:variant>
        <vt:i4>0</vt:i4>
      </vt:variant>
      <vt:variant>
        <vt:i4>5</vt:i4>
      </vt:variant>
      <vt:variant>
        <vt:lpwstr/>
      </vt:variant>
      <vt:variant>
        <vt:lpwstr>_Toc377626214</vt:lpwstr>
      </vt:variant>
      <vt:variant>
        <vt:i4>1114164</vt:i4>
      </vt:variant>
      <vt:variant>
        <vt:i4>20</vt:i4>
      </vt:variant>
      <vt:variant>
        <vt:i4>0</vt:i4>
      </vt:variant>
      <vt:variant>
        <vt:i4>5</vt:i4>
      </vt:variant>
      <vt:variant>
        <vt:lpwstr/>
      </vt:variant>
      <vt:variant>
        <vt:lpwstr>_Toc377626213</vt:lpwstr>
      </vt:variant>
      <vt:variant>
        <vt:i4>1114164</vt:i4>
      </vt:variant>
      <vt:variant>
        <vt:i4>14</vt:i4>
      </vt:variant>
      <vt:variant>
        <vt:i4>0</vt:i4>
      </vt:variant>
      <vt:variant>
        <vt:i4>5</vt:i4>
      </vt:variant>
      <vt:variant>
        <vt:lpwstr/>
      </vt:variant>
      <vt:variant>
        <vt:lpwstr>_Toc377626212</vt:lpwstr>
      </vt:variant>
      <vt:variant>
        <vt:i4>1114164</vt:i4>
      </vt:variant>
      <vt:variant>
        <vt:i4>8</vt:i4>
      </vt:variant>
      <vt:variant>
        <vt:i4>0</vt:i4>
      </vt:variant>
      <vt:variant>
        <vt:i4>5</vt:i4>
      </vt:variant>
      <vt:variant>
        <vt:lpwstr/>
      </vt:variant>
      <vt:variant>
        <vt:lpwstr>_Toc377626211</vt:lpwstr>
      </vt:variant>
      <vt:variant>
        <vt:i4>1114164</vt:i4>
      </vt:variant>
      <vt:variant>
        <vt:i4>2</vt:i4>
      </vt:variant>
      <vt:variant>
        <vt:i4>0</vt:i4>
      </vt:variant>
      <vt:variant>
        <vt:i4>5</vt:i4>
      </vt:variant>
      <vt:variant>
        <vt:lpwstr/>
      </vt:variant>
      <vt:variant>
        <vt:lpwstr>_Toc377626210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SYSTEM</cp:lastModifiedBy>
  <cp:revision>2</cp:revision>
  <cp:lastPrinted>2017-03-25T19:17:00Z</cp:lastPrinted>
  <dcterms:created xsi:type="dcterms:W3CDTF">2017-08-18T19:15:00Z</dcterms:created>
  <dcterms:modified xsi:type="dcterms:W3CDTF">2017-08-18T19:15:00Z</dcterms:modified>
</cp:coreProperties>
</file>