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45DA9" w14:textId="1369FD74" w:rsidR="00896EB9" w:rsidRDefault="00896EB9" w:rsidP="000F16C4">
      <w:pPr>
        <w:jc w:val="center"/>
        <w:rPr>
          <w:b/>
        </w:rPr>
      </w:pPr>
      <w:bookmarkStart w:id="0" w:name="_GoBack"/>
      <w:bookmarkEnd w:id="0"/>
    </w:p>
    <w:p w14:paraId="5409EB11" w14:textId="77777777" w:rsidR="00144234" w:rsidRDefault="007065BB" w:rsidP="00846E6F">
      <w:pPr>
        <w:jc w:val="center"/>
        <w:rPr>
          <w:b/>
        </w:rPr>
      </w:pPr>
      <w:r w:rsidRPr="004A16C0">
        <w:rPr>
          <w:b/>
        </w:rPr>
        <w:t>Revision</w:t>
      </w:r>
      <w:r w:rsidR="00C07A03">
        <w:rPr>
          <w:b/>
        </w:rPr>
        <w:t xml:space="preserve"> </w:t>
      </w:r>
      <w:r w:rsidR="00144234">
        <w:rPr>
          <w:b/>
        </w:rPr>
        <w:t>Package: OMB 0920-0260</w:t>
      </w:r>
    </w:p>
    <w:p w14:paraId="1B8BE0BE" w14:textId="77777777" w:rsidR="004A0EED" w:rsidRDefault="004A0EED" w:rsidP="00846E6F">
      <w:pPr>
        <w:jc w:val="center"/>
        <w:rPr>
          <w:b/>
        </w:rPr>
      </w:pPr>
      <w:r>
        <w:rPr>
          <w:b/>
        </w:rPr>
        <w:t>Current Expiration: November 30, 2017</w:t>
      </w:r>
    </w:p>
    <w:p w14:paraId="60398C46" w14:textId="77777777" w:rsidR="001E26CC" w:rsidRDefault="001E26CC" w:rsidP="00846E6F">
      <w:pPr>
        <w:jc w:val="center"/>
        <w:rPr>
          <w:b/>
        </w:rPr>
      </w:pPr>
    </w:p>
    <w:p w14:paraId="1AC73C90" w14:textId="77777777" w:rsidR="00144234" w:rsidRDefault="00144234" w:rsidP="00846E6F">
      <w:pPr>
        <w:jc w:val="center"/>
        <w:rPr>
          <w:b/>
        </w:rPr>
      </w:pPr>
      <w:r w:rsidRPr="00FE7B8D">
        <w:rPr>
          <w:b/>
        </w:rPr>
        <w:t>Health Hazard Evaluation/Technical Assistance and Emerging Problems</w:t>
      </w:r>
    </w:p>
    <w:p w14:paraId="686B1FB3" w14:textId="77777777" w:rsidR="00E34394" w:rsidRDefault="00E34394" w:rsidP="00B77342">
      <w:pPr>
        <w:rPr>
          <w:b/>
        </w:rPr>
      </w:pPr>
    </w:p>
    <w:p w14:paraId="70AC097D" w14:textId="77777777" w:rsidR="00E34394" w:rsidRDefault="00E34394" w:rsidP="00B77342">
      <w:pPr>
        <w:rPr>
          <w:b/>
        </w:rPr>
      </w:pPr>
    </w:p>
    <w:p w14:paraId="12F4FD18" w14:textId="77777777" w:rsidR="00E34394" w:rsidRDefault="00E34394" w:rsidP="00B77342">
      <w:pPr>
        <w:rPr>
          <w:b/>
        </w:rPr>
      </w:pPr>
    </w:p>
    <w:p w14:paraId="5B9E3EC9" w14:textId="77777777" w:rsidR="00E34394" w:rsidRDefault="00E34394" w:rsidP="00B77342">
      <w:pPr>
        <w:rPr>
          <w:b/>
        </w:rPr>
      </w:pPr>
    </w:p>
    <w:p w14:paraId="60DB8048" w14:textId="77777777" w:rsidR="00E34394" w:rsidRDefault="00E34394" w:rsidP="00B77342">
      <w:pPr>
        <w:rPr>
          <w:b/>
        </w:rPr>
      </w:pPr>
    </w:p>
    <w:p w14:paraId="5FD52D23" w14:textId="77777777" w:rsidR="00E34394" w:rsidRDefault="00E34394" w:rsidP="00B77342">
      <w:pPr>
        <w:rPr>
          <w:b/>
        </w:rPr>
      </w:pPr>
    </w:p>
    <w:p w14:paraId="10316F89" w14:textId="5CA993EC" w:rsidR="00E34394" w:rsidRDefault="00E34394" w:rsidP="00846E6F">
      <w:pPr>
        <w:jc w:val="center"/>
        <w:rPr>
          <w:b/>
        </w:rPr>
      </w:pPr>
      <w:r>
        <w:rPr>
          <w:b/>
        </w:rPr>
        <w:t>Section A</w:t>
      </w:r>
    </w:p>
    <w:p w14:paraId="539089C0" w14:textId="77777777" w:rsidR="00E34394" w:rsidRDefault="00E34394" w:rsidP="00B82CB1">
      <w:pPr>
        <w:jc w:val="center"/>
        <w:rPr>
          <w:b/>
        </w:rPr>
      </w:pPr>
    </w:p>
    <w:p w14:paraId="6B016051" w14:textId="77777777" w:rsidR="00E34394" w:rsidRDefault="00E34394" w:rsidP="00B77342">
      <w:pPr>
        <w:rPr>
          <w:b/>
        </w:rPr>
      </w:pPr>
    </w:p>
    <w:p w14:paraId="2ED8EDE6" w14:textId="77777777" w:rsidR="00E34394" w:rsidRDefault="00E34394" w:rsidP="00B77342">
      <w:pPr>
        <w:rPr>
          <w:b/>
        </w:rPr>
      </w:pPr>
    </w:p>
    <w:p w14:paraId="532B6EBD" w14:textId="77777777" w:rsidR="00E34394" w:rsidRDefault="00E34394" w:rsidP="00B77342">
      <w:pPr>
        <w:rPr>
          <w:b/>
        </w:rPr>
      </w:pPr>
    </w:p>
    <w:p w14:paraId="44442EDD" w14:textId="77777777" w:rsidR="00E34394" w:rsidRDefault="00E34394" w:rsidP="00B77342">
      <w:pPr>
        <w:rPr>
          <w:b/>
        </w:rPr>
      </w:pPr>
    </w:p>
    <w:p w14:paraId="06C6A4D6" w14:textId="77777777" w:rsidR="00E34394" w:rsidRDefault="00E34394" w:rsidP="00B77342">
      <w:pPr>
        <w:rPr>
          <w:b/>
        </w:rPr>
      </w:pPr>
      <w:r>
        <w:rPr>
          <w:b/>
        </w:rPr>
        <w:t xml:space="preserve"> </w:t>
      </w:r>
    </w:p>
    <w:p w14:paraId="0DAE6356" w14:textId="77777777" w:rsidR="00144234" w:rsidRDefault="00144234" w:rsidP="00B77342">
      <w:pPr>
        <w:rPr>
          <w:b/>
        </w:rPr>
      </w:pPr>
    </w:p>
    <w:p w14:paraId="7625998E" w14:textId="2368FB12" w:rsidR="00144234" w:rsidRDefault="00144234" w:rsidP="00B77342">
      <w:pPr>
        <w:rPr>
          <w:b/>
        </w:rPr>
      </w:pPr>
      <w:r>
        <w:rPr>
          <w:b/>
        </w:rPr>
        <w:t xml:space="preserve">Project Officer: </w:t>
      </w:r>
      <w:r w:rsidR="00846E6F">
        <w:rPr>
          <w:b/>
        </w:rPr>
        <w:tab/>
      </w:r>
      <w:r w:rsidR="00846E6F">
        <w:rPr>
          <w:b/>
        </w:rPr>
        <w:tab/>
      </w:r>
      <w:r>
        <w:rPr>
          <w:b/>
        </w:rPr>
        <w:t>Allison Tepper, Ph.D.</w:t>
      </w:r>
    </w:p>
    <w:p w14:paraId="1B80C916" w14:textId="48DE9F00" w:rsidR="00144234" w:rsidRDefault="00144234" w:rsidP="00B77342">
      <w:pPr>
        <w:ind w:left="2160" w:firstLine="720"/>
        <w:rPr>
          <w:b/>
        </w:rPr>
      </w:pPr>
      <w:r>
        <w:rPr>
          <w:b/>
        </w:rPr>
        <w:t>Branch Chief</w:t>
      </w:r>
    </w:p>
    <w:p w14:paraId="36AF0511" w14:textId="1F869978" w:rsidR="00144234" w:rsidRDefault="00144234" w:rsidP="00B77342">
      <w:pPr>
        <w:ind w:left="2160" w:firstLine="720"/>
        <w:rPr>
          <w:b/>
        </w:rPr>
      </w:pPr>
      <w:r>
        <w:rPr>
          <w:b/>
        </w:rPr>
        <w:t>Hazard Evaluation and</w:t>
      </w:r>
    </w:p>
    <w:p w14:paraId="7362403A" w14:textId="09BA5B9A" w:rsidR="00144234" w:rsidRDefault="00144234" w:rsidP="00B77342">
      <w:pPr>
        <w:ind w:left="2160" w:firstLine="720"/>
        <w:rPr>
          <w:b/>
        </w:rPr>
      </w:pPr>
      <w:r>
        <w:rPr>
          <w:b/>
        </w:rPr>
        <w:t>Technical Assistance Branch</w:t>
      </w:r>
    </w:p>
    <w:p w14:paraId="1B46F638" w14:textId="4D58CF9A" w:rsidR="00144234" w:rsidRDefault="00144234" w:rsidP="00B77342">
      <w:pPr>
        <w:ind w:left="2160" w:firstLine="720"/>
        <w:rPr>
          <w:b/>
        </w:rPr>
      </w:pPr>
      <w:r>
        <w:rPr>
          <w:b/>
        </w:rPr>
        <w:t>CDC-NIOSH-DSHEFS</w:t>
      </w:r>
    </w:p>
    <w:p w14:paraId="0C6093A5" w14:textId="63212AAC" w:rsidR="00144234" w:rsidRDefault="00144234" w:rsidP="00B77342">
      <w:pPr>
        <w:ind w:left="2160" w:firstLine="720"/>
        <w:rPr>
          <w:b/>
        </w:rPr>
      </w:pPr>
      <w:r>
        <w:rPr>
          <w:b/>
        </w:rPr>
        <w:t>Phone: 513-841-4425</w:t>
      </w:r>
    </w:p>
    <w:p w14:paraId="700CD77D" w14:textId="0A6EFFA0" w:rsidR="00144234" w:rsidRDefault="00144234" w:rsidP="00B77342">
      <w:pPr>
        <w:ind w:left="2160" w:firstLine="720"/>
        <w:rPr>
          <w:b/>
        </w:rPr>
      </w:pPr>
      <w:r>
        <w:rPr>
          <w:b/>
        </w:rPr>
        <w:t>Fax: 513-841-4488</w:t>
      </w:r>
    </w:p>
    <w:p w14:paraId="37B3B93E" w14:textId="543571EF" w:rsidR="00144234" w:rsidRDefault="00846E6F" w:rsidP="00B77342">
      <w:pPr>
        <w:ind w:left="2160" w:firstLine="720"/>
        <w:rPr>
          <w:b/>
        </w:rPr>
      </w:pPr>
      <w:r>
        <w:rPr>
          <w:b/>
        </w:rPr>
        <w:t xml:space="preserve">Email: </w:t>
      </w:r>
      <w:r w:rsidR="00AB7396">
        <w:rPr>
          <w:b/>
        </w:rPr>
        <w:t>ATepper@CDC.gov</w:t>
      </w:r>
    </w:p>
    <w:p w14:paraId="04D6497B" w14:textId="77777777" w:rsidR="00AB7396" w:rsidRDefault="00AB7396" w:rsidP="00846E6F">
      <w:pPr>
        <w:rPr>
          <w:b/>
        </w:rPr>
      </w:pPr>
    </w:p>
    <w:p w14:paraId="2BCDB1E0" w14:textId="77777777" w:rsidR="00AB7396" w:rsidRDefault="00AB7396" w:rsidP="00B82CB1">
      <w:pPr>
        <w:rPr>
          <w:b/>
        </w:rPr>
      </w:pPr>
    </w:p>
    <w:p w14:paraId="0D2DAF14" w14:textId="77777777" w:rsidR="00AB7396" w:rsidRDefault="00AB7396" w:rsidP="00B82CB1">
      <w:pPr>
        <w:rPr>
          <w:b/>
        </w:rPr>
      </w:pPr>
    </w:p>
    <w:p w14:paraId="2CA2376E" w14:textId="77777777" w:rsidR="00AB7396" w:rsidRDefault="00AB7396" w:rsidP="00B82CB1">
      <w:pPr>
        <w:rPr>
          <w:b/>
        </w:rPr>
      </w:pPr>
    </w:p>
    <w:p w14:paraId="66355465" w14:textId="77777777" w:rsidR="00AB7396" w:rsidRDefault="00AB7396" w:rsidP="00B82CB1">
      <w:pPr>
        <w:rPr>
          <w:b/>
        </w:rPr>
      </w:pPr>
    </w:p>
    <w:p w14:paraId="26F393F0" w14:textId="2E52F884" w:rsidR="00627135" w:rsidRDefault="00846E6F" w:rsidP="00B77342">
      <w:pPr>
        <w:ind w:left="2160" w:firstLine="720"/>
        <w:rPr>
          <w:b/>
        </w:rPr>
      </w:pPr>
      <w:r>
        <w:rPr>
          <w:b/>
        </w:rPr>
        <w:t xml:space="preserve">Date: </w:t>
      </w:r>
      <w:r w:rsidR="007C0CA6">
        <w:rPr>
          <w:b/>
        </w:rPr>
        <w:t xml:space="preserve">August </w:t>
      </w:r>
      <w:r w:rsidR="00A9295B">
        <w:rPr>
          <w:b/>
        </w:rPr>
        <w:t>24</w:t>
      </w:r>
      <w:r w:rsidR="007127FC">
        <w:rPr>
          <w:b/>
        </w:rPr>
        <w:t>, 201</w:t>
      </w:r>
      <w:r w:rsidR="00901BAD">
        <w:rPr>
          <w:b/>
        </w:rPr>
        <w:t>7</w:t>
      </w:r>
    </w:p>
    <w:p w14:paraId="04B00B63" w14:textId="65A90000" w:rsidR="005B6AAF" w:rsidRPr="00B77342" w:rsidRDefault="00E34394" w:rsidP="00B77342">
      <w:pPr>
        <w:pStyle w:val="ListParagraph"/>
        <w:pBdr>
          <w:top w:val="single" w:sz="6" w:space="1" w:color="auto"/>
          <w:left w:val="single" w:sz="6" w:space="0" w:color="auto"/>
          <w:bottom w:val="single" w:sz="6" w:space="1" w:color="auto"/>
          <w:right w:val="single" w:sz="6" w:space="4" w:color="auto"/>
        </w:pBdr>
        <w:spacing w:after="200" w:line="276" w:lineRule="auto"/>
        <w:rPr>
          <w:b/>
          <w:u w:val="single"/>
        </w:rPr>
      </w:pPr>
      <w:r w:rsidRPr="00062388">
        <w:rPr>
          <w:b/>
        </w:rPr>
        <w:br w:type="page"/>
      </w:r>
    </w:p>
    <w:p w14:paraId="0E686488" w14:textId="77777777" w:rsidR="005B6AAF" w:rsidRDefault="005B6AAF" w:rsidP="000F16C4">
      <w:pPr>
        <w:jc w:val="center"/>
        <w:rPr>
          <w:b/>
          <w:u w:val="single"/>
        </w:rPr>
      </w:pPr>
    </w:p>
    <w:p w14:paraId="0AB276AB" w14:textId="77777777" w:rsidR="005B6AAF" w:rsidRDefault="005B6AAF" w:rsidP="000F16C4">
      <w:pPr>
        <w:jc w:val="center"/>
        <w:rPr>
          <w:b/>
          <w:u w:val="single"/>
        </w:rPr>
      </w:pPr>
    </w:p>
    <w:p w14:paraId="697F3195" w14:textId="091877A4" w:rsidR="00E34394" w:rsidRDefault="00E34394" w:rsidP="000F16C4">
      <w:pPr>
        <w:jc w:val="center"/>
        <w:rPr>
          <w:b/>
        </w:rPr>
      </w:pPr>
      <w:r w:rsidRPr="00E34394">
        <w:rPr>
          <w:b/>
          <w:u w:val="single"/>
        </w:rPr>
        <w:t>Table of Contents</w:t>
      </w:r>
    </w:p>
    <w:p w14:paraId="4F9E0156" w14:textId="77777777" w:rsidR="00E34394" w:rsidRDefault="00E34394" w:rsidP="000F16C4">
      <w:pPr>
        <w:jc w:val="center"/>
        <w:rPr>
          <w:b/>
        </w:rPr>
      </w:pPr>
    </w:p>
    <w:p w14:paraId="7BA622C5" w14:textId="618EA8C9" w:rsidR="00E34394" w:rsidRDefault="00E34394" w:rsidP="000F16C4">
      <w:r>
        <w:rPr>
          <w:b/>
        </w:rPr>
        <w:t>Section A: Justification</w:t>
      </w:r>
    </w:p>
    <w:p w14:paraId="2F90DA4D" w14:textId="43C2F2AB" w:rsidR="0097765E" w:rsidRDefault="0097765E" w:rsidP="00A613E8">
      <w:r>
        <w:t>A1.</w:t>
      </w:r>
      <w:r>
        <w:tab/>
        <w:t>Circumstances Making the Collection of Information Necessary</w:t>
      </w:r>
    </w:p>
    <w:p w14:paraId="631383D4" w14:textId="44415551" w:rsidR="0097765E" w:rsidRDefault="0097765E" w:rsidP="00385D45">
      <w:r>
        <w:t>A2.</w:t>
      </w:r>
      <w:r>
        <w:tab/>
        <w:t>Purpose and Use of the Information Collection</w:t>
      </w:r>
    </w:p>
    <w:p w14:paraId="7EB53D45" w14:textId="2DF86557" w:rsidR="0097765E" w:rsidRDefault="0097765E" w:rsidP="00385D45">
      <w:r>
        <w:t>A3.</w:t>
      </w:r>
      <w:r>
        <w:tab/>
        <w:t>Use of Improved Information Technology and Burden Reduction</w:t>
      </w:r>
    </w:p>
    <w:p w14:paraId="09FC776E" w14:textId="26A6670A" w:rsidR="0097765E" w:rsidRDefault="0097765E" w:rsidP="00385D45">
      <w:r>
        <w:t>A4.</w:t>
      </w:r>
      <w:r>
        <w:tab/>
        <w:t>Efforts to Identify Duplicat</w:t>
      </w:r>
      <w:r w:rsidR="00084E69">
        <w:t>i</w:t>
      </w:r>
      <w:r>
        <w:t>on and Use of Similar Information</w:t>
      </w:r>
    </w:p>
    <w:p w14:paraId="357E7813" w14:textId="5B240E83" w:rsidR="0097765E" w:rsidRDefault="0097765E">
      <w:r>
        <w:t>A5.</w:t>
      </w:r>
      <w:r>
        <w:tab/>
        <w:t>Impact on Small Businesses or Other Small Entities</w:t>
      </w:r>
    </w:p>
    <w:p w14:paraId="4FD144D2" w14:textId="4019A595" w:rsidR="0097765E" w:rsidRDefault="0097765E">
      <w:r>
        <w:t>A6.</w:t>
      </w:r>
      <w:r>
        <w:tab/>
        <w:t>Consequences of Collecting the Information Less Frequently</w:t>
      </w:r>
    </w:p>
    <w:p w14:paraId="2A4A16EA" w14:textId="746E1054" w:rsidR="0097765E" w:rsidRDefault="0097765E">
      <w:r>
        <w:t>A7.</w:t>
      </w:r>
      <w:r>
        <w:tab/>
        <w:t>Special Circumstances Relating to the Guidelines of 5 CFR 1320.5</w:t>
      </w:r>
    </w:p>
    <w:p w14:paraId="775DD4B0" w14:textId="21555501" w:rsidR="0097765E" w:rsidRDefault="0097765E">
      <w:pPr>
        <w:ind w:left="720" w:hanging="720"/>
      </w:pPr>
      <w:r>
        <w:t>A8.</w:t>
      </w:r>
      <w:r>
        <w:tab/>
        <w:t>Comments in Response to the Federal Register Notice and Efforts to Consult Outside the Agency</w:t>
      </w:r>
    </w:p>
    <w:p w14:paraId="65B5614A" w14:textId="06992EA7" w:rsidR="000A2CA4" w:rsidRDefault="000A2CA4" w:rsidP="00A613E8">
      <w:r>
        <w:t>A9.</w:t>
      </w:r>
      <w:r>
        <w:tab/>
        <w:t>Explanation of Any Payment or Gift to Respondents</w:t>
      </w:r>
    </w:p>
    <w:p w14:paraId="7A624FBC" w14:textId="2B0653C2" w:rsidR="000A2CA4" w:rsidRDefault="00A613E8" w:rsidP="00B77342">
      <w:pPr>
        <w:ind w:left="720" w:hanging="720"/>
      </w:pPr>
      <w:r>
        <w:t>A10.</w:t>
      </w:r>
      <w:r>
        <w:tab/>
      </w:r>
      <w:r w:rsidR="006B6463">
        <w:t>Protection of the Privacy and Confidentiality of Information Provided by Respondents</w:t>
      </w:r>
    </w:p>
    <w:p w14:paraId="2899E92B" w14:textId="10B04D0F" w:rsidR="000A2CA4" w:rsidRDefault="00A613E8" w:rsidP="00A613E8">
      <w:r>
        <w:t>A11.</w:t>
      </w:r>
      <w:r>
        <w:tab/>
      </w:r>
      <w:r w:rsidR="00C460B2">
        <w:t xml:space="preserve">Institutional Review Board (IRB) and </w:t>
      </w:r>
      <w:r w:rsidR="000A2CA4">
        <w:t>Justification for Sensitive Questions</w:t>
      </w:r>
    </w:p>
    <w:p w14:paraId="3392D27D" w14:textId="2CB2BB48" w:rsidR="000A2CA4" w:rsidRDefault="000A2CA4" w:rsidP="00A613E8">
      <w:r>
        <w:t>A12.</w:t>
      </w:r>
      <w:r>
        <w:tab/>
        <w:t>Estimates of Annualized Burden Hours and Costs</w:t>
      </w:r>
    </w:p>
    <w:p w14:paraId="22A1E446" w14:textId="77777777" w:rsidR="000A2CA4" w:rsidRDefault="000A2CA4" w:rsidP="00B77342">
      <w:pPr>
        <w:pStyle w:val="ListParagraph"/>
        <w:numPr>
          <w:ilvl w:val="3"/>
          <w:numId w:val="11"/>
        </w:numPr>
      </w:pPr>
      <w:r>
        <w:t>Table 12A Estimate of Annualized Burden Hours</w:t>
      </w:r>
    </w:p>
    <w:p w14:paraId="37BF0342" w14:textId="77777777" w:rsidR="000A2CA4" w:rsidRDefault="000A2CA4" w:rsidP="00B77342">
      <w:pPr>
        <w:pStyle w:val="ListParagraph"/>
        <w:numPr>
          <w:ilvl w:val="3"/>
          <w:numId w:val="11"/>
        </w:numPr>
      </w:pPr>
      <w:r>
        <w:t>Table 12B Estimated Annualized Burden Costs</w:t>
      </w:r>
    </w:p>
    <w:p w14:paraId="35ECCCCD" w14:textId="27F5AB1B" w:rsidR="000A2CA4" w:rsidRDefault="000A2CA4" w:rsidP="00B77342">
      <w:pPr>
        <w:ind w:left="720" w:hanging="720"/>
      </w:pPr>
      <w:r>
        <w:t>A13.</w:t>
      </w:r>
      <w:r>
        <w:tab/>
        <w:t xml:space="preserve">Estimates of Other Total Annual Cost Burden to Respondents </w:t>
      </w:r>
      <w:r w:rsidR="003B52D9">
        <w:t xml:space="preserve">and </w:t>
      </w:r>
      <w:r>
        <w:t>Record Keepers</w:t>
      </w:r>
    </w:p>
    <w:p w14:paraId="5879956F" w14:textId="18B156AA" w:rsidR="000A2CA4" w:rsidRDefault="000A2CA4" w:rsidP="00A613E8">
      <w:r>
        <w:t>A14.</w:t>
      </w:r>
      <w:r>
        <w:tab/>
        <w:t>Annualized Cost to the Federal Government</w:t>
      </w:r>
    </w:p>
    <w:p w14:paraId="4B66AFAC" w14:textId="4421F0D3" w:rsidR="00E91FDE" w:rsidRDefault="000A2CA4" w:rsidP="00A613E8">
      <w:r>
        <w:t>A15.</w:t>
      </w:r>
      <w:r>
        <w:tab/>
        <w:t>Explanation for Program Changes or Adjustments</w:t>
      </w:r>
    </w:p>
    <w:p w14:paraId="3D6E25FD" w14:textId="717437FD" w:rsidR="00E91FDE" w:rsidRDefault="00E91FDE" w:rsidP="00A613E8">
      <w:r>
        <w:t>A16.</w:t>
      </w:r>
      <w:r>
        <w:tab/>
        <w:t>Plans for Tabulation and Publication and Project Time Schedule</w:t>
      </w:r>
    </w:p>
    <w:p w14:paraId="45B41FD8" w14:textId="2FAE24C2" w:rsidR="00E91FDE" w:rsidRDefault="00E91FDE" w:rsidP="00A613E8">
      <w:r>
        <w:t>A17.</w:t>
      </w:r>
      <w:r>
        <w:tab/>
        <w:t>Reason(s) Display of OMB Expiration Date is Inappropriate</w:t>
      </w:r>
    </w:p>
    <w:p w14:paraId="2A367F81" w14:textId="0B8AF7BB" w:rsidR="00E91FDE" w:rsidRDefault="00E91FDE" w:rsidP="00A613E8">
      <w:r>
        <w:t>A18.</w:t>
      </w:r>
      <w:r>
        <w:tab/>
        <w:t>Exceptions to Certification for Paperwork Reduction Act Submissions</w:t>
      </w:r>
    </w:p>
    <w:p w14:paraId="07C65022" w14:textId="77777777" w:rsidR="00E91FDE" w:rsidRDefault="00E91FDE" w:rsidP="000F16C4"/>
    <w:p w14:paraId="5DFCDAC7" w14:textId="4729A990" w:rsidR="006C123C" w:rsidRDefault="00B82CB1" w:rsidP="006C123C">
      <w:r>
        <w:rPr>
          <w:b/>
        </w:rPr>
        <w:t xml:space="preserve">List of </w:t>
      </w:r>
      <w:r w:rsidR="006C123C">
        <w:rPr>
          <w:b/>
        </w:rPr>
        <w:t>Attachments</w:t>
      </w:r>
    </w:p>
    <w:p w14:paraId="4861E77F" w14:textId="3B1A4E00" w:rsidR="006C123C" w:rsidRDefault="006C123C" w:rsidP="006C123C">
      <w:r>
        <w:t xml:space="preserve">Attachment </w:t>
      </w:r>
      <w:r w:rsidR="00D153A4">
        <w:t>A</w:t>
      </w:r>
      <w:r w:rsidR="00CB7309">
        <w:t>1</w:t>
      </w:r>
      <w:r w:rsidR="004C7ECA">
        <w:t>: Occupational</w:t>
      </w:r>
      <w:r>
        <w:t xml:space="preserve"> Safety and Health Act of 1970</w:t>
      </w:r>
      <w:r w:rsidR="004671EF">
        <w:t xml:space="preserve"> and</w:t>
      </w:r>
    </w:p>
    <w:p w14:paraId="6EFADFDB" w14:textId="77777777" w:rsidR="006C123C" w:rsidRDefault="006C123C" w:rsidP="006C123C">
      <w:pPr>
        <w:ind w:left="1440"/>
      </w:pPr>
      <w:r>
        <w:t>Mine Safety and Health Act of 1970</w:t>
      </w:r>
    </w:p>
    <w:p w14:paraId="296AC3E7" w14:textId="7B2F3036" w:rsidR="006C123C" w:rsidRDefault="006C123C" w:rsidP="006C123C">
      <w:r>
        <w:t xml:space="preserve">Attachment </w:t>
      </w:r>
      <w:r w:rsidR="00D153A4">
        <w:t>A</w:t>
      </w:r>
      <w:r>
        <w:t xml:space="preserve">2: </w:t>
      </w:r>
      <w:r w:rsidRPr="00275562">
        <w:t>42 CFR Parts 85 and 85a</w:t>
      </w:r>
    </w:p>
    <w:p w14:paraId="5F86FF15" w14:textId="6FFBE935" w:rsidR="006C391C" w:rsidRDefault="006C123C" w:rsidP="00CB7309">
      <w:r>
        <w:t xml:space="preserve">Attachment </w:t>
      </w:r>
      <w:r w:rsidR="00D153A4">
        <w:t>B</w:t>
      </w:r>
      <w:r>
        <w:t>:</w:t>
      </w:r>
      <w:r>
        <w:tab/>
        <w:t xml:space="preserve">60-day Federal Register </w:t>
      </w:r>
      <w:r w:rsidR="00961399">
        <w:t>Notice (FRN)</w:t>
      </w:r>
    </w:p>
    <w:p w14:paraId="0741C795" w14:textId="2E2E93AF" w:rsidR="008244ED" w:rsidRDefault="00D153A4" w:rsidP="008244ED">
      <w:r>
        <w:t>Attachment C: Health Hazard Evaluation</w:t>
      </w:r>
      <w:r w:rsidR="008244ED">
        <w:t xml:space="preserve"> (HHE)</w:t>
      </w:r>
      <w:r>
        <w:t xml:space="preserve"> Request Form – English &amp; Spanish</w:t>
      </w:r>
    </w:p>
    <w:p w14:paraId="3E8C034F" w14:textId="337E16E9" w:rsidR="00D153A4" w:rsidRDefault="00D153A4" w:rsidP="00A267F8">
      <w:pPr>
        <w:ind w:left="720" w:firstLine="720"/>
      </w:pPr>
      <w:r>
        <w:t xml:space="preserve"> Versions</w:t>
      </w:r>
    </w:p>
    <w:p w14:paraId="31C4CC3E" w14:textId="58F4C515" w:rsidR="00CB7309" w:rsidRDefault="00CB7309" w:rsidP="00CB7309">
      <w:r>
        <w:t>Attachment D: Sample HHE Specific Worker Interview</w:t>
      </w:r>
    </w:p>
    <w:p w14:paraId="61B50264" w14:textId="77777777" w:rsidR="004671EF" w:rsidRDefault="006C123C" w:rsidP="006C123C">
      <w:r>
        <w:t xml:space="preserve">Attachment </w:t>
      </w:r>
      <w:r w:rsidR="00CB7309">
        <w:t>E</w:t>
      </w:r>
      <w:r w:rsidR="004671EF">
        <w:t>1</w:t>
      </w:r>
      <w:r>
        <w:t xml:space="preserve">: </w:t>
      </w:r>
      <w:r w:rsidR="005F77B0">
        <w:t xml:space="preserve">Institutional Review Board </w:t>
      </w:r>
      <w:r w:rsidR="004671EF">
        <w:t>Protocol Closure</w:t>
      </w:r>
    </w:p>
    <w:p w14:paraId="61478D05" w14:textId="69694821" w:rsidR="001C5C13" w:rsidRDefault="004671EF" w:rsidP="004671EF">
      <w:r>
        <w:t xml:space="preserve">Attachment E2: </w:t>
      </w:r>
      <w:r w:rsidR="006C123C">
        <w:t>Consent Form</w:t>
      </w:r>
      <w:r w:rsidR="00973066">
        <w:t>s – Specimen</w:t>
      </w:r>
      <w:r>
        <w:t>s</w:t>
      </w:r>
      <w:r w:rsidR="00973066">
        <w:t xml:space="preserve"> Retained &amp; Specimen</w:t>
      </w:r>
      <w:r>
        <w:t>s</w:t>
      </w:r>
      <w:r w:rsidR="00973066">
        <w:t xml:space="preserve"> Discarded</w:t>
      </w:r>
    </w:p>
    <w:p w14:paraId="5B9782C1" w14:textId="4B44EA12" w:rsidR="006C123C" w:rsidRDefault="006C123C" w:rsidP="006C123C">
      <w:r>
        <w:t xml:space="preserve">Attachment </w:t>
      </w:r>
      <w:r w:rsidR="00CB7309">
        <w:t>F</w:t>
      </w:r>
      <w:r>
        <w:t>: Sample HHE Specific Worker Questionnaire</w:t>
      </w:r>
    </w:p>
    <w:p w14:paraId="5E8001C0" w14:textId="77777777" w:rsidR="006C123C" w:rsidRDefault="006C123C" w:rsidP="006C123C">
      <w:r>
        <w:t>Attachment G: Sample Employee Contact Information Postcard</w:t>
      </w:r>
    </w:p>
    <w:p w14:paraId="6FD00235" w14:textId="77777777" w:rsidR="006C123C" w:rsidRDefault="006C123C" w:rsidP="006C123C">
      <w:r>
        <w:t>Attachment H: Initial Site Visit Followback Survey Form</w:t>
      </w:r>
    </w:p>
    <w:p w14:paraId="19F194D5" w14:textId="77777777" w:rsidR="006C123C" w:rsidRDefault="006C123C" w:rsidP="006C123C">
      <w:pPr>
        <w:ind w:left="1440" w:hanging="1440"/>
      </w:pPr>
      <w:r>
        <w:t>Attachment I:</w:t>
      </w:r>
      <w:r>
        <w:tab/>
        <w:t>Closeout for Health Hazard Evaluations with an On-site Evaluation – Followback Survey Cover Letter and Form</w:t>
      </w:r>
    </w:p>
    <w:p w14:paraId="63E7604E" w14:textId="76C1459C" w:rsidR="006C123C" w:rsidRDefault="006C123C" w:rsidP="006C123C">
      <w:pPr>
        <w:ind w:left="1440" w:hanging="1440"/>
      </w:pPr>
      <w:r>
        <w:t>Attachment J:</w:t>
      </w:r>
      <w:r>
        <w:tab/>
        <w:t>1 Year Later for Health Hazard Evaluations with an On-site Evaluation – Followback Survey Cover Letter and Form</w:t>
      </w:r>
    </w:p>
    <w:p w14:paraId="6F9879AA" w14:textId="77777777" w:rsidR="00156D10" w:rsidRDefault="00156D10" w:rsidP="006C123C">
      <w:pPr>
        <w:ind w:left="1440" w:hanging="1440"/>
      </w:pPr>
    </w:p>
    <w:p w14:paraId="3E6681A1" w14:textId="67B52269" w:rsidR="006C123C" w:rsidRDefault="006C123C" w:rsidP="006C123C">
      <w:pPr>
        <w:ind w:left="1440" w:hanging="1440"/>
      </w:pPr>
      <w:r>
        <w:t>Attachment K:</w:t>
      </w:r>
      <w:r>
        <w:tab/>
        <w:t>Closeout for Health Hazard Evaluations without an On-site Evaluation – Followback Survey Cover Letter and Form</w:t>
      </w:r>
    </w:p>
    <w:p w14:paraId="4F0C0315" w14:textId="77777777" w:rsidR="00156D10" w:rsidRDefault="00156D10" w:rsidP="00156D10">
      <w:pPr>
        <w:ind w:left="1440" w:hanging="1440"/>
      </w:pPr>
      <w:r>
        <w:t>Attachment L:</w:t>
      </w:r>
      <w:r>
        <w:tab/>
        <w:t>1 Year Later for Health Hazard Evaluations without an On-site Evaluation – Followback Survey Cover Letter and Form</w:t>
      </w:r>
    </w:p>
    <w:p w14:paraId="2AF60DBB" w14:textId="6EE2E594" w:rsidR="00156D10" w:rsidRDefault="00156D10" w:rsidP="006C123C">
      <w:pPr>
        <w:ind w:left="1440" w:hanging="1440"/>
      </w:pPr>
    </w:p>
    <w:p w14:paraId="118E632B" w14:textId="1C05B8ED" w:rsidR="00156D10" w:rsidRDefault="00156D10" w:rsidP="006C123C">
      <w:pPr>
        <w:ind w:left="1440" w:hanging="1440"/>
      </w:pPr>
    </w:p>
    <w:p w14:paraId="22941379" w14:textId="357F76D2" w:rsidR="00156D10" w:rsidRDefault="00156D10" w:rsidP="006C123C">
      <w:pPr>
        <w:ind w:left="1440" w:hanging="1440"/>
      </w:pPr>
    </w:p>
    <w:p w14:paraId="75FE2988" w14:textId="66ABD7CB" w:rsidR="00156D10" w:rsidRDefault="00156D10" w:rsidP="006C123C">
      <w:pPr>
        <w:ind w:left="1440" w:hanging="1440"/>
      </w:pPr>
    </w:p>
    <w:p w14:paraId="69827962" w14:textId="02E9B81B" w:rsidR="00156D10" w:rsidRDefault="00156D10" w:rsidP="006C123C">
      <w:pPr>
        <w:ind w:left="1440" w:hanging="1440"/>
      </w:pPr>
    </w:p>
    <w:p w14:paraId="5B489B2E" w14:textId="731457DA" w:rsidR="00156D10" w:rsidRDefault="00156D10" w:rsidP="006C123C">
      <w:pPr>
        <w:ind w:left="1440" w:hanging="1440"/>
      </w:pPr>
    </w:p>
    <w:p w14:paraId="6E7B472F" w14:textId="2E72B2D2" w:rsidR="00156D10" w:rsidRDefault="00156D10" w:rsidP="006C123C">
      <w:pPr>
        <w:ind w:left="1440" w:hanging="1440"/>
      </w:pPr>
    </w:p>
    <w:p w14:paraId="0142ECC6" w14:textId="3CEF795A" w:rsidR="00156D10" w:rsidRDefault="00156D10" w:rsidP="006C123C">
      <w:pPr>
        <w:ind w:left="1440" w:hanging="1440"/>
      </w:pPr>
    </w:p>
    <w:p w14:paraId="4A0F386D" w14:textId="7A2B5F92" w:rsidR="00156D10" w:rsidRDefault="00156D10" w:rsidP="006C123C">
      <w:pPr>
        <w:ind w:left="1440" w:hanging="1440"/>
      </w:pPr>
    </w:p>
    <w:p w14:paraId="6CFE5075" w14:textId="5E227402" w:rsidR="00156D10" w:rsidRDefault="00156D10" w:rsidP="006C123C">
      <w:pPr>
        <w:ind w:left="1440" w:hanging="1440"/>
      </w:pPr>
    </w:p>
    <w:p w14:paraId="6AC95A73" w14:textId="20F2CBE8" w:rsidR="00156D10" w:rsidRDefault="00156D10" w:rsidP="006C123C">
      <w:pPr>
        <w:ind w:left="1440" w:hanging="1440"/>
      </w:pPr>
    </w:p>
    <w:p w14:paraId="1D8538EF" w14:textId="3F52C153" w:rsidR="00156D10" w:rsidRDefault="00156D10" w:rsidP="006C123C">
      <w:pPr>
        <w:ind w:left="1440" w:hanging="1440"/>
      </w:pPr>
    </w:p>
    <w:p w14:paraId="64CF542F" w14:textId="254D3161" w:rsidR="00156D10" w:rsidRDefault="00156D10" w:rsidP="006C123C">
      <w:pPr>
        <w:ind w:left="1440" w:hanging="1440"/>
      </w:pPr>
    </w:p>
    <w:p w14:paraId="1D6C2F7B" w14:textId="56E0388F" w:rsidR="00156D10" w:rsidRDefault="00156D10" w:rsidP="006C123C">
      <w:pPr>
        <w:ind w:left="1440" w:hanging="1440"/>
      </w:pPr>
    </w:p>
    <w:p w14:paraId="72E6B6B7" w14:textId="6E7BA920" w:rsidR="00156D10" w:rsidRDefault="00156D10" w:rsidP="006C123C">
      <w:pPr>
        <w:ind w:left="1440" w:hanging="1440"/>
      </w:pPr>
    </w:p>
    <w:p w14:paraId="191432DA" w14:textId="3E78243D" w:rsidR="00156D10" w:rsidRDefault="00156D10" w:rsidP="006C123C">
      <w:pPr>
        <w:ind w:left="1440" w:hanging="1440"/>
      </w:pPr>
    </w:p>
    <w:p w14:paraId="2213166C" w14:textId="0FEAFCF2" w:rsidR="00156D10" w:rsidRDefault="00156D10" w:rsidP="006C123C">
      <w:pPr>
        <w:ind w:left="1440" w:hanging="1440"/>
      </w:pPr>
    </w:p>
    <w:p w14:paraId="44F67C7F" w14:textId="3F1C5483" w:rsidR="00156D10" w:rsidRDefault="00156D10" w:rsidP="006C123C">
      <w:pPr>
        <w:ind w:left="1440" w:hanging="1440"/>
      </w:pPr>
    </w:p>
    <w:p w14:paraId="3CE2EFB2" w14:textId="2F17D31B" w:rsidR="00156D10" w:rsidRDefault="00156D10" w:rsidP="006C123C">
      <w:pPr>
        <w:ind w:left="1440" w:hanging="1440"/>
      </w:pPr>
    </w:p>
    <w:p w14:paraId="400A811C" w14:textId="516BF796" w:rsidR="00156D10" w:rsidRDefault="00156D10" w:rsidP="006C123C">
      <w:pPr>
        <w:ind w:left="1440" w:hanging="1440"/>
      </w:pPr>
    </w:p>
    <w:p w14:paraId="36060A63" w14:textId="1A077B0B" w:rsidR="00156D10" w:rsidRDefault="00156D10" w:rsidP="006C123C">
      <w:pPr>
        <w:ind w:left="1440" w:hanging="1440"/>
      </w:pPr>
    </w:p>
    <w:p w14:paraId="2C082266" w14:textId="27CD957E" w:rsidR="00156D10" w:rsidRDefault="00156D10" w:rsidP="006C123C">
      <w:pPr>
        <w:ind w:left="1440" w:hanging="1440"/>
      </w:pPr>
    </w:p>
    <w:p w14:paraId="14ECC5B0" w14:textId="50E15D8F" w:rsidR="00156D10" w:rsidRDefault="00156D10" w:rsidP="006C123C">
      <w:pPr>
        <w:ind w:left="1440" w:hanging="1440"/>
      </w:pPr>
    </w:p>
    <w:p w14:paraId="70CF173B" w14:textId="7CA873A0" w:rsidR="00156D10" w:rsidRDefault="00156D10" w:rsidP="006C123C">
      <w:pPr>
        <w:ind w:left="1440" w:hanging="1440"/>
      </w:pPr>
    </w:p>
    <w:p w14:paraId="6568ABAC" w14:textId="0FFAF124" w:rsidR="00156D10" w:rsidRDefault="00156D10" w:rsidP="006C123C">
      <w:pPr>
        <w:ind w:left="1440" w:hanging="1440"/>
      </w:pPr>
    </w:p>
    <w:p w14:paraId="2901BC55" w14:textId="54C7D387" w:rsidR="00156D10" w:rsidRDefault="00156D10" w:rsidP="006C123C">
      <w:pPr>
        <w:ind w:left="1440" w:hanging="1440"/>
      </w:pPr>
    </w:p>
    <w:p w14:paraId="110AC361" w14:textId="46ED3DA0" w:rsidR="00156D10" w:rsidRDefault="00156D10" w:rsidP="006C123C">
      <w:pPr>
        <w:ind w:left="1440" w:hanging="1440"/>
      </w:pPr>
    </w:p>
    <w:p w14:paraId="1661F181" w14:textId="69B54B01" w:rsidR="00156D10" w:rsidRDefault="00156D10" w:rsidP="006C123C">
      <w:pPr>
        <w:ind w:left="1440" w:hanging="1440"/>
      </w:pPr>
    </w:p>
    <w:p w14:paraId="6B0B4D96" w14:textId="6BC5774F" w:rsidR="00156D10" w:rsidRDefault="00156D10" w:rsidP="006C123C">
      <w:pPr>
        <w:ind w:left="1440" w:hanging="1440"/>
      </w:pPr>
    </w:p>
    <w:p w14:paraId="117EF19C" w14:textId="021BB208" w:rsidR="00156D10" w:rsidRDefault="00156D10" w:rsidP="006C123C">
      <w:pPr>
        <w:ind w:left="1440" w:hanging="1440"/>
      </w:pPr>
    </w:p>
    <w:p w14:paraId="7B8983B7" w14:textId="77EE50EB" w:rsidR="00156D10" w:rsidRDefault="00156D10" w:rsidP="006C123C">
      <w:pPr>
        <w:ind w:left="1440" w:hanging="1440"/>
      </w:pPr>
    </w:p>
    <w:p w14:paraId="0CA32D5A" w14:textId="0891DC3A" w:rsidR="00156D10" w:rsidRDefault="00156D10" w:rsidP="006C123C">
      <w:pPr>
        <w:ind w:left="1440" w:hanging="1440"/>
      </w:pPr>
    </w:p>
    <w:p w14:paraId="5EBA4694" w14:textId="73F74339" w:rsidR="00156D10" w:rsidRDefault="00156D10" w:rsidP="006C123C">
      <w:pPr>
        <w:ind w:left="1440" w:hanging="1440"/>
      </w:pPr>
    </w:p>
    <w:p w14:paraId="6FDACAFB" w14:textId="1B55EDC9" w:rsidR="00156D10" w:rsidRDefault="00156D10" w:rsidP="006C123C">
      <w:pPr>
        <w:ind w:left="1440" w:hanging="1440"/>
      </w:pPr>
    </w:p>
    <w:p w14:paraId="4A90093E" w14:textId="67FE13DC" w:rsidR="00156D10" w:rsidRDefault="00156D10" w:rsidP="006C123C">
      <w:pPr>
        <w:ind w:left="1440" w:hanging="1440"/>
      </w:pPr>
    </w:p>
    <w:p w14:paraId="194CE007" w14:textId="79FE05B4" w:rsidR="00156D10" w:rsidRDefault="00156D10" w:rsidP="006C123C">
      <w:pPr>
        <w:ind w:left="1440" w:hanging="1440"/>
      </w:pPr>
    </w:p>
    <w:p w14:paraId="212DCCD8" w14:textId="2A432788" w:rsidR="00156D10" w:rsidRDefault="00156D10" w:rsidP="006C123C">
      <w:pPr>
        <w:ind w:left="1440" w:hanging="1440"/>
      </w:pPr>
    </w:p>
    <w:p w14:paraId="6D504FB0" w14:textId="32B20520" w:rsidR="00156D10" w:rsidRDefault="00156D10" w:rsidP="006C123C">
      <w:pPr>
        <w:ind w:left="1440" w:hanging="1440"/>
      </w:pPr>
    </w:p>
    <w:p w14:paraId="727B6E38" w14:textId="4FDF9561" w:rsidR="00156D10" w:rsidRDefault="00156D10" w:rsidP="006C123C">
      <w:pPr>
        <w:ind w:left="1440" w:hanging="1440"/>
      </w:pPr>
    </w:p>
    <w:p w14:paraId="4F729217" w14:textId="7D248115" w:rsidR="00156D10" w:rsidRDefault="00156D10" w:rsidP="006C123C">
      <w:pPr>
        <w:ind w:left="1440" w:hanging="1440"/>
      </w:pPr>
    </w:p>
    <w:p w14:paraId="7C78F112" w14:textId="77777777" w:rsidR="00156D10" w:rsidRPr="00B77342" w:rsidRDefault="00156D10" w:rsidP="006C123C">
      <w:pPr>
        <w:ind w:left="1440" w:hanging="1440"/>
      </w:pPr>
    </w:p>
    <w:p w14:paraId="0A89945F" w14:textId="3BEF9FA8" w:rsidR="00FE0E24" w:rsidRPr="00B77342" w:rsidRDefault="00062388" w:rsidP="00B77342">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Goal of the study:</w:t>
      </w:r>
      <w:r w:rsidRPr="00B77342">
        <w:rPr>
          <w:b/>
        </w:rPr>
        <w:t xml:space="preserve"> </w:t>
      </w:r>
      <w:r w:rsidRPr="00B77342">
        <w:rPr>
          <w:rFonts w:eastAsiaTheme="minorHAnsi"/>
        </w:rPr>
        <w:t>This information collection request (ICR) facilitates agency initiation and conduct of legislatively mandated (PL 91-596 &amp; PL 91-973) investigations of chemical, biological, and physical workplace health hazards. Collection of information may help define or assess the magnitude of workplace health hazards. The ICR inc</w:t>
      </w:r>
      <w:r w:rsidR="004D746E">
        <w:rPr>
          <w:rFonts w:eastAsiaTheme="minorHAnsi"/>
        </w:rPr>
        <w:t>l</w:t>
      </w:r>
      <w:r w:rsidRPr="00B77342">
        <w:rPr>
          <w:rFonts w:eastAsiaTheme="minorHAnsi"/>
        </w:rPr>
        <w:t>udes tools necessary to a) initiate the investigation and collect data, b) communicate investigation findings to employers and employees at investigated workplaces and c) obtain information on program impact and outcomes to inform continuous program improvement.</w:t>
      </w:r>
    </w:p>
    <w:p w14:paraId="41313ECA" w14:textId="77777777" w:rsidR="00FE0E24" w:rsidRPr="00B77342" w:rsidRDefault="00062388" w:rsidP="00B77342">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Intended use of the resulting data:</w:t>
      </w:r>
      <w:r w:rsidRPr="00B77342">
        <w:rPr>
          <w:rFonts w:eastAsiaTheme="minorHAnsi"/>
        </w:rPr>
        <w:t xml:space="preserve"> Investigation results document current and potential workplace health hazards of concern to employers and employees specific to their workplace. Findings support recommendations for corrective or preventive measures to eliminate hazards and prevent work-related injury and illness in the investigated workplace. Findings also are used to identify future research needs</w:t>
      </w:r>
      <w:r w:rsidR="00FE0E24" w:rsidRPr="00B77342">
        <w:rPr>
          <w:rFonts w:eastAsiaTheme="minorHAnsi"/>
        </w:rPr>
        <w:t>.</w:t>
      </w:r>
    </w:p>
    <w:p w14:paraId="63AB4D2F" w14:textId="77777777" w:rsidR="00FE0E24" w:rsidRPr="00B77342" w:rsidRDefault="00062388" w:rsidP="00B77342">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Methods to be used to collect:</w:t>
      </w:r>
      <w:r w:rsidRPr="00B77342">
        <w:rPr>
          <w:rFonts w:eastAsiaTheme="minorHAnsi"/>
        </w:rPr>
        <w:t xml:space="preserve"> Nearly all investigations use cross-sectional methods to assess current exposures and health status. For some investigations retrospective exposure information also is collected (e.g., through record review). Investigations may draw upon medical, industrial hygiene, epidemiologic, organizational and industrial psychology, ergonomic, engineering, toxicologic, and communication expertise.</w:t>
      </w:r>
    </w:p>
    <w:p w14:paraId="782024AC" w14:textId="77777777" w:rsidR="00FE0E24" w:rsidRPr="00B77342" w:rsidRDefault="00062388" w:rsidP="00B77342">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The subpopulation studied:</w:t>
      </w:r>
      <w:r w:rsidRPr="00B77342">
        <w:rPr>
          <w:rFonts w:eastAsiaTheme="minorHAnsi"/>
        </w:rPr>
        <w:t xml:space="preserve"> The subpopulation served by the Health Hazard Evaluation Program is working men and women in the United States of America and its territories at all levels, industries and workplaces.</w:t>
      </w:r>
    </w:p>
    <w:p w14:paraId="33E80911" w14:textId="0F2C8D40" w:rsidR="00062388" w:rsidRPr="00B77342" w:rsidRDefault="00062388" w:rsidP="00B77342">
      <w:pPr>
        <w:pStyle w:val="ListParagraph"/>
        <w:numPr>
          <w:ilvl w:val="0"/>
          <w:numId w:val="10"/>
        </w:numPr>
        <w:pBdr>
          <w:top w:val="single" w:sz="6" w:space="1" w:color="auto"/>
          <w:left w:val="single" w:sz="6" w:space="0" w:color="auto"/>
          <w:bottom w:val="single" w:sz="6" w:space="1" w:color="auto"/>
          <w:right w:val="single" w:sz="6" w:space="4" w:color="auto"/>
        </w:pBdr>
        <w:spacing w:after="200" w:line="276" w:lineRule="auto"/>
        <w:rPr>
          <w:rFonts w:eastAsiaTheme="minorHAnsi"/>
        </w:rPr>
      </w:pPr>
      <w:r w:rsidRPr="00B77342">
        <w:rPr>
          <w:rFonts w:eastAsiaTheme="minorHAnsi"/>
          <w:b/>
        </w:rPr>
        <w:t>How data will be analyzed:</w:t>
      </w:r>
      <w:r w:rsidRPr="00B77342">
        <w:rPr>
          <w:rFonts w:eastAsiaTheme="minorHAnsi"/>
        </w:rPr>
        <w:t xml:space="preserve"> Data will be analyzed using professionally accepted best practice and emerging methods where appropriate. Evaluation of occupational exposure conditions and health outcomes is used to address the occupational health concerns that prompted employers and employees or their representatives to request an investigation. Investigation determinations are made on the basis of the data collected for the workplace under investigation and are consistent with curre</w:t>
      </w:r>
      <w:r w:rsidR="00FE0E24" w:rsidRPr="00B77342">
        <w:rPr>
          <w:rFonts w:eastAsiaTheme="minorHAnsi"/>
        </w:rPr>
        <w:t>nt best public health practices</w:t>
      </w:r>
      <w:r w:rsidRPr="00B77342">
        <w:rPr>
          <w:rFonts w:eastAsiaTheme="minorHAnsi"/>
        </w:rPr>
        <w:t>.</w:t>
      </w:r>
    </w:p>
    <w:p w14:paraId="67B09AD4" w14:textId="77777777" w:rsidR="00062388" w:rsidRDefault="00062388" w:rsidP="00062388">
      <w:pPr>
        <w:jc w:val="center"/>
        <w:rPr>
          <w:b/>
          <w:u w:val="single"/>
        </w:rPr>
      </w:pPr>
    </w:p>
    <w:p w14:paraId="7D30A60E" w14:textId="77777777" w:rsidR="00062388" w:rsidRDefault="00062388" w:rsidP="00062388">
      <w:pPr>
        <w:jc w:val="center"/>
        <w:rPr>
          <w:b/>
          <w:u w:val="single"/>
        </w:rPr>
      </w:pPr>
    </w:p>
    <w:p w14:paraId="4E5F6EA1" w14:textId="77777777" w:rsidR="00062388" w:rsidRDefault="00062388" w:rsidP="00062388">
      <w:pPr>
        <w:jc w:val="center"/>
        <w:rPr>
          <w:b/>
          <w:u w:val="single"/>
        </w:rPr>
      </w:pPr>
    </w:p>
    <w:p w14:paraId="3E2406F5" w14:textId="77777777" w:rsidR="00062388" w:rsidRDefault="00062388" w:rsidP="00062388">
      <w:pPr>
        <w:jc w:val="center"/>
        <w:rPr>
          <w:b/>
          <w:u w:val="single"/>
        </w:rPr>
      </w:pPr>
    </w:p>
    <w:p w14:paraId="072BB123" w14:textId="77777777" w:rsidR="00062388" w:rsidRDefault="00062388" w:rsidP="00062388">
      <w:pPr>
        <w:jc w:val="center"/>
        <w:rPr>
          <w:b/>
          <w:u w:val="single"/>
        </w:rPr>
      </w:pPr>
    </w:p>
    <w:p w14:paraId="32372DCF" w14:textId="77777777" w:rsidR="00062388" w:rsidRDefault="00062388" w:rsidP="00062388">
      <w:pPr>
        <w:jc w:val="center"/>
        <w:rPr>
          <w:b/>
          <w:u w:val="single"/>
        </w:rPr>
      </w:pPr>
    </w:p>
    <w:p w14:paraId="15A1CE47" w14:textId="77777777" w:rsidR="00062388" w:rsidRDefault="00062388" w:rsidP="006C123C">
      <w:pPr>
        <w:ind w:left="1440" w:hanging="1440"/>
      </w:pPr>
    </w:p>
    <w:p w14:paraId="743032BA" w14:textId="77777777" w:rsidR="00062388" w:rsidRDefault="00062388" w:rsidP="006C123C">
      <w:pPr>
        <w:ind w:left="1440" w:hanging="1440"/>
      </w:pPr>
    </w:p>
    <w:p w14:paraId="01DE9A6E" w14:textId="77777777" w:rsidR="00062388" w:rsidRDefault="00062388" w:rsidP="006C123C">
      <w:pPr>
        <w:ind w:left="1440" w:hanging="1440"/>
      </w:pPr>
    </w:p>
    <w:p w14:paraId="581100FE" w14:textId="77777777" w:rsidR="00062388" w:rsidRDefault="00062388" w:rsidP="006C123C">
      <w:pPr>
        <w:ind w:left="1440" w:hanging="1440"/>
      </w:pPr>
    </w:p>
    <w:p w14:paraId="30CC28D8" w14:textId="77777777" w:rsidR="00062388" w:rsidRDefault="00062388" w:rsidP="006C123C">
      <w:pPr>
        <w:ind w:left="1440" w:hanging="1440"/>
      </w:pPr>
    </w:p>
    <w:p w14:paraId="2D31265C" w14:textId="77777777" w:rsidR="00062388" w:rsidRDefault="00062388" w:rsidP="006C123C">
      <w:pPr>
        <w:ind w:left="1440" w:hanging="1440"/>
      </w:pPr>
    </w:p>
    <w:p w14:paraId="56379A10" w14:textId="77777777" w:rsidR="00062388" w:rsidRDefault="00062388" w:rsidP="006C123C">
      <w:pPr>
        <w:ind w:left="1440" w:hanging="1440"/>
      </w:pPr>
    </w:p>
    <w:p w14:paraId="3E224BE0" w14:textId="77777777" w:rsidR="00062388" w:rsidRDefault="00062388" w:rsidP="006C123C">
      <w:pPr>
        <w:ind w:left="1440" w:hanging="1440"/>
      </w:pPr>
    </w:p>
    <w:p w14:paraId="1582E87C" w14:textId="3C8079FA" w:rsidR="00942D7B" w:rsidRDefault="00942D7B"/>
    <w:p w14:paraId="42B545CB" w14:textId="77777777" w:rsidR="006C123C" w:rsidRDefault="006C123C" w:rsidP="006C123C">
      <w:pPr>
        <w:ind w:left="1440" w:hanging="1440"/>
      </w:pPr>
    </w:p>
    <w:p w14:paraId="5D4B9AFB" w14:textId="62890B7A" w:rsidR="009F246E" w:rsidRPr="00FE0E24" w:rsidRDefault="00FE0E24" w:rsidP="000F16C4">
      <w:r w:rsidRPr="00FE0E24">
        <w:t xml:space="preserve">This is a </w:t>
      </w:r>
      <w:r w:rsidR="004D746E">
        <w:t xml:space="preserve">request for a revision to Health Hazard Evaluation/Technical Assistance and Emerging Problems 0920-0260 (exp. November 31, 2017) </w:t>
      </w:r>
      <w:r w:rsidRPr="00FE0E24">
        <w:t xml:space="preserve">from the National Institute for Occupational Safety and Health (NIOSH), Centers for Disease Control and Prevention (CDC). </w:t>
      </w:r>
      <w:r w:rsidR="00DF6CF8">
        <w:t>This revision</w:t>
      </w:r>
      <w:r w:rsidR="007A4B3B">
        <w:t xml:space="preserve"> is for</w:t>
      </w:r>
      <w:r w:rsidR="00DF6CF8">
        <w:t xml:space="preserve"> an ongoing activity for a 3-year period</w:t>
      </w:r>
      <w:r w:rsidR="004D746E">
        <w:t>.</w:t>
      </w:r>
      <w:r w:rsidR="00DF6CF8">
        <w:t xml:space="preserve"> </w:t>
      </w:r>
      <w:r w:rsidRPr="00FE0E24">
        <w:t xml:space="preserve">This data collection is authorized by </w:t>
      </w:r>
      <w:r w:rsidR="000F0C47">
        <w:t xml:space="preserve">the </w:t>
      </w:r>
      <w:r>
        <w:t xml:space="preserve">Occupational Safety and Health Act of 1970 and </w:t>
      </w:r>
      <w:r w:rsidRPr="00FE0E24">
        <w:t>the Federal Mine Safety and Health Act of 1977 (Attachment A).</w:t>
      </w:r>
      <w:r w:rsidR="00B22C24" w:rsidRPr="00FE0E24">
        <w:t xml:space="preserve"> </w:t>
      </w:r>
      <w:r w:rsidR="00B9751E" w:rsidRPr="00FE0E24">
        <w:t xml:space="preserve">The </w:t>
      </w:r>
      <w:r w:rsidR="004D746E">
        <w:t>requested</w:t>
      </w:r>
      <w:r w:rsidR="004D746E" w:rsidRPr="00FE0E24">
        <w:t xml:space="preserve"> </w:t>
      </w:r>
      <w:r w:rsidR="00B9751E" w:rsidRPr="00FE0E24">
        <w:t>changes to t</w:t>
      </w:r>
      <w:r w:rsidR="00F9103C" w:rsidRPr="00FE0E24">
        <w:t xml:space="preserve">he English and Spanish Health Hazard Evaluation (HHE) request forms are </w:t>
      </w:r>
      <w:r w:rsidR="00B9751E" w:rsidRPr="00FE0E24">
        <w:t>the reordering of one question and the elimination of one question</w:t>
      </w:r>
      <w:r w:rsidR="005D5EFF" w:rsidRPr="00FE0E24">
        <w:t>, with no recognizable impact on the burden hour estimates</w:t>
      </w:r>
      <w:r w:rsidR="00F9103C" w:rsidRPr="00FE0E24">
        <w:t>.</w:t>
      </w:r>
      <w:r w:rsidR="00EA7152" w:rsidRPr="00FE0E24">
        <w:t xml:space="preserve"> </w:t>
      </w:r>
      <w:r w:rsidR="00A3641F" w:rsidRPr="00FE0E24">
        <w:t>One small addition was made on t</w:t>
      </w:r>
      <w:r w:rsidR="009F246E" w:rsidRPr="00FE0E24">
        <w:t xml:space="preserve">he Employee Contact Postcard </w:t>
      </w:r>
      <w:r w:rsidR="00A3641F" w:rsidRPr="00FE0E24">
        <w:t xml:space="preserve">with no appreciable change </w:t>
      </w:r>
      <w:r w:rsidR="004D746E">
        <w:t>in</w:t>
      </w:r>
      <w:r w:rsidR="00A3641F" w:rsidRPr="00FE0E24">
        <w:t xml:space="preserve"> burden</w:t>
      </w:r>
      <w:r w:rsidR="00B411AE" w:rsidRPr="00FE0E24">
        <w:t>.</w:t>
      </w:r>
      <w:r w:rsidR="004A0EED" w:rsidRPr="00FE0E24">
        <w:t xml:space="preserve"> </w:t>
      </w:r>
      <w:r w:rsidR="00F9103C" w:rsidRPr="00FE0E24">
        <w:t>Revisions made to the five followback questionnaires are re-wording and re-ordering of a few questions to improve the ease of responding.</w:t>
      </w:r>
      <w:r w:rsidR="009F246E" w:rsidRPr="00FE0E24">
        <w:t xml:space="preserve"> </w:t>
      </w:r>
      <w:r w:rsidR="00031D86" w:rsidRPr="00FE0E24">
        <w:t xml:space="preserve">Several </w:t>
      </w:r>
      <w:r w:rsidR="00942D7B" w:rsidRPr="00FE0E24">
        <w:t xml:space="preserve">questions in the </w:t>
      </w:r>
      <w:r w:rsidR="00031D86" w:rsidRPr="00FE0E24">
        <w:t>Followback Survey – Final Report</w:t>
      </w:r>
      <w:r w:rsidR="00942D7B" w:rsidRPr="00FE0E24">
        <w:t xml:space="preserve"> for Health Hazard Evaluations with an </w:t>
      </w:r>
      <w:r w:rsidR="00031D86" w:rsidRPr="00FE0E24">
        <w:t>o</w:t>
      </w:r>
      <w:r w:rsidR="00942D7B" w:rsidRPr="00FE0E24">
        <w:t xml:space="preserve">n-site </w:t>
      </w:r>
      <w:r w:rsidR="00031D86" w:rsidRPr="00FE0E24">
        <w:t>e</w:t>
      </w:r>
      <w:r w:rsidR="00942D7B" w:rsidRPr="00FE0E24">
        <w:t xml:space="preserve">valuation have been </w:t>
      </w:r>
      <w:r w:rsidR="00B411AE" w:rsidRPr="00FE0E24">
        <w:t>added resulting in an increase in burden of 5 minutes per respondent.</w:t>
      </w:r>
    </w:p>
    <w:p w14:paraId="38858618" w14:textId="77777777" w:rsidR="009F246E" w:rsidRPr="00FE0E24" w:rsidRDefault="009F246E" w:rsidP="000F16C4"/>
    <w:p w14:paraId="75762AAC" w14:textId="0D95E29F" w:rsidR="00EE78B2" w:rsidRPr="00FE0E24" w:rsidRDefault="00B7308B" w:rsidP="000F16C4">
      <w:r w:rsidRPr="00FE0E24">
        <w:t>A</w:t>
      </w:r>
      <w:r w:rsidR="002E323F" w:rsidRPr="00FE0E24">
        <w:t xml:space="preserve">nnualized burden hour estimates </w:t>
      </w:r>
      <w:r w:rsidR="001F5CAD" w:rsidRPr="00FE0E24">
        <w:t>are</w:t>
      </w:r>
      <w:r w:rsidR="003052FE" w:rsidRPr="00FE0E24">
        <w:t xml:space="preserve"> associated with</w:t>
      </w:r>
      <w:r w:rsidR="00FE5A20" w:rsidRPr="00FE0E24">
        <w:t xml:space="preserve"> responding to</w:t>
      </w:r>
      <w:r w:rsidR="00F9103C" w:rsidRPr="00FE0E24">
        <w:t xml:space="preserve"> </w:t>
      </w:r>
      <w:r w:rsidR="003052FE" w:rsidRPr="00FE0E24">
        <w:t xml:space="preserve">an estimated </w:t>
      </w:r>
      <w:r w:rsidR="00942D7B" w:rsidRPr="00FE0E24">
        <w:t>290</w:t>
      </w:r>
      <w:r w:rsidR="003052FE" w:rsidRPr="00FE0E24">
        <w:t xml:space="preserve"> HHE requests</w:t>
      </w:r>
      <w:r w:rsidR="00B073AE" w:rsidRPr="00FE0E24">
        <w:t xml:space="preserve"> </w:t>
      </w:r>
      <w:r w:rsidR="00942D7B" w:rsidRPr="00FE0E24">
        <w:t>including</w:t>
      </w:r>
      <w:r w:rsidR="00FE5A20" w:rsidRPr="00FE0E24">
        <w:t xml:space="preserve"> </w:t>
      </w:r>
      <w:r w:rsidR="00E82587" w:rsidRPr="00FE0E24">
        <w:t>six</w:t>
      </w:r>
      <w:r w:rsidR="00B073AE" w:rsidRPr="00FE0E24">
        <w:t xml:space="preserve"> emerging problem investigations</w:t>
      </w:r>
      <w:r w:rsidR="00AE5930" w:rsidRPr="00FE0E24">
        <w:t xml:space="preserve"> (from </w:t>
      </w:r>
      <w:r w:rsidR="00DE591C" w:rsidRPr="00FE0E24">
        <w:t xml:space="preserve">burden tables on </w:t>
      </w:r>
      <w:r w:rsidR="00AE5930" w:rsidRPr="00FE0E24">
        <w:t xml:space="preserve">pages </w:t>
      </w:r>
      <w:r w:rsidR="00C16509" w:rsidRPr="00FE0E24">
        <w:t>1</w:t>
      </w:r>
      <w:r w:rsidR="00942D7B" w:rsidRPr="00FE0E24">
        <w:t>5</w:t>
      </w:r>
      <w:r w:rsidR="00C16509" w:rsidRPr="00FE0E24">
        <w:t xml:space="preserve"> </w:t>
      </w:r>
      <w:r w:rsidR="00AE5930" w:rsidRPr="00FE0E24">
        <w:t>and 1</w:t>
      </w:r>
      <w:r w:rsidR="00942D7B" w:rsidRPr="00FE0E24">
        <w:t>6</w:t>
      </w:r>
      <w:r w:rsidR="00AE5930" w:rsidRPr="00FE0E24">
        <w:t>)</w:t>
      </w:r>
      <w:r w:rsidR="00EE78B2" w:rsidRPr="00FE0E24">
        <w:t xml:space="preserve">. </w:t>
      </w:r>
      <w:r w:rsidR="00C73848" w:rsidRPr="00FE0E24">
        <w:t>These</w:t>
      </w:r>
      <w:r w:rsidR="00EE78B2" w:rsidRPr="00FE0E24">
        <w:t xml:space="preserve"> burden estimates</w:t>
      </w:r>
      <w:r w:rsidR="00C73848" w:rsidRPr="00FE0E24">
        <w:t xml:space="preserve"> </w:t>
      </w:r>
      <w:r w:rsidR="00B411AE" w:rsidRPr="00FE0E24">
        <w:t xml:space="preserve">are </w:t>
      </w:r>
      <w:r w:rsidR="00C73848" w:rsidRPr="00FE0E24">
        <w:t>consistent with</w:t>
      </w:r>
      <w:r w:rsidR="00EE78B2" w:rsidRPr="00FE0E24">
        <w:t xml:space="preserve"> the HHE program’s </w:t>
      </w:r>
      <w:r w:rsidR="009F246E" w:rsidRPr="00FE0E24">
        <w:t xml:space="preserve">recent </w:t>
      </w:r>
      <w:r w:rsidR="00EE78B2" w:rsidRPr="00FE0E24">
        <w:t>experience.</w:t>
      </w:r>
      <w:r w:rsidR="00F9103C" w:rsidRPr="00FE0E24">
        <w:t xml:space="preserve"> </w:t>
      </w:r>
      <w:r w:rsidR="00EE78B2" w:rsidRPr="00FE0E24">
        <w:t xml:space="preserve">The </w:t>
      </w:r>
      <w:r w:rsidR="004D746E">
        <w:t xml:space="preserve">proposed </w:t>
      </w:r>
      <w:r w:rsidR="00EE78B2" w:rsidRPr="00FE0E24">
        <w:t>burden changes</w:t>
      </w:r>
      <w:r w:rsidR="000F0C47">
        <w:t xml:space="preserve"> </w:t>
      </w:r>
      <w:r w:rsidR="00EE78B2" w:rsidRPr="00FE0E24">
        <w:t>are:</w:t>
      </w:r>
      <w:r w:rsidR="003219AB" w:rsidRPr="00FE0E24">
        <w:t xml:space="preserve"> </w:t>
      </w:r>
    </w:p>
    <w:p w14:paraId="514FEE29" w14:textId="2F44B3CA" w:rsidR="00EE78B2" w:rsidRPr="00FE0E24" w:rsidRDefault="00EE78B2" w:rsidP="00670294">
      <w:pPr>
        <w:pStyle w:val="ListParagraph"/>
        <w:numPr>
          <w:ilvl w:val="0"/>
          <w:numId w:val="7"/>
        </w:numPr>
      </w:pPr>
      <w:r w:rsidRPr="00FE0E24">
        <w:t>Employee</w:t>
      </w:r>
      <w:r w:rsidR="0072468B" w:rsidRPr="00FE0E24">
        <w:t>,</w:t>
      </w:r>
      <w:r w:rsidR="009546C8" w:rsidRPr="00FE0E24">
        <w:t xml:space="preserve"> union</w:t>
      </w:r>
      <w:r w:rsidR="0072468B" w:rsidRPr="00FE0E24">
        <w:t>, employer</w:t>
      </w:r>
      <w:r w:rsidRPr="00FE0E24">
        <w:t xml:space="preserve"> </w:t>
      </w:r>
      <w:r w:rsidR="009546C8" w:rsidRPr="00FE0E24">
        <w:t xml:space="preserve">HHE </w:t>
      </w:r>
      <w:r w:rsidRPr="00FE0E24">
        <w:t>requests</w:t>
      </w:r>
      <w:r w:rsidRPr="00FE0E24">
        <w:tab/>
      </w:r>
      <w:r w:rsidR="004722DB" w:rsidRPr="00FE0E24">
        <w:tab/>
      </w:r>
      <w:r w:rsidRPr="00FE0E24">
        <w:tab/>
      </w:r>
      <w:r w:rsidR="000821E1" w:rsidRPr="00FE0E24">
        <w:t>-2</w:t>
      </w:r>
      <w:r w:rsidR="009546C8" w:rsidRPr="00FE0E24">
        <w:t xml:space="preserve"> hrs</w:t>
      </w:r>
    </w:p>
    <w:p w14:paraId="02708778" w14:textId="0F0E7EBA" w:rsidR="009546C8" w:rsidRPr="00FE0E24" w:rsidRDefault="009546C8" w:rsidP="00670294">
      <w:pPr>
        <w:pStyle w:val="ListParagraph"/>
        <w:numPr>
          <w:ilvl w:val="0"/>
          <w:numId w:val="7"/>
        </w:numPr>
      </w:pPr>
      <w:r w:rsidRPr="00FE0E24">
        <w:t>HHE specific interviews</w:t>
      </w:r>
      <w:r w:rsidRPr="00FE0E24">
        <w:tab/>
      </w:r>
      <w:r w:rsidRPr="00FE0E24">
        <w:tab/>
      </w:r>
      <w:r w:rsidRPr="00FE0E24">
        <w:tab/>
      </w:r>
      <w:r w:rsidR="004722DB" w:rsidRPr="00FE0E24">
        <w:tab/>
      </w:r>
      <w:r w:rsidRPr="00FE0E24">
        <w:tab/>
      </w:r>
      <w:r w:rsidR="000821E1" w:rsidRPr="00FE0E24">
        <w:t>-2</w:t>
      </w:r>
      <w:r w:rsidR="00031D86" w:rsidRPr="00FE0E24">
        <w:t>2</w:t>
      </w:r>
      <w:r w:rsidRPr="00FE0E24">
        <w:t xml:space="preserve"> hrs</w:t>
      </w:r>
    </w:p>
    <w:p w14:paraId="3209C1A3" w14:textId="3A206EED" w:rsidR="009546C8" w:rsidRPr="00FE0E24" w:rsidRDefault="009546C8" w:rsidP="00670294">
      <w:pPr>
        <w:pStyle w:val="ListParagraph"/>
        <w:numPr>
          <w:ilvl w:val="0"/>
          <w:numId w:val="7"/>
        </w:numPr>
      </w:pPr>
      <w:r w:rsidRPr="00FE0E24">
        <w:t>HHE specific questionnaires</w:t>
      </w:r>
      <w:r w:rsidRPr="00FE0E24">
        <w:tab/>
      </w:r>
      <w:r w:rsidRPr="00FE0E24">
        <w:tab/>
      </w:r>
      <w:r w:rsidRPr="00FE0E24">
        <w:tab/>
      </w:r>
      <w:r w:rsidR="004722DB" w:rsidRPr="00FE0E24">
        <w:tab/>
      </w:r>
      <w:r w:rsidRPr="00FE0E24">
        <w:tab/>
      </w:r>
      <w:r w:rsidR="000821E1" w:rsidRPr="00FE0E24">
        <w:t>-50</w:t>
      </w:r>
      <w:r w:rsidRPr="00FE0E24">
        <w:t xml:space="preserve"> hrs</w:t>
      </w:r>
    </w:p>
    <w:p w14:paraId="3B566927" w14:textId="0D1E5EF5" w:rsidR="009546C8" w:rsidRPr="00FE0E24" w:rsidRDefault="004722DB" w:rsidP="00670294">
      <w:pPr>
        <w:pStyle w:val="ListParagraph"/>
        <w:numPr>
          <w:ilvl w:val="0"/>
          <w:numId w:val="7"/>
        </w:numPr>
      </w:pPr>
      <w:r w:rsidRPr="00FE0E24">
        <w:t>Employee Contact Postcard</w:t>
      </w:r>
      <w:r w:rsidRPr="00FE0E24">
        <w:tab/>
      </w:r>
      <w:r w:rsidRPr="00FE0E24">
        <w:tab/>
      </w:r>
      <w:r w:rsidRPr="00FE0E24">
        <w:tab/>
      </w:r>
      <w:r w:rsidR="005F6FA1" w:rsidRPr="00FE0E24">
        <w:tab/>
      </w:r>
      <w:r w:rsidRPr="00FE0E24">
        <w:tab/>
      </w:r>
      <w:r w:rsidR="000821E1" w:rsidRPr="00FE0E24">
        <w:t>-</w:t>
      </w:r>
      <w:r w:rsidR="00031D86" w:rsidRPr="00FE0E24">
        <w:t>6</w:t>
      </w:r>
      <w:r w:rsidRPr="00FE0E24">
        <w:t xml:space="preserve"> hrs</w:t>
      </w:r>
    </w:p>
    <w:p w14:paraId="7D0CCCF7" w14:textId="77777777" w:rsidR="004722DB" w:rsidRPr="00FE0E24" w:rsidRDefault="004722DB" w:rsidP="00670294">
      <w:pPr>
        <w:pStyle w:val="ListParagraph"/>
        <w:numPr>
          <w:ilvl w:val="0"/>
          <w:numId w:val="7"/>
        </w:numPr>
      </w:pPr>
      <w:r w:rsidRPr="00FE0E24">
        <w:t>Followback questionnaires for HHEs with onsite evaluations:</w:t>
      </w:r>
    </w:p>
    <w:p w14:paraId="6F200ABA" w14:textId="77851C76" w:rsidR="004722DB" w:rsidRPr="00FE0E24" w:rsidRDefault="004722DB" w:rsidP="00670294">
      <w:pPr>
        <w:pStyle w:val="ListParagraph"/>
        <w:numPr>
          <w:ilvl w:val="1"/>
          <w:numId w:val="7"/>
        </w:numPr>
      </w:pPr>
      <w:r w:rsidRPr="00FE0E24">
        <w:t>Post-site visit questionnaire</w:t>
      </w:r>
      <w:r w:rsidRPr="00FE0E24">
        <w:tab/>
      </w:r>
      <w:r w:rsidRPr="00FE0E24">
        <w:tab/>
      </w:r>
      <w:r w:rsidRPr="00FE0E24">
        <w:tab/>
      </w:r>
      <w:r w:rsidRPr="00FE0E24">
        <w:tab/>
      </w:r>
      <w:r w:rsidR="000821E1" w:rsidRPr="00FE0E24">
        <w:t>-1</w:t>
      </w:r>
      <w:r w:rsidRPr="00FE0E24">
        <w:t xml:space="preserve"> hrs</w:t>
      </w:r>
    </w:p>
    <w:p w14:paraId="3B486A19" w14:textId="4F3D1B5E" w:rsidR="004722DB" w:rsidRPr="00FE0E24" w:rsidRDefault="004722DB" w:rsidP="00670294">
      <w:pPr>
        <w:pStyle w:val="ListParagraph"/>
        <w:numPr>
          <w:ilvl w:val="1"/>
          <w:numId w:val="7"/>
        </w:numPr>
      </w:pPr>
      <w:r w:rsidRPr="00FE0E24">
        <w:t>Post-final report questionnaire</w:t>
      </w:r>
      <w:r w:rsidRPr="00FE0E24">
        <w:tab/>
      </w:r>
      <w:r w:rsidRPr="00FE0E24">
        <w:tab/>
      </w:r>
      <w:r w:rsidRPr="00FE0E24">
        <w:tab/>
      </w:r>
      <w:r w:rsidR="00484DF7" w:rsidRPr="00FE0E24">
        <w:t>19</w:t>
      </w:r>
      <w:r w:rsidRPr="00FE0E24">
        <w:t xml:space="preserve"> hrs</w:t>
      </w:r>
    </w:p>
    <w:p w14:paraId="641B038B" w14:textId="5E6BAE62" w:rsidR="004722DB" w:rsidRPr="00FE0E24" w:rsidRDefault="004722DB" w:rsidP="00670294">
      <w:pPr>
        <w:pStyle w:val="ListParagraph"/>
        <w:numPr>
          <w:ilvl w:val="1"/>
          <w:numId w:val="7"/>
        </w:numPr>
      </w:pPr>
      <w:r w:rsidRPr="00FE0E24">
        <w:t>One year later impact/outcome questionnaire</w:t>
      </w:r>
      <w:r w:rsidRPr="00FE0E24">
        <w:tab/>
      </w:r>
      <w:r w:rsidRPr="00FE0E24">
        <w:tab/>
      </w:r>
      <w:r w:rsidR="000821E1" w:rsidRPr="00FE0E24">
        <w:t>-2</w:t>
      </w:r>
      <w:r w:rsidRPr="00FE0E24">
        <w:t xml:space="preserve"> hrs</w:t>
      </w:r>
    </w:p>
    <w:p w14:paraId="7B63C9C1" w14:textId="77777777" w:rsidR="004722DB" w:rsidRPr="00FE0E24" w:rsidRDefault="004722DB" w:rsidP="00670294">
      <w:pPr>
        <w:pStyle w:val="ListParagraph"/>
        <w:numPr>
          <w:ilvl w:val="0"/>
          <w:numId w:val="7"/>
        </w:numPr>
      </w:pPr>
      <w:r w:rsidRPr="00FE0E24">
        <w:t>Followback questionnaires for HHEs without onsite evaluations:</w:t>
      </w:r>
    </w:p>
    <w:p w14:paraId="3E3FDE49" w14:textId="640DC129" w:rsidR="009546C8" w:rsidRPr="00FE0E24" w:rsidRDefault="004722DB" w:rsidP="00670294">
      <w:pPr>
        <w:pStyle w:val="ListParagraph"/>
        <w:numPr>
          <w:ilvl w:val="1"/>
          <w:numId w:val="7"/>
        </w:numPr>
      </w:pPr>
      <w:r w:rsidRPr="00FE0E24">
        <w:t>Post HHE closeout questionnaire</w:t>
      </w:r>
      <w:r w:rsidRPr="00FE0E24">
        <w:tab/>
      </w:r>
      <w:r w:rsidRPr="00FE0E24">
        <w:tab/>
      </w:r>
      <w:r w:rsidRPr="00FE0E24">
        <w:tab/>
      </w:r>
      <w:r w:rsidR="000821E1" w:rsidRPr="00FE0E24">
        <w:t>2</w:t>
      </w:r>
      <w:r w:rsidRPr="00FE0E24">
        <w:t xml:space="preserve"> hrs</w:t>
      </w:r>
    </w:p>
    <w:p w14:paraId="333F6306" w14:textId="7D98CD14" w:rsidR="004722DB" w:rsidRPr="00FE0E24" w:rsidRDefault="004722DB" w:rsidP="00670294">
      <w:pPr>
        <w:pStyle w:val="ListParagraph"/>
        <w:numPr>
          <w:ilvl w:val="1"/>
          <w:numId w:val="7"/>
        </w:numPr>
      </w:pPr>
      <w:r w:rsidRPr="00FE0E24">
        <w:t>One year later impact/outcome questionnaire</w:t>
      </w:r>
      <w:r w:rsidRPr="00FE0E24">
        <w:tab/>
      </w:r>
      <w:r w:rsidRPr="00FE0E24">
        <w:tab/>
      </w:r>
      <w:r w:rsidR="000821E1" w:rsidRPr="00FE0E24">
        <w:t>2</w:t>
      </w:r>
      <w:r w:rsidRPr="00FE0E24">
        <w:t xml:space="preserve"> hrs</w:t>
      </w:r>
    </w:p>
    <w:p w14:paraId="21C6A21E" w14:textId="79B2106A" w:rsidR="004722DB" w:rsidRPr="00FE0E24" w:rsidRDefault="008B7572" w:rsidP="00670294">
      <w:pPr>
        <w:pStyle w:val="ListParagraph"/>
        <w:numPr>
          <w:ilvl w:val="0"/>
          <w:numId w:val="7"/>
        </w:numPr>
      </w:pPr>
      <w:r w:rsidRPr="00FE0E24">
        <w:t>Total ICR burden hour change from 201</w:t>
      </w:r>
      <w:r w:rsidR="00C73848" w:rsidRPr="00FE0E24">
        <w:t>4</w:t>
      </w:r>
      <w:r w:rsidRPr="00FE0E24">
        <w:t xml:space="preserve"> OMB renewal:</w:t>
      </w:r>
      <w:r w:rsidRPr="00FE0E24">
        <w:tab/>
      </w:r>
      <w:r w:rsidR="000821E1" w:rsidRPr="00FE0E24">
        <w:t>-</w:t>
      </w:r>
      <w:r w:rsidR="001B0751" w:rsidRPr="00FE0E24">
        <w:t>60</w:t>
      </w:r>
      <w:r w:rsidR="00F9103C" w:rsidRPr="00FE0E24">
        <w:t xml:space="preserve"> hrs</w:t>
      </w:r>
    </w:p>
    <w:p w14:paraId="3BF6F678" w14:textId="77777777" w:rsidR="00B411AE" w:rsidRPr="00FE0E24" w:rsidRDefault="00B411AE" w:rsidP="006C391C"/>
    <w:p w14:paraId="5C461092" w14:textId="4E2FA8A7" w:rsidR="00B22C24" w:rsidRPr="00FE0E24" w:rsidRDefault="00492F7E" w:rsidP="000F16C4">
      <w:r w:rsidRPr="00FE0E24">
        <w:t>The t</w:t>
      </w:r>
      <w:r w:rsidR="003052FE" w:rsidRPr="00FE0E24">
        <w:t xml:space="preserve">otal </w:t>
      </w:r>
      <w:r w:rsidR="00073E5C" w:rsidRPr="00FE0E24">
        <w:t xml:space="preserve">annualized </w:t>
      </w:r>
      <w:r w:rsidR="003052FE" w:rsidRPr="00FE0E24">
        <w:t xml:space="preserve">burden hour estimate for all forms </w:t>
      </w:r>
      <w:r w:rsidR="000821E1" w:rsidRPr="00FE0E24">
        <w:t xml:space="preserve">is </w:t>
      </w:r>
      <w:r w:rsidR="004A1DD3" w:rsidRPr="004A1DD3">
        <w:t>2</w:t>
      </w:r>
      <w:r w:rsidR="003B52D9">
        <w:t>,</w:t>
      </w:r>
      <w:r w:rsidR="004A1DD3" w:rsidRPr="004A1DD3">
        <w:t>9</w:t>
      </w:r>
      <w:r w:rsidR="004A1DD3">
        <w:t>59</w:t>
      </w:r>
      <w:r w:rsidR="004A1DD3" w:rsidRPr="00FE0E24">
        <w:t xml:space="preserve"> </w:t>
      </w:r>
      <w:r w:rsidR="003052FE" w:rsidRPr="00FE0E24">
        <w:t>hours.</w:t>
      </w:r>
      <w:r w:rsidR="00677B84" w:rsidRPr="00FE0E24">
        <w:t xml:space="preserve"> </w:t>
      </w:r>
      <w:r w:rsidR="00C624F1" w:rsidRPr="00FE0E24">
        <w:t xml:space="preserve">Note that all hour values have been rounded up to the next whole hour. </w:t>
      </w:r>
    </w:p>
    <w:p w14:paraId="06F6894F" w14:textId="77777777" w:rsidR="00B22C24" w:rsidRPr="004E38B3" w:rsidRDefault="00B22C24" w:rsidP="000F16C4">
      <w:pPr>
        <w:rPr>
          <w:b/>
        </w:rPr>
      </w:pPr>
    </w:p>
    <w:p w14:paraId="5BE01A2C" w14:textId="77777777" w:rsidR="00144234" w:rsidRDefault="00144234" w:rsidP="000F16C4"/>
    <w:p w14:paraId="3F58F68E" w14:textId="77777777" w:rsidR="00144234" w:rsidRDefault="00144234" w:rsidP="000F16C4">
      <w:pPr>
        <w:numPr>
          <w:ilvl w:val="0"/>
          <w:numId w:val="1"/>
        </w:numPr>
        <w:rPr>
          <w:b/>
        </w:rPr>
      </w:pPr>
      <w:r w:rsidRPr="00FE7B8D">
        <w:rPr>
          <w:b/>
        </w:rPr>
        <w:t>Justification</w:t>
      </w:r>
    </w:p>
    <w:p w14:paraId="52F786FE" w14:textId="77777777" w:rsidR="00D04DD2" w:rsidRPr="00FE7B8D" w:rsidRDefault="00D04DD2" w:rsidP="000F16C4">
      <w:pPr>
        <w:ind w:left="360"/>
        <w:rPr>
          <w:b/>
        </w:rPr>
      </w:pPr>
    </w:p>
    <w:p w14:paraId="7D029D34" w14:textId="77777777" w:rsidR="00144234" w:rsidRPr="009F45C9" w:rsidRDefault="00144234" w:rsidP="000F16C4">
      <w:pPr>
        <w:numPr>
          <w:ilvl w:val="1"/>
          <w:numId w:val="1"/>
        </w:numPr>
        <w:rPr>
          <w:i/>
          <w:u w:val="single"/>
        </w:rPr>
      </w:pPr>
      <w:r w:rsidRPr="009F45C9">
        <w:rPr>
          <w:i/>
          <w:u w:val="single"/>
        </w:rPr>
        <w:t>Circumstances Making the Collection of Information Necessary</w:t>
      </w:r>
    </w:p>
    <w:p w14:paraId="6855D969" w14:textId="251532D6" w:rsidR="00144234" w:rsidRDefault="00144234" w:rsidP="000F16C4">
      <w:pPr>
        <w:ind w:left="720"/>
      </w:pPr>
      <w:r>
        <w:t>NIOSH</w:t>
      </w:r>
      <w:r w:rsidRPr="00064C98">
        <w:t xml:space="preserve"> responds to requests for </w:t>
      </w:r>
      <w:r>
        <w:t>Health Hazard Evaluations</w:t>
      </w:r>
      <w:r w:rsidRPr="00064C98">
        <w:t xml:space="preserve"> to </w:t>
      </w:r>
      <w:r w:rsidR="00F15E67">
        <w:t xml:space="preserve">evaluate health concerns involving </w:t>
      </w:r>
      <w:r w:rsidRPr="00064C98">
        <w:t>chemical, biological, or physical hazards in workplaces throughout the United States.</w:t>
      </w:r>
      <w:r w:rsidR="00F15E67" w:rsidRPr="00F15E67">
        <w:t xml:space="preserve"> </w:t>
      </w:r>
      <w:r w:rsidR="00F15E67" w:rsidRPr="00CF73B6">
        <w:t>Section 20(a)(6) of the Occupational Safety and Health Act of 1970</w:t>
      </w:r>
      <w:r w:rsidR="00F15E67">
        <w:t xml:space="preserve"> and </w:t>
      </w:r>
      <w:r w:rsidR="00F15E67" w:rsidRPr="00CF73B6">
        <w:t xml:space="preserve">Section 501(a)(11) of the Federal Mine Safety and Health Act of 1970 </w:t>
      </w:r>
      <w:r w:rsidR="00F15E67">
        <w:t>[</w:t>
      </w:r>
      <w:r w:rsidR="00F15E67" w:rsidRPr="00CF73B6">
        <w:t xml:space="preserve">Attachment </w:t>
      </w:r>
      <w:r w:rsidR="00F15E67">
        <w:t>A1</w:t>
      </w:r>
      <w:r w:rsidR="00F15E67" w:rsidRPr="00CF73B6">
        <w:t>]</w:t>
      </w:r>
      <w:r w:rsidR="00F15E67">
        <w:t xml:space="preserve"> mandate NIOSH respond to these requests</w:t>
      </w:r>
      <w:r w:rsidR="00F15E67" w:rsidRPr="00CF73B6">
        <w:t xml:space="preserve">. </w:t>
      </w:r>
      <w:r w:rsidR="00902FBB">
        <w:t xml:space="preserve"> </w:t>
      </w:r>
      <w:r w:rsidRPr="00064C98">
        <w:t xml:space="preserve">Each year, NIOSH receives approximately </w:t>
      </w:r>
      <w:r w:rsidR="001B0751">
        <w:t>290</w:t>
      </w:r>
      <w:r>
        <w:t xml:space="preserve"> </w:t>
      </w:r>
      <w:r w:rsidRPr="00064C98">
        <w:t>such requests</w:t>
      </w:r>
      <w:r>
        <w:t>.</w:t>
      </w:r>
      <w:r w:rsidR="00902FBB">
        <w:t xml:space="preserve"> </w:t>
      </w:r>
      <w:r>
        <w:t xml:space="preserve">NIOSH conducts approximately </w:t>
      </w:r>
      <w:r w:rsidR="001B0751">
        <w:t>12</w:t>
      </w:r>
      <w:r w:rsidR="00C624F1">
        <w:t>2</w:t>
      </w:r>
      <w:r>
        <w:t xml:space="preserve"> short-term field evaluations each year to identify potential chemical, biological, or physical hazards in a given workplace.</w:t>
      </w:r>
      <w:r w:rsidR="00902FBB">
        <w:t xml:space="preserve"> </w:t>
      </w:r>
      <w:r>
        <w:t>For the remaining requests, NIOSH responds by letter or telephone.</w:t>
      </w:r>
      <w:r w:rsidR="00902FBB">
        <w:t xml:space="preserve"> </w:t>
      </w:r>
      <w:r>
        <w:t>This authority forms the basis for the NIOSH “Health Hazard Evaluation” program.</w:t>
      </w:r>
      <w:r w:rsidR="00902FBB">
        <w:t xml:space="preserve"> </w:t>
      </w:r>
      <w:r>
        <w:t xml:space="preserve">NIOSH uses its general research authority found in Section 20(a)(4), 20(a)(6), and 20(a)(7) of the Occupational Safety and Health Act and Sections 301(a) and 501(a)(5) of the Federal Mine Safety and Health Act </w:t>
      </w:r>
      <w:r w:rsidRPr="006105EE">
        <w:t xml:space="preserve">(Attachment </w:t>
      </w:r>
      <w:r w:rsidR="00907CC3">
        <w:t>A</w:t>
      </w:r>
      <w:r w:rsidR="00F04ECF">
        <w:t>1</w:t>
      </w:r>
      <w:r w:rsidRPr="006105EE">
        <w:t>)</w:t>
      </w:r>
      <w:r w:rsidRPr="00064C98">
        <w:t xml:space="preserve"> </w:t>
      </w:r>
      <w:r>
        <w:t>to respond to requests for similar investigations from other federal agencies, and state and local institutions – i.e., “technical assistance” and to perform self-initiated short term studies of “emerging problems.”</w:t>
      </w:r>
    </w:p>
    <w:p w14:paraId="4082855C" w14:textId="77777777" w:rsidR="00144234" w:rsidRDefault="00144234" w:rsidP="000F16C4">
      <w:pPr>
        <w:ind w:left="720"/>
      </w:pPr>
    </w:p>
    <w:p w14:paraId="6A42E9B2" w14:textId="77777777" w:rsidR="00144234" w:rsidRDefault="00144234" w:rsidP="000F16C4">
      <w:pPr>
        <w:ind w:left="720"/>
      </w:pPr>
      <w:r>
        <w:t>Requirements in these two Acts</w:t>
      </w:r>
    </w:p>
    <w:p w14:paraId="240C3240" w14:textId="77777777" w:rsidR="00144234" w:rsidRDefault="00144234" w:rsidP="000F16C4">
      <w:pPr>
        <w:ind w:left="720"/>
      </w:pPr>
    </w:p>
    <w:p w14:paraId="02F079E6" w14:textId="77777777" w:rsidR="00144234" w:rsidRDefault="00144234" w:rsidP="000F16C4">
      <w:pPr>
        <w:numPr>
          <w:ilvl w:val="2"/>
          <w:numId w:val="2"/>
        </w:numPr>
      </w:pPr>
      <w:r>
        <w:t>Provide a practical means to assure that workers exposed to the thousands of substances for which standards have not yet been developed are properly protected, and</w:t>
      </w:r>
    </w:p>
    <w:p w14:paraId="5E812C51" w14:textId="23F51168" w:rsidR="00144234" w:rsidRDefault="00144234" w:rsidP="000F16C4">
      <w:pPr>
        <w:numPr>
          <w:ilvl w:val="2"/>
          <w:numId w:val="2"/>
        </w:numPr>
      </w:pPr>
      <w:r>
        <w:t>Obtain information on health hazards at current workplace exposure levels.</w:t>
      </w:r>
      <w:r w:rsidR="00902FBB">
        <w:t xml:space="preserve"> </w:t>
      </w:r>
      <w:r>
        <w:t>This information may indicate the need for changes in existing health standards</w:t>
      </w:r>
      <w:r w:rsidR="002C40E5">
        <w:t xml:space="preserve"> or identify emerging hazards previously unevaluated</w:t>
      </w:r>
      <w:r>
        <w:t>.</w:t>
      </w:r>
    </w:p>
    <w:p w14:paraId="1C8E0F60" w14:textId="77777777" w:rsidR="00144234" w:rsidRDefault="00144234" w:rsidP="000F16C4"/>
    <w:p w14:paraId="10F0883B" w14:textId="24B925F2" w:rsidR="00B508E5" w:rsidRDefault="00144234" w:rsidP="000F16C4">
      <w:pPr>
        <w:ind w:left="720"/>
      </w:pPr>
      <w:r>
        <w:t xml:space="preserve">Since 1970, NIOSH has responded to over </w:t>
      </w:r>
      <w:r w:rsidR="00556E10">
        <w:t>1</w:t>
      </w:r>
      <w:r w:rsidR="00F7595B">
        <w:t>6,100</w:t>
      </w:r>
      <w:r w:rsidRPr="0097126B">
        <w:t xml:space="preserve"> </w:t>
      </w:r>
      <w:r>
        <w:t>Health Hazard Evaluation requests.</w:t>
      </w:r>
      <w:r w:rsidR="00902FBB">
        <w:t xml:space="preserve"> </w:t>
      </w:r>
      <w:r>
        <w:t>The main purpose of a Health Hazard Evaluation is to help employers and employees identify and eliminate work hazards.</w:t>
      </w:r>
      <w:r w:rsidR="00902FBB">
        <w:t xml:space="preserve"> </w:t>
      </w:r>
      <w:r>
        <w:t xml:space="preserve">Nearly all Health Hazard Evaluations are in response to specific requests for assistance by employers, employees, employee representatives, other federal agencies, and state and local agencies. In the </w:t>
      </w:r>
      <w:r w:rsidR="00CF0079">
        <w:t xml:space="preserve">three </w:t>
      </w:r>
      <w:r>
        <w:t>years from FY 20</w:t>
      </w:r>
      <w:r w:rsidR="00475722">
        <w:t>1</w:t>
      </w:r>
      <w:r w:rsidR="001D3861">
        <w:t>4</w:t>
      </w:r>
      <w:r>
        <w:t xml:space="preserve"> – FY 20</w:t>
      </w:r>
      <w:r w:rsidR="00556E10">
        <w:t>1</w:t>
      </w:r>
      <w:r w:rsidR="001D3861">
        <w:t>6</w:t>
      </w:r>
      <w:r>
        <w:t xml:space="preserve">, NIOSH received and responded to </w:t>
      </w:r>
      <w:r w:rsidR="00475722">
        <w:t>6</w:t>
      </w:r>
      <w:r w:rsidR="001D3861">
        <w:t>7</w:t>
      </w:r>
      <w:r w:rsidR="00795D15">
        <w:t>3</w:t>
      </w:r>
      <w:r>
        <w:t xml:space="preserve"> Health Hazard Evaluation requests from a variety of workplaces including health care facilities, industrial settings, and non-industrial indoor environments.</w:t>
      </w:r>
      <w:r w:rsidR="00902FBB">
        <w:t xml:space="preserve"> </w:t>
      </w:r>
      <w:r>
        <w:t>Each year NIOSH initiates a few Health Hazard Evaluations in response to new information obtained by NIOSH regarding chemical, biological, or physical agent hazards and for which NIOSH needs to assess the feasibility of conducting a long-term research investigation.</w:t>
      </w:r>
      <w:r w:rsidR="00902FBB">
        <w:t xml:space="preserve"> </w:t>
      </w:r>
      <w:r>
        <w:t>In these situations, a relatively small respondent burden is involved, using environmental and medical investigative procedures that are highly specific to the hazard and workers involved.</w:t>
      </w:r>
    </w:p>
    <w:p w14:paraId="76A6F54E" w14:textId="77777777" w:rsidR="00B508E5" w:rsidRDefault="00B508E5" w:rsidP="000F16C4">
      <w:pPr>
        <w:ind w:left="720"/>
      </w:pPr>
    </w:p>
    <w:p w14:paraId="7E1DA22D" w14:textId="49380BBF" w:rsidR="00144234" w:rsidRPr="009E1E61" w:rsidRDefault="00144234" w:rsidP="00322403">
      <w:pPr>
        <w:tabs>
          <w:tab w:val="left" w:pos="1080"/>
        </w:tabs>
        <w:ind w:left="720"/>
      </w:pPr>
      <w:r>
        <w:t xml:space="preserve">NIOSH </w:t>
      </w:r>
      <w:r w:rsidR="00C624F1">
        <w:t xml:space="preserve">continues </w:t>
      </w:r>
      <w:r>
        <w:t>the agency’s outreach to its partners and customers through the National Occupational Research Agenda or NORA (</w:t>
      </w:r>
      <w:hyperlink r:id="rId9" w:history="1">
        <w:r w:rsidR="00475722" w:rsidRPr="00475722">
          <w:rPr>
            <w:rStyle w:val="Hyperlink"/>
          </w:rPr>
          <w:t>http://www.cdc.gov/niosh/nora/</w:t>
        </w:r>
      </w:hyperlink>
      <w:r>
        <w:t>).</w:t>
      </w:r>
      <w:r w:rsidR="00325267">
        <w:t xml:space="preserve"> </w:t>
      </w:r>
      <w:r w:rsidR="00BD5893">
        <w:t xml:space="preserve">Based on a program review completed by an expert panel of the National Academies, the HHE Program </w:t>
      </w:r>
      <w:r w:rsidR="00475722">
        <w:t xml:space="preserve">continues </w:t>
      </w:r>
      <w:r w:rsidR="00BD5893">
        <w:t xml:space="preserve">to </w:t>
      </w:r>
      <w:r w:rsidR="00835767">
        <w:t xml:space="preserve">promote </w:t>
      </w:r>
      <w:r w:rsidR="00325267">
        <w:t>awareness of the program</w:t>
      </w:r>
      <w:r w:rsidR="00BD5893">
        <w:t>. It also</w:t>
      </w:r>
      <w:r w:rsidR="00325267">
        <w:t xml:space="preserve"> </w:t>
      </w:r>
      <w:r w:rsidR="00FE5A20">
        <w:t>continues</w:t>
      </w:r>
      <w:r w:rsidR="00BD5893">
        <w:t xml:space="preserve"> to conduct </w:t>
      </w:r>
      <w:r w:rsidR="00325267">
        <w:t xml:space="preserve">followback </w:t>
      </w:r>
      <w:r w:rsidR="00BD5893">
        <w:t xml:space="preserve">evaluations </w:t>
      </w:r>
      <w:r w:rsidR="00325267">
        <w:t xml:space="preserve">for completed investigations, </w:t>
      </w:r>
      <w:r w:rsidR="00C679A0">
        <w:t xml:space="preserve">and </w:t>
      </w:r>
      <w:r w:rsidR="00325267">
        <w:t xml:space="preserve">continues to </w:t>
      </w:r>
      <w:r w:rsidR="00C679A0">
        <w:t xml:space="preserve">conduct a small number of research oriented and emerging issue Health Hazard Evaluations. </w:t>
      </w:r>
      <w:r w:rsidR="00C679A0" w:rsidRPr="006C391C">
        <w:t>Two examples</w:t>
      </w:r>
      <w:r w:rsidR="00C679A0">
        <w:t xml:space="preserve"> of emerging issues </w:t>
      </w:r>
      <w:r w:rsidR="00BD5893">
        <w:t>for which the Health Hazard Eval</w:t>
      </w:r>
      <w:r w:rsidR="00C640D6">
        <w:t>u</w:t>
      </w:r>
      <w:r w:rsidR="00BD5893">
        <w:t xml:space="preserve">ation program </w:t>
      </w:r>
      <w:r w:rsidR="00C679A0">
        <w:t xml:space="preserve">are </w:t>
      </w:r>
      <w:r w:rsidR="00BD5893">
        <w:t xml:space="preserve">actively involved are </w:t>
      </w:r>
      <w:r w:rsidR="000548B3">
        <w:t>vaping establishments</w:t>
      </w:r>
      <w:r w:rsidR="00BD5893">
        <w:t xml:space="preserve"> and</w:t>
      </w:r>
      <w:r w:rsidR="00FE5195">
        <w:t xml:space="preserve"> </w:t>
      </w:r>
      <w:r w:rsidR="000548B3">
        <w:t>coffee roasting operations</w:t>
      </w:r>
      <w:r w:rsidR="00C679A0">
        <w:t xml:space="preserve">. </w:t>
      </w:r>
    </w:p>
    <w:p w14:paraId="51E38777" w14:textId="77777777" w:rsidR="00144234" w:rsidRDefault="00144234" w:rsidP="000F16C4">
      <w:pPr>
        <w:ind w:left="720"/>
      </w:pPr>
    </w:p>
    <w:p w14:paraId="20D0C875" w14:textId="52A93F55" w:rsidR="00144234" w:rsidRDefault="00144234" w:rsidP="000F16C4">
      <w:pPr>
        <w:ind w:left="720"/>
      </w:pPr>
      <w:r>
        <w:t xml:space="preserve">Because of the number of investigations conducted each year, the need for rapid response by NIOSH to requests for assistance, and </w:t>
      </w:r>
      <w:r w:rsidR="00920978">
        <w:t>the unpredictable</w:t>
      </w:r>
      <w:r w:rsidR="00312F86">
        <w:t xml:space="preserve"> and changing</w:t>
      </w:r>
      <w:r>
        <w:t xml:space="preserve"> nature of the investigations, consolidated clearance is requested for data collection activities related to Health Hazard Evaluations. The implementing regulations for these programs are 42 CFR Parts 85 and 85a (Attachment </w:t>
      </w:r>
      <w:r w:rsidR="00907CC3">
        <w:t>A</w:t>
      </w:r>
      <w:r w:rsidR="00920978">
        <w:t>2</w:t>
      </w:r>
      <w:r>
        <w:t>).</w:t>
      </w:r>
    </w:p>
    <w:p w14:paraId="168A1026" w14:textId="77777777" w:rsidR="00144234" w:rsidRDefault="00144234" w:rsidP="00B77342"/>
    <w:p w14:paraId="499A3069" w14:textId="08D3C7B0" w:rsidR="00144234" w:rsidRPr="00B77342" w:rsidRDefault="00144234" w:rsidP="00B77342">
      <w:pPr>
        <w:pStyle w:val="ListParagraph"/>
        <w:numPr>
          <w:ilvl w:val="1"/>
          <w:numId w:val="2"/>
        </w:numPr>
        <w:rPr>
          <w:i/>
          <w:u w:val="single"/>
        </w:rPr>
      </w:pPr>
      <w:r w:rsidRPr="00B77342">
        <w:rPr>
          <w:i/>
          <w:u w:val="single"/>
        </w:rPr>
        <w:t>Purpose and Use of the Information Collection</w:t>
      </w:r>
    </w:p>
    <w:p w14:paraId="3B40053C" w14:textId="7C4688E1" w:rsidR="00330877" w:rsidRPr="00CF73B6" w:rsidRDefault="00144234" w:rsidP="000F16C4">
      <w:pPr>
        <w:ind w:left="720"/>
      </w:pPr>
      <w:r>
        <w:t>The Health Hazard Evaluation program provid</w:t>
      </w:r>
      <w:r w:rsidR="006A4617">
        <w:t>es</w:t>
      </w:r>
      <w:r>
        <w:t xml:space="preserve"> individual work sites with a resource for determining if toxic substances</w:t>
      </w:r>
      <w:r w:rsidR="00EB6D84">
        <w:t>, biological materials,</w:t>
      </w:r>
      <w:r>
        <w:t xml:space="preserve"> or harmful physical agents are present in the environment and pose a health hazard to employees.</w:t>
      </w:r>
      <w:r w:rsidR="00902FBB">
        <w:t xml:space="preserve"> </w:t>
      </w:r>
      <w:r>
        <w:t>Health Hazard Evaluations are essential to NIOSH for meeting its legislated function to determine the toxic or hazardous effects of substances or physical agents found in places of employment.</w:t>
      </w:r>
      <w:r w:rsidR="00B432C2">
        <w:t xml:space="preserve"> </w:t>
      </w:r>
      <w:r w:rsidR="00B432C2" w:rsidRPr="00CF73B6">
        <w:t>Information collected is integral</w:t>
      </w:r>
      <w:r w:rsidR="000D6479" w:rsidRPr="00CF73B6">
        <w:t xml:space="preserve"> to</w:t>
      </w:r>
      <w:r w:rsidR="00B432C2" w:rsidRPr="00CF73B6">
        <w:t xml:space="preserve"> identifying the workers who may be exposed to a potential hazard in the workplace</w:t>
      </w:r>
      <w:r w:rsidR="000D6479" w:rsidRPr="00CF73B6">
        <w:t>. D</w:t>
      </w:r>
      <w:r w:rsidR="00B432C2" w:rsidRPr="00CF73B6">
        <w:t>efining health impacts the workforce may be experiencing</w:t>
      </w:r>
      <w:r w:rsidR="000D6479" w:rsidRPr="00CF73B6">
        <w:t xml:space="preserve"> also requires this information</w:t>
      </w:r>
      <w:r w:rsidR="00B432C2" w:rsidRPr="00CF73B6">
        <w:t>. Identifiable information is used to insure the integrity of data collected and that it is not comingled with other workers’ information</w:t>
      </w:r>
      <w:r w:rsidR="000D6479" w:rsidRPr="00CF73B6">
        <w:t xml:space="preserve"> within the same study</w:t>
      </w:r>
      <w:r w:rsidR="00B432C2" w:rsidRPr="00CF73B6">
        <w:t xml:space="preserve">. </w:t>
      </w:r>
      <w:r w:rsidR="000D6479" w:rsidRPr="00CF73B6">
        <w:t>Additionally t</w:t>
      </w:r>
      <w:r w:rsidR="00B432C2" w:rsidRPr="00CF73B6">
        <w:t xml:space="preserve">his information is used to </w:t>
      </w:r>
      <w:r w:rsidR="000D6479" w:rsidRPr="00CF73B6">
        <w:t>verify</w:t>
      </w:r>
      <w:r w:rsidR="00B432C2" w:rsidRPr="00CF73B6">
        <w:t xml:space="preserve"> that health effects experienced by workers </w:t>
      </w:r>
      <w:r w:rsidR="00730ED1">
        <w:t xml:space="preserve">are </w:t>
      </w:r>
      <w:r w:rsidR="00B432C2" w:rsidRPr="00CF73B6">
        <w:t xml:space="preserve">occurring among workers encountering the workplace hazard of concern. Similarly, collection of workplace exposure monitoring </w:t>
      </w:r>
      <w:r w:rsidR="00330877" w:rsidRPr="00CF73B6">
        <w:t xml:space="preserve">requires that it </w:t>
      </w:r>
      <w:r w:rsidR="000D6479" w:rsidRPr="00CF73B6">
        <w:t xml:space="preserve">be linkable </w:t>
      </w:r>
      <w:r w:rsidR="00330877" w:rsidRPr="00CF73B6">
        <w:t xml:space="preserve">with workers where the exposure may occur. NIOSH staff and NIOSH contractors responsible for doing the Health Hazard Evaluation use the collected information </w:t>
      </w:r>
      <w:r w:rsidR="000D6479" w:rsidRPr="00CF73B6">
        <w:t>to complete the requested</w:t>
      </w:r>
      <w:r w:rsidR="00330877" w:rsidRPr="00CF73B6">
        <w:t xml:space="preserve"> </w:t>
      </w:r>
      <w:r w:rsidR="000D6479" w:rsidRPr="00CF73B6">
        <w:t xml:space="preserve">workplace </w:t>
      </w:r>
      <w:r w:rsidR="00330877" w:rsidRPr="00CF73B6">
        <w:t>investigation</w:t>
      </w:r>
      <w:r w:rsidR="000D6479" w:rsidRPr="00CF73B6">
        <w:t>s</w:t>
      </w:r>
      <w:r w:rsidR="00330877" w:rsidRPr="00CF73B6">
        <w:t>. Health Hazard Evaluation reports presenting the study findings use only de-identified data to report results.</w:t>
      </w:r>
    </w:p>
    <w:p w14:paraId="2215A784" w14:textId="77777777" w:rsidR="000D6479" w:rsidRPr="00CF73B6" w:rsidRDefault="000D6479" w:rsidP="000F16C4">
      <w:pPr>
        <w:ind w:left="720"/>
      </w:pPr>
    </w:p>
    <w:p w14:paraId="33C828D4" w14:textId="4BC73F5B" w:rsidR="000D6479" w:rsidRPr="00CF73B6" w:rsidRDefault="000D6479" w:rsidP="000F16C4">
      <w:pPr>
        <w:ind w:left="720"/>
      </w:pPr>
      <w:r w:rsidRPr="00CF73B6">
        <w:t xml:space="preserve">Current information collection methods </w:t>
      </w:r>
      <w:r w:rsidR="0022363A" w:rsidRPr="00CF73B6">
        <w:t>facilitate NIOSH investigators</w:t>
      </w:r>
      <w:r w:rsidR="00C4691E" w:rsidRPr="00CF73B6">
        <w:t>’</w:t>
      </w:r>
      <w:r w:rsidR="0022363A" w:rsidRPr="00CF73B6">
        <w:t xml:space="preserve"> ability to obtain the required information for requested work place investigations to determine the existence and magnitude of workplace hazards.</w:t>
      </w:r>
      <w:r w:rsidR="00C4691E" w:rsidRPr="00CF73B6">
        <w:t xml:space="preserve"> </w:t>
      </w:r>
      <w:r w:rsidR="0022363A" w:rsidRPr="00CF73B6">
        <w:t xml:space="preserve">NIOSH Health Hazard Evaluation findings presented in a report to employer and employees of the facility evaluated answer workplace health concerns identified in the Health Hazard Evaluation request. Health Hazard Evaluation results may be used by employers and employees to identify and reduce or eliminate hazardous workplace exposures; assess their need to improve or implement workplace health and safety programs; obtain input on the effectiveness of their workplace health and safety; or </w:t>
      </w:r>
      <w:r w:rsidR="005455BE" w:rsidRPr="00CF73B6">
        <w:t>obtain specific assistance to solve a workplace related health concern.</w:t>
      </w:r>
      <w:r w:rsidR="0022363A" w:rsidRPr="00CF73B6">
        <w:t xml:space="preserve"> </w:t>
      </w:r>
    </w:p>
    <w:p w14:paraId="20D3177F" w14:textId="77777777" w:rsidR="005455BE" w:rsidRPr="00CF73B6" w:rsidRDefault="005455BE" w:rsidP="000F16C4">
      <w:pPr>
        <w:ind w:left="720"/>
      </w:pPr>
    </w:p>
    <w:p w14:paraId="5D392BBE" w14:textId="77777777" w:rsidR="005455BE" w:rsidRDefault="005455BE" w:rsidP="000F16C4">
      <w:pPr>
        <w:ind w:left="720"/>
      </w:pPr>
      <w:r w:rsidRPr="00CF73B6">
        <w:t>Followback information collection provides the NIOSH Health Hazard Evaluation program with a mechanism for obtaining feedback on the effectiveness of the program. Employers and employee representatives may provide input to NIOSH from their perspective about what worked well and any suggestions that might improve the Health Hazard Evaluation program. NIOSH uses feedback to evaluate the usefulness of the program to employers and employees.</w:t>
      </w:r>
      <w:r w:rsidRPr="00DC7995">
        <w:t xml:space="preserve"> </w:t>
      </w:r>
      <w:r w:rsidRPr="00CF73B6">
        <w:t>NIOSH periodically reviews responses to help identify program areas that may be improved</w:t>
      </w:r>
      <w:r w:rsidR="00CB0268" w:rsidRPr="00CF73B6">
        <w:t>.</w:t>
      </w:r>
    </w:p>
    <w:p w14:paraId="754FF23C" w14:textId="77777777" w:rsidR="00330877" w:rsidRDefault="00330877" w:rsidP="000F16C4">
      <w:pPr>
        <w:ind w:left="720"/>
      </w:pPr>
    </w:p>
    <w:p w14:paraId="02734DDD" w14:textId="34DFB0B6" w:rsidR="002B47B7" w:rsidRDefault="00144234" w:rsidP="00B77342">
      <w:pPr>
        <w:ind w:left="720"/>
        <w:rPr>
          <w:i/>
          <w:u w:val="single"/>
        </w:rPr>
      </w:pPr>
      <w:r>
        <w:t>In addition to the direct benefit to the specific establishment studied, the majority of field investigations done in response to Health Hazard Evaluation requests result in a report that is deemed of sufficient general interest that the report is made available to a wider audience through the internet.</w:t>
      </w:r>
      <w:r w:rsidR="00902FBB">
        <w:t xml:space="preserve"> </w:t>
      </w:r>
      <w:r>
        <w:t xml:space="preserve">Reports </w:t>
      </w:r>
      <w:r w:rsidR="004C098E">
        <w:t xml:space="preserve">may </w:t>
      </w:r>
      <w:r>
        <w:t>also be obtained by calling the CDC-NIOSH toll-free assistance number (1-800 CDC INFO)</w:t>
      </w:r>
      <w:r w:rsidR="00BC5D51">
        <w:t>, using the CDC INFO webpage (</w:t>
      </w:r>
      <w:hyperlink r:id="rId10" w:history="1">
        <w:r w:rsidR="00BC5D51" w:rsidRPr="00456E48">
          <w:rPr>
            <w:rStyle w:val="Hyperlink"/>
          </w:rPr>
          <w:t>https://www.cdc.gov/cdc-info/</w:t>
        </w:r>
      </w:hyperlink>
      <w:r w:rsidR="00B3276F">
        <w:t>) or down loading a digital copy from the NIOSH Health Hazard Evaluation webpage (</w:t>
      </w:r>
      <w:hyperlink r:id="rId11" w:history="1">
        <w:r w:rsidR="008844CC" w:rsidRPr="003934AF">
          <w:rPr>
            <w:rStyle w:val="Hyperlink"/>
          </w:rPr>
          <w:t>https://www.cdc.gov/niosh/hhe/default.html</w:t>
        </w:r>
      </w:hyperlink>
      <w:r w:rsidR="00B3276F">
        <w:t>)</w:t>
      </w:r>
      <w:r w:rsidR="008844CC">
        <w:t xml:space="preserve">. </w:t>
      </w:r>
      <w:r w:rsidR="00875F39">
        <w:t>R</w:t>
      </w:r>
      <w:r w:rsidR="008844CC">
        <w:t>eports may be requested directly from the Health Hazard Evaluation Program office through the</w:t>
      </w:r>
      <w:r w:rsidR="00EA311C">
        <w:t xml:space="preserve"> </w:t>
      </w:r>
      <w:r w:rsidR="008844CC">
        <w:t>website</w:t>
      </w:r>
      <w:r w:rsidR="00FD6A6F">
        <w:t xml:space="preserve">, </w:t>
      </w:r>
      <w:r w:rsidR="008844CC">
        <w:t>by e-mail</w:t>
      </w:r>
      <w:r w:rsidR="00FD6A6F">
        <w:t xml:space="preserve">, or by </w:t>
      </w:r>
      <w:r w:rsidR="00A2657B">
        <w:t xml:space="preserve">written request. </w:t>
      </w:r>
      <w:r w:rsidR="006A4617">
        <w:t>These reports also become the basis for additional dissemination efforts such as publishing findings in scientific and trade publications</w:t>
      </w:r>
      <w:r w:rsidR="00EA311C">
        <w:t xml:space="preserve"> or through presentations to professional and stakeholder groups</w:t>
      </w:r>
      <w:r w:rsidR="006A4617">
        <w:t>.</w:t>
      </w:r>
    </w:p>
    <w:p w14:paraId="7A910DDA" w14:textId="77777777" w:rsidR="00674DA1" w:rsidRDefault="00674DA1" w:rsidP="000F16C4">
      <w:pPr>
        <w:ind w:left="720"/>
      </w:pPr>
    </w:p>
    <w:p w14:paraId="29CD4D52" w14:textId="77777777" w:rsidR="00144234" w:rsidRPr="008A51AA" w:rsidRDefault="00144234" w:rsidP="00B77342">
      <w:pPr>
        <w:numPr>
          <w:ilvl w:val="1"/>
          <w:numId w:val="2"/>
        </w:numPr>
        <w:rPr>
          <w:i/>
          <w:u w:val="single"/>
        </w:rPr>
      </w:pPr>
      <w:r w:rsidRPr="008A51AA">
        <w:rPr>
          <w:i/>
          <w:u w:val="single"/>
        </w:rPr>
        <w:t xml:space="preserve">Use of Improved Information Technology and Burden Reduction </w:t>
      </w:r>
    </w:p>
    <w:p w14:paraId="441C16A2" w14:textId="04E1DA0B" w:rsidR="00144234" w:rsidRDefault="00144234" w:rsidP="000F16C4">
      <w:pPr>
        <w:ind w:left="720"/>
      </w:pPr>
      <w:r>
        <w:t>Questionnaires are designed to collect only the minimal information necessary to address the issues of concern.</w:t>
      </w:r>
      <w:r w:rsidR="00902FBB">
        <w:t xml:space="preserve"> </w:t>
      </w:r>
      <w:r>
        <w:t>A routine part of the initial site visit is to gather industrial hygiene, medical, and epidemiological data that are germane to the issues.</w:t>
      </w:r>
      <w:r w:rsidR="00902FBB">
        <w:t xml:space="preserve"> </w:t>
      </w:r>
      <w:r>
        <w:t>Available data, collected by consultants and the employer, are utilized when possible to avoid collecting redundant information.</w:t>
      </w:r>
      <w:r w:rsidR="00902FBB">
        <w:t xml:space="preserve"> </w:t>
      </w:r>
      <w:r>
        <w:t>Interviews are conducted to be as unobtrusive as possible and to minimize employees’ time away from the job</w:t>
      </w:r>
      <w:r w:rsidRPr="0097126B">
        <w:t>.</w:t>
      </w:r>
      <w:r w:rsidR="00902FBB">
        <w:t xml:space="preserve"> </w:t>
      </w:r>
      <w:r w:rsidRPr="0097126B">
        <w:t>There are no legal obstacles to reduce the burden</w:t>
      </w:r>
      <w:r>
        <w:t>.</w:t>
      </w:r>
      <w:r w:rsidR="00312F86">
        <w:t xml:space="preserve"> Use of electronic surveys is not feasible in the workplace setting of most </w:t>
      </w:r>
      <w:r w:rsidR="00FD6A6F">
        <w:t>H</w:t>
      </w:r>
      <w:r w:rsidR="00312F86">
        <w:t xml:space="preserve">ealth </w:t>
      </w:r>
      <w:r w:rsidR="00FD6A6F">
        <w:t>H</w:t>
      </w:r>
      <w:r w:rsidR="00312F86">
        <w:t xml:space="preserve">azard </w:t>
      </w:r>
      <w:r w:rsidR="00FD6A6F">
        <w:t>E</w:t>
      </w:r>
      <w:r w:rsidR="00312F86">
        <w:t>valuations.</w:t>
      </w:r>
      <w:r w:rsidR="00902FBB">
        <w:t xml:space="preserve"> </w:t>
      </w:r>
      <w:r w:rsidR="00E23CFE">
        <w:t>In F</w:t>
      </w:r>
      <w:r w:rsidR="007E747D">
        <w:t>Y</w:t>
      </w:r>
      <w:r w:rsidR="00E23CFE">
        <w:t>18, the Program will develop an online version of the followback questionnaires (which do not collect personally identifiable information)</w:t>
      </w:r>
      <w:r w:rsidR="007E747D">
        <w:t>. The content of the online questionnaires will mirror that on the paper versions included with this document and the burden will remain the same.</w:t>
      </w:r>
      <w:r w:rsidR="00E23CFE">
        <w:t xml:space="preserve"> </w:t>
      </w:r>
      <w:r w:rsidR="00AE3BFD">
        <w:t xml:space="preserve">Information from past </w:t>
      </w:r>
      <w:r w:rsidR="00312F86">
        <w:t xml:space="preserve">mailed </w:t>
      </w:r>
      <w:r w:rsidR="00AE3BFD">
        <w:t xml:space="preserve">survey respondents indicates </w:t>
      </w:r>
      <w:r w:rsidR="00E23CFE">
        <w:t xml:space="preserve">the need, </w:t>
      </w:r>
      <w:r w:rsidR="005D12C6">
        <w:t xml:space="preserve">however, </w:t>
      </w:r>
      <w:r w:rsidR="00E23CFE">
        <w:t>to retain a mailed, paper version as a respondent option to ensure the greatest response rate</w:t>
      </w:r>
      <w:r w:rsidR="007001A5">
        <w:t>.</w:t>
      </w:r>
      <w:r w:rsidR="003C31B6" w:rsidDel="003C31B6">
        <w:rPr>
          <w:rStyle w:val="CommentReference"/>
        </w:rPr>
        <w:t xml:space="preserve"> </w:t>
      </w:r>
    </w:p>
    <w:p w14:paraId="049D2883" w14:textId="77777777" w:rsidR="003E5A2C" w:rsidRDefault="003E5A2C" w:rsidP="000F16C4">
      <w:pPr>
        <w:ind w:left="720"/>
      </w:pPr>
    </w:p>
    <w:p w14:paraId="1C27CD09" w14:textId="77777777" w:rsidR="00144234" w:rsidRPr="008A51AA" w:rsidRDefault="00144234" w:rsidP="00B77342">
      <w:pPr>
        <w:numPr>
          <w:ilvl w:val="1"/>
          <w:numId w:val="2"/>
        </w:numPr>
        <w:rPr>
          <w:i/>
          <w:u w:val="single"/>
        </w:rPr>
      </w:pPr>
      <w:r w:rsidRPr="008A51AA">
        <w:rPr>
          <w:i/>
          <w:u w:val="single"/>
        </w:rPr>
        <w:t>Efforts to Identify Duplication and Use of Similar Information</w:t>
      </w:r>
    </w:p>
    <w:p w14:paraId="3DF18286" w14:textId="77777777" w:rsidR="00144234" w:rsidRDefault="00144234" w:rsidP="000F16C4">
      <w:pPr>
        <w:ind w:left="720"/>
      </w:pPr>
      <w:r>
        <w:t>Previous information is used whenever appropriate to a study.</w:t>
      </w:r>
      <w:r w:rsidR="00902FBB">
        <w:t xml:space="preserve"> </w:t>
      </w:r>
      <w:r>
        <w:t>Some Health Hazard Evaluation requests that involve issues of compliance with OSHA and MSHA standards are referred to those agencies.</w:t>
      </w:r>
      <w:r w:rsidR="00902FBB">
        <w:t xml:space="preserve"> </w:t>
      </w:r>
      <w:r>
        <w:t>Before initiating a field investigation, local OSHA or MSHA offices are contacted to determine if a relevant investigation is ongoing or has recently been completed at the establishment.</w:t>
      </w:r>
      <w:r w:rsidR="00902FBB">
        <w:t xml:space="preserve"> </w:t>
      </w:r>
      <w:r>
        <w:t xml:space="preserve">In addition, state health departments are informed of the Health Hazard Evaluation request and asked to contact NIOSH </w:t>
      </w:r>
      <w:r w:rsidRPr="006105EE">
        <w:t>if</w:t>
      </w:r>
      <w:r>
        <w:t xml:space="preserve"> they have relevant information about the establishment.</w:t>
      </w:r>
      <w:r w:rsidR="00902FBB">
        <w:t xml:space="preserve"> </w:t>
      </w:r>
      <w:r>
        <w:t>It is important to note that the NIOSH Health Hazard Evaluation program is not primarily oriented to assisting employers to comply with OSHA or MSHA regulations and, unlike the compliance assistance, consultation, or alliance programs of those agencies, is authorized to respond to requests from employees and their representatives, as well as employers.</w:t>
      </w:r>
    </w:p>
    <w:p w14:paraId="7529279E" w14:textId="77777777" w:rsidR="00144234" w:rsidRDefault="00144234" w:rsidP="000F16C4">
      <w:pPr>
        <w:ind w:left="720"/>
      </w:pPr>
    </w:p>
    <w:p w14:paraId="46E1C98A" w14:textId="77777777" w:rsidR="00144234" w:rsidRPr="008A51AA" w:rsidRDefault="00144234" w:rsidP="00B77342">
      <w:pPr>
        <w:numPr>
          <w:ilvl w:val="1"/>
          <w:numId w:val="2"/>
        </w:numPr>
        <w:rPr>
          <w:i/>
          <w:u w:val="single"/>
        </w:rPr>
      </w:pPr>
      <w:r w:rsidRPr="008A51AA">
        <w:rPr>
          <w:i/>
          <w:u w:val="single"/>
        </w:rPr>
        <w:t>Impact on Small Businesses or Other Small Entities</w:t>
      </w:r>
    </w:p>
    <w:p w14:paraId="5EFD97C3" w14:textId="35AAB6DC" w:rsidR="00144234" w:rsidRDefault="00144234" w:rsidP="00BB20D8">
      <w:pPr>
        <w:autoSpaceDE w:val="0"/>
        <w:autoSpaceDN w:val="0"/>
        <w:adjustRightInd w:val="0"/>
        <w:ind w:left="720"/>
      </w:pPr>
      <w:r>
        <w:t>Every effort is made to minimize the burden on all employers (including small businesses) when collecting information.</w:t>
      </w:r>
      <w:r w:rsidR="00902FBB">
        <w:t xml:space="preserve"> </w:t>
      </w:r>
      <w:r>
        <w:t>The dates for the investigation are set in consultation with the employer.</w:t>
      </w:r>
      <w:r w:rsidR="006A4617">
        <w:t xml:space="preserve"> NIOSH investigators work closely with employers </w:t>
      </w:r>
      <w:r w:rsidR="00DD127B">
        <w:t xml:space="preserve">to establish </w:t>
      </w:r>
      <w:r w:rsidR="006A4617">
        <w:t>the logistics of the visit.</w:t>
      </w:r>
      <w:r w:rsidR="001B7A24">
        <w:t xml:space="preserve"> </w:t>
      </w:r>
      <w:r w:rsidR="001B7A24" w:rsidRPr="00CF73B6">
        <w:t>Employee interviews and questionnaires are designed to be as brief as possible while still obtaining the essential information needed for the evaluation.</w:t>
      </w:r>
      <w:r w:rsidR="00E3155B">
        <w:t xml:space="preserve"> Paragraph (e) in Section 85.7 of 42CFR85 requires t</w:t>
      </w:r>
      <w:r w:rsidR="00E3155B" w:rsidRPr="00DC7995">
        <w:t xml:space="preserve">he conduct of </w:t>
      </w:r>
      <w:r w:rsidR="00E3155B">
        <w:t>Health Hazard Evaluation</w:t>
      </w:r>
      <w:r w:rsidR="00BA7DE9">
        <w:t>s</w:t>
      </w:r>
      <w:r w:rsidR="00E3155B">
        <w:t xml:space="preserve"> </w:t>
      </w:r>
      <w:r w:rsidR="00E3155B" w:rsidRPr="00DC7995">
        <w:t>shall be such as to preclude</w:t>
      </w:r>
      <w:r w:rsidR="00E3155B">
        <w:t xml:space="preserve"> </w:t>
      </w:r>
      <w:r w:rsidR="00E3155B" w:rsidRPr="00DC7995">
        <w:t>unreasonable disruption of the operations of the employer's</w:t>
      </w:r>
      <w:r w:rsidR="00E3155B">
        <w:t xml:space="preserve"> </w:t>
      </w:r>
      <w:r w:rsidR="00E3155B" w:rsidRPr="00DC7995">
        <w:t>establishment.</w:t>
      </w:r>
    </w:p>
    <w:p w14:paraId="41B3EB82" w14:textId="77777777" w:rsidR="00144234" w:rsidRDefault="00144234" w:rsidP="000F16C4">
      <w:pPr>
        <w:ind w:left="720"/>
      </w:pPr>
    </w:p>
    <w:p w14:paraId="2E5EA1A2" w14:textId="77777777" w:rsidR="00144234" w:rsidRPr="008A51AA" w:rsidRDefault="00144234" w:rsidP="00B77342">
      <w:pPr>
        <w:numPr>
          <w:ilvl w:val="1"/>
          <w:numId w:val="2"/>
        </w:numPr>
        <w:rPr>
          <w:i/>
        </w:rPr>
      </w:pPr>
      <w:r w:rsidRPr="008A51AA">
        <w:rPr>
          <w:i/>
          <w:u w:val="single"/>
        </w:rPr>
        <w:t>Consequences of Collecting the Information Less Frequently</w:t>
      </w:r>
    </w:p>
    <w:p w14:paraId="7F6BA1A9" w14:textId="77777777" w:rsidR="00E74C82" w:rsidRDefault="00144234" w:rsidP="004305C8">
      <w:pPr>
        <w:autoSpaceDE w:val="0"/>
        <w:autoSpaceDN w:val="0"/>
        <w:adjustRightInd w:val="0"/>
        <w:ind w:left="720"/>
      </w:pPr>
      <w:r>
        <w:t>Responses to Health Hazard Evaluations are initiated only upon receipt of a Health Hazard Evaluation request.</w:t>
      </w:r>
      <w:r w:rsidR="00902FBB">
        <w:t xml:space="preserve"> </w:t>
      </w:r>
      <w:r>
        <w:t>Typically, respondents reply only one time during the field investigation.</w:t>
      </w:r>
      <w:r w:rsidR="00902FBB">
        <w:t xml:space="preserve"> </w:t>
      </w:r>
      <w:r>
        <w:t xml:space="preserve">For the </w:t>
      </w:r>
      <w:r w:rsidR="00117D9B">
        <w:t>follow-back</w:t>
      </w:r>
      <w:r>
        <w:t xml:space="preserve"> surveys, respondents may be asked to complete two questionnaires within a one-year period.</w:t>
      </w:r>
      <w:r w:rsidR="00902FBB">
        <w:t xml:space="preserve"> </w:t>
      </w:r>
      <w:r>
        <w:t>This is needed to ensure that feedback is timely and information is accurate, and permits the assessment of changes over time</w:t>
      </w:r>
      <w:r w:rsidRPr="0097126B">
        <w:t>.</w:t>
      </w:r>
      <w:r w:rsidR="00902FBB">
        <w:t xml:space="preserve"> </w:t>
      </w:r>
      <w:r w:rsidRPr="0097126B">
        <w:t>There are no legal obstacles to reduce the burden.</w:t>
      </w:r>
    </w:p>
    <w:p w14:paraId="5F25BA1E" w14:textId="77777777" w:rsidR="00E74C82" w:rsidRDefault="00E74C82" w:rsidP="004305C8">
      <w:pPr>
        <w:autoSpaceDE w:val="0"/>
        <w:autoSpaceDN w:val="0"/>
        <w:adjustRightInd w:val="0"/>
        <w:ind w:left="720"/>
      </w:pPr>
    </w:p>
    <w:p w14:paraId="4561F620" w14:textId="24A0273D" w:rsidR="009C2F19" w:rsidRPr="0005028A" w:rsidRDefault="001B7A24" w:rsidP="000F16C4">
      <w:pPr>
        <w:ind w:left="720"/>
      </w:pPr>
      <w:r w:rsidRPr="0005028A">
        <w:t>The consequences to the agency of not collecting the information needed to validate and conduct Health Hazard Evaluations is that NIOSH will not be able to initiate and complete evaluations</w:t>
      </w:r>
      <w:r w:rsidR="00BA7DE9" w:rsidRPr="0005028A">
        <w:t>. Section 20(a)(6) of the Occupational Safety and Health Act of 1970 and Section 501(a)(11) of the Federal Mine Safety and Health Act of 1970 require NIOSH</w:t>
      </w:r>
      <w:r w:rsidRPr="0005028A">
        <w:t xml:space="preserve"> to determine whether any </w:t>
      </w:r>
      <w:r w:rsidR="00375AC8">
        <w:t>agent or process</w:t>
      </w:r>
      <w:r w:rsidRPr="0005028A">
        <w:t xml:space="preserve"> normally found in the place of employment has potentially toxic effects in such concentrations as used or found</w:t>
      </w:r>
      <w:r w:rsidR="00BA7DE9" w:rsidRPr="0005028A">
        <w:t xml:space="preserve"> following a request for a Health Hazard Evaluation</w:t>
      </w:r>
      <w:r w:rsidRPr="0005028A">
        <w:t>.</w:t>
      </w:r>
    </w:p>
    <w:p w14:paraId="5A2C12AC" w14:textId="77777777" w:rsidR="009C2F19" w:rsidRPr="0005028A" w:rsidRDefault="009C2F19" w:rsidP="000F16C4">
      <w:pPr>
        <w:ind w:left="720"/>
      </w:pPr>
    </w:p>
    <w:p w14:paraId="67D543A6" w14:textId="39FA4304" w:rsidR="003042E9" w:rsidRDefault="00CF73B6" w:rsidP="000F16C4">
      <w:pPr>
        <w:ind w:left="720"/>
      </w:pPr>
      <w:r w:rsidRPr="0005028A">
        <w:t xml:space="preserve">Eliminating the collection of privacy act information required during a workplace Health Hazard Evaluation would substantially reduce the ability to independently verify and evaluate reported and potential health hazards in the workplace. </w:t>
      </w:r>
      <w:r w:rsidR="001B7A24" w:rsidRPr="0005028A">
        <w:t xml:space="preserve">Omitting contact information </w:t>
      </w:r>
      <w:r w:rsidR="00BA7DE9" w:rsidRPr="0005028A">
        <w:t>would impede the ability of NIOSH to meet ethical</w:t>
      </w:r>
      <w:r w:rsidR="009C2F19" w:rsidRPr="0005028A">
        <w:t xml:space="preserve"> and legislative</w:t>
      </w:r>
      <w:r w:rsidR="00BA7DE9" w:rsidRPr="0005028A">
        <w:t xml:space="preserve"> obligations for </w:t>
      </w:r>
      <w:r w:rsidR="0059647D" w:rsidRPr="0005028A">
        <w:t>notify</w:t>
      </w:r>
      <w:r w:rsidR="00BA7DE9" w:rsidRPr="0005028A">
        <w:t>ing</w:t>
      </w:r>
      <w:r w:rsidR="0059647D" w:rsidRPr="0005028A">
        <w:t xml:space="preserve"> </w:t>
      </w:r>
      <w:r w:rsidR="001B7A24" w:rsidRPr="0005028A">
        <w:t xml:space="preserve">employers and affected employees </w:t>
      </w:r>
      <w:r w:rsidR="0059647D" w:rsidRPr="0005028A">
        <w:t xml:space="preserve">of </w:t>
      </w:r>
      <w:r w:rsidR="00BA7DE9" w:rsidRPr="0005028A">
        <w:t>investigation</w:t>
      </w:r>
      <w:r w:rsidR="0059647D" w:rsidRPr="0005028A">
        <w:t xml:space="preserve"> findings. </w:t>
      </w:r>
      <w:r w:rsidR="00BA7DE9" w:rsidRPr="0005028A">
        <w:t xml:space="preserve">It would </w:t>
      </w:r>
      <w:r w:rsidR="009C2F19" w:rsidRPr="0005028A">
        <w:t xml:space="preserve">further </w:t>
      </w:r>
      <w:r w:rsidR="00BA7DE9" w:rsidRPr="0005028A">
        <w:t xml:space="preserve">reduce the ability </w:t>
      </w:r>
      <w:r w:rsidR="009C2F19" w:rsidRPr="0005028A">
        <w:t xml:space="preserve">of the program </w:t>
      </w:r>
      <w:r w:rsidR="00BA7DE9" w:rsidRPr="0005028A">
        <w:t>to determine program impact and outcome</w:t>
      </w:r>
      <w:r w:rsidR="009C2F19" w:rsidRPr="0005028A">
        <w:t>s</w:t>
      </w:r>
      <w:r w:rsidR="00BA7DE9" w:rsidRPr="0005028A">
        <w:t>.</w:t>
      </w:r>
    </w:p>
    <w:p w14:paraId="7B91181C" w14:textId="77777777" w:rsidR="00CF73B6" w:rsidRDefault="00CF73B6" w:rsidP="000F16C4">
      <w:pPr>
        <w:ind w:left="720"/>
      </w:pPr>
    </w:p>
    <w:p w14:paraId="0856DE17" w14:textId="77777777" w:rsidR="00144234" w:rsidRPr="008A51AA" w:rsidRDefault="00144234" w:rsidP="00B77342">
      <w:pPr>
        <w:numPr>
          <w:ilvl w:val="1"/>
          <w:numId w:val="2"/>
        </w:numPr>
        <w:rPr>
          <w:i/>
        </w:rPr>
      </w:pPr>
      <w:r w:rsidRPr="008A51AA">
        <w:rPr>
          <w:i/>
          <w:u w:val="single"/>
        </w:rPr>
        <w:t>Special Circumstances Relating to the Guidelines of 5 CFR 1320.5</w:t>
      </w:r>
    </w:p>
    <w:p w14:paraId="0792CBD6" w14:textId="77777777" w:rsidR="00144234" w:rsidRDefault="00144234" w:rsidP="000F16C4">
      <w:pPr>
        <w:ind w:left="720"/>
      </w:pPr>
      <w:r w:rsidRPr="0097126B">
        <w:t>There are no special circumstances associated with this data collection activity.</w:t>
      </w:r>
    </w:p>
    <w:p w14:paraId="25A27C0D" w14:textId="77777777" w:rsidR="00144234" w:rsidRDefault="00144234" w:rsidP="000F16C4">
      <w:pPr>
        <w:ind w:left="720"/>
      </w:pPr>
    </w:p>
    <w:p w14:paraId="657DD81C" w14:textId="77777777" w:rsidR="00144234" w:rsidRPr="008A51AA" w:rsidRDefault="00144234" w:rsidP="00B77342">
      <w:pPr>
        <w:numPr>
          <w:ilvl w:val="1"/>
          <w:numId w:val="2"/>
        </w:numPr>
        <w:rPr>
          <w:i/>
        </w:rPr>
      </w:pPr>
      <w:r w:rsidRPr="008A51AA">
        <w:rPr>
          <w:i/>
          <w:u w:val="single"/>
        </w:rPr>
        <w:t>Comments in Response to the Federal Register Notice and Efforts to Consult Outside the Agency</w:t>
      </w:r>
    </w:p>
    <w:p w14:paraId="27D89EC3" w14:textId="27C7A4F0" w:rsidR="00144234" w:rsidRDefault="00144234" w:rsidP="00B77342">
      <w:pPr>
        <w:numPr>
          <w:ilvl w:val="2"/>
          <w:numId w:val="2"/>
        </w:numPr>
      </w:pPr>
      <w:r w:rsidRPr="009860F7">
        <w:t xml:space="preserve">A notice of this proposed project was published in the Federal Register, Volume </w:t>
      </w:r>
      <w:r w:rsidR="004919DC">
        <w:t>82</w:t>
      </w:r>
      <w:r w:rsidR="00EA3D5C" w:rsidRPr="009860F7">
        <w:t xml:space="preserve"> </w:t>
      </w:r>
      <w:r w:rsidRPr="009860F7">
        <w:t xml:space="preserve">Number </w:t>
      </w:r>
      <w:r w:rsidR="004919DC">
        <w:t>103</w:t>
      </w:r>
      <w:r w:rsidRPr="009860F7">
        <w:t xml:space="preserve">, on </w:t>
      </w:r>
      <w:r w:rsidR="004919DC">
        <w:t>May 31</w:t>
      </w:r>
      <w:r w:rsidR="009860F7" w:rsidRPr="009860F7">
        <w:t>, 201</w:t>
      </w:r>
      <w:r w:rsidR="007C7E6D">
        <w:t>7</w:t>
      </w:r>
      <w:r w:rsidR="009860F7" w:rsidRPr="009860F7">
        <w:t>, pages</w:t>
      </w:r>
      <w:r w:rsidR="007C7E6D">
        <w:t xml:space="preserve"> </w:t>
      </w:r>
      <w:r w:rsidR="004919DC">
        <w:t>24971</w:t>
      </w:r>
      <w:r w:rsidR="007C7E6D">
        <w:t>-</w:t>
      </w:r>
      <w:r w:rsidR="004919DC">
        <w:t>24973</w:t>
      </w:r>
      <w:r w:rsidRPr="009860F7">
        <w:t xml:space="preserve"> as required by 5 CFR 1320.8(d).</w:t>
      </w:r>
      <w:r w:rsidR="00902FBB">
        <w:t xml:space="preserve"> </w:t>
      </w:r>
      <w:r w:rsidRPr="009860F7">
        <w:t xml:space="preserve">(Attachment </w:t>
      </w:r>
      <w:r w:rsidR="00D153A4">
        <w:t>B</w:t>
      </w:r>
      <w:r w:rsidRPr="009860F7">
        <w:t>)</w:t>
      </w:r>
      <w:r w:rsidR="00AB7396" w:rsidRPr="009860F7">
        <w:t>.</w:t>
      </w:r>
      <w:r w:rsidR="00902FBB">
        <w:t xml:space="preserve"> </w:t>
      </w:r>
      <w:r w:rsidR="00452494">
        <w:t>CDC received no comments or requests for information during the 60 day comment period.</w:t>
      </w:r>
      <w:r w:rsidR="00384B99">
        <w:t xml:space="preserve"> </w:t>
      </w:r>
    </w:p>
    <w:p w14:paraId="3C4F6A98" w14:textId="77777777" w:rsidR="00144234" w:rsidRDefault="00144234" w:rsidP="000F16C4">
      <w:pPr>
        <w:ind w:left="720"/>
      </w:pPr>
    </w:p>
    <w:p w14:paraId="4DB91532" w14:textId="3E1055AA" w:rsidR="00144234" w:rsidRDefault="00144234" w:rsidP="00B77342">
      <w:pPr>
        <w:numPr>
          <w:ilvl w:val="2"/>
          <w:numId w:val="2"/>
        </w:numPr>
      </w:pPr>
      <w:r>
        <w:t>Because most of these studies are relatively small-scale efforts requiring a timely response, it is not always practical to obtain outside consultations.</w:t>
      </w:r>
      <w:r w:rsidR="00902FBB">
        <w:t xml:space="preserve"> </w:t>
      </w:r>
      <w:r>
        <w:t xml:space="preserve">However, local OSHA and MSHA staff </w:t>
      </w:r>
      <w:r w:rsidRPr="006105EE">
        <w:t>are</w:t>
      </w:r>
      <w:r>
        <w:t xml:space="preserve"> contacted to determine if they have relevant information or activities relating to the Health Hazard Evaluation request</w:t>
      </w:r>
      <w:r w:rsidR="00B9133A" w:rsidRPr="0005028A">
        <w:t>.</w:t>
      </w:r>
      <w:r w:rsidR="00902FBB">
        <w:t xml:space="preserve"> </w:t>
      </w:r>
      <w:r>
        <w:t xml:space="preserve">As noted above, the state health department is also </w:t>
      </w:r>
      <w:r w:rsidR="00384B99">
        <w:t>asked</w:t>
      </w:r>
      <w:r>
        <w:t xml:space="preserve"> to provide similar information to NIOSH.</w:t>
      </w:r>
      <w:r w:rsidR="00902FBB">
        <w:t xml:space="preserve"> </w:t>
      </w:r>
      <w:r>
        <w:t xml:space="preserve">Project review is conducted with persons outside NIOSH </w:t>
      </w:r>
      <w:r w:rsidR="005D12C6">
        <w:t>as needed</w:t>
      </w:r>
      <w:r>
        <w:t>.</w:t>
      </w:r>
      <w:r w:rsidR="00902FBB">
        <w:t xml:space="preserve"> </w:t>
      </w:r>
      <w:r>
        <w:t>Prior to or during a particular investigation, it may be necessary to contact individuals in academia (as recognized experts in specific scientific areas) for consultation.</w:t>
      </w:r>
      <w:r w:rsidR="00902FBB">
        <w:t xml:space="preserve"> </w:t>
      </w:r>
      <w:r>
        <w:t xml:space="preserve">When </w:t>
      </w:r>
      <w:r w:rsidR="005D12C6">
        <w:t>Health Hazard Evaluation Program activities meet the legal criteria for research</w:t>
      </w:r>
      <w:r>
        <w:t xml:space="preserve">, procedures for </w:t>
      </w:r>
      <w:r w:rsidR="00312F86">
        <w:t>h</w:t>
      </w:r>
      <w:r>
        <w:t xml:space="preserve">uman </w:t>
      </w:r>
      <w:r w:rsidR="00312F86">
        <w:t>s</w:t>
      </w:r>
      <w:r>
        <w:t xml:space="preserve">ubjects </w:t>
      </w:r>
      <w:r w:rsidR="00312F86">
        <w:t>r</w:t>
      </w:r>
      <w:r>
        <w:t xml:space="preserve">eview are followed, </w:t>
      </w:r>
      <w:r w:rsidR="005D12C6">
        <w:t xml:space="preserve">including </w:t>
      </w:r>
      <w:r>
        <w:t>statistical and peer review.</w:t>
      </w:r>
      <w:r w:rsidR="00902FBB">
        <w:t xml:space="preserve"> </w:t>
      </w:r>
      <w:r>
        <w:t>For most investigations involving questionnaires or medical exams/tests, statistical consultation is provided in-house.</w:t>
      </w:r>
    </w:p>
    <w:p w14:paraId="506F000C" w14:textId="77777777" w:rsidR="00144234" w:rsidRDefault="00144234" w:rsidP="000F16C4"/>
    <w:p w14:paraId="4D61A0E1" w14:textId="77777777" w:rsidR="00144234" w:rsidRPr="008A51AA" w:rsidRDefault="00144234" w:rsidP="00B77342">
      <w:pPr>
        <w:numPr>
          <w:ilvl w:val="1"/>
          <w:numId w:val="2"/>
        </w:numPr>
        <w:rPr>
          <w:i/>
          <w:u w:val="single"/>
        </w:rPr>
      </w:pPr>
      <w:r w:rsidRPr="008A51AA">
        <w:rPr>
          <w:i/>
          <w:u w:val="single"/>
        </w:rPr>
        <w:t>Explanation of Any Payment or Gift to Respondents</w:t>
      </w:r>
    </w:p>
    <w:p w14:paraId="3565AD62" w14:textId="77777777" w:rsidR="00144234" w:rsidRDefault="00144234" w:rsidP="000F16C4">
      <w:pPr>
        <w:ind w:left="720"/>
      </w:pPr>
      <w:r w:rsidRPr="000B0AAA">
        <w:t>Remuneration of respondents is not provided.</w:t>
      </w:r>
    </w:p>
    <w:p w14:paraId="18B953AF" w14:textId="77777777" w:rsidR="00144234" w:rsidRDefault="00144234" w:rsidP="000F16C4">
      <w:pPr>
        <w:ind w:left="720"/>
      </w:pPr>
    </w:p>
    <w:p w14:paraId="18CC1434" w14:textId="5FCB3DED" w:rsidR="00144234" w:rsidRPr="008A51AA" w:rsidRDefault="006B6463" w:rsidP="00B77342">
      <w:pPr>
        <w:numPr>
          <w:ilvl w:val="1"/>
          <w:numId w:val="2"/>
        </w:numPr>
        <w:rPr>
          <w:i/>
          <w:u w:val="single"/>
        </w:rPr>
      </w:pPr>
      <w:r>
        <w:rPr>
          <w:i/>
          <w:u w:val="single"/>
        </w:rPr>
        <w:t>Protection of the Privacy and Confidentiality of Information Provided by Respondents</w:t>
      </w:r>
    </w:p>
    <w:p w14:paraId="0ACD6C09" w14:textId="490512DD" w:rsidR="003B52D9" w:rsidRDefault="00C81977">
      <w:pPr>
        <w:ind w:left="720"/>
      </w:pPr>
      <w:r>
        <w:t xml:space="preserve">The NIOSH Information Systems Security Officer reviewed this submission and determined that the Privacy Act does apply. </w:t>
      </w:r>
      <w:r w:rsidR="00144234" w:rsidRPr="006105EE">
        <w:t xml:space="preserve">Full names are collected because interviews </w:t>
      </w:r>
      <w:r w:rsidR="00521A3B">
        <w:t xml:space="preserve">[Attachment D] </w:t>
      </w:r>
      <w:r w:rsidR="00144234" w:rsidRPr="006105EE">
        <w:t>are often required</w:t>
      </w:r>
      <w:r w:rsidR="00144234">
        <w:t>;</w:t>
      </w:r>
      <w:r w:rsidR="00144234" w:rsidRPr="006105EE">
        <w:t xml:space="preserve"> medical histories, testing, and physical examinations are frequently determined to be a necessary part of the investigation of possible work hazards</w:t>
      </w:r>
      <w:r w:rsidR="00144234">
        <w:t>;</w:t>
      </w:r>
      <w:r w:rsidR="00144234" w:rsidRPr="006105EE">
        <w:t xml:space="preserve"> and names are needed to enable NIOSH to notify individual employees of their own medical test</w:t>
      </w:r>
      <w:r w:rsidR="00147BDD">
        <w:t xml:space="preserve"> and exposure monitoring</w:t>
      </w:r>
      <w:r w:rsidR="00144234" w:rsidRPr="006105EE">
        <w:t xml:space="preserve"> results.</w:t>
      </w:r>
      <w:r w:rsidR="00902FBB">
        <w:t xml:space="preserve"> </w:t>
      </w:r>
      <w:r w:rsidR="00144234" w:rsidRPr="006105EE">
        <w:t xml:space="preserve">Data will be covered under CDC Privacy Act </w:t>
      </w:r>
      <w:r w:rsidR="00144234">
        <w:t xml:space="preserve">System Notice Number </w:t>
      </w:r>
      <w:r w:rsidR="00144234" w:rsidRPr="006105EE">
        <w:t>09</w:t>
      </w:r>
      <w:r w:rsidR="00144234" w:rsidRPr="006105EE">
        <w:noBreakHyphen/>
        <w:t>20-0147,</w:t>
      </w:r>
      <w:r w:rsidR="00144234">
        <w:t xml:space="preserve"> </w:t>
      </w:r>
      <w:r w:rsidR="00144234" w:rsidRPr="006105EE">
        <w:t>Occupational Health Epidemiological Studies</w:t>
      </w:r>
      <w:r w:rsidR="00144234">
        <w:t xml:space="preserve"> and Energy Employees Occupational Illness Compensation Program Act</w:t>
      </w:r>
      <w:r w:rsidR="007C61E3">
        <w:t xml:space="preserve"> (EEOICPA) </w:t>
      </w:r>
      <w:r w:rsidR="00BB66DB">
        <w:t>Program Records and World Trade Center</w:t>
      </w:r>
      <w:r w:rsidR="007C61E3">
        <w:t xml:space="preserve"> (WTC)</w:t>
      </w:r>
      <w:r w:rsidR="00BB66DB">
        <w:t xml:space="preserve"> Health Program Records</w:t>
      </w:r>
      <w:r w:rsidR="00144234" w:rsidRPr="006105EE">
        <w:t>.</w:t>
      </w:r>
      <w:r w:rsidR="00FA119F">
        <w:t xml:space="preserve"> </w:t>
      </w:r>
      <w:r w:rsidR="00144234" w:rsidRPr="006105EE">
        <w:t>Respondents are assured that information received will be maintained in accordance with the Privacy Act (5 USC 522a</w:t>
      </w:r>
      <w:r w:rsidR="00144234">
        <w:t>)</w:t>
      </w:r>
      <w:r w:rsidR="00144234" w:rsidRPr="006105EE">
        <w:t xml:space="preserve"> and the Department’s regulations under that law contained in Title 45, Part 5b of the Code of Federal Regulations.</w:t>
      </w:r>
      <w:r w:rsidR="00A871BA">
        <w:t xml:space="preserve"> </w:t>
      </w:r>
    </w:p>
    <w:p w14:paraId="34F3873A" w14:textId="77777777" w:rsidR="003B52D9" w:rsidRDefault="003B52D9">
      <w:pPr>
        <w:ind w:left="720"/>
      </w:pPr>
    </w:p>
    <w:p w14:paraId="0C1DB7DE" w14:textId="4199663A" w:rsidR="00D768EA" w:rsidRPr="00CF73B6" w:rsidRDefault="00A871BA">
      <w:pPr>
        <w:ind w:left="720"/>
      </w:pPr>
      <w:r w:rsidRPr="00CF73B6">
        <w:t>Participants are informed that NIOSH is authorized to collect their</w:t>
      </w:r>
      <w:r w:rsidRPr="00CF73B6">
        <w:rPr>
          <w:color w:val="1F497D" w:themeColor="text2"/>
        </w:rPr>
        <w:t xml:space="preserve"> </w:t>
      </w:r>
      <w:r w:rsidRPr="00CF73B6">
        <w:t xml:space="preserve">personal information and will protect it to the extent allowed by law. </w:t>
      </w:r>
      <w:r w:rsidR="00A65FE3" w:rsidRPr="00CF73B6">
        <w:t>They are notified that t</w:t>
      </w:r>
      <w:r w:rsidRPr="00CF73B6">
        <w:t>here are conditions under the Privacy Act where their information may be released to collaborators or contractors, health departments or disease registries, to the Departments of Justice or Labor, or to Congressional offices.</w:t>
      </w:r>
    </w:p>
    <w:p w14:paraId="24F8EDB2" w14:textId="08AE5B51" w:rsidR="00D768EA" w:rsidRPr="0005028A" w:rsidRDefault="00D768EA" w:rsidP="00B77342"/>
    <w:p w14:paraId="299F76AC" w14:textId="171027DB" w:rsidR="00D768EA" w:rsidRPr="006105EE" w:rsidRDefault="005E5CFC" w:rsidP="00B77342">
      <w:pPr>
        <w:ind w:left="720"/>
      </w:pPr>
      <w:r w:rsidRPr="0005028A">
        <w:t>Participants</w:t>
      </w:r>
      <w:r w:rsidR="00D768EA" w:rsidRPr="0005028A">
        <w:t xml:space="preserve"> </w:t>
      </w:r>
      <w:r w:rsidR="00F63367" w:rsidRPr="0005028A">
        <w:t>are notified</w:t>
      </w:r>
      <w:r w:rsidR="00AE5F26" w:rsidRPr="0005028A">
        <w:t xml:space="preserve"> during investigations</w:t>
      </w:r>
      <w:r w:rsidR="00F63367" w:rsidRPr="0005028A">
        <w:t xml:space="preserve"> that their participation is voluntary and that they may withdraw from participating at any time.</w:t>
      </w:r>
      <w:r w:rsidR="00C81977">
        <w:t xml:space="preserve"> </w:t>
      </w:r>
      <w:r w:rsidR="002179D1" w:rsidRPr="0005028A">
        <w:t>C</w:t>
      </w:r>
      <w:r w:rsidR="003C1008" w:rsidRPr="0005028A">
        <w:t xml:space="preserve">onsent forms </w:t>
      </w:r>
      <w:r w:rsidR="002179D1" w:rsidRPr="0005028A">
        <w:t>are used</w:t>
      </w:r>
      <w:r w:rsidR="0005028A">
        <w:t xml:space="preserve"> </w:t>
      </w:r>
      <w:r w:rsidR="003C1008" w:rsidRPr="0005028A">
        <w:t xml:space="preserve">for participants involved in medical testing </w:t>
      </w:r>
      <w:r w:rsidR="00A871BA" w:rsidRPr="0005028A">
        <w:t xml:space="preserve">[Attachment </w:t>
      </w:r>
      <w:r w:rsidR="00FE73DF">
        <w:t>E</w:t>
      </w:r>
      <w:r w:rsidR="004671EF">
        <w:t>2</w:t>
      </w:r>
      <w:r w:rsidR="00FE5A20">
        <w:t>–</w:t>
      </w:r>
      <w:r w:rsidR="00973066">
        <w:t xml:space="preserve"> </w:t>
      </w:r>
      <w:r w:rsidR="004671EF">
        <w:t xml:space="preserve">presents </w:t>
      </w:r>
      <w:r w:rsidR="00FE5A20">
        <w:t>sample forms</w:t>
      </w:r>
      <w:r w:rsidR="00A871BA" w:rsidRPr="0005028A">
        <w:t xml:space="preserve"> </w:t>
      </w:r>
      <w:r w:rsidR="00973066">
        <w:t>for specimens retained</w:t>
      </w:r>
      <w:r w:rsidR="00FE5A20">
        <w:t xml:space="preserve"> and </w:t>
      </w:r>
      <w:r w:rsidR="00973066">
        <w:t>for specimens discarded</w:t>
      </w:r>
      <w:r w:rsidR="00A871BA" w:rsidRPr="0005028A">
        <w:t>]</w:t>
      </w:r>
      <w:r w:rsidR="002179D1">
        <w:t>.</w:t>
      </w:r>
      <w:r w:rsidR="003C1008">
        <w:t xml:space="preserve"> </w:t>
      </w:r>
      <w:r w:rsidR="002179D1">
        <w:t>P</w:t>
      </w:r>
      <w:r w:rsidR="003C1008">
        <w:t>articipants</w:t>
      </w:r>
      <w:r w:rsidR="00AE5F26">
        <w:t xml:space="preserve"> are notified</w:t>
      </w:r>
      <w:r w:rsidR="003C1008">
        <w:t xml:space="preserve"> that their participation is voluntary and that they may withdraw from participating at any time.</w:t>
      </w:r>
      <w:r w:rsidR="00AE5F26">
        <w:t xml:space="preserve"> They are also notified that their information will be protected to the extent permitted by law.</w:t>
      </w:r>
      <w:r w:rsidR="00C81977">
        <w:t xml:space="preserve"> </w:t>
      </w:r>
      <w:r w:rsidR="00AE5F26">
        <w:t>Q</w:t>
      </w:r>
      <w:r w:rsidR="003C1008">
        <w:t xml:space="preserve">uestionnaires used </w:t>
      </w:r>
      <w:r w:rsidR="00AE5F26">
        <w:t xml:space="preserve">for medical evaluations </w:t>
      </w:r>
      <w:r w:rsidR="003C1008">
        <w:t xml:space="preserve">[Attachment </w:t>
      </w:r>
      <w:r w:rsidR="00FE73DF">
        <w:t>F</w:t>
      </w:r>
      <w:r w:rsidR="00AE5F26">
        <w:t>] notify participants on the first page that their participation is voluntary and that the information will be protected to the extent permitted by law.</w:t>
      </w:r>
      <w:r w:rsidR="006C391C">
        <w:t xml:space="preserve"> (Note that although the sample questionnaire indicates a burden of 10 minutes per respondent, we have continued to use an estimate of 30 minutes for consistency with </w:t>
      </w:r>
      <w:r w:rsidR="005B1022">
        <w:t>HHE program experience in general.)</w:t>
      </w:r>
      <w:r w:rsidR="00D768EA" w:rsidRPr="00CF73B6">
        <w:t>The safeguarding measures that will be in effect to protect the records include locked files in locked rooms in a restricted access facility, password protection for computer files, and access being restricted to NIOSH personnel with a bona fide need for the data in order to perform their official duties.</w:t>
      </w:r>
      <w:r w:rsidR="00C81977">
        <w:t xml:space="preserve"> </w:t>
      </w:r>
      <w:r w:rsidR="007B7220" w:rsidRPr="00CF73B6">
        <w:t xml:space="preserve">A </w:t>
      </w:r>
      <w:r w:rsidR="00EB2320">
        <w:t xml:space="preserve">new </w:t>
      </w:r>
      <w:r w:rsidR="007B7220" w:rsidRPr="00CF73B6">
        <w:t>system of records will not be created for this project, since it is covered under the CDC Privacy Act System Notice Number 09-20-0147.</w:t>
      </w:r>
    </w:p>
    <w:p w14:paraId="65987195" w14:textId="41DAD67C" w:rsidR="00144234" w:rsidRDefault="00144234" w:rsidP="000F16C4">
      <w:pPr>
        <w:ind w:left="720"/>
      </w:pPr>
    </w:p>
    <w:p w14:paraId="59F52AAE" w14:textId="61D5BCB2" w:rsidR="00C81977" w:rsidRPr="0005028A" w:rsidRDefault="00C81977" w:rsidP="00B77342">
      <w:pPr>
        <w:ind w:left="720"/>
      </w:pPr>
      <w:r w:rsidRPr="0005028A">
        <w:t xml:space="preserve">While </w:t>
      </w:r>
      <w:r>
        <w:t>an HHE evaluation</w:t>
      </w:r>
      <w:r w:rsidRPr="0005028A">
        <w:t xml:space="preserve"> is ongoing the personal information is kept in a locked file cabinet</w:t>
      </w:r>
      <w:r>
        <w:t xml:space="preserve"> and/or restricted access internal electronic data management systems</w:t>
      </w:r>
      <w:r w:rsidRPr="0005028A">
        <w:t xml:space="preserve">, accessible to NIOSH staff involved in the data collection activities. All NIOSH staff are required to maintain and protect private information according to the 2011 NIOSH Sensitive Data Security Program. Results of </w:t>
      </w:r>
      <w:r>
        <w:t xml:space="preserve">an </w:t>
      </w:r>
      <w:r w:rsidRPr="0005028A">
        <w:t>individual</w:t>
      </w:r>
      <w:r>
        <w:t>’s</w:t>
      </w:r>
      <w:r w:rsidRPr="0005028A">
        <w:t xml:space="preserve"> medical tests</w:t>
      </w:r>
      <w:r>
        <w:t>,</w:t>
      </w:r>
      <w:r w:rsidRPr="0005028A">
        <w:t xml:space="preserve"> examinations</w:t>
      </w:r>
      <w:r>
        <w:t>,</w:t>
      </w:r>
      <w:r w:rsidRPr="0005028A">
        <w:t xml:space="preserve"> and exposure monitoring are shared with </w:t>
      </w:r>
      <w:r>
        <w:t xml:space="preserve">that </w:t>
      </w:r>
      <w:r w:rsidRPr="0005028A">
        <w:t xml:space="preserve">individual. These results may also be provided to the employee’s personal physician upon the employee’s written request. </w:t>
      </w:r>
    </w:p>
    <w:p w14:paraId="2D733F76" w14:textId="77777777" w:rsidR="00C81977" w:rsidRPr="0005028A" w:rsidRDefault="00C81977" w:rsidP="00C81977">
      <w:pPr>
        <w:ind w:left="2160"/>
      </w:pPr>
    </w:p>
    <w:p w14:paraId="39565B13" w14:textId="5FB4E515" w:rsidR="00C81977" w:rsidRDefault="00C81977" w:rsidP="00B77342">
      <w:pPr>
        <w:ind w:left="720"/>
      </w:pPr>
      <w:r w:rsidRPr="0005028A">
        <w:t>A statement detailing the impact the proposed collection will have on the respondent’s privacy</w:t>
      </w:r>
      <w:r>
        <w:t xml:space="preserve">: </w:t>
      </w:r>
      <w:r w:rsidRPr="00CF73B6">
        <w:t xml:space="preserve">To minimize the risk of loss of privacy, NIOSH investigators use identification numbers and do not put names on specimens or medical questionnaires. The intent of the </w:t>
      </w:r>
      <w:r>
        <w:t xml:space="preserve">HHE </w:t>
      </w:r>
      <w:r w:rsidRPr="00CF73B6">
        <w:t xml:space="preserve">program is not to impact the privacy of individuals. NIOSH investigators </w:t>
      </w:r>
      <w:r>
        <w:t xml:space="preserve">are required to </w:t>
      </w:r>
      <w:r w:rsidRPr="00CF73B6">
        <w:t>follow the 2011 NIOSH Sensitive Data Security Program</w:t>
      </w:r>
      <w:r>
        <w:t xml:space="preserve"> and current Agency guidance</w:t>
      </w:r>
      <w:r w:rsidRPr="00CB1C9A">
        <w:t>.</w:t>
      </w:r>
    </w:p>
    <w:p w14:paraId="40F0AD23" w14:textId="77777777" w:rsidR="00C81977" w:rsidRPr="008534E9" w:rsidRDefault="00C81977" w:rsidP="00C81977">
      <w:pPr>
        <w:ind w:left="1440"/>
      </w:pPr>
    </w:p>
    <w:p w14:paraId="6C2EEB42" w14:textId="39C55077" w:rsidR="00C81977" w:rsidRPr="008534E9" w:rsidRDefault="00C81977" w:rsidP="00B77342">
      <w:pPr>
        <w:ind w:left="720"/>
      </w:pPr>
      <w:r w:rsidRPr="008534E9">
        <w:t>The HHE Program is included in a system that is undergoing Security Assessment and Authorization (SA&amp;A). The SA&amp;A is to verify that the system is operating with proper security measures in place. The SA&amp;A includes a Privacy Impact Assessment that reflects the activities of the HHE Program.</w:t>
      </w:r>
    </w:p>
    <w:p w14:paraId="03631DD4" w14:textId="77777777" w:rsidR="00C81977" w:rsidRDefault="00C81977" w:rsidP="000F16C4">
      <w:pPr>
        <w:ind w:left="720"/>
      </w:pPr>
    </w:p>
    <w:p w14:paraId="244A5DD0" w14:textId="61ACA60B" w:rsidR="00144234" w:rsidRPr="00B77342" w:rsidRDefault="006B6463" w:rsidP="00B77342">
      <w:pPr>
        <w:numPr>
          <w:ilvl w:val="1"/>
          <w:numId w:val="2"/>
        </w:numPr>
        <w:rPr>
          <w:i/>
        </w:rPr>
      </w:pPr>
      <w:r>
        <w:rPr>
          <w:i/>
          <w:u w:val="single"/>
        </w:rPr>
        <w:t>Institutional Review Board (IRB) and Justification for Sensitive Questions</w:t>
      </w:r>
    </w:p>
    <w:p w14:paraId="309859BE" w14:textId="7F45FE2A" w:rsidR="006B6463" w:rsidRDefault="006B6463" w:rsidP="00B77342">
      <w:pPr>
        <w:rPr>
          <w:i/>
          <w:u w:val="single"/>
        </w:rPr>
      </w:pPr>
    </w:p>
    <w:p w14:paraId="35B856B9" w14:textId="663F6489" w:rsidR="006B6463" w:rsidRDefault="006B6463" w:rsidP="00B77342">
      <w:pPr>
        <w:pStyle w:val="ListParagraph"/>
        <w:numPr>
          <w:ilvl w:val="2"/>
          <w:numId w:val="2"/>
        </w:numPr>
      </w:pPr>
      <w:r>
        <w:t>IRB Approval</w:t>
      </w:r>
    </w:p>
    <w:p w14:paraId="1787632D" w14:textId="77777777" w:rsidR="006B6463" w:rsidRDefault="006B6463" w:rsidP="006B6463">
      <w:pPr>
        <w:ind w:left="720"/>
      </w:pPr>
    </w:p>
    <w:p w14:paraId="46E98F79" w14:textId="5A317091" w:rsidR="006B6463" w:rsidRDefault="006B6463" w:rsidP="006B6463">
      <w:pPr>
        <w:ind w:left="720"/>
      </w:pPr>
      <w:r>
        <w:t>Health Hazard Evaluations are a public health activity, not research, and would not typically undergo review by an institutional review board. NIOSH discontinued annual institutional review board reviews and renewals for Health Hazard Evaluations (NIOSH Protocol 91-DSHEFS-09) in 2016. Attachment E1 presents the memorandum of closure from the NIOSH Institutional Review Board. For a small number of Health Hazard Evaluations where the investigation meets specific criteria of a research study, those Health Hazard Evaluations are individually required to go through an institutional review board review.</w:t>
      </w:r>
    </w:p>
    <w:p w14:paraId="5C45043C" w14:textId="69C82A75" w:rsidR="006B6463" w:rsidRDefault="006B6463" w:rsidP="006B6463">
      <w:pPr>
        <w:ind w:left="720"/>
      </w:pPr>
    </w:p>
    <w:p w14:paraId="3F11B102" w14:textId="4089AFA9" w:rsidR="006B6463" w:rsidRDefault="006B6463" w:rsidP="00B77342">
      <w:pPr>
        <w:pStyle w:val="ListParagraph"/>
        <w:numPr>
          <w:ilvl w:val="2"/>
          <w:numId w:val="2"/>
        </w:numPr>
      </w:pPr>
      <w:r>
        <w:t>Justification for Sensitive Questions</w:t>
      </w:r>
    </w:p>
    <w:p w14:paraId="7C9BB9D9" w14:textId="77777777" w:rsidR="006B6463" w:rsidRPr="008A51AA" w:rsidRDefault="006B6463" w:rsidP="00B77342">
      <w:pPr>
        <w:ind w:left="720"/>
        <w:rPr>
          <w:i/>
        </w:rPr>
      </w:pPr>
    </w:p>
    <w:p w14:paraId="53FDB1A1" w14:textId="018DA3EE" w:rsidR="00144234" w:rsidRPr="006105EE" w:rsidRDefault="00F10B0D" w:rsidP="000F16C4">
      <w:pPr>
        <w:ind w:left="720"/>
      </w:pPr>
      <w:r>
        <w:t xml:space="preserve">With very few exceptions, Health Hazard Evaluations do not involve sensitive questions. When included, however, these </w:t>
      </w:r>
      <w:r w:rsidR="00144234" w:rsidRPr="006105EE">
        <w:t xml:space="preserve">questions relate to the objectives of the </w:t>
      </w:r>
      <w:r>
        <w:t>evaluation of work-related health concerns</w:t>
      </w:r>
      <w:r w:rsidR="00144234" w:rsidRPr="006105EE">
        <w:t>.</w:t>
      </w:r>
      <w:r w:rsidR="00902FBB">
        <w:t xml:space="preserve"> </w:t>
      </w:r>
      <w:r w:rsidR="00144234" w:rsidRPr="006105EE">
        <w:t>The respondents are informed that participation is voluntary</w:t>
      </w:r>
      <w:r>
        <w:t xml:space="preserve"> and that they may cho</w:t>
      </w:r>
      <w:r w:rsidR="00A44FFE">
        <w:t>ose not to respond to specific questions</w:t>
      </w:r>
      <w:r w:rsidR="00144234" w:rsidRPr="006105EE">
        <w:t>.</w:t>
      </w:r>
    </w:p>
    <w:p w14:paraId="469448C0" w14:textId="77777777" w:rsidR="00144234" w:rsidRDefault="00144234" w:rsidP="000F16C4">
      <w:pPr>
        <w:ind w:left="720"/>
      </w:pPr>
    </w:p>
    <w:p w14:paraId="41B7D0BB" w14:textId="77777777" w:rsidR="00144234" w:rsidRDefault="00144234" w:rsidP="00B77342">
      <w:pPr>
        <w:numPr>
          <w:ilvl w:val="1"/>
          <w:numId w:val="2"/>
        </w:numPr>
        <w:rPr>
          <w:i/>
          <w:u w:val="single"/>
        </w:rPr>
      </w:pPr>
      <w:r w:rsidRPr="008A51AA">
        <w:rPr>
          <w:i/>
          <w:u w:val="single"/>
        </w:rPr>
        <w:t>Estimates of Annualized Burden Hours and Costs</w:t>
      </w:r>
    </w:p>
    <w:p w14:paraId="43CF6DC0" w14:textId="3425E65C" w:rsidR="00144234" w:rsidRDefault="00144234" w:rsidP="000F0C47">
      <w:pPr>
        <w:ind w:left="1080"/>
      </w:pPr>
      <w:r>
        <w:t>The number of Health Hazard Evaluation requests received in a given year cannot be known in advance.</w:t>
      </w:r>
      <w:r w:rsidR="00902FBB">
        <w:t xml:space="preserve"> </w:t>
      </w:r>
      <w:r>
        <w:t>Over the last</w:t>
      </w:r>
      <w:r w:rsidR="00147BDD">
        <w:t xml:space="preserve"> ten</w:t>
      </w:r>
      <w:r w:rsidR="002067B2">
        <w:t xml:space="preserve"> </w:t>
      </w:r>
      <w:r>
        <w:t xml:space="preserve">years, the numbers have ranged from </w:t>
      </w:r>
      <w:r w:rsidR="002067B2">
        <w:t>178</w:t>
      </w:r>
      <w:r w:rsidRPr="0097126B">
        <w:t xml:space="preserve"> to </w:t>
      </w:r>
      <w:r w:rsidR="0010506F">
        <w:t>390</w:t>
      </w:r>
      <w:r>
        <w:t>.</w:t>
      </w:r>
      <w:r w:rsidR="002067B2">
        <w:t xml:space="preserve"> The lowest numbers </w:t>
      </w:r>
      <w:r w:rsidR="00DF51A3">
        <w:t xml:space="preserve">occurred in </w:t>
      </w:r>
      <w:r w:rsidR="002067B2">
        <w:t xml:space="preserve">Fiscal Years </w:t>
      </w:r>
      <w:r w:rsidR="00C357F4">
        <w:t>20</w:t>
      </w:r>
      <w:r w:rsidR="0010506F">
        <w:t>10</w:t>
      </w:r>
      <w:r w:rsidR="00C357F4">
        <w:t xml:space="preserve"> through 201</w:t>
      </w:r>
      <w:r w:rsidR="00147BDD">
        <w:t>1</w:t>
      </w:r>
      <w:r w:rsidR="00877261">
        <w:t xml:space="preserve"> and 201</w:t>
      </w:r>
      <w:r w:rsidR="0010506F">
        <w:t>5</w:t>
      </w:r>
      <w:r w:rsidR="00C357F4">
        <w:t>.</w:t>
      </w:r>
      <w:r w:rsidR="00064DAD">
        <w:t xml:space="preserve"> </w:t>
      </w:r>
      <w:r w:rsidR="006B6CCA">
        <w:t>T</w:t>
      </w:r>
      <w:r w:rsidR="0010506F">
        <w:t>he bottom of a decline beginning in 2008 occurred in 2010 following a</w:t>
      </w:r>
      <w:r w:rsidR="00C357F4">
        <w:t xml:space="preserve"> period </w:t>
      </w:r>
      <w:r w:rsidR="0010506F">
        <w:t xml:space="preserve">which </w:t>
      </w:r>
      <w:r w:rsidR="00064DAD">
        <w:t>included the longest and deepest U.S. economic slump in 70</w:t>
      </w:r>
      <w:r w:rsidR="008C0653">
        <w:t xml:space="preserve"> years</w:t>
      </w:r>
      <w:r w:rsidR="00AB555A">
        <w:t>.</w:t>
      </w:r>
      <w:r w:rsidR="00CF1368">
        <w:t xml:space="preserve"> </w:t>
      </w:r>
      <w:r w:rsidR="003042E9">
        <w:t xml:space="preserve">NIOSH anticipates that the number of requests received will continue to </w:t>
      </w:r>
      <w:r w:rsidR="00521A3B">
        <w:t>fluctuate</w:t>
      </w:r>
      <w:r w:rsidR="003042E9">
        <w:t xml:space="preserve">, particularly in newer areas (such as “green” industries) where occupational health hazards have not been well evaluated. </w:t>
      </w:r>
      <w:r>
        <w:t>Considering this, and looking at previous trends, the average number of Health Hazard Evaluation requests for FY 20</w:t>
      </w:r>
      <w:r w:rsidR="00AB555A">
        <w:t>1</w:t>
      </w:r>
      <w:r w:rsidR="00CF1368">
        <w:t>7</w:t>
      </w:r>
      <w:r>
        <w:t xml:space="preserve"> and beyond </w:t>
      </w:r>
      <w:r w:rsidR="00093631">
        <w:t xml:space="preserve">is </w:t>
      </w:r>
      <w:r>
        <w:t>estimated</w:t>
      </w:r>
      <w:r w:rsidR="00521A3B">
        <w:t xml:space="preserve"> </w:t>
      </w:r>
      <w:r w:rsidR="00A44FFE">
        <w:t xml:space="preserve">to be </w:t>
      </w:r>
      <w:r w:rsidR="00C54228">
        <w:t>290</w:t>
      </w:r>
      <w:r>
        <w:t>.</w:t>
      </w:r>
      <w:r w:rsidR="00902FBB">
        <w:t xml:space="preserve"> </w:t>
      </w:r>
      <w:r>
        <w:t>Table 1</w:t>
      </w:r>
      <w:r w:rsidR="00DE44EC">
        <w:t>2A</w:t>
      </w:r>
      <w:r>
        <w:t>, Row</w:t>
      </w:r>
      <w:r w:rsidR="00BB2AA1">
        <w:t>1</w:t>
      </w:r>
      <w:r>
        <w:t xml:space="preserve"> shows that at an estimate</w:t>
      </w:r>
      <w:r w:rsidR="006E2E32">
        <w:t xml:space="preserve"> </w:t>
      </w:r>
      <w:r>
        <w:t>of 1</w:t>
      </w:r>
      <w:r w:rsidR="00DE44EC">
        <w:t>2</w:t>
      </w:r>
      <w:r>
        <w:t xml:space="preserve"> minutes for completing and submitting a Health Hazard Evaluation request, the result is an estimated </w:t>
      </w:r>
      <w:r w:rsidR="00C54228">
        <w:t>5</w:t>
      </w:r>
      <w:r w:rsidR="00125B8A">
        <w:t>8</w:t>
      </w:r>
      <w:r w:rsidR="00371157">
        <w:t xml:space="preserve"> </w:t>
      </w:r>
      <w:r>
        <w:t>burden hours.</w:t>
      </w:r>
      <w:r w:rsidR="00902FBB">
        <w:t xml:space="preserve"> </w:t>
      </w:r>
    </w:p>
    <w:p w14:paraId="07B23419" w14:textId="77777777" w:rsidR="00144234" w:rsidRDefault="00144234" w:rsidP="000F16C4">
      <w:pPr>
        <w:ind w:left="720"/>
      </w:pPr>
    </w:p>
    <w:p w14:paraId="5A855249" w14:textId="6F89D911" w:rsidR="00AE3BFD" w:rsidRDefault="006E2E32" w:rsidP="000F16C4">
      <w:pPr>
        <w:ind w:left="1080"/>
      </w:pPr>
      <w:r>
        <w:t>Based on</w:t>
      </w:r>
      <w:r w:rsidR="00AE3BFD">
        <w:t xml:space="preserve"> prior experience, NIOSH assumes that </w:t>
      </w:r>
      <w:r w:rsidR="001A0A5A">
        <w:t>4</w:t>
      </w:r>
      <w:r w:rsidR="00AE3BFD">
        <w:t xml:space="preserve">0% of the </w:t>
      </w:r>
      <w:r w:rsidR="00C54228">
        <w:t>290</w:t>
      </w:r>
      <w:r w:rsidR="00AE3BFD">
        <w:t xml:space="preserve"> requests </w:t>
      </w:r>
      <w:r w:rsidR="00144234">
        <w:t>will require a site evaluation.</w:t>
      </w:r>
      <w:r w:rsidR="00902FBB">
        <w:t xml:space="preserve"> </w:t>
      </w:r>
      <w:r w:rsidR="00AE3BFD">
        <w:t xml:space="preserve">In addition, six additional onsite evaluations will be done for emerging issue evaluations. </w:t>
      </w:r>
      <w:r>
        <w:t>A</w:t>
      </w:r>
      <w:r w:rsidR="00AE3BFD">
        <w:t xml:space="preserve"> total of 12</w:t>
      </w:r>
      <w:r w:rsidR="00C54228">
        <w:t>2</w:t>
      </w:r>
      <w:r w:rsidR="00AE3BFD">
        <w:t xml:space="preserve"> on-site evaluations are used </w:t>
      </w:r>
      <w:r>
        <w:t>to calculate</w:t>
      </w:r>
      <w:r w:rsidR="00AE3BFD">
        <w:t xml:space="preserve"> the burden of specific activities. The number of participants and time for completion described below are based on average experience in recent years.</w:t>
      </w:r>
    </w:p>
    <w:p w14:paraId="47B2A4FE" w14:textId="77777777" w:rsidR="00AE3BFD" w:rsidRDefault="00AE3BFD" w:rsidP="000F16C4">
      <w:pPr>
        <w:ind w:left="1080"/>
      </w:pPr>
    </w:p>
    <w:p w14:paraId="2B708263" w14:textId="7A1F2376" w:rsidR="00AE3BFD" w:rsidRDefault="00AE3BFD" w:rsidP="000F16C4">
      <w:pPr>
        <w:ind w:left="1080"/>
      </w:pPr>
      <w:r>
        <w:t>Of the 12</w:t>
      </w:r>
      <w:r w:rsidR="00C54228">
        <w:t>2</w:t>
      </w:r>
      <w:r>
        <w:t xml:space="preserve"> onsite evaluations, NIOSH estimates that 8</w:t>
      </w:r>
      <w:r w:rsidR="00C54228">
        <w:t>6</w:t>
      </w:r>
      <w:r>
        <w:t xml:space="preserve"> (</w:t>
      </w:r>
      <w:r w:rsidR="004B4175">
        <w:t>70%</w:t>
      </w:r>
      <w:r>
        <w:t>)</w:t>
      </w:r>
      <w:r w:rsidR="004B4175">
        <w:t xml:space="preserve"> </w:t>
      </w:r>
      <w:r>
        <w:t xml:space="preserve">will involve an </w:t>
      </w:r>
      <w:r w:rsidR="004B4175">
        <w:t>initial site visit</w:t>
      </w:r>
      <w:r>
        <w:t xml:space="preserve"> that includes informal interviews </w:t>
      </w:r>
      <w:r w:rsidR="00144234">
        <w:t>to gather information on exposures and health effects.</w:t>
      </w:r>
      <w:r w:rsidR="00902FBB">
        <w:t xml:space="preserve"> </w:t>
      </w:r>
      <w:r w:rsidR="00A44FFE">
        <w:t>Although t</w:t>
      </w:r>
      <w:r w:rsidR="00144234">
        <w:t xml:space="preserve">hese interviews </w:t>
      </w:r>
      <w:r w:rsidR="00A44FFE">
        <w:t xml:space="preserve">(which are akin to a discussion between a doctor and patient) </w:t>
      </w:r>
      <w:r w:rsidR="00144234">
        <w:t>do not entail use of a questionnaire</w:t>
      </w:r>
      <w:r w:rsidR="00A44FFE">
        <w:t>, we include them in our burden estimates</w:t>
      </w:r>
      <w:r w:rsidR="00144234">
        <w:t>.</w:t>
      </w:r>
      <w:r w:rsidR="00902FBB">
        <w:t xml:space="preserve"> </w:t>
      </w:r>
      <w:r w:rsidR="00B41240">
        <w:t xml:space="preserve">An example of what may be covered in these interviews is provided in Attachment </w:t>
      </w:r>
      <w:r w:rsidR="00FE73DF">
        <w:t>D</w:t>
      </w:r>
      <w:r>
        <w:t>. This interview form was</w:t>
      </w:r>
      <w:r w:rsidR="00B41240">
        <w:t xml:space="preserve"> used for an evaluation</w:t>
      </w:r>
      <w:r>
        <w:t xml:space="preserve"> of</w:t>
      </w:r>
      <w:r w:rsidR="00B41240">
        <w:t xml:space="preserve"> </w:t>
      </w:r>
      <w:r w:rsidR="00334270">
        <w:t xml:space="preserve">excessive heat and </w:t>
      </w:r>
      <w:r w:rsidR="00A44FFE">
        <w:t>indoor environmental quality in a m</w:t>
      </w:r>
      <w:r w:rsidR="00334270">
        <w:t xml:space="preserve">edical </w:t>
      </w:r>
      <w:r w:rsidR="00A44FFE">
        <w:t>c</w:t>
      </w:r>
      <w:r w:rsidR="00334270">
        <w:t>enter</w:t>
      </w:r>
      <w:r w:rsidR="00B41240" w:rsidRPr="00895E94">
        <w:t>.</w:t>
      </w:r>
      <w:r w:rsidR="00A7679F">
        <w:t xml:space="preserve"> The interview form is used by the NIOSH investigator </w:t>
      </w:r>
      <w:r w:rsidR="00A44FFE">
        <w:t xml:space="preserve">to maintain </w:t>
      </w:r>
      <w:r w:rsidR="00A7679F">
        <w:t xml:space="preserve">consistency </w:t>
      </w:r>
      <w:r w:rsidR="00A44FFE">
        <w:t xml:space="preserve">across interviews </w:t>
      </w:r>
      <w:r w:rsidR="00A7679F">
        <w:t>and is not distributed to individuals.</w:t>
      </w:r>
      <w:r w:rsidR="008676F3">
        <w:t xml:space="preserve"> </w:t>
      </w:r>
      <w:r>
        <w:t xml:space="preserve">The estimated time for an interview is </w:t>
      </w:r>
      <w:r w:rsidR="00144234" w:rsidRPr="00895E94">
        <w:t>15</w:t>
      </w:r>
      <w:r>
        <w:t xml:space="preserve"> </w:t>
      </w:r>
      <w:r w:rsidR="00144234" w:rsidRPr="00895E94">
        <w:t>minute</w:t>
      </w:r>
      <w:r>
        <w:t>s. Assuming that 30 employees are interviewed at each of the 8</w:t>
      </w:r>
      <w:r w:rsidR="00C54228">
        <w:t>6</w:t>
      </w:r>
      <w:r>
        <w:t xml:space="preserve"> work</w:t>
      </w:r>
      <w:r w:rsidR="003042E9">
        <w:t xml:space="preserve"> </w:t>
      </w:r>
      <w:r>
        <w:t xml:space="preserve">sites, the burden from this activity is </w:t>
      </w:r>
      <w:r w:rsidR="004B4175">
        <w:t>6</w:t>
      </w:r>
      <w:r w:rsidR="00C54228">
        <w:t>45</w:t>
      </w:r>
      <w:r w:rsidR="00144234" w:rsidRPr="00895E94">
        <w:t xml:space="preserve"> hours</w:t>
      </w:r>
      <w:r w:rsidR="006E2E32">
        <w:t>.</w:t>
      </w:r>
      <w:r w:rsidR="00902FBB">
        <w:t xml:space="preserve"> </w:t>
      </w:r>
    </w:p>
    <w:p w14:paraId="1646C8D7" w14:textId="77777777" w:rsidR="00AE3BFD" w:rsidRDefault="00AE3BFD" w:rsidP="000F16C4">
      <w:pPr>
        <w:ind w:left="1080"/>
      </w:pPr>
    </w:p>
    <w:p w14:paraId="34938E6A" w14:textId="7DF15EE5" w:rsidR="00144234" w:rsidRDefault="00AE3BFD" w:rsidP="000F16C4">
      <w:pPr>
        <w:ind w:left="1080"/>
      </w:pPr>
      <w:r>
        <w:t>Of the 12</w:t>
      </w:r>
      <w:r w:rsidR="00C54228">
        <w:t>2</w:t>
      </w:r>
      <w:r>
        <w:t xml:space="preserve"> onsite evaluations, NIOSH estimates that 3</w:t>
      </w:r>
      <w:r w:rsidR="00C54228">
        <w:t>7</w:t>
      </w:r>
      <w:r>
        <w:t xml:space="preserve"> (30%) will involve employee </w:t>
      </w:r>
      <w:r w:rsidR="00144234">
        <w:t>questionnaires</w:t>
      </w:r>
      <w:r>
        <w:t>. A</w:t>
      </w:r>
      <w:r w:rsidR="00144234">
        <w:t xml:space="preserve">s noted previously, </w:t>
      </w:r>
      <w:r w:rsidR="00217926">
        <w:t xml:space="preserve">the same </w:t>
      </w:r>
      <w:r w:rsidR="00144234">
        <w:t>questionnaire is not used</w:t>
      </w:r>
      <w:r w:rsidR="00217926">
        <w:t xml:space="preserve"> in different evaluations</w:t>
      </w:r>
      <w:r w:rsidR="00144234">
        <w:t xml:space="preserve">; </w:t>
      </w:r>
      <w:r w:rsidR="00217926">
        <w:t xml:space="preserve">rather, </w:t>
      </w:r>
      <w:r w:rsidR="00144234">
        <w:t xml:space="preserve">questionnaires </w:t>
      </w:r>
      <w:r w:rsidR="00217926">
        <w:t xml:space="preserve">based on standard medical and epidemiologic approaches </w:t>
      </w:r>
      <w:r w:rsidR="00144234">
        <w:t>are developed to fit the unique needs of each situation.</w:t>
      </w:r>
      <w:r w:rsidR="00391C7B">
        <w:t xml:space="preserve"> </w:t>
      </w:r>
      <w:r w:rsidR="00B41240">
        <w:t>An example</w:t>
      </w:r>
      <w:r w:rsidR="00B41240" w:rsidRPr="00895E94">
        <w:t xml:space="preserve"> </w:t>
      </w:r>
      <w:r w:rsidR="00217926">
        <w:t xml:space="preserve">of a </w:t>
      </w:r>
      <w:r w:rsidR="00B41240" w:rsidRPr="00895E94">
        <w:t xml:space="preserve">questionnaire used in an investigation </w:t>
      </w:r>
      <w:r w:rsidR="00FA566D" w:rsidRPr="00895E94">
        <w:t>a</w:t>
      </w:r>
      <w:r w:rsidR="00B41240" w:rsidRPr="00895E94">
        <w:t xml:space="preserve">ddressing </w:t>
      </w:r>
      <w:r w:rsidR="00334270">
        <w:t xml:space="preserve">mucus membrane irritation and respiratory problems </w:t>
      </w:r>
      <w:r w:rsidR="00217926">
        <w:t xml:space="preserve">among employees </w:t>
      </w:r>
      <w:r w:rsidR="00334270">
        <w:t xml:space="preserve">in an indoor water park </w:t>
      </w:r>
      <w:r w:rsidR="00FA566D">
        <w:t xml:space="preserve">is provided in Attachment </w:t>
      </w:r>
      <w:r w:rsidR="00FE73DF">
        <w:t>F</w:t>
      </w:r>
      <w:r w:rsidR="00FA566D">
        <w:t>.</w:t>
      </w:r>
      <w:r>
        <w:t xml:space="preserve"> </w:t>
      </w:r>
      <w:r w:rsidR="00217926">
        <w:t>Based on experience, t</w:t>
      </w:r>
      <w:r>
        <w:t xml:space="preserve">he estimated time for completion of </w:t>
      </w:r>
      <w:r w:rsidR="00217926">
        <w:t xml:space="preserve">most </w:t>
      </w:r>
      <w:r>
        <w:t xml:space="preserve">questionnaires is 30 minutes. Assuming that </w:t>
      </w:r>
      <w:r w:rsidR="00514FC9">
        <w:t>100</w:t>
      </w:r>
      <w:r w:rsidR="00896EB9">
        <w:t xml:space="preserve"> </w:t>
      </w:r>
      <w:r w:rsidR="00144234">
        <w:t>employees complet</w:t>
      </w:r>
      <w:r>
        <w:t xml:space="preserve">e </w:t>
      </w:r>
      <w:r w:rsidR="00144234">
        <w:t>a questionnaire</w:t>
      </w:r>
      <w:r>
        <w:t xml:space="preserve"> at each of the 3</w:t>
      </w:r>
      <w:r w:rsidR="00C54228">
        <w:t>7</w:t>
      </w:r>
      <w:r>
        <w:t xml:space="preserve"> work</w:t>
      </w:r>
      <w:r w:rsidR="003042E9">
        <w:t xml:space="preserve"> </w:t>
      </w:r>
      <w:r>
        <w:t>sites</w:t>
      </w:r>
      <w:r w:rsidR="00A44649">
        <w:t xml:space="preserve">, the burden </w:t>
      </w:r>
      <w:r>
        <w:t xml:space="preserve">from this activity is </w:t>
      </w:r>
      <w:r w:rsidR="00DE18CA">
        <w:t>1</w:t>
      </w:r>
      <w:r w:rsidR="00217926">
        <w:t>,</w:t>
      </w:r>
      <w:r w:rsidR="00DE18CA">
        <w:t>850</w:t>
      </w:r>
      <w:r w:rsidR="00A44649">
        <w:t xml:space="preserve"> hours</w:t>
      </w:r>
      <w:r w:rsidR="006E2E32">
        <w:t>.</w:t>
      </w:r>
      <w:r w:rsidR="00A44649">
        <w:t xml:space="preserve"> </w:t>
      </w:r>
    </w:p>
    <w:p w14:paraId="1BCB35BA" w14:textId="77777777" w:rsidR="00044388" w:rsidRDefault="00044388" w:rsidP="000F16C4">
      <w:pPr>
        <w:ind w:left="1080"/>
      </w:pPr>
    </w:p>
    <w:p w14:paraId="6498E784" w14:textId="0F3BA812" w:rsidR="00144234" w:rsidRDefault="00044388" w:rsidP="000F0C47">
      <w:pPr>
        <w:ind w:left="1080"/>
      </w:pPr>
      <w:r>
        <w:t>Of the 12</w:t>
      </w:r>
      <w:r w:rsidR="00DE18CA">
        <w:t>2</w:t>
      </w:r>
      <w:r>
        <w:t xml:space="preserve"> onsite evaluations, NIOSH estimates that 8</w:t>
      </w:r>
      <w:r w:rsidR="00DE18CA">
        <w:t>6</w:t>
      </w:r>
      <w:r>
        <w:t xml:space="preserve"> (70%) will involve personal exposure monitoring of employees. </w:t>
      </w:r>
      <w:r w:rsidR="00217926">
        <w:t xml:space="preserve">Employees who agree to be monitored </w:t>
      </w:r>
      <w:r>
        <w:t xml:space="preserve">are asked to complete a contact information postcard (Attachment G), which enables NIOSH to provide them with their individual </w:t>
      </w:r>
      <w:r w:rsidR="00BE36ED">
        <w:t>results</w:t>
      </w:r>
      <w:r>
        <w:t xml:space="preserve">. The estimated time to complete the postcard is 5 minutes. </w:t>
      </w:r>
      <w:r w:rsidRPr="005F6FA1">
        <w:t>Assuming that 25 employees are monitored at each of the 8</w:t>
      </w:r>
      <w:r w:rsidR="00DE18CA" w:rsidRPr="005F6FA1">
        <w:t>6</w:t>
      </w:r>
      <w:r w:rsidRPr="005F6FA1">
        <w:t xml:space="preserve"> work sites,</w:t>
      </w:r>
      <w:r>
        <w:t xml:space="preserve"> the burden from this activity is 18</w:t>
      </w:r>
      <w:r w:rsidR="00DE18CA">
        <w:t>0</w:t>
      </w:r>
      <w:r>
        <w:t xml:space="preserve"> hours</w:t>
      </w:r>
      <w:r w:rsidR="006E2E32">
        <w:t>.</w:t>
      </w:r>
      <w:r>
        <w:t xml:space="preserve"> </w:t>
      </w:r>
    </w:p>
    <w:p w14:paraId="58F6B1E1" w14:textId="5A0AC2AD" w:rsidR="00144234" w:rsidRDefault="00144234" w:rsidP="000F16C4">
      <w:pPr>
        <w:ind w:left="1080"/>
      </w:pPr>
      <w:r>
        <w:t xml:space="preserve">During the Health Hazard Evaluation and after the report is issued, NIOSH will distribute </w:t>
      </w:r>
      <w:r w:rsidR="00117D9B">
        <w:t>follow-back</w:t>
      </w:r>
      <w:r>
        <w:t xml:space="preserve"> questionnaires to assess the effectiveness of the Health Hazard Evaluation.</w:t>
      </w:r>
      <w:r w:rsidR="00C521AB">
        <w:t xml:space="preserve"> </w:t>
      </w:r>
      <w:r w:rsidR="00117D9B">
        <w:t>Follow-back</w:t>
      </w:r>
      <w:r>
        <w:t xml:space="preserve"> evaluations will be done for all </w:t>
      </w:r>
      <w:r w:rsidR="00375656">
        <w:t>1</w:t>
      </w:r>
      <w:r w:rsidR="00A44649">
        <w:t>2</w:t>
      </w:r>
      <w:r w:rsidR="00DE18CA">
        <w:t>2</w:t>
      </w:r>
      <w:r>
        <w:t xml:space="preserve"> onsite </w:t>
      </w:r>
      <w:r w:rsidR="00AE3BFD">
        <w:t>evaluation</w:t>
      </w:r>
      <w:r w:rsidR="00CF1199">
        <w:t>s</w:t>
      </w:r>
      <w:r w:rsidR="00AE3BFD">
        <w:t xml:space="preserve"> with two respondents per evaluation. </w:t>
      </w:r>
      <w:r>
        <w:t xml:space="preserve">Based on </w:t>
      </w:r>
      <w:r w:rsidR="00A44649">
        <w:t>2</w:t>
      </w:r>
      <w:r w:rsidR="00DE18CA">
        <w:t>44</w:t>
      </w:r>
      <w:r>
        <w:t xml:space="preserve"> respondents completing </w:t>
      </w:r>
      <w:r w:rsidR="00EF25CB">
        <w:t>one 10- and one</w:t>
      </w:r>
      <w:r>
        <w:t xml:space="preserve"> </w:t>
      </w:r>
      <w:r w:rsidR="00035884">
        <w:t>20</w:t>
      </w:r>
      <w:r>
        <w:t xml:space="preserve">-minute questionnaire in the first year (Attachments </w:t>
      </w:r>
      <w:r w:rsidR="00032EAA">
        <w:t>H</w:t>
      </w:r>
      <w:r>
        <w:t xml:space="preserve"> and </w:t>
      </w:r>
      <w:r w:rsidR="00032EAA">
        <w:t>I</w:t>
      </w:r>
      <w:r>
        <w:t xml:space="preserve">) and one 15-minute questionnaire in the second year (Attachment </w:t>
      </w:r>
      <w:r w:rsidR="00032EAA">
        <w:t>J</w:t>
      </w:r>
      <w:r>
        <w:t>),</w:t>
      </w:r>
      <w:r w:rsidR="00902FBB">
        <w:t xml:space="preserve"> </w:t>
      </w:r>
      <w:r>
        <w:t xml:space="preserve">this </w:t>
      </w:r>
      <w:r w:rsidR="00AE3BFD">
        <w:t xml:space="preserve">estimated burden is </w:t>
      </w:r>
      <w:r w:rsidR="00A44649">
        <w:t>1</w:t>
      </w:r>
      <w:r w:rsidR="00035884">
        <w:t>23</w:t>
      </w:r>
      <w:r w:rsidR="00F27A62">
        <w:t xml:space="preserve"> (</w:t>
      </w:r>
      <w:r w:rsidR="00EF25CB">
        <w:t>4</w:t>
      </w:r>
      <w:r w:rsidR="00035884">
        <w:t>1</w:t>
      </w:r>
      <w:r w:rsidR="00EF25CB">
        <w:t xml:space="preserve"> and </w:t>
      </w:r>
      <w:r w:rsidR="00035884">
        <w:t>82</w:t>
      </w:r>
      <w:r w:rsidR="00EF25CB">
        <w:t>)</w:t>
      </w:r>
      <w:r>
        <w:t xml:space="preserve"> </w:t>
      </w:r>
      <w:r w:rsidR="00AE3BFD">
        <w:t xml:space="preserve">hours in the first year </w:t>
      </w:r>
      <w:r>
        <w:t xml:space="preserve">and </w:t>
      </w:r>
      <w:r w:rsidR="00A44649">
        <w:t>6</w:t>
      </w:r>
      <w:r w:rsidR="00DE18CA">
        <w:t>1</w:t>
      </w:r>
      <w:r>
        <w:t xml:space="preserve"> hours</w:t>
      </w:r>
      <w:r w:rsidR="00AE3BFD">
        <w:t xml:space="preserve"> in the second year</w:t>
      </w:r>
      <w:r w:rsidR="006E2E32">
        <w:t>.</w:t>
      </w:r>
    </w:p>
    <w:p w14:paraId="0B12F968" w14:textId="77777777" w:rsidR="00144234" w:rsidRDefault="00144234" w:rsidP="000F16C4">
      <w:pPr>
        <w:ind w:left="720"/>
      </w:pPr>
    </w:p>
    <w:p w14:paraId="71F6B723" w14:textId="0C576FB0" w:rsidR="00144234" w:rsidRDefault="00144234" w:rsidP="000F16C4">
      <w:pPr>
        <w:ind w:left="1080"/>
      </w:pPr>
      <w:r>
        <w:t>Follow-back evaluations will be done with the primary requestors for a sample of the HHE requests where there was no onsite evaluation.</w:t>
      </w:r>
      <w:r w:rsidR="00312F86">
        <w:t xml:space="preserve"> A 50% sample is selected by choosing every other request.</w:t>
      </w:r>
      <w:r w:rsidR="00902FBB">
        <w:t xml:space="preserve"> </w:t>
      </w:r>
      <w:r>
        <w:t xml:space="preserve">Based on recent experience, approximately </w:t>
      </w:r>
      <w:r w:rsidR="00A44649">
        <w:t>9</w:t>
      </w:r>
      <w:r w:rsidR="00DE18CA">
        <w:t>8</w:t>
      </w:r>
      <w:r w:rsidR="00816DCB">
        <w:t xml:space="preserve"> </w:t>
      </w:r>
      <w:r>
        <w:t>of these follow</w:t>
      </w:r>
      <w:r w:rsidR="00DE44EC">
        <w:t>-</w:t>
      </w:r>
      <w:r>
        <w:t>backs will be done, with one respondent for each.</w:t>
      </w:r>
      <w:r w:rsidR="00902FBB">
        <w:t xml:space="preserve"> </w:t>
      </w:r>
      <w:r>
        <w:t>Based on</w:t>
      </w:r>
      <w:r w:rsidR="00902FBB">
        <w:t xml:space="preserve"> </w:t>
      </w:r>
      <w:r>
        <w:t xml:space="preserve">respondents completing one 10-minute questionnaire in the first year (Attachment </w:t>
      </w:r>
      <w:r w:rsidR="00032EAA">
        <w:t>K</w:t>
      </w:r>
      <w:r>
        <w:t xml:space="preserve">), and one 15-minute questionnaire in the second year (Attachment </w:t>
      </w:r>
      <w:r w:rsidR="00032EAA">
        <w:t>L</w:t>
      </w:r>
      <w:r>
        <w:t>),</w:t>
      </w:r>
      <w:r w:rsidR="00902FBB">
        <w:t xml:space="preserve"> </w:t>
      </w:r>
      <w:r>
        <w:t xml:space="preserve">this equates to about </w:t>
      </w:r>
      <w:r w:rsidR="00A44649">
        <w:t>1</w:t>
      </w:r>
      <w:r w:rsidR="00035884">
        <w:t>7</w:t>
      </w:r>
      <w:r>
        <w:t xml:space="preserve"> and </w:t>
      </w:r>
      <w:r w:rsidR="00A44649">
        <w:t>2</w:t>
      </w:r>
      <w:r w:rsidR="00DE18CA">
        <w:t>5</w:t>
      </w:r>
      <w:r>
        <w:t xml:space="preserve"> burden hours, respectively.</w:t>
      </w:r>
    </w:p>
    <w:p w14:paraId="03B99F80" w14:textId="2074ECFF" w:rsidR="00782AB3" w:rsidRDefault="00782AB3" w:rsidP="000F16C4">
      <w:pPr>
        <w:ind w:left="1080"/>
      </w:pPr>
      <w:r>
        <w:t xml:space="preserve">The total </w:t>
      </w:r>
      <w:r w:rsidR="008534E9">
        <w:t xml:space="preserve">annualized </w:t>
      </w:r>
      <w:r>
        <w:t xml:space="preserve">burden hours </w:t>
      </w:r>
      <w:r w:rsidR="00125B8A">
        <w:t xml:space="preserve">are </w:t>
      </w:r>
      <w:r w:rsidR="00DE18CA">
        <w:t>2</w:t>
      </w:r>
      <w:r w:rsidR="00217926">
        <w:t>,</w:t>
      </w:r>
      <w:r w:rsidR="00DE18CA">
        <w:t>9</w:t>
      </w:r>
      <w:r w:rsidR="001D19A7">
        <w:t>59</w:t>
      </w:r>
      <w:r w:rsidR="00125B8A">
        <w:t>, a reduction of 61 hours.</w:t>
      </w:r>
      <w:r>
        <w:t xml:space="preserve"> </w:t>
      </w:r>
    </w:p>
    <w:p w14:paraId="0328AE6C" w14:textId="77777777" w:rsidR="00EF25CB" w:rsidRPr="00F22961" w:rsidRDefault="00EF25CB" w:rsidP="004D3600">
      <w:pPr>
        <w:ind w:left="2880" w:firstLine="720"/>
        <w:rPr>
          <w:b/>
        </w:rPr>
      </w:pPr>
      <w:r w:rsidRPr="00F22961">
        <w:rPr>
          <w:b/>
        </w:rPr>
        <w:t>Table 12A</w:t>
      </w:r>
    </w:p>
    <w:p w14:paraId="4AB80C32" w14:textId="77777777" w:rsidR="00EF25CB" w:rsidRPr="00F22961" w:rsidRDefault="00EF25CB" w:rsidP="00EF25CB">
      <w:pPr>
        <w:ind w:left="720"/>
        <w:jc w:val="center"/>
        <w:rPr>
          <w:b/>
        </w:rPr>
      </w:pPr>
    </w:p>
    <w:p w14:paraId="11B8C564" w14:textId="77777777" w:rsidR="00EF25CB" w:rsidRPr="00F22961" w:rsidRDefault="00EF25CB" w:rsidP="004D3600">
      <w:pPr>
        <w:ind w:left="1440" w:firstLine="720"/>
        <w:rPr>
          <w:b/>
        </w:rPr>
      </w:pPr>
      <w:r w:rsidRPr="00F22961">
        <w:rPr>
          <w:b/>
        </w:rPr>
        <w:t>Estimate of Annualized Burden Hours</w:t>
      </w:r>
    </w:p>
    <w:tbl>
      <w:tblPr>
        <w:tblpPr w:leftFromText="180" w:rightFromText="180" w:vertAnchor="text" w:horzAnchor="margin" w:tblpXSpec="center" w:tblpY="61"/>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1890"/>
        <w:gridCol w:w="1504"/>
        <w:gridCol w:w="1441"/>
        <w:gridCol w:w="1195"/>
        <w:gridCol w:w="1344"/>
      </w:tblGrid>
      <w:tr w:rsidR="001C5C13" w14:paraId="2FDF0399"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78795508" w14:textId="77777777" w:rsidR="001C5C13" w:rsidRDefault="001C5C13" w:rsidP="001C5C13">
            <w:pPr>
              <w:widowControl w:val="0"/>
              <w:autoSpaceDE w:val="0"/>
              <w:autoSpaceDN w:val="0"/>
              <w:adjustRightInd w:val="0"/>
              <w:rPr>
                <w:b/>
              </w:rPr>
            </w:pPr>
            <w:r>
              <w:rPr>
                <w:b/>
              </w:rPr>
              <w:t>Type of Respondent</w:t>
            </w:r>
          </w:p>
          <w:p w14:paraId="61C00D97" w14:textId="77777777" w:rsidR="001C5C13" w:rsidRPr="00670294" w:rsidRDefault="001C5C13" w:rsidP="001C5C13">
            <w:pPr>
              <w:widowControl w:val="0"/>
              <w:autoSpaceDE w:val="0"/>
              <w:autoSpaceDN w:val="0"/>
              <w:adjustRightInd w:val="0"/>
              <w:rPr>
                <w:rFonts w:ascii="Calibri" w:eastAsiaTheme="minorHAnsi" w:hAnsi="Calibri"/>
                <w:sz w:val="22"/>
                <w:szCs w:val="22"/>
              </w:rPr>
            </w:pPr>
            <w:r w:rsidRPr="00670294">
              <w:t>(row numbers referred to in text)</w:t>
            </w:r>
          </w:p>
        </w:tc>
        <w:tc>
          <w:tcPr>
            <w:tcW w:w="1890" w:type="dxa"/>
            <w:tcBorders>
              <w:top w:val="single" w:sz="4" w:space="0" w:color="auto"/>
              <w:left w:val="single" w:sz="4" w:space="0" w:color="auto"/>
              <w:bottom w:val="single" w:sz="4" w:space="0" w:color="auto"/>
              <w:right w:val="single" w:sz="4" w:space="0" w:color="auto"/>
            </w:tcBorders>
            <w:hideMark/>
          </w:tcPr>
          <w:p w14:paraId="1FD63319" w14:textId="77777777" w:rsidR="001C5C13" w:rsidRDefault="001C5C13" w:rsidP="001C5C13">
            <w:pPr>
              <w:widowControl w:val="0"/>
              <w:autoSpaceDE w:val="0"/>
              <w:autoSpaceDN w:val="0"/>
              <w:adjustRightInd w:val="0"/>
              <w:rPr>
                <w:rFonts w:ascii="Calibri" w:eastAsiaTheme="minorHAnsi" w:hAnsi="Calibri"/>
                <w:b/>
                <w:sz w:val="22"/>
                <w:szCs w:val="22"/>
              </w:rPr>
            </w:pPr>
            <w:r>
              <w:rPr>
                <w:b/>
              </w:rPr>
              <w:t>Form</w:t>
            </w:r>
          </w:p>
        </w:tc>
        <w:tc>
          <w:tcPr>
            <w:tcW w:w="1504" w:type="dxa"/>
            <w:tcBorders>
              <w:top w:val="single" w:sz="4" w:space="0" w:color="auto"/>
              <w:left w:val="single" w:sz="4" w:space="0" w:color="auto"/>
              <w:bottom w:val="single" w:sz="4" w:space="0" w:color="auto"/>
              <w:right w:val="single" w:sz="4" w:space="0" w:color="auto"/>
            </w:tcBorders>
            <w:hideMark/>
          </w:tcPr>
          <w:p w14:paraId="7773065E" w14:textId="77777777" w:rsidR="001C5C13" w:rsidRDefault="001C5C13" w:rsidP="001C5C13">
            <w:pPr>
              <w:widowControl w:val="0"/>
              <w:autoSpaceDE w:val="0"/>
              <w:autoSpaceDN w:val="0"/>
              <w:adjustRightInd w:val="0"/>
              <w:rPr>
                <w:rFonts w:ascii="Calibri" w:eastAsiaTheme="minorHAnsi" w:hAnsi="Calibri"/>
                <w:b/>
                <w:sz w:val="22"/>
                <w:szCs w:val="22"/>
              </w:rPr>
            </w:pPr>
            <w:r>
              <w:rPr>
                <w:b/>
              </w:rPr>
              <w:t xml:space="preserve">No. of </w:t>
            </w:r>
          </w:p>
          <w:p w14:paraId="12C83E82" w14:textId="77777777" w:rsidR="001C5C13" w:rsidRDefault="001C5C13" w:rsidP="001C5C13">
            <w:pPr>
              <w:widowControl w:val="0"/>
              <w:autoSpaceDE w:val="0"/>
              <w:autoSpaceDN w:val="0"/>
              <w:adjustRightInd w:val="0"/>
              <w:rPr>
                <w:rFonts w:ascii="Calibri" w:eastAsiaTheme="minorHAnsi" w:hAnsi="Calibri"/>
                <w:b/>
                <w:sz w:val="22"/>
                <w:szCs w:val="22"/>
              </w:rPr>
            </w:pPr>
            <w:r>
              <w:rPr>
                <w:b/>
              </w:rPr>
              <w:t>respondents</w:t>
            </w:r>
          </w:p>
        </w:tc>
        <w:tc>
          <w:tcPr>
            <w:tcW w:w="1441" w:type="dxa"/>
            <w:tcBorders>
              <w:top w:val="single" w:sz="4" w:space="0" w:color="auto"/>
              <w:left w:val="single" w:sz="4" w:space="0" w:color="auto"/>
              <w:bottom w:val="single" w:sz="4" w:space="0" w:color="auto"/>
              <w:right w:val="single" w:sz="4" w:space="0" w:color="auto"/>
            </w:tcBorders>
            <w:hideMark/>
          </w:tcPr>
          <w:p w14:paraId="2712CC88" w14:textId="77777777" w:rsidR="001C5C13" w:rsidRDefault="001C5C13" w:rsidP="001C5C13">
            <w:pPr>
              <w:widowControl w:val="0"/>
              <w:autoSpaceDE w:val="0"/>
              <w:autoSpaceDN w:val="0"/>
              <w:adjustRightInd w:val="0"/>
              <w:rPr>
                <w:rFonts w:ascii="Calibri" w:eastAsiaTheme="minorHAnsi" w:hAnsi="Calibri"/>
                <w:b/>
                <w:sz w:val="22"/>
                <w:szCs w:val="22"/>
              </w:rPr>
            </w:pPr>
            <w:r>
              <w:rPr>
                <w:b/>
              </w:rPr>
              <w:t>No. of responses per respondent</w:t>
            </w:r>
          </w:p>
        </w:tc>
        <w:tc>
          <w:tcPr>
            <w:tcW w:w="1195" w:type="dxa"/>
            <w:tcBorders>
              <w:top w:val="single" w:sz="4" w:space="0" w:color="auto"/>
              <w:left w:val="single" w:sz="4" w:space="0" w:color="auto"/>
              <w:bottom w:val="single" w:sz="4" w:space="0" w:color="auto"/>
              <w:right w:val="single" w:sz="4" w:space="0" w:color="auto"/>
            </w:tcBorders>
            <w:hideMark/>
          </w:tcPr>
          <w:p w14:paraId="173D45F1" w14:textId="77777777" w:rsidR="001C5C13" w:rsidRDefault="001C5C13" w:rsidP="001C5C13">
            <w:pPr>
              <w:widowControl w:val="0"/>
              <w:autoSpaceDE w:val="0"/>
              <w:autoSpaceDN w:val="0"/>
              <w:adjustRightInd w:val="0"/>
              <w:rPr>
                <w:rFonts w:ascii="Calibri" w:eastAsiaTheme="minorHAnsi" w:hAnsi="Calibri"/>
                <w:b/>
                <w:sz w:val="22"/>
                <w:szCs w:val="22"/>
              </w:rPr>
            </w:pPr>
            <w:r>
              <w:rPr>
                <w:b/>
              </w:rPr>
              <w:t>Average burden per response in hours</w:t>
            </w:r>
          </w:p>
        </w:tc>
        <w:tc>
          <w:tcPr>
            <w:tcW w:w="1344" w:type="dxa"/>
            <w:tcBorders>
              <w:top w:val="single" w:sz="4" w:space="0" w:color="auto"/>
              <w:left w:val="single" w:sz="4" w:space="0" w:color="auto"/>
              <w:bottom w:val="single" w:sz="4" w:space="0" w:color="auto"/>
              <w:right w:val="single" w:sz="4" w:space="0" w:color="auto"/>
            </w:tcBorders>
            <w:hideMark/>
          </w:tcPr>
          <w:p w14:paraId="24B0DB6F" w14:textId="77777777" w:rsidR="001C5C13" w:rsidRDefault="001C5C13" w:rsidP="001C5C13">
            <w:pPr>
              <w:widowControl w:val="0"/>
              <w:autoSpaceDE w:val="0"/>
              <w:autoSpaceDN w:val="0"/>
              <w:adjustRightInd w:val="0"/>
              <w:rPr>
                <w:rFonts w:ascii="Calibri" w:eastAsiaTheme="minorHAnsi" w:hAnsi="Calibri"/>
                <w:b/>
                <w:sz w:val="22"/>
                <w:szCs w:val="22"/>
              </w:rPr>
            </w:pPr>
            <w:r>
              <w:rPr>
                <w:b/>
              </w:rPr>
              <w:t>Total Burden Hours</w:t>
            </w:r>
          </w:p>
        </w:tc>
      </w:tr>
      <w:tr w:rsidR="001C5C13" w14:paraId="66B9F97B" w14:textId="77777777" w:rsidTr="001C5C13">
        <w:trPr>
          <w:trHeight w:val="1213"/>
        </w:trPr>
        <w:tc>
          <w:tcPr>
            <w:tcW w:w="1908" w:type="dxa"/>
            <w:tcBorders>
              <w:top w:val="single" w:sz="4" w:space="0" w:color="auto"/>
              <w:left w:val="single" w:sz="4" w:space="0" w:color="auto"/>
              <w:bottom w:val="single" w:sz="4" w:space="0" w:color="auto"/>
              <w:right w:val="single" w:sz="4" w:space="0" w:color="auto"/>
            </w:tcBorders>
            <w:hideMark/>
          </w:tcPr>
          <w:p w14:paraId="1999C8FF" w14:textId="77777777" w:rsidR="009D0B3B" w:rsidRDefault="001C5C13" w:rsidP="001C5C13">
            <w:pPr>
              <w:widowControl w:val="0"/>
              <w:autoSpaceDE w:val="0"/>
              <w:autoSpaceDN w:val="0"/>
              <w:adjustRightInd w:val="0"/>
            </w:pPr>
            <w:r>
              <w:t>1) Employees</w:t>
            </w:r>
            <w:r w:rsidR="00A7679F">
              <w:t>/</w:t>
            </w:r>
          </w:p>
          <w:p w14:paraId="3BC08BE5" w14:textId="77777777" w:rsidR="009D0B3B" w:rsidRDefault="00A7679F" w:rsidP="001C5C13">
            <w:pPr>
              <w:widowControl w:val="0"/>
              <w:autoSpaceDE w:val="0"/>
              <w:autoSpaceDN w:val="0"/>
              <w:adjustRightInd w:val="0"/>
            </w:pPr>
            <w:r>
              <w:t>employee r</w:t>
            </w:r>
            <w:r w:rsidR="001C5C13">
              <w:t>epresentatives</w:t>
            </w:r>
            <w:r w:rsidR="005455B9">
              <w:t>/</w:t>
            </w:r>
          </w:p>
          <w:p w14:paraId="64C39EF0" w14:textId="77777777" w:rsidR="001C5C13" w:rsidRDefault="009D0B3B" w:rsidP="001C5C13">
            <w:pPr>
              <w:widowControl w:val="0"/>
              <w:autoSpaceDE w:val="0"/>
              <w:autoSpaceDN w:val="0"/>
              <w:adjustRightInd w:val="0"/>
              <w:rPr>
                <w:rFonts w:ascii="Calibri" w:eastAsiaTheme="minorHAnsi" w:hAnsi="Calibri"/>
                <w:sz w:val="22"/>
                <w:szCs w:val="22"/>
              </w:rPr>
            </w:pPr>
            <w:r>
              <w:t xml:space="preserve">or </w:t>
            </w:r>
            <w:r w:rsidR="005455B9">
              <w:t>e</w:t>
            </w:r>
            <w:r w:rsidR="001C5C13">
              <w:t>mployers</w:t>
            </w:r>
            <w:r>
              <w:t>*</w:t>
            </w:r>
          </w:p>
        </w:tc>
        <w:tc>
          <w:tcPr>
            <w:tcW w:w="1890" w:type="dxa"/>
            <w:tcBorders>
              <w:top w:val="single" w:sz="4" w:space="0" w:color="auto"/>
              <w:left w:val="single" w:sz="4" w:space="0" w:color="auto"/>
              <w:bottom w:val="single" w:sz="4" w:space="0" w:color="auto"/>
              <w:right w:val="single" w:sz="4" w:space="0" w:color="auto"/>
            </w:tcBorders>
            <w:hideMark/>
          </w:tcPr>
          <w:p w14:paraId="3FB559B8" w14:textId="77777777" w:rsidR="001C5C13" w:rsidRDefault="001C5C13" w:rsidP="001C5C13">
            <w:pPr>
              <w:widowControl w:val="0"/>
              <w:autoSpaceDE w:val="0"/>
              <w:autoSpaceDN w:val="0"/>
              <w:adjustRightInd w:val="0"/>
              <w:rPr>
                <w:rFonts w:ascii="Calibri" w:eastAsiaTheme="minorHAnsi" w:hAnsi="Calibri"/>
                <w:sz w:val="22"/>
                <w:szCs w:val="22"/>
              </w:rPr>
            </w:pPr>
            <w:r>
              <w:t>Health Hazard Evaluation Request Form Attachment C</w:t>
            </w:r>
          </w:p>
        </w:tc>
        <w:tc>
          <w:tcPr>
            <w:tcW w:w="1504" w:type="dxa"/>
            <w:tcBorders>
              <w:top w:val="single" w:sz="4" w:space="0" w:color="auto"/>
              <w:left w:val="single" w:sz="4" w:space="0" w:color="auto"/>
              <w:bottom w:val="single" w:sz="4" w:space="0" w:color="auto"/>
              <w:right w:val="single" w:sz="4" w:space="0" w:color="auto"/>
            </w:tcBorders>
            <w:hideMark/>
          </w:tcPr>
          <w:p w14:paraId="474F6FBF" w14:textId="0AB2D47C" w:rsidR="001C5C13" w:rsidRDefault="00A96FD7" w:rsidP="001C5C13">
            <w:pPr>
              <w:widowControl w:val="0"/>
              <w:autoSpaceDE w:val="0"/>
              <w:autoSpaceDN w:val="0"/>
              <w:adjustRightInd w:val="0"/>
            </w:pPr>
            <w:r>
              <w:t>290</w:t>
            </w:r>
          </w:p>
          <w:p w14:paraId="4D7ED49E" w14:textId="77777777" w:rsidR="001C5C13" w:rsidRDefault="001C5C13" w:rsidP="001C5C13">
            <w:pPr>
              <w:widowControl w:val="0"/>
              <w:autoSpaceDE w:val="0"/>
              <w:autoSpaceDN w:val="0"/>
              <w:adjustRightInd w:val="0"/>
            </w:pPr>
          </w:p>
          <w:p w14:paraId="15AF9043"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441" w:type="dxa"/>
            <w:tcBorders>
              <w:top w:val="single" w:sz="4" w:space="0" w:color="auto"/>
              <w:left w:val="single" w:sz="4" w:space="0" w:color="auto"/>
              <w:bottom w:val="single" w:sz="4" w:space="0" w:color="auto"/>
              <w:right w:val="single" w:sz="4" w:space="0" w:color="auto"/>
            </w:tcBorders>
            <w:hideMark/>
          </w:tcPr>
          <w:p w14:paraId="0B3E0C2C" w14:textId="77777777" w:rsidR="001C5C13" w:rsidRDefault="001C5C13" w:rsidP="001C5C13">
            <w:pPr>
              <w:widowControl w:val="0"/>
              <w:autoSpaceDE w:val="0"/>
              <w:autoSpaceDN w:val="0"/>
              <w:adjustRightInd w:val="0"/>
            </w:pPr>
            <w:r>
              <w:t>1</w:t>
            </w:r>
          </w:p>
          <w:p w14:paraId="66659F71" w14:textId="77777777" w:rsidR="001C5C13" w:rsidRDefault="001C5C13" w:rsidP="001C5C13">
            <w:pPr>
              <w:widowControl w:val="0"/>
              <w:autoSpaceDE w:val="0"/>
              <w:autoSpaceDN w:val="0"/>
              <w:adjustRightInd w:val="0"/>
            </w:pPr>
          </w:p>
          <w:p w14:paraId="63A29960" w14:textId="77777777" w:rsidR="001C5C13" w:rsidRDefault="001C5C13" w:rsidP="001C5C13">
            <w:pPr>
              <w:widowControl w:val="0"/>
              <w:autoSpaceDE w:val="0"/>
              <w:autoSpaceDN w:val="0"/>
              <w:adjustRightInd w:val="0"/>
            </w:pPr>
          </w:p>
          <w:p w14:paraId="6FE2E438"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195" w:type="dxa"/>
            <w:tcBorders>
              <w:top w:val="single" w:sz="4" w:space="0" w:color="auto"/>
              <w:left w:val="single" w:sz="4" w:space="0" w:color="auto"/>
              <w:bottom w:val="single" w:sz="4" w:space="0" w:color="auto"/>
              <w:right w:val="single" w:sz="4" w:space="0" w:color="auto"/>
            </w:tcBorders>
            <w:hideMark/>
          </w:tcPr>
          <w:p w14:paraId="6E5A2B35" w14:textId="77777777" w:rsidR="001C5C13" w:rsidRDefault="001C5C13" w:rsidP="001C5C13">
            <w:pPr>
              <w:widowControl w:val="0"/>
              <w:autoSpaceDE w:val="0"/>
              <w:autoSpaceDN w:val="0"/>
              <w:adjustRightInd w:val="0"/>
            </w:pPr>
            <w:r>
              <w:t>12/60</w:t>
            </w:r>
          </w:p>
          <w:p w14:paraId="14387BA1" w14:textId="77777777" w:rsidR="001C5C13" w:rsidRDefault="001C5C13" w:rsidP="001C5C13">
            <w:pPr>
              <w:widowControl w:val="0"/>
              <w:autoSpaceDE w:val="0"/>
              <w:autoSpaceDN w:val="0"/>
              <w:adjustRightInd w:val="0"/>
            </w:pPr>
          </w:p>
          <w:p w14:paraId="55EB8E34" w14:textId="77777777" w:rsidR="001C5C13" w:rsidRDefault="001C5C13" w:rsidP="001C5C13">
            <w:pPr>
              <w:widowControl w:val="0"/>
              <w:autoSpaceDE w:val="0"/>
              <w:autoSpaceDN w:val="0"/>
              <w:adjustRightInd w:val="0"/>
            </w:pPr>
          </w:p>
          <w:p w14:paraId="48BB3C01"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14:paraId="51F9C768" w14:textId="18379D6B" w:rsidR="001C5C13" w:rsidRDefault="00A96FD7" w:rsidP="001C5C13">
            <w:pPr>
              <w:widowControl w:val="0"/>
              <w:autoSpaceDE w:val="0"/>
              <w:autoSpaceDN w:val="0"/>
              <w:adjustRightInd w:val="0"/>
            </w:pPr>
            <w:r>
              <w:t>5</w:t>
            </w:r>
            <w:r w:rsidR="006B6463">
              <w:t>8</w:t>
            </w:r>
          </w:p>
          <w:p w14:paraId="7663C0D6" w14:textId="77777777" w:rsidR="001C5C13" w:rsidRDefault="001C5C13" w:rsidP="001C5C13">
            <w:pPr>
              <w:widowControl w:val="0"/>
              <w:autoSpaceDE w:val="0"/>
              <w:autoSpaceDN w:val="0"/>
              <w:adjustRightInd w:val="0"/>
            </w:pPr>
          </w:p>
          <w:p w14:paraId="6BE9CCB2" w14:textId="77777777" w:rsidR="001C5C13" w:rsidRDefault="001C5C13" w:rsidP="001C5C13">
            <w:pPr>
              <w:widowControl w:val="0"/>
              <w:autoSpaceDE w:val="0"/>
              <w:autoSpaceDN w:val="0"/>
              <w:adjustRightInd w:val="0"/>
            </w:pPr>
          </w:p>
          <w:p w14:paraId="035ECBB8" w14:textId="77777777" w:rsidR="001C5C13" w:rsidRDefault="001C5C13" w:rsidP="001C5C13">
            <w:pPr>
              <w:widowControl w:val="0"/>
              <w:autoSpaceDE w:val="0"/>
              <w:autoSpaceDN w:val="0"/>
              <w:adjustRightInd w:val="0"/>
              <w:rPr>
                <w:rFonts w:ascii="Calibri" w:eastAsiaTheme="minorHAnsi" w:hAnsi="Calibri"/>
                <w:sz w:val="22"/>
                <w:szCs w:val="22"/>
              </w:rPr>
            </w:pPr>
          </w:p>
        </w:tc>
      </w:tr>
      <w:tr w:rsidR="001C5C13" w14:paraId="262A3149"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07A4C0E6" w14:textId="77777777" w:rsidR="001C5C13" w:rsidRDefault="001C5C13" w:rsidP="001C5C13">
            <w:pPr>
              <w:widowControl w:val="0"/>
              <w:autoSpaceDE w:val="0"/>
              <w:autoSpaceDN w:val="0"/>
              <w:adjustRightInd w:val="0"/>
              <w:rPr>
                <w:rFonts w:ascii="Calibri" w:eastAsiaTheme="minorHAnsi" w:hAnsi="Calibri"/>
                <w:sz w:val="22"/>
                <w:szCs w:val="22"/>
              </w:rPr>
            </w:pPr>
            <w:r>
              <w:t xml:space="preserve">2) Employees </w:t>
            </w:r>
          </w:p>
        </w:tc>
        <w:tc>
          <w:tcPr>
            <w:tcW w:w="1890" w:type="dxa"/>
            <w:tcBorders>
              <w:top w:val="single" w:sz="4" w:space="0" w:color="auto"/>
              <w:left w:val="single" w:sz="4" w:space="0" w:color="auto"/>
              <w:bottom w:val="single" w:sz="4" w:space="0" w:color="auto"/>
              <w:right w:val="single" w:sz="4" w:space="0" w:color="auto"/>
            </w:tcBorders>
            <w:hideMark/>
          </w:tcPr>
          <w:p w14:paraId="5688E988" w14:textId="3492A703" w:rsidR="001C5C13" w:rsidRDefault="001C5C13" w:rsidP="00907CC3">
            <w:pPr>
              <w:widowControl w:val="0"/>
              <w:autoSpaceDE w:val="0"/>
              <w:autoSpaceDN w:val="0"/>
              <w:adjustRightInd w:val="0"/>
              <w:rPr>
                <w:rFonts w:ascii="Calibri" w:eastAsiaTheme="minorHAnsi" w:hAnsi="Calibri"/>
                <w:sz w:val="22"/>
                <w:szCs w:val="22"/>
                <w:vertAlign w:val="superscript"/>
              </w:rPr>
            </w:pPr>
            <w:r>
              <w:t xml:space="preserve">Health Hazard Evaluation specific interview example Attachment </w:t>
            </w:r>
            <w:r w:rsidR="00907CC3">
              <w:t>D</w:t>
            </w:r>
            <w:r w:rsidR="000F4454">
              <w:t>†</w:t>
            </w:r>
          </w:p>
        </w:tc>
        <w:tc>
          <w:tcPr>
            <w:tcW w:w="1504" w:type="dxa"/>
            <w:tcBorders>
              <w:top w:val="single" w:sz="4" w:space="0" w:color="auto"/>
              <w:left w:val="single" w:sz="4" w:space="0" w:color="auto"/>
              <w:bottom w:val="single" w:sz="4" w:space="0" w:color="auto"/>
              <w:right w:val="single" w:sz="4" w:space="0" w:color="auto"/>
            </w:tcBorders>
            <w:hideMark/>
          </w:tcPr>
          <w:p w14:paraId="5D73E62A" w14:textId="7F07E803" w:rsidR="001C5C13" w:rsidRDefault="00A96FD7" w:rsidP="00A96FD7">
            <w:pPr>
              <w:widowControl w:val="0"/>
              <w:autoSpaceDE w:val="0"/>
              <w:autoSpaceDN w:val="0"/>
              <w:adjustRightInd w:val="0"/>
              <w:rPr>
                <w:rFonts w:ascii="Calibri" w:eastAsiaTheme="minorHAnsi" w:hAnsi="Calibri"/>
                <w:sz w:val="22"/>
                <w:szCs w:val="22"/>
              </w:rPr>
            </w:pPr>
            <w:r>
              <w:t>2,580</w:t>
            </w:r>
          </w:p>
        </w:tc>
        <w:tc>
          <w:tcPr>
            <w:tcW w:w="1441" w:type="dxa"/>
            <w:tcBorders>
              <w:top w:val="single" w:sz="4" w:space="0" w:color="auto"/>
              <w:left w:val="single" w:sz="4" w:space="0" w:color="auto"/>
              <w:bottom w:val="single" w:sz="4" w:space="0" w:color="auto"/>
              <w:right w:val="single" w:sz="4" w:space="0" w:color="auto"/>
            </w:tcBorders>
            <w:hideMark/>
          </w:tcPr>
          <w:p w14:paraId="4251B858" w14:textId="77777777"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14:paraId="5419CEB3" w14:textId="77777777" w:rsidR="001C5C13" w:rsidRDefault="001C5C13" w:rsidP="001C5C13">
            <w:pPr>
              <w:widowControl w:val="0"/>
              <w:autoSpaceDE w:val="0"/>
              <w:autoSpaceDN w:val="0"/>
              <w:adjustRightInd w:val="0"/>
              <w:rPr>
                <w:rFonts w:ascii="Calibri" w:eastAsiaTheme="minorHAnsi" w:hAnsi="Calibri"/>
                <w:sz w:val="22"/>
                <w:szCs w:val="22"/>
              </w:rPr>
            </w:pPr>
            <w:r>
              <w:t>15/60</w:t>
            </w:r>
          </w:p>
        </w:tc>
        <w:tc>
          <w:tcPr>
            <w:tcW w:w="1344" w:type="dxa"/>
            <w:tcBorders>
              <w:top w:val="single" w:sz="4" w:space="0" w:color="auto"/>
              <w:left w:val="single" w:sz="4" w:space="0" w:color="auto"/>
              <w:bottom w:val="single" w:sz="4" w:space="0" w:color="auto"/>
              <w:right w:val="single" w:sz="4" w:space="0" w:color="auto"/>
            </w:tcBorders>
            <w:hideMark/>
          </w:tcPr>
          <w:p w14:paraId="7D1B94D9" w14:textId="6D5CC362" w:rsidR="001C5C13" w:rsidRDefault="001C5C13" w:rsidP="00A96FD7">
            <w:pPr>
              <w:widowControl w:val="0"/>
              <w:autoSpaceDE w:val="0"/>
              <w:autoSpaceDN w:val="0"/>
              <w:adjustRightInd w:val="0"/>
              <w:rPr>
                <w:rFonts w:ascii="Calibri" w:eastAsiaTheme="minorHAnsi" w:hAnsi="Calibri"/>
                <w:sz w:val="22"/>
                <w:szCs w:val="22"/>
              </w:rPr>
            </w:pPr>
            <w:r>
              <w:t>6</w:t>
            </w:r>
            <w:r w:rsidR="00A96FD7">
              <w:t>45</w:t>
            </w:r>
          </w:p>
        </w:tc>
      </w:tr>
      <w:tr w:rsidR="001C5C13" w14:paraId="027A1706"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3BB17917" w14:textId="77777777" w:rsidR="001C5C13" w:rsidRDefault="001C5C13" w:rsidP="001C5C13">
            <w:pPr>
              <w:widowControl w:val="0"/>
              <w:autoSpaceDE w:val="0"/>
              <w:autoSpaceDN w:val="0"/>
              <w:adjustRightInd w:val="0"/>
              <w:rPr>
                <w:rFonts w:ascii="Calibri" w:eastAsiaTheme="minorHAnsi" w:hAnsi="Calibri"/>
                <w:sz w:val="22"/>
                <w:szCs w:val="22"/>
              </w:rPr>
            </w:pPr>
            <w:r>
              <w:t xml:space="preserve">3) Employees </w:t>
            </w:r>
          </w:p>
        </w:tc>
        <w:tc>
          <w:tcPr>
            <w:tcW w:w="1890" w:type="dxa"/>
            <w:tcBorders>
              <w:top w:val="single" w:sz="4" w:space="0" w:color="auto"/>
              <w:left w:val="single" w:sz="4" w:space="0" w:color="auto"/>
              <w:bottom w:val="single" w:sz="4" w:space="0" w:color="auto"/>
              <w:right w:val="single" w:sz="4" w:space="0" w:color="auto"/>
            </w:tcBorders>
            <w:hideMark/>
          </w:tcPr>
          <w:p w14:paraId="227F2A58" w14:textId="77777777" w:rsidR="001C5C13" w:rsidRDefault="001C5C13" w:rsidP="001C5C13">
            <w:pPr>
              <w:widowControl w:val="0"/>
              <w:autoSpaceDE w:val="0"/>
              <w:autoSpaceDN w:val="0"/>
              <w:adjustRightInd w:val="0"/>
              <w:rPr>
                <w:rFonts w:ascii="Calibri" w:eastAsiaTheme="minorHAnsi" w:hAnsi="Calibri"/>
                <w:sz w:val="22"/>
                <w:szCs w:val="22"/>
              </w:rPr>
            </w:pPr>
            <w:r>
              <w:t>Health Hazard Evaluation specific questionnaire example</w:t>
            </w:r>
          </w:p>
          <w:p w14:paraId="03883449" w14:textId="642B567E" w:rsidR="001C5C13" w:rsidRDefault="001C5C13" w:rsidP="000F4454">
            <w:pPr>
              <w:widowControl w:val="0"/>
              <w:autoSpaceDE w:val="0"/>
              <w:autoSpaceDN w:val="0"/>
              <w:adjustRightInd w:val="0"/>
              <w:rPr>
                <w:rFonts w:ascii="Calibri" w:eastAsiaTheme="minorHAnsi" w:hAnsi="Calibri"/>
                <w:sz w:val="22"/>
                <w:szCs w:val="22"/>
                <w:vertAlign w:val="superscript"/>
              </w:rPr>
            </w:pPr>
            <w:r>
              <w:t>Attachment F</w:t>
            </w:r>
            <w:r w:rsidR="000F4454">
              <w:t>†</w:t>
            </w:r>
          </w:p>
        </w:tc>
        <w:tc>
          <w:tcPr>
            <w:tcW w:w="1504" w:type="dxa"/>
            <w:tcBorders>
              <w:top w:val="single" w:sz="4" w:space="0" w:color="auto"/>
              <w:left w:val="single" w:sz="4" w:space="0" w:color="auto"/>
              <w:bottom w:val="single" w:sz="4" w:space="0" w:color="auto"/>
              <w:right w:val="single" w:sz="4" w:space="0" w:color="auto"/>
            </w:tcBorders>
            <w:hideMark/>
          </w:tcPr>
          <w:p w14:paraId="1B4A7E7B" w14:textId="1AC07007" w:rsidR="001C5C13" w:rsidRDefault="001C5C13" w:rsidP="00A96FD7">
            <w:pPr>
              <w:widowControl w:val="0"/>
              <w:autoSpaceDE w:val="0"/>
              <w:autoSpaceDN w:val="0"/>
              <w:adjustRightInd w:val="0"/>
              <w:rPr>
                <w:rFonts w:ascii="Calibri" w:eastAsiaTheme="minorHAnsi" w:hAnsi="Calibri"/>
                <w:sz w:val="22"/>
                <w:szCs w:val="22"/>
              </w:rPr>
            </w:pPr>
            <w:r>
              <w:t>3</w:t>
            </w:r>
            <w:r w:rsidR="009669D4">
              <w:t>,</w:t>
            </w:r>
            <w:r w:rsidR="00A96FD7">
              <w:t>7</w:t>
            </w:r>
            <w:r>
              <w:t>00</w:t>
            </w:r>
          </w:p>
        </w:tc>
        <w:tc>
          <w:tcPr>
            <w:tcW w:w="1441" w:type="dxa"/>
            <w:tcBorders>
              <w:top w:val="single" w:sz="4" w:space="0" w:color="auto"/>
              <w:left w:val="single" w:sz="4" w:space="0" w:color="auto"/>
              <w:bottom w:val="single" w:sz="4" w:space="0" w:color="auto"/>
              <w:right w:val="single" w:sz="4" w:space="0" w:color="auto"/>
            </w:tcBorders>
            <w:hideMark/>
          </w:tcPr>
          <w:p w14:paraId="13E303BC" w14:textId="77777777"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14:paraId="07130EFA" w14:textId="77777777" w:rsidR="001C5C13" w:rsidRDefault="001C5C13" w:rsidP="001C5C13">
            <w:pPr>
              <w:widowControl w:val="0"/>
              <w:autoSpaceDE w:val="0"/>
              <w:autoSpaceDN w:val="0"/>
              <w:adjustRightInd w:val="0"/>
              <w:rPr>
                <w:rFonts w:ascii="Calibri" w:eastAsiaTheme="minorHAnsi" w:hAnsi="Calibri"/>
                <w:sz w:val="22"/>
                <w:szCs w:val="22"/>
              </w:rPr>
            </w:pPr>
            <w:r>
              <w:t>30/60</w:t>
            </w:r>
          </w:p>
        </w:tc>
        <w:tc>
          <w:tcPr>
            <w:tcW w:w="1344" w:type="dxa"/>
            <w:tcBorders>
              <w:top w:val="single" w:sz="4" w:space="0" w:color="auto"/>
              <w:left w:val="single" w:sz="4" w:space="0" w:color="auto"/>
              <w:bottom w:val="single" w:sz="4" w:space="0" w:color="auto"/>
              <w:right w:val="single" w:sz="4" w:space="0" w:color="auto"/>
            </w:tcBorders>
            <w:hideMark/>
          </w:tcPr>
          <w:p w14:paraId="013251D5" w14:textId="639685E5" w:rsidR="001C5C13" w:rsidRDefault="001C5C13" w:rsidP="00A96FD7">
            <w:pPr>
              <w:widowControl w:val="0"/>
              <w:autoSpaceDE w:val="0"/>
              <w:autoSpaceDN w:val="0"/>
              <w:adjustRightInd w:val="0"/>
              <w:rPr>
                <w:rFonts w:ascii="Calibri" w:eastAsiaTheme="minorHAnsi" w:hAnsi="Calibri"/>
                <w:sz w:val="22"/>
                <w:szCs w:val="22"/>
              </w:rPr>
            </w:pPr>
            <w:r>
              <w:t>1</w:t>
            </w:r>
            <w:r w:rsidR="009669D4">
              <w:t>,</w:t>
            </w:r>
            <w:r w:rsidR="00A96FD7">
              <w:t>850</w:t>
            </w:r>
          </w:p>
        </w:tc>
      </w:tr>
      <w:tr w:rsidR="001C5C13" w14:paraId="4350BC6D"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20D1EEF7" w14:textId="77777777" w:rsidR="001C5C13" w:rsidRDefault="001C5C13" w:rsidP="001C5C13">
            <w:pPr>
              <w:widowControl w:val="0"/>
              <w:autoSpaceDE w:val="0"/>
              <w:autoSpaceDN w:val="0"/>
              <w:adjustRightInd w:val="0"/>
              <w:rPr>
                <w:rFonts w:ascii="Calibri" w:eastAsiaTheme="minorHAnsi" w:hAnsi="Calibri"/>
                <w:sz w:val="22"/>
                <w:szCs w:val="22"/>
              </w:rPr>
            </w:pPr>
            <w:r>
              <w:t>4) Employees</w:t>
            </w:r>
          </w:p>
        </w:tc>
        <w:tc>
          <w:tcPr>
            <w:tcW w:w="1890" w:type="dxa"/>
            <w:tcBorders>
              <w:top w:val="single" w:sz="4" w:space="0" w:color="auto"/>
              <w:left w:val="single" w:sz="4" w:space="0" w:color="auto"/>
              <w:bottom w:val="single" w:sz="4" w:space="0" w:color="auto"/>
              <w:right w:val="single" w:sz="4" w:space="0" w:color="auto"/>
            </w:tcBorders>
            <w:hideMark/>
          </w:tcPr>
          <w:p w14:paraId="30C93808" w14:textId="77777777" w:rsidR="001C5C13" w:rsidRDefault="001C5C13" w:rsidP="001C5C13">
            <w:pPr>
              <w:widowControl w:val="0"/>
              <w:autoSpaceDE w:val="0"/>
              <w:autoSpaceDN w:val="0"/>
              <w:adjustRightInd w:val="0"/>
              <w:rPr>
                <w:rFonts w:ascii="Calibri" w:eastAsiaTheme="minorHAnsi" w:hAnsi="Calibri"/>
                <w:sz w:val="22"/>
                <w:szCs w:val="22"/>
              </w:rPr>
            </w:pPr>
            <w:r>
              <w:t>Employee Contact Postcard</w:t>
            </w:r>
          </w:p>
          <w:p w14:paraId="3277623C" w14:textId="77777777" w:rsidR="001C5C13" w:rsidRDefault="001C5C13" w:rsidP="001C5C13">
            <w:pPr>
              <w:widowControl w:val="0"/>
              <w:autoSpaceDE w:val="0"/>
              <w:autoSpaceDN w:val="0"/>
              <w:adjustRightInd w:val="0"/>
              <w:rPr>
                <w:rFonts w:ascii="Calibri" w:eastAsiaTheme="minorHAnsi" w:hAnsi="Calibri"/>
                <w:sz w:val="22"/>
                <w:szCs w:val="22"/>
              </w:rPr>
            </w:pPr>
            <w:r>
              <w:t>Attachment G</w:t>
            </w:r>
          </w:p>
        </w:tc>
        <w:tc>
          <w:tcPr>
            <w:tcW w:w="1504" w:type="dxa"/>
            <w:tcBorders>
              <w:top w:val="single" w:sz="4" w:space="0" w:color="auto"/>
              <w:left w:val="single" w:sz="4" w:space="0" w:color="auto"/>
              <w:bottom w:val="single" w:sz="4" w:space="0" w:color="auto"/>
              <w:right w:val="single" w:sz="4" w:space="0" w:color="auto"/>
            </w:tcBorders>
            <w:hideMark/>
          </w:tcPr>
          <w:p w14:paraId="29007965" w14:textId="209B9BBA" w:rsidR="001C5C13" w:rsidRDefault="001C5C13" w:rsidP="00A96FD7">
            <w:pPr>
              <w:widowControl w:val="0"/>
              <w:autoSpaceDE w:val="0"/>
              <w:autoSpaceDN w:val="0"/>
              <w:adjustRightInd w:val="0"/>
              <w:rPr>
                <w:rFonts w:ascii="Calibri" w:eastAsiaTheme="minorHAnsi" w:hAnsi="Calibri"/>
                <w:sz w:val="22"/>
                <w:szCs w:val="22"/>
              </w:rPr>
            </w:pPr>
            <w:r>
              <w:t>2</w:t>
            </w:r>
            <w:r w:rsidR="009669D4">
              <w:t>,</w:t>
            </w:r>
            <w:r w:rsidR="00A96FD7">
              <w:t>150</w:t>
            </w:r>
          </w:p>
        </w:tc>
        <w:tc>
          <w:tcPr>
            <w:tcW w:w="1441" w:type="dxa"/>
            <w:tcBorders>
              <w:top w:val="single" w:sz="4" w:space="0" w:color="auto"/>
              <w:left w:val="single" w:sz="4" w:space="0" w:color="auto"/>
              <w:bottom w:val="single" w:sz="4" w:space="0" w:color="auto"/>
              <w:right w:val="single" w:sz="4" w:space="0" w:color="auto"/>
            </w:tcBorders>
            <w:hideMark/>
          </w:tcPr>
          <w:p w14:paraId="123DCE81" w14:textId="77777777"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14:paraId="6827EC89" w14:textId="77777777" w:rsidR="001C5C13" w:rsidRDefault="001C5C13" w:rsidP="001C5C13">
            <w:pPr>
              <w:widowControl w:val="0"/>
              <w:autoSpaceDE w:val="0"/>
              <w:autoSpaceDN w:val="0"/>
              <w:adjustRightInd w:val="0"/>
              <w:rPr>
                <w:rFonts w:ascii="Calibri" w:eastAsiaTheme="minorHAnsi" w:hAnsi="Calibri"/>
                <w:sz w:val="22"/>
                <w:szCs w:val="22"/>
              </w:rPr>
            </w:pPr>
            <w:r>
              <w:t>5/60</w:t>
            </w:r>
          </w:p>
        </w:tc>
        <w:tc>
          <w:tcPr>
            <w:tcW w:w="1344" w:type="dxa"/>
            <w:tcBorders>
              <w:top w:val="single" w:sz="4" w:space="0" w:color="auto"/>
              <w:left w:val="single" w:sz="4" w:space="0" w:color="auto"/>
              <w:bottom w:val="single" w:sz="4" w:space="0" w:color="auto"/>
              <w:right w:val="single" w:sz="4" w:space="0" w:color="auto"/>
            </w:tcBorders>
            <w:hideMark/>
          </w:tcPr>
          <w:p w14:paraId="5EAA38C5" w14:textId="6EF44E44" w:rsidR="001C5C13" w:rsidRDefault="001C5C13" w:rsidP="00B77342">
            <w:pPr>
              <w:widowControl w:val="0"/>
              <w:autoSpaceDE w:val="0"/>
              <w:autoSpaceDN w:val="0"/>
              <w:adjustRightInd w:val="0"/>
              <w:rPr>
                <w:rFonts w:ascii="Calibri" w:eastAsiaTheme="minorHAnsi" w:hAnsi="Calibri"/>
                <w:sz w:val="22"/>
                <w:szCs w:val="22"/>
              </w:rPr>
            </w:pPr>
            <w:r>
              <w:t>1</w:t>
            </w:r>
            <w:r w:rsidR="004A1DD3">
              <w:t>80</w:t>
            </w:r>
          </w:p>
        </w:tc>
      </w:tr>
      <w:tr w:rsidR="001C5C13" w14:paraId="08C4B5F2" w14:textId="77777777" w:rsidTr="001C5C13">
        <w:tc>
          <w:tcPr>
            <w:tcW w:w="1908" w:type="dxa"/>
            <w:tcBorders>
              <w:top w:val="single" w:sz="4" w:space="0" w:color="auto"/>
              <w:left w:val="single" w:sz="4" w:space="0" w:color="auto"/>
              <w:bottom w:val="single" w:sz="4" w:space="0" w:color="auto"/>
              <w:right w:val="single" w:sz="4" w:space="0" w:color="auto"/>
            </w:tcBorders>
          </w:tcPr>
          <w:p w14:paraId="0B5979CB" w14:textId="77777777" w:rsidR="001C5C13" w:rsidRDefault="001C5C13" w:rsidP="001C5C13">
            <w:pPr>
              <w:widowControl w:val="0"/>
              <w:autoSpaceDE w:val="0"/>
              <w:autoSpaceDN w:val="0"/>
              <w:adjustRightInd w:val="0"/>
            </w:pPr>
            <w:r>
              <w:t>5) Follow-back for onsite evaluations – employer &amp; employee representative</w:t>
            </w:r>
          </w:p>
          <w:p w14:paraId="02A20C35" w14:textId="77777777" w:rsidR="001C5C13" w:rsidRDefault="001C5C13" w:rsidP="001C5C13">
            <w:pPr>
              <w:widowControl w:val="0"/>
              <w:autoSpaceDE w:val="0"/>
              <w:autoSpaceDN w:val="0"/>
              <w:adjustRightInd w:val="0"/>
              <w:rPr>
                <w:rFonts w:ascii="Calibri" w:eastAsiaTheme="minorHAnsi" w:hAnsi="Calibri"/>
                <w:sz w:val="22"/>
                <w:szCs w:val="22"/>
              </w:rPr>
            </w:pPr>
            <w:r>
              <w:t>Year 1</w:t>
            </w:r>
          </w:p>
        </w:tc>
        <w:tc>
          <w:tcPr>
            <w:tcW w:w="1890" w:type="dxa"/>
            <w:tcBorders>
              <w:top w:val="single" w:sz="4" w:space="0" w:color="auto"/>
              <w:left w:val="single" w:sz="4" w:space="0" w:color="auto"/>
              <w:bottom w:val="single" w:sz="4" w:space="0" w:color="auto"/>
              <w:right w:val="single" w:sz="4" w:space="0" w:color="auto"/>
            </w:tcBorders>
          </w:tcPr>
          <w:p w14:paraId="1DBB0E38" w14:textId="77777777" w:rsidR="001C5C13" w:rsidRPr="00670294" w:rsidRDefault="001C5C13" w:rsidP="001C5C13">
            <w:pPr>
              <w:widowControl w:val="0"/>
              <w:autoSpaceDE w:val="0"/>
              <w:autoSpaceDN w:val="0"/>
              <w:adjustRightInd w:val="0"/>
              <w:rPr>
                <w:rFonts w:eastAsiaTheme="minorHAnsi"/>
              </w:rPr>
            </w:pPr>
            <w:r>
              <w:rPr>
                <w:rFonts w:eastAsiaTheme="minorHAnsi"/>
              </w:rPr>
              <w:t>Initial Site Visit Followback Survey form</w:t>
            </w:r>
          </w:p>
          <w:p w14:paraId="2C1D4055" w14:textId="77777777" w:rsidR="001C5C13" w:rsidRDefault="001C5C13" w:rsidP="001C5C13">
            <w:pPr>
              <w:widowControl w:val="0"/>
              <w:autoSpaceDE w:val="0"/>
              <w:autoSpaceDN w:val="0"/>
              <w:adjustRightInd w:val="0"/>
            </w:pPr>
            <w:r>
              <w:t>Attachment H</w:t>
            </w:r>
          </w:p>
          <w:p w14:paraId="7939BA04"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504" w:type="dxa"/>
            <w:tcBorders>
              <w:top w:val="single" w:sz="4" w:space="0" w:color="auto"/>
              <w:left w:val="single" w:sz="4" w:space="0" w:color="auto"/>
              <w:bottom w:val="single" w:sz="4" w:space="0" w:color="auto"/>
              <w:right w:val="single" w:sz="4" w:space="0" w:color="auto"/>
            </w:tcBorders>
          </w:tcPr>
          <w:p w14:paraId="36A2340C" w14:textId="77777777" w:rsidR="001C5C13" w:rsidRDefault="001C5C13" w:rsidP="001C5C13">
            <w:pPr>
              <w:widowControl w:val="0"/>
              <w:autoSpaceDE w:val="0"/>
              <w:autoSpaceDN w:val="0"/>
              <w:adjustRightInd w:val="0"/>
              <w:rPr>
                <w:rFonts w:ascii="Calibri" w:eastAsiaTheme="minorHAnsi" w:hAnsi="Calibri"/>
                <w:sz w:val="22"/>
                <w:szCs w:val="22"/>
              </w:rPr>
            </w:pPr>
          </w:p>
          <w:p w14:paraId="07B38F4C" w14:textId="77777777" w:rsidR="001C5C13" w:rsidRDefault="001C5C13" w:rsidP="001C5C13">
            <w:pPr>
              <w:widowControl w:val="0"/>
              <w:autoSpaceDE w:val="0"/>
              <w:autoSpaceDN w:val="0"/>
              <w:adjustRightInd w:val="0"/>
            </w:pPr>
          </w:p>
          <w:p w14:paraId="0E8D0F69" w14:textId="22CBCEE8" w:rsidR="001C5C13" w:rsidRDefault="001C5C13" w:rsidP="001C5C13">
            <w:pPr>
              <w:widowControl w:val="0"/>
              <w:autoSpaceDE w:val="0"/>
              <w:autoSpaceDN w:val="0"/>
              <w:adjustRightInd w:val="0"/>
            </w:pPr>
            <w:r>
              <w:t>2</w:t>
            </w:r>
            <w:r w:rsidR="00A96FD7">
              <w:t>44</w:t>
            </w:r>
          </w:p>
          <w:p w14:paraId="5494D67B"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441" w:type="dxa"/>
            <w:tcBorders>
              <w:top w:val="single" w:sz="4" w:space="0" w:color="auto"/>
              <w:left w:val="single" w:sz="4" w:space="0" w:color="auto"/>
              <w:bottom w:val="single" w:sz="4" w:space="0" w:color="auto"/>
              <w:right w:val="single" w:sz="4" w:space="0" w:color="auto"/>
            </w:tcBorders>
          </w:tcPr>
          <w:p w14:paraId="6CF51462" w14:textId="77777777" w:rsidR="001C5C13" w:rsidRDefault="001C5C13" w:rsidP="001C5C13">
            <w:pPr>
              <w:widowControl w:val="0"/>
              <w:autoSpaceDE w:val="0"/>
              <w:autoSpaceDN w:val="0"/>
              <w:adjustRightInd w:val="0"/>
              <w:rPr>
                <w:rFonts w:ascii="Calibri" w:eastAsiaTheme="minorHAnsi" w:hAnsi="Calibri"/>
                <w:sz w:val="22"/>
                <w:szCs w:val="22"/>
              </w:rPr>
            </w:pPr>
          </w:p>
          <w:p w14:paraId="111BDC6E" w14:textId="77777777" w:rsidR="001C5C13" w:rsidRDefault="001C5C13" w:rsidP="001C5C13">
            <w:pPr>
              <w:widowControl w:val="0"/>
              <w:autoSpaceDE w:val="0"/>
              <w:autoSpaceDN w:val="0"/>
              <w:adjustRightInd w:val="0"/>
            </w:pPr>
          </w:p>
          <w:p w14:paraId="74E41FEE" w14:textId="77777777" w:rsidR="001C5C13" w:rsidRDefault="001C5C13" w:rsidP="001C5C13">
            <w:pPr>
              <w:widowControl w:val="0"/>
              <w:autoSpaceDE w:val="0"/>
              <w:autoSpaceDN w:val="0"/>
              <w:adjustRightInd w:val="0"/>
            </w:pPr>
            <w:r>
              <w:t>1</w:t>
            </w:r>
          </w:p>
          <w:p w14:paraId="6EA9E199"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195" w:type="dxa"/>
            <w:tcBorders>
              <w:top w:val="single" w:sz="4" w:space="0" w:color="auto"/>
              <w:left w:val="single" w:sz="4" w:space="0" w:color="auto"/>
              <w:bottom w:val="single" w:sz="4" w:space="0" w:color="auto"/>
              <w:right w:val="single" w:sz="4" w:space="0" w:color="auto"/>
            </w:tcBorders>
          </w:tcPr>
          <w:p w14:paraId="06409968" w14:textId="77777777" w:rsidR="001C5C13" w:rsidRDefault="001C5C13" w:rsidP="001C5C13">
            <w:pPr>
              <w:widowControl w:val="0"/>
              <w:autoSpaceDE w:val="0"/>
              <w:autoSpaceDN w:val="0"/>
              <w:adjustRightInd w:val="0"/>
              <w:rPr>
                <w:rFonts w:ascii="Calibri" w:eastAsiaTheme="minorHAnsi" w:hAnsi="Calibri"/>
                <w:sz w:val="22"/>
                <w:szCs w:val="22"/>
              </w:rPr>
            </w:pPr>
          </w:p>
          <w:p w14:paraId="7749D0C4" w14:textId="77777777" w:rsidR="001C5C13" w:rsidRDefault="001C5C13" w:rsidP="001C5C13">
            <w:pPr>
              <w:widowControl w:val="0"/>
              <w:autoSpaceDE w:val="0"/>
              <w:autoSpaceDN w:val="0"/>
              <w:adjustRightInd w:val="0"/>
            </w:pPr>
          </w:p>
          <w:p w14:paraId="65DAF2ED" w14:textId="77777777" w:rsidR="001C5C13" w:rsidRDefault="001C5C13" w:rsidP="001C5C13">
            <w:pPr>
              <w:widowControl w:val="0"/>
              <w:autoSpaceDE w:val="0"/>
              <w:autoSpaceDN w:val="0"/>
              <w:adjustRightInd w:val="0"/>
            </w:pPr>
            <w:r>
              <w:t>10/60</w:t>
            </w:r>
          </w:p>
          <w:p w14:paraId="1BA65487"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14:paraId="57057E22" w14:textId="6DA21D33" w:rsidR="001C5C13" w:rsidRDefault="001C5C13" w:rsidP="000F4454">
            <w:pPr>
              <w:widowControl w:val="0"/>
              <w:autoSpaceDE w:val="0"/>
              <w:autoSpaceDN w:val="0"/>
              <w:adjustRightInd w:val="0"/>
              <w:rPr>
                <w:rFonts w:ascii="Calibri" w:eastAsiaTheme="minorHAnsi" w:hAnsi="Calibri"/>
                <w:sz w:val="22"/>
                <w:szCs w:val="22"/>
              </w:rPr>
            </w:pPr>
            <w:r>
              <w:t>4</w:t>
            </w:r>
            <w:r w:rsidR="000F4454">
              <w:t>1</w:t>
            </w:r>
          </w:p>
        </w:tc>
      </w:tr>
      <w:tr w:rsidR="001C5C13" w14:paraId="0FF8D53C"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7D84C559" w14:textId="77777777" w:rsidR="001C5C13" w:rsidRDefault="001C5C13" w:rsidP="001C5C13">
            <w:pPr>
              <w:widowControl w:val="0"/>
              <w:autoSpaceDE w:val="0"/>
              <w:autoSpaceDN w:val="0"/>
              <w:adjustRightInd w:val="0"/>
            </w:pPr>
            <w:r>
              <w:t>6) - employer &amp; employee representative</w:t>
            </w:r>
          </w:p>
          <w:p w14:paraId="6993EFA0" w14:textId="77777777" w:rsidR="001C5C13" w:rsidRDefault="001C5C13" w:rsidP="001C5C13">
            <w:pPr>
              <w:widowControl w:val="0"/>
              <w:autoSpaceDE w:val="0"/>
              <w:autoSpaceDN w:val="0"/>
              <w:adjustRightInd w:val="0"/>
              <w:rPr>
                <w:rFonts w:ascii="Calibri" w:eastAsiaTheme="minorHAnsi" w:hAnsi="Calibri"/>
                <w:sz w:val="22"/>
                <w:szCs w:val="22"/>
              </w:rPr>
            </w:pPr>
            <w:r>
              <w:t>Year 1</w:t>
            </w:r>
          </w:p>
        </w:tc>
        <w:tc>
          <w:tcPr>
            <w:tcW w:w="1890" w:type="dxa"/>
            <w:tcBorders>
              <w:top w:val="single" w:sz="4" w:space="0" w:color="auto"/>
              <w:left w:val="single" w:sz="4" w:space="0" w:color="auto"/>
              <w:bottom w:val="single" w:sz="4" w:space="0" w:color="auto"/>
              <w:right w:val="single" w:sz="4" w:space="0" w:color="auto"/>
            </w:tcBorders>
            <w:hideMark/>
          </w:tcPr>
          <w:p w14:paraId="6B5CB68C" w14:textId="77777777" w:rsidR="001C5C13" w:rsidRDefault="001C5C13" w:rsidP="001C5C13">
            <w:pPr>
              <w:widowControl w:val="0"/>
              <w:autoSpaceDE w:val="0"/>
              <w:autoSpaceDN w:val="0"/>
              <w:adjustRightInd w:val="0"/>
            </w:pPr>
            <w:r>
              <w:t>Closeout for Health Hazard Evaluation Followback Survey with site visit</w:t>
            </w:r>
          </w:p>
          <w:p w14:paraId="5ED40880" w14:textId="77777777" w:rsidR="001C5C13" w:rsidRDefault="001C5C13" w:rsidP="001C5C13">
            <w:pPr>
              <w:widowControl w:val="0"/>
              <w:autoSpaceDE w:val="0"/>
              <w:autoSpaceDN w:val="0"/>
              <w:adjustRightInd w:val="0"/>
              <w:rPr>
                <w:rFonts w:ascii="Calibri" w:eastAsiaTheme="minorHAnsi" w:hAnsi="Calibri"/>
                <w:sz w:val="22"/>
                <w:szCs w:val="22"/>
              </w:rPr>
            </w:pPr>
            <w:r>
              <w:t>Attachment I</w:t>
            </w:r>
          </w:p>
        </w:tc>
        <w:tc>
          <w:tcPr>
            <w:tcW w:w="1504" w:type="dxa"/>
            <w:tcBorders>
              <w:top w:val="single" w:sz="4" w:space="0" w:color="auto"/>
              <w:left w:val="single" w:sz="4" w:space="0" w:color="auto"/>
              <w:bottom w:val="single" w:sz="4" w:space="0" w:color="auto"/>
              <w:right w:val="single" w:sz="4" w:space="0" w:color="auto"/>
            </w:tcBorders>
            <w:hideMark/>
          </w:tcPr>
          <w:p w14:paraId="07570938" w14:textId="06EFA651" w:rsidR="001C5C13" w:rsidRDefault="001C5C13" w:rsidP="00A96FD7">
            <w:pPr>
              <w:widowControl w:val="0"/>
              <w:autoSpaceDE w:val="0"/>
              <w:autoSpaceDN w:val="0"/>
              <w:adjustRightInd w:val="0"/>
              <w:rPr>
                <w:rFonts w:ascii="Calibri" w:eastAsiaTheme="minorHAnsi" w:hAnsi="Calibri"/>
                <w:sz w:val="22"/>
                <w:szCs w:val="22"/>
              </w:rPr>
            </w:pPr>
            <w:r>
              <w:t>2</w:t>
            </w:r>
            <w:r w:rsidR="00A96FD7">
              <w:t>44</w:t>
            </w:r>
          </w:p>
        </w:tc>
        <w:tc>
          <w:tcPr>
            <w:tcW w:w="1441" w:type="dxa"/>
            <w:tcBorders>
              <w:top w:val="single" w:sz="4" w:space="0" w:color="auto"/>
              <w:left w:val="single" w:sz="4" w:space="0" w:color="auto"/>
              <w:bottom w:val="single" w:sz="4" w:space="0" w:color="auto"/>
              <w:right w:val="single" w:sz="4" w:space="0" w:color="auto"/>
            </w:tcBorders>
            <w:hideMark/>
          </w:tcPr>
          <w:p w14:paraId="31096058" w14:textId="77777777"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14:paraId="4FC1CFE2" w14:textId="7F473046" w:rsidR="001C5C13" w:rsidRDefault="000F4454" w:rsidP="000F4454">
            <w:pPr>
              <w:widowControl w:val="0"/>
              <w:autoSpaceDE w:val="0"/>
              <w:autoSpaceDN w:val="0"/>
              <w:adjustRightInd w:val="0"/>
              <w:rPr>
                <w:rFonts w:ascii="Calibri" w:eastAsiaTheme="minorHAnsi" w:hAnsi="Calibri"/>
                <w:sz w:val="22"/>
                <w:szCs w:val="22"/>
              </w:rPr>
            </w:pPr>
            <w:r>
              <w:t>20</w:t>
            </w:r>
            <w:r w:rsidR="001C5C13">
              <w:t>/60</w:t>
            </w:r>
          </w:p>
        </w:tc>
        <w:tc>
          <w:tcPr>
            <w:tcW w:w="1344" w:type="dxa"/>
            <w:tcBorders>
              <w:top w:val="single" w:sz="4" w:space="0" w:color="auto"/>
              <w:left w:val="single" w:sz="4" w:space="0" w:color="auto"/>
              <w:bottom w:val="single" w:sz="4" w:space="0" w:color="auto"/>
              <w:right w:val="single" w:sz="4" w:space="0" w:color="auto"/>
            </w:tcBorders>
            <w:hideMark/>
          </w:tcPr>
          <w:p w14:paraId="5950E89E" w14:textId="2D6B89AE" w:rsidR="001C5C13" w:rsidRDefault="000F4454" w:rsidP="000F4454">
            <w:pPr>
              <w:widowControl w:val="0"/>
              <w:autoSpaceDE w:val="0"/>
              <w:autoSpaceDN w:val="0"/>
              <w:adjustRightInd w:val="0"/>
              <w:rPr>
                <w:rFonts w:ascii="Calibri" w:eastAsiaTheme="minorHAnsi" w:hAnsi="Calibri"/>
                <w:sz w:val="22"/>
                <w:szCs w:val="22"/>
              </w:rPr>
            </w:pPr>
            <w:r>
              <w:t>8</w:t>
            </w:r>
            <w:r w:rsidR="004A1DD3">
              <w:t>2</w:t>
            </w:r>
          </w:p>
        </w:tc>
      </w:tr>
      <w:tr w:rsidR="001C5C13" w14:paraId="749D619C"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58191E7C" w14:textId="77777777" w:rsidR="001C5C13" w:rsidRDefault="001C5C13" w:rsidP="001C5C13">
            <w:pPr>
              <w:widowControl w:val="0"/>
              <w:autoSpaceDE w:val="0"/>
              <w:autoSpaceDN w:val="0"/>
              <w:adjustRightInd w:val="0"/>
              <w:rPr>
                <w:rFonts w:ascii="Calibri" w:eastAsiaTheme="minorHAnsi" w:hAnsi="Calibri"/>
                <w:sz w:val="22"/>
                <w:szCs w:val="22"/>
              </w:rPr>
            </w:pPr>
            <w:r>
              <w:t>7) – employer &amp; employee representative Year 2</w:t>
            </w:r>
          </w:p>
        </w:tc>
        <w:tc>
          <w:tcPr>
            <w:tcW w:w="1890" w:type="dxa"/>
            <w:tcBorders>
              <w:top w:val="single" w:sz="4" w:space="0" w:color="auto"/>
              <w:left w:val="single" w:sz="4" w:space="0" w:color="auto"/>
              <w:bottom w:val="single" w:sz="4" w:space="0" w:color="auto"/>
              <w:right w:val="single" w:sz="4" w:space="0" w:color="auto"/>
            </w:tcBorders>
            <w:hideMark/>
          </w:tcPr>
          <w:p w14:paraId="56B36405" w14:textId="77777777" w:rsidR="001C5C13" w:rsidRDefault="001C5C13" w:rsidP="001C5C13">
            <w:pPr>
              <w:widowControl w:val="0"/>
              <w:autoSpaceDE w:val="0"/>
              <w:autoSpaceDN w:val="0"/>
              <w:adjustRightInd w:val="0"/>
            </w:pPr>
            <w:r>
              <w:t>1 Year Later for Health Hazard Evaluation Followback Survey with site visit</w:t>
            </w:r>
          </w:p>
          <w:p w14:paraId="3B110003" w14:textId="77777777" w:rsidR="001C5C13" w:rsidRDefault="001C5C13" w:rsidP="001C5C13">
            <w:pPr>
              <w:widowControl w:val="0"/>
              <w:autoSpaceDE w:val="0"/>
              <w:autoSpaceDN w:val="0"/>
              <w:adjustRightInd w:val="0"/>
              <w:rPr>
                <w:rFonts w:ascii="Calibri" w:eastAsiaTheme="minorHAnsi" w:hAnsi="Calibri"/>
                <w:sz w:val="22"/>
                <w:szCs w:val="22"/>
              </w:rPr>
            </w:pPr>
            <w:r>
              <w:t>Attachment J</w:t>
            </w:r>
          </w:p>
        </w:tc>
        <w:tc>
          <w:tcPr>
            <w:tcW w:w="1504" w:type="dxa"/>
            <w:tcBorders>
              <w:top w:val="single" w:sz="4" w:space="0" w:color="auto"/>
              <w:left w:val="single" w:sz="4" w:space="0" w:color="auto"/>
              <w:bottom w:val="single" w:sz="4" w:space="0" w:color="auto"/>
              <w:right w:val="single" w:sz="4" w:space="0" w:color="auto"/>
            </w:tcBorders>
            <w:hideMark/>
          </w:tcPr>
          <w:p w14:paraId="163A5805" w14:textId="5F3FE61A" w:rsidR="001C5C13" w:rsidRDefault="001C5C13" w:rsidP="00A96FD7">
            <w:pPr>
              <w:widowControl w:val="0"/>
              <w:autoSpaceDE w:val="0"/>
              <w:autoSpaceDN w:val="0"/>
              <w:adjustRightInd w:val="0"/>
              <w:rPr>
                <w:rFonts w:ascii="Calibri" w:eastAsiaTheme="minorHAnsi" w:hAnsi="Calibri"/>
                <w:sz w:val="22"/>
                <w:szCs w:val="22"/>
              </w:rPr>
            </w:pPr>
            <w:r>
              <w:t>2</w:t>
            </w:r>
            <w:r w:rsidR="00A96FD7">
              <w:t>44</w:t>
            </w:r>
          </w:p>
        </w:tc>
        <w:tc>
          <w:tcPr>
            <w:tcW w:w="1441" w:type="dxa"/>
            <w:tcBorders>
              <w:top w:val="single" w:sz="4" w:space="0" w:color="auto"/>
              <w:left w:val="single" w:sz="4" w:space="0" w:color="auto"/>
              <w:bottom w:val="single" w:sz="4" w:space="0" w:color="auto"/>
              <w:right w:val="single" w:sz="4" w:space="0" w:color="auto"/>
            </w:tcBorders>
            <w:hideMark/>
          </w:tcPr>
          <w:p w14:paraId="574F84FE" w14:textId="77777777"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14:paraId="20ADE190" w14:textId="77777777" w:rsidR="001C5C13" w:rsidRDefault="001C5C13" w:rsidP="001C5C13">
            <w:pPr>
              <w:widowControl w:val="0"/>
              <w:autoSpaceDE w:val="0"/>
              <w:autoSpaceDN w:val="0"/>
              <w:adjustRightInd w:val="0"/>
              <w:rPr>
                <w:rFonts w:ascii="Calibri" w:eastAsiaTheme="minorHAnsi" w:hAnsi="Calibri"/>
                <w:sz w:val="22"/>
                <w:szCs w:val="22"/>
              </w:rPr>
            </w:pPr>
            <w:r>
              <w:t>15/60</w:t>
            </w:r>
          </w:p>
        </w:tc>
        <w:tc>
          <w:tcPr>
            <w:tcW w:w="1344" w:type="dxa"/>
            <w:tcBorders>
              <w:top w:val="single" w:sz="4" w:space="0" w:color="auto"/>
              <w:left w:val="single" w:sz="4" w:space="0" w:color="auto"/>
              <w:bottom w:val="single" w:sz="4" w:space="0" w:color="auto"/>
              <w:right w:val="single" w:sz="4" w:space="0" w:color="auto"/>
            </w:tcBorders>
            <w:hideMark/>
          </w:tcPr>
          <w:p w14:paraId="49B30A42" w14:textId="316B6051" w:rsidR="001C5C13" w:rsidRDefault="001C5C13" w:rsidP="00A96FD7">
            <w:pPr>
              <w:widowControl w:val="0"/>
              <w:autoSpaceDE w:val="0"/>
              <w:autoSpaceDN w:val="0"/>
              <w:adjustRightInd w:val="0"/>
              <w:rPr>
                <w:rFonts w:ascii="Calibri" w:eastAsiaTheme="minorHAnsi" w:hAnsi="Calibri"/>
                <w:sz w:val="22"/>
                <w:szCs w:val="22"/>
              </w:rPr>
            </w:pPr>
            <w:r>
              <w:t>6</w:t>
            </w:r>
            <w:r w:rsidR="00A96FD7">
              <w:t>1</w:t>
            </w:r>
          </w:p>
        </w:tc>
      </w:tr>
      <w:tr w:rsidR="001C5C13" w14:paraId="171C40E0"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54B6A37E" w14:textId="77777777" w:rsidR="001C5C13" w:rsidRDefault="001C5C13" w:rsidP="001C5C13">
            <w:pPr>
              <w:widowControl w:val="0"/>
              <w:autoSpaceDE w:val="0"/>
              <w:autoSpaceDN w:val="0"/>
              <w:adjustRightInd w:val="0"/>
              <w:rPr>
                <w:rFonts w:ascii="Calibri" w:eastAsiaTheme="minorHAnsi" w:hAnsi="Calibri"/>
                <w:sz w:val="22"/>
                <w:szCs w:val="22"/>
              </w:rPr>
            </w:pPr>
            <w:r>
              <w:t>8) Follow-back for evaluations without onsite – employer &amp; employee representative</w:t>
            </w:r>
          </w:p>
          <w:p w14:paraId="7DAB027E" w14:textId="77777777" w:rsidR="001C5C13" w:rsidRDefault="001C5C13" w:rsidP="001C5C13">
            <w:pPr>
              <w:widowControl w:val="0"/>
              <w:autoSpaceDE w:val="0"/>
              <w:autoSpaceDN w:val="0"/>
              <w:adjustRightInd w:val="0"/>
              <w:rPr>
                <w:rFonts w:ascii="Calibri" w:eastAsiaTheme="minorHAnsi" w:hAnsi="Calibri"/>
                <w:sz w:val="22"/>
                <w:szCs w:val="22"/>
              </w:rPr>
            </w:pPr>
            <w:r>
              <w:t>Year 1</w:t>
            </w:r>
          </w:p>
        </w:tc>
        <w:tc>
          <w:tcPr>
            <w:tcW w:w="1890" w:type="dxa"/>
            <w:tcBorders>
              <w:top w:val="single" w:sz="4" w:space="0" w:color="auto"/>
              <w:left w:val="single" w:sz="4" w:space="0" w:color="auto"/>
              <w:bottom w:val="single" w:sz="4" w:space="0" w:color="auto"/>
              <w:right w:val="single" w:sz="4" w:space="0" w:color="auto"/>
            </w:tcBorders>
            <w:hideMark/>
          </w:tcPr>
          <w:p w14:paraId="248BA74B" w14:textId="77777777" w:rsidR="001C5C13" w:rsidRDefault="001C5C13" w:rsidP="001C5C13">
            <w:pPr>
              <w:widowControl w:val="0"/>
              <w:autoSpaceDE w:val="0"/>
              <w:autoSpaceDN w:val="0"/>
              <w:adjustRightInd w:val="0"/>
            </w:pPr>
            <w:r>
              <w:t>Closeout for Health Hazard Evaluation without site visit</w:t>
            </w:r>
          </w:p>
          <w:p w14:paraId="1C9DA41E" w14:textId="77777777" w:rsidR="001C5C13" w:rsidRDefault="001C5C13" w:rsidP="001C5C13">
            <w:pPr>
              <w:widowControl w:val="0"/>
              <w:autoSpaceDE w:val="0"/>
              <w:autoSpaceDN w:val="0"/>
              <w:adjustRightInd w:val="0"/>
              <w:rPr>
                <w:rFonts w:ascii="Calibri" w:eastAsiaTheme="minorHAnsi" w:hAnsi="Calibri"/>
                <w:sz w:val="22"/>
                <w:szCs w:val="22"/>
              </w:rPr>
            </w:pPr>
            <w:r>
              <w:t>Attachment K</w:t>
            </w:r>
          </w:p>
        </w:tc>
        <w:tc>
          <w:tcPr>
            <w:tcW w:w="1504" w:type="dxa"/>
            <w:tcBorders>
              <w:top w:val="single" w:sz="4" w:space="0" w:color="auto"/>
              <w:left w:val="single" w:sz="4" w:space="0" w:color="auto"/>
              <w:bottom w:val="single" w:sz="4" w:space="0" w:color="auto"/>
              <w:right w:val="single" w:sz="4" w:space="0" w:color="auto"/>
            </w:tcBorders>
            <w:hideMark/>
          </w:tcPr>
          <w:p w14:paraId="66ADCB64" w14:textId="7F5ADA57" w:rsidR="001C5C13" w:rsidRDefault="001C5C13" w:rsidP="00A96FD7">
            <w:pPr>
              <w:widowControl w:val="0"/>
              <w:autoSpaceDE w:val="0"/>
              <w:autoSpaceDN w:val="0"/>
              <w:adjustRightInd w:val="0"/>
              <w:rPr>
                <w:rFonts w:ascii="Calibri" w:eastAsiaTheme="minorHAnsi" w:hAnsi="Calibri"/>
                <w:sz w:val="22"/>
                <w:szCs w:val="22"/>
              </w:rPr>
            </w:pPr>
            <w:r>
              <w:t>9</w:t>
            </w:r>
            <w:r w:rsidR="00A96FD7">
              <w:t>8</w:t>
            </w:r>
          </w:p>
        </w:tc>
        <w:tc>
          <w:tcPr>
            <w:tcW w:w="1441" w:type="dxa"/>
            <w:tcBorders>
              <w:top w:val="single" w:sz="4" w:space="0" w:color="auto"/>
              <w:left w:val="single" w:sz="4" w:space="0" w:color="auto"/>
              <w:bottom w:val="single" w:sz="4" w:space="0" w:color="auto"/>
              <w:right w:val="single" w:sz="4" w:space="0" w:color="auto"/>
            </w:tcBorders>
            <w:hideMark/>
          </w:tcPr>
          <w:p w14:paraId="3460B9E2" w14:textId="77777777"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hideMark/>
          </w:tcPr>
          <w:p w14:paraId="7DC7E4EB" w14:textId="77777777" w:rsidR="001C5C13" w:rsidRDefault="001C5C13" w:rsidP="001C5C13">
            <w:pPr>
              <w:widowControl w:val="0"/>
              <w:autoSpaceDE w:val="0"/>
              <w:autoSpaceDN w:val="0"/>
              <w:adjustRightInd w:val="0"/>
              <w:rPr>
                <w:rFonts w:ascii="Calibri" w:eastAsiaTheme="minorHAnsi" w:hAnsi="Calibri"/>
                <w:sz w:val="22"/>
                <w:szCs w:val="22"/>
              </w:rPr>
            </w:pPr>
            <w:r>
              <w:t>10/60</w:t>
            </w:r>
          </w:p>
        </w:tc>
        <w:tc>
          <w:tcPr>
            <w:tcW w:w="1344" w:type="dxa"/>
            <w:tcBorders>
              <w:top w:val="single" w:sz="4" w:space="0" w:color="auto"/>
              <w:left w:val="single" w:sz="4" w:space="0" w:color="auto"/>
              <w:bottom w:val="single" w:sz="4" w:space="0" w:color="auto"/>
              <w:right w:val="single" w:sz="4" w:space="0" w:color="auto"/>
            </w:tcBorders>
            <w:hideMark/>
          </w:tcPr>
          <w:p w14:paraId="78A6190F" w14:textId="118D9F2C" w:rsidR="001C5C13" w:rsidRDefault="001C5C13" w:rsidP="00371157">
            <w:pPr>
              <w:widowControl w:val="0"/>
              <w:autoSpaceDE w:val="0"/>
              <w:autoSpaceDN w:val="0"/>
              <w:adjustRightInd w:val="0"/>
              <w:rPr>
                <w:rFonts w:ascii="Calibri" w:eastAsiaTheme="minorHAnsi" w:hAnsi="Calibri"/>
                <w:sz w:val="22"/>
                <w:szCs w:val="22"/>
              </w:rPr>
            </w:pPr>
            <w:r>
              <w:t>1</w:t>
            </w:r>
            <w:r w:rsidR="004A1DD3">
              <w:t>7</w:t>
            </w:r>
          </w:p>
        </w:tc>
      </w:tr>
      <w:tr w:rsidR="001C5C13" w14:paraId="55A68771" w14:textId="77777777" w:rsidTr="001C5C13">
        <w:tc>
          <w:tcPr>
            <w:tcW w:w="1908" w:type="dxa"/>
            <w:tcBorders>
              <w:top w:val="single" w:sz="4" w:space="0" w:color="auto"/>
              <w:left w:val="single" w:sz="4" w:space="0" w:color="auto"/>
              <w:bottom w:val="single" w:sz="4" w:space="0" w:color="auto"/>
              <w:right w:val="single" w:sz="4" w:space="0" w:color="auto"/>
            </w:tcBorders>
            <w:hideMark/>
          </w:tcPr>
          <w:p w14:paraId="31F17E8F" w14:textId="77777777" w:rsidR="001C5C13" w:rsidRDefault="001C5C13" w:rsidP="001C5C13">
            <w:pPr>
              <w:widowControl w:val="0"/>
              <w:autoSpaceDE w:val="0"/>
              <w:autoSpaceDN w:val="0"/>
              <w:adjustRightInd w:val="0"/>
              <w:rPr>
                <w:rFonts w:ascii="Calibri" w:eastAsiaTheme="minorHAnsi" w:hAnsi="Calibri"/>
                <w:sz w:val="22"/>
                <w:szCs w:val="22"/>
              </w:rPr>
            </w:pPr>
            <w:r>
              <w:t>9) employer &amp; employee representative Year 2</w:t>
            </w:r>
          </w:p>
        </w:tc>
        <w:tc>
          <w:tcPr>
            <w:tcW w:w="1890" w:type="dxa"/>
            <w:tcBorders>
              <w:top w:val="single" w:sz="4" w:space="0" w:color="auto"/>
              <w:left w:val="single" w:sz="4" w:space="0" w:color="auto"/>
              <w:bottom w:val="single" w:sz="4" w:space="0" w:color="auto"/>
              <w:right w:val="single" w:sz="4" w:space="0" w:color="auto"/>
            </w:tcBorders>
          </w:tcPr>
          <w:p w14:paraId="1890FBBC" w14:textId="77777777" w:rsidR="009F246E" w:rsidRDefault="001C5C13" w:rsidP="001C5C13">
            <w:pPr>
              <w:widowControl w:val="0"/>
              <w:autoSpaceDE w:val="0"/>
              <w:autoSpaceDN w:val="0"/>
              <w:adjustRightInd w:val="0"/>
              <w:rPr>
                <w:rFonts w:eastAsiaTheme="minorHAnsi"/>
              </w:rPr>
            </w:pPr>
            <w:r>
              <w:rPr>
                <w:rFonts w:eastAsiaTheme="minorHAnsi"/>
              </w:rPr>
              <w:t>1 Year Later for Health Hazard Evaluation without site visit</w:t>
            </w:r>
          </w:p>
          <w:p w14:paraId="0D160F3A" w14:textId="77777777" w:rsidR="001C5C13" w:rsidRDefault="001C5C13" w:rsidP="001C5C13">
            <w:pPr>
              <w:widowControl w:val="0"/>
              <w:autoSpaceDE w:val="0"/>
              <w:autoSpaceDN w:val="0"/>
              <w:adjustRightInd w:val="0"/>
              <w:rPr>
                <w:rFonts w:ascii="Calibri" w:eastAsiaTheme="minorHAnsi" w:hAnsi="Calibri"/>
                <w:sz w:val="22"/>
                <w:szCs w:val="22"/>
              </w:rPr>
            </w:pPr>
            <w:r>
              <w:t>Attachment L</w:t>
            </w:r>
          </w:p>
        </w:tc>
        <w:tc>
          <w:tcPr>
            <w:tcW w:w="1504" w:type="dxa"/>
            <w:tcBorders>
              <w:top w:val="single" w:sz="4" w:space="0" w:color="auto"/>
              <w:left w:val="single" w:sz="4" w:space="0" w:color="auto"/>
              <w:bottom w:val="single" w:sz="4" w:space="0" w:color="auto"/>
              <w:right w:val="single" w:sz="4" w:space="0" w:color="auto"/>
            </w:tcBorders>
          </w:tcPr>
          <w:p w14:paraId="22CD1490" w14:textId="0689599B" w:rsidR="001C5C13" w:rsidRDefault="001C5C13" w:rsidP="00A96FD7">
            <w:pPr>
              <w:widowControl w:val="0"/>
              <w:autoSpaceDE w:val="0"/>
              <w:autoSpaceDN w:val="0"/>
              <w:adjustRightInd w:val="0"/>
              <w:rPr>
                <w:rFonts w:ascii="Calibri" w:eastAsiaTheme="minorHAnsi" w:hAnsi="Calibri"/>
                <w:sz w:val="22"/>
                <w:szCs w:val="22"/>
              </w:rPr>
            </w:pPr>
            <w:r>
              <w:t>9</w:t>
            </w:r>
            <w:r w:rsidR="00A96FD7">
              <w:t>8</w:t>
            </w:r>
          </w:p>
        </w:tc>
        <w:tc>
          <w:tcPr>
            <w:tcW w:w="1441" w:type="dxa"/>
            <w:tcBorders>
              <w:top w:val="single" w:sz="4" w:space="0" w:color="auto"/>
              <w:left w:val="single" w:sz="4" w:space="0" w:color="auto"/>
              <w:bottom w:val="single" w:sz="4" w:space="0" w:color="auto"/>
              <w:right w:val="single" w:sz="4" w:space="0" w:color="auto"/>
            </w:tcBorders>
          </w:tcPr>
          <w:p w14:paraId="746481BB" w14:textId="77777777" w:rsidR="001C5C13" w:rsidRDefault="001C5C13" w:rsidP="001C5C13">
            <w:pPr>
              <w:widowControl w:val="0"/>
              <w:autoSpaceDE w:val="0"/>
              <w:autoSpaceDN w:val="0"/>
              <w:adjustRightInd w:val="0"/>
              <w:rPr>
                <w:rFonts w:ascii="Calibri" w:eastAsiaTheme="minorHAnsi" w:hAnsi="Calibri"/>
                <w:sz w:val="22"/>
                <w:szCs w:val="22"/>
              </w:rPr>
            </w:pPr>
            <w:r>
              <w:t>1</w:t>
            </w:r>
          </w:p>
        </w:tc>
        <w:tc>
          <w:tcPr>
            <w:tcW w:w="1195" w:type="dxa"/>
            <w:tcBorders>
              <w:top w:val="single" w:sz="4" w:space="0" w:color="auto"/>
              <w:left w:val="single" w:sz="4" w:space="0" w:color="auto"/>
              <w:bottom w:val="single" w:sz="4" w:space="0" w:color="auto"/>
              <w:right w:val="single" w:sz="4" w:space="0" w:color="auto"/>
            </w:tcBorders>
          </w:tcPr>
          <w:p w14:paraId="3ACBDB99" w14:textId="77777777" w:rsidR="001C5C13" w:rsidRDefault="001C5C13" w:rsidP="001C5C13">
            <w:pPr>
              <w:widowControl w:val="0"/>
              <w:autoSpaceDE w:val="0"/>
              <w:autoSpaceDN w:val="0"/>
              <w:adjustRightInd w:val="0"/>
              <w:rPr>
                <w:rFonts w:ascii="Calibri" w:eastAsiaTheme="minorHAnsi" w:hAnsi="Calibri"/>
                <w:sz w:val="22"/>
                <w:szCs w:val="22"/>
              </w:rPr>
            </w:pPr>
            <w:r>
              <w:t>15/60</w:t>
            </w:r>
          </w:p>
        </w:tc>
        <w:tc>
          <w:tcPr>
            <w:tcW w:w="1344" w:type="dxa"/>
            <w:tcBorders>
              <w:top w:val="single" w:sz="4" w:space="0" w:color="auto"/>
              <w:left w:val="single" w:sz="4" w:space="0" w:color="auto"/>
              <w:bottom w:val="single" w:sz="4" w:space="0" w:color="auto"/>
              <w:right w:val="single" w:sz="4" w:space="0" w:color="auto"/>
            </w:tcBorders>
            <w:hideMark/>
          </w:tcPr>
          <w:p w14:paraId="39B4517A" w14:textId="5E3F55E4" w:rsidR="001C5C13" w:rsidRDefault="001C5C13" w:rsidP="00A96FD7">
            <w:pPr>
              <w:widowControl w:val="0"/>
              <w:autoSpaceDE w:val="0"/>
              <w:autoSpaceDN w:val="0"/>
              <w:adjustRightInd w:val="0"/>
              <w:rPr>
                <w:rFonts w:ascii="Calibri" w:eastAsiaTheme="minorHAnsi" w:hAnsi="Calibri"/>
                <w:sz w:val="22"/>
                <w:szCs w:val="22"/>
              </w:rPr>
            </w:pPr>
            <w:r>
              <w:t>2</w:t>
            </w:r>
            <w:r w:rsidR="00A96FD7">
              <w:t>5</w:t>
            </w:r>
          </w:p>
        </w:tc>
      </w:tr>
      <w:tr w:rsidR="001C5C13" w14:paraId="463AAE6D" w14:textId="77777777" w:rsidTr="009669D4">
        <w:tc>
          <w:tcPr>
            <w:tcW w:w="1908" w:type="dxa"/>
            <w:tcBorders>
              <w:top w:val="single" w:sz="4" w:space="0" w:color="auto"/>
              <w:left w:val="single" w:sz="4" w:space="0" w:color="auto"/>
              <w:bottom w:val="single" w:sz="4" w:space="0" w:color="auto"/>
              <w:right w:val="single" w:sz="4" w:space="0" w:color="auto"/>
            </w:tcBorders>
            <w:hideMark/>
          </w:tcPr>
          <w:p w14:paraId="70A6D6E2" w14:textId="084CCBD0" w:rsidR="001C5C13" w:rsidRDefault="001C5C13" w:rsidP="00371157">
            <w:pPr>
              <w:widowControl w:val="0"/>
              <w:autoSpaceDE w:val="0"/>
              <w:autoSpaceDN w:val="0"/>
              <w:adjustRightInd w:val="0"/>
              <w:rPr>
                <w:rFonts w:ascii="Calibri" w:eastAsiaTheme="minorHAnsi" w:hAnsi="Calibri"/>
                <w:sz w:val="22"/>
                <w:szCs w:val="22"/>
              </w:rPr>
            </w:pPr>
            <w:r>
              <w:t>Total Estimate of Annual Burden Hours</w:t>
            </w:r>
          </w:p>
        </w:tc>
        <w:tc>
          <w:tcPr>
            <w:tcW w:w="1890" w:type="dxa"/>
            <w:tcBorders>
              <w:top w:val="single" w:sz="4" w:space="0" w:color="auto"/>
              <w:left w:val="single" w:sz="4" w:space="0" w:color="auto"/>
              <w:bottom w:val="single" w:sz="4" w:space="0" w:color="auto"/>
              <w:right w:val="single" w:sz="4" w:space="0" w:color="auto"/>
            </w:tcBorders>
            <w:shd w:val="pct50" w:color="auto" w:fill="auto"/>
          </w:tcPr>
          <w:p w14:paraId="4B8E9E54"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504" w:type="dxa"/>
            <w:tcBorders>
              <w:top w:val="single" w:sz="4" w:space="0" w:color="auto"/>
              <w:left w:val="single" w:sz="4" w:space="0" w:color="auto"/>
              <w:bottom w:val="single" w:sz="4" w:space="0" w:color="auto"/>
              <w:right w:val="single" w:sz="4" w:space="0" w:color="auto"/>
            </w:tcBorders>
            <w:shd w:val="pct50" w:color="auto" w:fill="auto"/>
          </w:tcPr>
          <w:p w14:paraId="395CCAAB"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441" w:type="dxa"/>
            <w:tcBorders>
              <w:top w:val="single" w:sz="4" w:space="0" w:color="auto"/>
              <w:left w:val="single" w:sz="4" w:space="0" w:color="auto"/>
              <w:bottom w:val="single" w:sz="4" w:space="0" w:color="auto"/>
              <w:right w:val="single" w:sz="4" w:space="0" w:color="auto"/>
            </w:tcBorders>
            <w:shd w:val="pct50" w:color="auto" w:fill="auto"/>
          </w:tcPr>
          <w:p w14:paraId="37D7C6E8"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195"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6BF68261" w14:textId="77777777" w:rsidR="001C5C13" w:rsidRDefault="001C5C13" w:rsidP="001C5C13">
            <w:pPr>
              <w:widowControl w:val="0"/>
              <w:autoSpaceDE w:val="0"/>
              <w:autoSpaceDN w:val="0"/>
              <w:adjustRightInd w:val="0"/>
              <w:rPr>
                <w:rFonts w:ascii="Calibri" w:eastAsiaTheme="minorHAnsi" w:hAnsi="Calibri"/>
                <w:sz w:val="22"/>
                <w:szCs w:val="22"/>
              </w:rPr>
            </w:pPr>
          </w:p>
        </w:tc>
        <w:tc>
          <w:tcPr>
            <w:tcW w:w="1344" w:type="dxa"/>
            <w:tcBorders>
              <w:top w:val="single" w:sz="4" w:space="0" w:color="auto"/>
              <w:left w:val="single" w:sz="4" w:space="0" w:color="auto"/>
              <w:bottom w:val="single" w:sz="4" w:space="0" w:color="auto"/>
              <w:right w:val="single" w:sz="4" w:space="0" w:color="auto"/>
            </w:tcBorders>
            <w:hideMark/>
          </w:tcPr>
          <w:p w14:paraId="6AF4A3BE" w14:textId="45EBB5A2" w:rsidR="001C5C13" w:rsidRDefault="004A1DD3" w:rsidP="000F4454">
            <w:pPr>
              <w:widowControl w:val="0"/>
              <w:autoSpaceDE w:val="0"/>
              <w:autoSpaceDN w:val="0"/>
              <w:adjustRightInd w:val="0"/>
              <w:rPr>
                <w:rFonts w:ascii="Calibri" w:eastAsiaTheme="minorHAnsi" w:hAnsi="Calibri"/>
                <w:sz w:val="22"/>
                <w:szCs w:val="22"/>
              </w:rPr>
            </w:pPr>
            <w:r>
              <w:t>2,959</w:t>
            </w:r>
          </w:p>
        </w:tc>
      </w:tr>
    </w:tbl>
    <w:p w14:paraId="544275EC" w14:textId="77777777" w:rsidR="004C7ECA" w:rsidRDefault="004C7ECA" w:rsidP="000F16C4">
      <w:pPr>
        <w:ind w:left="1080"/>
      </w:pPr>
    </w:p>
    <w:p w14:paraId="14B2AEE9" w14:textId="77777777" w:rsidR="00144234" w:rsidRPr="001C053D" w:rsidRDefault="00144234" w:rsidP="000F16C4">
      <w:pPr>
        <w:ind w:left="720"/>
      </w:pPr>
      <w:bookmarkStart w:id="1" w:name="OLE_LINK1"/>
      <w:bookmarkStart w:id="2" w:name="OLE_LINK2"/>
      <w:r>
        <w:rPr>
          <w:vertAlign w:val="superscript"/>
        </w:rPr>
        <w:t>*</w:t>
      </w:r>
      <w:r>
        <w:t xml:space="preserve"> Includes government, other, and joint requests.</w:t>
      </w:r>
    </w:p>
    <w:p w14:paraId="25ECE1C2" w14:textId="1CA63602" w:rsidR="00144234" w:rsidRDefault="000F4454" w:rsidP="000F16C4">
      <w:pPr>
        <w:ind w:left="720"/>
      </w:pPr>
      <w:r>
        <w:rPr>
          <w:vertAlign w:val="superscript"/>
        </w:rPr>
        <w:t>†</w:t>
      </w:r>
      <w:r w:rsidR="00144234">
        <w:t>As described in Section A.1 above, each interview/questionnaire is specific to a work site</w:t>
      </w:r>
      <w:r w:rsidR="002E74B1">
        <w:t xml:space="preserve"> evaluation</w:t>
      </w:r>
      <w:r w:rsidR="00144234">
        <w:t xml:space="preserve"> and its hazard and health </w:t>
      </w:r>
      <w:r w:rsidR="002E74B1">
        <w:t>concerns</w:t>
      </w:r>
      <w:r w:rsidR="00144234">
        <w:t>.</w:t>
      </w:r>
      <w:r w:rsidR="00902FBB">
        <w:t xml:space="preserve"> </w:t>
      </w:r>
      <w:r w:rsidR="00DE44EC">
        <w:t>No specific interview form</w:t>
      </w:r>
      <w:r w:rsidR="006D62F4">
        <w:t xml:space="preserve"> is </w:t>
      </w:r>
      <w:r w:rsidR="005455B9">
        <w:t>distributed</w:t>
      </w:r>
      <w:r w:rsidR="006D62F4">
        <w:t>, questions pertain to concerns expressed in the HHE request and are asked in an open-ended manner.</w:t>
      </w:r>
      <w:r w:rsidR="00902FBB">
        <w:t xml:space="preserve"> </w:t>
      </w:r>
      <w:r w:rsidR="00FA566D">
        <w:t>A</w:t>
      </w:r>
      <w:r w:rsidR="00D04EF5">
        <w:t>n HHE specific</w:t>
      </w:r>
      <w:r w:rsidR="00FA566D">
        <w:t xml:space="preserve"> sample of what may be asked</w:t>
      </w:r>
      <w:r w:rsidR="00D04EF5">
        <w:t xml:space="preserve"> in the interviews</w:t>
      </w:r>
      <w:r w:rsidR="00FA566D">
        <w:t xml:space="preserve"> is provided.</w:t>
      </w:r>
      <w:r w:rsidR="00902FBB">
        <w:t xml:space="preserve"> </w:t>
      </w:r>
      <w:r w:rsidR="006D62F4">
        <w:t>A</w:t>
      </w:r>
      <w:r w:rsidR="00D04EF5">
        <w:t>n HHE</w:t>
      </w:r>
      <w:r w:rsidR="00FA566D">
        <w:t xml:space="preserve"> specific </w:t>
      </w:r>
      <w:r w:rsidR="006D62F4">
        <w:t xml:space="preserve">questionnaire </w:t>
      </w:r>
      <w:r w:rsidR="00D04EF5">
        <w:t xml:space="preserve">from another HHE is </w:t>
      </w:r>
      <w:r w:rsidR="006D62F4">
        <w:t>provided</w:t>
      </w:r>
      <w:r w:rsidR="00D04EF5">
        <w:t xml:space="preserve"> as an example of the questionnaire employees may complete as a part of the on-site investigation</w:t>
      </w:r>
      <w:r w:rsidR="006D62F4">
        <w:t>.</w:t>
      </w:r>
      <w:bookmarkEnd w:id="1"/>
      <w:bookmarkEnd w:id="2"/>
    </w:p>
    <w:p w14:paraId="0B9DA366" w14:textId="77777777" w:rsidR="00F15B85" w:rsidRDefault="00F15B85" w:rsidP="000F16C4">
      <w:pPr>
        <w:ind w:left="720"/>
      </w:pPr>
    </w:p>
    <w:p w14:paraId="39924451" w14:textId="68DCA2E4" w:rsidR="003027D2" w:rsidRPr="003027D2" w:rsidRDefault="003027D2" w:rsidP="003027D2">
      <w:r w:rsidRPr="003027D2">
        <w:t>Data collection for a Health Hazard Evaluation generally occurs during a respondent’s usual work hours. Assuming an average civilian hourly wage (total compensation) in the US of $ 3</w:t>
      </w:r>
      <w:r w:rsidR="00135529">
        <w:t>4</w:t>
      </w:r>
      <w:r w:rsidRPr="003027D2">
        <w:t>.</w:t>
      </w:r>
      <w:r w:rsidR="005740A2">
        <w:t>15</w:t>
      </w:r>
      <w:r w:rsidRPr="003027D2">
        <w:t xml:space="preserve"> (Wages and salaries for all workers in the private nonfarm economy excluding households and the public sector excluding the Federal government</w:t>
      </w:r>
      <w:r w:rsidR="006120F6">
        <w:t>)</w:t>
      </w:r>
      <w:r w:rsidRPr="003027D2">
        <w:t>, from the Bureau of Labor Statistics, Economic News Release Table 1. Civilian workers, by major occupational and industry group, September 201</w:t>
      </w:r>
      <w:r w:rsidR="005740A2">
        <w:t>6</w:t>
      </w:r>
      <w:r w:rsidRPr="003027D2">
        <w:t xml:space="preserve"> [</w:t>
      </w:r>
      <w:hyperlink r:id="rId12" w:history="1">
        <w:r w:rsidRPr="003027D2">
          <w:rPr>
            <w:rStyle w:val="Hyperlink"/>
          </w:rPr>
          <w:t>http://www.bls.gov/news.release/ecec.t01.htm</w:t>
        </w:r>
      </w:hyperlink>
      <w:r w:rsidRPr="003027D2">
        <w:rPr>
          <w:u w:val="single"/>
        </w:rPr>
        <w:t>; accessed March 201</w:t>
      </w:r>
      <w:r w:rsidR="005740A2">
        <w:rPr>
          <w:u w:val="single"/>
        </w:rPr>
        <w:t>7</w:t>
      </w:r>
      <w:r w:rsidRPr="003027D2">
        <w:rPr>
          <w:u w:val="single"/>
        </w:rPr>
        <w:t>]</w:t>
      </w:r>
      <w:r w:rsidRPr="003027D2">
        <w:t>), the annualized respondent cost is $</w:t>
      </w:r>
      <w:r w:rsidR="005740A2">
        <w:t>10</w:t>
      </w:r>
      <w:r w:rsidR="00200BAC">
        <w:t>1</w:t>
      </w:r>
      <w:r w:rsidR="00A96FD7">
        <w:t>,</w:t>
      </w:r>
      <w:r w:rsidR="0026688D">
        <w:t xml:space="preserve">050 </w:t>
      </w:r>
      <w:r w:rsidR="00F8593D">
        <w:t>($</w:t>
      </w:r>
      <w:r w:rsidR="005740A2">
        <w:t xml:space="preserve">34.15 </w:t>
      </w:r>
      <w:r w:rsidR="00F8593D">
        <w:t xml:space="preserve">x </w:t>
      </w:r>
      <w:r w:rsidR="0026688D">
        <w:t>2</w:t>
      </w:r>
      <w:r w:rsidR="001D19A7">
        <w:t>,</w:t>
      </w:r>
      <w:r w:rsidR="0026688D">
        <w:t xml:space="preserve">959 </w:t>
      </w:r>
      <w:r w:rsidR="00F8593D">
        <w:t>burden hours)</w:t>
      </w:r>
      <w:r w:rsidRPr="003027D2">
        <w:t>.</w:t>
      </w:r>
    </w:p>
    <w:p w14:paraId="3B539D1C" w14:textId="77777777" w:rsidR="003027D2" w:rsidRDefault="003027D2" w:rsidP="00DC7995"/>
    <w:p w14:paraId="11BF122B" w14:textId="77777777" w:rsidR="00144234" w:rsidRDefault="00144234" w:rsidP="0005028A">
      <w:pPr>
        <w:ind w:left="1080" w:hanging="360"/>
      </w:pPr>
    </w:p>
    <w:p w14:paraId="6A28AAAC" w14:textId="77777777" w:rsidR="00674DA1" w:rsidRDefault="006C6E2B" w:rsidP="00450019">
      <w:pPr>
        <w:ind w:left="720"/>
        <w:jc w:val="center"/>
        <w:rPr>
          <w:b/>
        </w:rPr>
      </w:pPr>
      <w:r w:rsidRPr="00F22961">
        <w:rPr>
          <w:b/>
        </w:rPr>
        <w:t>Table 12B</w:t>
      </w:r>
    </w:p>
    <w:p w14:paraId="35288B63" w14:textId="77777777" w:rsidR="00674DA1" w:rsidRDefault="00674DA1" w:rsidP="00450019">
      <w:pPr>
        <w:ind w:left="720"/>
        <w:jc w:val="center"/>
        <w:rPr>
          <w:b/>
        </w:rPr>
      </w:pPr>
    </w:p>
    <w:p w14:paraId="6F7814F3" w14:textId="77777777" w:rsidR="006C6E2B" w:rsidRDefault="006C6E2B" w:rsidP="00450019">
      <w:pPr>
        <w:ind w:left="720"/>
        <w:jc w:val="center"/>
        <w:rPr>
          <w:b/>
        </w:rPr>
      </w:pPr>
      <w:r w:rsidRPr="00F22961">
        <w:rPr>
          <w:b/>
        </w:rPr>
        <w:t xml:space="preserve">Estimated Annualized Burden </w:t>
      </w:r>
      <w:r w:rsidR="008A51AA" w:rsidRPr="00F22961">
        <w:rPr>
          <w:b/>
        </w:rPr>
        <w:t>Costs</w:t>
      </w:r>
    </w:p>
    <w:p w14:paraId="6CC8B31F" w14:textId="77777777" w:rsidR="00674DA1" w:rsidRPr="00F22961" w:rsidRDefault="00674DA1" w:rsidP="00450019">
      <w:pPr>
        <w:ind w:left="720"/>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6C6E2B" w:rsidRPr="00F22961" w14:paraId="2124A61C" w14:textId="77777777" w:rsidTr="00BC2EBD">
        <w:tc>
          <w:tcPr>
            <w:tcW w:w="2214" w:type="dxa"/>
          </w:tcPr>
          <w:p w14:paraId="6A8CAE69" w14:textId="77777777" w:rsidR="006C6E2B" w:rsidRDefault="006C6E2B" w:rsidP="000F16C4">
            <w:pPr>
              <w:widowControl w:val="0"/>
              <w:autoSpaceDE w:val="0"/>
              <w:autoSpaceDN w:val="0"/>
              <w:adjustRightInd w:val="0"/>
              <w:rPr>
                <w:b/>
              </w:rPr>
            </w:pPr>
            <w:r w:rsidRPr="00F22961">
              <w:rPr>
                <w:b/>
              </w:rPr>
              <w:t>Type of Respondent</w:t>
            </w:r>
          </w:p>
          <w:p w14:paraId="320BDF9E" w14:textId="77777777" w:rsidR="003D7A9F" w:rsidRPr="00670294" w:rsidRDefault="003D7A9F" w:rsidP="000F16C4">
            <w:pPr>
              <w:widowControl w:val="0"/>
              <w:autoSpaceDE w:val="0"/>
              <w:autoSpaceDN w:val="0"/>
              <w:adjustRightInd w:val="0"/>
            </w:pPr>
          </w:p>
        </w:tc>
        <w:tc>
          <w:tcPr>
            <w:tcW w:w="2214" w:type="dxa"/>
          </w:tcPr>
          <w:p w14:paraId="0C8E7257" w14:textId="77777777" w:rsidR="006C6E2B" w:rsidRPr="00F22961" w:rsidRDefault="006C6E2B" w:rsidP="000F16C4">
            <w:pPr>
              <w:widowControl w:val="0"/>
              <w:autoSpaceDE w:val="0"/>
              <w:autoSpaceDN w:val="0"/>
              <w:adjustRightInd w:val="0"/>
              <w:rPr>
                <w:b/>
              </w:rPr>
            </w:pPr>
            <w:r w:rsidRPr="00F22961">
              <w:rPr>
                <w:b/>
              </w:rPr>
              <w:t>Total Burden Hours</w:t>
            </w:r>
          </w:p>
        </w:tc>
        <w:tc>
          <w:tcPr>
            <w:tcW w:w="2214" w:type="dxa"/>
          </w:tcPr>
          <w:p w14:paraId="4FC52116" w14:textId="77777777" w:rsidR="006C6E2B" w:rsidRPr="00F22961" w:rsidRDefault="006C6E2B" w:rsidP="000F16C4">
            <w:pPr>
              <w:widowControl w:val="0"/>
              <w:autoSpaceDE w:val="0"/>
              <w:autoSpaceDN w:val="0"/>
              <w:adjustRightInd w:val="0"/>
              <w:rPr>
                <w:b/>
              </w:rPr>
            </w:pPr>
            <w:r w:rsidRPr="00F22961">
              <w:rPr>
                <w:b/>
              </w:rPr>
              <w:t>Hourly Wage Rate</w:t>
            </w:r>
          </w:p>
        </w:tc>
        <w:tc>
          <w:tcPr>
            <w:tcW w:w="2214" w:type="dxa"/>
          </w:tcPr>
          <w:p w14:paraId="58932CA5" w14:textId="77777777" w:rsidR="006C6E2B" w:rsidRPr="00F22961" w:rsidRDefault="006C6E2B" w:rsidP="000F16C4">
            <w:pPr>
              <w:widowControl w:val="0"/>
              <w:autoSpaceDE w:val="0"/>
              <w:autoSpaceDN w:val="0"/>
              <w:adjustRightInd w:val="0"/>
              <w:rPr>
                <w:b/>
              </w:rPr>
            </w:pPr>
            <w:r w:rsidRPr="00F22961">
              <w:rPr>
                <w:b/>
              </w:rPr>
              <w:t>Total Respondent Costs</w:t>
            </w:r>
          </w:p>
        </w:tc>
      </w:tr>
      <w:tr w:rsidR="00B94A23" w14:paraId="0106BC36" w14:textId="77777777" w:rsidTr="00BC2EBD">
        <w:tc>
          <w:tcPr>
            <w:tcW w:w="2214" w:type="dxa"/>
          </w:tcPr>
          <w:p w14:paraId="160556CB" w14:textId="77777777" w:rsidR="00B94A23" w:rsidRPr="00BC2EBD" w:rsidRDefault="00B94A23" w:rsidP="005455B9">
            <w:pPr>
              <w:widowControl w:val="0"/>
              <w:autoSpaceDE w:val="0"/>
              <w:autoSpaceDN w:val="0"/>
              <w:adjustRightInd w:val="0"/>
              <w:rPr>
                <w:sz w:val="22"/>
                <w:szCs w:val="22"/>
                <w:vertAlign w:val="superscript"/>
              </w:rPr>
            </w:pPr>
            <w:r w:rsidRPr="00BC2EBD">
              <w:rPr>
                <w:sz w:val="22"/>
                <w:szCs w:val="22"/>
              </w:rPr>
              <w:t>Employees</w:t>
            </w:r>
            <w:r w:rsidR="005455B9">
              <w:rPr>
                <w:sz w:val="22"/>
                <w:szCs w:val="22"/>
              </w:rPr>
              <w:t>/employee</w:t>
            </w:r>
            <w:r w:rsidRPr="00BC2EBD">
              <w:rPr>
                <w:sz w:val="22"/>
                <w:szCs w:val="22"/>
              </w:rPr>
              <w:t xml:space="preserve"> </w:t>
            </w:r>
            <w:r w:rsidR="005455B9">
              <w:rPr>
                <w:sz w:val="22"/>
                <w:szCs w:val="22"/>
              </w:rPr>
              <w:t>r</w:t>
            </w:r>
            <w:r w:rsidRPr="00BC2EBD">
              <w:rPr>
                <w:sz w:val="22"/>
                <w:szCs w:val="22"/>
              </w:rPr>
              <w:t>epresentatives</w:t>
            </w:r>
            <w:r w:rsidR="005455B9">
              <w:rPr>
                <w:sz w:val="22"/>
                <w:szCs w:val="22"/>
              </w:rPr>
              <w:t>/</w:t>
            </w:r>
            <w:r w:rsidRPr="00BC2EBD">
              <w:rPr>
                <w:sz w:val="22"/>
                <w:szCs w:val="22"/>
              </w:rPr>
              <w:t xml:space="preserve"> </w:t>
            </w:r>
            <w:r w:rsidR="005455B9">
              <w:rPr>
                <w:sz w:val="22"/>
                <w:szCs w:val="22"/>
              </w:rPr>
              <w:t>e</w:t>
            </w:r>
            <w:r w:rsidRPr="00BC2EBD">
              <w:rPr>
                <w:sz w:val="22"/>
                <w:szCs w:val="22"/>
              </w:rPr>
              <w:t>mployers</w:t>
            </w:r>
          </w:p>
        </w:tc>
        <w:tc>
          <w:tcPr>
            <w:tcW w:w="2214" w:type="dxa"/>
          </w:tcPr>
          <w:p w14:paraId="65DF5C52" w14:textId="7362021B" w:rsidR="00B94A23" w:rsidRDefault="00A96FD7" w:rsidP="000F16C4">
            <w:pPr>
              <w:widowControl w:val="0"/>
              <w:autoSpaceDE w:val="0"/>
              <w:autoSpaceDN w:val="0"/>
              <w:adjustRightInd w:val="0"/>
            </w:pPr>
            <w:r>
              <w:t>5</w:t>
            </w:r>
            <w:r w:rsidR="00554EED">
              <w:t>8</w:t>
            </w:r>
          </w:p>
          <w:p w14:paraId="44E5A6EE" w14:textId="77777777" w:rsidR="00542BE2" w:rsidRDefault="00542BE2" w:rsidP="000F16C4">
            <w:pPr>
              <w:widowControl w:val="0"/>
              <w:autoSpaceDE w:val="0"/>
              <w:autoSpaceDN w:val="0"/>
              <w:adjustRightInd w:val="0"/>
            </w:pPr>
          </w:p>
          <w:p w14:paraId="3941DCF1" w14:textId="77777777" w:rsidR="00B94A23" w:rsidRDefault="00B94A23" w:rsidP="000F16C4">
            <w:pPr>
              <w:widowControl w:val="0"/>
              <w:autoSpaceDE w:val="0"/>
              <w:autoSpaceDN w:val="0"/>
              <w:adjustRightInd w:val="0"/>
            </w:pPr>
          </w:p>
        </w:tc>
        <w:tc>
          <w:tcPr>
            <w:tcW w:w="2214" w:type="dxa"/>
          </w:tcPr>
          <w:p w14:paraId="2EC5D348" w14:textId="590E0177" w:rsidR="00B94A23" w:rsidRDefault="00B94A23" w:rsidP="000F16C4">
            <w:pPr>
              <w:widowControl w:val="0"/>
              <w:autoSpaceDE w:val="0"/>
              <w:autoSpaceDN w:val="0"/>
              <w:adjustRightInd w:val="0"/>
            </w:pPr>
            <w:r>
              <w:t>$</w:t>
            </w:r>
            <w:r w:rsidR="00542BE2">
              <w:t>3</w:t>
            </w:r>
            <w:r w:rsidR="005740A2">
              <w:t>4.15</w:t>
            </w:r>
          </w:p>
          <w:p w14:paraId="764740CD" w14:textId="77777777" w:rsidR="00450019" w:rsidRDefault="00450019" w:rsidP="000F16C4">
            <w:pPr>
              <w:widowControl w:val="0"/>
              <w:autoSpaceDE w:val="0"/>
              <w:autoSpaceDN w:val="0"/>
              <w:adjustRightInd w:val="0"/>
            </w:pPr>
          </w:p>
          <w:p w14:paraId="268DFBE6" w14:textId="77777777" w:rsidR="00B94A23" w:rsidRDefault="00B94A23" w:rsidP="008D636A">
            <w:pPr>
              <w:widowControl w:val="0"/>
              <w:autoSpaceDE w:val="0"/>
              <w:autoSpaceDN w:val="0"/>
              <w:adjustRightInd w:val="0"/>
            </w:pPr>
          </w:p>
        </w:tc>
        <w:tc>
          <w:tcPr>
            <w:tcW w:w="2214" w:type="dxa"/>
          </w:tcPr>
          <w:p w14:paraId="3005711C" w14:textId="11F7BAA0" w:rsidR="00B94A23" w:rsidRDefault="00B94A23" w:rsidP="000F16C4">
            <w:pPr>
              <w:widowControl w:val="0"/>
              <w:autoSpaceDE w:val="0"/>
              <w:autoSpaceDN w:val="0"/>
              <w:adjustRightInd w:val="0"/>
            </w:pPr>
            <w:r>
              <w:t>$</w:t>
            </w:r>
            <w:r w:rsidR="00554EED">
              <w:t>1981</w:t>
            </w:r>
          </w:p>
          <w:p w14:paraId="5BD10EBF" w14:textId="77777777" w:rsidR="00450019" w:rsidRDefault="00450019" w:rsidP="000F16C4">
            <w:pPr>
              <w:widowControl w:val="0"/>
              <w:autoSpaceDE w:val="0"/>
              <w:autoSpaceDN w:val="0"/>
              <w:adjustRightInd w:val="0"/>
            </w:pPr>
          </w:p>
          <w:p w14:paraId="7E2F8B7A" w14:textId="77777777" w:rsidR="00B94A23" w:rsidRDefault="00B94A23" w:rsidP="008D636A">
            <w:pPr>
              <w:widowControl w:val="0"/>
              <w:autoSpaceDE w:val="0"/>
              <w:autoSpaceDN w:val="0"/>
              <w:adjustRightInd w:val="0"/>
            </w:pPr>
          </w:p>
        </w:tc>
      </w:tr>
      <w:tr w:rsidR="00B94A23" w14:paraId="10475081" w14:textId="77777777" w:rsidTr="00BC2EBD">
        <w:tc>
          <w:tcPr>
            <w:tcW w:w="2214" w:type="dxa"/>
          </w:tcPr>
          <w:p w14:paraId="7A6F24E0" w14:textId="77777777" w:rsidR="00B94A23" w:rsidRPr="00BC2EBD" w:rsidRDefault="00B94A23" w:rsidP="003D7A9F">
            <w:pPr>
              <w:widowControl w:val="0"/>
              <w:autoSpaceDE w:val="0"/>
              <w:autoSpaceDN w:val="0"/>
              <w:adjustRightInd w:val="0"/>
              <w:rPr>
                <w:sz w:val="22"/>
                <w:szCs w:val="22"/>
              </w:rPr>
            </w:pPr>
            <w:r w:rsidRPr="00BC2EBD">
              <w:rPr>
                <w:sz w:val="22"/>
                <w:szCs w:val="22"/>
              </w:rPr>
              <w:t>Employees (interview)</w:t>
            </w:r>
          </w:p>
        </w:tc>
        <w:tc>
          <w:tcPr>
            <w:tcW w:w="2214" w:type="dxa"/>
          </w:tcPr>
          <w:p w14:paraId="14E6AD99" w14:textId="2202ECEB" w:rsidR="00B94A23" w:rsidRDefault="00542BE2" w:rsidP="00A96FD7">
            <w:pPr>
              <w:widowControl w:val="0"/>
              <w:autoSpaceDE w:val="0"/>
              <w:autoSpaceDN w:val="0"/>
              <w:adjustRightInd w:val="0"/>
            </w:pPr>
            <w:r>
              <w:t>6</w:t>
            </w:r>
            <w:r w:rsidR="00A96FD7">
              <w:t>45</w:t>
            </w:r>
          </w:p>
        </w:tc>
        <w:tc>
          <w:tcPr>
            <w:tcW w:w="2214" w:type="dxa"/>
          </w:tcPr>
          <w:p w14:paraId="709E8E23" w14:textId="0B42A8B4" w:rsidR="00B94A23" w:rsidRDefault="00DF0DF3" w:rsidP="005740A2">
            <w:pPr>
              <w:widowControl w:val="0"/>
              <w:autoSpaceDE w:val="0"/>
              <w:autoSpaceDN w:val="0"/>
              <w:adjustRightInd w:val="0"/>
            </w:pPr>
            <w:r>
              <w:t>$</w:t>
            </w:r>
            <w:r w:rsidR="00542BE2">
              <w:t>3</w:t>
            </w:r>
            <w:r w:rsidR="005740A2">
              <w:t>4.15</w:t>
            </w:r>
          </w:p>
        </w:tc>
        <w:tc>
          <w:tcPr>
            <w:tcW w:w="2214" w:type="dxa"/>
          </w:tcPr>
          <w:p w14:paraId="0DBFC077" w14:textId="54A9B531" w:rsidR="00EB6D8B" w:rsidRDefault="00D62CC0" w:rsidP="00A96FD7">
            <w:pPr>
              <w:widowControl w:val="0"/>
              <w:autoSpaceDE w:val="0"/>
              <w:autoSpaceDN w:val="0"/>
              <w:adjustRightInd w:val="0"/>
            </w:pPr>
            <w:r>
              <w:t>$</w:t>
            </w:r>
            <w:r w:rsidR="00EB6D8B">
              <w:t>2</w:t>
            </w:r>
            <w:r w:rsidR="00A96FD7">
              <w:t>2,027</w:t>
            </w:r>
          </w:p>
        </w:tc>
      </w:tr>
      <w:tr w:rsidR="00B94A23" w14:paraId="12505ED8" w14:textId="77777777" w:rsidTr="00BC2EBD">
        <w:tc>
          <w:tcPr>
            <w:tcW w:w="2214" w:type="dxa"/>
          </w:tcPr>
          <w:p w14:paraId="1AE80BFA" w14:textId="77777777" w:rsidR="00B94A23" w:rsidRPr="00BC2EBD" w:rsidRDefault="00B94A23" w:rsidP="003D7A9F">
            <w:pPr>
              <w:widowControl w:val="0"/>
              <w:autoSpaceDE w:val="0"/>
              <w:autoSpaceDN w:val="0"/>
              <w:adjustRightInd w:val="0"/>
              <w:rPr>
                <w:sz w:val="22"/>
                <w:szCs w:val="22"/>
              </w:rPr>
            </w:pPr>
            <w:r w:rsidRPr="00BC2EBD">
              <w:rPr>
                <w:sz w:val="22"/>
                <w:szCs w:val="22"/>
              </w:rPr>
              <w:t>Employees (questionnaire)</w:t>
            </w:r>
          </w:p>
        </w:tc>
        <w:tc>
          <w:tcPr>
            <w:tcW w:w="2214" w:type="dxa"/>
          </w:tcPr>
          <w:p w14:paraId="5320489D" w14:textId="0D98F8CA" w:rsidR="00B94A23" w:rsidRDefault="00542BE2" w:rsidP="00A96FD7">
            <w:pPr>
              <w:widowControl w:val="0"/>
              <w:autoSpaceDE w:val="0"/>
              <w:autoSpaceDN w:val="0"/>
              <w:adjustRightInd w:val="0"/>
            </w:pPr>
            <w:r>
              <w:t>1</w:t>
            </w:r>
            <w:r w:rsidR="00A96FD7">
              <w:t>850</w:t>
            </w:r>
          </w:p>
        </w:tc>
        <w:tc>
          <w:tcPr>
            <w:tcW w:w="2214" w:type="dxa"/>
          </w:tcPr>
          <w:p w14:paraId="188EA43A" w14:textId="7CF80EAC" w:rsidR="00B94A23" w:rsidRDefault="00DF0DF3" w:rsidP="005740A2">
            <w:pPr>
              <w:widowControl w:val="0"/>
              <w:autoSpaceDE w:val="0"/>
              <w:autoSpaceDN w:val="0"/>
              <w:adjustRightInd w:val="0"/>
            </w:pPr>
            <w:r>
              <w:t>$</w:t>
            </w:r>
            <w:r w:rsidR="00542BE2">
              <w:t>3</w:t>
            </w:r>
            <w:r w:rsidR="005740A2">
              <w:t>4.15</w:t>
            </w:r>
          </w:p>
        </w:tc>
        <w:tc>
          <w:tcPr>
            <w:tcW w:w="2214" w:type="dxa"/>
          </w:tcPr>
          <w:p w14:paraId="333EFBD8" w14:textId="69D75EFE" w:rsidR="00B94A23" w:rsidRDefault="00D62CC0" w:rsidP="00F9104F">
            <w:pPr>
              <w:widowControl w:val="0"/>
              <w:autoSpaceDE w:val="0"/>
              <w:autoSpaceDN w:val="0"/>
              <w:adjustRightInd w:val="0"/>
            </w:pPr>
            <w:r>
              <w:t>$</w:t>
            </w:r>
            <w:r w:rsidR="00F9104F">
              <w:t>63,178</w:t>
            </w:r>
          </w:p>
        </w:tc>
      </w:tr>
      <w:tr w:rsidR="0060507A" w14:paraId="157F7D96" w14:textId="77777777" w:rsidTr="00BC2EBD">
        <w:tc>
          <w:tcPr>
            <w:tcW w:w="2214" w:type="dxa"/>
          </w:tcPr>
          <w:p w14:paraId="305341FC" w14:textId="77777777" w:rsidR="0060507A" w:rsidRDefault="0060507A" w:rsidP="000F16C4">
            <w:pPr>
              <w:widowControl w:val="0"/>
              <w:autoSpaceDE w:val="0"/>
              <w:autoSpaceDN w:val="0"/>
              <w:adjustRightInd w:val="0"/>
              <w:rPr>
                <w:sz w:val="22"/>
                <w:szCs w:val="22"/>
              </w:rPr>
            </w:pPr>
            <w:r>
              <w:rPr>
                <w:sz w:val="22"/>
                <w:szCs w:val="22"/>
              </w:rPr>
              <w:t>Employees</w:t>
            </w:r>
          </w:p>
          <w:p w14:paraId="05173F43" w14:textId="77777777" w:rsidR="0060507A" w:rsidRPr="00BC2EBD" w:rsidRDefault="0060507A" w:rsidP="000F16C4">
            <w:pPr>
              <w:widowControl w:val="0"/>
              <w:autoSpaceDE w:val="0"/>
              <w:autoSpaceDN w:val="0"/>
              <w:adjustRightInd w:val="0"/>
              <w:rPr>
                <w:sz w:val="22"/>
                <w:szCs w:val="22"/>
              </w:rPr>
            </w:pPr>
            <w:r>
              <w:rPr>
                <w:sz w:val="22"/>
                <w:szCs w:val="22"/>
              </w:rPr>
              <w:t>(contact postcard)</w:t>
            </w:r>
          </w:p>
        </w:tc>
        <w:tc>
          <w:tcPr>
            <w:tcW w:w="2214" w:type="dxa"/>
          </w:tcPr>
          <w:p w14:paraId="67E2913A" w14:textId="066434E8" w:rsidR="0060507A" w:rsidRDefault="0060507A" w:rsidP="00F9104F">
            <w:pPr>
              <w:widowControl w:val="0"/>
              <w:autoSpaceDE w:val="0"/>
              <w:autoSpaceDN w:val="0"/>
              <w:adjustRightInd w:val="0"/>
            </w:pPr>
            <w:r>
              <w:t>1</w:t>
            </w:r>
            <w:r w:rsidR="00542BE2">
              <w:t>8</w:t>
            </w:r>
            <w:r w:rsidR="00F9104F">
              <w:t>0</w:t>
            </w:r>
          </w:p>
        </w:tc>
        <w:tc>
          <w:tcPr>
            <w:tcW w:w="2214" w:type="dxa"/>
          </w:tcPr>
          <w:p w14:paraId="79EA5E7F" w14:textId="51FAB4F5" w:rsidR="0060507A" w:rsidRDefault="00CF1199" w:rsidP="005740A2">
            <w:pPr>
              <w:widowControl w:val="0"/>
              <w:autoSpaceDE w:val="0"/>
              <w:autoSpaceDN w:val="0"/>
              <w:adjustRightInd w:val="0"/>
            </w:pPr>
            <w:r>
              <w:t>$3</w:t>
            </w:r>
            <w:r w:rsidR="005740A2">
              <w:t>4.15</w:t>
            </w:r>
          </w:p>
        </w:tc>
        <w:tc>
          <w:tcPr>
            <w:tcW w:w="2214" w:type="dxa"/>
          </w:tcPr>
          <w:p w14:paraId="2F3814B7" w14:textId="1B1E338E" w:rsidR="0060507A" w:rsidRDefault="00CF1199" w:rsidP="00F9104F">
            <w:pPr>
              <w:widowControl w:val="0"/>
              <w:autoSpaceDE w:val="0"/>
              <w:autoSpaceDN w:val="0"/>
              <w:adjustRightInd w:val="0"/>
            </w:pPr>
            <w:r>
              <w:t>$</w:t>
            </w:r>
            <w:r w:rsidR="00F9104F">
              <w:t>6,147</w:t>
            </w:r>
          </w:p>
        </w:tc>
      </w:tr>
      <w:tr w:rsidR="00B94A23" w14:paraId="3799AE09" w14:textId="77777777" w:rsidTr="00BC2EBD">
        <w:tc>
          <w:tcPr>
            <w:tcW w:w="2214" w:type="dxa"/>
          </w:tcPr>
          <w:p w14:paraId="57019372" w14:textId="77777777" w:rsidR="00B94A23" w:rsidRPr="00BC2EBD" w:rsidRDefault="00117D9B" w:rsidP="000F16C4">
            <w:pPr>
              <w:widowControl w:val="0"/>
              <w:autoSpaceDE w:val="0"/>
              <w:autoSpaceDN w:val="0"/>
              <w:adjustRightInd w:val="0"/>
              <w:rPr>
                <w:sz w:val="22"/>
                <w:szCs w:val="22"/>
              </w:rPr>
            </w:pPr>
            <w:r w:rsidRPr="00BC2EBD">
              <w:rPr>
                <w:sz w:val="22"/>
                <w:szCs w:val="22"/>
              </w:rPr>
              <w:t>Follow-back</w:t>
            </w:r>
            <w:r w:rsidR="00B94A23" w:rsidRPr="00BC2EBD">
              <w:rPr>
                <w:sz w:val="22"/>
                <w:szCs w:val="22"/>
              </w:rPr>
              <w:t xml:space="preserve"> for onsite evaluations Year 1</w:t>
            </w:r>
          </w:p>
          <w:p w14:paraId="72825FD7" w14:textId="77777777" w:rsidR="00B94A23" w:rsidRPr="00BC2EBD" w:rsidRDefault="00B94A23" w:rsidP="000F16C4">
            <w:pPr>
              <w:widowControl w:val="0"/>
              <w:autoSpaceDE w:val="0"/>
              <w:autoSpaceDN w:val="0"/>
              <w:adjustRightInd w:val="0"/>
              <w:rPr>
                <w:sz w:val="22"/>
                <w:szCs w:val="22"/>
              </w:rPr>
            </w:pPr>
            <w:r w:rsidRPr="00BC2EBD">
              <w:rPr>
                <w:sz w:val="22"/>
                <w:szCs w:val="22"/>
              </w:rPr>
              <w:t>Year 1</w:t>
            </w:r>
          </w:p>
          <w:p w14:paraId="0EA3BCBC" w14:textId="77777777" w:rsidR="00B94A23" w:rsidRPr="00BC2EBD" w:rsidRDefault="00B94A23" w:rsidP="000F16C4">
            <w:pPr>
              <w:widowControl w:val="0"/>
              <w:autoSpaceDE w:val="0"/>
              <w:autoSpaceDN w:val="0"/>
              <w:adjustRightInd w:val="0"/>
              <w:rPr>
                <w:sz w:val="22"/>
                <w:szCs w:val="22"/>
              </w:rPr>
            </w:pPr>
            <w:r w:rsidRPr="00BC2EBD">
              <w:rPr>
                <w:sz w:val="22"/>
                <w:szCs w:val="22"/>
              </w:rPr>
              <w:t xml:space="preserve">Year 2 </w:t>
            </w:r>
          </w:p>
        </w:tc>
        <w:tc>
          <w:tcPr>
            <w:tcW w:w="2214" w:type="dxa"/>
          </w:tcPr>
          <w:p w14:paraId="3A8C3510" w14:textId="77777777" w:rsidR="00B94A23" w:rsidRDefault="00B94A23" w:rsidP="000F16C4">
            <w:pPr>
              <w:widowControl w:val="0"/>
              <w:autoSpaceDE w:val="0"/>
              <w:autoSpaceDN w:val="0"/>
              <w:adjustRightInd w:val="0"/>
            </w:pPr>
          </w:p>
          <w:p w14:paraId="2FDC8C91" w14:textId="77777777" w:rsidR="00DF0DF3" w:rsidRDefault="00DF0DF3" w:rsidP="000F16C4">
            <w:pPr>
              <w:widowControl w:val="0"/>
              <w:autoSpaceDE w:val="0"/>
              <w:autoSpaceDN w:val="0"/>
              <w:adjustRightInd w:val="0"/>
            </w:pPr>
          </w:p>
          <w:p w14:paraId="3B0963C7" w14:textId="0800A098" w:rsidR="00DF0DF3" w:rsidRDefault="00782AB3" w:rsidP="000F16C4">
            <w:pPr>
              <w:widowControl w:val="0"/>
              <w:autoSpaceDE w:val="0"/>
              <w:autoSpaceDN w:val="0"/>
              <w:adjustRightInd w:val="0"/>
            </w:pPr>
            <w:r>
              <w:t>4</w:t>
            </w:r>
            <w:r w:rsidR="00200BAC">
              <w:t>1</w:t>
            </w:r>
          </w:p>
          <w:p w14:paraId="72459F9C" w14:textId="5A0F2CF9" w:rsidR="005E12FB" w:rsidRDefault="00200BAC" w:rsidP="000F16C4">
            <w:pPr>
              <w:widowControl w:val="0"/>
              <w:autoSpaceDE w:val="0"/>
              <w:autoSpaceDN w:val="0"/>
              <w:adjustRightInd w:val="0"/>
            </w:pPr>
            <w:r>
              <w:t>82</w:t>
            </w:r>
          </w:p>
          <w:p w14:paraId="74090719" w14:textId="6BAF1C07" w:rsidR="005E12FB" w:rsidRDefault="00542BE2" w:rsidP="00F9104F">
            <w:pPr>
              <w:widowControl w:val="0"/>
              <w:autoSpaceDE w:val="0"/>
              <w:autoSpaceDN w:val="0"/>
              <w:adjustRightInd w:val="0"/>
            </w:pPr>
            <w:r>
              <w:t>6</w:t>
            </w:r>
            <w:r w:rsidR="00F9104F">
              <w:t>1</w:t>
            </w:r>
          </w:p>
        </w:tc>
        <w:tc>
          <w:tcPr>
            <w:tcW w:w="2214" w:type="dxa"/>
          </w:tcPr>
          <w:p w14:paraId="19624BC9" w14:textId="77777777" w:rsidR="00B94A23" w:rsidRDefault="00B94A23" w:rsidP="000F16C4">
            <w:pPr>
              <w:widowControl w:val="0"/>
              <w:autoSpaceDE w:val="0"/>
              <w:autoSpaceDN w:val="0"/>
              <w:adjustRightInd w:val="0"/>
            </w:pPr>
          </w:p>
          <w:p w14:paraId="6B0221AD" w14:textId="77777777" w:rsidR="00DF0DF3" w:rsidRDefault="00DF0DF3" w:rsidP="000F16C4">
            <w:pPr>
              <w:widowControl w:val="0"/>
              <w:autoSpaceDE w:val="0"/>
              <w:autoSpaceDN w:val="0"/>
              <w:adjustRightInd w:val="0"/>
            </w:pPr>
          </w:p>
          <w:p w14:paraId="4BD2EAE0" w14:textId="391B986A" w:rsidR="00DF0DF3" w:rsidRDefault="00DF0DF3" w:rsidP="000F16C4">
            <w:pPr>
              <w:widowControl w:val="0"/>
              <w:autoSpaceDE w:val="0"/>
              <w:autoSpaceDN w:val="0"/>
              <w:adjustRightInd w:val="0"/>
            </w:pPr>
            <w:r>
              <w:t>$</w:t>
            </w:r>
            <w:r w:rsidR="00542BE2">
              <w:t>3</w:t>
            </w:r>
            <w:r w:rsidR="005740A2">
              <w:t>4.15</w:t>
            </w:r>
          </w:p>
          <w:p w14:paraId="7589651E" w14:textId="53CE091A" w:rsidR="00B4360E" w:rsidRDefault="00DF0DF3" w:rsidP="000F16C4">
            <w:pPr>
              <w:widowControl w:val="0"/>
              <w:autoSpaceDE w:val="0"/>
              <w:autoSpaceDN w:val="0"/>
              <w:adjustRightInd w:val="0"/>
            </w:pPr>
            <w:r>
              <w:t>$</w:t>
            </w:r>
            <w:r w:rsidR="00542BE2">
              <w:t>3</w:t>
            </w:r>
            <w:r w:rsidR="005740A2">
              <w:t>4.15</w:t>
            </w:r>
          </w:p>
          <w:p w14:paraId="32F9369F" w14:textId="0DDCEB97" w:rsidR="00DF0DF3" w:rsidRDefault="00DF0DF3" w:rsidP="005740A2">
            <w:pPr>
              <w:widowControl w:val="0"/>
              <w:autoSpaceDE w:val="0"/>
              <w:autoSpaceDN w:val="0"/>
              <w:adjustRightInd w:val="0"/>
            </w:pPr>
            <w:r>
              <w:t>$</w:t>
            </w:r>
            <w:r w:rsidR="00542BE2">
              <w:t>3</w:t>
            </w:r>
            <w:r w:rsidR="005740A2">
              <w:t>4.15</w:t>
            </w:r>
          </w:p>
        </w:tc>
        <w:tc>
          <w:tcPr>
            <w:tcW w:w="2214" w:type="dxa"/>
          </w:tcPr>
          <w:p w14:paraId="1DB13C05" w14:textId="77777777" w:rsidR="00B94A23" w:rsidRDefault="00B94A23" w:rsidP="000F16C4">
            <w:pPr>
              <w:widowControl w:val="0"/>
              <w:autoSpaceDE w:val="0"/>
              <w:autoSpaceDN w:val="0"/>
              <w:adjustRightInd w:val="0"/>
            </w:pPr>
          </w:p>
          <w:p w14:paraId="33583F85" w14:textId="77777777" w:rsidR="00D62CC0" w:rsidRDefault="00D62CC0" w:rsidP="000F16C4">
            <w:pPr>
              <w:widowControl w:val="0"/>
              <w:autoSpaceDE w:val="0"/>
              <w:autoSpaceDN w:val="0"/>
              <w:adjustRightInd w:val="0"/>
            </w:pPr>
          </w:p>
          <w:p w14:paraId="5B899187" w14:textId="2D12765A" w:rsidR="00D62CC0" w:rsidRDefault="00D62CC0" w:rsidP="000F16C4">
            <w:pPr>
              <w:widowControl w:val="0"/>
              <w:autoSpaceDE w:val="0"/>
              <w:autoSpaceDN w:val="0"/>
              <w:adjustRightInd w:val="0"/>
            </w:pPr>
            <w:r>
              <w:t>$</w:t>
            </w:r>
            <w:r w:rsidR="00EB6D8B">
              <w:t>1,</w:t>
            </w:r>
            <w:r w:rsidR="00200BAC">
              <w:t>401</w:t>
            </w:r>
          </w:p>
          <w:p w14:paraId="47A0DB6F" w14:textId="3853179D" w:rsidR="00D62CC0" w:rsidRDefault="00D62CC0" w:rsidP="000F16C4">
            <w:pPr>
              <w:widowControl w:val="0"/>
              <w:autoSpaceDE w:val="0"/>
              <w:autoSpaceDN w:val="0"/>
              <w:adjustRightInd w:val="0"/>
            </w:pPr>
            <w:r>
              <w:t>$</w:t>
            </w:r>
            <w:r w:rsidR="00F9104F">
              <w:t>2,</w:t>
            </w:r>
            <w:r w:rsidR="00200BAC">
              <w:t>801</w:t>
            </w:r>
          </w:p>
          <w:p w14:paraId="010F00AD" w14:textId="66BDAF5C" w:rsidR="00D62CC0" w:rsidRDefault="00D62CC0" w:rsidP="00200BAC">
            <w:pPr>
              <w:widowControl w:val="0"/>
              <w:autoSpaceDE w:val="0"/>
              <w:autoSpaceDN w:val="0"/>
              <w:adjustRightInd w:val="0"/>
            </w:pPr>
            <w:r>
              <w:t>$</w:t>
            </w:r>
            <w:r w:rsidR="00F9104F">
              <w:t>2,08</w:t>
            </w:r>
            <w:r w:rsidR="00200BAC">
              <w:t>4</w:t>
            </w:r>
          </w:p>
        </w:tc>
      </w:tr>
      <w:tr w:rsidR="00B94A23" w14:paraId="2AD6B61D" w14:textId="77777777" w:rsidTr="00BC2EBD">
        <w:tc>
          <w:tcPr>
            <w:tcW w:w="2214" w:type="dxa"/>
          </w:tcPr>
          <w:p w14:paraId="1DB66A29" w14:textId="77777777" w:rsidR="00B94A23" w:rsidRPr="00BC2EBD" w:rsidRDefault="00117D9B" w:rsidP="000F16C4">
            <w:pPr>
              <w:widowControl w:val="0"/>
              <w:autoSpaceDE w:val="0"/>
              <w:autoSpaceDN w:val="0"/>
              <w:adjustRightInd w:val="0"/>
              <w:rPr>
                <w:sz w:val="22"/>
                <w:szCs w:val="22"/>
              </w:rPr>
            </w:pPr>
            <w:r w:rsidRPr="00BC2EBD">
              <w:rPr>
                <w:sz w:val="22"/>
                <w:szCs w:val="22"/>
              </w:rPr>
              <w:t>Follow-back</w:t>
            </w:r>
            <w:r w:rsidR="00B94A23" w:rsidRPr="00BC2EBD">
              <w:rPr>
                <w:sz w:val="22"/>
                <w:szCs w:val="22"/>
              </w:rPr>
              <w:t xml:space="preserve"> for evaluations without onsite</w:t>
            </w:r>
          </w:p>
          <w:p w14:paraId="7A13727E" w14:textId="77777777" w:rsidR="00B94A23" w:rsidRPr="00BC2EBD" w:rsidRDefault="00B94A23" w:rsidP="000F16C4">
            <w:pPr>
              <w:widowControl w:val="0"/>
              <w:autoSpaceDE w:val="0"/>
              <w:autoSpaceDN w:val="0"/>
              <w:adjustRightInd w:val="0"/>
              <w:rPr>
                <w:sz w:val="22"/>
                <w:szCs w:val="22"/>
              </w:rPr>
            </w:pPr>
            <w:r w:rsidRPr="00BC2EBD">
              <w:rPr>
                <w:sz w:val="22"/>
                <w:szCs w:val="22"/>
              </w:rPr>
              <w:t>Year 1</w:t>
            </w:r>
          </w:p>
          <w:p w14:paraId="571C568A" w14:textId="77777777" w:rsidR="00B94A23" w:rsidRPr="00BC2EBD" w:rsidRDefault="00B94A23" w:rsidP="000F16C4">
            <w:pPr>
              <w:widowControl w:val="0"/>
              <w:autoSpaceDE w:val="0"/>
              <w:autoSpaceDN w:val="0"/>
              <w:adjustRightInd w:val="0"/>
              <w:rPr>
                <w:sz w:val="22"/>
                <w:szCs w:val="22"/>
              </w:rPr>
            </w:pPr>
            <w:r w:rsidRPr="00BC2EBD">
              <w:rPr>
                <w:sz w:val="22"/>
                <w:szCs w:val="22"/>
              </w:rPr>
              <w:t>Year 2</w:t>
            </w:r>
          </w:p>
        </w:tc>
        <w:tc>
          <w:tcPr>
            <w:tcW w:w="2214" w:type="dxa"/>
          </w:tcPr>
          <w:p w14:paraId="7530D541" w14:textId="77777777" w:rsidR="00C4671A" w:rsidRDefault="00C4671A" w:rsidP="000F16C4">
            <w:pPr>
              <w:widowControl w:val="0"/>
              <w:autoSpaceDE w:val="0"/>
              <w:autoSpaceDN w:val="0"/>
              <w:adjustRightInd w:val="0"/>
            </w:pPr>
          </w:p>
          <w:p w14:paraId="6D7218BE" w14:textId="77777777" w:rsidR="00C4671A" w:rsidRDefault="00C4671A" w:rsidP="000F16C4">
            <w:pPr>
              <w:widowControl w:val="0"/>
              <w:autoSpaceDE w:val="0"/>
              <w:autoSpaceDN w:val="0"/>
              <w:adjustRightInd w:val="0"/>
            </w:pPr>
          </w:p>
          <w:p w14:paraId="4D2C3439" w14:textId="77777777" w:rsidR="00C4671A" w:rsidRDefault="00C4671A" w:rsidP="000F16C4">
            <w:pPr>
              <w:widowControl w:val="0"/>
              <w:autoSpaceDE w:val="0"/>
              <w:autoSpaceDN w:val="0"/>
              <w:adjustRightInd w:val="0"/>
            </w:pPr>
          </w:p>
          <w:p w14:paraId="33DC4AA5" w14:textId="15FD47A6" w:rsidR="002A6BDF" w:rsidRDefault="00542BE2" w:rsidP="000F16C4">
            <w:pPr>
              <w:widowControl w:val="0"/>
              <w:autoSpaceDE w:val="0"/>
              <w:autoSpaceDN w:val="0"/>
              <w:adjustRightInd w:val="0"/>
            </w:pPr>
            <w:r>
              <w:t>1</w:t>
            </w:r>
            <w:r w:rsidR="00200BAC">
              <w:t>7</w:t>
            </w:r>
          </w:p>
          <w:p w14:paraId="252870E9" w14:textId="07DC2C48" w:rsidR="00C4671A" w:rsidRDefault="00542BE2" w:rsidP="00F9104F">
            <w:pPr>
              <w:widowControl w:val="0"/>
              <w:autoSpaceDE w:val="0"/>
              <w:autoSpaceDN w:val="0"/>
              <w:adjustRightInd w:val="0"/>
            </w:pPr>
            <w:r>
              <w:t>2</w:t>
            </w:r>
            <w:r w:rsidR="00F9104F">
              <w:t>5</w:t>
            </w:r>
            <w:r w:rsidR="00557EE7">
              <w:t xml:space="preserve"> </w:t>
            </w:r>
          </w:p>
        </w:tc>
        <w:tc>
          <w:tcPr>
            <w:tcW w:w="2214" w:type="dxa"/>
          </w:tcPr>
          <w:p w14:paraId="1B8073BD" w14:textId="77777777" w:rsidR="00B94A23" w:rsidRDefault="00B94A23" w:rsidP="000F16C4">
            <w:pPr>
              <w:widowControl w:val="0"/>
              <w:autoSpaceDE w:val="0"/>
              <w:autoSpaceDN w:val="0"/>
              <w:adjustRightInd w:val="0"/>
            </w:pPr>
          </w:p>
          <w:p w14:paraId="29E4CC03" w14:textId="77777777" w:rsidR="00C4671A" w:rsidRDefault="00C4671A" w:rsidP="000F16C4">
            <w:pPr>
              <w:widowControl w:val="0"/>
              <w:autoSpaceDE w:val="0"/>
              <w:autoSpaceDN w:val="0"/>
              <w:adjustRightInd w:val="0"/>
            </w:pPr>
          </w:p>
          <w:p w14:paraId="49736B54" w14:textId="77777777" w:rsidR="00C4671A" w:rsidRDefault="00C4671A" w:rsidP="000F16C4">
            <w:pPr>
              <w:widowControl w:val="0"/>
              <w:autoSpaceDE w:val="0"/>
              <w:autoSpaceDN w:val="0"/>
              <w:adjustRightInd w:val="0"/>
            </w:pPr>
          </w:p>
          <w:p w14:paraId="40C511A2" w14:textId="77777777" w:rsidR="00200BAC" w:rsidRDefault="00C4671A" w:rsidP="005740A2">
            <w:pPr>
              <w:widowControl w:val="0"/>
              <w:autoSpaceDE w:val="0"/>
              <w:autoSpaceDN w:val="0"/>
              <w:adjustRightInd w:val="0"/>
            </w:pPr>
            <w:r>
              <w:t>$</w:t>
            </w:r>
            <w:r w:rsidR="001952BD">
              <w:t>3</w:t>
            </w:r>
            <w:r w:rsidR="005740A2">
              <w:t>4.15</w:t>
            </w:r>
          </w:p>
          <w:p w14:paraId="6E48E23D" w14:textId="63425734" w:rsidR="00C4671A" w:rsidRDefault="00C4671A" w:rsidP="005740A2">
            <w:pPr>
              <w:widowControl w:val="0"/>
              <w:autoSpaceDE w:val="0"/>
              <w:autoSpaceDN w:val="0"/>
              <w:adjustRightInd w:val="0"/>
            </w:pPr>
            <w:r>
              <w:t>$</w:t>
            </w:r>
            <w:r w:rsidR="001952BD">
              <w:t>3</w:t>
            </w:r>
            <w:r w:rsidR="005740A2">
              <w:t>4.15</w:t>
            </w:r>
          </w:p>
        </w:tc>
        <w:tc>
          <w:tcPr>
            <w:tcW w:w="2214" w:type="dxa"/>
          </w:tcPr>
          <w:p w14:paraId="7D1C3ECF" w14:textId="77777777" w:rsidR="00B94A23" w:rsidRDefault="00B94A23" w:rsidP="000F16C4">
            <w:pPr>
              <w:widowControl w:val="0"/>
              <w:autoSpaceDE w:val="0"/>
              <w:autoSpaceDN w:val="0"/>
              <w:adjustRightInd w:val="0"/>
            </w:pPr>
          </w:p>
          <w:p w14:paraId="3FA286C2" w14:textId="77777777" w:rsidR="00C4671A" w:rsidRDefault="00C4671A" w:rsidP="000F16C4">
            <w:pPr>
              <w:widowControl w:val="0"/>
              <w:autoSpaceDE w:val="0"/>
              <w:autoSpaceDN w:val="0"/>
              <w:adjustRightInd w:val="0"/>
            </w:pPr>
          </w:p>
          <w:p w14:paraId="5918882F" w14:textId="77777777" w:rsidR="00C4671A" w:rsidRDefault="00C4671A" w:rsidP="000F16C4">
            <w:pPr>
              <w:widowControl w:val="0"/>
              <w:autoSpaceDE w:val="0"/>
              <w:autoSpaceDN w:val="0"/>
              <w:adjustRightInd w:val="0"/>
            </w:pPr>
          </w:p>
          <w:p w14:paraId="1D2D4666" w14:textId="30B25C02" w:rsidR="00C4671A" w:rsidRDefault="00C4671A" w:rsidP="000F16C4">
            <w:pPr>
              <w:widowControl w:val="0"/>
              <w:autoSpaceDE w:val="0"/>
              <w:autoSpaceDN w:val="0"/>
              <w:adjustRightInd w:val="0"/>
            </w:pPr>
            <w:r>
              <w:t>$</w:t>
            </w:r>
            <w:r w:rsidR="00F9104F">
              <w:t>5</w:t>
            </w:r>
            <w:r w:rsidR="00200BAC">
              <w:t>81</w:t>
            </w:r>
          </w:p>
          <w:p w14:paraId="6CF269EE" w14:textId="248C7A97" w:rsidR="00C4671A" w:rsidRDefault="00511297" w:rsidP="00F9104F">
            <w:pPr>
              <w:widowControl w:val="0"/>
              <w:autoSpaceDE w:val="0"/>
              <w:autoSpaceDN w:val="0"/>
              <w:adjustRightInd w:val="0"/>
            </w:pPr>
            <w:r>
              <w:t>$</w:t>
            </w:r>
            <w:r w:rsidR="00F9104F">
              <w:t>854</w:t>
            </w:r>
          </w:p>
        </w:tc>
      </w:tr>
      <w:tr w:rsidR="00B94A23" w14:paraId="33547CE7" w14:textId="77777777" w:rsidTr="00BC2EBD">
        <w:tc>
          <w:tcPr>
            <w:tcW w:w="2214" w:type="dxa"/>
          </w:tcPr>
          <w:p w14:paraId="0A154AAF" w14:textId="77777777" w:rsidR="00B94A23" w:rsidRDefault="00B94A23" w:rsidP="000F16C4">
            <w:pPr>
              <w:widowControl w:val="0"/>
              <w:autoSpaceDE w:val="0"/>
              <w:autoSpaceDN w:val="0"/>
              <w:adjustRightInd w:val="0"/>
            </w:pPr>
            <w:r>
              <w:t>TOTAL</w:t>
            </w:r>
          </w:p>
        </w:tc>
        <w:tc>
          <w:tcPr>
            <w:tcW w:w="2214" w:type="dxa"/>
          </w:tcPr>
          <w:p w14:paraId="6DDECE60" w14:textId="67BF467E" w:rsidR="00B94A23" w:rsidRDefault="00F9104F" w:rsidP="002E1CAE">
            <w:pPr>
              <w:widowControl w:val="0"/>
              <w:autoSpaceDE w:val="0"/>
              <w:autoSpaceDN w:val="0"/>
              <w:adjustRightInd w:val="0"/>
            </w:pPr>
            <w:r>
              <w:t>2</w:t>
            </w:r>
            <w:r w:rsidR="001D19A7">
              <w:t>,</w:t>
            </w:r>
            <w:r>
              <w:t>9</w:t>
            </w:r>
            <w:r w:rsidR="004A1DD3">
              <w:t>59</w:t>
            </w:r>
          </w:p>
        </w:tc>
        <w:tc>
          <w:tcPr>
            <w:tcW w:w="2214" w:type="dxa"/>
          </w:tcPr>
          <w:p w14:paraId="17A01890" w14:textId="2ED1FF72" w:rsidR="00B94A23" w:rsidRDefault="008244ED" w:rsidP="000F16C4">
            <w:pPr>
              <w:widowControl w:val="0"/>
              <w:autoSpaceDE w:val="0"/>
              <w:autoSpaceDN w:val="0"/>
              <w:adjustRightInd w:val="0"/>
            </w:pPr>
            <w:r>
              <w:t>$34.15</w:t>
            </w:r>
          </w:p>
        </w:tc>
        <w:tc>
          <w:tcPr>
            <w:tcW w:w="2214" w:type="dxa"/>
          </w:tcPr>
          <w:p w14:paraId="73DAFE23" w14:textId="30003CB8" w:rsidR="00B94A23" w:rsidRDefault="000A35A0" w:rsidP="00200BAC">
            <w:pPr>
              <w:widowControl w:val="0"/>
              <w:autoSpaceDE w:val="0"/>
              <w:autoSpaceDN w:val="0"/>
              <w:adjustRightInd w:val="0"/>
            </w:pPr>
            <w:r>
              <w:t>$</w:t>
            </w:r>
            <w:r w:rsidR="00F9104F">
              <w:t>10</w:t>
            </w:r>
            <w:r w:rsidR="00200BAC">
              <w:t>1</w:t>
            </w:r>
            <w:r w:rsidR="00F9104F">
              <w:t>,</w:t>
            </w:r>
            <w:r w:rsidR="00200BAC">
              <w:t>0</w:t>
            </w:r>
            <w:r w:rsidR="004A1DD3">
              <w:t>50</w:t>
            </w:r>
          </w:p>
        </w:tc>
      </w:tr>
    </w:tbl>
    <w:p w14:paraId="4B486AE1" w14:textId="77777777" w:rsidR="006C6E2B" w:rsidRDefault="006C6E2B" w:rsidP="000F16C4">
      <w:pPr>
        <w:ind w:left="720"/>
      </w:pPr>
    </w:p>
    <w:p w14:paraId="34392616" w14:textId="77777777" w:rsidR="00144234" w:rsidRDefault="00144234" w:rsidP="000F16C4">
      <w:pPr>
        <w:ind w:left="720"/>
        <w:rPr>
          <w:u w:val="single"/>
        </w:rPr>
      </w:pPr>
    </w:p>
    <w:p w14:paraId="0F76E67F" w14:textId="77777777" w:rsidR="00144234" w:rsidRPr="008A51AA" w:rsidRDefault="00144234" w:rsidP="00B77342">
      <w:pPr>
        <w:numPr>
          <w:ilvl w:val="1"/>
          <w:numId w:val="2"/>
        </w:numPr>
        <w:rPr>
          <w:i/>
          <w:u w:val="single"/>
        </w:rPr>
      </w:pPr>
      <w:r w:rsidRPr="008A51AA">
        <w:rPr>
          <w:i/>
          <w:u w:val="single"/>
        </w:rPr>
        <w:t xml:space="preserve">Estimates of Other Total Annual Cost Burden to Respondents or Record Keepers </w:t>
      </w:r>
    </w:p>
    <w:p w14:paraId="5F755B12" w14:textId="77777777" w:rsidR="00144234" w:rsidRPr="00BE50E8" w:rsidRDefault="00144234" w:rsidP="000F16C4">
      <w:pPr>
        <w:ind w:left="720"/>
      </w:pPr>
      <w:r w:rsidRPr="00BE50E8">
        <w:t>None</w:t>
      </w:r>
    </w:p>
    <w:p w14:paraId="34339F93" w14:textId="77777777" w:rsidR="00144234" w:rsidRDefault="00144234" w:rsidP="000F16C4">
      <w:pPr>
        <w:ind w:left="720"/>
      </w:pPr>
    </w:p>
    <w:p w14:paraId="3B7DA2AB" w14:textId="4CA9A562" w:rsidR="00144234" w:rsidRPr="008A51AA" w:rsidRDefault="00125B8A" w:rsidP="000F0C47">
      <w:pPr>
        <w:ind w:left="360"/>
        <w:rPr>
          <w:i/>
          <w:u w:val="single"/>
        </w:rPr>
      </w:pPr>
      <w:r>
        <w:rPr>
          <w:i/>
          <w:u w:val="single"/>
        </w:rPr>
        <w:t>14.</w:t>
      </w:r>
      <w:r>
        <w:rPr>
          <w:i/>
          <w:u w:val="single"/>
        </w:rPr>
        <w:tab/>
      </w:r>
      <w:r w:rsidR="00144234" w:rsidRPr="008A51AA">
        <w:rPr>
          <w:i/>
          <w:u w:val="single"/>
        </w:rPr>
        <w:t>Annualized Cost to the Federal Government</w:t>
      </w:r>
    </w:p>
    <w:p w14:paraId="5DD652E9" w14:textId="6E668BEB" w:rsidR="00144234" w:rsidRDefault="00144234" w:rsidP="000F16C4">
      <w:pPr>
        <w:ind w:left="720"/>
      </w:pPr>
      <w:r w:rsidRPr="00895E94">
        <w:t xml:space="preserve">The annual cost to the government for operating the Health Hazard Evaluation and Technical Assistance program is approximately </w:t>
      </w:r>
      <w:r w:rsidR="007C61E3">
        <w:t>7</w:t>
      </w:r>
      <w:r w:rsidRPr="00895E94">
        <w:t xml:space="preserve"> million dollars, which covers $</w:t>
      </w:r>
      <w:r w:rsidR="007C61E3">
        <w:t>6.2</w:t>
      </w:r>
      <w:r w:rsidRPr="00895E94">
        <w:t xml:space="preserve"> million for </w:t>
      </w:r>
      <w:r w:rsidR="007C61E3">
        <w:t>4</w:t>
      </w:r>
      <w:r w:rsidRPr="00895E94">
        <w:t xml:space="preserve">4 FTEs in FY </w:t>
      </w:r>
      <w:r w:rsidR="00B669D2" w:rsidRPr="00895E94">
        <w:t>201</w:t>
      </w:r>
      <w:r w:rsidR="00633AAC">
        <w:t>6</w:t>
      </w:r>
      <w:r w:rsidR="00B669D2" w:rsidRPr="00895E94">
        <w:t xml:space="preserve"> </w:t>
      </w:r>
      <w:r w:rsidRPr="00895E94">
        <w:t>and $</w:t>
      </w:r>
      <w:r w:rsidR="007C61E3">
        <w:t>834</w:t>
      </w:r>
      <w:r w:rsidR="00125B8A">
        <w:t>,000</w:t>
      </w:r>
      <w:r w:rsidRPr="00895E94">
        <w:t xml:space="preserve"> in discretionary costs.</w:t>
      </w:r>
      <w:r w:rsidR="00902FBB">
        <w:t xml:space="preserve"> </w:t>
      </w:r>
      <w:r w:rsidRPr="00895E94">
        <w:t>The estimated cost for preparing, administering, and processing questionnaires related to this program is $</w:t>
      </w:r>
      <w:r w:rsidR="00CE33F9" w:rsidRPr="00895E94">
        <w:t>450</w:t>
      </w:r>
      <w:r w:rsidRPr="00895E94">
        <w:t>,000</w:t>
      </w:r>
      <w:r w:rsidR="009F246E">
        <w:t xml:space="preserve"> (which </w:t>
      </w:r>
      <w:r w:rsidR="00D23825">
        <w:t xml:space="preserve">covers both </w:t>
      </w:r>
      <w:r w:rsidR="00146EEB">
        <w:t xml:space="preserve">FTE expenses </w:t>
      </w:r>
      <w:r w:rsidR="009F246E">
        <w:t xml:space="preserve">and </w:t>
      </w:r>
      <w:r w:rsidR="00146EEB">
        <w:t xml:space="preserve">discretionary </w:t>
      </w:r>
      <w:r w:rsidR="009F246E">
        <w:t>expenses</w:t>
      </w:r>
      <w:r w:rsidR="00D23825">
        <w:t xml:space="preserve"> and is included in the total </w:t>
      </w:r>
      <w:r w:rsidR="00F6683E">
        <w:t xml:space="preserve">annual </w:t>
      </w:r>
      <w:r w:rsidR="00D23825">
        <w:t>funding of 7 million dollars</w:t>
      </w:r>
      <w:r w:rsidR="009F246E">
        <w:t>)</w:t>
      </w:r>
      <w:r w:rsidR="00146EEB">
        <w:t>.</w:t>
      </w:r>
      <w:r w:rsidR="00D23825">
        <w:t xml:space="preserve"> </w:t>
      </w:r>
    </w:p>
    <w:p w14:paraId="023797DB" w14:textId="77777777" w:rsidR="00674DA1" w:rsidRDefault="00674DA1" w:rsidP="000F16C4">
      <w:pPr>
        <w:ind w:left="720"/>
      </w:pPr>
    </w:p>
    <w:p w14:paraId="29C94C8E" w14:textId="4F14C49D" w:rsidR="00144234" w:rsidRPr="008A51AA" w:rsidRDefault="00125B8A" w:rsidP="000F0C47">
      <w:pPr>
        <w:ind w:left="360"/>
        <w:rPr>
          <w:i/>
        </w:rPr>
      </w:pPr>
      <w:r>
        <w:rPr>
          <w:i/>
          <w:u w:val="single"/>
        </w:rPr>
        <w:t xml:space="preserve">15. </w:t>
      </w:r>
      <w:r w:rsidR="00144234" w:rsidRPr="008A51AA">
        <w:rPr>
          <w:i/>
          <w:u w:val="single"/>
        </w:rPr>
        <w:t>Explanation for Program Changes or Adjustments</w:t>
      </w:r>
    </w:p>
    <w:p w14:paraId="5D6E5125" w14:textId="487989A4" w:rsidR="00CC7488" w:rsidRDefault="00133C2A" w:rsidP="000F16C4">
      <w:pPr>
        <w:ind w:left="720"/>
      </w:pPr>
      <w:r>
        <w:t xml:space="preserve">The revisions </w:t>
      </w:r>
      <w:r w:rsidR="00125B8A">
        <w:t>requested are</w:t>
      </w:r>
      <w:r w:rsidR="00CC7488">
        <w:t>:</w:t>
      </w:r>
    </w:p>
    <w:p w14:paraId="70998F6C" w14:textId="79A23CAE" w:rsidR="00CC7488" w:rsidRDefault="00CC7488" w:rsidP="006C391C">
      <w:pPr>
        <w:pStyle w:val="ListParagraph"/>
        <w:numPr>
          <w:ilvl w:val="0"/>
          <w:numId w:val="9"/>
        </w:numPr>
      </w:pPr>
      <w:r>
        <w:t xml:space="preserve">Health Hazard Evaluation request form: reordering of one question, elimination of one question, with no </w:t>
      </w:r>
      <w:r w:rsidR="00125B8A">
        <w:t>change in burden</w:t>
      </w:r>
    </w:p>
    <w:p w14:paraId="75BF9737" w14:textId="2FF3913A" w:rsidR="00CC7488" w:rsidRDefault="00CC7488" w:rsidP="006C391C">
      <w:pPr>
        <w:pStyle w:val="ListParagraph"/>
        <w:numPr>
          <w:ilvl w:val="0"/>
          <w:numId w:val="9"/>
        </w:numPr>
      </w:pPr>
      <w:r>
        <w:t xml:space="preserve">Employee Contact Postcard: requested email to facilitate communication, with </w:t>
      </w:r>
      <w:r w:rsidR="00125B8A">
        <w:t xml:space="preserve">no change in </w:t>
      </w:r>
      <w:r>
        <w:t xml:space="preserve">burden. </w:t>
      </w:r>
    </w:p>
    <w:p w14:paraId="43734EBD" w14:textId="48957C2D" w:rsidR="00CC7488" w:rsidRDefault="00CC7488" w:rsidP="006C391C">
      <w:pPr>
        <w:pStyle w:val="ListParagraph"/>
        <w:numPr>
          <w:ilvl w:val="0"/>
          <w:numId w:val="9"/>
        </w:numPr>
      </w:pPr>
      <w:r>
        <w:t xml:space="preserve">Followback questionnaires: minor re-wording and re-ordering of a few questions to improve the ease of responding; addition of a few questions to one form to facilitate program evaluation, </w:t>
      </w:r>
      <w:r w:rsidR="00125B8A">
        <w:t>with</w:t>
      </w:r>
      <w:r>
        <w:t xml:space="preserve"> an increase in burden of 5 minutes per respondent.</w:t>
      </w:r>
    </w:p>
    <w:p w14:paraId="39A07EAE" w14:textId="77777777" w:rsidR="00CC7488" w:rsidRDefault="00CC7488" w:rsidP="00CC7488"/>
    <w:p w14:paraId="2A8AAC92" w14:textId="6388BBB8" w:rsidR="00144234" w:rsidRDefault="00F9104F" w:rsidP="000F16C4">
      <w:pPr>
        <w:ind w:left="720"/>
      </w:pPr>
      <w:r w:rsidRPr="005F6FA1">
        <w:t xml:space="preserve">No new forms have been added to this </w:t>
      </w:r>
      <w:r w:rsidR="00125B8A">
        <w:t xml:space="preserve">request. The estimated total burden is reduced by 61 hours. </w:t>
      </w:r>
    </w:p>
    <w:p w14:paraId="250B245F" w14:textId="77777777" w:rsidR="00144234" w:rsidRDefault="00144234" w:rsidP="000F16C4">
      <w:pPr>
        <w:ind w:left="720"/>
      </w:pPr>
    </w:p>
    <w:p w14:paraId="377F275B" w14:textId="7B3E25D3" w:rsidR="00144234" w:rsidRPr="008A51AA" w:rsidRDefault="00125B8A" w:rsidP="000F0C47">
      <w:pPr>
        <w:ind w:left="450"/>
        <w:rPr>
          <w:i/>
          <w:u w:val="single"/>
        </w:rPr>
      </w:pPr>
      <w:r>
        <w:rPr>
          <w:i/>
          <w:u w:val="single"/>
        </w:rPr>
        <w:t>16.</w:t>
      </w:r>
      <w:r>
        <w:rPr>
          <w:i/>
          <w:u w:val="single"/>
        </w:rPr>
        <w:tab/>
      </w:r>
      <w:r w:rsidR="00144234" w:rsidRPr="008A51AA">
        <w:rPr>
          <w:i/>
          <w:u w:val="single"/>
        </w:rPr>
        <w:t>Plans for Tabulation and Publication and Project Time Schedule</w:t>
      </w:r>
    </w:p>
    <w:p w14:paraId="2415958B" w14:textId="75B72A3E" w:rsidR="00144234" w:rsidRDefault="00144234" w:rsidP="000F16C4">
      <w:pPr>
        <w:ind w:left="720"/>
      </w:pPr>
      <w:r>
        <w:t>Typically, NIOSH investigators arrange to visit the establishment within 6-10 weeks following a request.</w:t>
      </w:r>
      <w:r w:rsidR="00902FBB">
        <w:t xml:space="preserve"> </w:t>
      </w:r>
      <w:r>
        <w:t>Preliminary observations are reported at the end of the initial site visit; when available, interim results may be reported before a final report is completed.</w:t>
      </w:r>
      <w:r w:rsidR="00902FBB">
        <w:t xml:space="preserve"> </w:t>
      </w:r>
      <w:r>
        <w:t>Environmental and medical data collection efforts for studies that require additional evaluation usually take about six months.</w:t>
      </w:r>
      <w:r w:rsidR="00902FBB">
        <w:t xml:space="preserve"> </w:t>
      </w:r>
      <w:r>
        <w:t>Individual medical test</w:t>
      </w:r>
      <w:r w:rsidR="007C700A">
        <w:t xml:space="preserve"> and individual workplace exposure monitoring</w:t>
      </w:r>
      <w:r>
        <w:t xml:space="preserve"> results are usually available and </w:t>
      </w:r>
      <w:r w:rsidR="00200BAC">
        <w:t>distributed</w:t>
      </w:r>
      <w:r>
        <w:t xml:space="preserve"> two to three months after testing.</w:t>
      </w:r>
      <w:r w:rsidR="00902FBB">
        <w:t xml:space="preserve"> </w:t>
      </w:r>
      <w:r w:rsidR="007C700A">
        <w:t>T</w:t>
      </w:r>
      <w:r w:rsidR="000A5D40" w:rsidRPr="000A5D40">
        <w:t>he</w:t>
      </w:r>
      <w:r w:rsidR="000A5D40">
        <w:t xml:space="preserve"> </w:t>
      </w:r>
      <w:r w:rsidR="000A5D40" w:rsidRPr="000A5D40">
        <w:t>median time to complete the evaluation after the initial visit</w:t>
      </w:r>
      <w:r w:rsidR="007C700A">
        <w:t xml:space="preserve"> for Fiscal years </w:t>
      </w:r>
      <w:r w:rsidR="007C700A" w:rsidRPr="005F6FA1">
        <w:t>201</w:t>
      </w:r>
      <w:r w:rsidR="005D6D67" w:rsidRPr="005F6FA1">
        <w:t>4</w:t>
      </w:r>
      <w:r w:rsidR="007C700A" w:rsidRPr="005F6FA1">
        <w:t>-201</w:t>
      </w:r>
      <w:r w:rsidR="005D6D67" w:rsidRPr="005F6FA1">
        <w:t>6</w:t>
      </w:r>
      <w:r w:rsidR="00387EF4" w:rsidRPr="005F6FA1">
        <w:t xml:space="preserve"> </w:t>
      </w:r>
      <w:r w:rsidR="000A5D40" w:rsidRPr="005F6FA1">
        <w:t xml:space="preserve">was </w:t>
      </w:r>
      <w:r w:rsidR="005D6D67" w:rsidRPr="005F6FA1">
        <w:t>9.5</w:t>
      </w:r>
      <w:r w:rsidR="000A5D40" w:rsidRPr="005D6D67">
        <w:rPr>
          <w:highlight w:val="yellow"/>
        </w:rPr>
        <w:t xml:space="preserve"> </w:t>
      </w:r>
      <w:r w:rsidR="000A5D40" w:rsidRPr="006C391C">
        <w:t>months</w:t>
      </w:r>
      <w:r w:rsidR="000A5D40" w:rsidRPr="00371157">
        <w:t>.</w:t>
      </w:r>
      <w:r w:rsidR="007C700A">
        <w:t xml:space="preserve"> </w:t>
      </w:r>
      <w:r>
        <w:t>Completion times vary according to the time to receive analytical results for environmental or biological samples, medical reports from consulting specialists, complexity of the data analysis, and competing demands on staff time.</w:t>
      </w:r>
    </w:p>
    <w:p w14:paraId="6B16B3E9" w14:textId="77777777" w:rsidR="00144234" w:rsidRDefault="00144234" w:rsidP="000F16C4">
      <w:pPr>
        <w:ind w:left="720"/>
      </w:pPr>
    </w:p>
    <w:p w14:paraId="6100D73F" w14:textId="3F431F8E" w:rsidR="00F15B85" w:rsidRDefault="00144234" w:rsidP="000F16C4">
      <w:pPr>
        <w:ind w:left="720"/>
      </w:pPr>
      <w:r>
        <w:t>A report of each Health Hazard Evaluation is prepared.</w:t>
      </w:r>
      <w:r w:rsidR="00902FBB">
        <w:t xml:space="preserve"> </w:t>
      </w:r>
      <w:r>
        <w:t>Medical results are presented in summary fashion; personal identifiers are never included.</w:t>
      </w:r>
      <w:r w:rsidR="00902FBB">
        <w:t xml:space="preserve"> </w:t>
      </w:r>
      <w:r>
        <w:t xml:space="preserve">The report is </w:t>
      </w:r>
      <w:r w:rsidR="00B31EC2">
        <w:t>distributed</w:t>
      </w:r>
      <w:r>
        <w:t xml:space="preserve"> to employee and employer representatives, OSHA or MSHA as appropriate, and other government agencies, as needed.</w:t>
      </w:r>
      <w:r w:rsidR="00902FBB">
        <w:t xml:space="preserve"> </w:t>
      </w:r>
      <w:r>
        <w:t xml:space="preserve">Reports are available to the public through the NIOSH web site and the </w:t>
      </w:r>
      <w:r w:rsidR="005D6D67">
        <w:t>NIOSH HHE Branch office</w:t>
      </w:r>
      <w:r>
        <w:t>.</w:t>
      </w:r>
      <w:r w:rsidR="00902FBB">
        <w:t xml:space="preserve"> </w:t>
      </w:r>
      <w:r>
        <w:t xml:space="preserve">Findings may be published in scientific </w:t>
      </w:r>
      <w:r w:rsidR="00EB50C5">
        <w:t xml:space="preserve">and trade </w:t>
      </w:r>
      <w:r>
        <w:t>journals.</w:t>
      </w:r>
      <w:r w:rsidR="004A16C0">
        <w:t xml:space="preserve"> </w:t>
      </w:r>
      <w:r>
        <w:t>Reports often are cited in other NIOSH publications</w:t>
      </w:r>
      <w:r w:rsidR="00B4440B">
        <w:t xml:space="preserve"> and trade journals</w:t>
      </w:r>
      <w:r>
        <w:t>, furthering their dissemination.</w:t>
      </w:r>
    </w:p>
    <w:p w14:paraId="784E7169" w14:textId="77777777" w:rsidR="00144234" w:rsidRDefault="00144234" w:rsidP="000F16C4">
      <w:pPr>
        <w:ind w:left="720"/>
      </w:pPr>
    </w:p>
    <w:p w14:paraId="7461CE11" w14:textId="2210D4DD" w:rsidR="00144234" w:rsidRPr="000F0C47" w:rsidRDefault="00144234" w:rsidP="000F0C47">
      <w:pPr>
        <w:pStyle w:val="ListParagraph"/>
        <w:numPr>
          <w:ilvl w:val="0"/>
          <w:numId w:val="12"/>
        </w:numPr>
        <w:rPr>
          <w:i/>
        </w:rPr>
      </w:pPr>
      <w:r w:rsidRPr="000F0C47">
        <w:rPr>
          <w:i/>
          <w:u w:val="single"/>
        </w:rPr>
        <w:t>Reason(s) Display of OMB Expiration Date is Inappropriate</w:t>
      </w:r>
    </w:p>
    <w:p w14:paraId="672B4501" w14:textId="71A17F34" w:rsidR="00144234" w:rsidRDefault="00144234" w:rsidP="000F16C4">
      <w:pPr>
        <w:ind w:left="720"/>
      </w:pPr>
      <w:r>
        <w:t>No exemption is requested.</w:t>
      </w:r>
    </w:p>
    <w:p w14:paraId="020327AF" w14:textId="77777777" w:rsidR="00144234" w:rsidRDefault="00144234" w:rsidP="000F16C4">
      <w:pPr>
        <w:ind w:left="720"/>
      </w:pPr>
    </w:p>
    <w:p w14:paraId="4E1622C4" w14:textId="36AA5662" w:rsidR="00144234" w:rsidRPr="000F0C47" w:rsidRDefault="00144234" w:rsidP="000F0C47">
      <w:pPr>
        <w:pStyle w:val="ListParagraph"/>
        <w:numPr>
          <w:ilvl w:val="0"/>
          <w:numId w:val="12"/>
        </w:numPr>
        <w:rPr>
          <w:i/>
        </w:rPr>
      </w:pPr>
      <w:r w:rsidRPr="000F0C47">
        <w:rPr>
          <w:i/>
          <w:u w:val="single"/>
        </w:rPr>
        <w:t>Exceptions to Certification for Paperwork Reduction Act Submissions</w:t>
      </w:r>
    </w:p>
    <w:p w14:paraId="424089E7" w14:textId="77777777" w:rsidR="00144234" w:rsidRDefault="00144234" w:rsidP="000F16C4">
      <w:pPr>
        <w:ind w:left="720"/>
      </w:pPr>
      <w:r>
        <w:t>No exceptions are requested.</w:t>
      </w:r>
    </w:p>
    <w:p w14:paraId="40F74573" w14:textId="77777777" w:rsidR="00144234" w:rsidRDefault="00144234" w:rsidP="000F16C4">
      <w:pPr>
        <w:ind w:left="720"/>
      </w:pPr>
    </w:p>
    <w:p w14:paraId="69302125" w14:textId="77777777" w:rsidR="009A75EB" w:rsidRDefault="009A75EB" w:rsidP="000F16C4"/>
    <w:sectPr w:rsidR="009A75EB" w:rsidSect="00B74F82">
      <w:footerReference w:type="defaul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DEA3F" w14:textId="77777777" w:rsidR="007A52A3" w:rsidRDefault="007A52A3" w:rsidP="00E018CE">
      <w:r>
        <w:separator/>
      </w:r>
    </w:p>
  </w:endnote>
  <w:endnote w:type="continuationSeparator" w:id="0">
    <w:p w14:paraId="3FC28D9D" w14:textId="77777777" w:rsidR="007A52A3" w:rsidRDefault="007A52A3" w:rsidP="00E01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38DC9" w14:textId="2EE062D9" w:rsidR="006C391C" w:rsidRDefault="006C391C" w:rsidP="00E018CE">
    <w:pPr>
      <w:pStyle w:val="Footer"/>
      <w:pBdr>
        <w:top w:val="thinThickSmallGap" w:sz="24" w:space="1" w:color="622423"/>
      </w:pBdr>
      <w:tabs>
        <w:tab w:val="clear" w:pos="4680"/>
        <w:tab w:val="clear" w:pos="9360"/>
        <w:tab w:val="right" w:pos="8640"/>
      </w:tabs>
      <w:rPr>
        <w:rFonts w:ascii="Cambria" w:hAnsi="Cambria"/>
      </w:rPr>
    </w:pPr>
    <w:r>
      <w:rPr>
        <w:rFonts w:ascii="Cambria" w:hAnsi="Cambria"/>
      </w:rPr>
      <w:t>OMB 0920-0260 Section A - Justification</w:t>
    </w:r>
    <w:r>
      <w:rPr>
        <w:rFonts w:ascii="Cambria" w:hAnsi="Cambria"/>
      </w:rPr>
      <w:tab/>
      <w:t xml:space="preserve">Page </w:t>
    </w:r>
    <w:r>
      <w:fldChar w:fldCharType="begin"/>
    </w:r>
    <w:r>
      <w:instrText xml:space="preserve"> PAGE   \* MERGEFORMAT </w:instrText>
    </w:r>
    <w:r>
      <w:fldChar w:fldCharType="separate"/>
    </w:r>
    <w:r w:rsidR="00D62A71" w:rsidRPr="00D62A71">
      <w:rPr>
        <w:rFonts w:ascii="Cambria" w:hAnsi="Cambria"/>
        <w:noProof/>
      </w:rPr>
      <w:t>2</w:t>
    </w:r>
    <w:r>
      <w:fldChar w:fldCharType="end"/>
    </w:r>
  </w:p>
  <w:p w14:paraId="45C32CFE" w14:textId="77777777" w:rsidR="006C391C" w:rsidRDefault="006C39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BB403" w14:textId="005FD847" w:rsidR="006C391C" w:rsidRDefault="006C391C">
    <w:pPr>
      <w:pStyle w:val="Footer"/>
    </w:pPr>
    <w:r>
      <w:t>HHE 2017 OMB 0920-0260</w:t>
    </w:r>
    <w:r w:rsidR="000F0C47">
      <w:t xml:space="preserve"> </w:t>
    </w:r>
    <w:r>
      <w:t>ICR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08F4A8" w14:textId="77777777" w:rsidR="007A52A3" w:rsidRDefault="007A52A3" w:rsidP="00E018CE">
      <w:r>
        <w:separator/>
      </w:r>
    </w:p>
  </w:footnote>
  <w:footnote w:type="continuationSeparator" w:id="0">
    <w:p w14:paraId="20C13BBA" w14:textId="77777777" w:rsidR="007A52A3" w:rsidRDefault="007A52A3" w:rsidP="00E018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13B7"/>
    <w:multiLevelType w:val="multilevel"/>
    <w:tmpl w:val="3510F9D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E6550D5"/>
    <w:multiLevelType w:val="hybridMultilevel"/>
    <w:tmpl w:val="A652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B73E1B"/>
    <w:multiLevelType w:val="hybridMultilevel"/>
    <w:tmpl w:val="BF8263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82848E5"/>
    <w:multiLevelType w:val="hybridMultilevel"/>
    <w:tmpl w:val="6F92B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A14B4F"/>
    <w:multiLevelType w:val="multilevel"/>
    <w:tmpl w:val="99BC47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3BDD416F"/>
    <w:multiLevelType w:val="hybridMultilevel"/>
    <w:tmpl w:val="DFCC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7D7D4B"/>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810"/>
        </w:tabs>
        <w:ind w:left="81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57ED72CD"/>
    <w:multiLevelType w:val="hybridMultilevel"/>
    <w:tmpl w:val="E4F07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516A54"/>
    <w:multiLevelType w:val="hybridMultilevel"/>
    <w:tmpl w:val="BC0CC3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0E6388"/>
    <w:multiLevelType w:val="multilevel"/>
    <w:tmpl w:val="DD245FA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6CF60C9"/>
    <w:multiLevelType w:val="multilevel"/>
    <w:tmpl w:val="8980863A"/>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7AC22454"/>
    <w:multiLevelType w:val="hybridMultilevel"/>
    <w:tmpl w:val="42EE28CE"/>
    <w:lvl w:ilvl="0" w:tplc="1D2436AE">
      <w:start w:val="17"/>
      <w:numFmt w:val="decimal"/>
      <w:lvlText w:val="%1."/>
      <w:lvlJc w:val="left"/>
      <w:pPr>
        <w:ind w:left="810" w:hanging="360"/>
      </w:pPr>
      <w:rPr>
        <w:rFonts w:hint="default"/>
        <w:u w:val="single"/>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0"/>
  </w:num>
  <w:num w:numId="2">
    <w:abstractNumId w:val="6"/>
  </w:num>
  <w:num w:numId="3">
    <w:abstractNumId w:val="0"/>
  </w:num>
  <w:num w:numId="4">
    <w:abstractNumId w:val="9"/>
  </w:num>
  <w:num w:numId="5">
    <w:abstractNumId w:val="4"/>
  </w:num>
  <w:num w:numId="6">
    <w:abstractNumId w:val="8"/>
  </w:num>
  <w:num w:numId="7">
    <w:abstractNumId w:val="5"/>
  </w:num>
  <w:num w:numId="8">
    <w:abstractNumId w:val="7"/>
  </w:num>
  <w:num w:numId="9">
    <w:abstractNumId w:val="2"/>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234"/>
    <w:rsid w:val="0000181A"/>
    <w:rsid w:val="00007D4A"/>
    <w:rsid w:val="00011F31"/>
    <w:rsid w:val="0001422F"/>
    <w:rsid w:val="00014536"/>
    <w:rsid w:val="000317B0"/>
    <w:rsid w:val="00031D86"/>
    <w:rsid w:val="00032EAA"/>
    <w:rsid w:val="000344AD"/>
    <w:rsid w:val="00035884"/>
    <w:rsid w:val="00044388"/>
    <w:rsid w:val="00045AAA"/>
    <w:rsid w:val="0005028A"/>
    <w:rsid w:val="000548B3"/>
    <w:rsid w:val="000556EB"/>
    <w:rsid w:val="00062388"/>
    <w:rsid w:val="00064DAD"/>
    <w:rsid w:val="00064EFF"/>
    <w:rsid w:val="00071020"/>
    <w:rsid w:val="00071A39"/>
    <w:rsid w:val="00072D08"/>
    <w:rsid w:val="00073E5C"/>
    <w:rsid w:val="00075470"/>
    <w:rsid w:val="00075805"/>
    <w:rsid w:val="000821E1"/>
    <w:rsid w:val="0008297A"/>
    <w:rsid w:val="00084E05"/>
    <w:rsid w:val="00084E69"/>
    <w:rsid w:val="00085635"/>
    <w:rsid w:val="0009045E"/>
    <w:rsid w:val="000925B7"/>
    <w:rsid w:val="00093631"/>
    <w:rsid w:val="000A2CA4"/>
    <w:rsid w:val="000A2E50"/>
    <w:rsid w:val="000A35A0"/>
    <w:rsid w:val="000A5D40"/>
    <w:rsid w:val="000A6C2B"/>
    <w:rsid w:val="000B49A9"/>
    <w:rsid w:val="000C3EEF"/>
    <w:rsid w:val="000D5BFF"/>
    <w:rsid w:val="000D6479"/>
    <w:rsid w:val="000E030E"/>
    <w:rsid w:val="000E1083"/>
    <w:rsid w:val="000E3D7E"/>
    <w:rsid w:val="000F0C47"/>
    <w:rsid w:val="000F16C4"/>
    <w:rsid w:val="000F4454"/>
    <w:rsid w:val="00102EDD"/>
    <w:rsid w:val="0010506F"/>
    <w:rsid w:val="00117D9B"/>
    <w:rsid w:val="00124AA4"/>
    <w:rsid w:val="00125B8A"/>
    <w:rsid w:val="00132CCE"/>
    <w:rsid w:val="00133C2A"/>
    <w:rsid w:val="0013407D"/>
    <w:rsid w:val="00135529"/>
    <w:rsid w:val="00142063"/>
    <w:rsid w:val="00144234"/>
    <w:rsid w:val="00146EEB"/>
    <w:rsid w:val="00147BDD"/>
    <w:rsid w:val="00150F54"/>
    <w:rsid w:val="00156D10"/>
    <w:rsid w:val="001609EB"/>
    <w:rsid w:val="00163DEA"/>
    <w:rsid w:val="00183872"/>
    <w:rsid w:val="00183D96"/>
    <w:rsid w:val="00192D00"/>
    <w:rsid w:val="001952BD"/>
    <w:rsid w:val="001A0A5A"/>
    <w:rsid w:val="001B0751"/>
    <w:rsid w:val="001B1FA3"/>
    <w:rsid w:val="001B7A24"/>
    <w:rsid w:val="001C3459"/>
    <w:rsid w:val="001C3DD2"/>
    <w:rsid w:val="001C42C4"/>
    <w:rsid w:val="001C5403"/>
    <w:rsid w:val="001C5C13"/>
    <w:rsid w:val="001D19A7"/>
    <w:rsid w:val="001D3861"/>
    <w:rsid w:val="001D6EF2"/>
    <w:rsid w:val="001E07AA"/>
    <w:rsid w:val="001E21D3"/>
    <w:rsid w:val="001E26CC"/>
    <w:rsid w:val="001F4710"/>
    <w:rsid w:val="001F5CAD"/>
    <w:rsid w:val="00200BAC"/>
    <w:rsid w:val="00201394"/>
    <w:rsid w:val="0020545C"/>
    <w:rsid w:val="002067B2"/>
    <w:rsid w:val="002153CA"/>
    <w:rsid w:val="00217926"/>
    <w:rsid w:val="002179D1"/>
    <w:rsid w:val="0022363A"/>
    <w:rsid w:val="0022737B"/>
    <w:rsid w:val="0023674D"/>
    <w:rsid w:val="00237076"/>
    <w:rsid w:val="002442C2"/>
    <w:rsid w:val="00244C6C"/>
    <w:rsid w:val="002476FA"/>
    <w:rsid w:val="002504A6"/>
    <w:rsid w:val="00251268"/>
    <w:rsid w:val="002550D6"/>
    <w:rsid w:val="00256F3B"/>
    <w:rsid w:val="0026688D"/>
    <w:rsid w:val="00271D43"/>
    <w:rsid w:val="00273C27"/>
    <w:rsid w:val="002842BA"/>
    <w:rsid w:val="002936BC"/>
    <w:rsid w:val="002A00C1"/>
    <w:rsid w:val="002A6BDF"/>
    <w:rsid w:val="002B3872"/>
    <w:rsid w:val="002B47B7"/>
    <w:rsid w:val="002C3694"/>
    <w:rsid w:val="002C40E5"/>
    <w:rsid w:val="002C55BE"/>
    <w:rsid w:val="002D72B7"/>
    <w:rsid w:val="002E1457"/>
    <w:rsid w:val="002E1CAE"/>
    <w:rsid w:val="002E323F"/>
    <w:rsid w:val="002E74B1"/>
    <w:rsid w:val="002F0A3D"/>
    <w:rsid w:val="002F1AD0"/>
    <w:rsid w:val="002F646A"/>
    <w:rsid w:val="002F67F4"/>
    <w:rsid w:val="00300F5B"/>
    <w:rsid w:val="003027D2"/>
    <w:rsid w:val="003042E9"/>
    <w:rsid w:val="003052FE"/>
    <w:rsid w:val="00305CE9"/>
    <w:rsid w:val="00312F86"/>
    <w:rsid w:val="003219AB"/>
    <w:rsid w:val="00322403"/>
    <w:rsid w:val="00325267"/>
    <w:rsid w:val="00330877"/>
    <w:rsid w:val="00334270"/>
    <w:rsid w:val="0033652A"/>
    <w:rsid w:val="00341D68"/>
    <w:rsid w:val="003502BF"/>
    <w:rsid w:val="003537E1"/>
    <w:rsid w:val="00354971"/>
    <w:rsid w:val="00356862"/>
    <w:rsid w:val="0036070B"/>
    <w:rsid w:val="00366C71"/>
    <w:rsid w:val="00370E26"/>
    <w:rsid w:val="00371157"/>
    <w:rsid w:val="00375026"/>
    <w:rsid w:val="00375656"/>
    <w:rsid w:val="00375AC8"/>
    <w:rsid w:val="00376885"/>
    <w:rsid w:val="00384B99"/>
    <w:rsid w:val="00385D45"/>
    <w:rsid w:val="00387EF4"/>
    <w:rsid w:val="00391C7B"/>
    <w:rsid w:val="00391FB7"/>
    <w:rsid w:val="003A0982"/>
    <w:rsid w:val="003B3583"/>
    <w:rsid w:val="003B52D9"/>
    <w:rsid w:val="003B5657"/>
    <w:rsid w:val="003C1008"/>
    <w:rsid w:val="003C31B6"/>
    <w:rsid w:val="003C3F2E"/>
    <w:rsid w:val="003C7702"/>
    <w:rsid w:val="003D7A3A"/>
    <w:rsid w:val="003D7A9F"/>
    <w:rsid w:val="003E1C5A"/>
    <w:rsid w:val="003E5A2C"/>
    <w:rsid w:val="003F0434"/>
    <w:rsid w:val="003F74D9"/>
    <w:rsid w:val="0040039D"/>
    <w:rsid w:val="004305C8"/>
    <w:rsid w:val="004306BF"/>
    <w:rsid w:val="00433A76"/>
    <w:rsid w:val="00436EC9"/>
    <w:rsid w:val="00444D63"/>
    <w:rsid w:val="00450019"/>
    <w:rsid w:val="00450B98"/>
    <w:rsid w:val="00452494"/>
    <w:rsid w:val="004566C8"/>
    <w:rsid w:val="0045714C"/>
    <w:rsid w:val="004671EF"/>
    <w:rsid w:val="0046758B"/>
    <w:rsid w:val="004722DB"/>
    <w:rsid w:val="00475722"/>
    <w:rsid w:val="00483427"/>
    <w:rsid w:val="004841D2"/>
    <w:rsid w:val="00484DF7"/>
    <w:rsid w:val="004919DC"/>
    <w:rsid w:val="00492F7E"/>
    <w:rsid w:val="004A0EED"/>
    <w:rsid w:val="004A16C0"/>
    <w:rsid w:val="004A1DD3"/>
    <w:rsid w:val="004A694F"/>
    <w:rsid w:val="004B4175"/>
    <w:rsid w:val="004C0269"/>
    <w:rsid w:val="004C098E"/>
    <w:rsid w:val="004C5AD2"/>
    <w:rsid w:val="004C7ECA"/>
    <w:rsid w:val="004D3600"/>
    <w:rsid w:val="004D746E"/>
    <w:rsid w:val="004E38B3"/>
    <w:rsid w:val="004F4858"/>
    <w:rsid w:val="00511297"/>
    <w:rsid w:val="00514FC9"/>
    <w:rsid w:val="005162CA"/>
    <w:rsid w:val="005212FE"/>
    <w:rsid w:val="00521A3B"/>
    <w:rsid w:val="005260AE"/>
    <w:rsid w:val="0052616D"/>
    <w:rsid w:val="00540DF0"/>
    <w:rsid w:val="00542BE2"/>
    <w:rsid w:val="005455B9"/>
    <w:rsid w:val="005455BE"/>
    <w:rsid w:val="00551445"/>
    <w:rsid w:val="00554EED"/>
    <w:rsid w:val="00556E10"/>
    <w:rsid w:val="00557E11"/>
    <w:rsid w:val="00557EE7"/>
    <w:rsid w:val="0057131D"/>
    <w:rsid w:val="005740A2"/>
    <w:rsid w:val="00576657"/>
    <w:rsid w:val="005803B7"/>
    <w:rsid w:val="00586E68"/>
    <w:rsid w:val="00591D9D"/>
    <w:rsid w:val="005928DA"/>
    <w:rsid w:val="005933E3"/>
    <w:rsid w:val="0059647D"/>
    <w:rsid w:val="005B1022"/>
    <w:rsid w:val="005B6AAF"/>
    <w:rsid w:val="005B798A"/>
    <w:rsid w:val="005B79DE"/>
    <w:rsid w:val="005C5AC1"/>
    <w:rsid w:val="005C6426"/>
    <w:rsid w:val="005D12C6"/>
    <w:rsid w:val="005D5EFF"/>
    <w:rsid w:val="005D6D67"/>
    <w:rsid w:val="005E12FB"/>
    <w:rsid w:val="005E5CFC"/>
    <w:rsid w:val="005E7FDE"/>
    <w:rsid w:val="005F6FA1"/>
    <w:rsid w:val="005F77B0"/>
    <w:rsid w:val="00601035"/>
    <w:rsid w:val="0060507A"/>
    <w:rsid w:val="0060512A"/>
    <w:rsid w:val="006120F6"/>
    <w:rsid w:val="006122B0"/>
    <w:rsid w:val="00612F13"/>
    <w:rsid w:val="006146B3"/>
    <w:rsid w:val="00627135"/>
    <w:rsid w:val="006328C7"/>
    <w:rsid w:val="00633AAC"/>
    <w:rsid w:val="0063507A"/>
    <w:rsid w:val="00665F0C"/>
    <w:rsid w:val="00670294"/>
    <w:rsid w:val="006704FE"/>
    <w:rsid w:val="00674DA1"/>
    <w:rsid w:val="00675157"/>
    <w:rsid w:val="00677B84"/>
    <w:rsid w:val="0069769F"/>
    <w:rsid w:val="006A4617"/>
    <w:rsid w:val="006B034F"/>
    <w:rsid w:val="006B2383"/>
    <w:rsid w:val="006B57FE"/>
    <w:rsid w:val="006B6463"/>
    <w:rsid w:val="006B6CCA"/>
    <w:rsid w:val="006B7C07"/>
    <w:rsid w:val="006C123C"/>
    <w:rsid w:val="006C391C"/>
    <w:rsid w:val="006C58E9"/>
    <w:rsid w:val="006C6E2B"/>
    <w:rsid w:val="006D0157"/>
    <w:rsid w:val="006D34ED"/>
    <w:rsid w:val="006D62F4"/>
    <w:rsid w:val="006D72CE"/>
    <w:rsid w:val="006D7B1E"/>
    <w:rsid w:val="006E2E32"/>
    <w:rsid w:val="006E6B0E"/>
    <w:rsid w:val="007001A5"/>
    <w:rsid w:val="007065BB"/>
    <w:rsid w:val="00711569"/>
    <w:rsid w:val="007127FC"/>
    <w:rsid w:val="00715AB6"/>
    <w:rsid w:val="00723968"/>
    <w:rsid w:val="0072468B"/>
    <w:rsid w:val="00730ED1"/>
    <w:rsid w:val="00745C9B"/>
    <w:rsid w:val="0075054E"/>
    <w:rsid w:val="00760679"/>
    <w:rsid w:val="00762AB2"/>
    <w:rsid w:val="00773CA8"/>
    <w:rsid w:val="007766C9"/>
    <w:rsid w:val="00781531"/>
    <w:rsid w:val="00782AB3"/>
    <w:rsid w:val="00786827"/>
    <w:rsid w:val="00795D15"/>
    <w:rsid w:val="007A0BCD"/>
    <w:rsid w:val="007A4B3B"/>
    <w:rsid w:val="007A52A3"/>
    <w:rsid w:val="007A5CC7"/>
    <w:rsid w:val="007B7220"/>
    <w:rsid w:val="007C091B"/>
    <w:rsid w:val="007C0CA6"/>
    <w:rsid w:val="007C1779"/>
    <w:rsid w:val="007C24B7"/>
    <w:rsid w:val="007C61E3"/>
    <w:rsid w:val="007C700A"/>
    <w:rsid w:val="007C7E6D"/>
    <w:rsid w:val="007D5F20"/>
    <w:rsid w:val="007E4148"/>
    <w:rsid w:val="007E747D"/>
    <w:rsid w:val="007F09A6"/>
    <w:rsid w:val="0080152B"/>
    <w:rsid w:val="00816DCB"/>
    <w:rsid w:val="008244ED"/>
    <w:rsid w:val="00835767"/>
    <w:rsid w:val="00840582"/>
    <w:rsid w:val="00843DD1"/>
    <w:rsid w:val="00845804"/>
    <w:rsid w:val="00846165"/>
    <w:rsid w:val="00846494"/>
    <w:rsid w:val="00846E6F"/>
    <w:rsid w:val="008534E9"/>
    <w:rsid w:val="00854664"/>
    <w:rsid w:val="008553B6"/>
    <w:rsid w:val="008611C0"/>
    <w:rsid w:val="00863DC8"/>
    <w:rsid w:val="008676F3"/>
    <w:rsid w:val="00867E65"/>
    <w:rsid w:val="00875F39"/>
    <w:rsid w:val="00877261"/>
    <w:rsid w:val="00882188"/>
    <w:rsid w:val="008844CC"/>
    <w:rsid w:val="008917A9"/>
    <w:rsid w:val="00891B3F"/>
    <w:rsid w:val="00895E94"/>
    <w:rsid w:val="00896EB9"/>
    <w:rsid w:val="008A3BAC"/>
    <w:rsid w:val="008A51AA"/>
    <w:rsid w:val="008B2DE0"/>
    <w:rsid w:val="008B62DC"/>
    <w:rsid w:val="008B68DA"/>
    <w:rsid w:val="008B7572"/>
    <w:rsid w:val="008C0653"/>
    <w:rsid w:val="008C19AF"/>
    <w:rsid w:val="008C7884"/>
    <w:rsid w:val="008D2758"/>
    <w:rsid w:val="008D4FA0"/>
    <w:rsid w:val="008D636A"/>
    <w:rsid w:val="008E17FC"/>
    <w:rsid w:val="008E1D1A"/>
    <w:rsid w:val="008E2FE9"/>
    <w:rsid w:val="00901BAD"/>
    <w:rsid w:val="00902FBB"/>
    <w:rsid w:val="00907CC3"/>
    <w:rsid w:val="00917D60"/>
    <w:rsid w:val="00920978"/>
    <w:rsid w:val="00922292"/>
    <w:rsid w:val="0092410C"/>
    <w:rsid w:val="00931C72"/>
    <w:rsid w:val="00942D7B"/>
    <w:rsid w:val="00946C7C"/>
    <w:rsid w:val="009546C8"/>
    <w:rsid w:val="00955970"/>
    <w:rsid w:val="009560B5"/>
    <w:rsid w:val="00961399"/>
    <w:rsid w:val="009669D4"/>
    <w:rsid w:val="00966C95"/>
    <w:rsid w:val="00973066"/>
    <w:rsid w:val="0097591D"/>
    <w:rsid w:val="0097765E"/>
    <w:rsid w:val="009860F7"/>
    <w:rsid w:val="00987BF3"/>
    <w:rsid w:val="00991405"/>
    <w:rsid w:val="00993F1C"/>
    <w:rsid w:val="009A2800"/>
    <w:rsid w:val="009A4054"/>
    <w:rsid w:val="009A75EB"/>
    <w:rsid w:val="009B22EB"/>
    <w:rsid w:val="009C2F19"/>
    <w:rsid w:val="009C302E"/>
    <w:rsid w:val="009C3CAE"/>
    <w:rsid w:val="009C700F"/>
    <w:rsid w:val="009D0863"/>
    <w:rsid w:val="009D0B3B"/>
    <w:rsid w:val="009D3438"/>
    <w:rsid w:val="009D7858"/>
    <w:rsid w:val="009E17C4"/>
    <w:rsid w:val="009E19EF"/>
    <w:rsid w:val="009F0361"/>
    <w:rsid w:val="009F246E"/>
    <w:rsid w:val="009F45C9"/>
    <w:rsid w:val="009F71BE"/>
    <w:rsid w:val="00A0651D"/>
    <w:rsid w:val="00A12F52"/>
    <w:rsid w:val="00A2657B"/>
    <w:rsid w:val="00A267F8"/>
    <w:rsid w:val="00A31A07"/>
    <w:rsid w:val="00A3641F"/>
    <w:rsid w:val="00A40A91"/>
    <w:rsid w:val="00A41684"/>
    <w:rsid w:val="00A423C3"/>
    <w:rsid w:val="00A44649"/>
    <w:rsid w:val="00A44FFE"/>
    <w:rsid w:val="00A47BB9"/>
    <w:rsid w:val="00A50F6D"/>
    <w:rsid w:val="00A51332"/>
    <w:rsid w:val="00A5302A"/>
    <w:rsid w:val="00A54A15"/>
    <w:rsid w:val="00A613E8"/>
    <w:rsid w:val="00A61D22"/>
    <w:rsid w:val="00A65FE3"/>
    <w:rsid w:val="00A7679F"/>
    <w:rsid w:val="00A86A5E"/>
    <w:rsid w:val="00A871BA"/>
    <w:rsid w:val="00A926C8"/>
    <w:rsid w:val="00A9295B"/>
    <w:rsid w:val="00A950FB"/>
    <w:rsid w:val="00A96FD7"/>
    <w:rsid w:val="00AA16D4"/>
    <w:rsid w:val="00AA1E2B"/>
    <w:rsid w:val="00AA33AD"/>
    <w:rsid w:val="00AA7418"/>
    <w:rsid w:val="00AB5445"/>
    <w:rsid w:val="00AB555A"/>
    <w:rsid w:val="00AB5838"/>
    <w:rsid w:val="00AB7396"/>
    <w:rsid w:val="00AC75F3"/>
    <w:rsid w:val="00AD6B24"/>
    <w:rsid w:val="00AE23A8"/>
    <w:rsid w:val="00AE3BFD"/>
    <w:rsid w:val="00AE5930"/>
    <w:rsid w:val="00AE5F26"/>
    <w:rsid w:val="00AE7185"/>
    <w:rsid w:val="00AE7ABA"/>
    <w:rsid w:val="00AF4B5E"/>
    <w:rsid w:val="00AF75EC"/>
    <w:rsid w:val="00B073AE"/>
    <w:rsid w:val="00B140C0"/>
    <w:rsid w:val="00B14C6B"/>
    <w:rsid w:val="00B17A61"/>
    <w:rsid w:val="00B17E2D"/>
    <w:rsid w:val="00B21FC3"/>
    <w:rsid w:val="00B22C24"/>
    <w:rsid w:val="00B27473"/>
    <w:rsid w:val="00B31EC2"/>
    <w:rsid w:val="00B3276F"/>
    <w:rsid w:val="00B33417"/>
    <w:rsid w:val="00B411AE"/>
    <w:rsid w:val="00B41240"/>
    <w:rsid w:val="00B432C2"/>
    <w:rsid w:val="00B4360E"/>
    <w:rsid w:val="00B4440B"/>
    <w:rsid w:val="00B46C05"/>
    <w:rsid w:val="00B508E5"/>
    <w:rsid w:val="00B51FC9"/>
    <w:rsid w:val="00B55FB5"/>
    <w:rsid w:val="00B661AD"/>
    <w:rsid w:val="00B669D2"/>
    <w:rsid w:val="00B66D43"/>
    <w:rsid w:val="00B70410"/>
    <w:rsid w:val="00B707BA"/>
    <w:rsid w:val="00B7308B"/>
    <w:rsid w:val="00B74F82"/>
    <w:rsid w:val="00B77342"/>
    <w:rsid w:val="00B805F1"/>
    <w:rsid w:val="00B82CB1"/>
    <w:rsid w:val="00B9133A"/>
    <w:rsid w:val="00B93BC7"/>
    <w:rsid w:val="00B93F9B"/>
    <w:rsid w:val="00B94A23"/>
    <w:rsid w:val="00B9751E"/>
    <w:rsid w:val="00BA08A6"/>
    <w:rsid w:val="00BA489C"/>
    <w:rsid w:val="00BA7DE9"/>
    <w:rsid w:val="00BB10E5"/>
    <w:rsid w:val="00BB20D8"/>
    <w:rsid w:val="00BB27BB"/>
    <w:rsid w:val="00BB2AA1"/>
    <w:rsid w:val="00BB438C"/>
    <w:rsid w:val="00BB66DB"/>
    <w:rsid w:val="00BC0026"/>
    <w:rsid w:val="00BC0BE6"/>
    <w:rsid w:val="00BC2EBD"/>
    <w:rsid w:val="00BC5D51"/>
    <w:rsid w:val="00BD5893"/>
    <w:rsid w:val="00BE36ED"/>
    <w:rsid w:val="00BE55C0"/>
    <w:rsid w:val="00BF3D34"/>
    <w:rsid w:val="00C04D23"/>
    <w:rsid w:val="00C07A03"/>
    <w:rsid w:val="00C11CCA"/>
    <w:rsid w:val="00C16509"/>
    <w:rsid w:val="00C1652C"/>
    <w:rsid w:val="00C170B7"/>
    <w:rsid w:val="00C23DB0"/>
    <w:rsid w:val="00C34AB3"/>
    <w:rsid w:val="00C357F4"/>
    <w:rsid w:val="00C36F5B"/>
    <w:rsid w:val="00C460B2"/>
    <w:rsid w:val="00C4671A"/>
    <w:rsid w:val="00C4691E"/>
    <w:rsid w:val="00C521AB"/>
    <w:rsid w:val="00C54228"/>
    <w:rsid w:val="00C624F1"/>
    <w:rsid w:val="00C640D6"/>
    <w:rsid w:val="00C679A0"/>
    <w:rsid w:val="00C73848"/>
    <w:rsid w:val="00C81977"/>
    <w:rsid w:val="00C841F0"/>
    <w:rsid w:val="00C941C0"/>
    <w:rsid w:val="00C9798A"/>
    <w:rsid w:val="00CA5F71"/>
    <w:rsid w:val="00CB0268"/>
    <w:rsid w:val="00CB1C9A"/>
    <w:rsid w:val="00CB1FAC"/>
    <w:rsid w:val="00CB7309"/>
    <w:rsid w:val="00CC246E"/>
    <w:rsid w:val="00CC3005"/>
    <w:rsid w:val="00CC7488"/>
    <w:rsid w:val="00CD506D"/>
    <w:rsid w:val="00CE1994"/>
    <w:rsid w:val="00CE33F9"/>
    <w:rsid w:val="00CF0079"/>
    <w:rsid w:val="00CF1199"/>
    <w:rsid w:val="00CF1368"/>
    <w:rsid w:val="00CF1756"/>
    <w:rsid w:val="00CF73B6"/>
    <w:rsid w:val="00D022FC"/>
    <w:rsid w:val="00D04DD2"/>
    <w:rsid w:val="00D04EF5"/>
    <w:rsid w:val="00D0650F"/>
    <w:rsid w:val="00D069F5"/>
    <w:rsid w:val="00D108A9"/>
    <w:rsid w:val="00D12283"/>
    <w:rsid w:val="00D152FD"/>
    <w:rsid w:val="00D153A4"/>
    <w:rsid w:val="00D23825"/>
    <w:rsid w:val="00D30C88"/>
    <w:rsid w:val="00D344C5"/>
    <w:rsid w:val="00D368BC"/>
    <w:rsid w:val="00D42C73"/>
    <w:rsid w:val="00D452E4"/>
    <w:rsid w:val="00D506A0"/>
    <w:rsid w:val="00D53454"/>
    <w:rsid w:val="00D55E82"/>
    <w:rsid w:val="00D62A71"/>
    <w:rsid w:val="00D62CC0"/>
    <w:rsid w:val="00D73773"/>
    <w:rsid w:val="00D768EA"/>
    <w:rsid w:val="00D76BEC"/>
    <w:rsid w:val="00D93C3B"/>
    <w:rsid w:val="00DB1966"/>
    <w:rsid w:val="00DB6BDB"/>
    <w:rsid w:val="00DC0A97"/>
    <w:rsid w:val="00DC7995"/>
    <w:rsid w:val="00DC7E1E"/>
    <w:rsid w:val="00DD0C9D"/>
    <w:rsid w:val="00DD127B"/>
    <w:rsid w:val="00DD52D2"/>
    <w:rsid w:val="00DE18CA"/>
    <w:rsid w:val="00DE44EC"/>
    <w:rsid w:val="00DE591C"/>
    <w:rsid w:val="00DF0AAD"/>
    <w:rsid w:val="00DF0DF3"/>
    <w:rsid w:val="00DF51A3"/>
    <w:rsid w:val="00DF6CF8"/>
    <w:rsid w:val="00DF77E7"/>
    <w:rsid w:val="00E00216"/>
    <w:rsid w:val="00E018CE"/>
    <w:rsid w:val="00E1180B"/>
    <w:rsid w:val="00E2158A"/>
    <w:rsid w:val="00E23CFE"/>
    <w:rsid w:val="00E27CE9"/>
    <w:rsid w:val="00E30978"/>
    <w:rsid w:val="00E3155B"/>
    <w:rsid w:val="00E320D6"/>
    <w:rsid w:val="00E34394"/>
    <w:rsid w:val="00E41752"/>
    <w:rsid w:val="00E41844"/>
    <w:rsid w:val="00E42731"/>
    <w:rsid w:val="00E555D2"/>
    <w:rsid w:val="00E731B1"/>
    <w:rsid w:val="00E74C82"/>
    <w:rsid w:val="00E75C67"/>
    <w:rsid w:val="00E82587"/>
    <w:rsid w:val="00E84683"/>
    <w:rsid w:val="00E86893"/>
    <w:rsid w:val="00E911FF"/>
    <w:rsid w:val="00E91FDE"/>
    <w:rsid w:val="00E9264F"/>
    <w:rsid w:val="00EA311C"/>
    <w:rsid w:val="00EA3D5C"/>
    <w:rsid w:val="00EA609C"/>
    <w:rsid w:val="00EA7109"/>
    <w:rsid w:val="00EA7152"/>
    <w:rsid w:val="00EB2320"/>
    <w:rsid w:val="00EB50C5"/>
    <w:rsid w:val="00EB6D84"/>
    <w:rsid w:val="00EB6D8B"/>
    <w:rsid w:val="00EC1FC7"/>
    <w:rsid w:val="00EC2399"/>
    <w:rsid w:val="00EC4E95"/>
    <w:rsid w:val="00EC64C7"/>
    <w:rsid w:val="00ED5894"/>
    <w:rsid w:val="00EE789A"/>
    <w:rsid w:val="00EE78B2"/>
    <w:rsid w:val="00EF25CB"/>
    <w:rsid w:val="00EF4F04"/>
    <w:rsid w:val="00F0135C"/>
    <w:rsid w:val="00F01792"/>
    <w:rsid w:val="00F04ECF"/>
    <w:rsid w:val="00F10567"/>
    <w:rsid w:val="00F10B0D"/>
    <w:rsid w:val="00F15B85"/>
    <w:rsid w:val="00F15E67"/>
    <w:rsid w:val="00F202B5"/>
    <w:rsid w:val="00F22961"/>
    <w:rsid w:val="00F24C92"/>
    <w:rsid w:val="00F27A62"/>
    <w:rsid w:val="00F27BE3"/>
    <w:rsid w:val="00F34E48"/>
    <w:rsid w:val="00F36533"/>
    <w:rsid w:val="00F476D2"/>
    <w:rsid w:val="00F63367"/>
    <w:rsid w:val="00F6683E"/>
    <w:rsid w:val="00F70CFD"/>
    <w:rsid w:val="00F738DB"/>
    <w:rsid w:val="00F73C7E"/>
    <w:rsid w:val="00F7595B"/>
    <w:rsid w:val="00F81450"/>
    <w:rsid w:val="00F8593D"/>
    <w:rsid w:val="00F87831"/>
    <w:rsid w:val="00F87E2C"/>
    <w:rsid w:val="00F9103C"/>
    <w:rsid w:val="00F9104F"/>
    <w:rsid w:val="00F950AA"/>
    <w:rsid w:val="00FA119F"/>
    <w:rsid w:val="00FA566D"/>
    <w:rsid w:val="00FB3A18"/>
    <w:rsid w:val="00FB408C"/>
    <w:rsid w:val="00FC052D"/>
    <w:rsid w:val="00FC13C7"/>
    <w:rsid w:val="00FC28C7"/>
    <w:rsid w:val="00FD1110"/>
    <w:rsid w:val="00FD492A"/>
    <w:rsid w:val="00FD58F3"/>
    <w:rsid w:val="00FD6A6F"/>
    <w:rsid w:val="00FE0273"/>
    <w:rsid w:val="00FE0E24"/>
    <w:rsid w:val="00FE30E9"/>
    <w:rsid w:val="00FE5195"/>
    <w:rsid w:val="00FE5A20"/>
    <w:rsid w:val="00FE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B8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234"/>
    <w:rPr>
      <w:color w:val="0000FF"/>
      <w:u w:val="single"/>
    </w:rPr>
  </w:style>
  <w:style w:type="table" w:styleId="TableGrid">
    <w:name w:val="Table Grid"/>
    <w:basedOn w:val="TableNormal"/>
    <w:rsid w:val="001442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44234"/>
    <w:rPr>
      <w:sz w:val="16"/>
      <w:szCs w:val="16"/>
    </w:rPr>
  </w:style>
  <w:style w:type="paragraph" w:styleId="CommentText">
    <w:name w:val="annotation text"/>
    <w:basedOn w:val="Normal"/>
    <w:link w:val="CommentTextChar"/>
    <w:semiHidden/>
    <w:rsid w:val="00144234"/>
    <w:rPr>
      <w:sz w:val="20"/>
      <w:szCs w:val="20"/>
    </w:rPr>
  </w:style>
  <w:style w:type="paragraph" w:styleId="BalloonText">
    <w:name w:val="Balloon Text"/>
    <w:basedOn w:val="Normal"/>
    <w:semiHidden/>
    <w:rsid w:val="00144234"/>
    <w:rPr>
      <w:rFonts w:ascii="Tahoma" w:hAnsi="Tahoma" w:cs="Tahoma"/>
      <w:sz w:val="16"/>
      <w:szCs w:val="16"/>
    </w:rPr>
  </w:style>
  <w:style w:type="paragraph" w:styleId="CommentSubject">
    <w:name w:val="annotation subject"/>
    <w:basedOn w:val="CommentText"/>
    <w:next w:val="CommentText"/>
    <w:link w:val="CommentSubjectChar"/>
    <w:rsid w:val="00DB1966"/>
    <w:rPr>
      <w:b/>
      <w:bCs/>
    </w:rPr>
  </w:style>
  <w:style w:type="character" w:customStyle="1" w:styleId="CommentTextChar">
    <w:name w:val="Comment Text Char"/>
    <w:basedOn w:val="DefaultParagraphFont"/>
    <w:link w:val="CommentText"/>
    <w:semiHidden/>
    <w:rsid w:val="00DB1966"/>
  </w:style>
  <w:style w:type="character" w:customStyle="1" w:styleId="CommentSubjectChar">
    <w:name w:val="Comment Subject Char"/>
    <w:basedOn w:val="CommentTextChar"/>
    <w:link w:val="CommentSubject"/>
    <w:rsid w:val="00DB1966"/>
  </w:style>
  <w:style w:type="paragraph" w:styleId="Header">
    <w:name w:val="header"/>
    <w:basedOn w:val="Normal"/>
    <w:link w:val="HeaderChar"/>
    <w:rsid w:val="00E018CE"/>
    <w:pPr>
      <w:tabs>
        <w:tab w:val="center" w:pos="4680"/>
        <w:tab w:val="right" w:pos="9360"/>
      </w:tabs>
    </w:pPr>
  </w:style>
  <w:style w:type="character" w:customStyle="1" w:styleId="HeaderChar">
    <w:name w:val="Header Char"/>
    <w:basedOn w:val="DefaultParagraphFont"/>
    <w:link w:val="Header"/>
    <w:rsid w:val="00E018CE"/>
    <w:rPr>
      <w:sz w:val="24"/>
      <w:szCs w:val="24"/>
    </w:rPr>
  </w:style>
  <w:style w:type="paragraph" w:styleId="Footer">
    <w:name w:val="footer"/>
    <w:basedOn w:val="Normal"/>
    <w:link w:val="FooterChar"/>
    <w:uiPriority w:val="99"/>
    <w:rsid w:val="00E018CE"/>
    <w:pPr>
      <w:tabs>
        <w:tab w:val="center" w:pos="4680"/>
        <w:tab w:val="right" w:pos="9360"/>
      </w:tabs>
    </w:pPr>
  </w:style>
  <w:style w:type="character" w:customStyle="1" w:styleId="FooterChar">
    <w:name w:val="Footer Char"/>
    <w:basedOn w:val="DefaultParagraphFont"/>
    <w:link w:val="Footer"/>
    <w:uiPriority w:val="99"/>
    <w:rsid w:val="00E018CE"/>
    <w:rPr>
      <w:sz w:val="24"/>
      <w:szCs w:val="24"/>
    </w:rPr>
  </w:style>
  <w:style w:type="character" w:styleId="FollowedHyperlink">
    <w:name w:val="FollowedHyperlink"/>
    <w:basedOn w:val="DefaultParagraphFont"/>
    <w:rsid w:val="00882188"/>
    <w:rPr>
      <w:color w:val="800080"/>
      <w:u w:val="single"/>
    </w:rPr>
  </w:style>
  <w:style w:type="paragraph" w:styleId="ListParagraph">
    <w:name w:val="List Paragraph"/>
    <w:basedOn w:val="Normal"/>
    <w:uiPriority w:val="34"/>
    <w:qFormat/>
    <w:rsid w:val="00920978"/>
    <w:pPr>
      <w:ind w:left="720"/>
      <w:contextualSpacing/>
    </w:pPr>
  </w:style>
  <w:style w:type="paragraph" w:styleId="Revision">
    <w:name w:val="Revision"/>
    <w:hidden/>
    <w:uiPriority w:val="99"/>
    <w:semiHidden/>
    <w:rsid w:val="009F246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2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234"/>
    <w:rPr>
      <w:color w:val="0000FF"/>
      <w:u w:val="single"/>
    </w:rPr>
  </w:style>
  <w:style w:type="table" w:styleId="TableGrid">
    <w:name w:val="Table Grid"/>
    <w:basedOn w:val="TableNormal"/>
    <w:rsid w:val="0014423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144234"/>
    <w:rPr>
      <w:sz w:val="16"/>
      <w:szCs w:val="16"/>
    </w:rPr>
  </w:style>
  <w:style w:type="paragraph" w:styleId="CommentText">
    <w:name w:val="annotation text"/>
    <w:basedOn w:val="Normal"/>
    <w:link w:val="CommentTextChar"/>
    <w:semiHidden/>
    <w:rsid w:val="00144234"/>
    <w:rPr>
      <w:sz w:val="20"/>
      <w:szCs w:val="20"/>
    </w:rPr>
  </w:style>
  <w:style w:type="paragraph" w:styleId="BalloonText">
    <w:name w:val="Balloon Text"/>
    <w:basedOn w:val="Normal"/>
    <w:semiHidden/>
    <w:rsid w:val="00144234"/>
    <w:rPr>
      <w:rFonts w:ascii="Tahoma" w:hAnsi="Tahoma" w:cs="Tahoma"/>
      <w:sz w:val="16"/>
      <w:szCs w:val="16"/>
    </w:rPr>
  </w:style>
  <w:style w:type="paragraph" w:styleId="CommentSubject">
    <w:name w:val="annotation subject"/>
    <w:basedOn w:val="CommentText"/>
    <w:next w:val="CommentText"/>
    <w:link w:val="CommentSubjectChar"/>
    <w:rsid w:val="00DB1966"/>
    <w:rPr>
      <w:b/>
      <w:bCs/>
    </w:rPr>
  </w:style>
  <w:style w:type="character" w:customStyle="1" w:styleId="CommentTextChar">
    <w:name w:val="Comment Text Char"/>
    <w:basedOn w:val="DefaultParagraphFont"/>
    <w:link w:val="CommentText"/>
    <w:semiHidden/>
    <w:rsid w:val="00DB1966"/>
  </w:style>
  <w:style w:type="character" w:customStyle="1" w:styleId="CommentSubjectChar">
    <w:name w:val="Comment Subject Char"/>
    <w:basedOn w:val="CommentTextChar"/>
    <w:link w:val="CommentSubject"/>
    <w:rsid w:val="00DB1966"/>
  </w:style>
  <w:style w:type="paragraph" w:styleId="Header">
    <w:name w:val="header"/>
    <w:basedOn w:val="Normal"/>
    <w:link w:val="HeaderChar"/>
    <w:rsid w:val="00E018CE"/>
    <w:pPr>
      <w:tabs>
        <w:tab w:val="center" w:pos="4680"/>
        <w:tab w:val="right" w:pos="9360"/>
      </w:tabs>
    </w:pPr>
  </w:style>
  <w:style w:type="character" w:customStyle="1" w:styleId="HeaderChar">
    <w:name w:val="Header Char"/>
    <w:basedOn w:val="DefaultParagraphFont"/>
    <w:link w:val="Header"/>
    <w:rsid w:val="00E018CE"/>
    <w:rPr>
      <w:sz w:val="24"/>
      <w:szCs w:val="24"/>
    </w:rPr>
  </w:style>
  <w:style w:type="paragraph" w:styleId="Footer">
    <w:name w:val="footer"/>
    <w:basedOn w:val="Normal"/>
    <w:link w:val="FooterChar"/>
    <w:uiPriority w:val="99"/>
    <w:rsid w:val="00E018CE"/>
    <w:pPr>
      <w:tabs>
        <w:tab w:val="center" w:pos="4680"/>
        <w:tab w:val="right" w:pos="9360"/>
      </w:tabs>
    </w:pPr>
  </w:style>
  <w:style w:type="character" w:customStyle="1" w:styleId="FooterChar">
    <w:name w:val="Footer Char"/>
    <w:basedOn w:val="DefaultParagraphFont"/>
    <w:link w:val="Footer"/>
    <w:uiPriority w:val="99"/>
    <w:rsid w:val="00E018CE"/>
    <w:rPr>
      <w:sz w:val="24"/>
      <w:szCs w:val="24"/>
    </w:rPr>
  </w:style>
  <w:style w:type="character" w:styleId="FollowedHyperlink">
    <w:name w:val="FollowedHyperlink"/>
    <w:basedOn w:val="DefaultParagraphFont"/>
    <w:rsid w:val="00882188"/>
    <w:rPr>
      <w:color w:val="800080"/>
      <w:u w:val="single"/>
    </w:rPr>
  </w:style>
  <w:style w:type="paragraph" w:styleId="ListParagraph">
    <w:name w:val="List Paragraph"/>
    <w:basedOn w:val="Normal"/>
    <w:uiPriority w:val="34"/>
    <w:qFormat/>
    <w:rsid w:val="00920978"/>
    <w:pPr>
      <w:ind w:left="720"/>
      <w:contextualSpacing/>
    </w:pPr>
  </w:style>
  <w:style w:type="paragraph" w:styleId="Revision">
    <w:name w:val="Revision"/>
    <w:hidden/>
    <w:uiPriority w:val="99"/>
    <w:semiHidden/>
    <w:rsid w:val="009F24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64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t0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iosh/hhe/default.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dc.gov/cdc-info/" TargetMode="External"/><Relationship Id="rId4" Type="http://schemas.microsoft.com/office/2007/relationships/stylesWithEffects" Target="stylesWithEffects.xml"/><Relationship Id="rId9" Type="http://schemas.openxmlformats.org/officeDocument/2006/relationships/hyperlink" Target="http://www.cdc.gov/niosh/nor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A9EFC-7E67-4AA0-A980-49FD132FF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5493</Words>
  <Characters>31315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Part A: Justification</vt:lpstr>
    </vt:vector>
  </TitlesOfParts>
  <Company>ITSO</Company>
  <LinksUpToDate>false</LinksUpToDate>
  <CharactersWithSpaces>36735</CharactersWithSpaces>
  <SharedDoc>false</SharedDoc>
  <HLinks>
    <vt:vector size="12" baseType="variant">
      <vt:variant>
        <vt:i4>26</vt:i4>
      </vt:variant>
      <vt:variant>
        <vt:i4>3</vt:i4>
      </vt:variant>
      <vt:variant>
        <vt:i4>0</vt:i4>
      </vt:variant>
      <vt:variant>
        <vt:i4>5</vt:i4>
      </vt:variant>
      <vt:variant>
        <vt:lpwstr>http://www.bls.gov/news.release/ecec.t01.htm</vt:lpwstr>
      </vt:variant>
      <vt:variant>
        <vt:lpwstr/>
      </vt:variant>
      <vt:variant>
        <vt:i4>6291553</vt:i4>
      </vt:variant>
      <vt:variant>
        <vt:i4>0</vt:i4>
      </vt:variant>
      <vt:variant>
        <vt:i4>0</vt:i4>
      </vt:variant>
      <vt:variant>
        <vt:i4>5</vt:i4>
      </vt:variant>
      <vt:variant>
        <vt:lpwstr>http://www.cdc.gov/niosh/nora/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Justification</dc:title>
  <dc:creator>CDC User</dc:creator>
  <cp:lastModifiedBy>SYSTEM</cp:lastModifiedBy>
  <cp:revision>2</cp:revision>
  <cp:lastPrinted>2017-08-23T14:12:00Z</cp:lastPrinted>
  <dcterms:created xsi:type="dcterms:W3CDTF">2017-08-31T14:45:00Z</dcterms:created>
  <dcterms:modified xsi:type="dcterms:W3CDTF">2017-08-31T14:45:00Z</dcterms:modified>
</cp:coreProperties>
</file>