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F5F05" w14:textId="4B2DD6B8" w:rsidR="00BB6B79" w:rsidRPr="00734B3C" w:rsidRDefault="007F49E8" w:rsidP="00BB6B79">
      <w:pPr>
        <w:jc w:val="center"/>
        <w:rPr>
          <w:rFonts w:ascii="Arial" w:hAnsi="Arial" w:cs="Arial"/>
          <w:b/>
          <w:i/>
          <w:sz w:val="44"/>
          <w:szCs w:val="44"/>
        </w:rPr>
      </w:pPr>
      <w:bookmarkStart w:id="0" w:name="_GoBack"/>
      <w:bookmarkEnd w:id="0"/>
      <w:r>
        <w:rPr>
          <w:rFonts w:ascii="Arial" w:hAnsi="Arial" w:cs="Arial"/>
          <w:b/>
          <w:i/>
          <w:sz w:val="44"/>
          <w:szCs w:val="44"/>
        </w:rPr>
        <w:t>Attachment 12</w:t>
      </w:r>
      <w:r w:rsidR="007B4CF0">
        <w:rPr>
          <w:rFonts w:ascii="Arial" w:hAnsi="Arial" w:cs="Arial"/>
          <w:b/>
          <w:i/>
          <w:sz w:val="44"/>
          <w:szCs w:val="44"/>
        </w:rPr>
        <w:t>a</w:t>
      </w:r>
    </w:p>
    <w:p w14:paraId="2ABCFF6F" w14:textId="77777777" w:rsidR="00BB6B79" w:rsidRPr="00734B3C" w:rsidRDefault="00BB6B79" w:rsidP="00BB6B79">
      <w:pPr>
        <w:jc w:val="center"/>
        <w:rPr>
          <w:rFonts w:ascii="Arial" w:hAnsi="Arial" w:cs="Arial"/>
          <w:b/>
          <w:i/>
          <w:sz w:val="44"/>
          <w:szCs w:val="44"/>
        </w:rPr>
      </w:pPr>
    </w:p>
    <w:p w14:paraId="2FA01D24" w14:textId="77407D90" w:rsidR="00BB6B79" w:rsidRDefault="00730FA6" w:rsidP="00BB6B79">
      <w:pPr>
        <w:jc w:val="center"/>
        <w:rPr>
          <w:rFonts w:ascii="Arial" w:hAnsi="Arial" w:cs="Arial"/>
          <w:b/>
          <w:i/>
          <w:sz w:val="36"/>
          <w:szCs w:val="36"/>
        </w:rPr>
      </w:pPr>
      <w:r>
        <w:rPr>
          <w:rFonts w:ascii="Arial" w:hAnsi="Arial" w:cs="Arial"/>
          <w:b/>
          <w:i/>
          <w:sz w:val="36"/>
          <w:szCs w:val="36"/>
        </w:rPr>
        <w:t>Blood Pressure Methodology Phase 1</w:t>
      </w:r>
    </w:p>
    <w:p w14:paraId="2C8AC36C" w14:textId="77777777" w:rsidR="00BB6B79" w:rsidRPr="009239C9" w:rsidRDefault="00BB6B79" w:rsidP="00BB6B79">
      <w:pPr>
        <w:jc w:val="center"/>
        <w:rPr>
          <w:rFonts w:ascii="Arial" w:hAnsi="Arial" w:cs="Arial"/>
          <w:b/>
          <w:sz w:val="36"/>
          <w:szCs w:val="36"/>
        </w:rPr>
      </w:pPr>
    </w:p>
    <w:p w14:paraId="6277DBCD" w14:textId="76F74967" w:rsidR="009239C9" w:rsidRPr="009239C9" w:rsidRDefault="00E97C81" w:rsidP="009239C9">
      <w:pPr>
        <w:jc w:val="right"/>
        <w:rPr>
          <w:rFonts w:ascii="Arial" w:hAnsi="Arial" w:cs="Arial"/>
          <w:b/>
          <w:sz w:val="36"/>
          <w:szCs w:val="36"/>
        </w:rPr>
      </w:pPr>
      <w:r>
        <w:rPr>
          <w:rFonts w:ascii="Arial" w:hAnsi="Arial" w:cs="Arial"/>
          <w:sz w:val="18"/>
          <w:szCs w:val="18"/>
          <w:bdr w:val="single" w:sz="4" w:space="0" w:color="auto"/>
        </w:rPr>
        <w:t xml:space="preserve">Form Approved   </w:t>
      </w:r>
      <w:r w:rsidR="009239C9" w:rsidRPr="009239C9">
        <w:rPr>
          <w:rFonts w:ascii="Arial" w:hAnsi="Arial" w:cs="Arial"/>
          <w:sz w:val="18"/>
          <w:szCs w:val="18"/>
          <w:bdr w:val="single" w:sz="4" w:space="0" w:color="auto"/>
        </w:rPr>
        <w:t>OMB No. 0920-</w:t>
      </w:r>
      <w:r w:rsidR="00277C11">
        <w:rPr>
          <w:rFonts w:ascii="Arial" w:hAnsi="Arial" w:cs="Arial"/>
          <w:sz w:val="18"/>
          <w:szCs w:val="18"/>
          <w:bdr w:val="single" w:sz="4" w:space="0" w:color="auto"/>
        </w:rPr>
        <w:t>095</w:t>
      </w:r>
      <w:r>
        <w:rPr>
          <w:rFonts w:ascii="Arial" w:hAnsi="Arial" w:cs="Arial"/>
          <w:sz w:val="18"/>
          <w:szCs w:val="18"/>
          <w:bdr w:val="single" w:sz="4" w:space="0" w:color="auto"/>
        </w:rPr>
        <w:t>0 Exp. Date xx/xx/20xx</w:t>
      </w:r>
    </w:p>
    <w:p w14:paraId="2B3831F3" w14:textId="77777777" w:rsidR="00BB6B79" w:rsidRPr="00A42E0A" w:rsidRDefault="00BB6B79" w:rsidP="009239C9">
      <w:pPr>
        <w:pBdr>
          <w:top w:val="single" w:sz="4" w:space="1" w:color="auto"/>
          <w:left w:val="single" w:sz="4" w:space="3" w:color="auto"/>
          <w:bottom w:val="single" w:sz="4" w:space="1" w:color="auto"/>
          <w:right w:val="single" w:sz="4" w:space="0" w:color="auto"/>
        </w:pBdr>
        <w:rPr>
          <w:rFonts w:ascii="Arial" w:hAnsi="Arial" w:cs="Arial"/>
          <w:sz w:val="18"/>
          <w:szCs w:val="18"/>
        </w:rPr>
      </w:pPr>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Pr>
          <w:rFonts w:ascii="Arial" w:hAnsi="Arial" w:cs="Arial"/>
          <w:sz w:val="18"/>
          <w:szCs w:val="18"/>
        </w:rPr>
        <w:t>.</w:t>
      </w:r>
    </w:p>
    <w:p w14:paraId="25E0EF07" w14:textId="7E33FB6A" w:rsidR="00BB6B79" w:rsidRPr="0020459E" w:rsidRDefault="00BB6B79" w:rsidP="00BB6B7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is estimated to average </w:t>
      </w:r>
      <w:r w:rsidR="00493761">
        <w:rPr>
          <w:rFonts w:ascii="Arial" w:hAnsi="Arial" w:cs="Arial"/>
          <w:sz w:val="18"/>
          <w:szCs w:val="18"/>
        </w:rPr>
        <w:t>3</w:t>
      </w:r>
      <w:r w:rsidR="00F65519">
        <w:rPr>
          <w:rFonts w:ascii="Arial" w:hAnsi="Arial" w:cs="Arial"/>
          <w:sz w:val="18"/>
          <w:szCs w:val="18"/>
        </w:rPr>
        <w:t>0 minutes</w:t>
      </w:r>
      <w:r w:rsidRPr="0020459E">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5B00D8" w:rsidRPr="005B00D8">
        <w:rPr>
          <w:rFonts w:ascii="Arial" w:hAnsi="Arial" w:cs="Arial"/>
          <w:sz w:val="18"/>
          <w:szCs w:val="18"/>
        </w:rPr>
        <w:t>MS D-74</w:t>
      </w:r>
      <w:r w:rsidRPr="0020459E">
        <w:rPr>
          <w:rFonts w:ascii="Arial" w:hAnsi="Arial" w:cs="Arial"/>
          <w:sz w:val="18"/>
          <w:szCs w:val="18"/>
        </w:rPr>
        <w:t>, Atlanta, GA 30333.  ATTN: PRA (0920-</w:t>
      </w:r>
      <w:r w:rsidR="008206ED" w:rsidRPr="008206ED">
        <w:rPr>
          <w:rFonts w:ascii="Arial" w:hAnsi="Arial" w:cs="Arial"/>
          <w:sz w:val="18"/>
          <w:szCs w:val="18"/>
        </w:rPr>
        <w:t>0</w:t>
      </w:r>
      <w:r w:rsidR="00277C11">
        <w:rPr>
          <w:rFonts w:ascii="Arial" w:hAnsi="Arial" w:cs="Arial"/>
          <w:sz w:val="18"/>
          <w:szCs w:val="18"/>
        </w:rPr>
        <w:t>950</w:t>
      </w:r>
      <w:r w:rsidRPr="0020459E">
        <w:rPr>
          <w:rFonts w:ascii="Arial" w:hAnsi="Arial" w:cs="Arial"/>
          <w:sz w:val="18"/>
          <w:szCs w:val="18"/>
        </w:rPr>
        <w:t>).</w:t>
      </w:r>
    </w:p>
    <w:p w14:paraId="413E986A" w14:textId="77777777" w:rsidR="00C12BC1" w:rsidRDefault="00C12BC1" w:rsidP="00AB1AE7">
      <w:pPr>
        <w:spacing w:line="360" w:lineRule="auto"/>
        <w:jc w:val="right"/>
      </w:pPr>
    </w:p>
    <w:p w14:paraId="73E62626" w14:textId="4E50CAE2" w:rsidR="00B9299D" w:rsidRDefault="00EE21B2" w:rsidP="00B9299D">
      <w:pPr>
        <w:widowControl w:val="0"/>
        <w:autoSpaceDE w:val="0"/>
        <w:autoSpaceDN w:val="0"/>
        <w:adjustRightInd w:val="0"/>
        <w:rPr>
          <w:b/>
        </w:rPr>
      </w:pPr>
      <w:r w:rsidRPr="00EE21B2">
        <w:rPr>
          <w:b/>
        </w:rPr>
        <w:t>Blood Pressure Methodology Phase 1</w:t>
      </w:r>
    </w:p>
    <w:p w14:paraId="20625ADA" w14:textId="77777777" w:rsidR="005C6391" w:rsidRDefault="005C6391" w:rsidP="00B9299D">
      <w:pPr>
        <w:widowControl w:val="0"/>
        <w:autoSpaceDE w:val="0"/>
        <w:autoSpaceDN w:val="0"/>
        <w:adjustRightInd w:val="0"/>
        <w:rPr>
          <w:b/>
        </w:rPr>
      </w:pPr>
    </w:p>
    <w:p w14:paraId="550044FC" w14:textId="77777777" w:rsidR="005C6391" w:rsidRPr="005C6391" w:rsidRDefault="005C6391" w:rsidP="005C6391">
      <w:pPr>
        <w:widowControl w:val="0"/>
        <w:autoSpaceDE w:val="0"/>
        <w:autoSpaceDN w:val="0"/>
        <w:adjustRightInd w:val="0"/>
        <w:rPr>
          <w:u w:val="single"/>
        </w:rPr>
      </w:pPr>
      <w:r w:rsidRPr="005C6391">
        <w:rPr>
          <w:u w:val="single"/>
        </w:rPr>
        <w:t xml:space="preserve">Justification for the Study </w:t>
      </w:r>
    </w:p>
    <w:p w14:paraId="066347B9" w14:textId="0748234F" w:rsidR="005C6391" w:rsidRPr="005C6391" w:rsidRDefault="005C6391" w:rsidP="005C6391">
      <w:pPr>
        <w:widowControl w:val="0"/>
        <w:autoSpaceDE w:val="0"/>
        <w:autoSpaceDN w:val="0"/>
        <w:adjustRightInd w:val="0"/>
      </w:pPr>
      <w:r w:rsidRPr="005C6391">
        <w:tab/>
        <w:t>The ways of obtaining BP have changed remarkably in the last 20 years. Clinical BP, the category in which</w:t>
      </w:r>
      <w:r>
        <w:t xml:space="preserve"> the National Health and Nutrition Examination Survey (</w:t>
      </w:r>
      <w:r w:rsidRPr="005C6391">
        <w:t>NHANES</w:t>
      </w:r>
      <w:r>
        <w:t>) blood pressure (</w:t>
      </w:r>
      <w:r w:rsidRPr="005C6391">
        <w:t>BP</w:t>
      </w:r>
      <w:r>
        <w:t>)</w:t>
      </w:r>
      <w:r w:rsidRPr="005C6391">
        <w:t xml:space="preserve"> method falls in, is no longer the only approach to obtaining accurate BP, both 24-hour ambulatory BP monitoring and home BP monitoring are acknowledged ways to obtain BP. All of these methods are presently use oscillometric automatic BP devices.  Moreover, with the exception of the Framingham Heart Study and NHANES, other epidemiological studies use oscillometric automated devices to obtain BP values (</w:t>
      </w:r>
      <w:r w:rsidR="00732EA1">
        <w:t>1</w:t>
      </w:r>
      <w:r w:rsidRPr="005C6391">
        <w:t>-</w:t>
      </w:r>
      <w:r w:rsidR="00732EA1">
        <w:t>6</w:t>
      </w:r>
      <w:r w:rsidRPr="005C6391">
        <w:t xml:space="preserve">).  Before a change can be made we need to better understand how BP measurements compare between the two types of devices and develop analytic methods to compare measurements obtained from the two devices. Measurements taken by the mercury device must be compared to those taken by a successor device so that secular trends of hypertension prevalence can be accurately maintained and followed.  </w:t>
      </w:r>
    </w:p>
    <w:p w14:paraId="29C34552" w14:textId="77777777" w:rsidR="005C6391" w:rsidRPr="005C6391" w:rsidRDefault="005C6391" w:rsidP="005C6391">
      <w:pPr>
        <w:widowControl w:val="0"/>
        <w:autoSpaceDE w:val="0"/>
        <w:autoSpaceDN w:val="0"/>
        <w:adjustRightInd w:val="0"/>
      </w:pPr>
      <w:r w:rsidRPr="005C6391">
        <w:tab/>
        <w:t>We are proposing to conduct this study in the NHANES 2017-2018 survey cycle. A two phases study will be enable us to transition smoothly from the mercury to the automatic device. The first phase to be executed in NHANES 2017 will compare devices by selected covariates and the second phase to be executed in NHANES 2018 will compare high BP prevalence based on mean systolic and diastolic BP values obtained independently by the mercury device and Omron device. Whereas the first phase of the study will use data obtained from a selected sample, the second phase will be based on data of all eligible participants during one year of NHANES study.</w:t>
      </w:r>
    </w:p>
    <w:p w14:paraId="78443229" w14:textId="0E92B0DE" w:rsidR="005C6391" w:rsidRDefault="005C6391" w:rsidP="005C6391">
      <w:pPr>
        <w:widowControl w:val="0"/>
        <w:autoSpaceDE w:val="0"/>
        <w:autoSpaceDN w:val="0"/>
        <w:adjustRightInd w:val="0"/>
        <w:rPr>
          <w:b/>
        </w:rPr>
      </w:pPr>
      <w:r w:rsidRPr="005C6391">
        <w:tab/>
        <w:t xml:space="preserve">It is expected that the final decision to change devices will be a decision to be derived jointly by </w:t>
      </w:r>
      <w:r>
        <w:t>National Heart Lung and Blood Institute (</w:t>
      </w:r>
      <w:r w:rsidRPr="005C6391">
        <w:t>NHLBI</w:t>
      </w:r>
      <w:r>
        <w:t xml:space="preserve">), </w:t>
      </w:r>
      <w:r w:rsidRPr="005C6391">
        <w:t>NHANES</w:t>
      </w:r>
      <w:r>
        <w:t xml:space="preserve"> and the National Center </w:t>
      </w:r>
      <w:r>
        <w:lastRenderedPageBreak/>
        <w:t>for Health Statistics (</w:t>
      </w:r>
      <w:r w:rsidRPr="005C6391">
        <w:t>NCHS</w:t>
      </w:r>
      <w:r>
        <w:t>)</w:t>
      </w:r>
      <w:r w:rsidRPr="005C6391">
        <w:t>.  More specifically, after each phase of the study the results will be presented to appropriate stakeholders from NHLBI and NHANES/NCHS</w:t>
      </w:r>
      <w:r w:rsidRPr="005C6391">
        <w:rPr>
          <w:b/>
        </w:rPr>
        <w:t xml:space="preserve"> </w:t>
      </w:r>
      <w:r w:rsidRPr="005C6391">
        <w:t>according to their decision we will decide on go-or-no-go to the next phase. The decision rules are described in the statistic section of the proposal.</w:t>
      </w:r>
      <w:r w:rsidRPr="005C6391">
        <w:rPr>
          <w:b/>
        </w:rPr>
        <w:t xml:space="preserve">  </w:t>
      </w:r>
    </w:p>
    <w:p w14:paraId="0C842CC0" w14:textId="77777777" w:rsidR="00EE21B2" w:rsidRDefault="00EE21B2" w:rsidP="00B9299D">
      <w:pPr>
        <w:widowControl w:val="0"/>
        <w:autoSpaceDE w:val="0"/>
        <w:autoSpaceDN w:val="0"/>
        <w:adjustRightInd w:val="0"/>
      </w:pPr>
    </w:p>
    <w:p w14:paraId="5F5286D3" w14:textId="0F52BAB1" w:rsidR="00B9299D" w:rsidRPr="00FE376C" w:rsidRDefault="00B9299D" w:rsidP="00940292">
      <w:r w:rsidRPr="00066354">
        <w:rPr>
          <w:u w:val="single"/>
        </w:rPr>
        <w:t>Eligibility</w:t>
      </w:r>
      <w:r>
        <w:t>:</w:t>
      </w:r>
      <w:r w:rsidRPr="00066354">
        <w:t xml:space="preserve"> </w:t>
      </w:r>
      <w:r w:rsidRPr="00D24154">
        <w:t xml:space="preserve">All NHANES participants </w:t>
      </w:r>
      <w:r w:rsidR="00940292">
        <w:t>ages 6</w:t>
      </w:r>
      <w:r w:rsidR="00410C55">
        <w:t xml:space="preserve"> and older</w:t>
      </w:r>
      <w:r w:rsidR="00940292">
        <w:t xml:space="preserve"> </w:t>
      </w:r>
      <w:r>
        <w:t xml:space="preserve">who </w:t>
      </w:r>
      <w:r w:rsidRPr="002C21BD">
        <w:t xml:space="preserve">participate in </w:t>
      </w:r>
      <w:r>
        <w:t>the mobile examination center (</w:t>
      </w:r>
      <w:r w:rsidRPr="002C21BD">
        <w:t>MEC</w:t>
      </w:r>
      <w:r>
        <w:t>)</w:t>
      </w:r>
      <w:r w:rsidRPr="002C21BD">
        <w:t xml:space="preserve"> </w:t>
      </w:r>
      <w:r w:rsidR="00AC4EB0">
        <w:t xml:space="preserve">blood pressure </w:t>
      </w:r>
      <w:r w:rsidRPr="002C21BD">
        <w:t>measurement</w:t>
      </w:r>
      <w:r>
        <w:t>s</w:t>
      </w:r>
      <w:r w:rsidRPr="002C21BD">
        <w:t xml:space="preserve"> component</w:t>
      </w:r>
      <w:r w:rsidRPr="00434686">
        <w:t xml:space="preserve"> are eligible</w:t>
      </w:r>
      <w:r>
        <w:t xml:space="preserve">. </w:t>
      </w:r>
      <w:r w:rsidRPr="00D24154">
        <w:t>The maximum number of respondents would be</w:t>
      </w:r>
      <w:r>
        <w:t xml:space="preserve"> </w:t>
      </w:r>
      <w:r w:rsidR="00410C55">
        <w:t>702</w:t>
      </w:r>
      <w:r>
        <w:t>.</w:t>
      </w:r>
    </w:p>
    <w:p w14:paraId="7C0B32C7" w14:textId="77777777" w:rsidR="00B9299D" w:rsidRDefault="00B9299D" w:rsidP="00B9299D">
      <w:pPr>
        <w:rPr>
          <w:u w:val="single"/>
        </w:rPr>
      </w:pPr>
    </w:p>
    <w:p w14:paraId="54A7EC3C" w14:textId="77777777" w:rsidR="00B9299D" w:rsidRPr="00C21CEC" w:rsidRDefault="00B9299D" w:rsidP="00B9299D">
      <w:r w:rsidRPr="00B512F2">
        <w:rPr>
          <w:u w:val="single"/>
        </w:rPr>
        <w:t>Informed Consent</w:t>
      </w:r>
      <w:r w:rsidRPr="00B512F2">
        <w:t>:</w:t>
      </w:r>
      <w:r w:rsidRPr="008A2EAA">
        <w:rPr>
          <w:b/>
        </w:rPr>
        <w:t xml:space="preserve"> </w:t>
      </w:r>
      <w:r>
        <w:t xml:space="preserve">Written informed consent will be obtained as part of the regular NHANES consent process for the examination in the MEC.  </w:t>
      </w:r>
    </w:p>
    <w:p w14:paraId="491EA206" w14:textId="77777777" w:rsidR="00B9299D" w:rsidRPr="00307CC1" w:rsidRDefault="00B9299D" w:rsidP="00B9299D">
      <w:pPr>
        <w:ind w:right="-1350"/>
      </w:pPr>
    </w:p>
    <w:p w14:paraId="373A8D0F" w14:textId="1C725C1C" w:rsidR="00B9299D" w:rsidRDefault="00B9299D" w:rsidP="00B9299D">
      <w:pPr>
        <w:ind w:right="-1350"/>
      </w:pPr>
      <w:r w:rsidRPr="00B512F2">
        <w:rPr>
          <w:u w:val="single"/>
        </w:rPr>
        <w:t>Exclusion Criteria</w:t>
      </w:r>
      <w:r w:rsidRPr="00B512F2">
        <w:t xml:space="preserve">:  </w:t>
      </w:r>
      <w:r w:rsidR="00DC4023">
        <w:t xml:space="preserve">There are no exclusion criteria except </w:t>
      </w:r>
      <w:r w:rsidR="00DC4023" w:rsidRPr="00DC4023">
        <w:t xml:space="preserve">those </w:t>
      </w:r>
      <w:r w:rsidR="00DC4023">
        <w:t xml:space="preserve">already in place </w:t>
      </w:r>
      <w:r w:rsidR="00DC4023" w:rsidRPr="00DC4023">
        <w:t>for the</w:t>
      </w:r>
      <w:r w:rsidR="00DC4023">
        <w:t xml:space="preserve"> regular NHANES</w:t>
      </w:r>
      <w:r w:rsidR="00DC4023" w:rsidRPr="00DC4023">
        <w:t xml:space="preserve"> B</w:t>
      </w:r>
      <w:r w:rsidR="00DC4023">
        <w:t xml:space="preserve">lood </w:t>
      </w:r>
      <w:r w:rsidR="00DC4023" w:rsidRPr="00DC4023">
        <w:t>P</w:t>
      </w:r>
      <w:r w:rsidR="00DC4023">
        <w:t>ressure</w:t>
      </w:r>
      <w:r w:rsidR="00DC4023" w:rsidRPr="00DC4023">
        <w:t xml:space="preserve"> MEC component.</w:t>
      </w:r>
    </w:p>
    <w:p w14:paraId="5C4239DC" w14:textId="77777777" w:rsidR="00B9299D" w:rsidRDefault="00B9299D" w:rsidP="00B9299D">
      <w:pPr>
        <w:ind w:right="-1350"/>
      </w:pPr>
    </w:p>
    <w:p w14:paraId="6C637DA5" w14:textId="32B03F0C" w:rsidR="002012B1" w:rsidRDefault="00B9299D" w:rsidP="002012B1">
      <w:pPr>
        <w:rPr>
          <w:szCs w:val="24"/>
        </w:rPr>
      </w:pPr>
      <w:r>
        <w:rPr>
          <w:u w:val="single"/>
        </w:rPr>
        <w:t>Data</w:t>
      </w:r>
      <w:r w:rsidRPr="005B69FA">
        <w:rPr>
          <w:u w:val="single"/>
        </w:rPr>
        <w:t xml:space="preserve"> Collection:</w:t>
      </w:r>
      <w:r w:rsidRPr="00BD0084">
        <w:t xml:space="preserve"> </w:t>
      </w:r>
      <w:r>
        <w:t xml:space="preserve"> </w:t>
      </w:r>
      <w:r w:rsidR="0067593D">
        <w:rPr>
          <w:szCs w:val="24"/>
        </w:rPr>
        <w:t xml:space="preserve">This </w:t>
      </w:r>
      <w:r w:rsidR="002012B1" w:rsidRPr="009F140D">
        <w:rPr>
          <w:szCs w:val="24"/>
        </w:rPr>
        <w:t>study will follow Ni et al (2006) device comparison method study</w:t>
      </w:r>
      <w:r w:rsidR="002012B1">
        <w:rPr>
          <w:szCs w:val="24"/>
        </w:rPr>
        <w:t xml:space="preserve"> (</w:t>
      </w:r>
      <w:r w:rsidR="00732EA1">
        <w:rPr>
          <w:szCs w:val="24"/>
        </w:rPr>
        <w:t>7</w:t>
      </w:r>
      <w:r w:rsidR="002012B1">
        <w:rPr>
          <w:szCs w:val="24"/>
        </w:rPr>
        <w:t>)</w:t>
      </w:r>
      <w:r w:rsidR="002012B1" w:rsidRPr="009F140D">
        <w:rPr>
          <w:szCs w:val="24"/>
        </w:rPr>
        <w:t xml:space="preserve">. The overall schema for our method study requires 5 minutes of rest prior to obtaining BP </w:t>
      </w:r>
      <w:r w:rsidR="002012B1">
        <w:rPr>
          <w:szCs w:val="24"/>
        </w:rPr>
        <w:t xml:space="preserve">measurements </w:t>
      </w:r>
      <w:r w:rsidR="002012B1" w:rsidRPr="009F140D">
        <w:rPr>
          <w:szCs w:val="24"/>
        </w:rPr>
        <w:t xml:space="preserve">from </w:t>
      </w:r>
      <w:r w:rsidR="002012B1">
        <w:rPr>
          <w:szCs w:val="24"/>
        </w:rPr>
        <w:t xml:space="preserve">the </w:t>
      </w:r>
      <w:r w:rsidR="002012B1" w:rsidRPr="009F140D">
        <w:rPr>
          <w:szCs w:val="24"/>
        </w:rPr>
        <w:t xml:space="preserve">reference or </w:t>
      </w:r>
      <w:r w:rsidR="002012B1">
        <w:rPr>
          <w:szCs w:val="24"/>
        </w:rPr>
        <w:t xml:space="preserve">the </w:t>
      </w:r>
      <w:r w:rsidR="002012B1" w:rsidRPr="009F140D">
        <w:rPr>
          <w:szCs w:val="24"/>
        </w:rPr>
        <w:t>test device, order randomized, followed by another 5 minutes of rest prior to obtaining  BP</w:t>
      </w:r>
      <w:r w:rsidR="002012B1">
        <w:rPr>
          <w:szCs w:val="24"/>
        </w:rPr>
        <w:t xml:space="preserve"> measurements</w:t>
      </w:r>
      <w:r w:rsidR="002012B1" w:rsidRPr="009F140D">
        <w:rPr>
          <w:szCs w:val="24"/>
        </w:rPr>
        <w:t xml:space="preserve"> from </w:t>
      </w:r>
      <w:r w:rsidR="002012B1">
        <w:rPr>
          <w:szCs w:val="24"/>
        </w:rPr>
        <w:t xml:space="preserve">the </w:t>
      </w:r>
      <w:r w:rsidR="002012B1" w:rsidRPr="009F140D">
        <w:rPr>
          <w:szCs w:val="24"/>
        </w:rPr>
        <w:t>test</w:t>
      </w:r>
      <w:r w:rsidR="00410C55">
        <w:rPr>
          <w:szCs w:val="24"/>
        </w:rPr>
        <w:t xml:space="preserve"> (</w:t>
      </w:r>
      <w:r w:rsidR="00504763">
        <w:rPr>
          <w:szCs w:val="24"/>
        </w:rPr>
        <w:t>hereafter</w:t>
      </w:r>
      <w:r w:rsidR="00410C55">
        <w:rPr>
          <w:szCs w:val="24"/>
        </w:rPr>
        <w:t xml:space="preserve"> Omron)</w:t>
      </w:r>
      <w:r w:rsidR="002012B1" w:rsidRPr="009F140D">
        <w:rPr>
          <w:szCs w:val="24"/>
        </w:rPr>
        <w:t xml:space="preserve"> </w:t>
      </w:r>
      <w:r w:rsidR="002012B1">
        <w:rPr>
          <w:szCs w:val="24"/>
        </w:rPr>
        <w:t xml:space="preserve">or the </w:t>
      </w:r>
      <w:r w:rsidR="002012B1" w:rsidRPr="009F140D">
        <w:rPr>
          <w:szCs w:val="24"/>
        </w:rPr>
        <w:t>reference device</w:t>
      </w:r>
      <w:r w:rsidR="00410C55">
        <w:rPr>
          <w:szCs w:val="24"/>
        </w:rPr>
        <w:t xml:space="preserve"> (</w:t>
      </w:r>
      <w:r w:rsidR="00504763">
        <w:rPr>
          <w:szCs w:val="24"/>
        </w:rPr>
        <w:t>hereafter</w:t>
      </w:r>
      <w:r w:rsidR="00410C55">
        <w:rPr>
          <w:szCs w:val="24"/>
        </w:rPr>
        <w:t xml:space="preserve"> mercury)</w:t>
      </w:r>
      <w:r w:rsidR="002012B1" w:rsidRPr="009F140D">
        <w:rPr>
          <w:szCs w:val="24"/>
        </w:rPr>
        <w:t xml:space="preserve">. The interval between BP determinations for the mercury </w:t>
      </w:r>
      <w:r w:rsidR="002012B1">
        <w:rPr>
          <w:szCs w:val="24"/>
        </w:rPr>
        <w:t xml:space="preserve">will be </w:t>
      </w:r>
      <w:r w:rsidR="002012B1" w:rsidRPr="009F140D">
        <w:rPr>
          <w:szCs w:val="24"/>
        </w:rPr>
        <w:t>30 seconds</w:t>
      </w:r>
      <w:r w:rsidR="002012B1">
        <w:rPr>
          <w:szCs w:val="24"/>
        </w:rPr>
        <w:t>;</w:t>
      </w:r>
      <w:r w:rsidR="002012B1" w:rsidRPr="009F140D">
        <w:rPr>
          <w:szCs w:val="24"/>
        </w:rPr>
        <w:t xml:space="preserve"> whereas</w:t>
      </w:r>
      <w:r w:rsidR="002012B1">
        <w:rPr>
          <w:szCs w:val="24"/>
        </w:rPr>
        <w:t>,</w:t>
      </w:r>
      <w:r w:rsidR="002012B1" w:rsidRPr="009F140D">
        <w:rPr>
          <w:szCs w:val="24"/>
        </w:rPr>
        <w:t xml:space="preserve"> the interval for the </w:t>
      </w:r>
      <w:r w:rsidR="00410C55">
        <w:rPr>
          <w:szCs w:val="24"/>
        </w:rPr>
        <w:t>Omron</w:t>
      </w:r>
      <w:r w:rsidR="002012B1" w:rsidRPr="009F140D">
        <w:rPr>
          <w:szCs w:val="24"/>
        </w:rPr>
        <w:t xml:space="preserve"> device is 60 seconds. Following this schema will enable us to accomplish </w:t>
      </w:r>
      <w:r w:rsidR="002012B1">
        <w:rPr>
          <w:szCs w:val="24"/>
        </w:rPr>
        <w:t>3</w:t>
      </w:r>
      <w:r w:rsidR="002012B1" w:rsidRPr="009F140D">
        <w:rPr>
          <w:szCs w:val="24"/>
        </w:rPr>
        <w:t xml:space="preserve"> </w:t>
      </w:r>
      <w:r w:rsidR="002012B1">
        <w:rPr>
          <w:szCs w:val="24"/>
        </w:rPr>
        <w:t>objectives.</w:t>
      </w:r>
      <w:r w:rsidR="002012B1" w:rsidRPr="009F140D">
        <w:rPr>
          <w:szCs w:val="24"/>
        </w:rPr>
        <w:t xml:space="preserve"> </w:t>
      </w:r>
      <w:r w:rsidR="002012B1">
        <w:rPr>
          <w:szCs w:val="24"/>
        </w:rPr>
        <w:t>F</w:t>
      </w:r>
      <w:r w:rsidR="002012B1" w:rsidRPr="009F140D">
        <w:rPr>
          <w:szCs w:val="24"/>
        </w:rPr>
        <w:t>irst</w:t>
      </w:r>
      <w:r w:rsidR="002012B1">
        <w:rPr>
          <w:szCs w:val="24"/>
        </w:rPr>
        <w:t>,</w:t>
      </w:r>
      <w:r w:rsidR="002012B1" w:rsidRPr="009F140D">
        <w:rPr>
          <w:szCs w:val="24"/>
        </w:rPr>
        <w:t xml:space="preserve"> </w:t>
      </w:r>
      <w:r w:rsidR="002012B1">
        <w:rPr>
          <w:szCs w:val="24"/>
        </w:rPr>
        <w:t xml:space="preserve">to </w:t>
      </w:r>
      <w:r w:rsidR="002012B1" w:rsidRPr="009F140D">
        <w:rPr>
          <w:szCs w:val="24"/>
        </w:rPr>
        <w:t>maintain the legacy protocol for the mercury reference device</w:t>
      </w:r>
      <w:r w:rsidR="002012B1">
        <w:rPr>
          <w:szCs w:val="24"/>
        </w:rPr>
        <w:t>.</w:t>
      </w:r>
      <w:r w:rsidR="002012B1" w:rsidRPr="009F140D">
        <w:rPr>
          <w:szCs w:val="24"/>
        </w:rPr>
        <w:t xml:space="preserve"> </w:t>
      </w:r>
      <w:r w:rsidR="002012B1">
        <w:rPr>
          <w:szCs w:val="24"/>
        </w:rPr>
        <w:t>S</w:t>
      </w:r>
      <w:r w:rsidR="002012B1" w:rsidRPr="009F140D">
        <w:rPr>
          <w:szCs w:val="24"/>
        </w:rPr>
        <w:t xml:space="preserve">econd, </w:t>
      </w:r>
      <w:r w:rsidR="002012B1">
        <w:rPr>
          <w:szCs w:val="24"/>
        </w:rPr>
        <w:t xml:space="preserve">to </w:t>
      </w:r>
      <w:r w:rsidR="002012B1" w:rsidRPr="009F140D">
        <w:rPr>
          <w:szCs w:val="24"/>
        </w:rPr>
        <w:t xml:space="preserve">obtain BP </w:t>
      </w:r>
      <w:r w:rsidR="002012B1">
        <w:rPr>
          <w:szCs w:val="24"/>
        </w:rPr>
        <w:t xml:space="preserve">measurements </w:t>
      </w:r>
      <w:r w:rsidR="002012B1" w:rsidRPr="009F140D">
        <w:rPr>
          <w:szCs w:val="24"/>
        </w:rPr>
        <w:t>at 60</w:t>
      </w:r>
      <w:r w:rsidR="002012B1">
        <w:rPr>
          <w:szCs w:val="24"/>
        </w:rPr>
        <w:t>-</w:t>
      </w:r>
      <w:r w:rsidR="002012B1" w:rsidRPr="009F140D">
        <w:rPr>
          <w:szCs w:val="24"/>
        </w:rPr>
        <w:t xml:space="preserve">second intervals with the </w:t>
      </w:r>
      <w:r w:rsidR="00504763">
        <w:rPr>
          <w:szCs w:val="24"/>
        </w:rPr>
        <w:t xml:space="preserve">Omron </w:t>
      </w:r>
      <w:r w:rsidR="002012B1" w:rsidRPr="009F140D">
        <w:rPr>
          <w:szCs w:val="24"/>
        </w:rPr>
        <w:t xml:space="preserve">device </w:t>
      </w:r>
      <w:r w:rsidR="002012B1">
        <w:rPr>
          <w:szCs w:val="24"/>
        </w:rPr>
        <w:t>aligns the</w:t>
      </w:r>
      <w:r w:rsidR="002012B1" w:rsidRPr="009F140D">
        <w:rPr>
          <w:szCs w:val="24"/>
        </w:rPr>
        <w:t xml:space="preserve"> protocol with national and international standards</w:t>
      </w:r>
      <w:r w:rsidR="002012B1">
        <w:rPr>
          <w:szCs w:val="24"/>
        </w:rPr>
        <w:t xml:space="preserve"> which </w:t>
      </w:r>
      <w:r w:rsidR="002012B1" w:rsidRPr="009F140D">
        <w:rPr>
          <w:szCs w:val="24"/>
        </w:rPr>
        <w:t>requir</w:t>
      </w:r>
      <w:r w:rsidR="002012B1">
        <w:rPr>
          <w:szCs w:val="24"/>
        </w:rPr>
        <w:t>e</w:t>
      </w:r>
      <w:r w:rsidR="002012B1" w:rsidRPr="009F140D">
        <w:rPr>
          <w:szCs w:val="24"/>
        </w:rPr>
        <w:t xml:space="preserve"> 60</w:t>
      </w:r>
      <w:r w:rsidR="002012B1">
        <w:rPr>
          <w:szCs w:val="24"/>
        </w:rPr>
        <w:t>-</w:t>
      </w:r>
      <w:r w:rsidR="002012B1" w:rsidRPr="009F140D">
        <w:rPr>
          <w:szCs w:val="24"/>
        </w:rPr>
        <w:t xml:space="preserve">second intervals between sequential BP </w:t>
      </w:r>
      <w:r w:rsidR="002012B1">
        <w:rPr>
          <w:szCs w:val="24"/>
        </w:rPr>
        <w:t xml:space="preserve">test devices </w:t>
      </w:r>
      <w:r w:rsidR="002012B1" w:rsidRPr="009F140D">
        <w:rPr>
          <w:szCs w:val="24"/>
        </w:rPr>
        <w:t>measurements</w:t>
      </w:r>
      <w:r w:rsidR="002012B1">
        <w:rPr>
          <w:szCs w:val="24"/>
        </w:rPr>
        <w:t xml:space="preserve"> </w:t>
      </w:r>
      <w:r w:rsidR="002012B1" w:rsidRPr="009F140D">
        <w:rPr>
          <w:szCs w:val="24"/>
        </w:rPr>
        <w:t>(</w:t>
      </w:r>
      <w:r w:rsidR="00732EA1">
        <w:rPr>
          <w:szCs w:val="24"/>
        </w:rPr>
        <w:t>8-10</w:t>
      </w:r>
      <w:r w:rsidR="002012B1">
        <w:rPr>
          <w:szCs w:val="24"/>
        </w:rPr>
        <w:t xml:space="preserve">). Lastly, provide us enough time to change cuffs between the </w:t>
      </w:r>
      <w:r w:rsidR="00416260">
        <w:rPr>
          <w:szCs w:val="24"/>
        </w:rPr>
        <w:t>mercury</w:t>
      </w:r>
      <w:r w:rsidR="002012B1">
        <w:rPr>
          <w:szCs w:val="24"/>
        </w:rPr>
        <w:t xml:space="preserve"> and the </w:t>
      </w:r>
      <w:r w:rsidR="00416260">
        <w:rPr>
          <w:szCs w:val="24"/>
        </w:rPr>
        <w:t>Omron</w:t>
      </w:r>
      <w:r w:rsidR="002012B1">
        <w:rPr>
          <w:szCs w:val="24"/>
        </w:rPr>
        <w:t>. Figure 1 describes the device comparison study design.</w:t>
      </w:r>
    </w:p>
    <w:p w14:paraId="3FD8016D" w14:textId="77777777" w:rsidR="002012B1" w:rsidRPr="0054214A" w:rsidRDefault="002012B1" w:rsidP="002012B1">
      <w:pPr>
        <w:pStyle w:val="Caption"/>
        <w:keepNext/>
        <w:rPr>
          <w:rFonts w:ascii="Times New Roman" w:hAnsi="Times New Roman" w:cs="Times New Roman"/>
          <w:i w:val="0"/>
          <w:color w:val="auto"/>
          <w:sz w:val="24"/>
          <w:szCs w:val="24"/>
        </w:rPr>
      </w:pPr>
      <w:r w:rsidRPr="0054214A">
        <w:rPr>
          <w:rFonts w:ascii="Times New Roman" w:hAnsi="Times New Roman" w:cs="Times New Roman"/>
          <w:i w:val="0"/>
          <w:color w:val="auto"/>
          <w:sz w:val="24"/>
          <w:szCs w:val="24"/>
        </w:rPr>
        <w:lastRenderedPageBreak/>
        <w:t xml:space="preserve">Figure </w:t>
      </w:r>
      <w:r w:rsidRPr="0054214A">
        <w:rPr>
          <w:rFonts w:ascii="Times New Roman" w:hAnsi="Times New Roman" w:cs="Times New Roman"/>
          <w:i w:val="0"/>
          <w:color w:val="auto"/>
          <w:sz w:val="24"/>
          <w:szCs w:val="24"/>
        </w:rPr>
        <w:fldChar w:fldCharType="begin"/>
      </w:r>
      <w:r w:rsidRPr="0054214A">
        <w:rPr>
          <w:rFonts w:ascii="Times New Roman" w:hAnsi="Times New Roman" w:cs="Times New Roman"/>
          <w:i w:val="0"/>
          <w:color w:val="auto"/>
          <w:sz w:val="24"/>
          <w:szCs w:val="24"/>
        </w:rPr>
        <w:instrText xml:space="preserve"> SEQ Figure \* ARABIC </w:instrText>
      </w:r>
      <w:r w:rsidRPr="0054214A">
        <w:rPr>
          <w:rFonts w:ascii="Times New Roman" w:hAnsi="Times New Roman" w:cs="Times New Roman"/>
          <w:i w:val="0"/>
          <w:color w:val="auto"/>
          <w:sz w:val="24"/>
          <w:szCs w:val="24"/>
        </w:rPr>
        <w:fldChar w:fldCharType="separate"/>
      </w:r>
      <w:r w:rsidR="00E97C81">
        <w:rPr>
          <w:rFonts w:ascii="Times New Roman" w:hAnsi="Times New Roman" w:cs="Times New Roman"/>
          <w:i w:val="0"/>
          <w:noProof/>
          <w:color w:val="auto"/>
          <w:sz w:val="24"/>
          <w:szCs w:val="24"/>
        </w:rPr>
        <w:t>1</w:t>
      </w:r>
      <w:r w:rsidRPr="0054214A">
        <w:rPr>
          <w:rFonts w:ascii="Times New Roman" w:hAnsi="Times New Roman" w:cs="Times New Roman"/>
          <w:i w:val="0"/>
          <w:color w:val="auto"/>
          <w:sz w:val="24"/>
          <w:szCs w:val="24"/>
        </w:rPr>
        <w:fldChar w:fldCharType="end"/>
      </w:r>
    </w:p>
    <w:p w14:paraId="5CBB8E62" w14:textId="77777777" w:rsidR="002012B1" w:rsidRDefault="002012B1" w:rsidP="002012B1">
      <w:pPr>
        <w:spacing w:line="480" w:lineRule="auto"/>
        <w:ind w:firstLine="720"/>
        <w:rPr>
          <w:szCs w:val="24"/>
        </w:rPr>
      </w:pPr>
      <w:r w:rsidRPr="00F077DB">
        <w:rPr>
          <w:noProof/>
          <w:szCs w:val="24"/>
        </w:rPr>
        <w:drawing>
          <wp:inline distT="0" distB="0" distL="0" distR="0" wp14:anchorId="1EF89ECF" wp14:editId="42F136E0">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851" cy="3429479"/>
                    </a:xfrm>
                    <a:prstGeom prst="rect">
                      <a:avLst/>
                    </a:prstGeom>
                  </pic:spPr>
                </pic:pic>
              </a:graphicData>
            </a:graphic>
          </wp:inline>
        </w:drawing>
      </w:r>
    </w:p>
    <w:p w14:paraId="22523300" w14:textId="77777777" w:rsidR="002012B1" w:rsidRDefault="002012B1" w:rsidP="002012B1">
      <w:pPr>
        <w:spacing w:line="480" w:lineRule="auto"/>
        <w:ind w:firstLine="720"/>
        <w:rPr>
          <w:szCs w:val="24"/>
        </w:rPr>
      </w:pPr>
    </w:p>
    <w:p w14:paraId="467B41F8" w14:textId="660CE455" w:rsidR="002012B1" w:rsidRDefault="002012B1" w:rsidP="002012B1">
      <w:pPr>
        <w:ind w:firstLine="720"/>
        <w:rPr>
          <w:szCs w:val="24"/>
        </w:rPr>
      </w:pPr>
      <w:r w:rsidRPr="009F140D">
        <w:rPr>
          <w:szCs w:val="24"/>
        </w:rPr>
        <w:t xml:space="preserve">The study will require a </w:t>
      </w:r>
      <w:r>
        <w:rPr>
          <w:szCs w:val="24"/>
        </w:rPr>
        <w:t>two</w:t>
      </w:r>
      <w:r w:rsidRPr="009F140D">
        <w:rPr>
          <w:szCs w:val="24"/>
        </w:rPr>
        <w:t xml:space="preserve">-stage randomization schema; specifically, the first randomization will assign the order of </w:t>
      </w:r>
      <w:r>
        <w:rPr>
          <w:szCs w:val="24"/>
        </w:rPr>
        <w:t>devices</w:t>
      </w:r>
      <w:r w:rsidRPr="009F140D">
        <w:rPr>
          <w:szCs w:val="24"/>
        </w:rPr>
        <w:t xml:space="preserve"> used in the randomized </w:t>
      </w:r>
      <w:r>
        <w:rPr>
          <w:szCs w:val="24"/>
        </w:rPr>
        <w:t>arms</w:t>
      </w:r>
      <w:r w:rsidRPr="009F140D">
        <w:rPr>
          <w:szCs w:val="24"/>
        </w:rPr>
        <w:t>:</w:t>
      </w:r>
      <w:r>
        <w:rPr>
          <w:szCs w:val="24"/>
        </w:rPr>
        <w:t xml:space="preserve"> </w:t>
      </w:r>
      <w:r w:rsidR="00410C55">
        <w:rPr>
          <w:szCs w:val="24"/>
        </w:rPr>
        <w:t xml:space="preserve">mercury </w:t>
      </w:r>
      <w:r>
        <w:rPr>
          <w:szCs w:val="24"/>
        </w:rPr>
        <w:t xml:space="preserve">device </w:t>
      </w:r>
      <w:r w:rsidRPr="009F140D">
        <w:rPr>
          <w:szCs w:val="24"/>
        </w:rPr>
        <w:t xml:space="preserve">first or </w:t>
      </w:r>
      <w:r>
        <w:rPr>
          <w:szCs w:val="24"/>
        </w:rPr>
        <w:t xml:space="preserve">the </w:t>
      </w:r>
      <w:r w:rsidR="00410C55">
        <w:rPr>
          <w:szCs w:val="24"/>
        </w:rPr>
        <w:t>Omron</w:t>
      </w:r>
      <w:r>
        <w:rPr>
          <w:szCs w:val="24"/>
        </w:rPr>
        <w:t xml:space="preserve"> device</w:t>
      </w:r>
      <w:r w:rsidRPr="009F140D">
        <w:rPr>
          <w:szCs w:val="24"/>
        </w:rPr>
        <w:t xml:space="preserve"> first. The </w:t>
      </w:r>
      <w:r>
        <w:rPr>
          <w:szCs w:val="24"/>
        </w:rPr>
        <w:t>second</w:t>
      </w:r>
      <w:r w:rsidRPr="009F140D">
        <w:rPr>
          <w:szCs w:val="24"/>
        </w:rPr>
        <w:t xml:space="preserve"> randomization will be </w:t>
      </w:r>
      <w:r>
        <w:rPr>
          <w:szCs w:val="24"/>
        </w:rPr>
        <w:t xml:space="preserve">to determine who, among the two technicians, will be the active observer, see Figure 2. </w:t>
      </w:r>
    </w:p>
    <w:p w14:paraId="028473BE" w14:textId="77777777" w:rsidR="00BD1CFE" w:rsidRDefault="00BD1CFE" w:rsidP="002012B1">
      <w:pPr>
        <w:ind w:firstLine="720"/>
        <w:rPr>
          <w:szCs w:val="24"/>
        </w:rPr>
      </w:pPr>
    </w:p>
    <w:p w14:paraId="019E9F10" w14:textId="043B77B4" w:rsidR="002012B1" w:rsidRDefault="002012B1" w:rsidP="002012B1">
      <w:pPr>
        <w:ind w:firstLine="720"/>
        <w:rPr>
          <w:szCs w:val="24"/>
        </w:rPr>
      </w:pPr>
      <w:r>
        <w:rPr>
          <w:szCs w:val="24"/>
        </w:rPr>
        <w:t xml:space="preserve">The active observer </w:t>
      </w:r>
      <w:r w:rsidRPr="009F140D">
        <w:rPr>
          <w:szCs w:val="24"/>
        </w:rPr>
        <w:t xml:space="preserve">will perform the pre-measurement procedures. The pre-measurement procedures consist of all procedures prior to BP observations, specifically, </w:t>
      </w:r>
      <w:r>
        <w:rPr>
          <w:szCs w:val="24"/>
        </w:rPr>
        <w:t xml:space="preserve">positioning the participants, </w:t>
      </w:r>
      <w:r w:rsidRPr="009F140D">
        <w:rPr>
          <w:szCs w:val="24"/>
        </w:rPr>
        <w:t xml:space="preserve">placing </w:t>
      </w:r>
      <w:r>
        <w:rPr>
          <w:szCs w:val="24"/>
        </w:rPr>
        <w:t xml:space="preserve">and changing </w:t>
      </w:r>
      <w:r w:rsidRPr="009F140D">
        <w:rPr>
          <w:szCs w:val="24"/>
        </w:rPr>
        <w:t>the appropriate BP cuff on the upper arm</w:t>
      </w:r>
      <w:r>
        <w:rPr>
          <w:szCs w:val="24"/>
        </w:rPr>
        <w:t xml:space="preserve">, </w:t>
      </w:r>
      <w:r w:rsidRPr="009F140D">
        <w:rPr>
          <w:szCs w:val="24"/>
        </w:rPr>
        <w:t>obtaining the maximum inflation level (MIL</w:t>
      </w:r>
      <w:r>
        <w:rPr>
          <w:szCs w:val="24"/>
        </w:rPr>
        <w:t xml:space="preserve">) in </w:t>
      </w:r>
      <w:r w:rsidR="00410C55">
        <w:rPr>
          <w:szCs w:val="24"/>
        </w:rPr>
        <w:t>mercury</w:t>
      </w:r>
      <w:r>
        <w:rPr>
          <w:szCs w:val="24"/>
        </w:rPr>
        <w:t xml:space="preserve"> condition, and</w:t>
      </w:r>
      <w:r w:rsidRPr="009F140D">
        <w:rPr>
          <w:szCs w:val="24"/>
        </w:rPr>
        <w:t xml:space="preserve"> </w:t>
      </w:r>
      <w:r>
        <w:rPr>
          <w:szCs w:val="24"/>
        </w:rPr>
        <w:t xml:space="preserve">initiating the 5-minute wait. </w:t>
      </w:r>
    </w:p>
    <w:p w14:paraId="2E59009D" w14:textId="77777777" w:rsidR="00BD1CFE" w:rsidRDefault="00BD1CFE" w:rsidP="002012B1">
      <w:pPr>
        <w:ind w:firstLine="720"/>
        <w:rPr>
          <w:szCs w:val="24"/>
        </w:rPr>
      </w:pPr>
    </w:p>
    <w:p w14:paraId="3D48E5BB" w14:textId="477D8303" w:rsidR="002012B1" w:rsidRDefault="002012B1" w:rsidP="002012B1">
      <w:pPr>
        <w:ind w:firstLine="720"/>
        <w:rPr>
          <w:szCs w:val="24"/>
        </w:rPr>
      </w:pPr>
      <w:r>
        <w:rPr>
          <w:szCs w:val="24"/>
        </w:rPr>
        <w:t xml:space="preserve">During the measurement procedure in the </w:t>
      </w:r>
      <w:r w:rsidR="00410C55">
        <w:rPr>
          <w:szCs w:val="24"/>
        </w:rPr>
        <w:t>mercury</w:t>
      </w:r>
      <w:r>
        <w:rPr>
          <w:szCs w:val="24"/>
        </w:rPr>
        <w:t xml:space="preserve"> condition</w:t>
      </w:r>
      <w:r w:rsidR="00410C55">
        <w:rPr>
          <w:szCs w:val="24"/>
        </w:rPr>
        <w:t>,</w:t>
      </w:r>
      <w:r>
        <w:rPr>
          <w:szCs w:val="24"/>
        </w:rPr>
        <w:t xml:space="preserve"> the active observer will be responsible for placing the </w:t>
      </w:r>
      <w:r w:rsidRPr="0029487F">
        <w:rPr>
          <w:szCs w:val="24"/>
        </w:rPr>
        <w:t xml:space="preserve">stethoscope </w:t>
      </w:r>
      <w:r>
        <w:rPr>
          <w:szCs w:val="24"/>
        </w:rPr>
        <w:t xml:space="preserve">bell </w:t>
      </w:r>
      <w:r w:rsidRPr="0029487F">
        <w:rPr>
          <w:szCs w:val="24"/>
        </w:rPr>
        <w:t>over the brachial artery</w:t>
      </w:r>
      <w:r>
        <w:rPr>
          <w:szCs w:val="24"/>
        </w:rPr>
        <w:t>,</w:t>
      </w:r>
      <w:r w:rsidRPr="0029487F">
        <w:rPr>
          <w:szCs w:val="24"/>
        </w:rPr>
        <w:t xml:space="preserve"> </w:t>
      </w:r>
      <w:r>
        <w:rPr>
          <w:szCs w:val="24"/>
        </w:rPr>
        <w:t>controlling the deflation valve and auscultating the BP using a double-headed stethoscope, observing the mercury column, and recording the 3 reference readings (systolic K1 and diastolic K5) at 30-second intervals</w:t>
      </w:r>
      <w:r w:rsidR="00410C55">
        <w:rPr>
          <w:szCs w:val="24"/>
        </w:rPr>
        <w:t>.</w:t>
      </w:r>
      <w:r w:rsidR="00504763">
        <w:rPr>
          <w:szCs w:val="24"/>
        </w:rPr>
        <w:t xml:space="preserve"> The active observer will be </w:t>
      </w:r>
      <w:r>
        <w:rPr>
          <w:szCs w:val="24"/>
        </w:rPr>
        <w:t xml:space="preserve">masked from the passive observer readings and </w:t>
      </w:r>
      <w:r w:rsidR="00410C55">
        <w:rPr>
          <w:szCs w:val="24"/>
        </w:rPr>
        <w:t>Omron</w:t>
      </w:r>
      <w:r>
        <w:rPr>
          <w:szCs w:val="24"/>
        </w:rPr>
        <w:t xml:space="preserve"> device readings. During the measurement procedure in </w:t>
      </w:r>
      <w:r w:rsidR="00410C55">
        <w:rPr>
          <w:szCs w:val="24"/>
        </w:rPr>
        <w:t>Omron</w:t>
      </w:r>
      <w:r>
        <w:rPr>
          <w:szCs w:val="24"/>
        </w:rPr>
        <w:t xml:space="preserve"> device condition, the active observer will make sure that the </w:t>
      </w:r>
      <w:r w:rsidR="00504763">
        <w:rPr>
          <w:szCs w:val="24"/>
        </w:rPr>
        <w:t>Omron</w:t>
      </w:r>
      <w:r>
        <w:rPr>
          <w:szCs w:val="24"/>
        </w:rPr>
        <w:t xml:space="preserve"> device is in “hide” mode, initiate the </w:t>
      </w:r>
      <w:r w:rsidR="00504763">
        <w:rPr>
          <w:szCs w:val="24"/>
        </w:rPr>
        <w:t>Omron</w:t>
      </w:r>
      <w:r>
        <w:rPr>
          <w:szCs w:val="24"/>
        </w:rPr>
        <w:t xml:space="preserve"> devices readings in automatic mode, and ensure that the 3 consecutive BP readings are done in 60-second intervals. </w:t>
      </w:r>
    </w:p>
    <w:p w14:paraId="2779508B" w14:textId="77777777" w:rsidR="00BD1CFE" w:rsidRDefault="00BD1CFE" w:rsidP="002012B1">
      <w:pPr>
        <w:ind w:firstLine="720"/>
        <w:rPr>
          <w:szCs w:val="24"/>
        </w:rPr>
      </w:pPr>
    </w:p>
    <w:p w14:paraId="30A20443" w14:textId="43BCBB0E" w:rsidR="002012B1" w:rsidRDefault="002012B1" w:rsidP="002012B1">
      <w:pPr>
        <w:ind w:firstLine="720"/>
        <w:rPr>
          <w:szCs w:val="24"/>
        </w:rPr>
      </w:pPr>
      <w:r>
        <w:rPr>
          <w:szCs w:val="24"/>
        </w:rPr>
        <w:t xml:space="preserve">The passive observer has two tasks, first simultaneously with the active observer he/she will auscultate the BP using a double-headed stethoscope, observing the mercury column, and </w:t>
      </w:r>
      <w:r>
        <w:rPr>
          <w:szCs w:val="24"/>
        </w:rPr>
        <w:lastRenderedPageBreak/>
        <w:t xml:space="preserve">will record the 3 </w:t>
      </w:r>
      <w:r w:rsidR="00504763">
        <w:rPr>
          <w:szCs w:val="24"/>
        </w:rPr>
        <w:t>mercury</w:t>
      </w:r>
      <w:r>
        <w:rPr>
          <w:szCs w:val="24"/>
        </w:rPr>
        <w:t xml:space="preserve"> readings (systolic K1 and diastolic K5) at 30-second intervals while being masked from the active observer readings and test device readings. </w:t>
      </w:r>
    </w:p>
    <w:p w14:paraId="7413B63D" w14:textId="77777777" w:rsidR="00BD1CFE" w:rsidRDefault="00BD1CFE" w:rsidP="002012B1">
      <w:pPr>
        <w:ind w:firstLine="720"/>
        <w:rPr>
          <w:szCs w:val="24"/>
        </w:rPr>
      </w:pPr>
    </w:p>
    <w:p w14:paraId="528A4EAA" w14:textId="70A70B7E" w:rsidR="002012B1" w:rsidRPr="0029487F" w:rsidRDefault="002012B1" w:rsidP="002012B1">
      <w:pPr>
        <w:ind w:firstLine="720"/>
        <w:rPr>
          <w:szCs w:val="24"/>
        </w:rPr>
      </w:pPr>
      <w:r w:rsidRPr="00FF5C7D">
        <w:rPr>
          <w:szCs w:val="24"/>
        </w:rPr>
        <w:t xml:space="preserve">The total component time is expected to be </w:t>
      </w:r>
      <w:r w:rsidR="002D14D6">
        <w:rPr>
          <w:szCs w:val="24"/>
        </w:rPr>
        <w:t>20</w:t>
      </w:r>
      <w:r w:rsidRPr="00FF5C7D">
        <w:rPr>
          <w:szCs w:val="24"/>
        </w:rPr>
        <w:t>-</w:t>
      </w:r>
      <w:r w:rsidR="002D14D6">
        <w:rPr>
          <w:szCs w:val="24"/>
        </w:rPr>
        <w:t>3</w:t>
      </w:r>
      <w:r w:rsidRPr="00FF5C7D">
        <w:rPr>
          <w:szCs w:val="24"/>
        </w:rPr>
        <w:t>0 minutes.</w:t>
      </w:r>
      <w:r>
        <w:rPr>
          <w:szCs w:val="24"/>
        </w:rPr>
        <w:t xml:space="preserve"> Once the 6 BP measurements are captured, t</w:t>
      </w:r>
      <w:r w:rsidRPr="00D9646E">
        <w:rPr>
          <w:szCs w:val="24"/>
        </w:rPr>
        <w:t xml:space="preserve">he results will be recorded </w:t>
      </w:r>
      <w:r>
        <w:rPr>
          <w:szCs w:val="24"/>
        </w:rPr>
        <w:t xml:space="preserve">(double-keyed) </w:t>
      </w:r>
      <w:r w:rsidRPr="00D9646E">
        <w:rPr>
          <w:szCs w:val="24"/>
        </w:rPr>
        <w:t xml:space="preserve">by </w:t>
      </w:r>
      <w:r>
        <w:rPr>
          <w:szCs w:val="24"/>
        </w:rPr>
        <w:t>the revealer, who is</w:t>
      </w:r>
      <w:r w:rsidRPr="00D9646E">
        <w:rPr>
          <w:szCs w:val="24"/>
        </w:rPr>
        <w:t xml:space="preserve"> trained to record the pressures from the machine so as to mask the results from the two </w:t>
      </w:r>
      <w:r>
        <w:rPr>
          <w:szCs w:val="24"/>
        </w:rPr>
        <w:t xml:space="preserve">observers. </w:t>
      </w:r>
    </w:p>
    <w:p w14:paraId="527065EA" w14:textId="77777777" w:rsidR="00B9299D" w:rsidRDefault="00B9299D" w:rsidP="00B9299D"/>
    <w:p w14:paraId="3D0295C7" w14:textId="03DA60A7" w:rsidR="00B9299D" w:rsidRDefault="00B9299D" w:rsidP="00B9299D">
      <w:r w:rsidRPr="00C15917">
        <w:rPr>
          <w:bCs/>
          <w:u w:val="single"/>
        </w:rPr>
        <w:t>Report of Findings:</w:t>
      </w:r>
      <w:r>
        <w:rPr>
          <w:bCs/>
        </w:rPr>
        <w:t xml:space="preserve">  Findings from the </w:t>
      </w:r>
      <w:r w:rsidR="00085A9F">
        <w:rPr>
          <w:bCs/>
        </w:rPr>
        <w:t>blood pressure methodology study will not be reported to participants</w:t>
      </w:r>
      <w:r>
        <w:rPr>
          <w:bCs/>
        </w:rPr>
        <w:t xml:space="preserve">.  </w:t>
      </w:r>
      <w:r w:rsidR="00085A9F">
        <w:rPr>
          <w:bCs/>
        </w:rPr>
        <w:t>Participants will receive blood pressure results from their regular NHANES blood pressure measurements.</w:t>
      </w:r>
      <w:r w:rsidRPr="00B653A8">
        <w:t xml:space="preserve"> </w:t>
      </w:r>
    </w:p>
    <w:p w14:paraId="2738CFFB" w14:textId="77777777" w:rsidR="00B9299D" w:rsidRDefault="00B9299D" w:rsidP="00B9299D"/>
    <w:p w14:paraId="04582503" w14:textId="24A35104" w:rsidR="00407A0F" w:rsidRDefault="00407A0F">
      <w:pPr>
        <w:rPr>
          <w:b/>
          <w:szCs w:val="24"/>
        </w:rPr>
      </w:pPr>
      <w:r>
        <w:rPr>
          <w:b/>
          <w:szCs w:val="24"/>
        </w:rPr>
        <w:br w:type="page"/>
      </w:r>
    </w:p>
    <w:p w14:paraId="2867D8A7" w14:textId="77777777" w:rsidR="00407A0F" w:rsidRDefault="00407A0F" w:rsidP="00407A0F">
      <w:pPr>
        <w:jc w:val="both"/>
        <w:rPr>
          <w:b/>
          <w:szCs w:val="24"/>
        </w:rPr>
      </w:pPr>
    </w:p>
    <w:p w14:paraId="44909B03" w14:textId="77777777" w:rsidR="00407A0F" w:rsidRDefault="00407A0F" w:rsidP="00407A0F">
      <w:pPr>
        <w:jc w:val="center"/>
        <w:rPr>
          <w:b/>
          <w:szCs w:val="24"/>
        </w:rPr>
      </w:pPr>
      <w:r>
        <w:rPr>
          <w:b/>
          <w:szCs w:val="24"/>
        </w:rPr>
        <w:t>References</w:t>
      </w:r>
    </w:p>
    <w:p w14:paraId="4CBB31FB" w14:textId="77777777" w:rsidR="00407A0F" w:rsidRDefault="00407A0F" w:rsidP="00407A0F">
      <w:pPr>
        <w:pStyle w:val="Default"/>
        <w:ind w:left="720"/>
      </w:pPr>
    </w:p>
    <w:p w14:paraId="073F8BFF" w14:textId="77777777" w:rsidR="005C6391" w:rsidRPr="00ED74FB" w:rsidRDefault="005C6391" w:rsidP="005C6391">
      <w:pPr>
        <w:pStyle w:val="ListParagraph"/>
        <w:numPr>
          <w:ilvl w:val="0"/>
          <w:numId w:val="32"/>
        </w:numPr>
        <w:spacing w:after="200" w:line="276" w:lineRule="auto"/>
        <w:rPr>
          <w:rFonts w:ascii="Times New Roman" w:hAnsi="Times New Roman"/>
        </w:rPr>
      </w:pPr>
      <w:r w:rsidRPr="00ED74FB">
        <w:rPr>
          <w:rFonts w:ascii="Times New Roman" w:hAnsi="Times New Roman"/>
        </w:rPr>
        <w:t>Ginsberg HN. The ACCORD (Action to Control Cardiovascular Risk in Diabetes) Lipid Trial</w:t>
      </w:r>
    </w:p>
    <w:p w14:paraId="2BEA6764" w14:textId="77777777" w:rsidR="005C6391" w:rsidRDefault="005C6391" w:rsidP="005C6391">
      <w:pPr>
        <w:pStyle w:val="ListParagraph"/>
        <w:rPr>
          <w:rStyle w:val="slug-doi"/>
          <w:rFonts w:ascii="Times New Roman" w:hAnsi="Times New Roman"/>
          <w:bCs/>
          <w:lang w:val="en"/>
        </w:rPr>
      </w:pPr>
      <w:r w:rsidRPr="00ED74FB">
        <w:rPr>
          <w:rFonts w:ascii="Times New Roman" w:hAnsi="Times New Roman"/>
        </w:rPr>
        <w:t xml:space="preserve">What we learn from subgroup analyses DIABETES CARE, VOLUME 34, SUPPLEMENT 2, MAY 2011 </w:t>
      </w:r>
      <w:r w:rsidRPr="00C848D9">
        <w:rPr>
          <w:rFonts w:ascii="Times New Roman" w:hAnsi="Times New Roman"/>
          <w:bCs/>
          <w:lang w:val="en"/>
        </w:rPr>
        <w:t xml:space="preserve">doi: </w:t>
      </w:r>
      <w:r w:rsidRPr="00C848D9">
        <w:rPr>
          <w:rStyle w:val="slug-doi"/>
          <w:rFonts w:ascii="Times New Roman" w:hAnsi="Times New Roman"/>
          <w:bCs/>
          <w:lang w:val="en"/>
        </w:rPr>
        <w:t xml:space="preserve">10.2337/dc11-s203 </w:t>
      </w:r>
    </w:p>
    <w:p w14:paraId="5A8D322E" w14:textId="77777777" w:rsidR="005C6391" w:rsidRPr="00C848D9" w:rsidRDefault="005C6391" w:rsidP="005C6391">
      <w:pPr>
        <w:pStyle w:val="ListParagraph"/>
        <w:rPr>
          <w:rStyle w:val="slug-doi"/>
          <w:rFonts w:ascii="Times New Roman" w:hAnsi="Times New Roman"/>
          <w:bCs/>
          <w:lang w:val="en"/>
        </w:rPr>
      </w:pPr>
    </w:p>
    <w:p w14:paraId="75CAFA28" w14:textId="77777777" w:rsidR="005C6391" w:rsidRDefault="00E97C81" w:rsidP="005C6391">
      <w:pPr>
        <w:pStyle w:val="ListParagraph"/>
        <w:numPr>
          <w:ilvl w:val="0"/>
          <w:numId w:val="32"/>
        </w:numPr>
        <w:shd w:val="clear" w:color="auto" w:fill="FFFFFF"/>
        <w:spacing w:after="200"/>
        <w:rPr>
          <w:rFonts w:ascii="Times New Roman" w:hAnsi="Times New Roman"/>
        </w:rPr>
      </w:pPr>
      <w:hyperlink r:id="rId9" w:history="1">
        <w:r w:rsidR="005C6391" w:rsidRPr="00310403">
          <w:rPr>
            <w:rStyle w:val="highlight2"/>
            <w:rFonts w:ascii="Times New Roman" w:hAnsi="Times New Roman"/>
          </w:rPr>
          <w:t>Ambrosius</w:t>
        </w:r>
        <w:r w:rsidR="005C6391" w:rsidRPr="00310403">
          <w:rPr>
            <w:rFonts w:ascii="Times New Roman" w:hAnsi="Times New Roman"/>
          </w:rPr>
          <w:t xml:space="preserve"> WT</w:t>
        </w:r>
      </w:hyperlink>
      <w:r w:rsidR="005C6391" w:rsidRPr="00310403">
        <w:rPr>
          <w:rFonts w:ascii="Times New Roman" w:hAnsi="Times New Roman"/>
        </w:rPr>
        <w:t xml:space="preserve">, </w:t>
      </w:r>
      <w:hyperlink r:id="rId10" w:history="1">
        <w:r w:rsidR="005C6391" w:rsidRPr="00310403">
          <w:rPr>
            <w:rFonts w:ascii="Times New Roman" w:hAnsi="Times New Roman"/>
          </w:rPr>
          <w:t>Sink KM</w:t>
        </w:r>
      </w:hyperlink>
      <w:r w:rsidR="005C6391" w:rsidRPr="00310403">
        <w:rPr>
          <w:rFonts w:ascii="Times New Roman" w:hAnsi="Times New Roman"/>
        </w:rPr>
        <w:t xml:space="preserve">, </w:t>
      </w:r>
      <w:hyperlink r:id="rId11" w:history="1">
        <w:r w:rsidR="005C6391" w:rsidRPr="00310403">
          <w:rPr>
            <w:rFonts w:ascii="Times New Roman" w:hAnsi="Times New Roman"/>
          </w:rPr>
          <w:t>Foy CG</w:t>
        </w:r>
      </w:hyperlink>
      <w:r w:rsidR="005C6391" w:rsidRPr="00310403">
        <w:rPr>
          <w:rFonts w:ascii="Times New Roman" w:hAnsi="Times New Roman"/>
        </w:rPr>
        <w:t xml:space="preserve">, </w:t>
      </w:r>
      <w:hyperlink r:id="rId12" w:history="1">
        <w:r w:rsidR="005C6391" w:rsidRPr="00310403">
          <w:rPr>
            <w:rFonts w:ascii="Times New Roman" w:hAnsi="Times New Roman"/>
          </w:rPr>
          <w:t>Berlowitz DR</w:t>
        </w:r>
      </w:hyperlink>
      <w:r w:rsidR="005C6391" w:rsidRPr="00310403">
        <w:rPr>
          <w:rFonts w:ascii="Times New Roman" w:hAnsi="Times New Roman"/>
        </w:rPr>
        <w:t xml:space="preserve">, </w:t>
      </w:r>
      <w:hyperlink r:id="rId13" w:history="1">
        <w:r w:rsidR="005C6391" w:rsidRPr="00310403">
          <w:rPr>
            <w:rFonts w:ascii="Times New Roman" w:hAnsi="Times New Roman"/>
          </w:rPr>
          <w:t>Cheung AK</w:t>
        </w:r>
      </w:hyperlink>
      <w:r w:rsidR="005C6391" w:rsidRPr="00310403">
        <w:rPr>
          <w:rFonts w:ascii="Times New Roman" w:hAnsi="Times New Roman"/>
        </w:rPr>
        <w:t xml:space="preserve">, </w:t>
      </w:r>
      <w:hyperlink r:id="rId14" w:history="1">
        <w:r w:rsidR="005C6391" w:rsidRPr="00310403">
          <w:rPr>
            <w:rFonts w:ascii="Times New Roman" w:hAnsi="Times New Roman"/>
          </w:rPr>
          <w:t>Cushman WC</w:t>
        </w:r>
      </w:hyperlink>
      <w:r w:rsidR="005C6391" w:rsidRPr="00310403">
        <w:rPr>
          <w:rFonts w:ascii="Times New Roman" w:hAnsi="Times New Roman"/>
        </w:rPr>
        <w:t xml:space="preserve">, </w:t>
      </w:r>
      <w:hyperlink r:id="rId15" w:history="1">
        <w:r w:rsidR="005C6391" w:rsidRPr="00310403">
          <w:rPr>
            <w:rFonts w:ascii="Times New Roman" w:hAnsi="Times New Roman"/>
          </w:rPr>
          <w:t>Fine LJ</w:t>
        </w:r>
      </w:hyperlink>
      <w:r w:rsidR="005C6391" w:rsidRPr="00310403">
        <w:rPr>
          <w:rFonts w:ascii="Times New Roman" w:hAnsi="Times New Roman"/>
        </w:rPr>
        <w:t xml:space="preserve">, </w:t>
      </w:r>
      <w:hyperlink r:id="rId16" w:history="1">
        <w:r w:rsidR="005C6391" w:rsidRPr="00310403">
          <w:rPr>
            <w:rFonts w:ascii="Times New Roman" w:hAnsi="Times New Roman"/>
          </w:rPr>
          <w:t>Goff DC Jr</w:t>
        </w:r>
      </w:hyperlink>
      <w:r w:rsidR="005C6391" w:rsidRPr="00310403">
        <w:rPr>
          <w:rFonts w:ascii="Times New Roman" w:hAnsi="Times New Roman"/>
        </w:rPr>
        <w:t xml:space="preserve">, </w:t>
      </w:r>
      <w:hyperlink r:id="rId17" w:history="1">
        <w:r w:rsidR="005C6391" w:rsidRPr="00310403">
          <w:rPr>
            <w:rFonts w:ascii="Times New Roman" w:hAnsi="Times New Roman"/>
          </w:rPr>
          <w:t>Johnson KC</w:t>
        </w:r>
      </w:hyperlink>
      <w:r w:rsidR="005C6391" w:rsidRPr="00310403">
        <w:rPr>
          <w:rFonts w:ascii="Times New Roman" w:hAnsi="Times New Roman"/>
        </w:rPr>
        <w:t xml:space="preserve">, </w:t>
      </w:r>
      <w:hyperlink r:id="rId18" w:history="1">
        <w:r w:rsidR="005C6391" w:rsidRPr="00310403">
          <w:rPr>
            <w:rFonts w:ascii="Times New Roman" w:hAnsi="Times New Roman"/>
          </w:rPr>
          <w:t>Killeen AA</w:t>
        </w:r>
      </w:hyperlink>
      <w:r w:rsidR="005C6391" w:rsidRPr="00310403">
        <w:rPr>
          <w:rFonts w:ascii="Times New Roman" w:hAnsi="Times New Roman"/>
        </w:rPr>
        <w:t xml:space="preserve">, </w:t>
      </w:r>
      <w:hyperlink r:id="rId19" w:history="1">
        <w:r w:rsidR="005C6391" w:rsidRPr="00310403">
          <w:rPr>
            <w:rFonts w:ascii="Times New Roman" w:hAnsi="Times New Roman"/>
          </w:rPr>
          <w:t>Lewis CE</w:t>
        </w:r>
      </w:hyperlink>
      <w:r w:rsidR="005C6391" w:rsidRPr="00310403">
        <w:rPr>
          <w:rFonts w:ascii="Times New Roman" w:hAnsi="Times New Roman"/>
        </w:rPr>
        <w:t xml:space="preserve">, </w:t>
      </w:r>
      <w:hyperlink r:id="rId20" w:history="1">
        <w:r w:rsidR="005C6391" w:rsidRPr="00310403">
          <w:rPr>
            <w:rFonts w:ascii="Times New Roman" w:hAnsi="Times New Roman"/>
          </w:rPr>
          <w:t>Oparil S</w:t>
        </w:r>
      </w:hyperlink>
      <w:r w:rsidR="005C6391" w:rsidRPr="00310403">
        <w:rPr>
          <w:rFonts w:ascii="Times New Roman" w:hAnsi="Times New Roman"/>
        </w:rPr>
        <w:t xml:space="preserve">, </w:t>
      </w:r>
      <w:hyperlink r:id="rId21" w:history="1">
        <w:r w:rsidR="005C6391" w:rsidRPr="00310403">
          <w:rPr>
            <w:rFonts w:ascii="Times New Roman" w:hAnsi="Times New Roman"/>
          </w:rPr>
          <w:t>Reboussin DM</w:t>
        </w:r>
      </w:hyperlink>
      <w:r w:rsidR="005C6391" w:rsidRPr="00310403">
        <w:rPr>
          <w:rFonts w:ascii="Times New Roman" w:hAnsi="Times New Roman"/>
        </w:rPr>
        <w:t xml:space="preserve">, </w:t>
      </w:r>
      <w:hyperlink r:id="rId22" w:history="1">
        <w:r w:rsidR="005C6391" w:rsidRPr="00310403">
          <w:rPr>
            <w:rFonts w:ascii="Times New Roman" w:hAnsi="Times New Roman"/>
          </w:rPr>
          <w:t>Rocco MV</w:t>
        </w:r>
      </w:hyperlink>
      <w:r w:rsidR="005C6391" w:rsidRPr="00310403">
        <w:rPr>
          <w:rFonts w:ascii="Times New Roman" w:hAnsi="Times New Roman"/>
        </w:rPr>
        <w:t xml:space="preserve">, </w:t>
      </w:r>
      <w:hyperlink r:id="rId23" w:history="1">
        <w:r w:rsidR="005C6391" w:rsidRPr="00310403">
          <w:rPr>
            <w:rFonts w:ascii="Times New Roman" w:hAnsi="Times New Roman"/>
          </w:rPr>
          <w:t>Snyder JK</w:t>
        </w:r>
      </w:hyperlink>
      <w:r w:rsidR="005C6391" w:rsidRPr="00310403">
        <w:rPr>
          <w:rFonts w:ascii="Times New Roman" w:hAnsi="Times New Roman"/>
        </w:rPr>
        <w:t xml:space="preserve">, </w:t>
      </w:r>
      <w:hyperlink r:id="rId24" w:history="1">
        <w:r w:rsidR="005C6391" w:rsidRPr="00310403">
          <w:rPr>
            <w:rFonts w:ascii="Times New Roman" w:hAnsi="Times New Roman"/>
          </w:rPr>
          <w:t>Williamson JD</w:t>
        </w:r>
      </w:hyperlink>
      <w:r w:rsidR="005C6391" w:rsidRPr="00310403">
        <w:rPr>
          <w:rFonts w:ascii="Times New Roman" w:hAnsi="Times New Roman"/>
        </w:rPr>
        <w:t xml:space="preserve">, </w:t>
      </w:r>
      <w:hyperlink r:id="rId25" w:history="1">
        <w:r w:rsidR="005C6391" w:rsidRPr="00310403">
          <w:rPr>
            <w:rFonts w:ascii="Times New Roman" w:hAnsi="Times New Roman"/>
          </w:rPr>
          <w:t>Wright JT Jr</w:t>
        </w:r>
      </w:hyperlink>
      <w:r w:rsidR="005C6391" w:rsidRPr="00310403">
        <w:rPr>
          <w:rFonts w:ascii="Times New Roman" w:hAnsi="Times New Roman"/>
        </w:rPr>
        <w:t xml:space="preserve">, </w:t>
      </w:r>
      <w:hyperlink r:id="rId26" w:history="1">
        <w:r w:rsidR="005C6391" w:rsidRPr="00310403">
          <w:rPr>
            <w:rFonts w:ascii="Times New Roman" w:hAnsi="Times New Roman"/>
          </w:rPr>
          <w:t>Whelton PK</w:t>
        </w:r>
      </w:hyperlink>
      <w:r w:rsidR="005C6391" w:rsidRPr="00310403">
        <w:rPr>
          <w:rFonts w:ascii="Times New Roman" w:hAnsi="Times New Roman"/>
        </w:rPr>
        <w:t xml:space="preserve">; </w:t>
      </w:r>
      <w:hyperlink r:id="rId27" w:history="1">
        <w:r w:rsidR="005C6391" w:rsidRPr="00310403">
          <w:rPr>
            <w:rStyle w:val="highlight2"/>
            <w:rFonts w:ascii="Times New Roman" w:hAnsi="Times New Roman"/>
          </w:rPr>
          <w:t>SPRINT</w:t>
        </w:r>
        <w:r w:rsidR="005C6391" w:rsidRPr="00310403">
          <w:rPr>
            <w:rFonts w:ascii="Times New Roman" w:hAnsi="Times New Roman"/>
          </w:rPr>
          <w:t xml:space="preserve"> Study Research Group</w:t>
        </w:r>
      </w:hyperlink>
      <w:r w:rsidR="005C6391" w:rsidRPr="00310403">
        <w:rPr>
          <w:rFonts w:ascii="Times New Roman" w:hAnsi="Times New Roman"/>
        </w:rPr>
        <w:t xml:space="preserve">. The design and rationale of a multicenter </w:t>
      </w:r>
      <w:r w:rsidR="005C6391" w:rsidRPr="00310403">
        <w:rPr>
          <w:rStyle w:val="highlight2"/>
          <w:rFonts w:ascii="Times New Roman" w:hAnsi="Times New Roman"/>
        </w:rPr>
        <w:t>clinical</w:t>
      </w:r>
      <w:r w:rsidR="005C6391" w:rsidRPr="00310403">
        <w:rPr>
          <w:rFonts w:ascii="Times New Roman" w:hAnsi="Times New Roman"/>
        </w:rPr>
        <w:t xml:space="preserve"> </w:t>
      </w:r>
      <w:r w:rsidR="005C6391" w:rsidRPr="00310403">
        <w:rPr>
          <w:rStyle w:val="highlight2"/>
          <w:rFonts w:ascii="Times New Roman" w:hAnsi="Times New Roman"/>
        </w:rPr>
        <w:t>trial</w:t>
      </w:r>
      <w:r w:rsidR="005C6391" w:rsidRPr="00310403">
        <w:rPr>
          <w:rFonts w:ascii="Times New Roman" w:hAnsi="Times New Roman"/>
        </w:rPr>
        <w:t xml:space="preserve"> comparing two strategies for control of </w:t>
      </w:r>
      <w:r w:rsidR="005C6391" w:rsidRPr="00310403">
        <w:rPr>
          <w:rStyle w:val="highlight2"/>
          <w:rFonts w:ascii="Times New Roman" w:hAnsi="Times New Roman"/>
        </w:rPr>
        <w:t>systolic</w:t>
      </w:r>
      <w:r w:rsidR="005C6391" w:rsidRPr="00310403">
        <w:rPr>
          <w:rFonts w:ascii="Times New Roman" w:hAnsi="Times New Roman"/>
        </w:rPr>
        <w:t xml:space="preserve"> </w:t>
      </w:r>
      <w:r w:rsidR="005C6391" w:rsidRPr="00310403">
        <w:rPr>
          <w:rStyle w:val="highlight2"/>
          <w:rFonts w:ascii="Times New Roman" w:hAnsi="Times New Roman"/>
        </w:rPr>
        <w:t>blood pressure</w:t>
      </w:r>
      <w:r w:rsidR="005C6391" w:rsidRPr="00310403">
        <w:rPr>
          <w:rFonts w:ascii="Times New Roman" w:hAnsi="Times New Roman"/>
        </w:rPr>
        <w:t xml:space="preserve">: the </w:t>
      </w:r>
      <w:r w:rsidR="005C6391" w:rsidRPr="00310403">
        <w:rPr>
          <w:rStyle w:val="highlight2"/>
          <w:rFonts w:ascii="Times New Roman" w:hAnsi="Times New Roman"/>
        </w:rPr>
        <w:t>Systolic</w:t>
      </w:r>
      <w:r w:rsidR="005C6391" w:rsidRPr="00310403">
        <w:rPr>
          <w:rFonts w:ascii="Times New Roman" w:hAnsi="Times New Roman"/>
        </w:rPr>
        <w:t xml:space="preserve"> </w:t>
      </w:r>
      <w:r w:rsidR="005C6391" w:rsidRPr="00310403">
        <w:rPr>
          <w:rStyle w:val="highlight2"/>
          <w:rFonts w:ascii="Times New Roman" w:hAnsi="Times New Roman"/>
        </w:rPr>
        <w:t>Blood Pressure</w:t>
      </w:r>
      <w:r w:rsidR="005C6391" w:rsidRPr="00310403">
        <w:rPr>
          <w:rFonts w:ascii="Times New Roman" w:hAnsi="Times New Roman"/>
        </w:rPr>
        <w:t xml:space="preserve"> </w:t>
      </w:r>
      <w:r w:rsidR="005C6391" w:rsidRPr="00310403">
        <w:rPr>
          <w:rStyle w:val="highlight2"/>
          <w:rFonts w:ascii="Times New Roman" w:hAnsi="Times New Roman"/>
        </w:rPr>
        <w:t>Intervention</w:t>
      </w:r>
      <w:r w:rsidR="005C6391" w:rsidRPr="00310403">
        <w:rPr>
          <w:rFonts w:ascii="Times New Roman" w:hAnsi="Times New Roman"/>
        </w:rPr>
        <w:t xml:space="preserve"> </w:t>
      </w:r>
      <w:r w:rsidR="005C6391" w:rsidRPr="00310403">
        <w:rPr>
          <w:rStyle w:val="highlight2"/>
          <w:rFonts w:ascii="Times New Roman" w:hAnsi="Times New Roman"/>
        </w:rPr>
        <w:t>Trial</w:t>
      </w:r>
      <w:r w:rsidR="005C6391" w:rsidRPr="00310403">
        <w:rPr>
          <w:rFonts w:ascii="Times New Roman" w:hAnsi="Times New Roman"/>
        </w:rPr>
        <w:t xml:space="preserve"> (</w:t>
      </w:r>
      <w:r w:rsidR="005C6391" w:rsidRPr="00310403">
        <w:rPr>
          <w:rStyle w:val="highlight2"/>
          <w:rFonts w:ascii="Times New Roman" w:hAnsi="Times New Roman"/>
        </w:rPr>
        <w:t>SPRINT</w:t>
      </w:r>
      <w:r w:rsidR="005C6391" w:rsidRPr="00310403">
        <w:rPr>
          <w:rFonts w:ascii="Times New Roman" w:hAnsi="Times New Roman"/>
        </w:rPr>
        <w:t xml:space="preserve">). </w:t>
      </w:r>
      <w:hyperlink r:id="rId28" w:tooltip="Clinical trials (London, England)." w:history="1">
        <w:r w:rsidR="005C6391" w:rsidRPr="00310403">
          <w:rPr>
            <w:rFonts w:ascii="Times New Roman" w:hAnsi="Times New Roman"/>
          </w:rPr>
          <w:t xml:space="preserve">Clin </w:t>
        </w:r>
        <w:r w:rsidR="005C6391" w:rsidRPr="00310403">
          <w:rPr>
            <w:rStyle w:val="highlight2"/>
            <w:rFonts w:ascii="Times New Roman" w:hAnsi="Times New Roman"/>
          </w:rPr>
          <w:t>Trials</w:t>
        </w:r>
        <w:r w:rsidR="005C6391" w:rsidRPr="00310403">
          <w:rPr>
            <w:rFonts w:ascii="Times New Roman" w:hAnsi="Times New Roman"/>
          </w:rPr>
          <w:t>.</w:t>
        </w:r>
      </w:hyperlink>
      <w:r w:rsidR="005C6391" w:rsidRPr="00310403">
        <w:rPr>
          <w:rFonts w:ascii="Times New Roman" w:hAnsi="Times New Roman"/>
        </w:rPr>
        <w:t xml:space="preserve"> </w:t>
      </w:r>
      <w:r w:rsidR="005C6391" w:rsidRPr="00310403">
        <w:rPr>
          <w:rStyle w:val="highlight2"/>
          <w:rFonts w:ascii="Times New Roman" w:hAnsi="Times New Roman"/>
        </w:rPr>
        <w:t>2014</w:t>
      </w:r>
      <w:r w:rsidR="005C6391" w:rsidRPr="00310403">
        <w:rPr>
          <w:rFonts w:ascii="Times New Roman" w:hAnsi="Times New Roman"/>
        </w:rPr>
        <w:t xml:space="preserve"> Oct;11(5):532-46. doi: 10.1177/1740774514537404.</w:t>
      </w:r>
    </w:p>
    <w:p w14:paraId="06EBBC82" w14:textId="77777777" w:rsidR="005C6391" w:rsidRDefault="005C6391" w:rsidP="005C6391">
      <w:pPr>
        <w:pStyle w:val="ListParagraph"/>
        <w:shd w:val="clear" w:color="auto" w:fill="FFFFFF"/>
        <w:rPr>
          <w:rFonts w:ascii="Times New Roman" w:hAnsi="Times New Roman"/>
        </w:rPr>
      </w:pPr>
    </w:p>
    <w:p w14:paraId="1CAB70F7" w14:textId="77777777" w:rsidR="005C6391" w:rsidRPr="001301C9" w:rsidRDefault="005C6391" w:rsidP="005C6391">
      <w:pPr>
        <w:pStyle w:val="ListParagraph"/>
        <w:numPr>
          <w:ilvl w:val="0"/>
          <w:numId w:val="32"/>
        </w:numPr>
        <w:shd w:val="clear" w:color="auto" w:fill="FFFFFF"/>
        <w:spacing w:after="200"/>
        <w:rPr>
          <w:rFonts w:ascii="Times New Roman" w:hAnsi="Times New Roman"/>
        </w:rPr>
      </w:pPr>
      <w:r w:rsidRPr="003D2351">
        <w:rPr>
          <w:rFonts w:ascii="Times New Roman" w:hAnsi="Times New Roman"/>
        </w:rPr>
        <w:t xml:space="preserve">National Heart, Lung, and Blood Institute (NHLBI) 2014 The Coronary Artery Risk Development in Young Adults Study (CARDIA). Retrieved from </w:t>
      </w:r>
      <w:hyperlink r:id="rId29" w:history="1">
        <w:r w:rsidRPr="005C6391">
          <w:rPr>
            <w:rStyle w:val="Hyperlink"/>
            <w:rFonts w:ascii="Times New Roman" w:hAnsi="Times New Roman"/>
            <w:color w:val="auto"/>
            <w:u w:val="none"/>
          </w:rPr>
          <w:t>http://www.nhlbi.nih.gov/research/resources/obesity/population/index.htm</w:t>
        </w:r>
      </w:hyperlink>
    </w:p>
    <w:p w14:paraId="78196DDF" w14:textId="77777777" w:rsidR="005C6391" w:rsidRPr="00BB6E82" w:rsidRDefault="005C6391" w:rsidP="005C6391">
      <w:pPr>
        <w:pStyle w:val="ListParagraph"/>
        <w:rPr>
          <w:rFonts w:ascii="Times New Roman" w:hAnsi="Times New Roman"/>
        </w:rPr>
      </w:pPr>
    </w:p>
    <w:p w14:paraId="0299026B" w14:textId="77777777" w:rsidR="005C6391" w:rsidRDefault="005C6391" w:rsidP="005C6391">
      <w:pPr>
        <w:pStyle w:val="ListParagraph"/>
        <w:shd w:val="clear" w:color="auto" w:fill="FFFFFF"/>
        <w:rPr>
          <w:rFonts w:ascii="Times New Roman" w:hAnsi="Times New Roman"/>
        </w:rPr>
      </w:pPr>
    </w:p>
    <w:p w14:paraId="42FE86D5" w14:textId="77777777" w:rsidR="005C6391" w:rsidRDefault="005C6391" w:rsidP="005C6391">
      <w:pPr>
        <w:pStyle w:val="ListParagraph"/>
        <w:numPr>
          <w:ilvl w:val="0"/>
          <w:numId w:val="32"/>
        </w:numPr>
        <w:rPr>
          <w:rFonts w:ascii="Times New Roman" w:eastAsia="Times New Roman" w:hAnsi="Times New Roman"/>
          <w:lang w:val="en"/>
        </w:rPr>
      </w:pPr>
      <w:r w:rsidRPr="0012017D">
        <w:rPr>
          <w:rFonts w:ascii="Times New Roman" w:eastAsia="Times New Roman" w:hAnsi="Times New Roman"/>
          <w:lang w:val="en"/>
        </w:rPr>
        <w:t xml:space="preserve">Zohoori N, Pulley L, Jones C, Senner J, Shoob H, Merritt RK. Conducting a statewide health examination survey: the Arkansas Cardiovascular Health Examination Survey (ARCHES). Prev Chronic Dis. 2011; 8(3): A67. </w:t>
      </w:r>
    </w:p>
    <w:p w14:paraId="3987698E" w14:textId="77777777" w:rsidR="005C6391" w:rsidRPr="00AE2A47" w:rsidRDefault="005C6391" w:rsidP="005C6391">
      <w:pPr>
        <w:pStyle w:val="ListParagraph"/>
        <w:rPr>
          <w:rFonts w:ascii="Times New Roman" w:eastAsia="Times New Roman" w:hAnsi="Times New Roman"/>
          <w:lang w:val="en"/>
        </w:rPr>
      </w:pPr>
    </w:p>
    <w:p w14:paraId="1AE944B4" w14:textId="77777777" w:rsidR="005C6391" w:rsidRPr="00C848D9" w:rsidRDefault="005C6391" w:rsidP="005C6391">
      <w:pPr>
        <w:pStyle w:val="ListParagraph"/>
        <w:numPr>
          <w:ilvl w:val="0"/>
          <w:numId w:val="32"/>
        </w:numPr>
        <w:rPr>
          <w:rFonts w:ascii="Times New Roman" w:eastAsia="Times New Roman" w:hAnsi="Times New Roman"/>
          <w:lang w:val="en"/>
        </w:rPr>
      </w:pPr>
      <w:r w:rsidRPr="0012017D">
        <w:rPr>
          <w:rFonts w:ascii="Times New Roman" w:eastAsia="Times New Roman" w:hAnsi="Times New Roman"/>
          <w:lang w:val="en"/>
        </w:rPr>
        <w:t xml:space="preserve">Nieto FJ, Peppard PE, Engelman CD, McElroy JA, Galvao LW, Friedman EM, Bersch AJ, Malecki KC. The Survey of the Health of Wisconsin (SHOW), a novel infrastructure for population health research: rationale and methods. BMC Public Health. 2010 23; 10:785. </w:t>
      </w:r>
    </w:p>
    <w:p w14:paraId="01FD7840" w14:textId="77777777" w:rsidR="005C6391" w:rsidRPr="0012017D" w:rsidRDefault="005C6391" w:rsidP="005C6391">
      <w:pPr>
        <w:pStyle w:val="ListParagraph"/>
        <w:rPr>
          <w:rFonts w:ascii="Times New Roman" w:eastAsia="Times New Roman" w:hAnsi="Times New Roman"/>
          <w:lang w:val="en"/>
        </w:rPr>
      </w:pPr>
    </w:p>
    <w:p w14:paraId="73FACDF8" w14:textId="77777777" w:rsidR="005C6391" w:rsidRPr="005C6391" w:rsidRDefault="005C6391" w:rsidP="005C6391">
      <w:pPr>
        <w:pStyle w:val="ListParagraph"/>
        <w:numPr>
          <w:ilvl w:val="0"/>
          <w:numId w:val="32"/>
        </w:numPr>
        <w:rPr>
          <w:rFonts w:ascii="Times New Roman" w:eastAsia="Times New Roman" w:hAnsi="Times New Roman"/>
          <w:lang w:val="en"/>
        </w:rPr>
      </w:pPr>
      <w:r w:rsidRPr="005C6391">
        <w:rPr>
          <w:rFonts w:ascii="Times New Roman" w:eastAsia="Times New Roman" w:hAnsi="Times New Roman"/>
          <w:lang w:val="en"/>
        </w:rPr>
        <w:t xml:space="preserve">Oregon Health Study Group (2009-2010). Oregon health study. Available at: http://www.nber.org/oregon/documents/survey/in-person/inperson-survey-protocols.pdf </w:t>
      </w:r>
    </w:p>
    <w:p w14:paraId="59AE1A9B" w14:textId="77777777" w:rsidR="005C6391" w:rsidRPr="005C6391" w:rsidRDefault="005C6391" w:rsidP="005C6391">
      <w:pPr>
        <w:pStyle w:val="ListParagraph"/>
        <w:rPr>
          <w:rFonts w:ascii="Times New Roman" w:eastAsia="Times New Roman" w:hAnsi="Times New Roman"/>
          <w:lang w:val="en"/>
        </w:rPr>
      </w:pPr>
    </w:p>
    <w:p w14:paraId="24ED8175" w14:textId="77777777" w:rsidR="00A16586" w:rsidRPr="005C6391" w:rsidRDefault="00A16586" w:rsidP="00A16586">
      <w:pPr>
        <w:pStyle w:val="ListParagraph"/>
        <w:numPr>
          <w:ilvl w:val="0"/>
          <w:numId w:val="32"/>
        </w:numPr>
        <w:rPr>
          <w:rFonts w:ascii="Times New Roman" w:eastAsia="Times New Roman" w:hAnsi="Times New Roman"/>
          <w:lang w:val="en"/>
        </w:rPr>
      </w:pPr>
      <w:r w:rsidRPr="005C6391">
        <w:rPr>
          <w:rFonts w:ascii="Times New Roman" w:eastAsia="Times New Roman" w:hAnsi="Times New Roman"/>
          <w:lang w:val="en"/>
        </w:rPr>
        <w:t>Ni H, Wu C, Prineas R, Shea S, Liu K, Kronmal R, Bild D. Comparison of Dinamap PRO-100 and mercury sphygmomanometer blood pressure measurements in a population-based study. Am J Hypertens. 2006; 19(4): 353-60.</w:t>
      </w:r>
    </w:p>
    <w:p w14:paraId="242D9F59" w14:textId="77777777" w:rsidR="00A16586" w:rsidRPr="005C6391" w:rsidRDefault="00A16586" w:rsidP="00450E61">
      <w:pPr>
        <w:pStyle w:val="ListParagraph"/>
        <w:rPr>
          <w:rFonts w:ascii="Times New Roman" w:eastAsia="Times New Roman" w:hAnsi="Times New Roman"/>
          <w:u w:val="single"/>
          <w:lang w:val="en"/>
        </w:rPr>
      </w:pPr>
    </w:p>
    <w:p w14:paraId="44793C74" w14:textId="72AE4F85" w:rsidR="00407A0F" w:rsidRPr="005C6391" w:rsidRDefault="00407A0F" w:rsidP="00407A0F">
      <w:pPr>
        <w:pStyle w:val="ListParagraph"/>
        <w:numPr>
          <w:ilvl w:val="0"/>
          <w:numId w:val="32"/>
        </w:numPr>
        <w:rPr>
          <w:rStyle w:val="Hyperlink"/>
          <w:rFonts w:ascii="Times New Roman" w:eastAsia="Times New Roman" w:hAnsi="Times New Roman"/>
          <w:color w:val="auto"/>
          <w:u w:val="none"/>
          <w:lang w:val="en"/>
        </w:rPr>
      </w:pPr>
      <w:r w:rsidRPr="005C6391">
        <w:rPr>
          <w:rFonts w:ascii="Times New Roman" w:eastAsia="Times New Roman" w:hAnsi="Times New Roman"/>
          <w:lang w:val="en"/>
        </w:rPr>
        <w:t xml:space="preserve">Association for the Advancement of Medical Instrumentation (AAMI). Non-invasive sphygmomanometers —Part 2: Clinical investigation of automated measurement type.  Retrieved from  </w:t>
      </w:r>
      <w:hyperlink r:id="rId30" w:history="1">
        <w:r w:rsidRPr="005C6391">
          <w:rPr>
            <w:rStyle w:val="Hyperlink"/>
            <w:rFonts w:ascii="Times New Roman" w:eastAsia="Times New Roman" w:hAnsi="Times New Roman"/>
            <w:color w:val="auto"/>
            <w:u w:val="none"/>
            <w:lang w:val="en"/>
          </w:rPr>
          <w:t>http://my.aami.org/aamiresources/previewfiles/8106002_1306_preview.pdf</w:t>
        </w:r>
      </w:hyperlink>
    </w:p>
    <w:p w14:paraId="7A1118E9" w14:textId="77777777" w:rsidR="00407A0F" w:rsidRPr="005C6391" w:rsidRDefault="00407A0F" w:rsidP="00407A0F">
      <w:pPr>
        <w:pStyle w:val="ListParagraph"/>
        <w:rPr>
          <w:rFonts w:ascii="Times New Roman" w:eastAsia="Times New Roman" w:hAnsi="Times New Roman"/>
          <w:lang w:val="en"/>
        </w:rPr>
      </w:pPr>
    </w:p>
    <w:p w14:paraId="77BC8F11" w14:textId="77777777" w:rsidR="005C6391" w:rsidRPr="005C6391" w:rsidRDefault="005C6391" w:rsidP="005C6391">
      <w:pPr>
        <w:pStyle w:val="ListParagraph"/>
        <w:spacing w:after="200" w:line="276" w:lineRule="auto"/>
        <w:rPr>
          <w:rFonts w:ascii="Times New Roman" w:hAnsi="Times New Roman"/>
        </w:rPr>
      </w:pPr>
    </w:p>
    <w:p w14:paraId="17C96634" w14:textId="77777777" w:rsidR="005C6391" w:rsidRPr="005C6391" w:rsidRDefault="005C6391" w:rsidP="005C6391">
      <w:pPr>
        <w:pStyle w:val="ListParagraph"/>
        <w:rPr>
          <w:rFonts w:ascii="Times New Roman" w:hAnsi="Times New Roman"/>
        </w:rPr>
      </w:pPr>
    </w:p>
    <w:p w14:paraId="5AD4C19E" w14:textId="77777777" w:rsidR="005C6391" w:rsidRPr="005C6391" w:rsidRDefault="005C6391" w:rsidP="005C6391">
      <w:pPr>
        <w:pStyle w:val="ListParagraph"/>
        <w:spacing w:after="200" w:line="276" w:lineRule="auto"/>
        <w:rPr>
          <w:rFonts w:ascii="Times New Roman" w:hAnsi="Times New Roman"/>
        </w:rPr>
      </w:pPr>
    </w:p>
    <w:p w14:paraId="2F14A98F" w14:textId="77777777" w:rsidR="005C6391" w:rsidRPr="005C6391" w:rsidRDefault="005C6391" w:rsidP="005C6391">
      <w:pPr>
        <w:pStyle w:val="ListParagraph"/>
        <w:spacing w:after="200" w:line="276" w:lineRule="auto"/>
        <w:rPr>
          <w:rFonts w:ascii="Times New Roman" w:hAnsi="Times New Roman"/>
        </w:rPr>
      </w:pPr>
    </w:p>
    <w:p w14:paraId="31441CC3" w14:textId="77777777" w:rsidR="00407A0F" w:rsidRPr="005C6391" w:rsidRDefault="00407A0F" w:rsidP="00407A0F">
      <w:pPr>
        <w:pStyle w:val="ListParagraph"/>
        <w:numPr>
          <w:ilvl w:val="0"/>
          <w:numId w:val="32"/>
        </w:numPr>
        <w:spacing w:after="200" w:line="276" w:lineRule="auto"/>
        <w:rPr>
          <w:rFonts w:ascii="Times New Roman" w:hAnsi="Times New Roman"/>
        </w:rPr>
      </w:pPr>
      <w:r w:rsidRPr="005C6391">
        <w:rPr>
          <w:rFonts w:ascii="Times New Roman" w:hAnsi="Times New Roman"/>
        </w:rPr>
        <w:lastRenderedPageBreak/>
        <w:t xml:space="preserve">Pickering TG, Hall JE, Appel LJ, Falkner BE, Graves J, Hill MN, Jones DW, Kurtz T, Sheps SG, Roccella EJ. Subcommittee of Professional and Public Education of the American Heart Association Council on High Blood Pressure Research. Recommendations for blood pressure measurement in humans and experimental animals: Part 1: blood pressure measurement in humans: a statement for professionals from the Subcommittee of Professional and Public Education of the American Heart Association Council on High Blood Pressure Research.  Hypertension. 2005:45(1);142–161. </w:t>
      </w:r>
    </w:p>
    <w:p w14:paraId="1D1025A8" w14:textId="77777777" w:rsidR="00407A0F" w:rsidRPr="005C6391" w:rsidRDefault="00407A0F" w:rsidP="00407A0F">
      <w:pPr>
        <w:pStyle w:val="ListParagraph"/>
        <w:rPr>
          <w:rFonts w:ascii="Times New Roman" w:hAnsi="Times New Roman"/>
        </w:rPr>
      </w:pPr>
    </w:p>
    <w:p w14:paraId="0F815615" w14:textId="77777777" w:rsidR="00407A0F" w:rsidRPr="005C6391" w:rsidRDefault="00407A0F" w:rsidP="00407A0F">
      <w:pPr>
        <w:pStyle w:val="ListParagraph"/>
        <w:numPr>
          <w:ilvl w:val="0"/>
          <w:numId w:val="32"/>
        </w:numPr>
        <w:rPr>
          <w:rStyle w:val="Hyperlink"/>
          <w:rFonts w:ascii="Times New Roman" w:eastAsia="Times New Roman" w:hAnsi="Times New Roman"/>
          <w:color w:val="auto"/>
          <w:lang w:val="en"/>
        </w:rPr>
      </w:pPr>
      <w:r w:rsidRPr="005C6391">
        <w:rPr>
          <w:rFonts w:ascii="Times New Roman" w:eastAsia="Times New Roman" w:hAnsi="Times New Roman"/>
          <w:lang w:val="en"/>
        </w:rPr>
        <w:t xml:space="preserve">Canadian Hypertension Education Program 2015 guidelines. Retrieved from </w:t>
      </w:r>
      <w:hyperlink r:id="rId31" w:history="1">
        <w:r w:rsidRPr="005C6391">
          <w:rPr>
            <w:rStyle w:val="Hyperlink"/>
            <w:rFonts w:ascii="Times New Roman" w:eastAsia="Times New Roman" w:hAnsi="Times New Roman"/>
            <w:color w:val="auto"/>
            <w:u w:val="none"/>
            <w:lang w:val="en"/>
          </w:rPr>
          <w:t>https://www.hypertension.ca/en/chep</w:t>
        </w:r>
      </w:hyperlink>
    </w:p>
    <w:p w14:paraId="6FD01202" w14:textId="77777777" w:rsidR="00407A0F" w:rsidRPr="005C6391" w:rsidRDefault="00407A0F" w:rsidP="00407A0F">
      <w:pPr>
        <w:pStyle w:val="ListParagraph"/>
        <w:rPr>
          <w:rFonts w:ascii="Times New Roman" w:eastAsia="Times New Roman" w:hAnsi="Times New Roman"/>
          <w:lang w:val="en"/>
        </w:rPr>
      </w:pPr>
    </w:p>
    <w:sectPr w:rsidR="00407A0F" w:rsidRPr="005C6391" w:rsidSect="005134E0">
      <w:footerReference w:type="even" r:id="rId32"/>
      <w:footerReference w:type="default" r:id="rId33"/>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558C6" w14:textId="77777777" w:rsidR="00AB77E7" w:rsidRDefault="00AB77E7">
      <w:r>
        <w:separator/>
      </w:r>
    </w:p>
  </w:endnote>
  <w:endnote w:type="continuationSeparator" w:id="0">
    <w:p w14:paraId="7D72A95C" w14:textId="77777777" w:rsidR="00AB77E7" w:rsidRDefault="00AB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ACEF"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72815" w14:textId="77777777"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D4658" w14:textId="091832C7"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E97C81">
      <w:rPr>
        <w:rStyle w:val="PageNumber"/>
        <w:rFonts w:ascii="Arial" w:hAnsi="Arial" w:cs="Arial"/>
        <w:b/>
        <w:noProof/>
        <w:sz w:val="18"/>
        <w:szCs w:val="18"/>
      </w:rPr>
      <w:t>2</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8940C" w14:textId="77777777" w:rsidR="00AB77E7" w:rsidRDefault="00AB77E7">
      <w:r>
        <w:separator/>
      </w:r>
    </w:p>
  </w:footnote>
  <w:footnote w:type="continuationSeparator" w:id="0">
    <w:p w14:paraId="4681556D" w14:textId="77777777" w:rsidR="00AB77E7" w:rsidRDefault="00AB7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1340E"/>
    <w:multiLevelType w:val="hybridMultilevel"/>
    <w:tmpl w:val="F9C6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4"/>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3"/>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30"/>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2"/>
  </w:num>
  <w:num w:numId="28">
    <w:abstractNumId w:val="13"/>
  </w:num>
  <w:num w:numId="29">
    <w:abstractNumId w:val="24"/>
  </w:num>
  <w:num w:numId="30">
    <w:abstractNumId w:val="21"/>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5A9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B1F"/>
    <w:rsid w:val="001E5CC6"/>
    <w:rsid w:val="001E74DE"/>
    <w:rsid w:val="001F2663"/>
    <w:rsid w:val="001F7959"/>
    <w:rsid w:val="00200F53"/>
    <w:rsid w:val="002012B1"/>
    <w:rsid w:val="00203C58"/>
    <w:rsid w:val="0020459E"/>
    <w:rsid w:val="00204C71"/>
    <w:rsid w:val="0020671C"/>
    <w:rsid w:val="00211398"/>
    <w:rsid w:val="00220C1C"/>
    <w:rsid w:val="002216DE"/>
    <w:rsid w:val="00234CBA"/>
    <w:rsid w:val="0024566B"/>
    <w:rsid w:val="002466CE"/>
    <w:rsid w:val="00247228"/>
    <w:rsid w:val="00247A75"/>
    <w:rsid w:val="00253688"/>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4D6"/>
    <w:rsid w:val="002D19B9"/>
    <w:rsid w:val="002E4611"/>
    <w:rsid w:val="002E5CEE"/>
    <w:rsid w:val="002F093D"/>
    <w:rsid w:val="002F0CEE"/>
    <w:rsid w:val="002F1C20"/>
    <w:rsid w:val="002F2000"/>
    <w:rsid w:val="002F50E3"/>
    <w:rsid w:val="003021E0"/>
    <w:rsid w:val="003026E9"/>
    <w:rsid w:val="003044B8"/>
    <w:rsid w:val="00306946"/>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07A0F"/>
    <w:rsid w:val="00410C55"/>
    <w:rsid w:val="00412ADA"/>
    <w:rsid w:val="00413315"/>
    <w:rsid w:val="00413ED2"/>
    <w:rsid w:val="00414B23"/>
    <w:rsid w:val="00415F1B"/>
    <w:rsid w:val="00416260"/>
    <w:rsid w:val="00416E96"/>
    <w:rsid w:val="00422715"/>
    <w:rsid w:val="0042413F"/>
    <w:rsid w:val="004245B3"/>
    <w:rsid w:val="00424DED"/>
    <w:rsid w:val="004279A4"/>
    <w:rsid w:val="00431E8B"/>
    <w:rsid w:val="00433049"/>
    <w:rsid w:val="004339D8"/>
    <w:rsid w:val="00435B8C"/>
    <w:rsid w:val="0043627E"/>
    <w:rsid w:val="00437DB9"/>
    <w:rsid w:val="0044263F"/>
    <w:rsid w:val="00445213"/>
    <w:rsid w:val="00445589"/>
    <w:rsid w:val="0045055C"/>
    <w:rsid w:val="00450E61"/>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319D"/>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763"/>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2E45"/>
    <w:rsid w:val="005A3FDB"/>
    <w:rsid w:val="005A4317"/>
    <w:rsid w:val="005A5A7B"/>
    <w:rsid w:val="005B00D8"/>
    <w:rsid w:val="005B079F"/>
    <w:rsid w:val="005B291C"/>
    <w:rsid w:val="005B4840"/>
    <w:rsid w:val="005C0869"/>
    <w:rsid w:val="005C0CB1"/>
    <w:rsid w:val="005C1EF2"/>
    <w:rsid w:val="005C2442"/>
    <w:rsid w:val="005C4523"/>
    <w:rsid w:val="005C4AAB"/>
    <w:rsid w:val="005C6391"/>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593D"/>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D6E9B"/>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0FA6"/>
    <w:rsid w:val="00732913"/>
    <w:rsid w:val="00732EA1"/>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1C67"/>
    <w:rsid w:val="00793BF1"/>
    <w:rsid w:val="00794A1A"/>
    <w:rsid w:val="00794EA0"/>
    <w:rsid w:val="00797DAC"/>
    <w:rsid w:val="007A400C"/>
    <w:rsid w:val="007A51FF"/>
    <w:rsid w:val="007A5209"/>
    <w:rsid w:val="007A6869"/>
    <w:rsid w:val="007A6EF4"/>
    <w:rsid w:val="007B4CF0"/>
    <w:rsid w:val="007B6748"/>
    <w:rsid w:val="007B731A"/>
    <w:rsid w:val="007D226A"/>
    <w:rsid w:val="007D36BB"/>
    <w:rsid w:val="007D46BE"/>
    <w:rsid w:val="007D64A4"/>
    <w:rsid w:val="007D74A9"/>
    <w:rsid w:val="007E038B"/>
    <w:rsid w:val="007E758C"/>
    <w:rsid w:val="007F2CDF"/>
    <w:rsid w:val="007F361B"/>
    <w:rsid w:val="007F49E8"/>
    <w:rsid w:val="007F58E3"/>
    <w:rsid w:val="00800050"/>
    <w:rsid w:val="00800A96"/>
    <w:rsid w:val="00800AF2"/>
    <w:rsid w:val="008044DC"/>
    <w:rsid w:val="008063A8"/>
    <w:rsid w:val="008071FA"/>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0292"/>
    <w:rsid w:val="00941CB1"/>
    <w:rsid w:val="00943ED1"/>
    <w:rsid w:val="00946DBC"/>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A01BA8"/>
    <w:rsid w:val="00A053AF"/>
    <w:rsid w:val="00A072F7"/>
    <w:rsid w:val="00A157D1"/>
    <w:rsid w:val="00A16586"/>
    <w:rsid w:val="00A17A64"/>
    <w:rsid w:val="00A23085"/>
    <w:rsid w:val="00A305B5"/>
    <w:rsid w:val="00A37CEB"/>
    <w:rsid w:val="00A410DD"/>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5E32"/>
    <w:rsid w:val="00A973D8"/>
    <w:rsid w:val="00AA2D1A"/>
    <w:rsid w:val="00AA306E"/>
    <w:rsid w:val="00AA4620"/>
    <w:rsid w:val="00AA46DE"/>
    <w:rsid w:val="00AA5DD7"/>
    <w:rsid w:val="00AB0FD1"/>
    <w:rsid w:val="00AB1AE7"/>
    <w:rsid w:val="00AB2554"/>
    <w:rsid w:val="00AB4CF0"/>
    <w:rsid w:val="00AB54E5"/>
    <w:rsid w:val="00AB62C9"/>
    <w:rsid w:val="00AB6EE3"/>
    <w:rsid w:val="00AB77E7"/>
    <w:rsid w:val="00AC1A00"/>
    <w:rsid w:val="00AC27B9"/>
    <w:rsid w:val="00AC4EB0"/>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0FCF"/>
    <w:rsid w:val="00B73D15"/>
    <w:rsid w:val="00B75957"/>
    <w:rsid w:val="00B7729E"/>
    <w:rsid w:val="00B812BC"/>
    <w:rsid w:val="00B818E8"/>
    <w:rsid w:val="00B83405"/>
    <w:rsid w:val="00B84084"/>
    <w:rsid w:val="00B851BE"/>
    <w:rsid w:val="00B85C53"/>
    <w:rsid w:val="00B8794C"/>
    <w:rsid w:val="00B87A16"/>
    <w:rsid w:val="00B92720"/>
    <w:rsid w:val="00B9299D"/>
    <w:rsid w:val="00B948F3"/>
    <w:rsid w:val="00B9746C"/>
    <w:rsid w:val="00BA2B02"/>
    <w:rsid w:val="00BA307F"/>
    <w:rsid w:val="00BA3A2F"/>
    <w:rsid w:val="00BA3D91"/>
    <w:rsid w:val="00BA4223"/>
    <w:rsid w:val="00BA5AD2"/>
    <w:rsid w:val="00BA718A"/>
    <w:rsid w:val="00BA7AE7"/>
    <w:rsid w:val="00BB56B3"/>
    <w:rsid w:val="00BB6B79"/>
    <w:rsid w:val="00BC192C"/>
    <w:rsid w:val="00BD1CFE"/>
    <w:rsid w:val="00BD200D"/>
    <w:rsid w:val="00BD73CB"/>
    <w:rsid w:val="00BE3204"/>
    <w:rsid w:val="00BE4BB8"/>
    <w:rsid w:val="00BE6145"/>
    <w:rsid w:val="00BE75B0"/>
    <w:rsid w:val="00BF197F"/>
    <w:rsid w:val="00BF2352"/>
    <w:rsid w:val="00BF49BD"/>
    <w:rsid w:val="00BF6194"/>
    <w:rsid w:val="00BF670D"/>
    <w:rsid w:val="00BF740B"/>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4023"/>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668C5"/>
    <w:rsid w:val="00E72781"/>
    <w:rsid w:val="00E77526"/>
    <w:rsid w:val="00E85650"/>
    <w:rsid w:val="00E90236"/>
    <w:rsid w:val="00E92822"/>
    <w:rsid w:val="00E93EC3"/>
    <w:rsid w:val="00E97C81"/>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21B2"/>
    <w:rsid w:val="00EE7F5E"/>
    <w:rsid w:val="00EF1C12"/>
    <w:rsid w:val="00EF6EB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5519"/>
    <w:rsid w:val="00F66983"/>
    <w:rsid w:val="00F70789"/>
    <w:rsid w:val="00F7179C"/>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1D0927"/>
  <w15:docId w15:val="{7000AD24-8BDA-451A-AE8B-4C134FB2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link w:val="CommentTextChar"/>
    <w:uiPriority w:val="99"/>
    <w:rsid w:val="00C06429"/>
    <w:rPr>
      <w:sz w:val="20"/>
    </w:rPr>
  </w:style>
  <w:style w:type="paragraph" w:styleId="CommentSubject">
    <w:name w:val="annotation subject"/>
    <w:basedOn w:val="CommentText"/>
    <w:next w:val="CommentText"/>
    <w:semiHidden/>
    <w:rsid w:val="00C06429"/>
    <w:rPr>
      <w:b/>
      <w:bCs/>
    </w:rPr>
  </w:style>
  <w:style w:type="character" w:customStyle="1" w:styleId="CommentTextChar">
    <w:name w:val="Comment Text Char"/>
    <w:basedOn w:val="DefaultParagraphFont"/>
    <w:link w:val="CommentText"/>
    <w:uiPriority w:val="99"/>
    <w:rsid w:val="00B9299D"/>
  </w:style>
  <w:style w:type="paragraph" w:styleId="ListParagraph">
    <w:name w:val="List Paragraph"/>
    <w:basedOn w:val="Normal"/>
    <w:uiPriority w:val="34"/>
    <w:qFormat/>
    <w:rsid w:val="00B9299D"/>
    <w:pPr>
      <w:ind w:left="720"/>
      <w:contextualSpacing/>
    </w:pPr>
    <w:rPr>
      <w:rFonts w:ascii="Cambria" w:eastAsia="Cambria" w:hAnsi="Cambria"/>
      <w:szCs w:val="24"/>
    </w:rPr>
  </w:style>
  <w:style w:type="paragraph" w:styleId="Caption">
    <w:name w:val="caption"/>
    <w:basedOn w:val="Normal"/>
    <w:next w:val="Normal"/>
    <w:uiPriority w:val="35"/>
    <w:unhideWhenUsed/>
    <w:qFormat/>
    <w:rsid w:val="002012B1"/>
    <w:pPr>
      <w:spacing w:after="200"/>
    </w:pPr>
    <w:rPr>
      <w:rFonts w:asciiTheme="minorHAnsi" w:eastAsiaTheme="minorHAnsi" w:hAnsiTheme="minorHAnsi" w:cstheme="minorBidi"/>
      <w:i/>
      <w:iCs/>
      <w:color w:val="1F497D" w:themeColor="text2"/>
      <w:sz w:val="18"/>
      <w:szCs w:val="18"/>
    </w:rPr>
  </w:style>
  <w:style w:type="character" w:customStyle="1" w:styleId="highlight2">
    <w:name w:val="highlight2"/>
    <w:basedOn w:val="DefaultParagraphFont"/>
    <w:rsid w:val="00407A0F"/>
  </w:style>
  <w:style w:type="character" w:customStyle="1" w:styleId="slug-doi">
    <w:name w:val="slug-doi"/>
    <w:basedOn w:val="DefaultParagraphFont"/>
    <w:rsid w:val="0040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Cheung%20AK%5BAuthor%5D&amp;cauthor=true&amp;cauthor_uid=24902920" TargetMode="External"/><Relationship Id="rId18" Type="http://schemas.openxmlformats.org/officeDocument/2006/relationships/hyperlink" Target="http://www.ncbi.nlm.nih.gov/pubmed/?term=Killeen%20AA%5BAuthor%5D&amp;cauthor=true&amp;cauthor_uid=24902920" TargetMode="External"/><Relationship Id="rId26" Type="http://schemas.openxmlformats.org/officeDocument/2006/relationships/hyperlink" Target="http://www.ncbi.nlm.nih.gov/pubmed/?term=Whelton%20PK%5BAuthor%5D&amp;cauthor=true&amp;cauthor_uid=24902920" TargetMode="External"/><Relationship Id="rId3" Type="http://schemas.openxmlformats.org/officeDocument/2006/relationships/styles" Target="styles.xml"/><Relationship Id="rId21" Type="http://schemas.openxmlformats.org/officeDocument/2006/relationships/hyperlink" Target="http://www.ncbi.nlm.nih.gov/pubmed/?term=Reboussin%20DM%5BAuthor%5D&amp;cauthor=true&amp;cauthor_uid=249029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Berlowitz%20DR%5BAuthor%5D&amp;cauthor=true&amp;cauthor_uid=24902920" TargetMode="External"/><Relationship Id="rId17" Type="http://schemas.openxmlformats.org/officeDocument/2006/relationships/hyperlink" Target="http://www.ncbi.nlm.nih.gov/pubmed/?term=Johnson%20KC%5BAuthor%5D&amp;cauthor=true&amp;cauthor_uid=24902920" TargetMode="External"/><Relationship Id="rId25" Type="http://schemas.openxmlformats.org/officeDocument/2006/relationships/hyperlink" Target="http://www.ncbi.nlm.nih.gov/pubmed/?term=Wright%20JT%20Jr%5BAuthor%5D&amp;cauthor=true&amp;cauthor_uid=2490292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term=Goff%20DC%20Jr%5BAuthor%5D&amp;cauthor=true&amp;cauthor_uid=24902920" TargetMode="External"/><Relationship Id="rId20" Type="http://schemas.openxmlformats.org/officeDocument/2006/relationships/hyperlink" Target="http://www.ncbi.nlm.nih.gov/pubmed/?term=Oparil%20S%5BAuthor%5D&amp;cauthor=true&amp;cauthor_uid=24902920" TargetMode="External"/><Relationship Id="rId29" Type="http://schemas.openxmlformats.org/officeDocument/2006/relationships/hyperlink" Target="http://www.nhlbi.nih.gov/research/resources/obesity/populatio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Foy%20CG%5BAuthor%5D&amp;cauthor=true&amp;cauthor_uid=24902920" TargetMode="External"/><Relationship Id="rId24" Type="http://schemas.openxmlformats.org/officeDocument/2006/relationships/hyperlink" Target="http://www.ncbi.nlm.nih.gov/pubmed/?term=Williamson%20JD%5BAuthor%5D&amp;cauthor=true&amp;cauthor_uid=2490292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Fine%20LJ%5BAuthor%5D&amp;cauthor=true&amp;cauthor_uid=24902920" TargetMode="External"/><Relationship Id="rId23" Type="http://schemas.openxmlformats.org/officeDocument/2006/relationships/hyperlink" Target="http://www.ncbi.nlm.nih.gov/pubmed/?term=Snyder%20JK%5BAuthor%5D&amp;cauthor=true&amp;cauthor_uid=24902920" TargetMode="External"/><Relationship Id="rId28" Type="http://schemas.openxmlformats.org/officeDocument/2006/relationships/hyperlink" Target="http://www.ncbi.nlm.nih.gov/pubmed/?term=Ambrosius+2014+The+systolic+BP+intervention+trial+(SPRINT)" TargetMode="External"/><Relationship Id="rId10" Type="http://schemas.openxmlformats.org/officeDocument/2006/relationships/hyperlink" Target="http://www.ncbi.nlm.nih.gov/pubmed/?term=Sink%20KM%5BAuthor%5D&amp;cauthor=true&amp;cauthor_uid=24902920" TargetMode="External"/><Relationship Id="rId19" Type="http://schemas.openxmlformats.org/officeDocument/2006/relationships/hyperlink" Target="http://www.ncbi.nlm.nih.gov/pubmed/?term=Lewis%20CE%5BAuthor%5D&amp;cauthor=true&amp;cauthor_uid=24902920" TargetMode="External"/><Relationship Id="rId31" Type="http://schemas.openxmlformats.org/officeDocument/2006/relationships/hyperlink" Target="https://www.hypertension.ca/en/chep" TargetMode="External"/><Relationship Id="rId4" Type="http://schemas.openxmlformats.org/officeDocument/2006/relationships/settings" Target="settings.xml"/><Relationship Id="rId9" Type="http://schemas.openxmlformats.org/officeDocument/2006/relationships/hyperlink" Target="http://www.ncbi.nlm.nih.gov/pubmed/?term=Ambrosius%20WT%5BAuthor%5D&amp;cauthor=true&amp;cauthor_uid=24902920" TargetMode="External"/><Relationship Id="rId14" Type="http://schemas.openxmlformats.org/officeDocument/2006/relationships/hyperlink" Target="http://www.ncbi.nlm.nih.gov/pubmed/?term=Cushman%20WC%5BAuthor%5D&amp;cauthor=true&amp;cauthor_uid=24902920" TargetMode="External"/><Relationship Id="rId22" Type="http://schemas.openxmlformats.org/officeDocument/2006/relationships/hyperlink" Target="http://www.ncbi.nlm.nih.gov/pubmed/?term=Rocco%20MV%5BAuthor%5D&amp;cauthor=true&amp;cauthor_uid=24902920" TargetMode="External"/><Relationship Id="rId27" Type="http://schemas.openxmlformats.org/officeDocument/2006/relationships/hyperlink" Target="http://www.ncbi.nlm.nih.gov/pubmed/?term=SPRINT%20Study%20Research%20Group%5BCorporate%20Author%5D" TargetMode="External"/><Relationship Id="rId30" Type="http://schemas.openxmlformats.org/officeDocument/2006/relationships/hyperlink" Target="http://my.aami.org/aamiresources/previewfiles/8106002_1306_preview.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9821-763A-4683-ADE4-DBA88E63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11365</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12870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2016-10-18T22:04:00Z</cp:lastPrinted>
  <dcterms:created xsi:type="dcterms:W3CDTF">2016-10-18T22:04:00Z</dcterms:created>
  <dcterms:modified xsi:type="dcterms:W3CDTF">2016-10-18T22:04:00Z</dcterms:modified>
</cp:coreProperties>
</file>