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CEF" w:rsidRDefault="00531CEF" w:rsidP="00172FCB">
      <w:pPr>
        <w:jc w:val="center"/>
        <w:rPr>
          <w:rFonts w:cs="Arial"/>
          <w:b/>
          <w:i/>
          <w:sz w:val="44"/>
          <w:szCs w:val="44"/>
        </w:rPr>
      </w:pPr>
      <w:r>
        <w:rPr>
          <w:rFonts w:cs="Arial"/>
          <w:b/>
          <w:i/>
          <w:sz w:val="44"/>
          <w:szCs w:val="44"/>
        </w:rPr>
        <w:t>Attachment 1</w:t>
      </w:r>
    </w:p>
    <w:p w:rsidR="00B579AA" w:rsidRDefault="00B579AA" w:rsidP="00172FCB">
      <w:pPr>
        <w:jc w:val="center"/>
        <w:rPr>
          <w:rFonts w:cs="Arial"/>
          <w:b/>
          <w:i/>
          <w:sz w:val="44"/>
          <w:szCs w:val="44"/>
        </w:rPr>
      </w:pPr>
    </w:p>
    <w:p w:rsidR="00B579AA" w:rsidRPr="00DA1FFF" w:rsidRDefault="00B579AA" w:rsidP="00172FCB">
      <w:pPr>
        <w:jc w:val="center"/>
        <w:rPr>
          <w:rFonts w:cs="Arial"/>
          <w:b/>
          <w:i/>
          <w:sz w:val="36"/>
          <w:szCs w:val="36"/>
        </w:rPr>
      </w:pPr>
      <w:r w:rsidRPr="00DA1FFF">
        <w:rPr>
          <w:rFonts w:cs="Arial"/>
          <w:b/>
          <w:i/>
          <w:sz w:val="36"/>
          <w:szCs w:val="36"/>
        </w:rPr>
        <w:t>Applicable Laws or Regulations (Excerpts)</w:t>
      </w:r>
    </w:p>
    <w:p w:rsidR="00B579AA" w:rsidRDefault="00B579AA" w:rsidP="00172FCB">
      <w:pPr>
        <w:jc w:val="center"/>
        <w:rPr>
          <w:rFonts w:cs="Arial"/>
          <w:b/>
          <w:i/>
          <w:sz w:val="44"/>
          <w:szCs w:val="44"/>
        </w:rPr>
      </w:pPr>
    </w:p>
    <w:p w:rsidR="00B579AA" w:rsidRDefault="00B579AA" w:rsidP="00172FCB">
      <w:pPr>
        <w:jc w:val="center"/>
        <w:rPr>
          <w:rFonts w:cs="Arial"/>
          <w:b/>
          <w:i/>
          <w:sz w:val="44"/>
          <w:szCs w:val="44"/>
        </w:rPr>
        <w:sectPr w:rsidR="00B579AA" w:rsidSect="00C1434A">
          <w:footerReference w:type="even" r:id="rId6"/>
          <w:footerReference w:type="default" r:id="rId7"/>
          <w:type w:val="continuous"/>
          <w:pgSz w:w="12240" w:h="15840"/>
          <w:pgMar w:top="1440" w:right="1800" w:bottom="1440" w:left="1800" w:header="720" w:footer="720" w:gutter="0"/>
          <w:cols w:space="720"/>
          <w:titlePg/>
          <w:docGrid w:linePitch="360"/>
        </w:sectPr>
      </w:pPr>
    </w:p>
    <w:p w:rsidR="00531CEF" w:rsidRDefault="00531CEF" w:rsidP="00DF13E1">
      <w:pPr>
        <w:pStyle w:val="TOC1"/>
        <w:sectPr w:rsidR="00531CEF" w:rsidSect="00CB37B6">
          <w:headerReference w:type="default" r:id="rId8"/>
          <w:footerReference w:type="default" r:id="rId9"/>
          <w:type w:val="continuous"/>
          <w:pgSz w:w="12240" w:h="15840"/>
          <w:pgMar w:top="1440" w:right="1800" w:bottom="1440" w:left="1800" w:header="720" w:footer="720" w:gutter="0"/>
          <w:cols w:space="720"/>
          <w:docGrid w:linePitch="360"/>
        </w:sectPr>
      </w:pPr>
    </w:p>
    <w:p w:rsidR="00531CEF" w:rsidRPr="00746C71" w:rsidRDefault="00531CEF" w:rsidP="00BC2C4F">
      <w:pPr>
        <w:widowControl/>
        <w:jc w:val="center"/>
        <w:outlineLvl w:val="0"/>
        <w:rPr>
          <w:rFonts w:cs="Arial"/>
          <w:color w:val="000000"/>
          <w:szCs w:val="22"/>
        </w:rPr>
      </w:pPr>
      <w:bookmarkStart w:id="0" w:name="_Toc79566564"/>
      <w:bookmarkStart w:id="1" w:name="_Toc145333452"/>
      <w:r w:rsidRPr="00746C71">
        <w:rPr>
          <w:rFonts w:cs="Arial"/>
          <w:b/>
          <w:bCs/>
          <w:color w:val="000000"/>
          <w:szCs w:val="22"/>
        </w:rPr>
        <w:lastRenderedPageBreak/>
        <w:t>Attachment 1 - Applicable Laws or Regulations (Excerpts)</w:t>
      </w:r>
      <w:bookmarkEnd w:id="0"/>
      <w:bookmarkEnd w:id="1"/>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bookmarkStart w:id="2" w:name="_GoBack"/>
      <w:bookmarkEnd w:id="2"/>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495FB9" w:rsidRDefault="00531CEF"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00495FB9" w:rsidRPr="00746C71">
        <w:rPr>
          <w:rFonts w:cs="Arial"/>
          <w:color w:val="000000"/>
          <w:szCs w:val="22"/>
        </w:rPr>
        <w:t>Excerpts from</w:t>
      </w:r>
      <w:r w:rsidR="0009525D">
        <w:rPr>
          <w:rFonts w:cs="Arial"/>
          <w:color w:val="000000"/>
          <w:szCs w:val="22"/>
        </w:rPr>
        <w:t xml:space="preserve"> </w:t>
      </w:r>
      <w:r w:rsidR="0009525D" w:rsidRPr="0009525D">
        <w:rPr>
          <w:rFonts w:cs="Arial"/>
          <w:color w:val="000000"/>
          <w:szCs w:val="22"/>
        </w:rPr>
        <w:t>the Food, Conservation, and Energy Act of 2008</w:t>
      </w:r>
      <w:r w:rsidR="0009525D">
        <w:rPr>
          <w:rFonts w:cs="Arial"/>
          <w:color w:val="000000"/>
          <w:szCs w:val="22"/>
        </w:rPr>
        <w:t xml:space="preserve"> (</w:t>
      </w:r>
      <w:r w:rsidR="0009525D" w:rsidRPr="00746C71">
        <w:rPr>
          <w:rFonts w:cs="Arial"/>
          <w:color w:val="000000"/>
          <w:szCs w:val="22"/>
        </w:rPr>
        <w:t>P.L</w:t>
      </w:r>
      <w:r w:rsidR="00495FB9" w:rsidRPr="00495FB9">
        <w:rPr>
          <w:rFonts w:cs="Arial"/>
          <w:color w:val="000000"/>
          <w:szCs w:val="22"/>
        </w:rPr>
        <w:t>. 110-234</w:t>
      </w:r>
      <w:r w:rsidR="0009525D">
        <w:rPr>
          <w:rFonts w:cs="Arial"/>
          <w:color w:val="000000"/>
          <w:szCs w:val="22"/>
        </w:rPr>
        <w: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RDefault="00495FB9"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Default="00531CEF" w:rsidP="00F127E2">
      <w:r>
        <w:rPr>
          <w:rFonts w:cs="Arial"/>
          <w:color w:val="000000"/>
          <w:szCs w:val="22"/>
        </w:rPr>
        <w:t>D. Excerpts from the</w:t>
      </w:r>
      <w:r>
        <w:t xml:space="preserve"> Federal Food, Drug, and Cosmetic Act (</w:t>
      </w:r>
      <w:r w:rsidRPr="003E5581">
        <w:t>21 USC 393</w:t>
      </w:r>
      <w:r>
        <w:t>)</w:t>
      </w:r>
      <w:r w:rsidRPr="00F127E2">
        <w:t xml:space="preserve"> </w:t>
      </w:r>
    </w:p>
    <w:p w:rsidR="00531CEF"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lastRenderedPageBreak/>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postmarket monitoring of emerging medical therapies, including complementary therapies, and advances in nutrition and food science.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plan required by paragraph (1) shall establish objectives and mechanisms to achieve such objectives, including objectives related to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00377A34" w:rsidRPr="00746C71" w:rsidRDefault="00377A34"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00377A34" w:rsidRPr="00746C71" w:rsidSect="00F127E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93" w:rsidRDefault="00F13893">
      <w:r>
        <w:separator/>
      </w:r>
    </w:p>
  </w:endnote>
  <w:endnote w:type="continuationSeparator" w:id="0">
    <w:p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2D4">
      <w:rPr>
        <w:rStyle w:val="PageNumber"/>
        <w:noProof/>
      </w:rPr>
      <w:t>2</w:t>
    </w:r>
    <w:r>
      <w:rPr>
        <w:rStyle w:val="PageNumber"/>
      </w:rPr>
      <w:fldChar w:fldCharType="end"/>
    </w:r>
  </w:p>
  <w:p w:rsidR="0026090E" w:rsidRPr="00150DDA" w:rsidRDefault="0026090E" w:rsidP="003F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93" w:rsidRDefault="00F13893">
      <w:r>
        <w:separator/>
      </w:r>
    </w:p>
  </w:footnote>
  <w:footnote w:type="continuationSeparator" w:id="0">
    <w:p w:rsidR="00F13893" w:rsidRDefault="00F1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0E" w:rsidRDefault="0026090E" w:rsidP="00BE3EBA">
    <w:pPr>
      <w:pStyle w:val="Header"/>
    </w:pPr>
    <w:r>
      <w:t>NHANES – Attachments to Supporting Statement – Attachment 1</w:t>
    </w:r>
  </w:p>
  <w:p w:rsidR="0026090E" w:rsidRDefault="0026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0E" w:rsidRDefault="0026090E" w:rsidP="00A24CEF">
    <w:pPr>
      <w:jc w:val="center"/>
      <w:rPr>
        <w:szCs w:val="22"/>
      </w:rPr>
    </w:pPr>
    <w:r>
      <w:rPr>
        <w:szCs w:val="22"/>
      </w:rPr>
      <w:t>NHANES - Attachments to Supporting Statement - Attachment 1</w:t>
    </w:r>
  </w:p>
  <w:p w:rsidR="0026090E" w:rsidRDefault="0026090E">
    <w:pPr>
      <w:spacing w:line="19" w:lineRule="exact"/>
      <w:rPr>
        <w:szCs w:val="22"/>
      </w:rPr>
    </w:pPr>
  </w:p>
  <w:p w:rsidR="0026090E" w:rsidRDefault="0026090E">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A9"/>
    <w:rsid w:val="0009525D"/>
    <w:rsid w:val="000B3A14"/>
    <w:rsid w:val="001369E3"/>
    <w:rsid w:val="00144052"/>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5108"/>
    <w:rsid w:val="007B3060"/>
    <w:rsid w:val="00826396"/>
    <w:rsid w:val="00843790"/>
    <w:rsid w:val="00864948"/>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5:docId w15:val="{A3771A01-0E16-481B-BA71-D8B7486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Dupree, Natalie (CDC/OPHSS/NCHS)</cp:lastModifiedBy>
  <cp:revision>4</cp:revision>
  <dcterms:created xsi:type="dcterms:W3CDTF">2014-03-06T21:02:00Z</dcterms:created>
  <dcterms:modified xsi:type="dcterms:W3CDTF">2016-06-24T19:30:00Z</dcterms:modified>
</cp:coreProperties>
</file>