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CEDCE" w14:textId="77777777" w:rsidR="00B57BE5" w:rsidRPr="001072BA" w:rsidRDefault="00B57BE5" w:rsidP="00B57BE5">
      <w:pPr>
        <w:jc w:val="center"/>
        <w:rPr>
          <w:rFonts w:ascii="Calibri" w:hAnsi="Calibri"/>
          <w:sz w:val="28"/>
          <w:szCs w:val="28"/>
        </w:rPr>
      </w:pPr>
      <w:bookmarkStart w:id="0" w:name="_GoBack"/>
      <w:bookmarkEnd w:id="0"/>
    </w:p>
    <w:p w14:paraId="3F28059D" w14:textId="1CF3C195" w:rsidR="005453AD" w:rsidRPr="001072BA" w:rsidRDefault="005453AD" w:rsidP="00B57BE5">
      <w:pPr>
        <w:jc w:val="center"/>
        <w:rPr>
          <w:rFonts w:ascii="Calibri" w:hAnsi="Calibri"/>
          <w:sz w:val="22"/>
          <w:szCs w:val="22"/>
        </w:rPr>
      </w:pPr>
      <w:r w:rsidRPr="001072BA">
        <w:rPr>
          <w:rFonts w:ascii="Calibri" w:hAnsi="Calibri"/>
          <w:b/>
          <w:sz w:val="22"/>
          <w:szCs w:val="22"/>
        </w:rPr>
        <w:t>SUPPORTING STATEMENT</w:t>
      </w:r>
      <w:r w:rsidR="006E4E91">
        <w:rPr>
          <w:rFonts w:ascii="Calibri" w:hAnsi="Calibri"/>
          <w:b/>
          <w:sz w:val="22"/>
          <w:szCs w:val="22"/>
        </w:rPr>
        <w:t xml:space="preserve"> </w:t>
      </w:r>
      <w:r w:rsidRPr="001072BA">
        <w:rPr>
          <w:rFonts w:ascii="Calibri" w:hAnsi="Calibri"/>
          <w:b/>
          <w:sz w:val="22"/>
          <w:szCs w:val="22"/>
        </w:rPr>
        <w:t>Part B</w:t>
      </w:r>
    </w:p>
    <w:p w14:paraId="7D6C1E2A" w14:textId="77777777" w:rsidR="005453AD" w:rsidRPr="001072BA" w:rsidRDefault="005453AD" w:rsidP="005453AD">
      <w:pPr>
        <w:jc w:val="center"/>
        <w:rPr>
          <w:rFonts w:ascii="Calibri" w:hAnsi="Calibri"/>
          <w:sz w:val="22"/>
          <w:szCs w:val="22"/>
        </w:rPr>
      </w:pPr>
    </w:p>
    <w:p w14:paraId="087DAF86" w14:textId="5DA9B33B" w:rsidR="005453AD" w:rsidRPr="001072BA" w:rsidRDefault="006E4E91">
      <w:pPr>
        <w:jc w:val="center"/>
        <w:rPr>
          <w:rFonts w:ascii="Calibri" w:hAnsi="Calibri"/>
          <w:sz w:val="22"/>
          <w:szCs w:val="22"/>
        </w:rPr>
      </w:pPr>
      <w:r>
        <w:rPr>
          <w:rFonts w:ascii="Calibri" w:hAnsi="Calibri"/>
          <w:b/>
          <w:sz w:val="22"/>
          <w:szCs w:val="22"/>
        </w:rPr>
        <w:t>F</w:t>
      </w:r>
      <w:r w:rsidRPr="00E70E60">
        <w:rPr>
          <w:rFonts w:ascii="Calibri" w:hAnsi="Calibri"/>
          <w:b/>
          <w:sz w:val="22"/>
          <w:szCs w:val="22"/>
        </w:rPr>
        <w:t>or</w:t>
      </w:r>
    </w:p>
    <w:p w14:paraId="58C34E6B" w14:textId="77777777" w:rsidR="005453AD" w:rsidRPr="001072BA" w:rsidRDefault="005453AD">
      <w:pPr>
        <w:jc w:val="center"/>
        <w:rPr>
          <w:rFonts w:ascii="Calibri" w:hAnsi="Calibri"/>
          <w:sz w:val="22"/>
          <w:szCs w:val="22"/>
        </w:rPr>
      </w:pPr>
    </w:p>
    <w:p w14:paraId="1B4F84C9" w14:textId="77777777" w:rsidR="006E4E91" w:rsidRDefault="006E4E91" w:rsidP="00E70E60">
      <w:pPr>
        <w:spacing w:after="200" w:line="276" w:lineRule="auto"/>
        <w:jc w:val="center"/>
        <w:rPr>
          <w:rFonts w:ascii="Calibri" w:eastAsia="Calibri" w:hAnsi="Calibri"/>
          <w:b/>
          <w:sz w:val="22"/>
          <w:szCs w:val="22"/>
        </w:rPr>
      </w:pPr>
      <w:r w:rsidRPr="006E4E91">
        <w:rPr>
          <w:rFonts w:ascii="Calibri" w:eastAsia="Calibri" w:hAnsi="Calibri"/>
          <w:b/>
          <w:sz w:val="22"/>
          <w:szCs w:val="22"/>
        </w:rPr>
        <w:t>A Novel Framework for Structuring Industry-Tuned Public-Private Partnerships and Economic Incentives for U.S. Health Emer</w:t>
      </w:r>
      <w:r>
        <w:rPr>
          <w:rFonts w:ascii="Calibri" w:eastAsia="Calibri" w:hAnsi="Calibri"/>
          <w:b/>
          <w:sz w:val="22"/>
          <w:szCs w:val="22"/>
        </w:rPr>
        <w:t>gency Preparedness and Response</w:t>
      </w:r>
    </w:p>
    <w:p w14:paraId="028000EA" w14:textId="276C1C9B" w:rsidR="00FD17DB" w:rsidRPr="001C685D" w:rsidRDefault="001C685D" w:rsidP="00E70E60">
      <w:pPr>
        <w:spacing w:after="200" w:line="276" w:lineRule="auto"/>
        <w:jc w:val="center"/>
        <w:rPr>
          <w:rFonts w:ascii="Calibri" w:eastAsia="Calibri" w:hAnsi="Calibri"/>
          <w:sz w:val="22"/>
          <w:szCs w:val="22"/>
        </w:rPr>
      </w:pPr>
      <w:r w:rsidRPr="001C685D">
        <w:rPr>
          <w:rFonts w:ascii="Calibri" w:eastAsia="Calibri" w:hAnsi="Calibri"/>
          <w:b/>
          <w:sz w:val="22"/>
          <w:szCs w:val="22"/>
        </w:rPr>
        <w:t>V</w:t>
      </w:r>
      <w:r w:rsidR="00EF008F" w:rsidRPr="001C685D">
        <w:rPr>
          <w:rFonts w:ascii="Calibri" w:eastAsia="Calibri" w:hAnsi="Calibri"/>
          <w:b/>
          <w:sz w:val="22"/>
          <w:szCs w:val="22"/>
        </w:rPr>
        <w:t>ersion</w:t>
      </w:r>
      <w:r w:rsidRPr="001C685D">
        <w:rPr>
          <w:rFonts w:ascii="Calibri" w:eastAsia="Calibri" w:hAnsi="Calibri"/>
          <w:b/>
          <w:sz w:val="22"/>
          <w:szCs w:val="22"/>
        </w:rPr>
        <w:t xml:space="preserve"> </w:t>
      </w:r>
      <w:r w:rsidR="00C33D45">
        <w:rPr>
          <w:rFonts w:ascii="Calibri" w:eastAsia="Calibri" w:hAnsi="Calibri"/>
          <w:b/>
          <w:sz w:val="22"/>
          <w:szCs w:val="22"/>
        </w:rPr>
        <w:t>1.0</w:t>
      </w:r>
    </w:p>
    <w:p w14:paraId="0A704AF2" w14:textId="3FFBDCA8" w:rsidR="00FD17DB" w:rsidRPr="001C685D" w:rsidRDefault="00FD17DB" w:rsidP="00E70E60">
      <w:pPr>
        <w:spacing w:after="200" w:line="276" w:lineRule="auto"/>
        <w:jc w:val="center"/>
        <w:rPr>
          <w:rFonts w:ascii="Calibri" w:eastAsia="Calibri" w:hAnsi="Calibri"/>
          <w:sz w:val="22"/>
          <w:szCs w:val="22"/>
        </w:rPr>
      </w:pPr>
      <w:r w:rsidRPr="00616B44">
        <w:rPr>
          <w:rFonts w:ascii="Calibri" w:eastAsia="Calibri" w:hAnsi="Calibri"/>
          <w:b/>
          <w:sz w:val="22"/>
          <w:szCs w:val="22"/>
        </w:rPr>
        <w:t>Date:</w:t>
      </w:r>
      <w:r w:rsidRPr="00616B44">
        <w:rPr>
          <w:rFonts w:ascii="Calibri" w:eastAsia="Calibri" w:hAnsi="Calibri"/>
          <w:sz w:val="22"/>
          <w:szCs w:val="22"/>
        </w:rPr>
        <w:t xml:space="preserve"> </w:t>
      </w:r>
      <w:r w:rsidR="002352C8">
        <w:rPr>
          <w:rFonts w:ascii="Calibri" w:eastAsia="Calibri" w:hAnsi="Calibri"/>
          <w:sz w:val="22"/>
          <w:szCs w:val="22"/>
        </w:rPr>
        <w:t>07/</w:t>
      </w:r>
      <w:r w:rsidR="00616B44">
        <w:rPr>
          <w:rFonts w:ascii="Calibri" w:eastAsia="Calibri" w:hAnsi="Calibri"/>
          <w:sz w:val="22"/>
          <w:szCs w:val="22"/>
        </w:rPr>
        <w:t>13</w:t>
      </w:r>
      <w:r w:rsidR="002352C8">
        <w:rPr>
          <w:rFonts w:ascii="Calibri" w:eastAsia="Calibri" w:hAnsi="Calibri"/>
          <w:sz w:val="22"/>
          <w:szCs w:val="22"/>
        </w:rPr>
        <w:t>/2017</w:t>
      </w:r>
    </w:p>
    <w:p w14:paraId="10F7EBE5" w14:textId="77777777" w:rsidR="005453AD" w:rsidRPr="001072BA" w:rsidRDefault="005453AD" w:rsidP="005453AD">
      <w:pPr>
        <w:jc w:val="center"/>
        <w:rPr>
          <w:rFonts w:ascii="Calibri" w:hAnsi="Calibri"/>
          <w:sz w:val="28"/>
          <w:szCs w:val="28"/>
        </w:rPr>
      </w:pPr>
    </w:p>
    <w:p w14:paraId="12217513" w14:textId="77777777" w:rsidR="005453AD" w:rsidRPr="001072BA" w:rsidRDefault="005453AD" w:rsidP="005453AD">
      <w:pPr>
        <w:jc w:val="center"/>
        <w:rPr>
          <w:rFonts w:ascii="Calibri" w:hAnsi="Calibri"/>
          <w:sz w:val="28"/>
          <w:szCs w:val="28"/>
        </w:rPr>
      </w:pPr>
    </w:p>
    <w:p w14:paraId="289502C2" w14:textId="77777777" w:rsidR="005453AD" w:rsidRPr="001072BA" w:rsidRDefault="005453AD" w:rsidP="005453AD">
      <w:pPr>
        <w:jc w:val="center"/>
        <w:rPr>
          <w:rFonts w:ascii="Calibri" w:hAnsi="Calibri"/>
          <w:sz w:val="28"/>
          <w:szCs w:val="28"/>
        </w:rPr>
      </w:pPr>
    </w:p>
    <w:p w14:paraId="77979E3D" w14:textId="77777777" w:rsidR="005453AD" w:rsidRPr="001072BA" w:rsidRDefault="005453AD" w:rsidP="005453AD">
      <w:pPr>
        <w:jc w:val="center"/>
        <w:rPr>
          <w:rFonts w:ascii="Calibri" w:hAnsi="Calibri"/>
          <w:sz w:val="28"/>
          <w:szCs w:val="28"/>
        </w:rPr>
      </w:pPr>
    </w:p>
    <w:p w14:paraId="0E9E890E" w14:textId="77777777" w:rsidR="005453AD" w:rsidRPr="001072BA" w:rsidRDefault="005453AD" w:rsidP="005453AD">
      <w:pPr>
        <w:jc w:val="center"/>
        <w:rPr>
          <w:rFonts w:ascii="Calibri" w:hAnsi="Calibri"/>
          <w:sz w:val="28"/>
          <w:szCs w:val="28"/>
        </w:rPr>
      </w:pPr>
    </w:p>
    <w:p w14:paraId="72FC95C1" w14:textId="73045E99" w:rsidR="005453AD" w:rsidRPr="001072BA" w:rsidRDefault="00CB2E79" w:rsidP="00CB2E79">
      <w:pPr>
        <w:tabs>
          <w:tab w:val="left" w:pos="3900"/>
        </w:tabs>
        <w:rPr>
          <w:rFonts w:ascii="Calibri" w:hAnsi="Calibri"/>
          <w:sz w:val="28"/>
          <w:szCs w:val="28"/>
        </w:rPr>
      </w:pPr>
      <w:r>
        <w:rPr>
          <w:rFonts w:ascii="Calibri" w:hAnsi="Calibri"/>
          <w:sz w:val="28"/>
          <w:szCs w:val="28"/>
        </w:rPr>
        <w:tab/>
      </w:r>
    </w:p>
    <w:p w14:paraId="5F0A0BBE" w14:textId="77777777" w:rsidR="005453AD" w:rsidRPr="001072BA" w:rsidRDefault="005453AD" w:rsidP="005453AD">
      <w:pPr>
        <w:jc w:val="center"/>
        <w:rPr>
          <w:rFonts w:ascii="Calibri" w:hAnsi="Calibri"/>
          <w:sz w:val="28"/>
          <w:szCs w:val="28"/>
        </w:rPr>
      </w:pPr>
    </w:p>
    <w:p w14:paraId="1F7150D1" w14:textId="77777777" w:rsidR="005453AD" w:rsidRPr="001072BA" w:rsidRDefault="005453AD" w:rsidP="005453AD">
      <w:pPr>
        <w:rPr>
          <w:rFonts w:ascii="Calibri" w:hAnsi="Calibri"/>
          <w:sz w:val="28"/>
          <w:szCs w:val="28"/>
        </w:rPr>
      </w:pPr>
    </w:p>
    <w:p w14:paraId="59361EC4" w14:textId="77777777" w:rsidR="005453AD" w:rsidRPr="001072BA" w:rsidRDefault="005453AD" w:rsidP="005453AD">
      <w:pPr>
        <w:rPr>
          <w:rFonts w:ascii="Calibri" w:hAnsi="Calibri"/>
          <w:sz w:val="28"/>
          <w:szCs w:val="28"/>
        </w:rPr>
      </w:pPr>
    </w:p>
    <w:p w14:paraId="0C4731ED" w14:textId="2E9EB9E0" w:rsidR="005453AD" w:rsidRPr="00BA64B7" w:rsidRDefault="005453AD" w:rsidP="005453AD">
      <w:pPr>
        <w:jc w:val="center"/>
        <w:rPr>
          <w:rFonts w:ascii="Calibri" w:hAnsi="Calibri"/>
          <w:b/>
          <w:sz w:val="22"/>
          <w:szCs w:val="22"/>
        </w:rPr>
      </w:pPr>
      <w:r w:rsidRPr="001072BA">
        <w:rPr>
          <w:rFonts w:ascii="Calibri" w:hAnsi="Calibri"/>
        </w:rPr>
        <w:br w:type="page"/>
      </w:r>
    </w:p>
    <w:sdt>
      <w:sdtPr>
        <w:rPr>
          <w:rFonts w:ascii="Times New Roman" w:eastAsia="Times New Roman" w:hAnsi="Times New Roman" w:cs="Times New Roman"/>
          <w:color w:val="auto"/>
          <w:sz w:val="24"/>
          <w:szCs w:val="24"/>
        </w:rPr>
        <w:id w:val="-1680042720"/>
        <w:docPartObj>
          <w:docPartGallery w:val="Table of Contents"/>
          <w:docPartUnique/>
        </w:docPartObj>
      </w:sdtPr>
      <w:sdtEndPr>
        <w:rPr>
          <w:b/>
          <w:bCs/>
          <w:noProof/>
        </w:rPr>
      </w:sdtEndPr>
      <w:sdtContent>
        <w:p w14:paraId="6F2EB028" w14:textId="30416134" w:rsidR="002F7931" w:rsidRDefault="002F7931" w:rsidP="002F7931">
          <w:pPr>
            <w:pStyle w:val="TOCHeading"/>
            <w:rPr>
              <w:b/>
              <w:color w:val="000000" w:themeColor="text1"/>
            </w:rPr>
          </w:pPr>
          <w:r w:rsidRPr="00CE688A">
            <w:rPr>
              <w:b/>
              <w:color w:val="000000" w:themeColor="text1"/>
            </w:rPr>
            <w:t>Table of Contents</w:t>
          </w:r>
        </w:p>
        <w:p w14:paraId="573AC914" w14:textId="77777777" w:rsidR="002F7931" w:rsidRPr="002F7931" w:rsidRDefault="002F7931" w:rsidP="002F7931">
          <w:pPr>
            <w:rPr>
              <w:rFonts w:asciiTheme="minorHAnsi" w:hAnsiTheme="minorHAnsi"/>
              <w:sz w:val="22"/>
              <w:szCs w:val="22"/>
            </w:rPr>
          </w:pPr>
        </w:p>
        <w:p w14:paraId="75EC80B4" w14:textId="61A1F8FF" w:rsidR="00AD132E" w:rsidRPr="00AD132E" w:rsidRDefault="002F7931" w:rsidP="00AD132E">
          <w:pPr>
            <w:pStyle w:val="TOC1"/>
            <w:tabs>
              <w:tab w:val="right" w:leader="dot" w:pos="9350"/>
            </w:tabs>
            <w:spacing w:after="100"/>
            <w:rPr>
              <w:rFonts w:asciiTheme="minorHAnsi" w:eastAsiaTheme="minorEastAsia" w:hAnsiTheme="minorHAnsi" w:cstheme="minorBidi"/>
              <w:b/>
              <w:noProof/>
              <w:sz w:val="22"/>
              <w:szCs w:val="22"/>
            </w:rPr>
          </w:pPr>
          <w:r w:rsidRPr="00AD132E">
            <w:rPr>
              <w:rFonts w:asciiTheme="minorHAnsi" w:hAnsiTheme="minorHAnsi"/>
              <w:b/>
              <w:sz w:val="22"/>
              <w:szCs w:val="22"/>
            </w:rPr>
            <w:fldChar w:fldCharType="begin"/>
          </w:r>
          <w:r w:rsidRPr="00AD132E">
            <w:rPr>
              <w:rFonts w:asciiTheme="minorHAnsi" w:hAnsiTheme="minorHAnsi"/>
              <w:b/>
              <w:sz w:val="22"/>
              <w:szCs w:val="22"/>
            </w:rPr>
            <w:instrText xml:space="preserve"> TOC \o "1-3" \h \z \u </w:instrText>
          </w:r>
          <w:r w:rsidRPr="00AD132E">
            <w:rPr>
              <w:rFonts w:asciiTheme="minorHAnsi" w:hAnsiTheme="minorHAnsi"/>
              <w:b/>
              <w:sz w:val="22"/>
              <w:szCs w:val="22"/>
            </w:rPr>
            <w:fldChar w:fldCharType="separate"/>
          </w:r>
          <w:hyperlink w:anchor="_Toc469402834" w:history="1">
            <w:r w:rsidR="00AD132E" w:rsidRPr="00AD132E">
              <w:rPr>
                <w:rStyle w:val="Hyperlink"/>
                <w:rFonts w:asciiTheme="minorHAnsi" w:hAnsiTheme="minorHAnsi"/>
                <w:b/>
                <w:noProof/>
                <w:sz w:val="22"/>
                <w:szCs w:val="22"/>
              </w:rPr>
              <w:t>1. Respondent Universe and Sampling Methods</w:t>
            </w:r>
            <w:r w:rsidR="00AD132E" w:rsidRPr="00AD132E">
              <w:rPr>
                <w:rFonts w:asciiTheme="minorHAnsi" w:hAnsiTheme="minorHAnsi"/>
                <w:b/>
                <w:noProof/>
                <w:webHidden/>
                <w:sz w:val="22"/>
                <w:szCs w:val="22"/>
              </w:rPr>
              <w:tab/>
            </w:r>
            <w:r w:rsidR="00AD132E" w:rsidRPr="00AD132E">
              <w:rPr>
                <w:rFonts w:asciiTheme="minorHAnsi" w:hAnsiTheme="minorHAnsi"/>
                <w:b/>
                <w:noProof/>
                <w:webHidden/>
                <w:sz w:val="22"/>
                <w:szCs w:val="22"/>
              </w:rPr>
              <w:fldChar w:fldCharType="begin"/>
            </w:r>
            <w:r w:rsidR="00AD132E" w:rsidRPr="00AD132E">
              <w:rPr>
                <w:rFonts w:asciiTheme="minorHAnsi" w:hAnsiTheme="minorHAnsi"/>
                <w:b/>
                <w:noProof/>
                <w:webHidden/>
                <w:sz w:val="22"/>
                <w:szCs w:val="22"/>
              </w:rPr>
              <w:instrText xml:space="preserve"> PAGEREF _Toc469402834 \h </w:instrText>
            </w:r>
            <w:r w:rsidR="00AD132E" w:rsidRPr="00AD132E">
              <w:rPr>
                <w:rFonts w:asciiTheme="minorHAnsi" w:hAnsiTheme="minorHAnsi"/>
                <w:b/>
                <w:noProof/>
                <w:webHidden/>
                <w:sz w:val="22"/>
                <w:szCs w:val="22"/>
              </w:rPr>
            </w:r>
            <w:r w:rsidR="00AD132E" w:rsidRPr="00AD132E">
              <w:rPr>
                <w:rFonts w:asciiTheme="minorHAnsi" w:hAnsiTheme="minorHAnsi"/>
                <w:b/>
                <w:noProof/>
                <w:webHidden/>
                <w:sz w:val="22"/>
                <w:szCs w:val="22"/>
              </w:rPr>
              <w:fldChar w:fldCharType="separate"/>
            </w:r>
            <w:r w:rsidR="00616B44">
              <w:rPr>
                <w:rFonts w:asciiTheme="minorHAnsi" w:hAnsiTheme="minorHAnsi"/>
                <w:b/>
                <w:noProof/>
                <w:webHidden/>
                <w:sz w:val="22"/>
                <w:szCs w:val="22"/>
              </w:rPr>
              <w:t>3</w:t>
            </w:r>
            <w:r w:rsidR="00AD132E" w:rsidRPr="00AD132E">
              <w:rPr>
                <w:rFonts w:asciiTheme="minorHAnsi" w:hAnsiTheme="minorHAnsi"/>
                <w:b/>
                <w:noProof/>
                <w:webHidden/>
                <w:sz w:val="22"/>
                <w:szCs w:val="22"/>
              </w:rPr>
              <w:fldChar w:fldCharType="end"/>
            </w:r>
          </w:hyperlink>
        </w:p>
        <w:p w14:paraId="0D1262D1" w14:textId="00223420" w:rsidR="00AD132E" w:rsidRPr="00AD132E" w:rsidRDefault="0005580A" w:rsidP="00AD132E">
          <w:pPr>
            <w:pStyle w:val="TOC1"/>
            <w:tabs>
              <w:tab w:val="right" w:leader="dot" w:pos="9350"/>
            </w:tabs>
            <w:spacing w:after="100"/>
            <w:rPr>
              <w:rFonts w:asciiTheme="minorHAnsi" w:eastAsiaTheme="minorEastAsia" w:hAnsiTheme="minorHAnsi" w:cstheme="minorBidi"/>
              <w:b/>
              <w:noProof/>
              <w:sz w:val="22"/>
              <w:szCs w:val="22"/>
            </w:rPr>
          </w:pPr>
          <w:hyperlink w:anchor="_Toc469402835" w:history="1">
            <w:r w:rsidR="00AD132E" w:rsidRPr="00AD132E">
              <w:rPr>
                <w:rStyle w:val="Hyperlink"/>
                <w:rFonts w:asciiTheme="minorHAnsi" w:hAnsiTheme="minorHAnsi"/>
                <w:b/>
                <w:noProof/>
                <w:sz w:val="22"/>
                <w:szCs w:val="22"/>
              </w:rPr>
              <w:t>2. Procedures for the Collection of Information</w:t>
            </w:r>
            <w:r w:rsidR="00AD132E" w:rsidRPr="00AD132E">
              <w:rPr>
                <w:rFonts w:asciiTheme="minorHAnsi" w:hAnsiTheme="minorHAnsi"/>
                <w:b/>
                <w:noProof/>
                <w:webHidden/>
                <w:sz w:val="22"/>
                <w:szCs w:val="22"/>
              </w:rPr>
              <w:tab/>
            </w:r>
            <w:r w:rsidR="00AD132E" w:rsidRPr="00AD132E">
              <w:rPr>
                <w:rFonts w:asciiTheme="minorHAnsi" w:hAnsiTheme="minorHAnsi"/>
                <w:b/>
                <w:noProof/>
                <w:webHidden/>
                <w:sz w:val="22"/>
                <w:szCs w:val="22"/>
              </w:rPr>
              <w:fldChar w:fldCharType="begin"/>
            </w:r>
            <w:r w:rsidR="00AD132E" w:rsidRPr="00AD132E">
              <w:rPr>
                <w:rFonts w:asciiTheme="minorHAnsi" w:hAnsiTheme="minorHAnsi"/>
                <w:b/>
                <w:noProof/>
                <w:webHidden/>
                <w:sz w:val="22"/>
                <w:szCs w:val="22"/>
              </w:rPr>
              <w:instrText xml:space="preserve"> PAGEREF _Toc469402835 \h </w:instrText>
            </w:r>
            <w:r w:rsidR="00AD132E" w:rsidRPr="00AD132E">
              <w:rPr>
                <w:rFonts w:asciiTheme="minorHAnsi" w:hAnsiTheme="minorHAnsi"/>
                <w:b/>
                <w:noProof/>
                <w:webHidden/>
                <w:sz w:val="22"/>
                <w:szCs w:val="22"/>
              </w:rPr>
            </w:r>
            <w:r w:rsidR="00AD132E" w:rsidRPr="00AD132E">
              <w:rPr>
                <w:rFonts w:asciiTheme="minorHAnsi" w:hAnsiTheme="minorHAnsi"/>
                <w:b/>
                <w:noProof/>
                <w:webHidden/>
                <w:sz w:val="22"/>
                <w:szCs w:val="22"/>
              </w:rPr>
              <w:fldChar w:fldCharType="separate"/>
            </w:r>
            <w:r w:rsidR="00616B44">
              <w:rPr>
                <w:rFonts w:asciiTheme="minorHAnsi" w:hAnsiTheme="minorHAnsi"/>
                <w:b/>
                <w:noProof/>
                <w:webHidden/>
                <w:sz w:val="22"/>
                <w:szCs w:val="22"/>
              </w:rPr>
              <w:t>5</w:t>
            </w:r>
            <w:r w:rsidR="00AD132E" w:rsidRPr="00AD132E">
              <w:rPr>
                <w:rFonts w:asciiTheme="minorHAnsi" w:hAnsiTheme="minorHAnsi"/>
                <w:b/>
                <w:noProof/>
                <w:webHidden/>
                <w:sz w:val="22"/>
                <w:szCs w:val="22"/>
              </w:rPr>
              <w:fldChar w:fldCharType="end"/>
            </w:r>
          </w:hyperlink>
        </w:p>
        <w:p w14:paraId="1565B549" w14:textId="2E514778" w:rsidR="00AD132E" w:rsidRPr="00AD132E" w:rsidRDefault="0005580A" w:rsidP="00AD132E">
          <w:pPr>
            <w:pStyle w:val="TOC1"/>
            <w:tabs>
              <w:tab w:val="right" w:leader="dot" w:pos="9350"/>
            </w:tabs>
            <w:spacing w:after="100"/>
            <w:rPr>
              <w:rFonts w:asciiTheme="minorHAnsi" w:eastAsiaTheme="minorEastAsia" w:hAnsiTheme="minorHAnsi" w:cstheme="minorBidi"/>
              <w:b/>
              <w:noProof/>
              <w:sz w:val="22"/>
              <w:szCs w:val="22"/>
            </w:rPr>
          </w:pPr>
          <w:hyperlink w:anchor="_Toc469402836" w:history="1">
            <w:r w:rsidR="00AD132E" w:rsidRPr="00AD132E">
              <w:rPr>
                <w:rStyle w:val="Hyperlink"/>
                <w:rFonts w:asciiTheme="minorHAnsi" w:hAnsiTheme="minorHAnsi"/>
                <w:b/>
                <w:noProof/>
                <w:sz w:val="22"/>
                <w:szCs w:val="22"/>
              </w:rPr>
              <w:t>3. Methods to Maximize Response Rates and Deal with Nonresponse</w:t>
            </w:r>
            <w:r w:rsidR="00AD132E" w:rsidRPr="00AD132E">
              <w:rPr>
                <w:rFonts w:asciiTheme="minorHAnsi" w:hAnsiTheme="minorHAnsi"/>
                <w:b/>
                <w:noProof/>
                <w:webHidden/>
                <w:sz w:val="22"/>
                <w:szCs w:val="22"/>
              </w:rPr>
              <w:tab/>
            </w:r>
            <w:r w:rsidR="00AD132E" w:rsidRPr="00AD132E">
              <w:rPr>
                <w:rFonts w:asciiTheme="minorHAnsi" w:hAnsiTheme="minorHAnsi"/>
                <w:b/>
                <w:noProof/>
                <w:webHidden/>
                <w:sz w:val="22"/>
                <w:szCs w:val="22"/>
              </w:rPr>
              <w:fldChar w:fldCharType="begin"/>
            </w:r>
            <w:r w:rsidR="00AD132E" w:rsidRPr="00AD132E">
              <w:rPr>
                <w:rFonts w:asciiTheme="minorHAnsi" w:hAnsiTheme="minorHAnsi"/>
                <w:b/>
                <w:noProof/>
                <w:webHidden/>
                <w:sz w:val="22"/>
                <w:szCs w:val="22"/>
              </w:rPr>
              <w:instrText xml:space="preserve"> PAGEREF _Toc469402836 \h </w:instrText>
            </w:r>
            <w:r w:rsidR="00AD132E" w:rsidRPr="00AD132E">
              <w:rPr>
                <w:rFonts w:asciiTheme="minorHAnsi" w:hAnsiTheme="minorHAnsi"/>
                <w:b/>
                <w:noProof/>
                <w:webHidden/>
                <w:sz w:val="22"/>
                <w:szCs w:val="22"/>
              </w:rPr>
            </w:r>
            <w:r w:rsidR="00AD132E" w:rsidRPr="00AD132E">
              <w:rPr>
                <w:rFonts w:asciiTheme="minorHAnsi" w:hAnsiTheme="minorHAnsi"/>
                <w:b/>
                <w:noProof/>
                <w:webHidden/>
                <w:sz w:val="22"/>
                <w:szCs w:val="22"/>
              </w:rPr>
              <w:fldChar w:fldCharType="separate"/>
            </w:r>
            <w:r w:rsidR="00616B44">
              <w:rPr>
                <w:rFonts w:asciiTheme="minorHAnsi" w:hAnsiTheme="minorHAnsi"/>
                <w:b/>
                <w:noProof/>
                <w:webHidden/>
                <w:sz w:val="22"/>
                <w:szCs w:val="22"/>
              </w:rPr>
              <w:t>6</w:t>
            </w:r>
            <w:r w:rsidR="00AD132E" w:rsidRPr="00AD132E">
              <w:rPr>
                <w:rFonts w:asciiTheme="minorHAnsi" w:hAnsiTheme="minorHAnsi"/>
                <w:b/>
                <w:noProof/>
                <w:webHidden/>
                <w:sz w:val="22"/>
                <w:szCs w:val="22"/>
              </w:rPr>
              <w:fldChar w:fldCharType="end"/>
            </w:r>
          </w:hyperlink>
        </w:p>
        <w:p w14:paraId="79E85E53" w14:textId="5DD1FA89" w:rsidR="00AD132E" w:rsidRPr="00AD132E" w:rsidRDefault="0005580A" w:rsidP="00AD132E">
          <w:pPr>
            <w:pStyle w:val="TOC1"/>
            <w:tabs>
              <w:tab w:val="right" w:leader="dot" w:pos="9350"/>
            </w:tabs>
            <w:spacing w:after="100"/>
            <w:rPr>
              <w:rFonts w:asciiTheme="minorHAnsi" w:eastAsiaTheme="minorEastAsia" w:hAnsiTheme="minorHAnsi" w:cstheme="minorBidi"/>
              <w:b/>
              <w:noProof/>
              <w:sz w:val="22"/>
              <w:szCs w:val="22"/>
            </w:rPr>
          </w:pPr>
          <w:hyperlink w:anchor="_Toc469402837" w:history="1">
            <w:r w:rsidR="00AD132E" w:rsidRPr="00AD132E">
              <w:rPr>
                <w:rStyle w:val="Hyperlink"/>
                <w:rFonts w:asciiTheme="minorHAnsi" w:hAnsiTheme="minorHAnsi"/>
                <w:b/>
                <w:noProof/>
                <w:sz w:val="22"/>
                <w:szCs w:val="22"/>
              </w:rPr>
              <w:t>4. Tests of Procedures or Methods to be Undertaken</w:t>
            </w:r>
            <w:r w:rsidR="00AD132E" w:rsidRPr="00AD132E">
              <w:rPr>
                <w:rFonts w:asciiTheme="minorHAnsi" w:hAnsiTheme="minorHAnsi"/>
                <w:b/>
                <w:noProof/>
                <w:webHidden/>
                <w:sz w:val="22"/>
                <w:szCs w:val="22"/>
              </w:rPr>
              <w:tab/>
            </w:r>
            <w:r w:rsidR="00AD132E" w:rsidRPr="00AD132E">
              <w:rPr>
                <w:rFonts w:asciiTheme="minorHAnsi" w:hAnsiTheme="minorHAnsi"/>
                <w:b/>
                <w:noProof/>
                <w:webHidden/>
                <w:sz w:val="22"/>
                <w:szCs w:val="22"/>
              </w:rPr>
              <w:fldChar w:fldCharType="begin"/>
            </w:r>
            <w:r w:rsidR="00AD132E" w:rsidRPr="00AD132E">
              <w:rPr>
                <w:rFonts w:asciiTheme="minorHAnsi" w:hAnsiTheme="minorHAnsi"/>
                <w:b/>
                <w:noProof/>
                <w:webHidden/>
                <w:sz w:val="22"/>
                <w:szCs w:val="22"/>
              </w:rPr>
              <w:instrText xml:space="preserve"> PAGEREF _Toc469402837 \h </w:instrText>
            </w:r>
            <w:r w:rsidR="00AD132E" w:rsidRPr="00AD132E">
              <w:rPr>
                <w:rFonts w:asciiTheme="minorHAnsi" w:hAnsiTheme="minorHAnsi"/>
                <w:b/>
                <w:noProof/>
                <w:webHidden/>
                <w:sz w:val="22"/>
                <w:szCs w:val="22"/>
              </w:rPr>
            </w:r>
            <w:r w:rsidR="00AD132E" w:rsidRPr="00AD132E">
              <w:rPr>
                <w:rFonts w:asciiTheme="minorHAnsi" w:hAnsiTheme="minorHAnsi"/>
                <w:b/>
                <w:noProof/>
                <w:webHidden/>
                <w:sz w:val="22"/>
                <w:szCs w:val="22"/>
              </w:rPr>
              <w:fldChar w:fldCharType="separate"/>
            </w:r>
            <w:r w:rsidR="00616B44">
              <w:rPr>
                <w:rFonts w:asciiTheme="minorHAnsi" w:hAnsiTheme="minorHAnsi"/>
                <w:b/>
                <w:noProof/>
                <w:webHidden/>
                <w:sz w:val="22"/>
                <w:szCs w:val="22"/>
              </w:rPr>
              <w:t>6</w:t>
            </w:r>
            <w:r w:rsidR="00AD132E" w:rsidRPr="00AD132E">
              <w:rPr>
                <w:rFonts w:asciiTheme="minorHAnsi" w:hAnsiTheme="minorHAnsi"/>
                <w:b/>
                <w:noProof/>
                <w:webHidden/>
                <w:sz w:val="22"/>
                <w:szCs w:val="22"/>
              </w:rPr>
              <w:fldChar w:fldCharType="end"/>
            </w:r>
          </w:hyperlink>
        </w:p>
        <w:p w14:paraId="627787D1" w14:textId="2019B959" w:rsidR="00AD132E" w:rsidRPr="00AD132E" w:rsidRDefault="0005580A" w:rsidP="00AD132E">
          <w:pPr>
            <w:pStyle w:val="TOC1"/>
            <w:tabs>
              <w:tab w:val="right" w:leader="dot" w:pos="9350"/>
            </w:tabs>
            <w:spacing w:after="100"/>
            <w:rPr>
              <w:rFonts w:asciiTheme="minorHAnsi" w:eastAsiaTheme="minorEastAsia" w:hAnsiTheme="minorHAnsi" w:cstheme="minorBidi"/>
              <w:b/>
              <w:noProof/>
              <w:sz w:val="22"/>
              <w:szCs w:val="22"/>
            </w:rPr>
          </w:pPr>
          <w:hyperlink w:anchor="_Toc469402838" w:history="1">
            <w:r w:rsidR="00AD132E" w:rsidRPr="00AD132E">
              <w:rPr>
                <w:rStyle w:val="Hyperlink"/>
                <w:rFonts w:asciiTheme="minorHAnsi" w:hAnsiTheme="minorHAnsi"/>
                <w:b/>
                <w:noProof/>
                <w:sz w:val="22"/>
                <w:szCs w:val="22"/>
              </w:rPr>
              <w:t>5. Individuals Consulted on Statistical Aspects and Individuals Collecting and/or Analyzing Data</w:t>
            </w:r>
            <w:r w:rsidR="00AD132E" w:rsidRPr="00AD132E">
              <w:rPr>
                <w:rFonts w:asciiTheme="minorHAnsi" w:hAnsiTheme="minorHAnsi"/>
                <w:b/>
                <w:noProof/>
                <w:webHidden/>
                <w:sz w:val="22"/>
                <w:szCs w:val="22"/>
              </w:rPr>
              <w:tab/>
            </w:r>
            <w:r w:rsidR="00AD132E" w:rsidRPr="00AD132E">
              <w:rPr>
                <w:rFonts w:asciiTheme="minorHAnsi" w:hAnsiTheme="minorHAnsi"/>
                <w:b/>
                <w:noProof/>
                <w:webHidden/>
                <w:sz w:val="22"/>
                <w:szCs w:val="22"/>
              </w:rPr>
              <w:fldChar w:fldCharType="begin"/>
            </w:r>
            <w:r w:rsidR="00AD132E" w:rsidRPr="00AD132E">
              <w:rPr>
                <w:rFonts w:asciiTheme="minorHAnsi" w:hAnsiTheme="minorHAnsi"/>
                <w:b/>
                <w:noProof/>
                <w:webHidden/>
                <w:sz w:val="22"/>
                <w:szCs w:val="22"/>
              </w:rPr>
              <w:instrText xml:space="preserve"> PAGEREF _Toc469402838 \h </w:instrText>
            </w:r>
            <w:r w:rsidR="00AD132E" w:rsidRPr="00AD132E">
              <w:rPr>
                <w:rFonts w:asciiTheme="minorHAnsi" w:hAnsiTheme="minorHAnsi"/>
                <w:b/>
                <w:noProof/>
                <w:webHidden/>
                <w:sz w:val="22"/>
                <w:szCs w:val="22"/>
              </w:rPr>
            </w:r>
            <w:r w:rsidR="00AD132E" w:rsidRPr="00AD132E">
              <w:rPr>
                <w:rFonts w:asciiTheme="minorHAnsi" w:hAnsiTheme="minorHAnsi"/>
                <w:b/>
                <w:noProof/>
                <w:webHidden/>
                <w:sz w:val="22"/>
                <w:szCs w:val="22"/>
              </w:rPr>
              <w:fldChar w:fldCharType="separate"/>
            </w:r>
            <w:r w:rsidR="00616B44">
              <w:rPr>
                <w:rFonts w:asciiTheme="minorHAnsi" w:hAnsiTheme="minorHAnsi"/>
                <w:b/>
                <w:noProof/>
                <w:webHidden/>
                <w:sz w:val="22"/>
                <w:szCs w:val="22"/>
              </w:rPr>
              <w:t>6</w:t>
            </w:r>
            <w:r w:rsidR="00AD132E" w:rsidRPr="00AD132E">
              <w:rPr>
                <w:rFonts w:asciiTheme="minorHAnsi" w:hAnsiTheme="minorHAnsi"/>
                <w:b/>
                <w:noProof/>
                <w:webHidden/>
                <w:sz w:val="22"/>
                <w:szCs w:val="22"/>
              </w:rPr>
              <w:fldChar w:fldCharType="end"/>
            </w:r>
          </w:hyperlink>
        </w:p>
        <w:p w14:paraId="27D904FB" w14:textId="54150FA5" w:rsidR="002F7931" w:rsidRDefault="002F7931" w:rsidP="00AD132E">
          <w:pPr>
            <w:spacing w:after="100"/>
          </w:pPr>
          <w:r w:rsidRPr="00AD132E">
            <w:rPr>
              <w:rFonts w:asciiTheme="minorHAnsi" w:hAnsiTheme="minorHAnsi"/>
              <w:b/>
              <w:bCs/>
              <w:noProof/>
              <w:sz w:val="22"/>
              <w:szCs w:val="22"/>
            </w:rPr>
            <w:fldChar w:fldCharType="end"/>
          </w:r>
        </w:p>
      </w:sdtContent>
    </w:sdt>
    <w:p w14:paraId="4387BDD1" w14:textId="77777777" w:rsidR="002F7931" w:rsidRPr="002F7931" w:rsidRDefault="002F7931" w:rsidP="002F7931">
      <w:pPr>
        <w:tabs>
          <w:tab w:val="right" w:leader="dot" w:pos="9360"/>
        </w:tabs>
        <w:rPr>
          <w:rFonts w:asciiTheme="minorHAnsi" w:hAnsiTheme="minorHAnsi"/>
          <w:b/>
          <w:sz w:val="22"/>
          <w:szCs w:val="22"/>
          <w:u w:val="single"/>
        </w:rPr>
      </w:pPr>
      <w:bookmarkStart w:id="1" w:name="_Toc151782198"/>
      <w:bookmarkStart w:id="2" w:name="_Toc158526234"/>
      <w:r w:rsidRPr="002F7931">
        <w:rPr>
          <w:rFonts w:asciiTheme="minorHAnsi" w:hAnsiTheme="minorHAnsi"/>
          <w:b/>
          <w:sz w:val="22"/>
          <w:szCs w:val="22"/>
          <w:u w:val="single"/>
        </w:rPr>
        <w:t>List of Attachments:</w:t>
      </w:r>
    </w:p>
    <w:p w14:paraId="59A93A3B" w14:textId="77777777" w:rsidR="002F7931" w:rsidRPr="002F7931" w:rsidRDefault="002F7931" w:rsidP="002F7931">
      <w:pPr>
        <w:tabs>
          <w:tab w:val="right" w:leader="dot" w:pos="9360"/>
        </w:tabs>
        <w:rPr>
          <w:rFonts w:asciiTheme="minorHAnsi" w:hAnsiTheme="minorHAnsi"/>
          <w:b/>
          <w:sz w:val="22"/>
          <w:szCs w:val="22"/>
          <w:u w:val="single"/>
        </w:rPr>
      </w:pPr>
    </w:p>
    <w:p w14:paraId="4989D18B" w14:textId="77777777" w:rsidR="002F7931" w:rsidRPr="002F7931" w:rsidRDefault="002F7931" w:rsidP="002F7931">
      <w:pPr>
        <w:tabs>
          <w:tab w:val="right" w:leader="dot" w:pos="9360"/>
        </w:tabs>
        <w:rPr>
          <w:rFonts w:asciiTheme="minorHAnsi" w:hAnsiTheme="minorHAnsi"/>
          <w:sz w:val="22"/>
          <w:szCs w:val="22"/>
        </w:rPr>
      </w:pPr>
      <w:r w:rsidRPr="002F7931">
        <w:rPr>
          <w:rFonts w:asciiTheme="minorHAnsi" w:hAnsiTheme="minorHAnsi"/>
          <w:sz w:val="22"/>
          <w:szCs w:val="22"/>
        </w:rPr>
        <w:t>Attachment A – Authorizing Legislation</w:t>
      </w:r>
    </w:p>
    <w:p w14:paraId="47389A70" w14:textId="77777777" w:rsidR="002F7931" w:rsidRPr="002F7931" w:rsidRDefault="002F7931" w:rsidP="002F7931">
      <w:pPr>
        <w:tabs>
          <w:tab w:val="right" w:leader="dot" w:pos="9360"/>
        </w:tabs>
        <w:rPr>
          <w:rFonts w:asciiTheme="minorHAnsi" w:hAnsiTheme="minorHAnsi"/>
          <w:sz w:val="22"/>
          <w:szCs w:val="22"/>
        </w:rPr>
      </w:pPr>
      <w:r w:rsidRPr="002F7931">
        <w:rPr>
          <w:rFonts w:asciiTheme="minorHAnsi" w:hAnsiTheme="minorHAnsi"/>
          <w:sz w:val="22"/>
          <w:szCs w:val="22"/>
        </w:rPr>
        <w:t>Attachment B – Published 60-day FRN</w:t>
      </w:r>
    </w:p>
    <w:p w14:paraId="61898577" w14:textId="77777777" w:rsidR="002F7931" w:rsidRPr="002F7931" w:rsidRDefault="002F7931" w:rsidP="002F7931">
      <w:pPr>
        <w:tabs>
          <w:tab w:val="right" w:leader="dot" w:pos="9360"/>
        </w:tabs>
        <w:rPr>
          <w:rFonts w:asciiTheme="minorHAnsi" w:hAnsiTheme="minorHAnsi"/>
          <w:sz w:val="22"/>
          <w:szCs w:val="22"/>
        </w:rPr>
      </w:pPr>
      <w:r w:rsidRPr="002F7931">
        <w:rPr>
          <w:rFonts w:asciiTheme="minorHAnsi" w:hAnsiTheme="minorHAnsi"/>
          <w:sz w:val="22"/>
          <w:szCs w:val="22"/>
        </w:rPr>
        <w:t>Attachment C – Interview Guide</w:t>
      </w:r>
    </w:p>
    <w:p w14:paraId="73D20AB5" w14:textId="77777777" w:rsidR="002F7931" w:rsidRPr="002F7931" w:rsidRDefault="002F7931" w:rsidP="002F7931">
      <w:pPr>
        <w:tabs>
          <w:tab w:val="right" w:leader="dot" w:pos="9360"/>
        </w:tabs>
        <w:rPr>
          <w:rFonts w:asciiTheme="minorHAnsi" w:hAnsiTheme="minorHAnsi"/>
          <w:sz w:val="22"/>
          <w:szCs w:val="22"/>
        </w:rPr>
      </w:pPr>
      <w:r w:rsidRPr="002F7931">
        <w:rPr>
          <w:rFonts w:asciiTheme="minorHAnsi" w:hAnsiTheme="minorHAnsi"/>
          <w:sz w:val="22"/>
          <w:szCs w:val="22"/>
        </w:rPr>
        <w:t>Attachment D – Survey Plan</w:t>
      </w:r>
    </w:p>
    <w:p w14:paraId="5BF1B1D8" w14:textId="77777777" w:rsidR="002F7931" w:rsidRPr="002F7931" w:rsidRDefault="002F7931" w:rsidP="002F7931">
      <w:pPr>
        <w:tabs>
          <w:tab w:val="right" w:leader="dot" w:pos="9360"/>
        </w:tabs>
        <w:rPr>
          <w:rFonts w:asciiTheme="minorHAnsi" w:hAnsiTheme="minorHAnsi"/>
          <w:sz w:val="22"/>
          <w:szCs w:val="22"/>
        </w:rPr>
      </w:pPr>
      <w:r w:rsidRPr="002F7931">
        <w:rPr>
          <w:rFonts w:asciiTheme="minorHAnsi" w:hAnsiTheme="minorHAnsi"/>
          <w:sz w:val="22"/>
          <w:szCs w:val="22"/>
        </w:rPr>
        <w:t>Attachment E – Recruitment E-mail for Potential Interview Participants</w:t>
      </w:r>
    </w:p>
    <w:p w14:paraId="6240A17B" w14:textId="77777777" w:rsidR="002F7931" w:rsidRPr="002F7931" w:rsidRDefault="002F7931" w:rsidP="002F7931">
      <w:pPr>
        <w:tabs>
          <w:tab w:val="right" w:leader="dot" w:pos="9360"/>
        </w:tabs>
        <w:rPr>
          <w:rFonts w:asciiTheme="minorHAnsi" w:hAnsiTheme="minorHAnsi"/>
          <w:sz w:val="22"/>
          <w:szCs w:val="22"/>
        </w:rPr>
      </w:pPr>
      <w:r w:rsidRPr="002F7931">
        <w:rPr>
          <w:rFonts w:asciiTheme="minorHAnsi" w:hAnsiTheme="minorHAnsi"/>
          <w:sz w:val="22"/>
          <w:szCs w:val="22"/>
        </w:rPr>
        <w:t>Attachment F – Recruitment E-mail for Potential Survey Participants</w:t>
      </w:r>
    </w:p>
    <w:p w14:paraId="647FC8BE" w14:textId="77777777" w:rsidR="002F7931" w:rsidRPr="002F7931" w:rsidRDefault="002F7931" w:rsidP="002F7931">
      <w:pPr>
        <w:tabs>
          <w:tab w:val="right" w:leader="dot" w:pos="9360"/>
        </w:tabs>
        <w:rPr>
          <w:rFonts w:asciiTheme="minorHAnsi" w:hAnsiTheme="minorHAnsi"/>
          <w:sz w:val="22"/>
          <w:szCs w:val="22"/>
        </w:rPr>
      </w:pPr>
      <w:r w:rsidRPr="002F7931">
        <w:rPr>
          <w:rFonts w:asciiTheme="minorHAnsi" w:hAnsiTheme="minorHAnsi"/>
          <w:sz w:val="22"/>
          <w:szCs w:val="22"/>
        </w:rPr>
        <w:t>Attachment G – Institutional Review Board (IRB) Exemption Letter</w:t>
      </w:r>
    </w:p>
    <w:p w14:paraId="76AA287F" w14:textId="77777777" w:rsidR="00874B68" w:rsidRPr="001072BA" w:rsidRDefault="00874B68" w:rsidP="00874B68">
      <w:pPr>
        <w:rPr>
          <w:rFonts w:ascii="Calibri" w:hAnsi="Calibri"/>
        </w:rPr>
      </w:pPr>
    </w:p>
    <w:p w14:paraId="78E08A6B" w14:textId="1F46EAF6" w:rsidR="00874B68" w:rsidRPr="001072BA" w:rsidRDefault="00874B68" w:rsidP="00874B68">
      <w:pPr>
        <w:rPr>
          <w:rFonts w:ascii="Calibri" w:hAnsi="Calibri"/>
        </w:rPr>
      </w:pPr>
    </w:p>
    <w:p w14:paraId="592B157E" w14:textId="77777777" w:rsidR="00874B68" w:rsidRPr="001072BA" w:rsidRDefault="00874B68" w:rsidP="00874B68">
      <w:pPr>
        <w:rPr>
          <w:rFonts w:ascii="Calibri" w:hAnsi="Calibri"/>
        </w:rPr>
      </w:pPr>
    </w:p>
    <w:p w14:paraId="64E46EE5" w14:textId="77777777" w:rsidR="00874B68" w:rsidRPr="001072BA" w:rsidRDefault="00874B68" w:rsidP="00874B68">
      <w:pPr>
        <w:rPr>
          <w:rFonts w:ascii="Calibri" w:hAnsi="Calibri"/>
        </w:rPr>
      </w:pPr>
    </w:p>
    <w:p w14:paraId="2A7F2527" w14:textId="77777777" w:rsidR="00874B68" w:rsidRPr="001072BA" w:rsidRDefault="00874B68" w:rsidP="00874B68">
      <w:pPr>
        <w:rPr>
          <w:rFonts w:ascii="Calibri" w:hAnsi="Calibri"/>
        </w:rPr>
      </w:pPr>
    </w:p>
    <w:p w14:paraId="6AC11A76" w14:textId="77777777" w:rsidR="00874B68" w:rsidRPr="001072BA" w:rsidRDefault="00874B68" w:rsidP="00874B68">
      <w:pPr>
        <w:rPr>
          <w:rFonts w:ascii="Calibri" w:hAnsi="Calibri"/>
        </w:rPr>
      </w:pPr>
    </w:p>
    <w:p w14:paraId="0D212425" w14:textId="77777777" w:rsidR="00874B68" w:rsidRPr="001072BA" w:rsidRDefault="00874B68" w:rsidP="00874B68">
      <w:pPr>
        <w:rPr>
          <w:rFonts w:ascii="Calibri" w:hAnsi="Calibri"/>
        </w:rPr>
      </w:pPr>
    </w:p>
    <w:p w14:paraId="4B745BE8" w14:textId="77777777" w:rsidR="00874B68" w:rsidRPr="001072BA" w:rsidRDefault="00874B68" w:rsidP="00874B68">
      <w:pPr>
        <w:rPr>
          <w:rFonts w:ascii="Calibri" w:hAnsi="Calibri"/>
        </w:rPr>
      </w:pPr>
    </w:p>
    <w:p w14:paraId="49F6C386" w14:textId="77777777" w:rsidR="00874B68" w:rsidRPr="001072BA" w:rsidRDefault="00874B68" w:rsidP="00874B68">
      <w:pPr>
        <w:rPr>
          <w:rFonts w:ascii="Calibri" w:hAnsi="Calibri"/>
        </w:rPr>
      </w:pPr>
    </w:p>
    <w:p w14:paraId="1AB7C945" w14:textId="77777777" w:rsidR="00874B68" w:rsidRPr="001072BA" w:rsidRDefault="00874B68" w:rsidP="00874B68">
      <w:pPr>
        <w:rPr>
          <w:rFonts w:ascii="Calibri" w:hAnsi="Calibri"/>
        </w:rPr>
      </w:pPr>
    </w:p>
    <w:p w14:paraId="17B10A86" w14:textId="77777777" w:rsidR="00874B68" w:rsidRPr="001072BA" w:rsidRDefault="00874B68" w:rsidP="00874B68">
      <w:pPr>
        <w:rPr>
          <w:rFonts w:ascii="Calibri" w:hAnsi="Calibri"/>
        </w:rPr>
      </w:pPr>
    </w:p>
    <w:p w14:paraId="7DED81D4" w14:textId="77777777" w:rsidR="00874B68" w:rsidRPr="001072BA" w:rsidRDefault="00874B68" w:rsidP="00874B68">
      <w:pPr>
        <w:rPr>
          <w:rFonts w:ascii="Calibri" w:hAnsi="Calibri"/>
        </w:rPr>
      </w:pPr>
    </w:p>
    <w:p w14:paraId="1B9AA957" w14:textId="77777777" w:rsidR="00874B68" w:rsidRPr="001072BA" w:rsidRDefault="00874B68" w:rsidP="00874B68">
      <w:pPr>
        <w:rPr>
          <w:rFonts w:ascii="Calibri" w:hAnsi="Calibri"/>
        </w:rPr>
      </w:pPr>
    </w:p>
    <w:p w14:paraId="175F23BC" w14:textId="77777777" w:rsidR="00874B68" w:rsidRPr="001072BA" w:rsidRDefault="00874B68" w:rsidP="00874B68">
      <w:pPr>
        <w:rPr>
          <w:rFonts w:ascii="Calibri" w:hAnsi="Calibri"/>
        </w:rPr>
      </w:pPr>
    </w:p>
    <w:p w14:paraId="37EA8E75" w14:textId="77777777" w:rsidR="00874B68" w:rsidRPr="001072BA" w:rsidRDefault="00874B68" w:rsidP="00874B68">
      <w:pPr>
        <w:rPr>
          <w:rFonts w:ascii="Calibri" w:hAnsi="Calibri"/>
        </w:rPr>
      </w:pPr>
    </w:p>
    <w:p w14:paraId="3C67E9F5" w14:textId="77777777" w:rsidR="00874B68" w:rsidRPr="001072BA" w:rsidRDefault="00874B68" w:rsidP="00874B68">
      <w:pPr>
        <w:rPr>
          <w:rFonts w:ascii="Calibri" w:hAnsi="Calibri"/>
        </w:rPr>
      </w:pPr>
    </w:p>
    <w:p w14:paraId="79873278" w14:textId="77777777" w:rsidR="00874B68" w:rsidRPr="001072BA" w:rsidRDefault="00874B68" w:rsidP="00874B68">
      <w:pPr>
        <w:rPr>
          <w:rFonts w:ascii="Calibri" w:hAnsi="Calibri"/>
        </w:rPr>
      </w:pPr>
    </w:p>
    <w:p w14:paraId="52A816F6" w14:textId="77777777" w:rsidR="00874B68" w:rsidRPr="001072BA" w:rsidRDefault="00874B68" w:rsidP="00874B68">
      <w:pPr>
        <w:rPr>
          <w:rFonts w:ascii="Calibri" w:hAnsi="Calibri"/>
        </w:rPr>
      </w:pPr>
    </w:p>
    <w:p w14:paraId="12179B50" w14:textId="77777777" w:rsidR="002F7931" w:rsidRDefault="002F7931" w:rsidP="002F7931">
      <w:pPr>
        <w:rPr>
          <w:rFonts w:asciiTheme="majorHAnsi" w:hAnsiTheme="majorHAnsi"/>
          <w:b/>
        </w:rPr>
      </w:pPr>
      <w:r>
        <w:rPr>
          <w:rFonts w:asciiTheme="majorHAnsi" w:hAnsiTheme="majorHAnsi"/>
          <w:b/>
        </w:rPr>
        <w:br w:type="page"/>
      </w:r>
    </w:p>
    <w:p w14:paraId="47ADB77B" w14:textId="218BFA8C" w:rsidR="006A09B7" w:rsidRPr="002F7931" w:rsidRDefault="002F7931" w:rsidP="002F7931">
      <w:pPr>
        <w:rPr>
          <w:rFonts w:asciiTheme="majorHAnsi" w:hAnsiTheme="majorHAnsi"/>
          <w:b/>
        </w:rPr>
      </w:pPr>
      <w:r w:rsidRPr="001E3631">
        <w:rPr>
          <w:rFonts w:asciiTheme="majorHAnsi" w:hAnsiTheme="majorHAnsi"/>
          <w:b/>
        </w:rPr>
        <w:lastRenderedPageBreak/>
        <w:t>S</w:t>
      </w:r>
      <w:r>
        <w:rPr>
          <w:rFonts w:asciiTheme="majorHAnsi" w:hAnsiTheme="majorHAnsi"/>
          <w:b/>
        </w:rPr>
        <w:t>upporting</w:t>
      </w:r>
      <w:r w:rsidRPr="001E3631">
        <w:rPr>
          <w:rFonts w:asciiTheme="majorHAnsi" w:hAnsiTheme="majorHAnsi"/>
          <w:b/>
        </w:rPr>
        <w:t xml:space="preserve"> S</w:t>
      </w:r>
      <w:r>
        <w:rPr>
          <w:rFonts w:asciiTheme="majorHAnsi" w:hAnsiTheme="majorHAnsi"/>
          <w:b/>
        </w:rPr>
        <w:t>tatement</w:t>
      </w:r>
      <w:r w:rsidRPr="001E3631">
        <w:rPr>
          <w:rFonts w:asciiTheme="majorHAnsi" w:hAnsiTheme="majorHAnsi"/>
          <w:b/>
        </w:rPr>
        <w:t xml:space="preserve"> Part </w:t>
      </w:r>
      <w:r>
        <w:rPr>
          <w:rFonts w:asciiTheme="majorHAnsi" w:hAnsiTheme="majorHAnsi"/>
          <w:b/>
        </w:rPr>
        <w:t>B:</w:t>
      </w:r>
      <w:r w:rsidR="005453AD" w:rsidRPr="002F7931">
        <w:rPr>
          <w:rFonts w:asciiTheme="majorHAnsi" w:hAnsiTheme="majorHAnsi"/>
          <w:b/>
        </w:rPr>
        <w:t xml:space="preserve"> Collections of Information Employing Statistical Methods</w:t>
      </w:r>
      <w:bookmarkEnd w:id="1"/>
      <w:bookmarkEnd w:id="2"/>
    </w:p>
    <w:p w14:paraId="2A54A15D" w14:textId="5D0CD123" w:rsidR="00DC6FA8" w:rsidRPr="00096360" w:rsidRDefault="005453AD" w:rsidP="00096360">
      <w:pPr>
        <w:pStyle w:val="Heading1"/>
        <w:rPr>
          <w:rFonts w:asciiTheme="majorHAnsi" w:hAnsiTheme="majorHAnsi"/>
          <w:sz w:val="24"/>
          <w:szCs w:val="24"/>
        </w:rPr>
      </w:pPr>
      <w:bookmarkStart w:id="3" w:name="_Toc151782199"/>
      <w:bookmarkStart w:id="4" w:name="_Toc158526235"/>
      <w:bookmarkStart w:id="5" w:name="_Toc469402834"/>
      <w:r w:rsidRPr="002F7931">
        <w:rPr>
          <w:rFonts w:asciiTheme="majorHAnsi" w:hAnsiTheme="majorHAnsi"/>
          <w:sz w:val="24"/>
          <w:szCs w:val="24"/>
        </w:rPr>
        <w:t>1</w:t>
      </w:r>
      <w:r w:rsidR="00AD132E">
        <w:rPr>
          <w:rFonts w:asciiTheme="majorHAnsi" w:hAnsiTheme="majorHAnsi"/>
          <w:sz w:val="24"/>
          <w:szCs w:val="24"/>
        </w:rPr>
        <w:t>. Respondent Universe and Sampling M</w:t>
      </w:r>
      <w:r w:rsidRPr="002F7931">
        <w:rPr>
          <w:rFonts w:asciiTheme="majorHAnsi" w:hAnsiTheme="majorHAnsi"/>
          <w:sz w:val="24"/>
          <w:szCs w:val="24"/>
        </w:rPr>
        <w:t>ethods</w:t>
      </w:r>
      <w:bookmarkEnd w:id="3"/>
      <w:bookmarkEnd w:id="4"/>
      <w:bookmarkEnd w:id="5"/>
    </w:p>
    <w:p w14:paraId="5E25345D" w14:textId="2BB3D4C9" w:rsidR="00AF548B" w:rsidRPr="00F40A43" w:rsidRDefault="00AF548B" w:rsidP="00AF548B">
      <w:pPr>
        <w:rPr>
          <w:rFonts w:asciiTheme="minorHAnsi" w:hAnsiTheme="minorHAnsi"/>
          <w:sz w:val="22"/>
          <w:szCs w:val="22"/>
        </w:rPr>
      </w:pPr>
      <w:r w:rsidRPr="00F40A43">
        <w:rPr>
          <w:rFonts w:asciiTheme="minorHAnsi" w:hAnsiTheme="minorHAnsi"/>
          <w:sz w:val="22"/>
          <w:szCs w:val="22"/>
        </w:rPr>
        <w:t>This project has two data collection components. The first will be a</w:t>
      </w:r>
      <w:r w:rsidR="00CD6FBC">
        <w:rPr>
          <w:rFonts w:asciiTheme="minorHAnsi" w:hAnsiTheme="minorHAnsi"/>
          <w:sz w:val="22"/>
          <w:szCs w:val="22"/>
        </w:rPr>
        <w:t xml:space="preserve">n </w:t>
      </w:r>
      <w:r w:rsidRPr="00F40A43">
        <w:rPr>
          <w:rFonts w:asciiTheme="minorHAnsi" w:hAnsiTheme="minorHAnsi"/>
          <w:sz w:val="22"/>
          <w:szCs w:val="22"/>
        </w:rPr>
        <w:t>interview campaign conducted by the research team with decision-makers at private sector organizations</w:t>
      </w:r>
      <w:r w:rsidR="00CD6FBC">
        <w:rPr>
          <w:rFonts w:asciiTheme="minorHAnsi" w:hAnsiTheme="minorHAnsi"/>
          <w:sz w:val="22"/>
          <w:szCs w:val="22"/>
        </w:rPr>
        <w:t xml:space="preserve"> across eight industries</w:t>
      </w:r>
      <w:r w:rsidRPr="00F40A43">
        <w:rPr>
          <w:rFonts w:asciiTheme="minorHAnsi" w:hAnsiTheme="minorHAnsi"/>
          <w:sz w:val="22"/>
          <w:szCs w:val="22"/>
        </w:rPr>
        <w:t xml:space="preserve"> involved in the </w:t>
      </w:r>
      <w:r w:rsidR="00AD132E" w:rsidRPr="00F40A43">
        <w:rPr>
          <w:rFonts w:asciiTheme="minorHAnsi" w:hAnsiTheme="minorHAnsi"/>
          <w:sz w:val="22"/>
          <w:szCs w:val="22"/>
        </w:rPr>
        <w:t>public health preparedness and response (PHPR) space</w:t>
      </w:r>
      <w:r w:rsidRPr="00F40A43">
        <w:rPr>
          <w:rFonts w:asciiTheme="minorHAnsi" w:hAnsiTheme="minorHAnsi"/>
          <w:sz w:val="22"/>
          <w:szCs w:val="22"/>
        </w:rPr>
        <w:t xml:space="preserve">. The </w:t>
      </w:r>
      <w:r w:rsidR="00AD132E" w:rsidRPr="00F40A43">
        <w:rPr>
          <w:rFonts w:asciiTheme="minorHAnsi" w:hAnsiTheme="minorHAnsi"/>
          <w:sz w:val="22"/>
          <w:szCs w:val="22"/>
        </w:rPr>
        <w:t xml:space="preserve">second data collection component will </w:t>
      </w:r>
      <w:r w:rsidRPr="00F40A43">
        <w:rPr>
          <w:rFonts w:asciiTheme="minorHAnsi" w:hAnsiTheme="minorHAnsi"/>
          <w:sz w:val="22"/>
          <w:szCs w:val="22"/>
        </w:rPr>
        <w:t xml:space="preserve">consist of </w:t>
      </w:r>
      <w:r w:rsidR="00CD6FBC" w:rsidRPr="00F40A43">
        <w:rPr>
          <w:rFonts w:asciiTheme="minorHAnsi" w:hAnsiTheme="minorHAnsi"/>
          <w:sz w:val="22"/>
          <w:szCs w:val="22"/>
        </w:rPr>
        <w:t>an</w:t>
      </w:r>
      <w:r w:rsidR="00CD6FBC">
        <w:rPr>
          <w:rFonts w:asciiTheme="minorHAnsi" w:hAnsiTheme="minorHAnsi"/>
          <w:sz w:val="22"/>
          <w:szCs w:val="22"/>
        </w:rPr>
        <w:t xml:space="preserve"> </w:t>
      </w:r>
      <w:r w:rsidRPr="00F40A43">
        <w:rPr>
          <w:rFonts w:asciiTheme="minorHAnsi" w:hAnsiTheme="minorHAnsi"/>
          <w:sz w:val="22"/>
          <w:szCs w:val="22"/>
        </w:rPr>
        <w:t xml:space="preserve">online Public-Private Partnership </w:t>
      </w:r>
      <w:r w:rsidR="00AD132E" w:rsidRPr="00F40A43">
        <w:rPr>
          <w:rFonts w:asciiTheme="minorHAnsi" w:hAnsiTheme="minorHAnsi"/>
          <w:sz w:val="22"/>
          <w:szCs w:val="22"/>
        </w:rPr>
        <w:t xml:space="preserve">(PPP) </w:t>
      </w:r>
      <w:r w:rsidRPr="00F40A43">
        <w:rPr>
          <w:rFonts w:asciiTheme="minorHAnsi" w:hAnsiTheme="minorHAnsi"/>
          <w:sz w:val="22"/>
          <w:szCs w:val="22"/>
        </w:rPr>
        <w:t xml:space="preserve">Survey for all decision-makers across all </w:t>
      </w:r>
      <w:r w:rsidR="00AD132E" w:rsidRPr="00F40A43">
        <w:rPr>
          <w:rFonts w:asciiTheme="minorHAnsi" w:hAnsiTheme="minorHAnsi"/>
          <w:sz w:val="22"/>
          <w:szCs w:val="22"/>
        </w:rPr>
        <w:t xml:space="preserve">eight </w:t>
      </w:r>
      <w:r w:rsidRPr="00F40A43">
        <w:rPr>
          <w:rFonts w:asciiTheme="minorHAnsi" w:hAnsiTheme="minorHAnsi"/>
          <w:sz w:val="22"/>
          <w:szCs w:val="22"/>
        </w:rPr>
        <w:t>industries.</w:t>
      </w:r>
    </w:p>
    <w:p w14:paraId="5456BD6F" w14:textId="77777777" w:rsidR="00AF548B" w:rsidRDefault="00AF548B" w:rsidP="00AF548B">
      <w:pPr>
        <w:rPr>
          <w:rFonts w:asciiTheme="minorHAnsi" w:hAnsiTheme="minorHAnsi"/>
        </w:rPr>
      </w:pPr>
    </w:p>
    <w:p w14:paraId="2569B2BB" w14:textId="19AB4B36" w:rsidR="00AF548B" w:rsidRDefault="00AF548B" w:rsidP="00AF548B">
      <w:pPr>
        <w:rPr>
          <w:rFonts w:asciiTheme="minorHAnsi" w:hAnsiTheme="minorHAnsi"/>
          <w:b/>
          <w:u w:val="single"/>
        </w:rPr>
      </w:pPr>
      <w:r w:rsidRPr="00AF548B">
        <w:rPr>
          <w:rFonts w:asciiTheme="minorHAnsi" w:hAnsiTheme="minorHAnsi"/>
          <w:b/>
          <w:u w:val="single"/>
        </w:rPr>
        <w:t>Part A: Indust</w:t>
      </w:r>
      <w:r w:rsidR="00554529">
        <w:rPr>
          <w:rFonts w:asciiTheme="minorHAnsi" w:hAnsiTheme="minorHAnsi"/>
          <w:b/>
          <w:u w:val="single"/>
        </w:rPr>
        <w:t>ry-tailored interview campaigns</w:t>
      </w:r>
    </w:p>
    <w:p w14:paraId="23F28788" w14:textId="336A1721" w:rsidR="00F3231E" w:rsidRPr="00F40A43" w:rsidRDefault="00F3231E" w:rsidP="00AF548B">
      <w:pPr>
        <w:rPr>
          <w:rFonts w:asciiTheme="minorHAnsi" w:hAnsiTheme="minorHAnsi"/>
          <w:b/>
          <w:sz w:val="22"/>
          <w:szCs w:val="22"/>
        </w:rPr>
      </w:pPr>
      <w:r w:rsidRPr="00F40A43">
        <w:rPr>
          <w:rFonts w:asciiTheme="minorHAnsi" w:hAnsiTheme="minorHAnsi"/>
          <w:b/>
          <w:sz w:val="22"/>
          <w:szCs w:val="22"/>
        </w:rPr>
        <w:t xml:space="preserve">Respondent universe:  </w:t>
      </w:r>
      <w:r w:rsidRPr="00F40A43">
        <w:rPr>
          <w:rFonts w:asciiTheme="minorHAnsi" w:hAnsiTheme="minorHAnsi"/>
          <w:sz w:val="22"/>
          <w:szCs w:val="22"/>
        </w:rPr>
        <w:t xml:space="preserve">The </w:t>
      </w:r>
      <w:r w:rsidR="00AD132E" w:rsidRPr="00F40A43">
        <w:rPr>
          <w:rFonts w:asciiTheme="minorHAnsi" w:hAnsiTheme="minorHAnsi"/>
          <w:sz w:val="22"/>
          <w:szCs w:val="22"/>
        </w:rPr>
        <w:t xml:space="preserve">interview </w:t>
      </w:r>
      <w:r w:rsidRPr="00F40A43">
        <w:rPr>
          <w:rFonts w:asciiTheme="minorHAnsi" w:hAnsiTheme="minorHAnsi"/>
          <w:sz w:val="22"/>
          <w:szCs w:val="22"/>
        </w:rPr>
        <w:t xml:space="preserve">respondent universe consists of decision-makers </w:t>
      </w:r>
      <w:r w:rsidR="00AD132E" w:rsidRPr="00F40A43">
        <w:rPr>
          <w:rFonts w:asciiTheme="minorHAnsi" w:hAnsiTheme="minorHAnsi"/>
          <w:sz w:val="22"/>
          <w:szCs w:val="22"/>
        </w:rPr>
        <w:t xml:space="preserve">at organizations whose products, services, or activities could support public health emergency preparedness and response. The interviews will cover the following </w:t>
      </w:r>
      <w:r w:rsidR="0061186F" w:rsidRPr="00F40A43">
        <w:rPr>
          <w:rFonts w:asciiTheme="minorHAnsi" w:hAnsiTheme="minorHAnsi"/>
          <w:sz w:val="22"/>
          <w:szCs w:val="22"/>
        </w:rPr>
        <w:t xml:space="preserve">eight </w:t>
      </w:r>
      <w:r w:rsidR="00AD132E" w:rsidRPr="00F40A43">
        <w:rPr>
          <w:rFonts w:asciiTheme="minorHAnsi" w:hAnsiTheme="minorHAnsi"/>
          <w:sz w:val="22"/>
          <w:szCs w:val="22"/>
        </w:rPr>
        <w:t>sectors:</w:t>
      </w:r>
      <w:r w:rsidRPr="00F40A43">
        <w:rPr>
          <w:rFonts w:asciiTheme="minorHAnsi" w:hAnsiTheme="minorHAnsi"/>
          <w:sz w:val="22"/>
          <w:szCs w:val="22"/>
        </w:rPr>
        <w:t xml:space="preserve"> </w:t>
      </w:r>
      <w:r w:rsidR="008D65E8" w:rsidRPr="00F40A43">
        <w:rPr>
          <w:rFonts w:asciiTheme="minorHAnsi" w:hAnsiTheme="minorHAnsi"/>
          <w:sz w:val="22"/>
          <w:szCs w:val="22"/>
        </w:rPr>
        <w:t xml:space="preserve">1) </w:t>
      </w:r>
      <w:r w:rsidR="00CD298D" w:rsidRPr="00F40A43">
        <w:rPr>
          <w:rFonts w:asciiTheme="minorHAnsi" w:hAnsiTheme="minorHAnsi"/>
          <w:sz w:val="22"/>
          <w:szCs w:val="22"/>
        </w:rPr>
        <w:t>pharmaceutical/life sciences, 2) health IT/mobile, 3) retailers/distributors, 4) academia/research organization</w:t>
      </w:r>
      <w:r w:rsidR="0061186F" w:rsidRPr="00F40A43">
        <w:rPr>
          <w:rFonts w:asciiTheme="minorHAnsi" w:hAnsiTheme="minorHAnsi"/>
          <w:sz w:val="22"/>
          <w:szCs w:val="22"/>
        </w:rPr>
        <w:t>s</w:t>
      </w:r>
      <w:r w:rsidR="00CD298D" w:rsidRPr="00F40A43">
        <w:rPr>
          <w:rFonts w:asciiTheme="minorHAnsi" w:hAnsiTheme="minorHAnsi"/>
          <w:sz w:val="22"/>
          <w:szCs w:val="22"/>
        </w:rPr>
        <w:t>, 5) hospital</w:t>
      </w:r>
      <w:r w:rsidR="0061186F" w:rsidRPr="00F40A43">
        <w:rPr>
          <w:rFonts w:asciiTheme="minorHAnsi" w:hAnsiTheme="minorHAnsi"/>
          <w:sz w:val="22"/>
          <w:szCs w:val="22"/>
        </w:rPr>
        <w:t>s</w:t>
      </w:r>
      <w:r w:rsidR="00CD298D" w:rsidRPr="00F40A43">
        <w:rPr>
          <w:rFonts w:asciiTheme="minorHAnsi" w:hAnsiTheme="minorHAnsi"/>
          <w:sz w:val="22"/>
          <w:szCs w:val="22"/>
        </w:rPr>
        <w:t>/healthcare provider</w:t>
      </w:r>
      <w:r w:rsidR="0061186F" w:rsidRPr="00F40A43">
        <w:rPr>
          <w:rFonts w:asciiTheme="minorHAnsi" w:hAnsiTheme="minorHAnsi"/>
          <w:sz w:val="22"/>
          <w:szCs w:val="22"/>
        </w:rPr>
        <w:t>s</w:t>
      </w:r>
      <w:r w:rsidR="00CD298D" w:rsidRPr="00F40A43">
        <w:rPr>
          <w:rFonts w:asciiTheme="minorHAnsi" w:hAnsiTheme="minorHAnsi"/>
          <w:sz w:val="22"/>
          <w:szCs w:val="22"/>
        </w:rPr>
        <w:t>, 6) health insurance, 7) logistics/transportation, and 8) charitable organization</w:t>
      </w:r>
      <w:r w:rsidR="0061186F" w:rsidRPr="00F40A43">
        <w:rPr>
          <w:rFonts w:asciiTheme="minorHAnsi" w:hAnsiTheme="minorHAnsi"/>
          <w:sz w:val="22"/>
          <w:szCs w:val="22"/>
        </w:rPr>
        <w:t>s</w:t>
      </w:r>
      <w:r w:rsidR="00CD298D" w:rsidRPr="00F40A43">
        <w:rPr>
          <w:rFonts w:asciiTheme="minorHAnsi" w:hAnsiTheme="minorHAnsi"/>
          <w:sz w:val="22"/>
          <w:szCs w:val="22"/>
        </w:rPr>
        <w:t>/foundation</w:t>
      </w:r>
      <w:r w:rsidR="0061186F" w:rsidRPr="00F40A43">
        <w:rPr>
          <w:rFonts w:asciiTheme="minorHAnsi" w:hAnsiTheme="minorHAnsi"/>
          <w:sz w:val="22"/>
          <w:szCs w:val="22"/>
        </w:rPr>
        <w:t>s</w:t>
      </w:r>
      <w:r w:rsidRPr="00F40A43">
        <w:rPr>
          <w:rFonts w:asciiTheme="minorHAnsi" w:hAnsiTheme="minorHAnsi"/>
          <w:sz w:val="22"/>
          <w:szCs w:val="22"/>
        </w:rPr>
        <w:t>.</w:t>
      </w:r>
    </w:p>
    <w:p w14:paraId="2A463DDB" w14:textId="77777777" w:rsidR="00F3231E" w:rsidRPr="00F40A43" w:rsidRDefault="00F3231E" w:rsidP="00AF548B">
      <w:pPr>
        <w:rPr>
          <w:rFonts w:asciiTheme="minorHAnsi" w:hAnsiTheme="minorHAnsi"/>
          <w:b/>
          <w:sz w:val="22"/>
          <w:szCs w:val="22"/>
          <w:u w:val="single"/>
        </w:rPr>
      </w:pPr>
    </w:p>
    <w:p w14:paraId="075A6191" w14:textId="18EAE5A2" w:rsidR="00CB2E79" w:rsidRPr="00F40A43" w:rsidRDefault="00CB2E79" w:rsidP="00AF548B">
      <w:pPr>
        <w:rPr>
          <w:rFonts w:asciiTheme="minorHAnsi" w:hAnsiTheme="minorHAnsi"/>
          <w:sz w:val="22"/>
          <w:szCs w:val="22"/>
        </w:rPr>
      </w:pPr>
      <w:r w:rsidRPr="00F40A43">
        <w:rPr>
          <w:rFonts w:asciiTheme="minorHAnsi" w:hAnsiTheme="minorHAnsi"/>
          <w:b/>
          <w:sz w:val="22"/>
          <w:szCs w:val="22"/>
        </w:rPr>
        <w:t>Recruitment</w:t>
      </w:r>
      <w:r w:rsidR="00F3231E" w:rsidRPr="00F40A43">
        <w:rPr>
          <w:rFonts w:asciiTheme="minorHAnsi" w:hAnsiTheme="minorHAnsi"/>
          <w:b/>
          <w:sz w:val="22"/>
          <w:szCs w:val="22"/>
        </w:rPr>
        <w:t xml:space="preserve">: </w:t>
      </w:r>
      <w:r w:rsidR="00AD132E" w:rsidRPr="00F40A43">
        <w:rPr>
          <w:rFonts w:asciiTheme="minorHAnsi" w:hAnsiTheme="minorHAnsi"/>
          <w:sz w:val="22"/>
          <w:szCs w:val="22"/>
        </w:rPr>
        <w:t>A key informant and snowballing sampling strategy will be used to identify potential respondents for the interview campaign. The research team will identify decision</w:t>
      </w:r>
      <w:r w:rsidR="00122180">
        <w:rPr>
          <w:rFonts w:asciiTheme="minorHAnsi" w:hAnsiTheme="minorHAnsi"/>
          <w:sz w:val="22"/>
          <w:szCs w:val="22"/>
        </w:rPr>
        <w:t>-</w:t>
      </w:r>
      <w:r w:rsidR="00AD132E" w:rsidRPr="00F40A43">
        <w:rPr>
          <w:rFonts w:asciiTheme="minorHAnsi" w:hAnsiTheme="minorHAnsi"/>
          <w:sz w:val="22"/>
          <w:szCs w:val="22"/>
        </w:rPr>
        <w:t xml:space="preserve">makers in the varied industry sectors </w:t>
      </w:r>
      <w:r w:rsidR="00287EA6">
        <w:rPr>
          <w:rFonts w:asciiTheme="minorHAnsi" w:hAnsiTheme="minorHAnsi"/>
          <w:sz w:val="22"/>
          <w:szCs w:val="22"/>
        </w:rPr>
        <w:t>by leveraging</w:t>
      </w:r>
      <w:r w:rsidR="00122180">
        <w:rPr>
          <w:rFonts w:asciiTheme="minorHAnsi" w:hAnsiTheme="minorHAnsi"/>
          <w:sz w:val="22"/>
          <w:szCs w:val="22"/>
        </w:rPr>
        <w:t xml:space="preserve"> </w:t>
      </w:r>
      <w:r w:rsidR="00287EA6">
        <w:rPr>
          <w:rFonts w:asciiTheme="minorHAnsi" w:hAnsiTheme="minorHAnsi"/>
          <w:sz w:val="22"/>
          <w:szCs w:val="22"/>
        </w:rPr>
        <w:t xml:space="preserve">existing </w:t>
      </w:r>
      <w:r w:rsidR="00AD132E" w:rsidRPr="00F40A43">
        <w:rPr>
          <w:rFonts w:asciiTheme="minorHAnsi" w:hAnsiTheme="minorHAnsi"/>
          <w:sz w:val="22"/>
          <w:szCs w:val="22"/>
        </w:rPr>
        <w:t>contacts, networks, and relationships</w:t>
      </w:r>
      <w:r w:rsidR="00122180">
        <w:rPr>
          <w:rFonts w:asciiTheme="minorHAnsi" w:hAnsiTheme="minorHAnsi"/>
          <w:sz w:val="22"/>
          <w:szCs w:val="22"/>
        </w:rPr>
        <w:t xml:space="preserve"> </w:t>
      </w:r>
      <w:r w:rsidR="00287EA6">
        <w:rPr>
          <w:rFonts w:asciiTheme="minorHAnsi" w:hAnsiTheme="minorHAnsi"/>
          <w:sz w:val="22"/>
          <w:szCs w:val="22"/>
        </w:rPr>
        <w:t>that have been established by individuals working throughout PwC’s Advisory practice</w:t>
      </w:r>
      <w:r w:rsidR="00AD132E" w:rsidRPr="00F40A43">
        <w:rPr>
          <w:rFonts w:asciiTheme="minorHAnsi" w:hAnsiTheme="minorHAnsi"/>
          <w:sz w:val="22"/>
          <w:szCs w:val="22"/>
        </w:rPr>
        <w:t>. Each potential respondent will be sent an e-mail that provides details about the study and the data collection procedure itself (</w:t>
      </w:r>
      <w:r w:rsidR="00AD132E" w:rsidRPr="00F40A43">
        <w:rPr>
          <w:rFonts w:asciiTheme="minorHAnsi" w:hAnsiTheme="minorHAnsi"/>
          <w:b/>
          <w:sz w:val="22"/>
          <w:szCs w:val="22"/>
        </w:rPr>
        <w:t>Attachment E – Recruitment E-mail for Potential Interview Participants</w:t>
      </w:r>
      <w:r w:rsidR="00AD132E" w:rsidRPr="00F40A43">
        <w:rPr>
          <w:rFonts w:asciiTheme="minorHAnsi" w:hAnsiTheme="minorHAnsi"/>
          <w:sz w:val="22"/>
          <w:szCs w:val="22"/>
        </w:rPr>
        <w:t>). The information collected during interviews will be substantively different based on each individual’s unique job, organization, and industry.</w:t>
      </w:r>
    </w:p>
    <w:p w14:paraId="7239804D" w14:textId="77777777" w:rsidR="00CB2E79" w:rsidRPr="00F40A43" w:rsidRDefault="00CB2E79" w:rsidP="00AF548B">
      <w:pPr>
        <w:rPr>
          <w:rFonts w:asciiTheme="minorHAnsi" w:hAnsiTheme="minorHAnsi"/>
          <w:sz w:val="22"/>
          <w:szCs w:val="22"/>
        </w:rPr>
      </w:pPr>
    </w:p>
    <w:p w14:paraId="3A6789EC" w14:textId="77777777" w:rsidR="0061186F" w:rsidRPr="00F40A43" w:rsidRDefault="00CB2E79" w:rsidP="00AF548B">
      <w:pPr>
        <w:rPr>
          <w:rFonts w:asciiTheme="minorHAnsi" w:hAnsiTheme="minorHAnsi"/>
          <w:sz w:val="22"/>
          <w:szCs w:val="22"/>
        </w:rPr>
      </w:pPr>
      <w:r w:rsidRPr="00F40A43">
        <w:rPr>
          <w:rFonts w:asciiTheme="minorHAnsi" w:hAnsiTheme="minorHAnsi"/>
          <w:b/>
          <w:sz w:val="22"/>
          <w:szCs w:val="22"/>
        </w:rPr>
        <w:t xml:space="preserve">Sample size: </w:t>
      </w:r>
      <w:r w:rsidRPr="00F40A43">
        <w:rPr>
          <w:rFonts w:asciiTheme="minorHAnsi" w:hAnsiTheme="minorHAnsi"/>
          <w:sz w:val="22"/>
          <w:szCs w:val="22"/>
        </w:rPr>
        <w:t>Multiple interviews with individuals from each sector will provide the research team with a richer and more holistic illustration of how each industry views</w:t>
      </w:r>
      <w:r w:rsidR="0061186F" w:rsidRPr="00F40A43">
        <w:rPr>
          <w:rFonts w:asciiTheme="minorHAnsi" w:hAnsiTheme="minorHAnsi"/>
          <w:sz w:val="22"/>
          <w:szCs w:val="22"/>
        </w:rPr>
        <w:t xml:space="preserve"> PPPs </w:t>
      </w:r>
      <w:r w:rsidRPr="00F40A43">
        <w:rPr>
          <w:rFonts w:asciiTheme="minorHAnsi" w:hAnsiTheme="minorHAnsi"/>
          <w:sz w:val="22"/>
          <w:szCs w:val="22"/>
        </w:rPr>
        <w:t>in the PHPR space.</w:t>
      </w:r>
      <w:r w:rsidR="00037FD8" w:rsidRPr="00F40A43">
        <w:rPr>
          <w:rFonts w:asciiTheme="minorHAnsi" w:hAnsiTheme="minorHAnsi"/>
          <w:sz w:val="22"/>
          <w:szCs w:val="22"/>
        </w:rPr>
        <w:t xml:space="preserve">  </w:t>
      </w:r>
      <w:r w:rsidR="00B34438" w:rsidRPr="00F40A43">
        <w:rPr>
          <w:rFonts w:asciiTheme="minorHAnsi" w:hAnsiTheme="minorHAnsi"/>
          <w:sz w:val="22"/>
          <w:szCs w:val="22"/>
        </w:rPr>
        <w:t xml:space="preserve">Approximately 45 interviews will be conducted overall.  </w:t>
      </w:r>
      <w:r w:rsidR="008D65E8" w:rsidRPr="00F40A43">
        <w:rPr>
          <w:rFonts w:asciiTheme="minorHAnsi" w:hAnsiTheme="minorHAnsi"/>
          <w:sz w:val="22"/>
          <w:szCs w:val="22"/>
        </w:rPr>
        <w:t>The targeted number of interview respondents by organization type are</w:t>
      </w:r>
      <w:r w:rsidR="0061186F" w:rsidRPr="00F40A43">
        <w:rPr>
          <w:rFonts w:asciiTheme="minorHAnsi" w:hAnsiTheme="minorHAnsi"/>
          <w:sz w:val="22"/>
          <w:szCs w:val="22"/>
        </w:rPr>
        <w:t xml:space="preserve"> listed below.</w:t>
      </w:r>
    </w:p>
    <w:p w14:paraId="7A0BA8A6" w14:textId="77777777" w:rsidR="0061186F" w:rsidRPr="00A774A8" w:rsidRDefault="0061186F" w:rsidP="0061186F">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495"/>
        <w:gridCol w:w="2250"/>
      </w:tblGrid>
      <w:tr w:rsidR="0061186F" w:rsidRPr="00F40A43" w14:paraId="59C388E0" w14:textId="77777777" w:rsidTr="0061186F">
        <w:trPr>
          <w:trHeight w:val="422"/>
        </w:trPr>
        <w:tc>
          <w:tcPr>
            <w:tcW w:w="4495" w:type="dxa"/>
            <w:shd w:val="clear" w:color="auto" w:fill="auto"/>
            <w:vAlign w:val="center"/>
          </w:tcPr>
          <w:p w14:paraId="2C51D421" w14:textId="77777777" w:rsidR="0061186F" w:rsidRPr="00F40A43" w:rsidRDefault="0061186F" w:rsidP="00464C33">
            <w:pPr>
              <w:rPr>
                <w:rFonts w:asciiTheme="minorHAnsi" w:hAnsiTheme="minorHAnsi"/>
                <w:b/>
                <w:iCs/>
                <w:sz w:val="22"/>
                <w:szCs w:val="22"/>
              </w:rPr>
            </w:pPr>
            <w:r w:rsidRPr="00F40A43">
              <w:rPr>
                <w:rFonts w:asciiTheme="minorHAnsi" w:hAnsiTheme="minorHAnsi"/>
                <w:b/>
                <w:iCs/>
                <w:sz w:val="22"/>
                <w:szCs w:val="22"/>
              </w:rPr>
              <w:t>Industry</w:t>
            </w:r>
          </w:p>
        </w:tc>
        <w:tc>
          <w:tcPr>
            <w:tcW w:w="2250" w:type="dxa"/>
            <w:shd w:val="clear" w:color="auto" w:fill="auto"/>
            <w:vAlign w:val="center"/>
          </w:tcPr>
          <w:p w14:paraId="5A43B826" w14:textId="3974A3C7" w:rsidR="0061186F" w:rsidRPr="00F40A43" w:rsidRDefault="0061186F" w:rsidP="00464C33">
            <w:pPr>
              <w:jc w:val="center"/>
              <w:rPr>
                <w:rFonts w:asciiTheme="minorHAnsi" w:hAnsiTheme="minorHAnsi"/>
                <w:b/>
                <w:iCs/>
                <w:sz w:val="22"/>
                <w:szCs w:val="22"/>
              </w:rPr>
            </w:pPr>
            <w:r w:rsidRPr="00F40A43">
              <w:rPr>
                <w:rFonts w:asciiTheme="minorHAnsi" w:hAnsiTheme="minorHAnsi"/>
                <w:b/>
                <w:iCs/>
                <w:sz w:val="22"/>
                <w:szCs w:val="22"/>
              </w:rPr>
              <w:t>Target Sample Size</w:t>
            </w:r>
          </w:p>
        </w:tc>
      </w:tr>
      <w:tr w:rsidR="0061186F" w:rsidRPr="00F40A43" w14:paraId="1421B359" w14:textId="77777777" w:rsidTr="0061186F">
        <w:trPr>
          <w:trHeight w:val="242"/>
        </w:trPr>
        <w:tc>
          <w:tcPr>
            <w:tcW w:w="4495" w:type="dxa"/>
            <w:shd w:val="clear" w:color="auto" w:fill="auto"/>
          </w:tcPr>
          <w:p w14:paraId="3D66EABE" w14:textId="77777777" w:rsidR="0061186F" w:rsidRPr="00F40A43" w:rsidRDefault="0061186F" w:rsidP="00464C33">
            <w:pPr>
              <w:rPr>
                <w:rFonts w:asciiTheme="minorHAnsi" w:hAnsiTheme="minorHAnsi"/>
                <w:iCs/>
                <w:sz w:val="22"/>
                <w:szCs w:val="22"/>
              </w:rPr>
            </w:pPr>
            <w:r w:rsidRPr="00F40A43">
              <w:rPr>
                <w:rFonts w:asciiTheme="minorHAnsi" w:hAnsiTheme="minorHAnsi"/>
                <w:sz w:val="22"/>
                <w:szCs w:val="22"/>
              </w:rPr>
              <w:t xml:space="preserve">(1) Pharmaceutical / Life Sciences </w:t>
            </w:r>
          </w:p>
        </w:tc>
        <w:tc>
          <w:tcPr>
            <w:tcW w:w="2250" w:type="dxa"/>
            <w:shd w:val="clear" w:color="auto" w:fill="auto"/>
          </w:tcPr>
          <w:p w14:paraId="30484E0C" w14:textId="67AE26FB" w:rsidR="0061186F" w:rsidRPr="00F40A43" w:rsidRDefault="0061186F" w:rsidP="00464C33">
            <w:pPr>
              <w:jc w:val="center"/>
              <w:rPr>
                <w:rFonts w:asciiTheme="minorHAnsi" w:hAnsiTheme="minorHAnsi"/>
                <w:iCs/>
                <w:sz w:val="22"/>
                <w:szCs w:val="22"/>
              </w:rPr>
            </w:pPr>
            <w:r w:rsidRPr="00F40A43">
              <w:rPr>
                <w:rFonts w:asciiTheme="minorHAnsi" w:hAnsiTheme="minorHAnsi"/>
                <w:iCs/>
                <w:sz w:val="22"/>
                <w:szCs w:val="22"/>
              </w:rPr>
              <w:t>8</w:t>
            </w:r>
          </w:p>
        </w:tc>
      </w:tr>
      <w:tr w:rsidR="0061186F" w:rsidRPr="00F40A43" w14:paraId="1A4793C6" w14:textId="77777777" w:rsidTr="0061186F">
        <w:tc>
          <w:tcPr>
            <w:tcW w:w="4495" w:type="dxa"/>
            <w:shd w:val="clear" w:color="auto" w:fill="auto"/>
          </w:tcPr>
          <w:p w14:paraId="6BEA0976" w14:textId="77777777" w:rsidR="0061186F" w:rsidRPr="00F40A43" w:rsidRDefault="0061186F" w:rsidP="00464C33">
            <w:pPr>
              <w:rPr>
                <w:rFonts w:asciiTheme="minorHAnsi" w:hAnsiTheme="minorHAnsi"/>
                <w:iCs/>
                <w:sz w:val="22"/>
                <w:szCs w:val="22"/>
              </w:rPr>
            </w:pPr>
            <w:r w:rsidRPr="00F40A43">
              <w:rPr>
                <w:rFonts w:asciiTheme="minorHAnsi" w:hAnsiTheme="minorHAnsi"/>
                <w:sz w:val="22"/>
                <w:szCs w:val="22"/>
              </w:rPr>
              <w:t>(2) Health IT / Mobile</w:t>
            </w:r>
          </w:p>
        </w:tc>
        <w:tc>
          <w:tcPr>
            <w:tcW w:w="2250" w:type="dxa"/>
            <w:shd w:val="clear" w:color="auto" w:fill="auto"/>
          </w:tcPr>
          <w:p w14:paraId="0C79F38C" w14:textId="515A805F" w:rsidR="0061186F" w:rsidRPr="00F40A43" w:rsidRDefault="0061186F" w:rsidP="00464C33">
            <w:pPr>
              <w:jc w:val="center"/>
              <w:rPr>
                <w:rFonts w:asciiTheme="minorHAnsi" w:hAnsiTheme="minorHAnsi"/>
                <w:iCs/>
                <w:sz w:val="22"/>
                <w:szCs w:val="22"/>
              </w:rPr>
            </w:pPr>
            <w:r w:rsidRPr="00F40A43">
              <w:rPr>
                <w:rFonts w:asciiTheme="minorHAnsi" w:hAnsiTheme="minorHAnsi"/>
                <w:iCs/>
                <w:sz w:val="22"/>
                <w:szCs w:val="22"/>
              </w:rPr>
              <w:t>8</w:t>
            </w:r>
          </w:p>
        </w:tc>
      </w:tr>
      <w:tr w:rsidR="0061186F" w:rsidRPr="00F40A43" w14:paraId="41D33CFF" w14:textId="77777777" w:rsidTr="0061186F">
        <w:tc>
          <w:tcPr>
            <w:tcW w:w="4495" w:type="dxa"/>
            <w:shd w:val="clear" w:color="auto" w:fill="auto"/>
          </w:tcPr>
          <w:p w14:paraId="46FCDE88" w14:textId="77777777" w:rsidR="0061186F" w:rsidRPr="00F40A43" w:rsidRDefault="0061186F" w:rsidP="00464C33">
            <w:pPr>
              <w:rPr>
                <w:rFonts w:asciiTheme="minorHAnsi" w:hAnsiTheme="minorHAnsi"/>
                <w:iCs/>
                <w:sz w:val="22"/>
                <w:szCs w:val="22"/>
              </w:rPr>
            </w:pPr>
            <w:r w:rsidRPr="00F40A43">
              <w:rPr>
                <w:rFonts w:asciiTheme="minorHAnsi" w:hAnsiTheme="minorHAnsi"/>
                <w:sz w:val="22"/>
                <w:szCs w:val="22"/>
              </w:rPr>
              <w:t>(3) Retailers  / Distributors</w:t>
            </w:r>
          </w:p>
        </w:tc>
        <w:tc>
          <w:tcPr>
            <w:tcW w:w="2250" w:type="dxa"/>
            <w:shd w:val="clear" w:color="auto" w:fill="auto"/>
          </w:tcPr>
          <w:p w14:paraId="6DF1EBCF" w14:textId="2BDD542F" w:rsidR="0061186F" w:rsidRPr="00F40A43" w:rsidRDefault="0061186F" w:rsidP="00464C33">
            <w:pPr>
              <w:jc w:val="center"/>
              <w:rPr>
                <w:rFonts w:asciiTheme="minorHAnsi" w:hAnsiTheme="minorHAnsi"/>
                <w:iCs/>
                <w:sz w:val="22"/>
                <w:szCs w:val="22"/>
              </w:rPr>
            </w:pPr>
            <w:r w:rsidRPr="00F40A43">
              <w:rPr>
                <w:rFonts w:asciiTheme="minorHAnsi" w:hAnsiTheme="minorHAnsi"/>
                <w:iCs/>
                <w:sz w:val="22"/>
                <w:szCs w:val="22"/>
              </w:rPr>
              <w:t>6</w:t>
            </w:r>
          </w:p>
        </w:tc>
      </w:tr>
      <w:tr w:rsidR="0061186F" w:rsidRPr="00F40A43" w14:paraId="7D8B34D2" w14:textId="77777777" w:rsidTr="0061186F">
        <w:tc>
          <w:tcPr>
            <w:tcW w:w="4495" w:type="dxa"/>
            <w:shd w:val="clear" w:color="auto" w:fill="auto"/>
          </w:tcPr>
          <w:p w14:paraId="5FD7E65D" w14:textId="12C4B581" w:rsidR="0061186F" w:rsidRPr="00F40A43" w:rsidRDefault="0061186F" w:rsidP="00464C33">
            <w:pPr>
              <w:rPr>
                <w:rFonts w:asciiTheme="minorHAnsi" w:hAnsiTheme="minorHAnsi"/>
                <w:iCs/>
                <w:sz w:val="22"/>
                <w:szCs w:val="22"/>
              </w:rPr>
            </w:pPr>
            <w:r w:rsidRPr="00F40A43">
              <w:rPr>
                <w:rFonts w:asciiTheme="minorHAnsi" w:hAnsiTheme="minorHAnsi"/>
                <w:sz w:val="22"/>
                <w:szCs w:val="22"/>
              </w:rPr>
              <w:t>(4) Academia / Research Organizations</w:t>
            </w:r>
          </w:p>
        </w:tc>
        <w:tc>
          <w:tcPr>
            <w:tcW w:w="2250" w:type="dxa"/>
            <w:shd w:val="clear" w:color="auto" w:fill="auto"/>
          </w:tcPr>
          <w:p w14:paraId="78AD74EB" w14:textId="687A1146" w:rsidR="0061186F" w:rsidRPr="00F40A43" w:rsidRDefault="0061186F" w:rsidP="00464C33">
            <w:pPr>
              <w:jc w:val="center"/>
              <w:rPr>
                <w:rFonts w:asciiTheme="minorHAnsi" w:hAnsiTheme="minorHAnsi"/>
                <w:iCs/>
                <w:sz w:val="22"/>
                <w:szCs w:val="22"/>
              </w:rPr>
            </w:pPr>
            <w:r w:rsidRPr="00F40A43">
              <w:rPr>
                <w:rFonts w:asciiTheme="minorHAnsi" w:hAnsiTheme="minorHAnsi"/>
                <w:iCs/>
                <w:sz w:val="22"/>
                <w:szCs w:val="22"/>
              </w:rPr>
              <w:t>6</w:t>
            </w:r>
          </w:p>
        </w:tc>
      </w:tr>
      <w:tr w:rsidR="0061186F" w:rsidRPr="00F40A43" w14:paraId="5564EAA2" w14:textId="77777777" w:rsidTr="0061186F">
        <w:tc>
          <w:tcPr>
            <w:tcW w:w="4495" w:type="dxa"/>
            <w:shd w:val="clear" w:color="auto" w:fill="auto"/>
          </w:tcPr>
          <w:p w14:paraId="607650E0" w14:textId="2D586B27" w:rsidR="0061186F" w:rsidRPr="00F40A43" w:rsidRDefault="0061186F" w:rsidP="00464C33">
            <w:pPr>
              <w:rPr>
                <w:rFonts w:asciiTheme="minorHAnsi" w:hAnsiTheme="minorHAnsi"/>
                <w:iCs/>
                <w:sz w:val="22"/>
                <w:szCs w:val="22"/>
              </w:rPr>
            </w:pPr>
            <w:r w:rsidRPr="00F40A43">
              <w:rPr>
                <w:rFonts w:asciiTheme="minorHAnsi" w:hAnsiTheme="minorHAnsi"/>
                <w:sz w:val="22"/>
                <w:szCs w:val="22"/>
              </w:rPr>
              <w:t>(5) Hospitals / Healthcare Providers</w:t>
            </w:r>
          </w:p>
        </w:tc>
        <w:tc>
          <w:tcPr>
            <w:tcW w:w="2250" w:type="dxa"/>
            <w:shd w:val="clear" w:color="auto" w:fill="auto"/>
          </w:tcPr>
          <w:p w14:paraId="3609937E" w14:textId="418F1DD4" w:rsidR="0061186F" w:rsidRPr="00F40A43" w:rsidRDefault="0061186F" w:rsidP="00464C33">
            <w:pPr>
              <w:jc w:val="center"/>
              <w:rPr>
                <w:rFonts w:asciiTheme="minorHAnsi" w:hAnsiTheme="minorHAnsi"/>
                <w:iCs/>
                <w:sz w:val="22"/>
                <w:szCs w:val="22"/>
              </w:rPr>
            </w:pPr>
            <w:r w:rsidRPr="00F40A43">
              <w:rPr>
                <w:rFonts w:asciiTheme="minorHAnsi" w:hAnsiTheme="minorHAnsi"/>
                <w:iCs/>
                <w:sz w:val="22"/>
                <w:szCs w:val="22"/>
              </w:rPr>
              <w:t>5</w:t>
            </w:r>
          </w:p>
        </w:tc>
      </w:tr>
      <w:tr w:rsidR="0061186F" w:rsidRPr="00F40A43" w14:paraId="44B2F2A9" w14:textId="77777777" w:rsidTr="0061186F">
        <w:tc>
          <w:tcPr>
            <w:tcW w:w="4495" w:type="dxa"/>
            <w:shd w:val="clear" w:color="auto" w:fill="auto"/>
          </w:tcPr>
          <w:p w14:paraId="1B8A1D60" w14:textId="77777777" w:rsidR="0061186F" w:rsidRPr="00F40A43" w:rsidRDefault="0061186F" w:rsidP="00464C33">
            <w:pPr>
              <w:rPr>
                <w:rFonts w:asciiTheme="minorHAnsi" w:hAnsiTheme="minorHAnsi"/>
                <w:iCs/>
                <w:sz w:val="22"/>
                <w:szCs w:val="22"/>
              </w:rPr>
            </w:pPr>
            <w:r w:rsidRPr="00F40A43">
              <w:rPr>
                <w:rFonts w:asciiTheme="minorHAnsi" w:hAnsiTheme="minorHAnsi"/>
                <w:sz w:val="22"/>
                <w:szCs w:val="22"/>
              </w:rPr>
              <w:t>(6) Health Insurance</w:t>
            </w:r>
          </w:p>
        </w:tc>
        <w:tc>
          <w:tcPr>
            <w:tcW w:w="2250" w:type="dxa"/>
            <w:shd w:val="clear" w:color="auto" w:fill="auto"/>
          </w:tcPr>
          <w:p w14:paraId="1C959B28" w14:textId="606C9968" w:rsidR="0061186F" w:rsidRPr="00F40A43" w:rsidRDefault="0061186F" w:rsidP="00464C33">
            <w:pPr>
              <w:jc w:val="center"/>
              <w:rPr>
                <w:rFonts w:asciiTheme="minorHAnsi" w:hAnsiTheme="minorHAnsi"/>
                <w:iCs/>
                <w:sz w:val="22"/>
                <w:szCs w:val="22"/>
              </w:rPr>
            </w:pPr>
            <w:r w:rsidRPr="00F40A43">
              <w:rPr>
                <w:rFonts w:asciiTheme="minorHAnsi" w:hAnsiTheme="minorHAnsi"/>
                <w:iCs/>
                <w:sz w:val="22"/>
                <w:szCs w:val="22"/>
              </w:rPr>
              <w:t>4</w:t>
            </w:r>
          </w:p>
        </w:tc>
      </w:tr>
      <w:tr w:rsidR="0061186F" w:rsidRPr="00F40A43" w14:paraId="1D20AF63" w14:textId="77777777" w:rsidTr="0061186F">
        <w:tc>
          <w:tcPr>
            <w:tcW w:w="4495" w:type="dxa"/>
            <w:shd w:val="clear" w:color="auto" w:fill="auto"/>
          </w:tcPr>
          <w:p w14:paraId="20141D01" w14:textId="77777777" w:rsidR="0061186F" w:rsidRPr="00F40A43" w:rsidRDefault="0061186F" w:rsidP="00464C33">
            <w:pPr>
              <w:rPr>
                <w:rFonts w:asciiTheme="minorHAnsi" w:hAnsiTheme="minorHAnsi"/>
                <w:iCs/>
                <w:sz w:val="22"/>
                <w:szCs w:val="22"/>
              </w:rPr>
            </w:pPr>
            <w:r w:rsidRPr="00F40A43">
              <w:rPr>
                <w:rFonts w:asciiTheme="minorHAnsi" w:hAnsiTheme="minorHAnsi"/>
                <w:sz w:val="22"/>
                <w:szCs w:val="22"/>
              </w:rPr>
              <w:t>(7) Logistics / Transportation</w:t>
            </w:r>
          </w:p>
        </w:tc>
        <w:tc>
          <w:tcPr>
            <w:tcW w:w="2250" w:type="dxa"/>
            <w:shd w:val="clear" w:color="auto" w:fill="auto"/>
          </w:tcPr>
          <w:p w14:paraId="3EA98083" w14:textId="3A288B86" w:rsidR="0061186F" w:rsidRPr="00F40A43" w:rsidRDefault="0061186F" w:rsidP="00464C33">
            <w:pPr>
              <w:jc w:val="center"/>
              <w:rPr>
                <w:rFonts w:asciiTheme="minorHAnsi" w:hAnsiTheme="minorHAnsi"/>
                <w:iCs/>
                <w:sz w:val="22"/>
                <w:szCs w:val="22"/>
              </w:rPr>
            </w:pPr>
            <w:r w:rsidRPr="00F40A43">
              <w:rPr>
                <w:rFonts w:asciiTheme="minorHAnsi" w:hAnsiTheme="minorHAnsi"/>
                <w:iCs/>
                <w:sz w:val="22"/>
                <w:szCs w:val="22"/>
              </w:rPr>
              <w:t>4</w:t>
            </w:r>
          </w:p>
        </w:tc>
      </w:tr>
      <w:tr w:rsidR="0061186F" w:rsidRPr="00F40A43" w14:paraId="7C789C67" w14:textId="77777777" w:rsidTr="0061186F">
        <w:tc>
          <w:tcPr>
            <w:tcW w:w="4495" w:type="dxa"/>
            <w:shd w:val="clear" w:color="auto" w:fill="auto"/>
          </w:tcPr>
          <w:p w14:paraId="09F53219" w14:textId="6AEE8B15" w:rsidR="0061186F" w:rsidRPr="00F40A43" w:rsidRDefault="0061186F" w:rsidP="00464C33">
            <w:pPr>
              <w:rPr>
                <w:rFonts w:asciiTheme="minorHAnsi" w:hAnsiTheme="minorHAnsi"/>
                <w:iCs/>
                <w:sz w:val="22"/>
                <w:szCs w:val="22"/>
              </w:rPr>
            </w:pPr>
            <w:r w:rsidRPr="00F40A43">
              <w:rPr>
                <w:rFonts w:asciiTheme="minorHAnsi" w:hAnsiTheme="minorHAnsi"/>
                <w:sz w:val="22"/>
                <w:szCs w:val="22"/>
              </w:rPr>
              <w:t>(8) Charitable Organizations / Foundations</w:t>
            </w:r>
          </w:p>
        </w:tc>
        <w:tc>
          <w:tcPr>
            <w:tcW w:w="2250" w:type="dxa"/>
            <w:shd w:val="clear" w:color="auto" w:fill="auto"/>
          </w:tcPr>
          <w:p w14:paraId="1E8FA75A" w14:textId="2607C2B1" w:rsidR="0061186F" w:rsidRPr="00F40A43" w:rsidRDefault="0061186F" w:rsidP="00464C33">
            <w:pPr>
              <w:jc w:val="center"/>
              <w:rPr>
                <w:rFonts w:asciiTheme="minorHAnsi" w:hAnsiTheme="minorHAnsi"/>
                <w:iCs/>
                <w:sz w:val="22"/>
                <w:szCs w:val="22"/>
              </w:rPr>
            </w:pPr>
            <w:r w:rsidRPr="00F40A43">
              <w:rPr>
                <w:rFonts w:asciiTheme="minorHAnsi" w:hAnsiTheme="minorHAnsi"/>
                <w:iCs/>
                <w:sz w:val="22"/>
                <w:szCs w:val="22"/>
              </w:rPr>
              <w:t>4</w:t>
            </w:r>
          </w:p>
        </w:tc>
      </w:tr>
      <w:tr w:rsidR="0061186F" w:rsidRPr="00F40A43" w14:paraId="5D049873" w14:textId="77777777" w:rsidTr="0061186F">
        <w:tc>
          <w:tcPr>
            <w:tcW w:w="4495" w:type="dxa"/>
            <w:shd w:val="clear" w:color="auto" w:fill="auto"/>
          </w:tcPr>
          <w:p w14:paraId="3A151F98" w14:textId="77777777" w:rsidR="0061186F" w:rsidRPr="00F40A43" w:rsidRDefault="0061186F" w:rsidP="00464C33">
            <w:pPr>
              <w:rPr>
                <w:rFonts w:asciiTheme="minorHAnsi" w:hAnsiTheme="minorHAnsi"/>
                <w:b/>
                <w:iCs/>
                <w:sz w:val="22"/>
                <w:szCs w:val="22"/>
              </w:rPr>
            </w:pPr>
            <w:r w:rsidRPr="00F40A43">
              <w:rPr>
                <w:rFonts w:asciiTheme="minorHAnsi" w:hAnsiTheme="minorHAnsi"/>
                <w:b/>
                <w:iCs/>
                <w:sz w:val="22"/>
                <w:szCs w:val="22"/>
              </w:rPr>
              <w:t>Total</w:t>
            </w:r>
          </w:p>
        </w:tc>
        <w:tc>
          <w:tcPr>
            <w:tcW w:w="2250" w:type="dxa"/>
            <w:shd w:val="clear" w:color="auto" w:fill="auto"/>
          </w:tcPr>
          <w:p w14:paraId="5769CD94" w14:textId="43A756E9" w:rsidR="0061186F" w:rsidRPr="00F40A43" w:rsidRDefault="0061186F" w:rsidP="00464C33">
            <w:pPr>
              <w:jc w:val="center"/>
              <w:rPr>
                <w:rFonts w:asciiTheme="minorHAnsi" w:hAnsiTheme="minorHAnsi"/>
                <w:b/>
                <w:iCs/>
                <w:sz w:val="22"/>
                <w:szCs w:val="22"/>
              </w:rPr>
            </w:pPr>
            <w:r w:rsidRPr="00F40A43">
              <w:rPr>
                <w:rFonts w:asciiTheme="minorHAnsi" w:hAnsiTheme="minorHAnsi"/>
                <w:b/>
                <w:iCs/>
                <w:sz w:val="22"/>
                <w:szCs w:val="22"/>
              </w:rPr>
              <w:t>45</w:t>
            </w:r>
          </w:p>
        </w:tc>
      </w:tr>
    </w:tbl>
    <w:p w14:paraId="008E5B72" w14:textId="77777777" w:rsidR="00F40A43" w:rsidRDefault="00F40A43" w:rsidP="00AF548B">
      <w:pPr>
        <w:rPr>
          <w:rFonts w:asciiTheme="minorHAnsi" w:hAnsiTheme="minorHAnsi"/>
        </w:rPr>
      </w:pPr>
    </w:p>
    <w:p w14:paraId="2229BFF7" w14:textId="63E85AE6" w:rsidR="008D65E8" w:rsidRPr="00F40A43" w:rsidRDefault="003A0234" w:rsidP="00AF548B">
      <w:pPr>
        <w:rPr>
          <w:rFonts w:asciiTheme="minorHAnsi" w:hAnsiTheme="minorHAnsi"/>
          <w:sz w:val="22"/>
          <w:szCs w:val="22"/>
        </w:rPr>
      </w:pPr>
      <w:r w:rsidRPr="00F40A43">
        <w:rPr>
          <w:rFonts w:asciiTheme="minorHAnsi" w:hAnsiTheme="minorHAnsi"/>
          <w:sz w:val="22"/>
          <w:szCs w:val="22"/>
        </w:rPr>
        <w:t>The g</w:t>
      </w:r>
      <w:r w:rsidR="00B34438" w:rsidRPr="00F40A43">
        <w:rPr>
          <w:rFonts w:asciiTheme="minorHAnsi" w:hAnsiTheme="minorHAnsi"/>
          <w:sz w:val="22"/>
          <w:szCs w:val="22"/>
        </w:rPr>
        <w:t xml:space="preserve">roups with larger sample targets are </w:t>
      </w:r>
      <w:r w:rsidRPr="00F40A43">
        <w:rPr>
          <w:rFonts w:asciiTheme="minorHAnsi" w:hAnsiTheme="minorHAnsi"/>
          <w:sz w:val="22"/>
          <w:szCs w:val="22"/>
        </w:rPr>
        <w:t xml:space="preserve">the industries where the research team believes the </w:t>
      </w:r>
      <w:r w:rsidR="005D11F3" w:rsidRPr="00F40A43">
        <w:rPr>
          <w:rFonts w:asciiTheme="minorHAnsi" w:hAnsiTheme="minorHAnsi"/>
          <w:sz w:val="22"/>
          <w:szCs w:val="22"/>
        </w:rPr>
        <w:t>broadest</w:t>
      </w:r>
      <w:r w:rsidRPr="00F40A43">
        <w:rPr>
          <w:rFonts w:asciiTheme="minorHAnsi" w:hAnsiTheme="minorHAnsi"/>
          <w:sz w:val="22"/>
          <w:szCs w:val="22"/>
        </w:rPr>
        <w:t xml:space="preserve"> </w:t>
      </w:r>
      <w:r w:rsidR="00FA6DF7" w:rsidRPr="00F40A43">
        <w:rPr>
          <w:rFonts w:asciiTheme="minorHAnsi" w:hAnsiTheme="minorHAnsi"/>
          <w:sz w:val="22"/>
          <w:szCs w:val="22"/>
        </w:rPr>
        <w:t>partnership expansion</w:t>
      </w:r>
      <w:r w:rsidRPr="00F40A43">
        <w:rPr>
          <w:rFonts w:asciiTheme="minorHAnsi" w:hAnsiTheme="minorHAnsi"/>
          <w:sz w:val="22"/>
          <w:szCs w:val="22"/>
        </w:rPr>
        <w:t xml:space="preserve"> opportunities exist</w:t>
      </w:r>
      <w:r w:rsidR="00B34438" w:rsidRPr="00F40A43">
        <w:rPr>
          <w:rFonts w:asciiTheme="minorHAnsi" w:hAnsiTheme="minorHAnsi"/>
          <w:sz w:val="22"/>
          <w:szCs w:val="22"/>
        </w:rPr>
        <w:t xml:space="preserve">.   </w:t>
      </w:r>
      <w:r w:rsidR="00341D74" w:rsidRPr="00F40A43">
        <w:rPr>
          <w:rFonts w:asciiTheme="minorHAnsi" w:hAnsiTheme="minorHAnsi"/>
          <w:sz w:val="22"/>
          <w:szCs w:val="22"/>
        </w:rPr>
        <w:t xml:space="preserve">The research team will continue to approach potential interview subjects until the </w:t>
      </w:r>
      <w:r w:rsidR="005D11F3" w:rsidRPr="00F40A43">
        <w:rPr>
          <w:rFonts w:asciiTheme="minorHAnsi" w:hAnsiTheme="minorHAnsi"/>
          <w:sz w:val="22"/>
          <w:szCs w:val="22"/>
        </w:rPr>
        <w:t xml:space="preserve">target </w:t>
      </w:r>
      <w:r w:rsidR="00341D74" w:rsidRPr="00F40A43">
        <w:rPr>
          <w:rFonts w:asciiTheme="minorHAnsi" w:hAnsiTheme="minorHAnsi"/>
          <w:sz w:val="22"/>
          <w:szCs w:val="22"/>
        </w:rPr>
        <w:t xml:space="preserve">sample sizes in each of these groups </w:t>
      </w:r>
      <w:r w:rsidR="005D11F3" w:rsidRPr="00F40A43">
        <w:rPr>
          <w:rFonts w:asciiTheme="minorHAnsi" w:hAnsiTheme="minorHAnsi"/>
          <w:sz w:val="22"/>
          <w:szCs w:val="22"/>
        </w:rPr>
        <w:t>are</w:t>
      </w:r>
      <w:r w:rsidR="00341D74" w:rsidRPr="00F40A43">
        <w:rPr>
          <w:rFonts w:asciiTheme="minorHAnsi" w:hAnsiTheme="minorHAnsi"/>
          <w:sz w:val="22"/>
          <w:szCs w:val="22"/>
        </w:rPr>
        <w:t xml:space="preserve"> met.</w:t>
      </w:r>
      <w:r w:rsidR="00B34438" w:rsidRPr="00F40A43">
        <w:rPr>
          <w:rFonts w:asciiTheme="minorHAnsi" w:hAnsiTheme="minorHAnsi"/>
          <w:sz w:val="22"/>
          <w:szCs w:val="22"/>
        </w:rPr>
        <w:t xml:space="preserve">  Based on the prior experience of the research team, these target sample sizes will be sufficient to achieve thematic saturation in each sector.</w:t>
      </w:r>
    </w:p>
    <w:p w14:paraId="3AA8C345" w14:textId="77777777" w:rsidR="00F3231E" w:rsidRDefault="00F3231E" w:rsidP="00AF548B">
      <w:pPr>
        <w:rPr>
          <w:rFonts w:asciiTheme="minorHAnsi" w:hAnsiTheme="minorHAnsi"/>
          <w:b/>
          <w:u w:val="single"/>
        </w:rPr>
      </w:pPr>
    </w:p>
    <w:p w14:paraId="417DB477" w14:textId="5B712331" w:rsidR="00AF548B" w:rsidRPr="00630827" w:rsidRDefault="00AF548B" w:rsidP="00AF548B">
      <w:pPr>
        <w:rPr>
          <w:rFonts w:asciiTheme="minorHAnsi" w:hAnsiTheme="minorHAnsi"/>
          <w:b/>
          <w:u w:val="single"/>
        </w:rPr>
      </w:pPr>
      <w:r>
        <w:rPr>
          <w:rFonts w:asciiTheme="minorHAnsi" w:hAnsiTheme="minorHAnsi"/>
          <w:b/>
          <w:u w:val="single"/>
        </w:rPr>
        <w:t>Part B</w:t>
      </w:r>
      <w:r w:rsidRPr="00AF548B">
        <w:rPr>
          <w:rFonts w:asciiTheme="minorHAnsi" w:hAnsiTheme="minorHAnsi"/>
          <w:b/>
          <w:u w:val="single"/>
        </w:rPr>
        <w:t xml:space="preserve">: </w:t>
      </w:r>
      <w:r>
        <w:rPr>
          <w:rFonts w:asciiTheme="minorHAnsi" w:hAnsiTheme="minorHAnsi"/>
          <w:b/>
          <w:u w:val="single"/>
        </w:rPr>
        <w:t>Onl</w:t>
      </w:r>
      <w:r w:rsidR="00554529">
        <w:rPr>
          <w:rFonts w:asciiTheme="minorHAnsi" w:hAnsiTheme="minorHAnsi"/>
          <w:b/>
          <w:u w:val="single"/>
        </w:rPr>
        <w:t>ine s</w:t>
      </w:r>
      <w:r>
        <w:rPr>
          <w:rFonts w:asciiTheme="minorHAnsi" w:hAnsiTheme="minorHAnsi"/>
          <w:b/>
          <w:u w:val="single"/>
        </w:rPr>
        <w:t>urvey</w:t>
      </w:r>
    </w:p>
    <w:p w14:paraId="30F1E61C" w14:textId="443927C2" w:rsidR="005B63B9" w:rsidRPr="00F40A43" w:rsidRDefault="00F80CBA" w:rsidP="00AF548B">
      <w:pPr>
        <w:rPr>
          <w:rFonts w:asciiTheme="minorHAnsi" w:hAnsiTheme="minorHAnsi"/>
          <w:b/>
          <w:sz w:val="22"/>
          <w:szCs w:val="22"/>
        </w:rPr>
      </w:pPr>
      <w:r w:rsidRPr="00F40A43">
        <w:rPr>
          <w:rFonts w:asciiTheme="minorHAnsi" w:hAnsiTheme="minorHAnsi"/>
          <w:b/>
          <w:sz w:val="22"/>
          <w:szCs w:val="22"/>
        </w:rPr>
        <w:t>R</w:t>
      </w:r>
      <w:r w:rsidR="00AF71F9" w:rsidRPr="00F40A43">
        <w:rPr>
          <w:rFonts w:asciiTheme="minorHAnsi" w:hAnsiTheme="minorHAnsi"/>
          <w:b/>
          <w:sz w:val="22"/>
          <w:szCs w:val="22"/>
        </w:rPr>
        <w:t>espondent universe:</w:t>
      </w:r>
      <w:r w:rsidR="00AF548B" w:rsidRPr="00F40A43">
        <w:rPr>
          <w:rFonts w:asciiTheme="minorHAnsi" w:hAnsiTheme="minorHAnsi"/>
          <w:b/>
          <w:sz w:val="22"/>
          <w:szCs w:val="22"/>
        </w:rPr>
        <w:t xml:space="preserve">  </w:t>
      </w:r>
      <w:r w:rsidRPr="00F40A43">
        <w:rPr>
          <w:rFonts w:asciiTheme="minorHAnsi" w:hAnsiTheme="minorHAnsi"/>
          <w:sz w:val="22"/>
          <w:szCs w:val="22"/>
        </w:rPr>
        <w:t xml:space="preserve">The </w:t>
      </w:r>
      <w:r w:rsidR="00FA6DF7" w:rsidRPr="00F40A43">
        <w:rPr>
          <w:rFonts w:asciiTheme="minorHAnsi" w:hAnsiTheme="minorHAnsi"/>
          <w:sz w:val="22"/>
          <w:szCs w:val="22"/>
        </w:rPr>
        <w:t xml:space="preserve">survey </w:t>
      </w:r>
      <w:r w:rsidR="00FB4693" w:rsidRPr="00F40A43">
        <w:rPr>
          <w:rFonts w:asciiTheme="minorHAnsi" w:hAnsiTheme="minorHAnsi"/>
          <w:sz w:val="22"/>
          <w:szCs w:val="22"/>
        </w:rPr>
        <w:t xml:space="preserve">respondent universe consists of decision-makers at organizations </w:t>
      </w:r>
      <w:r w:rsidR="00FA6DF7" w:rsidRPr="00F40A43">
        <w:rPr>
          <w:rFonts w:asciiTheme="minorHAnsi" w:hAnsiTheme="minorHAnsi"/>
          <w:sz w:val="22"/>
          <w:szCs w:val="22"/>
        </w:rPr>
        <w:t xml:space="preserve">whose products, services, or activities </w:t>
      </w:r>
      <w:r w:rsidR="00FB4693" w:rsidRPr="00F40A43">
        <w:rPr>
          <w:rFonts w:asciiTheme="minorHAnsi" w:hAnsiTheme="minorHAnsi"/>
          <w:sz w:val="22"/>
          <w:szCs w:val="22"/>
        </w:rPr>
        <w:t xml:space="preserve">could </w:t>
      </w:r>
      <w:r w:rsidR="00FA6DF7" w:rsidRPr="00F40A43">
        <w:rPr>
          <w:rFonts w:asciiTheme="minorHAnsi" w:hAnsiTheme="minorHAnsi"/>
          <w:sz w:val="22"/>
          <w:szCs w:val="22"/>
        </w:rPr>
        <w:t>support</w:t>
      </w:r>
      <w:r w:rsidR="00FB4693" w:rsidRPr="00F40A43">
        <w:rPr>
          <w:rFonts w:asciiTheme="minorHAnsi" w:hAnsiTheme="minorHAnsi"/>
          <w:sz w:val="22"/>
          <w:szCs w:val="22"/>
        </w:rPr>
        <w:t xml:space="preserve"> public health emerg</w:t>
      </w:r>
      <w:r w:rsidR="00AF548B" w:rsidRPr="00F40A43">
        <w:rPr>
          <w:rFonts w:asciiTheme="minorHAnsi" w:hAnsiTheme="minorHAnsi"/>
          <w:sz w:val="22"/>
          <w:szCs w:val="22"/>
        </w:rPr>
        <w:t xml:space="preserve">ency preparedness and response.  The survey will cover the same sectors </w:t>
      </w:r>
      <w:r w:rsidR="00505B6A" w:rsidRPr="00F40A43">
        <w:rPr>
          <w:rFonts w:asciiTheme="minorHAnsi" w:hAnsiTheme="minorHAnsi"/>
          <w:sz w:val="22"/>
          <w:szCs w:val="22"/>
        </w:rPr>
        <w:t>that were</w:t>
      </w:r>
      <w:r w:rsidR="00AF548B" w:rsidRPr="00F40A43">
        <w:rPr>
          <w:rFonts w:asciiTheme="minorHAnsi" w:hAnsiTheme="minorHAnsi"/>
          <w:sz w:val="22"/>
          <w:szCs w:val="22"/>
        </w:rPr>
        <w:t xml:space="preserve"> targeted by the interview campaigns: </w:t>
      </w:r>
      <w:r w:rsidR="00CD298D" w:rsidRPr="00F40A43">
        <w:rPr>
          <w:rFonts w:asciiTheme="minorHAnsi" w:hAnsiTheme="minorHAnsi"/>
          <w:sz w:val="22"/>
          <w:szCs w:val="22"/>
        </w:rPr>
        <w:t>pharmaceutical/life sciences, health IT/mobile, retailers/distributors, academia/research organization</w:t>
      </w:r>
      <w:r w:rsidR="00505B6A" w:rsidRPr="00F40A43">
        <w:rPr>
          <w:rFonts w:asciiTheme="minorHAnsi" w:hAnsiTheme="minorHAnsi"/>
          <w:sz w:val="22"/>
          <w:szCs w:val="22"/>
        </w:rPr>
        <w:t>s</w:t>
      </w:r>
      <w:r w:rsidR="00CD298D" w:rsidRPr="00F40A43">
        <w:rPr>
          <w:rFonts w:asciiTheme="minorHAnsi" w:hAnsiTheme="minorHAnsi"/>
          <w:sz w:val="22"/>
          <w:szCs w:val="22"/>
        </w:rPr>
        <w:t>, hospital</w:t>
      </w:r>
      <w:r w:rsidR="00505B6A" w:rsidRPr="00F40A43">
        <w:rPr>
          <w:rFonts w:asciiTheme="minorHAnsi" w:hAnsiTheme="minorHAnsi"/>
          <w:sz w:val="22"/>
          <w:szCs w:val="22"/>
        </w:rPr>
        <w:t>s</w:t>
      </w:r>
      <w:r w:rsidR="00CD298D" w:rsidRPr="00F40A43">
        <w:rPr>
          <w:rFonts w:asciiTheme="minorHAnsi" w:hAnsiTheme="minorHAnsi"/>
          <w:sz w:val="22"/>
          <w:szCs w:val="22"/>
        </w:rPr>
        <w:t>/healthcare provider</w:t>
      </w:r>
      <w:r w:rsidR="00505B6A" w:rsidRPr="00F40A43">
        <w:rPr>
          <w:rFonts w:asciiTheme="minorHAnsi" w:hAnsiTheme="minorHAnsi"/>
          <w:sz w:val="22"/>
          <w:szCs w:val="22"/>
        </w:rPr>
        <w:t>s</w:t>
      </w:r>
      <w:r w:rsidR="00CD298D" w:rsidRPr="00F40A43">
        <w:rPr>
          <w:rFonts w:asciiTheme="minorHAnsi" w:hAnsiTheme="minorHAnsi"/>
          <w:sz w:val="22"/>
          <w:szCs w:val="22"/>
        </w:rPr>
        <w:t>, health insurance, logistics/transportation, and charitable organization</w:t>
      </w:r>
      <w:r w:rsidR="00505B6A" w:rsidRPr="00F40A43">
        <w:rPr>
          <w:rFonts w:asciiTheme="minorHAnsi" w:hAnsiTheme="minorHAnsi"/>
          <w:sz w:val="22"/>
          <w:szCs w:val="22"/>
        </w:rPr>
        <w:t>s</w:t>
      </w:r>
      <w:r w:rsidR="00CD298D" w:rsidRPr="00F40A43">
        <w:rPr>
          <w:rFonts w:asciiTheme="minorHAnsi" w:hAnsiTheme="minorHAnsi"/>
          <w:sz w:val="22"/>
          <w:szCs w:val="22"/>
        </w:rPr>
        <w:t>/foundation</w:t>
      </w:r>
      <w:r w:rsidR="00505B6A" w:rsidRPr="00F40A43">
        <w:rPr>
          <w:rFonts w:asciiTheme="minorHAnsi" w:hAnsiTheme="minorHAnsi"/>
          <w:sz w:val="22"/>
          <w:szCs w:val="22"/>
        </w:rPr>
        <w:t>s</w:t>
      </w:r>
      <w:r w:rsidR="00CD298D" w:rsidRPr="00F40A43">
        <w:rPr>
          <w:rFonts w:asciiTheme="minorHAnsi" w:hAnsiTheme="minorHAnsi"/>
          <w:sz w:val="22"/>
          <w:szCs w:val="22"/>
        </w:rPr>
        <w:t>.</w:t>
      </w:r>
    </w:p>
    <w:p w14:paraId="1DD2289E" w14:textId="77777777" w:rsidR="00AF548B" w:rsidRPr="00F40A43" w:rsidRDefault="00AF548B" w:rsidP="00AF548B">
      <w:pPr>
        <w:rPr>
          <w:rFonts w:asciiTheme="minorHAnsi" w:hAnsiTheme="minorHAnsi"/>
          <w:b/>
          <w:sz w:val="22"/>
          <w:szCs w:val="22"/>
        </w:rPr>
      </w:pPr>
    </w:p>
    <w:p w14:paraId="0B1FD2FD" w14:textId="10A30CFE" w:rsidR="00F80CBA" w:rsidRPr="00F40A43" w:rsidRDefault="00A774A8" w:rsidP="00AF548B">
      <w:pPr>
        <w:rPr>
          <w:rFonts w:asciiTheme="minorHAnsi" w:hAnsiTheme="minorHAnsi"/>
          <w:sz w:val="22"/>
          <w:szCs w:val="22"/>
        </w:rPr>
      </w:pPr>
      <w:r w:rsidRPr="00F40A43">
        <w:rPr>
          <w:rFonts w:asciiTheme="minorHAnsi" w:hAnsiTheme="minorHAnsi"/>
          <w:b/>
          <w:sz w:val="22"/>
          <w:szCs w:val="22"/>
        </w:rPr>
        <w:t xml:space="preserve">Recruitment: </w:t>
      </w:r>
      <w:r w:rsidR="005B63B9" w:rsidRPr="00F40A43">
        <w:rPr>
          <w:rFonts w:asciiTheme="minorHAnsi" w:hAnsiTheme="minorHAnsi"/>
          <w:sz w:val="22"/>
          <w:szCs w:val="22"/>
        </w:rPr>
        <w:t xml:space="preserve">A key informant and snowballing sampling strategy will </w:t>
      </w:r>
      <w:r w:rsidR="00505B6A" w:rsidRPr="00F40A43">
        <w:rPr>
          <w:rFonts w:asciiTheme="minorHAnsi" w:hAnsiTheme="minorHAnsi"/>
          <w:sz w:val="22"/>
          <w:szCs w:val="22"/>
        </w:rPr>
        <w:t xml:space="preserve">also </w:t>
      </w:r>
      <w:r w:rsidR="005B63B9" w:rsidRPr="00F40A43">
        <w:rPr>
          <w:rFonts w:asciiTheme="minorHAnsi" w:hAnsiTheme="minorHAnsi"/>
          <w:sz w:val="22"/>
          <w:szCs w:val="22"/>
        </w:rPr>
        <w:t xml:space="preserve">be used </w:t>
      </w:r>
      <w:r w:rsidR="00F3231E" w:rsidRPr="00F40A43">
        <w:rPr>
          <w:rFonts w:asciiTheme="minorHAnsi" w:hAnsiTheme="minorHAnsi"/>
          <w:sz w:val="22"/>
          <w:szCs w:val="22"/>
        </w:rPr>
        <w:t xml:space="preserve">to find respondents for the </w:t>
      </w:r>
      <w:r w:rsidR="005B63B9" w:rsidRPr="00F40A43">
        <w:rPr>
          <w:rFonts w:asciiTheme="minorHAnsi" w:hAnsiTheme="minorHAnsi"/>
          <w:sz w:val="22"/>
          <w:szCs w:val="22"/>
        </w:rPr>
        <w:t>survey.</w:t>
      </w:r>
      <w:r w:rsidR="0015078B" w:rsidRPr="00F40A43">
        <w:rPr>
          <w:rFonts w:asciiTheme="minorHAnsi" w:hAnsiTheme="minorHAnsi"/>
          <w:sz w:val="22"/>
          <w:szCs w:val="22"/>
        </w:rPr>
        <w:t xml:space="preserve"> </w:t>
      </w:r>
      <w:r w:rsidR="00287EA6" w:rsidRPr="00F40A43">
        <w:rPr>
          <w:rFonts w:asciiTheme="minorHAnsi" w:hAnsiTheme="minorHAnsi"/>
          <w:sz w:val="22"/>
          <w:szCs w:val="22"/>
        </w:rPr>
        <w:t>The research team will identify decision</w:t>
      </w:r>
      <w:r w:rsidR="00287EA6">
        <w:rPr>
          <w:rFonts w:asciiTheme="minorHAnsi" w:hAnsiTheme="minorHAnsi"/>
          <w:sz w:val="22"/>
          <w:szCs w:val="22"/>
        </w:rPr>
        <w:t>-</w:t>
      </w:r>
      <w:r w:rsidR="00287EA6" w:rsidRPr="00F40A43">
        <w:rPr>
          <w:rFonts w:asciiTheme="minorHAnsi" w:hAnsiTheme="minorHAnsi"/>
          <w:sz w:val="22"/>
          <w:szCs w:val="22"/>
        </w:rPr>
        <w:t xml:space="preserve">makers in the varied industry sectors </w:t>
      </w:r>
      <w:r w:rsidR="00287EA6">
        <w:rPr>
          <w:rFonts w:asciiTheme="minorHAnsi" w:hAnsiTheme="minorHAnsi"/>
          <w:sz w:val="22"/>
          <w:szCs w:val="22"/>
        </w:rPr>
        <w:t xml:space="preserve">by leveraging existing </w:t>
      </w:r>
      <w:r w:rsidR="00287EA6" w:rsidRPr="00F40A43">
        <w:rPr>
          <w:rFonts w:asciiTheme="minorHAnsi" w:hAnsiTheme="minorHAnsi"/>
          <w:sz w:val="22"/>
          <w:szCs w:val="22"/>
        </w:rPr>
        <w:t>contacts, networks, and relationships</w:t>
      </w:r>
      <w:r w:rsidR="00287EA6">
        <w:rPr>
          <w:rFonts w:asciiTheme="minorHAnsi" w:hAnsiTheme="minorHAnsi"/>
          <w:sz w:val="22"/>
          <w:szCs w:val="22"/>
        </w:rPr>
        <w:t xml:space="preserve"> that have been established by individuals working throughout PwC’s Advisory practice</w:t>
      </w:r>
      <w:r w:rsidR="00287EA6" w:rsidRPr="00F40A43">
        <w:rPr>
          <w:rFonts w:asciiTheme="minorHAnsi" w:hAnsiTheme="minorHAnsi"/>
          <w:sz w:val="22"/>
          <w:szCs w:val="22"/>
        </w:rPr>
        <w:t xml:space="preserve">. </w:t>
      </w:r>
      <w:r w:rsidR="0015078B" w:rsidRPr="00F40A43">
        <w:rPr>
          <w:rFonts w:asciiTheme="minorHAnsi" w:hAnsiTheme="minorHAnsi"/>
          <w:sz w:val="22"/>
          <w:szCs w:val="22"/>
        </w:rPr>
        <w:t xml:space="preserve"> </w:t>
      </w:r>
      <w:r w:rsidRPr="00F40A43">
        <w:rPr>
          <w:rFonts w:asciiTheme="minorHAnsi" w:hAnsiTheme="minorHAnsi"/>
          <w:sz w:val="22"/>
          <w:szCs w:val="22"/>
        </w:rPr>
        <w:t>Before receiving a link to the survey, each potential survey respondent will be sent an e</w:t>
      </w:r>
      <w:r w:rsidR="0015078B" w:rsidRPr="00F40A43">
        <w:rPr>
          <w:rFonts w:asciiTheme="minorHAnsi" w:hAnsiTheme="minorHAnsi"/>
          <w:sz w:val="22"/>
          <w:szCs w:val="22"/>
        </w:rPr>
        <w:t>-</w:t>
      </w:r>
      <w:r w:rsidRPr="00F40A43">
        <w:rPr>
          <w:rFonts w:asciiTheme="minorHAnsi" w:hAnsiTheme="minorHAnsi"/>
          <w:sz w:val="22"/>
          <w:szCs w:val="22"/>
        </w:rPr>
        <w:t>mail that provides details about the study and the data collection procedure itself (</w:t>
      </w:r>
      <w:r w:rsidRPr="00F40A43">
        <w:rPr>
          <w:rFonts w:asciiTheme="minorHAnsi" w:hAnsiTheme="minorHAnsi"/>
          <w:b/>
          <w:sz w:val="22"/>
          <w:szCs w:val="22"/>
        </w:rPr>
        <w:t>Attachment F – Recruitment E-mail for Potential Survey Participants</w:t>
      </w:r>
      <w:r w:rsidRPr="00F40A43">
        <w:rPr>
          <w:rFonts w:asciiTheme="minorHAnsi" w:hAnsiTheme="minorHAnsi"/>
          <w:sz w:val="22"/>
          <w:szCs w:val="22"/>
        </w:rPr>
        <w:t>).</w:t>
      </w:r>
    </w:p>
    <w:p w14:paraId="226D014E" w14:textId="77777777" w:rsidR="00AF548B" w:rsidRPr="00F40A43" w:rsidRDefault="00AF548B" w:rsidP="00A774A8">
      <w:pPr>
        <w:rPr>
          <w:rFonts w:asciiTheme="minorHAnsi" w:hAnsiTheme="minorHAnsi"/>
          <w:b/>
          <w:sz w:val="22"/>
          <w:szCs w:val="22"/>
        </w:rPr>
      </w:pPr>
    </w:p>
    <w:p w14:paraId="3F35FA85" w14:textId="1AF9E31B" w:rsidR="00505B6A" w:rsidRPr="00F40A43" w:rsidRDefault="00A774A8" w:rsidP="00A774A8">
      <w:pPr>
        <w:rPr>
          <w:rFonts w:asciiTheme="minorHAnsi" w:hAnsiTheme="minorHAnsi"/>
          <w:sz w:val="22"/>
          <w:szCs w:val="22"/>
        </w:rPr>
      </w:pPr>
      <w:r w:rsidRPr="00F40A43">
        <w:rPr>
          <w:rFonts w:asciiTheme="minorHAnsi" w:hAnsiTheme="minorHAnsi"/>
          <w:b/>
          <w:sz w:val="22"/>
          <w:szCs w:val="22"/>
        </w:rPr>
        <w:t xml:space="preserve">Sample size:  </w:t>
      </w:r>
      <w:r w:rsidRPr="00F40A43">
        <w:rPr>
          <w:rFonts w:asciiTheme="minorHAnsi" w:hAnsiTheme="minorHAnsi"/>
          <w:sz w:val="22"/>
          <w:szCs w:val="22"/>
        </w:rPr>
        <w:t xml:space="preserve">A large number of survey respondents from each sector will provide the research team with a richer and more holistic illustration of how each industry views </w:t>
      </w:r>
      <w:r w:rsidR="0061186F" w:rsidRPr="00F40A43">
        <w:rPr>
          <w:rFonts w:asciiTheme="minorHAnsi" w:hAnsiTheme="minorHAnsi"/>
          <w:sz w:val="22"/>
          <w:szCs w:val="22"/>
        </w:rPr>
        <w:t>PPPs</w:t>
      </w:r>
      <w:r w:rsidR="0015078B" w:rsidRPr="00F40A43">
        <w:rPr>
          <w:rFonts w:asciiTheme="minorHAnsi" w:hAnsiTheme="minorHAnsi"/>
          <w:sz w:val="22"/>
          <w:szCs w:val="22"/>
        </w:rPr>
        <w:t xml:space="preserve"> </w:t>
      </w:r>
      <w:r w:rsidRPr="00F40A43">
        <w:rPr>
          <w:rFonts w:asciiTheme="minorHAnsi" w:hAnsiTheme="minorHAnsi"/>
          <w:sz w:val="22"/>
          <w:szCs w:val="22"/>
        </w:rPr>
        <w:t xml:space="preserve">in the PHPR space.  This is the first information collection procedure of its kind, and therefore historical response rate data does not exist.  For this reason the research team is conservatively assuming a response rate of 50% from survey respondents across all </w:t>
      </w:r>
      <w:r w:rsidR="00CF3BB8" w:rsidRPr="00F40A43">
        <w:rPr>
          <w:rFonts w:asciiTheme="minorHAnsi" w:hAnsiTheme="minorHAnsi"/>
          <w:sz w:val="22"/>
          <w:szCs w:val="22"/>
        </w:rPr>
        <w:t xml:space="preserve">eight </w:t>
      </w:r>
      <w:r w:rsidRPr="00F40A43">
        <w:rPr>
          <w:rFonts w:asciiTheme="minorHAnsi" w:hAnsiTheme="minorHAnsi"/>
          <w:sz w:val="22"/>
          <w:szCs w:val="22"/>
        </w:rPr>
        <w:t>industries. The survey will be sent to a total of 200 individuals in order to reach the target sample size of 100 respondents.  The number of potential respondents e</w:t>
      </w:r>
      <w:r w:rsidR="0015078B" w:rsidRPr="00F40A43">
        <w:rPr>
          <w:rFonts w:asciiTheme="minorHAnsi" w:hAnsiTheme="minorHAnsi"/>
          <w:sz w:val="22"/>
          <w:szCs w:val="22"/>
        </w:rPr>
        <w:t>-</w:t>
      </w:r>
      <w:r w:rsidRPr="00F40A43">
        <w:rPr>
          <w:rFonts w:asciiTheme="minorHAnsi" w:hAnsiTheme="minorHAnsi"/>
          <w:sz w:val="22"/>
          <w:szCs w:val="22"/>
        </w:rPr>
        <w:t xml:space="preserve">mailed and the </w:t>
      </w:r>
      <w:r w:rsidR="00037FD8" w:rsidRPr="00F40A43">
        <w:rPr>
          <w:rFonts w:asciiTheme="minorHAnsi" w:hAnsiTheme="minorHAnsi"/>
          <w:sz w:val="22"/>
          <w:szCs w:val="22"/>
        </w:rPr>
        <w:t>estimated number of r</w:t>
      </w:r>
      <w:r w:rsidRPr="00F40A43">
        <w:rPr>
          <w:rFonts w:asciiTheme="minorHAnsi" w:hAnsiTheme="minorHAnsi"/>
          <w:sz w:val="22"/>
          <w:szCs w:val="22"/>
        </w:rPr>
        <w:t>espondents by sector are listed below</w:t>
      </w:r>
      <w:r w:rsidR="0015078B" w:rsidRPr="00F40A43">
        <w:rPr>
          <w:rFonts w:asciiTheme="minorHAnsi" w:hAnsiTheme="minorHAnsi"/>
          <w:sz w:val="22"/>
          <w:szCs w:val="22"/>
        </w:rPr>
        <w:t>.</w:t>
      </w:r>
    </w:p>
    <w:p w14:paraId="565C6529" w14:textId="77777777" w:rsidR="00505B6A" w:rsidRPr="00F40A43" w:rsidRDefault="00505B6A" w:rsidP="00A774A8">
      <w:pPr>
        <w:rPr>
          <w:rFonts w:asciiTheme="minorHAnsi" w:hAnsiTheme="minorHAnsi"/>
          <w:sz w:val="22"/>
          <w:szCs w:val="22"/>
        </w:rPr>
      </w:pPr>
    </w:p>
    <w:p w14:paraId="3A39962A" w14:textId="484E5C2C" w:rsidR="00927F0A" w:rsidRPr="00F40A43" w:rsidRDefault="00505B6A" w:rsidP="00A774A8">
      <w:pPr>
        <w:rPr>
          <w:rFonts w:asciiTheme="minorHAnsi" w:hAnsiTheme="minorHAnsi"/>
          <w:b/>
          <w:sz w:val="22"/>
          <w:szCs w:val="22"/>
        </w:rPr>
      </w:pPr>
      <w:r w:rsidRPr="00F40A43">
        <w:rPr>
          <w:rFonts w:asciiTheme="minorHAnsi" w:hAnsiTheme="minorHAnsi"/>
          <w:sz w:val="22"/>
          <w:szCs w:val="22"/>
        </w:rPr>
        <w:t xml:space="preserve">The number of potential </w:t>
      </w:r>
      <w:r w:rsidR="00CF3BB8" w:rsidRPr="00F40A43">
        <w:rPr>
          <w:rFonts w:asciiTheme="minorHAnsi" w:hAnsiTheme="minorHAnsi"/>
          <w:sz w:val="22"/>
          <w:szCs w:val="22"/>
        </w:rPr>
        <w:t xml:space="preserve">survey </w:t>
      </w:r>
      <w:r w:rsidRPr="00F40A43">
        <w:rPr>
          <w:rFonts w:asciiTheme="minorHAnsi" w:hAnsiTheme="minorHAnsi"/>
          <w:sz w:val="22"/>
          <w:szCs w:val="22"/>
        </w:rPr>
        <w:t xml:space="preserve">respondents the research team plans to </w:t>
      </w:r>
      <w:r w:rsidR="00CF3BB8" w:rsidRPr="00F40A43">
        <w:rPr>
          <w:rFonts w:asciiTheme="minorHAnsi" w:hAnsiTheme="minorHAnsi"/>
          <w:sz w:val="22"/>
          <w:szCs w:val="22"/>
        </w:rPr>
        <w:t>approach</w:t>
      </w:r>
      <w:r w:rsidRPr="00F40A43">
        <w:rPr>
          <w:rFonts w:asciiTheme="minorHAnsi" w:hAnsiTheme="minorHAnsi"/>
          <w:sz w:val="22"/>
          <w:szCs w:val="22"/>
        </w:rPr>
        <w:t xml:space="preserve"> mirrors the proportion of </w:t>
      </w:r>
      <w:r w:rsidR="00CF3BB8" w:rsidRPr="00F40A43">
        <w:rPr>
          <w:rFonts w:asciiTheme="minorHAnsi" w:hAnsiTheme="minorHAnsi"/>
          <w:sz w:val="22"/>
          <w:szCs w:val="22"/>
        </w:rPr>
        <w:t xml:space="preserve">the total </w:t>
      </w:r>
      <w:r w:rsidR="0015078B" w:rsidRPr="00F40A43">
        <w:rPr>
          <w:rFonts w:asciiTheme="minorHAnsi" w:hAnsiTheme="minorHAnsi"/>
          <w:sz w:val="22"/>
          <w:szCs w:val="22"/>
        </w:rPr>
        <w:t xml:space="preserve">interview targets </w:t>
      </w:r>
      <w:r w:rsidR="00CF3BB8" w:rsidRPr="00F40A43">
        <w:rPr>
          <w:rFonts w:asciiTheme="minorHAnsi" w:hAnsiTheme="minorHAnsi"/>
          <w:sz w:val="22"/>
          <w:szCs w:val="22"/>
        </w:rPr>
        <w:t xml:space="preserve">covered by each </w:t>
      </w:r>
      <w:r w:rsidR="0015078B" w:rsidRPr="00F40A43">
        <w:rPr>
          <w:rFonts w:asciiTheme="minorHAnsi" w:hAnsiTheme="minorHAnsi"/>
          <w:sz w:val="22"/>
          <w:szCs w:val="22"/>
        </w:rPr>
        <w:t>industry sector. For example, the number of interview targets for the pharmaceuticals/life sciences industry is 8. This is equal to ~18% of the total number of interviews (n=45). Th</w:t>
      </w:r>
      <w:r w:rsidR="00CF3BB8" w:rsidRPr="00F40A43">
        <w:rPr>
          <w:rFonts w:asciiTheme="minorHAnsi" w:hAnsiTheme="minorHAnsi"/>
          <w:sz w:val="22"/>
          <w:szCs w:val="22"/>
        </w:rPr>
        <w:t xml:space="preserve">erefore 18% of the 200 individuals that will be approached to take part in the survey will be from the pharmaceuticals/life sciences industry (n=36).  As discussed above, </w:t>
      </w:r>
      <w:r w:rsidR="003A0234" w:rsidRPr="00F40A43">
        <w:rPr>
          <w:rFonts w:asciiTheme="minorHAnsi" w:hAnsiTheme="minorHAnsi"/>
          <w:sz w:val="22"/>
          <w:szCs w:val="22"/>
        </w:rPr>
        <w:t>the industries that are allocated larger proportions of the sample population represent</w:t>
      </w:r>
      <w:r w:rsidR="00CF3BB8" w:rsidRPr="00F40A43">
        <w:rPr>
          <w:rFonts w:asciiTheme="minorHAnsi" w:hAnsiTheme="minorHAnsi"/>
          <w:sz w:val="22"/>
          <w:szCs w:val="22"/>
        </w:rPr>
        <w:t xml:space="preserve"> </w:t>
      </w:r>
      <w:r w:rsidR="003A0234" w:rsidRPr="00F40A43">
        <w:rPr>
          <w:rFonts w:asciiTheme="minorHAnsi" w:hAnsiTheme="minorHAnsi"/>
          <w:sz w:val="22"/>
          <w:szCs w:val="22"/>
        </w:rPr>
        <w:t>the areas that</w:t>
      </w:r>
      <w:r w:rsidR="00CF3BB8" w:rsidRPr="00F40A43">
        <w:rPr>
          <w:rFonts w:asciiTheme="minorHAnsi" w:hAnsiTheme="minorHAnsi"/>
          <w:sz w:val="22"/>
          <w:szCs w:val="22"/>
        </w:rPr>
        <w:t xml:space="preserve"> </w:t>
      </w:r>
      <w:r w:rsidR="003A0234" w:rsidRPr="00F40A43">
        <w:rPr>
          <w:rFonts w:asciiTheme="minorHAnsi" w:hAnsiTheme="minorHAnsi"/>
          <w:sz w:val="22"/>
          <w:szCs w:val="22"/>
        </w:rPr>
        <w:t>the research team believes the most fruitful partnership opportunities exist</w:t>
      </w:r>
      <w:r w:rsidR="00CF3BB8" w:rsidRPr="00F40A43">
        <w:rPr>
          <w:rFonts w:asciiTheme="minorHAnsi" w:hAnsiTheme="minorHAnsi"/>
          <w:sz w:val="22"/>
          <w:szCs w:val="22"/>
        </w:rPr>
        <w:t xml:space="preserve">.   </w:t>
      </w:r>
    </w:p>
    <w:p w14:paraId="327191F0" w14:textId="77777777" w:rsidR="00A774A8" w:rsidRPr="00A774A8" w:rsidRDefault="00A774A8" w:rsidP="00A774A8">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315"/>
        <w:gridCol w:w="2430"/>
        <w:gridCol w:w="2605"/>
      </w:tblGrid>
      <w:tr w:rsidR="00AA39D7" w:rsidRPr="00F40A43" w14:paraId="3E1D475E" w14:textId="77777777" w:rsidTr="0061186F">
        <w:trPr>
          <w:trHeight w:val="953"/>
        </w:trPr>
        <w:tc>
          <w:tcPr>
            <w:tcW w:w="4315" w:type="dxa"/>
            <w:shd w:val="clear" w:color="auto" w:fill="auto"/>
            <w:vAlign w:val="center"/>
          </w:tcPr>
          <w:p w14:paraId="4E4292E9" w14:textId="63F8B831" w:rsidR="00AA39D7" w:rsidRPr="00F40A43" w:rsidRDefault="00A774A8" w:rsidP="009E0615">
            <w:pPr>
              <w:rPr>
                <w:rFonts w:asciiTheme="minorHAnsi" w:hAnsiTheme="minorHAnsi"/>
                <w:b/>
                <w:iCs/>
                <w:sz w:val="22"/>
                <w:szCs w:val="22"/>
              </w:rPr>
            </w:pPr>
            <w:r w:rsidRPr="00F40A43">
              <w:rPr>
                <w:rFonts w:asciiTheme="minorHAnsi" w:hAnsiTheme="minorHAnsi"/>
                <w:b/>
                <w:iCs/>
                <w:sz w:val="22"/>
                <w:szCs w:val="22"/>
              </w:rPr>
              <w:t>Industry</w:t>
            </w:r>
          </w:p>
        </w:tc>
        <w:tc>
          <w:tcPr>
            <w:tcW w:w="2430" w:type="dxa"/>
            <w:shd w:val="clear" w:color="auto" w:fill="auto"/>
            <w:vAlign w:val="center"/>
          </w:tcPr>
          <w:p w14:paraId="6B0AE3B0" w14:textId="5A43E80B" w:rsidR="00AA39D7" w:rsidRPr="00F40A43" w:rsidRDefault="00A774A8" w:rsidP="009E0615">
            <w:pPr>
              <w:jc w:val="center"/>
              <w:rPr>
                <w:rFonts w:asciiTheme="minorHAnsi" w:hAnsiTheme="minorHAnsi"/>
                <w:b/>
                <w:iCs/>
                <w:sz w:val="22"/>
                <w:szCs w:val="22"/>
              </w:rPr>
            </w:pPr>
            <w:r w:rsidRPr="00F40A43">
              <w:rPr>
                <w:rFonts w:asciiTheme="minorHAnsi" w:hAnsiTheme="minorHAnsi"/>
                <w:b/>
                <w:iCs/>
                <w:sz w:val="22"/>
                <w:szCs w:val="22"/>
              </w:rPr>
              <w:t xml:space="preserve">Potential Respondents </w:t>
            </w:r>
            <w:r w:rsidR="009E0615" w:rsidRPr="00F40A43">
              <w:rPr>
                <w:rFonts w:asciiTheme="minorHAnsi" w:hAnsiTheme="minorHAnsi"/>
                <w:b/>
                <w:iCs/>
                <w:sz w:val="22"/>
                <w:szCs w:val="22"/>
              </w:rPr>
              <w:t xml:space="preserve">to be </w:t>
            </w:r>
            <w:r w:rsidRPr="00F40A43">
              <w:rPr>
                <w:rFonts w:asciiTheme="minorHAnsi" w:hAnsiTheme="minorHAnsi"/>
                <w:b/>
                <w:iCs/>
                <w:sz w:val="22"/>
                <w:szCs w:val="22"/>
              </w:rPr>
              <w:t>E</w:t>
            </w:r>
            <w:r w:rsidR="0015078B" w:rsidRPr="00F40A43">
              <w:rPr>
                <w:rFonts w:asciiTheme="minorHAnsi" w:hAnsiTheme="minorHAnsi"/>
                <w:b/>
                <w:iCs/>
                <w:sz w:val="22"/>
                <w:szCs w:val="22"/>
              </w:rPr>
              <w:t>-</w:t>
            </w:r>
            <w:r w:rsidRPr="00F40A43">
              <w:rPr>
                <w:rFonts w:asciiTheme="minorHAnsi" w:hAnsiTheme="minorHAnsi"/>
                <w:b/>
                <w:iCs/>
                <w:sz w:val="22"/>
                <w:szCs w:val="22"/>
              </w:rPr>
              <w:t>mailed</w:t>
            </w:r>
          </w:p>
        </w:tc>
        <w:tc>
          <w:tcPr>
            <w:tcW w:w="2605" w:type="dxa"/>
            <w:shd w:val="clear" w:color="auto" w:fill="auto"/>
            <w:vAlign w:val="center"/>
          </w:tcPr>
          <w:p w14:paraId="1BCDB81F" w14:textId="3FA53762" w:rsidR="00AA39D7" w:rsidRPr="00F40A43" w:rsidRDefault="00A774A8" w:rsidP="00037FD8">
            <w:pPr>
              <w:jc w:val="center"/>
              <w:rPr>
                <w:rFonts w:asciiTheme="minorHAnsi" w:hAnsiTheme="minorHAnsi"/>
                <w:b/>
                <w:iCs/>
                <w:sz w:val="22"/>
                <w:szCs w:val="22"/>
              </w:rPr>
            </w:pPr>
            <w:r w:rsidRPr="00F40A43">
              <w:rPr>
                <w:rFonts w:asciiTheme="minorHAnsi" w:hAnsiTheme="minorHAnsi"/>
                <w:b/>
                <w:iCs/>
                <w:sz w:val="22"/>
                <w:szCs w:val="22"/>
              </w:rPr>
              <w:t>E</w:t>
            </w:r>
            <w:r w:rsidR="00037FD8" w:rsidRPr="00F40A43">
              <w:rPr>
                <w:rFonts w:asciiTheme="minorHAnsi" w:hAnsiTheme="minorHAnsi"/>
                <w:b/>
                <w:iCs/>
                <w:sz w:val="22"/>
                <w:szCs w:val="22"/>
              </w:rPr>
              <w:t>stimated</w:t>
            </w:r>
            <w:r w:rsidRPr="00F40A43">
              <w:rPr>
                <w:rFonts w:asciiTheme="minorHAnsi" w:hAnsiTheme="minorHAnsi"/>
                <w:b/>
                <w:iCs/>
                <w:sz w:val="22"/>
                <w:szCs w:val="22"/>
              </w:rPr>
              <w:t xml:space="preserve"> Respondents (assuming 50% RR)</w:t>
            </w:r>
          </w:p>
        </w:tc>
      </w:tr>
      <w:tr w:rsidR="00CD298D" w:rsidRPr="00F40A43" w14:paraId="14A33570" w14:textId="77777777" w:rsidTr="0061186F">
        <w:trPr>
          <w:trHeight w:val="242"/>
        </w:trPr>
        <w:tc>
          <w:tcPr>
            <w:tcW w:w="4315" w:type="dxa"/>
            <w:shd w:val="clear" w:color="auto" w:fill="auto"/>
          </w:tcPr>
          <w:p w14:paraId="0447AD48" w14:textId="79B76A2D" w:rsidR="00CD298D" w:rsidRPr="00F40A43" w:rsidRDefault="00CD298D" w:rsidP="00CD298D">
            <w:pPr>
              <w:rPr>
                <w:rFonts w:asciiTheme="minorHAnsi" w:hAnsiTheme="minorHAnsi"/>
                <w:iCs/>
                <w:sz w:val="22"/>
                <w:szCs w:val="22"/>
              </w:rPr>
            </w:pPr>
            <w:r w:rsidRPr="00F40A43">
              <w:rPr>
                <w:rFonts w:asciiTheme="minorHAnsi" w:hAnsiTheme="minorHAnsi"/>
                <w:sz w:val="22"/>
                <w:szCs w:val="22"/>
              </w:rPr>
              <w:t xml:space="preserve">(1) Pharmaceutical / Life Sciences </w:t>
            </w:r>
          </w:p>
        </w:tc>
        <w:tc>
          <w:tcPr>
            <w:tcW w:w="2430" w:type="dxa"/>
            <w:shd w:val="clear" w:color="auto" w:fill="auto"/>
          </w:tcPr>
          <w:p w14:paraId="4CCF4540" w14:textId="48FE50E2" w:rsidR="00CD298D" w:rsidRPr="00F40A43" w:rsidRDefault="00CD298D" w:rsidP="00CD298D">
            <w:pPr>
              <w:jc w:val="center"/>
              <w:rPr>
                <w:rFonts w:asciiTheme="minorHAnsi" w:hAnsiTheme="minorHAnsi"/>
                <w:iCs/>
                <w:sz w:val="22"/>
                <w:szCs w:val="22"/>
              </w:rPr>
            </w:pPr>
            <w:r w:rsidRPr="00F40A43">
              <w:rPr>
                <w:rFonts w:asciiTheme="minorHAnsi" w:hAnsiTheme="minorHAnsi"/>
                <w:iCs/>
                <w:sz w:val="22"/>
                <w:szCs w:val="22"/>
              </w:rPr>
              <w:t>36</w:t>
            </w:r>
          </w:p>
        </w:tc>
        <w:tc>
          <w:tcPr>
            <w:tcW w:w="2605" w:type="dxa"/>
            <w:shd w:val="clear" w:color="auto" w:fill="auto"/>
            <w:vAlign w:val="center"/>
          </w:tcPr>
          <w:p w14:paraId="46A07487" w14:textId="0BB4F868" w:rsidR="00CD298D" w:rsidRPr="00F40A43" w:rsidRDefault="00CD298D" w:rsidP="00CD298D">
            <w:pPr>
              <w:jc w:val="center"/>
              <w:rPr>
                <w:rFonts w:asciiTheme="minorHAnsi" w:hAnsiTheme="minorHAnsi"/>
                <w:iCs/>
                <w:sz w:val="22"/>
                <w:szCs w:val="22"/>
              </w:rPr>
            </w:pPr>
            <w:r w:rsidRPr="00F40A43">
              <w:rPr>
                <w:rFonts w:asciiTheme="minorHAnsi" w:hAnsiTheme="minorHAnsi"/>
                <w:sz w:val="22"/>
                <w:szCs w:val="22"/>
              </w:rPr>
              <w:t>18</w:t>
            </w:r>
          </w:p>
        </w:tc>
      </w:tr>
      <w:tr w:rsidR="00CD298D" w:rsidRPr="00F40A43" w14:paraId="31D1FA3C" w14:textId="77777777" w:rsidTr="0061186F">
        <w:tc>
          <w:tcPr>
            <w:tcW w:w="4315" w:type="dxa"/>
            <w:shd w:val="clear" w:color="auto" w:fill="auto"/>
          </w:tcPr>
          <w:p w14:paraId="5445CDB9" w14:textId="7108247B" w:rsidR="00CD298D" w:rsidRPr="00F40A43" w:rsidRDefault="00CD298D" w:rsidP="00CD298D">
            <w:pPr>
              <w:rPr>
                <w:rFonts w:asciiTheme="minorHAnsi" w:hAnsiTheme="minorHAnsi"/>
                <w:iCs/>
                <w:sz w:val="22"/>
                <w:szCs w:val="22"/>
              </w:rPr>
            </w:pPr>
            <w:r w:rsidRPr="00F40A43">
              <w:rPr>
                <w:rFonts w:asciiTheme="minorHAnsi" w:hAnsiTheme="minorHAnsi"/>
                <w:sz w:val="22"/>
                <w:szCs w:val="22"/>
              </w:rPr>
              <w:t>(2) Health IT / Mobile</w:t>
            </w:r>
          </w:p>
        </w:tc>
        <w:tc>
          <w:tcPr>
            <w:tcW w:w="2430" w:type="dxa"/>
            <w:shd w:val="clear" w:color="auto" w:fill="auto"/>
          </w:tcPr>
          <w:p w14:paraId="14F2095A" w14:textId="5F71C0F8" w:rsidR="00CD298D" w:rsidRPr="00F40A43" w:rsidRDefault="00CD298D" w:rsidP="00CD298D">
            <w:pPr>
              <w:jc w:val="center"/>
              <w:rPr>
                <w:rFonts w:asciiTheme="minorHAnsi" w:hAnsiTheme="minorHAnsi"/>
                <w:iCs/>
                <w:sz w:val="22"/>
                <w:szCs w:val="22"/>
              </w:rPr>
            </w:pPr>
            <w:r w:rsidRPr="00F40A43">
              <w:rPr>
                <w:rFonts w:asciiTheme="minorHAnsi" w:hAnsiTheme="minorHAnsi"/>
                <w:iCs/>
                <w:sz w:val="22"/>
                <w:szCs w:val="22"/>
              </w:rPr>
              <w:t>36</w:t>
            </w:r>
          </w:p>
        </w:tc>
        <w:tc>
          <w:tcPr>
            <w:tcW w:w="2605" w:type="dxa"/>
            <w:shd w:val="clear" w:color="auto" w:fill="auto"/>
            <w:vAlign w:val="center"/>
          </w:tcPr>
          <w:p w14:paraId="245D7EB0" w14:textId="38AA648E" w:rsidR="00CD298D" w:rsidRPr="00F40A43" w:rsidRDefault="00CD298D" w:rsidP="00CD298D">
            <w:pPr>
              <w:jc w:val="center"/>
              <w:rPr>
                <w:rFonts w:asciiTheme="minorHAnsi" w:hAnsiTheme="minorHAnsi"/>
                <w:iCs/>
                <w:sz w:val="22"/>
                <w:szCs w:val="22"/>
              </w:rPr>
            </w:pPr>
            <w:r w:rsidRPr="00F40A43">
              <w:rPr>
                <w:rFonts w:asciiTheme="minorHAnsi" w:hAnsiTheme="minorHAnsi"/>
                <w:sz w:val="22"/>
                <w:szCs w:val="22"/>
              </w:rPr>
              <w:t>18</w:t>
            </w:r>
          </w:p>
        </w:tc>
      </w:tr>
      <w:tr w:rsidR="00CD298D" w:rsidRPr="00F40A43" w14:paraId="6490EFDB" w14:textId="77777777" w:rsidTr="0061186F">
        <w:tc>
          <w:tcPr>
            <w:tcW w:w="4315" w:type="dxa"/>
            <w:shd w:val="clear" w:color="auto" w:fill="auto"/>
          </w:tcPr>
          <w:p w14:paraId="5F799089" w14:textId="3EB2271B" w:rsidR="00CD298D" w:rsidRPr="00F40A43" w:rsidRDefault="00CD298D" w:rsidP="00CD298D">
            <w:pPr>
              <w:rPr>
                <w:rFonts w:asciiTheme="minorHAnsi" w:hAnsiTheme="minorHAnsi"/>
                <w:iCs/>
                <w:sz w:val="22"/>
                <w:szCs w:val="22"/>
              </w:rPr>
            </w:pPr>
            <w:r w:rsidRPr="00F40A43">
              <w:rPr>
                <w:rFonts w:asciiTheme="minorHAnsi" w:hAnsiTheme="minorHAnsi"/>
                <w:sz w:val="22"/>
                <w:szCs w:val="22"/>
              </w:rPr>
              <w:t>(3) Retailers  / Distributors</w:t>
            </w:r>
          </w:p>
        </w:tc>
        <w:tc>
          <w:tcPr>
            <w:tcW w:w="2430" w:type="dxa"/>
            <w:shd w:val="clear" w:color="auto" w:fill="auto"/>
          </w:tcPr>
          <w:p w14:paraId="55AAAF36" w14:textId="2A04E640" w:rsidR="00CD298D" w:rsidRPr="00F40A43" w:rsidRDefault="00CD298D" w:rsidP="00CD298D">
            <w:pPr>
              <w:jc w:val="center"/>
              <w:rPr>
                <w:rFonts w:asciiTheme="minorHAnsi" w:hAnsiTheme="minorHAnsi"/>
                <w:iCs/>
                <w:sz w:val="22"/>
                <w:szCs w:val="22"/>
              </w:rPr>
            </w:pPr>
            <w:r w:rsidRPr="00F40A43">
              <w:rPr>
                <w:rFonts w:asciiTheme="minorHAnsi" w:hAnsiTheme="minorHAnsi"/>
                <w:iCs/>
                <w:sz w:val="22"/>
                <w:szCs w:val="22"/>
              </w:rPr>
              <w:t>26</w:t>
            </w:r>
          </w:p>
        </w:tc>
        <w:tc>
          <w:tcPr>
            <w:tcW w:w="2605" w:type="dxa"/>
            <w:shd w:val="clear" w:color="auto" w:fill="auto"/>
            <w:vAlign w:val="center"/>
          </w:tcPr>
          <w:p w14:paraId="1010837C" w14:textId="7BE06CF4" w:rsidR="00CD298D" w:rsidRPr="00F40A43" w:rsidRDefault="00CD298D" w:rsidP="00CD298D">
            <w:pPr>
              <w:jc w:val="center"/>
              <w:rPr>
                <w:rFonts w:asciiTheme="minorHAnsi" w:hAnsiTheme="minorHAnsi"/>
                <w:iCs/>
                <w:sz w:val="22"/>
                <w:szCs w:val="22"/>
              </w:rPr>
            </w:pPr>
            <w:r w:rsidRPr="00F40A43">
              <w:rPr>
                <w:rFonts w:asciiTheme="minorHAnsi" w:hAnsiTheme="minorHAnsi"/>
                <w:sz w:val="22"/>
                <w:szCs w:val="22"/>
              </w:rPr>
              <w:t>13</w:t>
            </w:r>
          </w:p>
        </w:tc>
      </w:tr>
      <w:tr w:rsidR="00CD298D" w:rsidRPr="00F40A43" w14:paraId="1A5C18AE" w14:textId="77777777" w:rsidTr="0061186F">
        <w:tc>
          <w:tcPr>
            <w:tcW w:w="4315" w:type="dxa"/>
            <w:shd w:val="clear" w:color="auto" w:fill="auto"/>
          </w:tcPr>
          <w:p w14:paraId="6B483971" w14:textId="6C851FDF" w:rsidR="00CD298D" w:rsidRPr="00F40A43" w:rsidRDefault="00CD298D" w:rsidP="00CD298D">
            <w:pPr>
              <w:rPr>
                <w:rFonts w:asciiTheme="minorHAnsi" w:hAnsiTheme="minorHAnsi"/>
                <w:iCs/>
                <w:sz w:val="22"/>
                <w:szCs w:val="22"/>
              </w:rPr>
            </w:pPr>
            <w:r w:rsidRPr="00F40A43">
              <w:rPr>
                <w:rFonts w:asciiTheme="minorHAnsi" w:hAnsiTheme="minorHAnsi"/>
                <w:sz w:val="22"/>
                <w:szCs w:val="22"/>
              </w:rPr>
              <w:t>(4) Academia / Research Organization</w:t>
            </w:r>
            <w:r w:rsidR="0061186F" w:rsidRPr="00F40A43">
              <w:rPr>
                <w:rFonts w:asciiTheme="minorHAnsi" w:hAnsiTheme="minorHAnsi"/>
                <w:sz w:val="22"/>
                <w:szCs w:val="22"/>
              </w:rPr>
              <w:t>s</w:t>
            </w:r>
          </w:p>
        </w:tc>
        <w:tc>
          <w:tcPr>
            <w:tcW w:w="2430" w:type="dxa"/>
            <w:shd w:val="clear" w:color="auto" w:fill="auto"/>
          </w:tcPr>
          <w:p w14:paraId="4CD0969E" w14:textId="1901FE44" w:rsidR="00CD298D" w:rsidRPr="00F40A43" w:rsidRDefault="00CD298D" w:rsidP="00CD298D">
            <w:pPr>
              <w:jc w:val="center"/>
              <w:rPr>
                <w:rFonts w:asciiTheme="minorHAnsi" w:hAnsiTheme="minorHAnsi"/>
                <w:iCs/>
                <w:sz w:val="22"/>
                <w:szCs w:val="22"/>
              </w:rPr>
            </w:pPr>
            <w:r w:rsidRPr="00F40A43">
              <w:rPr>
                <w:rFonts w:asciiTheme="minorHAnsi" w:hAnsiTheme="minorHAnsi"/>
                <w:iCs/>
                <w:sz w:val="22"/>
                <w:szCs w:val="22"/>
              </w:rPr>
              <w:t>26</w:t>
            </w:r>
          </w:p>
        </w:tc>
        <w:tc>
          <w:tcPr>
            <w:tcW w:w="2605" w:type="dxa"/>
            <w:shd w:val="clear" w:color="auto" w:fill="auto"/>
            <w:vAlign w:val="center"/>
          </w:tcPr>
          <w:p w14:paraId="792EFAE5" w14:textId="6BC0D6E2" w:rsidR="00CD298D" w:rsidRPr="00F40A43" w:rsidRDefault="00CD298D" w:rsidP="00CD298D">
            <w:pPr>
              <w:jc w:val="center"/>
              <w:rPr>
                <w:rFonts w:asciiTheme="minorHAnsi" w:hAnsiTheme="minorHAnsi"/>
                <w:iCs/>
                <w:sz w:val="22"/>
                <w:szCs w:val="22"/>
              </w:rPr>
            </w:pPr>
            <w:r w:rsidRPr="00F40A43">
              <w:rPr>
                <w:rFonts w:asciiTheme="minorHAnsi" w:hAnsiTheme="minorHAnsi"/>
                <w:sz w:val="22"/>
                <w:szCs w:val="22"/>
              </w:rPr>
              <w:t>13</w:t>
            </w:r>
          </w:p>
        </w:tc>
      </w:tr>
      <w:tr w:rsidR="00CD298D" w:rsidRPr="00F40A43" w14:paraId="1B128964" w14:textId="77777777" w:rsidTr="0061186F">
        <w:tc>
          <w:tcPr>
            <w:tcW w:w="4315" w:type="dxa"/>
            <w:shd w:val="clear" w:color="auto" w:fill="auto"/>
          </w:tcPr>
          <w:p w14:paraId="5A2B9DDB" w14:textId="799BA3FC" w:rsidR="00CD298D" w:rsidRPr="00F40A43" w:rsidRDefault="00CD298D" w:rsidP="00CD298D">
            <w:pPr>
              <w:rPr>
                <w:rFonts w:asciiTheme="minorHAnsi" w:hAnsiTheme="minorHAnsi"/>
                <w:iCs/>
                <w:sz w:val="22"/>
                <w:szCs w:val="22"/>
              </w:rPr>
            </w:pPr>
            <w:r w:rsidRPr="00F40A43">
              <w:rPr>
                <w:rFonts w:asciiTheme="minorHAnsi" w:hAnsiTheme="minorHAnsi"/>
                <w:sz w:val="22"/>
                <w:szCs w:val="22"/>
              </w:rPr>
              <w:t>(5) Hospital</w:t>
            </w:r>
            <w:r w:rsidR="0061186F" w:rsidRPr="00F40A43">
              <w:rPr>
                <w:rFonts w:asciiTheme="minorHAnsi" w:hAnsiTheme="minorHAnsi"/>
                <w:sz w:val="22"/>
                <w:szCs w:val="22"/>
              </w:rPr>
              <w:t>s</w:t>
            </w:r>
            <w:r w:rsidRPr="00F40A43">
              <w:rPr>
                <w:rFonts w:asciiTheme="minorHAnsi" w:hAnsiTheme="minorHAnsi"/>
                <w:sz w:val="22"/>
                <w:szCs w:val="22"/>
              </w:rPr>
              <w:t xml:space="preserve"> / Healthcare Provider</w:t>
            </w:r>
            <w:r w:rsidR="0061186F" w:rsidRPr="00F40A43">
              <w:rPr>
                <w:rFonts w:asciiTheme="minorHAnsi" w:hAnsiTheme="minorHAnsi"/>
                <w:sz w:val="22"/>
                <w:szCs w:val="22"/>
              </w:rPr>
              <w:t>s</w:t>
            </w:r>
          </w:p>
        </w:tc>
        <w:tc>
          <w:tcPr>
            <w:tcW w:w="2430" w:type="dxa"/>
            <w:shd w:val="clear" w:color="auto" w:fill="auto"/>
          </w:tcPr>
          <w:p w14:paraId="5653C1CF" w14:textId="7C844872" w:rsidR="00CD298D" w:rsidRPr="00F40A43" w:rsidRDefault="00CD298D" w:rsidP="00CD298D">
            <w:pPr>
              <w:jc w:val="center"/>
              <w:rPr>
                <w:rFonts w:asciiTheme="minorHAnsi" w:hAnsiTheme="minorHAnsi"/>
                <w:iCs/>
                <w:sz w:val="22"/>
                <w:szCs w:val="22"/>
              </w:rPr>
            </w:pPr>
            <w:r w:rsidRPr="00F40A43">
              <w:rPr>
                <w:rFonts w:asciiTheme="minorHAnsi" w:hAnsiTheme="minorHAnsi"/>
                <w:iCs/>
                <w:sz w:val="22"/>
                <w:szCs w:val="22"/>
              </w:rPr>
              <w:t>22</w:t>
            </w:r>
          </w:p>
        </w:tc>
        <w:tc>
          <w:tcPr>
            <w:tcW w:w="2605" w:type="dxa"/>
            <w:shd w:val="clear" w:color="auto" w:fill="auto"/>
            <w:vAlign w:val="center"/>
          </w:tcPr>
          <w:p w14:paraId="663F0793" w14:textId="60007AE2" w:rsidR="00CD298D" w:rsidRPr="00F40A43" w:rsidRDefault="00CD298D" w:rsidP="00CD298D">
            <w:pPr>
              <w:jc w:val="center"/>
              <w:rPr>
                <w:rFonts w:asciiTheme="minorHAnsi" w:hAnsiTheme="minorHAnsi"/>
                <w:iCs/>
                <w:sz w:val="22"/>
                <w:szCs w:val="22"/>
              </w:rPr>
            </w:pPr>
            <w:r w:rsidRPr="00F40A43">
              <w:rPr>
                <w:rFonts w:asciiTheme="minorHAnsi" w:hAnsiTheme="minorHAnsi"/>
                <w:sz w:val="22"/>
                <w:szCs w:val="22"/>
              </w:rPr>
              <w:t>11</w:t>
            </w:r>
          </w:p>
        </w:tc>
      </w:tr>
      <w:tr w:rsidR="00CD298D" w:rsidRPr="00F40A43" w14:paraId="2D12E1DB" w14:textId="77777777" w:rsidTr="0061186F">
        <w:tc>
          <w:tcPr>
            <w:tcW w:w="4315" w:type="dxa"/>
            <w:shd w:val="clear" w:color="auto" w:fill="auto"/>
          </w:tcPr>
          <w:p w14:paraId="312D85E4" w14:textId="53404CBF" w:rsidR="00CD298D" w:rsidRPr="00F40A43" w:rsidRDefault="00CD298D" w:rsidP="00CD298D">
            <w:pPr>
              <w:rPr>
                <w:rFonts w:asciiTheme="minorHAnsi" w:hAnsiTheme="minorHAnsi"/>
                <w:iCs/>
                <w:sz w:val="22"/>
                <w:szCs w:val="22"/>
              </w:rPr>
            </w:pPr>
            <w:r w:rsidRPr="00F40A43">
              <w:rPr>
                <w:rFonts w:asciiTheme="minorHAnsi" w:hAnsiTheme="minorHAnsi"/>
                <w:sz w:val="22"/>
                <w:szCs w:val="22"/>
              </w:rPr>
              <w:t>(6) Health Insurance</w:t>
            </w:r>
          </w:p>
        </w:tc>
        <w:tc>
          <w:tcPr>
            <w:tcW w:w="2430" w:type="dxa"/>
            <w:shd w:val="clear" w:color="auto" w:fill="auto"/>
          </w:tcPr>
          <w:p w14:paraId="3A763706" w14:textId="2614503C" w:rsidR="00CD298D" w:rsidRPr="00F40A43" w:rsidRDefault="00CD298D" w:rsidP="00CD298D">
            <w:pPr>
              <w:jc w:val="center"/>
              <w:rPr>
                <w:rFonts w:asciiTheme="minorHAnsi" w:hAnsiTheme="minorHAnsi"/>
                <w:iCs/>
                <w:sz w:val="22"/>
                <w:szCs w:val="22"/>
              </w:rPr>
            </w:pPr>
            <w:r w:rsidRPr="00F40A43">
              <w:rPr>
                <w:rFonts w:asciiTheme="minorHAnsi" w:hAnsiTheme="minorHAnsi"/>
                <w:iCs/>
                <w:sz w:val="22"/>
                <w:szCs w:val="22"/>
              </w:rPr>
              <w:t>18</w:t>
            </w:r>
          </w:p>
        </w:tc>
        <w:tc>
          <w:tcPr>
            <w:tcW w:w="2605" w:type="dxa"/>
            <w:shd w:val="clear" w:color="auto" w:fill="auto"/>
            <w:vAlign w:val="center"/>
          </w:tcPr>
          <w:p w14:paraId="6429A7AF" w14:textId="0D7727C4" w:rsidR="00CD298D" w:rsidRPr="00F40A43" w:rsidRDefault="00CD298D" w:rsidP="00CD298D">
            <w:pPr>
              <w:jc w:val="center"/>
              <w:rPr>
                <w:rFonts w:asciiTheme="minorHAnsi" w:hAnsiTheme="minorHAnsi"/>
                <w:iCs/>
                <w:sz w:val="22"/>
                <w:szCs w:val="22"/>
              </w:rPr>
            </w:pPr>
            <w:r w:rsidRPr="00F40A43">
              <w:rPr>
                <w:rFonts w:asciiTheme="minorHAnsi" w:hAnsiTheme="minorHAnsi"/>
                <w:sz w:val="22"/>
                <w:szCs w:val="22"/>
              </w:rPr>
              <w:t>9</w:t>
            </w:r>
          </w:p>
        </w:tc>
      </w:tr>
      <w:tr w:rsidR="00CD298D" w:rsidRPr="00F40A43" w14:paraId="612BB819" w14:textId="77777777" w:rsidTr="0061186F">
        <w:tc>
          <w:tcPr>
            <w:tcW w:w="4315" w:type="dxa"/>
            <w:shd w:val="clear" w:color="auto" w:fill="auto"/>
          </w:tcPr>
          <w:p w14:paraId="0A0D338D" w14:textId="2BCDD712" w:rsidR="00CD298D" w:rsidRPr="00F40A43" w:rsidRDefault="00CD298D" w:rsidP="00CD298D">
            <w:pPr>
              <w:rPr>
                <w:rFonts w:asciiTheme="minorHAnsi" w:hAnsiTheme="minorHAnsi"/>
                <w:iCs/>
                <w:sz w:val="22"/>
                <w:szCs w:val="22"/>
              </w:rPr>
            </w:pPr>
            <w:r w:rsidRPr="00F40A43">
              <w:rPr>
                <w:rFonts w:asciiTheme="minorHAnsi" w:hAnsiTheme="minorHAnsi"/>
                <w:sz w:val="22"/>
                <w:szCs w:val="22"/>
              </w:rPr>
              <w:t>(7) Logistics / Transportation</w:t>
            </w:r>
          </w:p>
        </w:tc>
        <w:tc>
          <w:tcPr>
            <w:tcW w:w="2430" w:type="dxa"/>
            <w:shd w:val="clear" w:color="auto" w:fill="auto"/>
          </w:tcPr>
          <w:p w14:paraId="377F5302" w14:textId="7456D4FA" w:rsidR="00CD298D" w:rsidRPr="00F40A43" w:rsidRDefault="00CD298D" w:rsidP="00CD298D">
            <w:pPr>
              <w:jc w:val="center"/>
              <w:rPr>
                <w:rFonts w:asciiTheme="minorHAnsi" w:hAnsiTheme="minorHAnsi"/>
                <w:iCs/>
                <w:sz w:val="22"/>
                <w:szCs w:val="22"/>
              </w:rPr>
            </w:pPr>
            <w:r w:rsidRPr="00F40A43">
              <w:rPr>
                <w:rFonts w:asciiTheme="minorHAnsi" w:hAnsiTheme="minorHAnsi"/>
                <w:iCs/>
                <w:sz w:val="22"/>
                <w:szCs w:val="22"/>
              </w:rPr>
              <w:t>18</w:t>
            </w:r>
          </w:p>
        </w:tc>
        <w:tc>
          <w:tcPr>
            <w:tcW w:w="2605" w:type="dxa"/>
            <w:shd w:val="clear" w:color="auto" w:fill="auto"/>
            <w:vAlign w:val="center"/>
          </w:tcPr>
          <w:p w14:paraId="2AA042B4" w14:textId="2F3D40C1" w:rsidR="00CD298D" w:rsidRPr="00F40A43" w:rsidRDefault="00CD298D" w:rsidP="00CD298D">
            <w:pPr>
              <w:jc w:val="center"/>
              <w:rPr>
                <w:rFonts w:asciiTheme="minorHAnsi" w:hAnsiTheme="minorHAnsi"/>
                <w:iCs/>
                <w:sz w:val="22"/>
                <w:szCs w:val="22"/>
              </w:rPr>
            </w:pPr>
            <w:r w:rsidRPr="00F40A43">
              <w:rPr>
                <w:rFonts w:asciiTheme="minorHAnsi" w:hAnsiTheme="minorHAnsi"/>
                <w:sz w:val="22"/>
                <w:szCs w:val="22"/>
              </w:rPr>
              <w:t>9</w:t>
            </w:r>
          </w:p>
        </w:tc>
      </w:tr>
      <w:tr w:rsidR="00CD298D" w:rsidRPr="00F40A43" w14:paraId="145C5AD0" w14:textId="77777777" w:rsidTr="0061186F">
        <w:tc>
          <w:tcPr>
            <w:tcW w:w="4315" w:type="dxa"/>
            <w:shd w:val="clear" w:color="auto" w:fill="auto"/>
          </w:tcPr>
          <w:p w14:paraId="65428693" w14:textId="06D9B51F" w:rsidR="00CD298D" w:rsidRPr="00F40A43" w:rsidRDefault="00CD298D" w:rsidP="00CD298D">
            <w:pPr>
              <w:rPr>
                <w:rFonts w:asciiTheme="minorHAnsi" w:hAnsiTheme="minorHAnsi"/>
                <w:iCs/>
                <w:sz w:val="22"/>
                <w:szCs w:val="22"/>
              </w:rPr>
            </w:pPr>
            <w:r w:rsidRPr="00F40A43">
              <w:rPr>
                <w:rFonts w:asciiTheme="minorHAnsi" w:hAnsiTheme="minorHAnsi"/>
                <w:sz w:val="22"/>
                <w:szCs w:val="22"/>
              </w:rPr>
              <w:t>(8) Charitable Organization</w:t>
            </w:r>
            <w:r w:rsidR="0061186F" w:rsidRPr="00F40A43">
              <w:rPr>
                <w:rFonts w:asciiTheme="minorHAnsi" w:hAnsiTheme="minorHAnsi"/>
                <w:sz w:val="22"/>
                <w:szCs w:val="22"/>
              </w:rPr>
              <w:t>s</w:t>
            </w:r>
            <w:r w:rsidRPr="00F40A43">
              <w:rPr>
                <w:rFonts w:asciiTheme="minorHAnsi" w:hAnsiTheme="minorHAnsi"/>
                <w:sz w:val="22"/>
                <w:szCs w:val="22"/>
              </w:rPr>
              <w:t xml:space="preserve"> / Foundation</w:t>
            </w:r>
            <w:r w:rsidR="0061186F" w:rsidRPr="00F40A43">
              <w:rPr>
                <w:rFonts w:asciiTheme="minorHAnsi" w:hAnsiTheme="minorHAnsi"/>
                <w:sz w:val="22"/>
                <w:szCs w:val="22"/>
              </w:rPr>
              <w:t>s</w:t>
            </w:r>
          </w:p>
        </w:tc>
        <w:tc>
          <w:tcPr>
            <w:tcW w:w="2430" w:type="dxa"/>
            <w:shd w:val="clear" w:color="auto" w:fill="auto"/>
          </w:tcPr>
          <w:p w14:paraId="44319A08" w14:textId="42356A17" w:rsidR="00CD298D" w:rsidRPr="00F40A43" w:rsidRDefault="00CD298D" w:rsidP="00CD298D">
            <w:pPr>
              <w:jc w:val="center"/>
              <w:rPr>
                <w:rFonts w:asciiTheme="minorHAnsi" w:hAnsiTheme="minorHAnsi"/>
                <w:iCs/>
                <w:sz w:val="22"/>
                <w:szCs w:val="22"/>
              </w:rPr>
            </w:pPr>
            <w:r w:rsidRPr="00F40A43">
              <w:rPr>
                <w:rFonts w:asciiTheme="minorHAnsi" w:hAnsiTheme="minorHAnsi"/>
                <w:iCs/>
                <w:sz w:val="22"/>
                <w:szCs w:val="22"/>
              </w:rPr>
              <w:t>18</w:t>
            </w:r>
          </w:p>
        </w:tc>
        <w:tc>
          <w:tcPr>
            <w:tcW w:w="2605" w:type="dxa"/>
            <w:shd w:val="clear" w:color="auto" w:fill="auto"/>
            <w:vAlign w:val="center"/>
          </w:tcPr>
          <w:p w14:paraId="3DEEFC93" w14:textId="5BE9E894" w:rsidR="00CD298D" w:rsidRPr="00F40A43" w:rsidRDefault="00CD298D" w:rsidP="00CD298D">
            <w:pPr>
              <w:jc w:val="center"/>
              <w:rPr>
                <w:rFonts w:asciiTheme="minorHAnsi" w:hAnsiTheme="minorHAnsi"/>
                <w:iCs/>
                <w:sz w:val="22"/>
                <w:szCs w:val="22"/>
              </w:rPr>
            </w:pPr>
            <w:r w:rsidRPr="00F40A43">
              <w:rPr>
                <w:rFonts w:asciiTheme="minorHAnsi" w:hAnsiTheme="minorHAnsi"/>
                <w:sz w:val="22"/>
                <w:szCs w:val="22"/>
              </w:rPr>
              <w:t>9</w:t>
            </w:r>
          </w:p>
        </w:tc>
      </w:tr>
      <w:tr w:rsidR="00AA39D7" w:rsidRPr="00F40A43" w14:paraId="6D411B89" w14:textId="77777777" w:rsidTr="0061186F">
        <w:tc>
          <w:tcPr>
            <w:tcW w:w="4315" w:type="dxa"/>
            <w:shd w:val="clear" w:color="auto" w:fill="auto"/>
          </w:tcPr>
          <w:p w14:paraId="274E8D29" w14:textId="77777777" w:rsidR="00AA39D7" w:rsidRPr="00F40A43" w:rsidRDefault="00AA39D7" w:rsidP="009E0615">
            <w:pPr>
              <w:rPr>
                <w:rFonts w:asciiTheme="minorHAnsi" w:hAnsiTheme="minorHAnsi"/>
                <w:b/>
                <w:iCs/>
                <w:sz w:val="22"/>
                <w:szCs w:val="22"/>
              </w:rPr>
            </w:pPr>
            <w:r w:rsidRPr="00F40A43">
              <w:rPr>
                <w:rFonts w:asciiTheme="minorHAnsi" w:hAnsiTheme="minorHAnsi"/>
                <w:b/>
                <w:iCs/>
                <w:sz w:val="22"/>
                <w:szCs w:val="22"/>
              </w:rPr>
              <w:t>Total</w:t>
            </w:r>
          </w:p>
        </w:tc>
        <w:tc>
          <w:tcPr>
            <w:tcW w:w="2430" w:type="dxa"/>
            <w:shd w:val="clear" w:color="auto" w:fill="auto"/>
          </w:tcPr>
          <w:p w14:paraId="0B8A2741" w14:textId="1633C428" w:rsidR="00AA39D7" w:rsidRPr="00F40A43" w:rsidRDefault="009E0615" w:rsidP="009E0615">
            <w:pPr>
              <w:jc w:val="center"/>
              <w:rPr>
                <w:rFonts w:asciiTheme="minorHAnsi" w:hAnsiTheme="minorHAnsi"/>
                <w:b/>
                <w:iCs/>
                <w:sz w:val="22"/>
                <w:szCs w:val="22"/>
              </w:rPr>
            </w:pPr>
            <w:r w:rsidRPr="00F40A43">
              <w:rPr>
                <w:rFonts w:asciiTheme="minorHAnsi" w:hAnsiTheme="minorHAnsi"/>
                <w:b/>
                <w:iCs/>
                <w:sz w:val="22"/>
                <w:szCs w:val="22"/>
              </w:rPr>
              <w:t>200</w:t>
            </w:r>
          </w:p>
        </w:tc>
        <w:tc>
          <w:tcPr>
            <w:tcW w:w="2605" w:type="dxa"/>
            <w:shd w:val="clear" w:color="auto" w:fill="auto"/>
          </w:tcPr>
          <w:p w14:paraId="4E10956B" w14:textId="50257B76" w:rsidR="00AA39D7" w:rsidRPr="00F40A43" w:rsidRDefault="009E0615" w:rsidP="009E0615">
            <w:pPr>
              <w:jc w:val="center"/>
              <w:rPr>
                <w:rFonts w:asciiTheme="minorHAnsi" w:hAnsiTheme="minorHAnsi"/>
                <w:b/>
                <w:iCs/>
                <w:sz w:val="22"/>
                <w:szCs w:val="22"/>
              </w:rPr>
            </w:pPr>
            <w:r w:rsidRPr="00F40A43">
              <w:rPr>
                <w:rFonts w:asciiTheme="minorHAnsi" w:hAnsiTheme="minorHAnsi"/>
                <w:b/>
                <w:iCs/>
                <w:sz w:val="22"/>
                <w:szCs w:val="22"/>
              </w:rPr>
              <w:t>100</w:t>
            </w:r>
          </w:p>
        </w:tc>
      </w:tr>
    </w:tbl>
    <w:p w14:paraId="2B6C8FC9" w14:textId="77777777" w:rsidR="00005C51" w:rsidRDefault="00005C51" w:rsidP="005453AD">
      <w:pPr>
        <w:jc w:val="both"/>
        <w:rPr>
          <w:rFonts w:asciiTheme="minorHAnsi" w:hAnsiTheme="minorHAnsi"/>
        </w:rPr>
      </w:pPr>
    </w:p>
    <w:p w14:paraId="4A87CF05" w14:textId="7ED4D899" w:rsidR="00005C51" w:rsidRPr="00F40A43" w:rsidRDefault="00005C51" w:rsidP="005453AD">
      <w:pPr>
        <w:jc w:val="both"/>
        <w:rPr>
          <w:rFonts w:asciiTheme="minorHAnsi" w:hAnsiTheme="minorHAnsi"/>
          <w:b/>
          <w:bCs/>
          <w:sz w:val="22"/>
          <w:szCs w:val="22"/>
        </w:rPr>
      </w:pPr>
      <w:r w:rsidRPr="00F40A43">
        <w:rPr>
          <w:rFonts w:asciiTheme="minorHAnsi" w:hAnsiTheme="minorHAnsi"/>
          <w:sz w:val="22"/>
          <w:szCs w:val="22"/>
        </w:rPr>
        <w:t>Based on the prior experience of the research team, these target sample sizes will be sufficient to achieve thematic saturation in each sector.</w:t>
      </w:r>
    </w:p>
    <w:p w14:paraId="197213DC" w14:textId="77777777" w:rsidR="005453AD" w:rsidRPr="002F7931" w:rsidRDefault="005453AD" w:rsidP="00BA64B7">
      <w:pPr>
        <w:pStyle w:val="Heading1"/>
        <w:rPr>
          <w:rFonts w:asciiTheme="majorHAnsi" w:hAnsiTheme="majorHAnsi"/>
          <w:sz w:val="24"/>
          <w:szCs w:val="24"/>
        </w:rPr>
      </w:pPr>
      <w:bookmarkStart w:id="6" w:name="_Toc151782200"/>
      <w:bookmarkStart w:id="7" w:name="_Toc158526236"/>
      <w:bookmarkStart w:id="8" w:name="_Toc469402835"/>
      <w:r w:rsidRPr="002F7931">
        <w:rPr>
          <w:rFonts w:asciiTheme="majorHAnsi" w:hAnsiTheme="majorHAnsi"/>
          <w:sz w:val="24"/>
          <w:szCs w:val="24"/>
        </w:rPr>
        <w:t xml:space="preserve">2. </w:t>
      </w:r>
      <w:bookmarkEnd w:id="6"/>
      <w:bookmarkEnd w:id="7"/>
      <w:r w:rsidR="00494438" w:rsidRPr="002F7931">
        <w:rPr>
          <w:rFonts w:asciiTheme="majorHAnsi" w:hAnsiTheme="majorHAnsi"/>
          <w:sz w:val="24"/>
          <w:szCs w:val="24"/>
        </w:rPr>
        <w:t>Procedures for the Collection of Information</w:t>
      </w:r>
      <w:bookmarkEnd w:id="8"/>
    </w:p>
    <w:p w14:paraId="6EBC7EBA" w14:textId="77777777" w:rsidR="001B2C89" w:rsidRDefault="001B2C89" w:rsidP="001B2C89">
      <w:pPr>
        <w:rPr>
          <w:rFonts w:asciiTheme="minorHAnsi" w:hAnsiTheme="minorHAnsi"/>
          <w:b/>
          <w:u w:val="single"/>
        </w:rPr>
      </w:pPr>
    </w:p>
    <w:p w14:paraId="5ED6EBFF" w14:textId="672CD216" w:rsidR="001F187D" w:rsidRPr="0061186F" w:rsidRDefault="001B2C89" w:rsidP="001F187D">
      <w:pPr>
        <w:rPr>
          <w:rFonts w:asciiTheme="minorHAnsi" w:hAnsiTheme="minorHAnsi"/>
          <w:b/>
          <w:u w:val="single"/>
        </w:rPr>
      </w:pPr>
      <w:r w:rsidRPr="00AF548B">
        <w:rPr>
          <w:rFonts w:asciiTheme="minorHAnsi" w:hAnsiTheme="minorHAnsi"/>
          <w:b/>
          <w:u w:val="single"/>
        </w:rPr>
        <w:t>Part A: Indust</w:t>
      </w:r>
      <w:r>
        <w:rPr>
          <w:rFonts w:asciiTheme="minorHAnsi" w:hAnsiTheme="minorHAnsi"/>
          <w:b/>
          <w:u w:val="single"/>
        </w:rPr>
        <w:t>ry-tailored interview campaigns</w:t>
      </w:r>
    </w:p>
    <w:p w14:paraId="3C08B0F1" w14:textId="3675E1F1" w:rsidR="001F187D" w:rsidRPr="00F40A43" w:rsidRDefault="001F187D" w:rsidP="001F187D">
      <w:pPr>
        <w:rPr>
          <w:rFonts w:asciiTheme="minorHAnsi" w:hAnsiTheme="minorHAnsi"/>
          <w:b/>
          <w:sz w:val="22"/>
          <w:szCs w:val="22"/>
        </w:rPr>
      </w:pPr>
      <w:r w:rsidRPr="00F40A43">
        <w:rPr>
          <w:rFonts w:asciiTheme="minorHAnsi" w:hAnsiTheme="minorHAnsi"/>
          <w:b/>
          <w:sz w:val="22"/>
          <w:szCs w:val="22"/>
        </w:rPr>
        <w:t xml:space="preserve">Sampling </w:t>
      </w:r>
      <w:r w:rsidR="00F22079" w:rsidRPr="00F40A43">
        <w:rPr>
          <w:rFonts w:asciiTheme="minorHAnsi" w:hAnsiTheme="minorHAnsi"/>
          <w:b/>
          <w:sz w:val="22"/>
          <w:szCs w:val="22"/>
        </w:rPr>
        <w:t>Strategy</w:t>
      </w:r>
      <w:r w:rsidRPr="00F40A43">
        <w:rPr>
          <w:rFonts w:asciiTheme="minorHAnsi" w:hAnsiTheme="minorHAnsi"/>
          <w:b/>
          <w:sz w:val="22"/>
          <w:szCs w:val="22"/>
        </w:rPr>
        <w:t>:</w:t>
      </w:r>
      <w:r w:rsidR="00F22079" w:rsidRPr="00F40A43">
        <w:rPr>
          <w:rFonts w:asciiTheme="minorHAnsi" w:hAnsiTheme="minorHAnsi"/>
          <w:b/>
          <w:sz w:val="22"/>
          <w:szCs w:val="22"/>
        </w:rPr>
        <w:t xml:space="preserve">  </w:t>
      </w:r>
      <w:r w:rsidR="00F22079" w:rsidRPr="00F40A43">
        <w:rPr>
          <w:rFonts w:asciiTheme="minorHAnsi" w:hAnsiTheme="minorHAnsi"/>
          <w:sz w:val="22"/>
          <w:szCs w:val="22"/>
        </w:rPr>
        <w:t>A key informant and snowballing sampling strategy will be used.  The research team will identify willing participants through PwC’s and CDC’s network of private profit and non-profit organizations</w:t>
      </w:r>
      <w:r w:rsidR="0015078B" w:rsidRPr="00F40A43">
        <w:rPr>
          <w:rFonts w:asciiTheme="minorHAnsi" w:hAnsiTheme="minorHAnsi"/>
          <w:sz w:val="22"/>
          <w:szCs w:val="22"/>
        </w:rPr>
        <w:t xml:space="preserve">, mutual contacts, and previous or current work relationships. </w:t>
      </w:r>
      <w:r w:rsidR="00F22079" w:rsidRPr="00F40A43">
        <w:rPr>
          <w:rFonts w:asciiTheme="minorHAnsi" w:hAnsiTheme="minorHAnsi"/>
          <w:sz w:val="22"/>
          <w:szCs w:val="22"/>
        </w:rPr>
        <w:t>After they have been identified, potential interview respondents will be sent an e</w:t>
      </w:r>
      <w:r w:rsidR="0015078B" w:rsidRPr="00F40A43">
        <w:rPr>
          <w:rFonts w:asciiTheme="minorHAnsi" w:hAnsiTheme="minorHAnsi"/>
          <w:sz w:val="22"/>
          <w:szCs w:val="22"/>
        </w:rPr>
        <w:t>-</w:t>
      </w:r>
      <w:r w:rsidR="00F22079" w:rsidRPr="00F40A43">
        <w:rPr>
          <w:rFonts w:asciiTheme="minorHAnsi" w:hAnsiTheme="minorHAnsi"/>
          <w:sz w:val="22"/>
          <w:szCs w:val="22"/>
        </w:rPr>
        <w:t>mail that provides details about the study and the data collection procedure itself (</w:t>
      </w:r>
      <w:r w:rsidR="00F22079" w:rsidRPr="00F40A43">
        <w:rPr>
          <w:rFonts w:asciiTheme="minorHAnsi" w:hAnsiTheme="minorHAnsi"/>
          <w:b/>
          <w:sz w:val="22"/>
          <w:szCs w:val="22"/>
        </w:rPr>
        <w:t>Attachment E – Recruitment E-mail for Potential Interview Participants</w:t>
      </w:r>
      <w:r w:rsidR="00F22079" w:rsidRPr="00F40A43">
        <w:rPr>
          <w:rFonts w:asciiTheme="minorHAnsi" w:hAnsiTheme="minorHAnsi"/>
          <w:sz w:val="22"/>
          <w:szCs w:val="22"/>
        </w:rPr>
        <w:t xml:space="preserve">).  </w:t>
      </w:r>
    </w:p>
    <w:p w14:paraId="3478CF90" w14:textId="77777777" w:rsidR="001F187D" w:rsidRPr="00F40A43" w:rsidRDefault="001F187D" w:rsidP="001F187D">
      <w:pPr>
        <w:rPr>
          <w:rFonts w:asciiTheme="minorHAnsi" w:hAnsiTheme="minorHAnsi"/>
          <w:b/>
          <w:sz w:val="22"/>
          <w:szCs w:val="22"/>
          <w:u w:val="single"/>
        </w:rPr>
      </w:pPr>
    </w:p>
    <w:p w14:paraId="5D7FD25B" w14:textId="58181443" w:rsidR="00F22079" w:rsidRPr="00F40A43" w:rsidRDefault="00F22079" w:rsidP="001F187D">
      <w:pPr>
        <w:rPr>
          <w:rFonts w:asciiTheme="minorHAnsi" w:hAnsiTheme="minorHAnsi"/>
          <w:b/>
          <w:sz w:val="22"/>
          <w:szCs w:val="22"/>
        </w:rPr>
      </w:pPr>
      <w:r w:rsidRPr="00F40A43">
        <w:rPr>
          <w:rFonts w:asciiTheme="minorHAnsi" w:hAnsiTheme="minorHAnsi"/>
          <w:b/>
          <w:sz w:val="22"/>
          <w:szCs w:val="22"/>
        </w:rPr>
        <w:t xml:space="preserve">Information Collection:  </w:t>
      </w:r>
      <w:r w:rsidRPr="00F40A43">
        <w:rPr>
          <w:rFonts w:asciiTheme="minorHAnsi" w:hAnsiTheme="minorHAnsi"/>
          <w:sz w:val="22"/>
          <w:szCs w:val="22"/>
        </w:rPr>
        <w:t>After the potential interviewee con</w:t>
      </w:r>
      <w:r w:rsidR="0015078B" w:rsidRPr="00F40A43">
        <w:rPr>
          <w:rFonts w:asciiTheme="minorHAnsi" w:hAnsiTheme="minorHAnsi"/>
          <w:sz w:val="22"/>
          <w:szCs w:val="22"/>
        </w:rPr>
        <w:t>sents to take</w:t>
      </w:r>
      <w:r w:rsidRPr="00F40A43">
        <w:rPr>
          <w:rFonts w:asciiTheme="minorHAnsi" w:hAnsiTheme="minorHAnsi"/>
          <w:sz w:val="22"/>
          <w:szCs w:val="22"/>
        </w:rPr>
        <w:t xml:space="preserve"> part in this portion of the study</w:t>
      </w:r>
      <w:r w:rsidR="0015078B" w:rsidRPr="00F40A43">
        <w:rPr>
          <w:rFonts w:asciiTheme="minorHAnsi" w:hAnsiTheme="minorHAnsi"/>
          <w:sz w:val="22"/>
          <w:szCs w:val="22"/>
        </w:rPr>
        <w:t>,</w:t>
      </w:r>
      <w:r w:rsidRPr="00F40A43">
        <w:rPr>
          <w:rFonts w:asciiTheme="minorHAnsi" w:hAnsiTheme="minorHAnsi"/>
          <w:sz w:val="22"/>
          <w:szCs w:val="22"/>
        </w:rPr>
        <w:t xml:space="preserve"> the interview will be conducted via phone or in-person.  All interviews will be conducted by PwC employees who are members of the research team</w:t>
      </w:r>
      <w:r w:rsidR="00526CC1" w:rsidRPr="00F40A43">
        <w:rPr>
          <w:rFonts w:asciiTheme="minorHAnsi" w:hAnsiTheme="minorHAnsi"/>
          <w:sz w:val="22"/>
          <w:szCs w:val="22"/>
        </w:rPr>
        <w:t>,</w:t>
      </w:r>
      <w:r w:rsidRPr="00F40A43">
        <w:rPr>
          <w:rFonts w:asciiTheme="minorHAnsi" w:hAnsiTheme="minorHAnsi"/>
          <w:sz w:val="22"/>
          <w:szCs w:val="22"/>
        </w:rPr>
        <w:t xml:space="preserve"> using </w:t>
      </w:r>
      <w:r w:rsidRPr="00F40A43">
        <w:rPr>
          <w:rFonts w:asciiTheme="minorHAnsi" w:hAnsiTheme="minorHAnsi"/>
          <w:b/>
          <w:sz w:val="22"/>
          <w:szCs w:val="22"/>
        </w:rPr>
        <w:t>Attachment C – Interview Guide</w:t>
      </w:r>
      <w:r w:rsidRPr="00F40A43">
        <w:rPr>
          <w:rFonts w:asciiTheme="minorHAnsi" w:hAnsiTheme="minorHAnsi"/>
          <w:sz w:val="22"/>
          <w:szCs w:val="22"/>
        </w:rPr>
        <w:t xml:space="preserve"> as a script.  Each interview team will consist of either one or two </w:t>
      </w:r>
      <w:r w:rsidR="004F3F35" w:rsidRPr="00F40A43">
        <w:rPr>
          <w:rFonts w:asciiTheme="minorHAnsi" w:hAnsiTheme="minorHAnsi"/>
          <w:sz w:val="22"/>
          <w:szCs w:val="22"/>
        </w:rPr>
        <w:t>PwC employees</w:t>
      </w:r>
      <w:r w:rsidR="00E40C88" w:rsidRPr="00F40A43">
        <w:rPr>
          <w:rFonts w:asciiTheme="minorHAnsi" w:hAnsiTheme="minorHAnsi"/>
          <w:sz w:val="22"/>
          <w:szCs w:val="22"/>
        </w:rPr>
        <w:t xml:space="preserve"> who have been trained to collect information efficiently and accurately via interviews</w:t>
      </w:r>
      <w:r w:rsidRPr="00F40A43">
        <w:rPr>
          <w:rFonts w:asciiTheme="minorHAnsi" w:hAnsiTheme="minorHAnsi"/>
          <w:sz w:val="22"/>
          <w:szCs w:val="22"/>
        </w:rPr>
        <w:t>.</w:t>
      </w:r>
      <w:r w:rsidR="004F3F35" w:rsidRPr="00F40A43">
        <w:rPr>
          <w:rFonts w:asciiTheme="minorHAnsi" w:hAnsiTheme="minorHAnsi"/>
          <w:sz w:val="22"/>
          <w:szCs w:val="22"/>
        </w:rPr>
        <w:t xml:space="preserve">  </w:t>
      </w:r>
      <w:r w:rsidR="002F5365" w:rsidRPr="00F40A43">
        <w:rPr>
          <w:rFonts w:asciiTheme="minorHAnsi" w:hAnsiTheme="minorHAnsi"/>
          <w:sz w:val="22"/>
          <w:szCs w:val="22"/>
        </w:rPr>
        <w:t xml:space="preserve">Interview data will be recorded as either typed or hand-written notes before it is consolidated (if multiple interviewers are present) and summarized.  </w:t>
      </w:r>
      <w:r w:rsidR="00526CC1" w:rsidRPr="00F40A43">
        <w:rPr>
          <w:rFonts w:asciiTheme="minorHAnsi" w:hAnsiTheme="minorHAnsi"/>
          <w:sz w:val="22"/>
          <w:szCs w:val="22"/>
        </w:rPr>
        <w:t xml:space="preserve">Each interview will take </w:t>
      </w:r>
      <w:r w:rsidR="004F3F35" w:rsidRPr="00F40A43">
        <w:rPr>
          <w:rFonts w:asciiTheme="minorHAnsi" w:hAnsiTheme="minorHAnsi"/>
          <w:sz w:val="22"/>
          <w:szCs w:val="22"/>
        </w:rPr>
        <w:t>approximately 60 minutes</w:t>
      </w:r>
      <w:r w:rsidR="00526CC1" w:rsidRPr="00F40A43">
        <w:rPr>
          <w:rFonts w:asciiTheme="minorHAnsi" w:hAnsiTheme="minorHAnsi"/>
          <w:sz w:val="22"/>
          <w:szCs w:val="22"/>
        </w:rPr>
        <w:t xml:space="preserve"> to complete</w:t>
      </w:r>
      <w:r w:rsidR="004F3F35" w:rsidRPr="00F40A43">
        <w:rPr>
          <w:rFonts w:asciiTheme="minorHAnsi" w:hAnsiTheme="minorHAnsi"/>
          <w:sz w:val="22"/>
          <w:szCs w:val="22"/>
        </w:rPr>
        <w:t>.</w:t>
      </w:r>
    </w:p>
    <w:p w14:paraId="67BB8528" w14:textId="77777777" w:rsidR="001F187D" w:rsidRPr="00F40A43" w:rsidRDefault="001F187D" w:rsidP="001F187D">
      <w:pPr>
        <w:rPr>
          <w:rFonts w:asciiTheme="minorHAnsi" w:hAnsiTheme="minorHAnsi"/>
          <w:b/>
          <w:sz w:val="22"/>
          <w:szCs w:val="22"/>
        </w:rPr>
      </w:pPr>
    </w:p>
    <w:p w14:paraId="2E4FA266" w14:textId="29B81054" w:rsidR="002F5365" w:rsidRPr="00F40A43" w:rsidRDefault="001F187D" w:rsidP="001B2C89">
      <w:pPr>
        <w:rPr>
          <w:rFonts w:asciiTheme="minorHAnsi" w:hAnsiTheme="minorHAnsi"/>
          <w:b/>
          <w:sz w:val="22"/>
          <w:szCs w:val="22"/>
        </w:rPr>
      </w:pPr>
      <w:r w:rsidRPr="00F40A43">
        <w:rPr>
          <w:rFonts w:asciiTheme="minorHAnsi" w:hAnsiTheme="minorHAnsi"/>
          <w:b/>
          <w:sz w:val="22"/>
          <w:szCs w:val="22"/>
        </w:rPr>
        <w:t xml:space="preserve">Estimation procedure: </w:t>
      </w:r>
      <w:r w:rsidR="002F5365" w:rsidRPr="00F40A43">
        <w:rPr>
          <w:rFonts w:asciiTheme="minorHAnsi" w:hAnsiTheme="minorHAnsi"/>
          <w:b/>
          <w:sz w:val="22"/>
          <w:szCs w:val="22"/>
        </w:rPr>
        <w:t xml:space="preserve"> </w:t>
      </w:r>
      <w:r w:rsidR="002F5365" w:rsidRPr="00F40A43">
        <w:rPr>
          <w:rFonts w:asciiTheme="minorHAnsi" w:hAnsiTheme="minorHAnsi"/>
          <w:sz w:val="22"/>
          <w:szCs w:val="22"/>
        </w:rPr>
        <w:t xml:space="preserve">Interviews will be structured and analyzed using “Voice of the Customer” techniques which focus on deriving stakeholder wants and needs from a service-oriented lens.  The research team will read and discuss all </w:t>
      </w:r>
      <w:r w:rsidR="00526CC1" w:rsidRPr="00F40A43">
        <w:rPr>
          <w:rFonts w:asciiTheme="minorHAnsi" w:hAnsiTheme="minorHAnsi"/>
          <w:sz w:val="22"/>
          <w:szCs w:val="22"/>
        </w:rPr>
        <w:t xml:space="preserve">of </w:t>
      </w:r>
      <w:r w:rsidR="002F5365" w:rsidRPr="00F40A43">
        <w:rPr>
          <w:rFonts w:asciiTheme="minorHAnsi" w:hAnsiTheme="minorHAnsi"/>
          <w:sz w:val="22"/>
          <w:szCs w:val="22"/>
        </w:rPr>
        <w:t>the consolidated interview transcripts</w:t>
      </w:r>
      <w:r w:rsidR="00526CC1" w:rsidRPr="00F40A43">
        <w:rPr>
          <w:rFonts w:asciiTheme="minorHAnsi" w:hAnsiTheme="minorHAnsi"/>
          <w:sz w:val="22"/>
          <w:szCs w:val="22"/>
        </w:rPr>
        <w:t>,</w:t>
      </w:r>
      <w:r w:rsidR="002F5365" w:rsidRPr="00F40A43">
        <w:rPr>
          <w:rFonts w:asciiTheme="minorHAnsi" w:hAnsiTheme="minorHAnsi"/>
          <w:sz w:val="22"/>
          <w:szCs w:val="22"/>
        </w:rPr>
        <w:t xml:space="preserve"> and identify repeated themes and consistent observations from the respondents within the various industry groups.  </w:t>
      </w:r>
      <w:r w:rsidR="00526CC1" w:rsidRPr="00F40A43">
        <w:rPr>
          <w:rFonts w:asciiTheme="minorHAnsi" w:hAnsiTheme="minorHAnsi"/>
          <w:sz w:val="22"/>
          <w:szCs w:val="22"/>
        </w:rPr>
        <w:t>The research team will also identify any repeated themes and observations from the respondents across industry sectors.</w:t>
      </w:r>
    </w:p>
    <w:p w14:paraId="4015E2D2" w14:textId="77777777" w:rsidR="002F5365" w:rsidRPr="00F40A43" w:rsidRDefault="002F5365" w:rsidP="001B2C89">
      <w:pPr>
        <w:rPr>
          <w:rFonts w:asciiTheme="minorHAnsi" w:hAnsiTheme="minorHAnsi"/>
          <w:b/>
          <w:sz w:val="22"/>
          <w:szCs w:val="22"/>
          <w:u w:val="single"/>
        </w:rPr>
      </w:pPr>
    </w:p>
    <w:p w14:paraId="2FC9E3B8" w14:textId="3D848FD3" w:rsidR="001F187D" w:rsidRDefault="001B2C89" w:rsidP="001B2C89">
      <w:pPr>
        <w:rPr>
          <w:rFonts w:asciiTheme="minorHAnsi" w:hAnsiTheme="minorHAnsi"/>
          <w:b/>
          <w:u w:val="single"/>
        </w:rPr>
      </w:pPr>
      <w:r w:rsidRPr="002F5365">
        <w:rPr>
          <w:rFonts w:asciiTheme="minorHAnsi" w:hAnsiTheme="minorHAnsi"/>
          <w:b/>
          <w:u w:val="single"/>
        </w:rPr>
        <w:t>Part B: Online survey</w:t>
      </w:r>
    </w:p>
    <w:p w14:paraId="20B50F4B" w14:textId="0A3A6B86" w:rsidR="001F187D" w:rsidRPr="00F40A43" w:rsidRDefault="001F187D" w:rsidP="001B2C89">
      <w:pPr>
        <w:rPr>
          <w:rFonts w:asciiTheme="minorHAnsi" w:hAnsiTheme="minorHAnsi"/>
          <w:b/>
          <w:sz w:val="22"/>
          <w:szCs w:val="22"/>
        </w:rPr>
      </w:pPr>
      <w:r w:rsidRPr="00F40A43">
        <w:rPr>
          <w:rFonts w:asciiTheme="minorHAnsi" w:hAnsiTheme="minorHAnsi"/>
          <w:b/>
          <w:sz w:val="22"/>
          <w:szCs w:val="22"/>
        </w:rPr>
        <w:t xml:space="preserve">Sampling </w:t>
      </w:r>
      <w:r w:rsidR="00F22079" w:rsidRPr="00F40A43">
        <w:rPr>
          <w:rFonts w:asciiTheme="minorHAnsi" w:hAnsiTheme="minorHAnsi"/>
          <w:b/>
          <w:sz w:val="22"/>
          <w:szCs w:val="22"/>
        </w:rPr>
        <w:t>Strategy</w:t>
      </w:r>
      <w:r w:rsidRPr="00F40A43">
        <w:rPr>
          <w:rFonts w:asciiTheme="minorHAnsi" w:hAnsiTheme="minorHAnsi"/>
          <w:b/>
          <w:sz w:val="22"/>
          <w:szCs w:val="22"/>
        </w:rPr>
        <w:t>:</w:t>
      </w:r>
      <w:r w:rsidR="00F22079" w:rsidRPr="00F40A43">
        <w:rPr>
          <w:rFonts w:asciiTheme="minorHAnsi" w:hAnsiTheme="minorHAnsi"/>
          <w:b/>
          <w:sz w:val="22"/>
          <w:szCs w:val="22"/>
        </w:rPr>
        <w:t xml:space="preserve">  </w:t>
      </w:r>
      <w:r w:rsidR="00F22079" w:rsidRPr="00F40A43">
        <w:rPr>
          <w:rFonts w:asciiTheme="minorHAnsi" w:hAnsiTheme="minorHAnsi"/>
          <w:sz w:val="22"/>
          <w:szCs w:val="22"/>
        </w:rPr>
        <w:t>A key informant and snowballing sampling strategy will be used.  The research team will identify willing participants through PwC’s and CDC’s network of private profit and non-profit organizations</w:t>
      </w:r>
      <w:r w:rsidR="00526CC1" w:rsidRPr="00F40A43">
        <w:rPr>
          <w:rFonts w:asciiTheme="minorHAnsi" w:hAnsiTheme="minorHAnsi"/>
          <w:sz w:val="22"/>
          <w:szCs w:val="22"/>
        </w:rPr>
        <w:t xml:space="preserve">, mutual contacts, and previous or current work relationships. </w:t>
      </w:r>
      <w:r w:rsidR="004F3F35" w:rsidRPr="00F40A43">
        <w:rPr>
          <w:rFonts w:asciiTheme="minorHAnsi" w:hAnsiTheme="minorHAnsi"/>
          <w:sz w:val="22"/>
          <w:szCs w:val="22"/>
        </w:rPr>
        <w:t>After they have been identified, potential survey respondents will be sent an e</w:t>
      </w:r>
      <w:r w:rsidR="00526CC1" w:rsidRPr="00F40A43">
        <w:rPr>
          <w:rFonts w:asciiTheme="minorHAnsi" w:hAnsiTheme="minorHAnsi"/>
          <w:sz w:val="22"/>
          <w:szCs w:val="22"/>
        </w:rPr>
        <w:t>-</w:t>
      </w:r>
      <w:r w:rsidR="004F3F35" w:rsidRPr="00F40A43">
        <w:rPr>
          <w:rFonts w:asciiTheme="minorHAnsi" w:hAnsiTheme="minorHAnsi"/>
          <w:sz w:val="22"/>
          <w:szCs w:val="22"/>
        </w:rPr>
        <w:t>mail that provides details about the study and the data collection procedure itself (</w:t>
      </w:r>
      <w:r w:rsidR="004F3F35" w:rsidRPr="00F40A43">
        <w:rPr>
          <w:rFonts w:asciiTheme="minorHAnsi" w:hAnsiTheme="minorHAnsi"/>
          <w:b/>
          <w:sz w:val="22"/>
          <w:szCs w:val="22"/>
        </w:rPr>
        <w:t>Attachment F – Recruitment E-mail for Potential Survey Participants</w:t>
      </w:r>
      <w:r w:rsidR="004F3F35" w:rsidRPr="00F40A43">
        <w:rPr>
          <w:rFonts w:asciiTheme="minorHAnsi" w:hAnsiTheme="minorHAnsi"/>
          <w:sz w:val="22"/>
          <w:szCs w:val="22"/>
        </w:rPr>
        <w:t>).</w:t>
      </w:r>
    </w:p>
    <w:p w14:paraId="5D18722E" w14:textId="77777777" w:rsidR="001F187D" w:rsidRPr="00F40A43" w:rsidRDefault="001F187D" w:rsidP="001B2C89">
      <w:pPr>
        <w:rPr>
          <w:rFonts w:asciiTheme="minorHAnsi" w:hAnsiTheme="minorHAnsi"/>
          <w:b/>
          <w:sz w:val="22"/>
          <w:szCs w:val="22"/>
          <w:u w:val="single"/>
        </w:rPr>
      </w:pPr>
    </w:p>
    <w:p w14:paraId="2A5FF2F9" w14:textId="4C4424BB" w:rsidR="001F187D" w:rsidRPr="00F40A43" w:rsidRDefault="001F187D" w:rsidP="001B2C89">
      <w:pPr>
        <w:rPr>
          <w:rFonts w:asciiTheme="minorHAnsi" w:hAnsiTheme="minorHAnsi"/>
          <w:b/>
          <w:sz w:val="22"/>
          <w:szCs w:val="22"/>
        </w:rPr>
      </w:pPr>
      <w:r w:rsidRPr="00F40A43">
        <w:rPr>
          <w:rFonts w:asciiTheme="minorHAnsi" w:hAnsiTheme="minorHAnsi"/>
          <w:b/>
          <w:sz w:val="22"/>
          <w:szCs w:val="22"/>
        </w:rPr>
        <w:t xml:space="preserve">Information Collection: </w:t>
      </w:r>
      <w:r w:rsidR="002F5365" w:rsidRPr="00F40A43">
        <w:rPr>
          <w:rFonts w:asciiTheme="minorHAnsi" w:hAnsiTheme="minorHAnsi"/>
          <w:b/>
          <w:sz w:val="22"/>
          <w:szCs w:val="22"/>
        </w:rPr>
        <w:t xml:space="preserve"> </w:t>
      </w:r>
      <w:r w:rsidR="004F3F35" w:rsidRPr="00F40A43">
        <w:rPr>
          <w:rFonts w:asciiTheme="minorHAnsi" w:hAnsiTheme="minorHAnsi"/>
          <w:sz w:val="22"/>
          <w:szCs w:val="22"/>
        </w:rPr>
        <w:t>After the potential survey respondent con</w:t>
      </w:r>
      <w:r w:rsidR="00526CC1" w:rsidRPr="00F40A43">
        <w:rPr>
          <w:rFonts w:asciiTheme="minorHAnsi" w:hAnsiTheme="minorHAnsi"/>
          <w:sz w:val="22"/>
          <w:szCs w:val="22"/>
        </w:rPr>
        <w:t>sents to take</w:t>
      </w:r>
      <w:r w:rsidR="004F3F35" w:rsidRPr="00F40A43">
        <w:rPr>
          <w:rFonts w:asciiTheme="minorHAnsi" w:hAnsiTheme="minorHAnsi"/>
          <w:sz w:val="22"/>
          <w:szCs w:val="22"/>
        </w:rPr>
        <w:t xml:space="preserve"> part in this portion of the study</w:t>
      </w:r>
      <w:r w:rsidR="00526CC1" w:rsidRPr="00F40A43">
        <w:rPr>
          <w:rFonts w:asciiTheme="minorHAnsi" w:hAnsiTheme="minorHAnsi"/>
          <w:sz w:val="22"/>
          <w:szCs w:val="22"/>
        </w:rPr>
        <w:t>,</w:t>
      </w:r>
      <w:r w:rsidR="004F3F35" w:rsidRPr="00F40A43">
        <w:rPr>
          <w:rFonts w:asciiTheme="minorHAnsi" w:hAnsiTheme="minorHAnsi"/>
          <w:sz w:val="22"/>
          <w:szCs w:val="22"/>
        </w:rPr>
        <w:t xml:space="preserve"> they will be sen</w:t>
      </w:r>
      <w:r w:rsidR="00526CC1" w:rsidRPr="00F40A43">
        <w:rPr>
          <w:rFonts w:asciiTheme="minorHAnsi" w:hAnsiTheme="minorHAnsi"/>
          <w:sz w:val="22"/>
          <w:szCs w:val="22"/>
        </w:rPr>
        <w:t xml:space="preserve">t a link to the online survey. The survey will remain open for two weeks to provide respondents ample time for completion. </w:t>
      </w:r>
      <w:r w:rsidR="004F3F35" w:rsidRPr="00F40A43">
        <w:rPr>
          <w:rFonts w:asciiTheme="minorHAnsi" w:hAnsiTheme="minorHAnsi"/>
          <w:sz w:val="22"/>
          <w:szCs w:val="22"/>
        </w:rPr>
        <w:t xml:space="preserve">The online survey will be conducted and analyzed securely using Qualtrics.  An outline of the survey is included in this package under </w:t>
      </w:r>
      <w:r w:rsidR="004F3F35" w:rsidRPr="00F40A43">
        <w:rPr>
          <w:rFonts w:asciiTheme="minorHAnsi" w:hAnsiTheme="minorHAnsi"/>
          <w:b/>
          <w:sz w:val="22"/>
          <w:szCs w:val="22"/>
        </w:rPr>
        <w:t>Attachment D – Survey Plan</w:t>
      </w:r>
      <w:r w:rsidR="004F3F35" w:rsidRPr="00F40A43">
        <w:rPr>
          <w:rFonts w:asciiTheme="minorHAnsi" w:hAnsiTheme="minorHAnsi"/>
          <w:sz w:val="22"/>
          <w:szCs w:val="22"/>
        </w:rPr>
        <w:t>.  Completing the survey will take approximately 15 min</w:t>
      </w:r>
      <w:r w:rsidR="00526CC1" w:rsidRPr="00F40A43">
        <w:rPr>
          <w:rFonts w:asciiTheme="minorHAnsi" w:hAnsiTheme="minorHAnsi"/>
          <w:sz w:val="22"/>
          <w:szCs w:val="22"/>
        </w:rPr>
        <w:t>ute</w:t>
      </w:r>
      <w:r w:rsidR="004F3F35" w:rsidRPr="00F40A43">
        <w:rPr>
          <w:rFonts w:asciiTheme="minorHAnsi" w:hAnsiTheme="minorHAnsi"/>
          <w:sz w:val="22"/>
          <w:szCs w:val="22"/>
        </w:rPr>
        <w:t>s, and it can be completed at the respondent’s leisure</w:t>
      </w:r>
      <w:r w:rsidR="00526CC1" w:rsidRPr="00F40A43">
        <w:rPr>
          <w:rFonts w:asciiTheme="minorHAnsi" w:hAnsiTheme="minorHAnsi"/>
          <w:sz w:val="22"/>
          <w:szCs w:val="22"/>
        </w:rPr>
        <w:t>, as progress can be saved.</w:t>
      </w:r>
    </w:p>
    <w:p w14:paraId="3DF916D8" w14:textId="77777777" w:rsidR="001F187D" w:rsidRPr="00F40A43" w:rsidRDefault="001F187D" w:rsidP="001B2C89">
      <w:pPr>
        <w:rPr>
          <w:rFonts w:asciiTheme="minorHAnsi" w:hAnsiTheme="minorHAnsi"/>
          <w:b/>
          <w:sz w:val="22"/>
          <w:szCs w:val="22"/>
        </w:rPr>
      </w:pPr>
    </w:p>
    <w:p w14:paraId="274976A8" w14:textId="59990973" w:rsidR="00C83192" w:rsidRPr="00F40A43" w:rsidRDefault="001F187D" w:rsidP="001B2C89">
      <w:pPr>
        <w:rPr>
          <w:rFonts w:asciiTheme="minorHAnsi" w:hAnsiTheme="minorHAnsi"/>
          <w:b/>
          <w:sz w:val="22"/>
          <w:szCs w:val="22"/>
        </w:rPr>
      </w:pPr>
      <w:r w:rsidRPr="00F40A43">
        <w:rPr>
          <w:rFonts w:asciiTheme="minorHAnsi" w:hAnsiTheme="minorHAnsi"/>
          <w:b/>
          <w:sz w:val="22"/>
          <w:szCs w:val="22"/>
        </w:rPr>
        <w:t xml:space="preserve">Estimation procedure: </w:t>
      </w:r>
      <w:r w:rsidR="002F5365" w:rsidRPr="00F40A43">
        <w:rPr>
          <w:rFonts w:asciiTheme="minorHAnsi" w:hAnsiTheme="minorHAnsi"/>
          <w:b/>
          <w:sz w:val="22"/>
          <w:szCs w:val="22"/>
        </w:rPr>
        <w:t xml:space="preserve"> </w:t>
      </w:r>
      <w:r w:rsidR="002F5365" w:rsidRPr="00F40A43">
        <w:rPr>
          <w:rFonts w:asciiTheme="minorHAnsi" w:hAnsiTheme="minorHAnsi"/>
          <w:sz w:val="22"/>
          <w:szCs w:val="22"/>
        </w:rPr>
        <w:t xml:space="preserve">The survey will </w:t>
      </w:r>
      <w:r w:rsidR="00E40C88" w:rsidRPr="00F40A43">
        <w:rPr>
          <w:rFonts w:asciiTheme="minorHAnsi" w:hAnsiTheme="minorHAnsi"/>
          <w:sz w:val="22"/>
          <w:szCs w:val="22"/>
        </w:rPr>
        <w:t>collect data</w:t>
      </w:r>
      <w:r w:rsidR="002F5365" w:rsidRPr="00F40A43">
        <w:rPr>
          <w:rFonts w:asciiTheme="minorHAnsi" w:hAnsiTheme="minorHAnsi"/>
          <w:sz w:val="22"/>
          <w:szCs w:val="22"/>
        </w:rPr>
        <w:t xml:space="preserve"> in a rigorous semi-quantitative manner using </w:t>
      </w:r>
      <w:r w:rsidR="00526CC1" w:rsidRPr="00F40A43">
        <w:rPr>
          <w:rFonts w:asciiTheme="minorHAnsi" w:hAnsiTheme="minorHAnsi"/>
          <w:sz w:val="22"/>
          <w:szCs w:val="22"/>
        </w:rPr>
        <w:t xml:space="preserve">precise </w:t>
      </w:r>
      <w:r w:rsidR="002F5365" w:rsidRPr="00F40A43">
        <w:rPr>
          <w:rFonts w:asciiTheme="minorHAnsi" w:hAnsiTheme="minorHAnsi"/>
          <w:sz w:val="22"/>
          <w:szCs w:val="22"/>
        </w:rPr>
        <w:t xml:space="preserve">and closed-form questions (e.g., using </w:t>
      </w:r>
      <w:r w:rsidR="00E40C88" w:rsidRPr="00F40A43">
        <w:rPr>
          <w:rFonts w:asciiTheme="minorHAnsi" w:hAnsiTheme="minorHAnsi"/>
          <w:sz w:val="22"/>
          <w:szCs w:val="22"/>
        </w:rPr>
        <w:t>Likert</w:t>
      </w:r>
      <w:r w:rsidR="002F5365" w:rsidRPr="00F40A43">
        <w:rPr>
          <w:rFonts w:asciiTheme="minorHAnsi" w:hAnsiTheme="minorHAnsi"/>
          <w:sz w:val="22"/>
          <w:szCs w:val="22"/>
        </w:rPr>
        <w:t xml:space="preserve"> scale</w:t>
      </w:r>
      <w:r w:rsidR="00E40C88" w:rsidRPr="00F40A43">
        <w:rPr>
          <w:rFonts w:asciiTheme="minorHAnsi" w:hAnsiTheme="minorHAnsi"/>
          <w:sz w:val="22"/>
          <w:szCs w:val="22"/>
        </w:rPr>
        <w:t>s</w:t>
      </w:r>
      <w:r w:rsidR="002F5365" w:rsidRPr="00F40A43">
        <w:rPr>
          <w:rFonts w:asciiTheme="minorHAnsi" w:hAnsiTheme="minorHAnsi"/>
          <w:sz w:val="22"/>
          <w:szCs w:val="22"/>
        </w:rPr>
        <w:t>).  Because the quantitative data will be fairly straightforward</w:t>
      </w:r>
      <w:r w:rsidR="00C83192" w:rsidRPr="00F40A43">
        <w:rPr>
          <w:rFonts w:asciiTheme="minorHAnsi" w:hAnsiTheme="minorHAnsi"/>
          <w:sz w:val="22"/>
          <w:szCs w:val="22"/>
        </w:rPr>
        <w:t>,</w:t>
      </w:r>
      <w:r w:rsidR="002F5365" w:rsidRPr="00F40A43">
        <w:rPr>
          <w:rFonts w:asciiTheme="minorHAnsi" w:hAnsiTheme="minorHAnsi"/>
          <w:sz w:val="22"/>
          <w:szCs w:val="22"/>
        </w:rPr>
        <w:t xml:space="preserve"> only simple numerical analysis (means, frequencies etc.) will be utilized.</w:t>
      </w:r>
      <w:r w:rsidR="00C83192" w:rsidRPr="00F40A43">
        <w:rPr>
          <w:rFonts w:asciiTheme="minorHAnsi" w:hAnsiTheme="minorHAnsi"/>
          <w:sz w:val="22"/>
          <w:szCs w:val="22"/>
        </w:rPr>
        <w:t xml:space="preserve">  The results of the survey will be analyzed and presented at an industry level, which will allow the specific partnership preferences of different types of organizations to be illustrated and compared.</w:t>
      </w:r>
      <w:r w:rsidR="00526CC1" w:rsidRPr="00F40A43">
        <w:rPr>
          <w:rFonts w:asciiTheme="minorHAnsi" w:hAnsiTheme="minorHAnsi"/>
          <w:sz w:val="22"/>
          <w:szCs w:val="22"/>
        </w:rPr>
        <w:t xml:space="preserve"> Any overarching themes across the industry sectors will also be analyzed and presented if identified.</w:t>
      </w:r>
    </w:p>
    <w:p w14:paraId="04BDDFCF" w14:textId="1D2CDC51" w:rsidR="001B2C89" w:rsidRPr="00096360" w:rsidRDefault="005453AD" w:rsidP="00096360">
      <w:pPr>
        <w:pStyle w:val="Heading1"/>
        <w:rPr>
          <w:rFonts w:asciiTheme="majorHAnsi" w:hAnsiTheme="majorHAnsi"/>
          <w:sz w:val="24"/>
          <w:szCs w:val="24"/>
        </w:rPr>
      </w:pPr>
      <w:bookmarkStart w:id="9" w:name="_Toc151782201"/>
      <w:bookmarkStart w:id="10" w:name="_Toc158526237"/>
      <w:bookmarkStart w:id="11" w:name="_Toc469402836"/>
      <w:r w:rsidRPr="002F7931">
        <w:rPr>
          <w:rFonts w:asciiTheme="majorHAnsi" w:hAnsiTheme="majorHAnsi"/>
          <w:sz w:val="24"/>
          <w:szCs w:val="24"/>
        </w:rPr>
        <w:t>3. Methods to Maximize Response Rates</w:t>
      </w:r>
      <w:bookmarkEnd w:id="9"/>
      <w:bookmarkEnd w:id="10"/>
      <w:r w:rsidR="00494438" w:rsidRPr="002F7931">
        <w:rPr>
          <w:rFonts w:asciiTheme="majorHAnsi" w:hAnsiTheme="majorHAnsi"/>
          <w:sz w:val="24"/>
          <w:szCs w:val="24"/>
        </w:rPr>
        <w:t xml:space="preserve"> and Deal with Nonresponse</w:t>
      </w:r>
      <w:bookmarkEnd w:id="11"/>
    </w:p>
    <w:p w14:paraId="0B291326" w14:textId="0ABA08A4" w:rsidR="008508C2" w:rsidRPr="00F40A43" w:rsidRDefault="001B2C89" w:rsidP="008508C2">
      <w:pPr>
        <w:rPr>
          <w:rFonts w:asciiTheme="minorHAnsi" w:hAnsiTheme="minorHAnsi"/>
          <w:sz w:val="22"/>
          <w:szCs w:val="22"/>
        </w:rPr>
      </w:pPr>
      <w:r w:rsidRPr="00F40A43">
        <w:rPr>
          <w:rFonts w:asciiTheme="minorHAnsi" w:hAnsiTheme="minorHAnsi"/>
          <w:sz w:val="22"/>
          <w:szCs w:val="22"/>
        </w:rPr>
        <w:t xml:space="preserve">The research team </w:t>
      </w:r>
      <w:r w:rsidR="00341D74" w:rsidRPr="00F40A43">
        <w:rPr>
          <w:rFonts w:asciiTheme="minorHAnsi" w:hAnsiTheme="minorHAnsi"/>
          <w:sz w:val="22"/>
          <w:szCs w:val="22"/>
        </w:rPr>
        <w:t xml:space="preserve">will identify willing participants through </w:t>
      </w:r>
      <w:r w:rsidRPr="00F40A43">
        <w:rPr>
          <w:rFonts w:asciiTheme="minorHAnsi" w:hAnsiTheme="minorHAnsi"/>
          <w:sz w:val="22"/>
          <w:szCs w:val="22"/>
        </w:rPr>
        <w:t>the extensive industry network of PwC</w:t>
      </w:r>
      <w:r w:rsidR="00526CC1" w:rsidRPr="00F40A43">
        <w:rPr>
          <w:rFonts w:asciiTheme="minorHAnsi" w:hAnsiTheme="minorHAnsi"/>
          <w:sz w:val="22"/>
          <w:szCs w:val="22"/>
        </w:rPr>
        <w:t>,</w:t>
      </w:r>
      <w:r w:rsidRPr="00F40A43">
        <w:rPr>
          <w:rFonts w:asciiTheme="minorHAnsi" w:hAnsiTheme="minorHAnsi"/>
          <w:sz w:val="22"/>
          <w:szCs w:val="22"/>
        </w:rPr>
        <w:t xml:space="preserve"> and its membership in 3</w:t>
      </w:r>
      <w:r w:rsidRPr="00F40A43">
        <w:rPr>
          <w:rFonts w:asciiTheme="minorHAnsi" w:hAnsiTheme="minorHAnsi"/>
          <w:sz w:val="22"/>
          <w:szCs w:val="22"/>
          <w:vertAlign w:val="superscript"/>
        </w:rPr>
        <w:t>rd</w:t>
      </w:r>
      <w:r w:rsidRPr="00F40A43">
        <w:rPr>
          <w:rFonts w:asciiTheme="minorHAnsi" w:hAnsiTheme="minorHAnsi"/>
          <w:sz w:val="22"/>
          <w:szCs w:val="22"/>
        </w:rPr>
        <w:t xml:space="preserve"> party industry and non-profit organizations </w:t>
      </w:r>
      <w:r w:rsidR="00630827" w:rsidRPr="00F40A43">
        <w:rPr>
          <w:rFonts w:asciiTheme="minorHAnsi" w:hAnsiTheme="minorHAnsi"/>
          <w:sz w:val="22"/>
          <w:szCs w:val="22"/>
        </w:rPr>
        <w:t xml:space="preserve">(e.g. </w:t>
      </w:r>
      <w:r w:rsidR="00341D74" w:rsidRPr="00F40A43">
        <w:rPr>
          <w:rFonts w:asciiTheme="minorHAnsi" w:hAnsiTheme="minorHAnsi"/>
          <w:sz w:val="22"/>
          <w:szCs w:val="22"/>
        </w:rPr>
        <w:t>the Global Health Council</w:t>
      </w:r>
      <w:r w:rsidR="00630827" w:rsidRPr="00F40A43">
        <w:rPr>
          <w:rFonts w:asciiTheme="minorHAnsi" w:hAnsiTheme="minorHAnsi"/>
          <w:sz w:val="22"/>
          <w:szCs w:val="22"/>
        </w:rPr>
        <w:t>)</w:t>
      </w:r>
      <w:r w:rsidRPr="00F40A43">
        <w:rPr>
          <w:rFonts w:asciiTheme="minorHAnsi" w:hAnsiTheme="minorHAnsi"/>
          <w:sz w:val="22"/>
          <w:szCs w:val="22"/>
        </w:rPr>
        <w:t xml:space="preserve">. </w:t>
      </w:r>
      <w:r w:rsidR="00341D74" w:rsidRPr="00F40A43">
        <w:rPr>
          <w:rFonts w:asciiTheme="minorHAnsi" w:hAnsiTheme="minorHAnsi"/>
          <w:sz w:val="22"/>
          <w:szCs w:val="22"/>
        </w:rPr>
        <w:t xml:space="preserve">The research team </w:t>
      </w:r>
      <w:r w:rsidRPr="00F40A43">
        <w:rPr>
          <w:rFonts w:asciiTheme="minorHAnsi" w:hAnsiTheme="minorHAnsi"/>
          <w:sz w:val="22"/>
          <w:szCs w:val="22"/>
        </w:rPr>
        <w:t>will also rely on CDC’s extensive relationships and credibility</w:t>
      </w:r>
      <w:r w:rsidR="00341D74" w:rsidRPr="00F40A43">
        <w:rPr>
          <w:rFonts w:asciiTheme="minorHAnsi" w:hAnsiTheme="minorHAnsi"/>
          <w:sz w:val="22"/>
          <w:szCs w:val="22"/>
        </w:rPr>
        <w:t xml:space="preserve"> in the public health space.  The existing </w:t>
      </w:r>
      <w:r w:rsidR="00F361CF" w:rsidRPr="00F40A43">
        <w:rPr>
          <w:rFonts w:asciiTheme="minorHAnsi" w:hAnsiTheme="minorHAnsi"/>
          <w:sz w:val="22"/>
          <w:szCs w:val="22"/>
        </w:rPr>
        <w:t xml:space="preserve">positive </w:t>
      </w:r>
      <w:r w:rsidR="00341D74" w:rsidRPr="00F40A43">
        <w:rPr>
          <w:rFonts w:asciiTheme="minorHAnsi" w:hAnsiTheme="minorHAnsi"/>
          <w:sz w:val="22"/>
          <w:szCs w:val="22"/>
        </w:rPr>
        <w:t>relationships in these two networks will encourage</w:t>
      </w:r>
      <w:r w:rsidR="00630827" w:rsidRPr="00F40A43">
        <w:rPr>
          <w:rFonts w:asciiTheme="minorHAnsi" w:hAnsiTheme="minorHAnsi"/>
          <w:sz w:val="22"/>
          <w:szCs w:val="22"/>
        </w:rPr>
        <w:t xml:space="preserve"> participation in both the inte</w:t>
      </w:r>
      <w:r w:rsidR="00F361CF" w:rsidRPr="00F40A43">
        <w:rPr>
          <w:rFonts w:asciiTheme="minorHAnsi" w:hAnsiTheme="minorHAnsi"/>
          <w:sz w:val="22"/>
          <w:szCs w:val="22"/>
        </w:rPr>
        <w:t>rview campaigns and the survey</w:t>
      </w:r>
      <w:r w:rsidR="008508C2" w:rsidRPr="00F40A43">
        <w:rPr>
          <w:rFonts w:asciiTheme="minorHAnsi" w:hAnsiTheme="minorHAnsi"/>
          <w:sz w:val="22"/>
          <w:szCs w:val="22"/>
        </w:rPr>
        <w:t xml:space="preserve">.  Each interviewee will also be asked if they can recommend any </w:t>
      </w:r>
      <w:r w:rsidR="00096360" w:rsidRPr="00F40A43">
        <w:rPr>
          <w:rFonts w:asciiTheme="minorHAnsi" w:hAnsiTheme="minorHAnsi"/>
          <w:sz w:val="22"/>
          <w:szCs w:val="22"/>
        </w:rPr>
        <w:t>other potential participants at</w:t>
      </w:r>
      <w:r w:rsidR="008508C2" w:rsidRPr="00F40A43">
        <w:rPr>
          <w:rFonts w:asciiTheme="minorHAnsi" w:hAnsiTheme="minorHAnsi"/>
          <w:sz w:val="22"/>
          <w:szCs w:val="22"/>
        </w:rPr>
        <w:t xml:space="preserve"> the end of each interview, and this mechanism will help the research team target additional promising candidates.</w:t>
      </w:r>
    </w:p>
    <w:p w14:paraId="5A2FCC83" w14:textId="77777777" w:rsidR="008A583F" w:rsidRPr="00F40A43" w:rsidRDefault="008A583F" w:rsidP="008508C2">
      <w:pPr>
        <w:rPr>
          <w:rFonts w:asciiTheme="minorHAnsi" w:hAnsiTheme="minorHAnsi"/>
          <w:sz w:val="22"/>
          <w:szCs w:val="22"/>
        </w:rPr>
      </w:pPr>
    </w:p>
    <w:p w14:paraId="6730E78C" w14:textId="77777777" w:rsidR="008A583F" w:rsidRPr="00F40A43" w:rsidRDefault="008A583F" w:rsidP="008A583F">
      <w:pPr>
        <w:rPr>
          <w:rFonts w:asciiTheme="minorHAnsi" w:hAnsiTheme="minorHAnsi"/>
          <w:sz w:val="22"/>
          <w:szCs w:val="22"/>
        </w:rPr>
      </w:pPr>
      <w:r w:rsidRPr="00F40A43">
        <w:rPr>
          <w:rFonts w:asciiTheme="minorHAnsi" w:hAnsiTheme="minorHAnsi"/>
          <w:sz w:val="22"/>
          <w:szCs w:val="22"/>
        </w:rPr>
        <w:t>After they have been identified, potential interview and survey respondents will be sent an e-mail that provides details about the study and the data collection procedure, emphasizing that participation is voluntary and all data will be de-identified, aggregated, and stored securely (</w:t>
      </w:r>
      <w:r w:rsidRPr="00F40A43">
        <w:rPr>
          <w:rFonts w:asciiTheme="minorHAnsi" w:hAnsiTheme="minorHAnsi"/>
          <w:b/>
          <w:sz w:val="22"/>
          <w:szCs w:val="22"/>
        </w:rPr>
        <w:t>Attachments E and F</w:t>
      </w:r>
      <w:r w:rsidRPr="00F40A43">
        <w:rPr>
          <w:rFonts w:asciiTheme="minorHAnsi" w:hAnsiTheme="minorHAnsi"/>
          <w:sz w:val="22"/>
          <w:szCs w:val="22"/>
        </w:rPr>
        <w:t>).  For both the survey and the interview, the research team will follow up one additional time if there is no response after an initial request, which will further encourage participation.</w:t>
      </w:r>
    </w:p>
    <w:p w14:paraId="675E2C46" w14:textId="39584A59" w:rsidR="008508C2" w:rsidRPr="00F40A43" w:rsidRDefault="008508C2" w:rsidP="008508C2">
      <w:pPr>
        <w:rPr>
          <w:rFonts w:asciiTheme="minorHAnsi" w:hAnsiTheme="minorHAnsi"/>
          <w:sz w:val="22"/>
          <w:szCs w:val="22"/>
        </w:rPr>
      </w:pPr>
    </w:p>
    <w:p w14:paraId="5F16CBDE" w14:textId="1DEA3666" w:rsidR="008508C2" w:rsidRPr="00F40A43" w:rsidRDefault="002B6BC7" w:rsidP="008508C2">
      <w:pPr>
        <w:rPr>
          <w:rFonts w:asciiTheme="minorHAnsi" w:hAnsiTheme="minorHAnsi"/>
          <w:sz w:val="22"/>
          <w:szCs w:val="22"/>
        </w:rPr>
      </w:pPr>
      <w:r w:rsidRPr="00F40A43">
        <w:rPr>
          <w:rFonts w:asciiTheme="minorHAnsi" w:hAnsiTheme="minorHAnsi"/>
          <w:sz w:val="22"/>
          <w:szCs w:val="22"/>
        </w:rPr>
        <w:t>The data collection tools</w:t>
      </w:r>
      <w:r w:rsidR="008508C2" w:rsidRPr="00F40A43">
        <w:rPr>
          <w:rFonts w:asciiTheme="minorHAnsi" w:hAnsiTheme="minorHAnsi"/>
          <w:sz w:val="22"/>
          <w:szCs w:val="22"/>
        </w:rPr>
        <w:t xml:space="preserve"> </w:t>
      </w:r>
      <w:r w:rsidRPr="00F40A43">
        <w:rPr>
          <w:rFonts w:asciiTheme="minorHAnsi" w:hAnsiTheme="minorHAnsi"/>
          <w:sz w:val="22"/>
          <w:szCs w:val="22"/>
        </w:rPr>
        <w:t>have been designed carefully by experienced researchers who have utilized proven techniques to minimize the burden on respondents who may not be overly motivated to complete or take part.</w:t>
      </w:r>
      <w:r w:rsidR="008508C2" w:rsidRPr="00F40A43">
        <w:rPr>
          <w:rFonts w:asciiTheme="minorHAnsi" w:hAnsiTheme="minorHAnsi"/>
          <w:sz w:val="22"/>
          <w:szCs w:val="22"/>
        </w:rPr>
        <w:t xml:space="preserve"> </w:t>
      </w:r>
      <w:r w:rsidRPr="00F40A43">
        <w:rPr>
          <w:rFonts w:asciiTheme="minorHAnsi" w:hAnsiTheme="minorHAnsi"/>
          <w:sz w:val="22"/>
          <w:szCs w:val="22"/>
        </w:rPr>
        <w:t>However, b</w:t>
      </w:r>
      <w:r w:rsidR="008508C2" w:rsidRPr="00F40A43">
        <w:rPr>
          <w:rFonts w:asciiTheme="minorHAnsi" w:hAnsiTheme="minorHAnsi"/>
          <w:sz w:val="22"/>
          <w:szCs w:val="22"/>
        </w:rPr>
        <w:t>oth CDC and private organizations will benefit from the identification of optimal partnership characteristics</w:t>
      </w:r>
      <w:r w:rsidRPr="00F40A43">
        <w:rPr>
          <w:rFonts w:asciiTheme="minorHAnsi" w:hAnsiTheme="minorHAnsi"/>
          <w:sz w:val="22"/>
          <w:szCs w:val="22"/>
        </w:rPr>
        <w:t xml:space="preserve"> and opportunities</w:t>
      </w:r>
      <w:r w:rsidR="008508C2" w:rsidRPr="00F40A43">
        <w:rPr>
          <w:rFonts w:asciiTheme="minorHAnsi" w:hAnsiTheme="minorHAnsi"/>
          <w:sz w:val="22"/>
          <w:szCs w:val="22"/>
        </w:rPr>
        <w:t xml:space="preserve"> in this space.  For this reason, the research team believes that the decision-makers targeted for both information collection initiatives will have an interest in participating</w:t>
      </w:r>
      <w:r w:rsidR="008A583F" w:rsidRPr="00F40A43">
        <w:rPr>
          <w:rFonts w:asciiTheme="minorHAnsi" w:hAnsiTheme="minorHAnsi"/>
          <w:sz w:val="22"/>
          <w:szCs w:val="22"/>
        </w:rPr>
        <w:t xml:space="preserve"> and making the project a success</w:t>
      </w:r>
      <w:r w:rsidR="008508C2" w:rsidRPr="00F40A43">
        <w:rPr>
          <w:rFonts w:asciiTheme="minorHAnsi" w:hAnsiTheme="minorHAnsi"/>
          <w:sz w:val="22"/>
          <w:szCs w:val="22"/>
        </w:rPr>
        <w:t xml:space="preserve">.  </w:t>
      </w:r>
    </w:p>
    <w:p w14:paraId="6BCDEB9B" w14:textId="77777777" w:rsidR="00F361CF" w:rsidRPr="00F40A43" w:rsidRDefault="00F361CF" w:rsidP="00DC6FA8">
      <w:pPr>
        <w:rPr>
          <w:rFonts w:asciiTheme="minorHAnsi" w:hAnsiTheme="minorHAnsi"/>
          <w:sz w:val="22"/>
          <w:szCs w:val="22"/>
        </w:rPr>
      </w:pPr>
    </w:p>
    <w:p w14:paraId="3653F8F1" w14:textId="77777777" w:rsidR="00BC2457" w:rsidRPr="00F40A43" w:rsidRDefault="00F361CF" w:rsidP="00DC6FA8">
      <w:pPr>
        <w:rPr>
          <w:rFonts w:asciiTheme="minorHAnsi" w:hAnsiTheme="minorHAnsi"/>
          <w:sz w:val="22"/>
          <w:szCs w:val="22"/>
        </w:rPr>
      </w:pPr>
      <w:r w:rsidRPr="00F40A43">
        <w:rPr>
          <w:rFonts w:asciiTheme="minorHAnsi" w:hAnsiTheme="minorHAnsi"/>
          <w:sz w:val="22"/>
          <w:szCs w:val="22"/>
        </w:rPr>
        <w:t>Because comparable surveys have not been completed in the past, the research team is conservatively assuming a response rate of 50% for survey respondents across all industries.  No assumptions about interview response rates have been made, and the research team will approach potential interviewees until the sample size in eac</w:t>
      </w:r>
      <w:r w:rsidR="00BC2457" w:rsidRPr="00F40A43">
        <w:rPr>
          <w:rFonts w:asciiTheme="minorHAnsi" w:hAnsiTheme="minorHAnsi"/>
          <w:sz w:val="22"/>
          <w:szCs w:val="22"/>
        </w:rPr>
        <w:t>h industry group is satisfied.</w:t>
      </w:r>
    </w:p>
    <w:p w14:paraId="6F083BD3" w14:textId="77777777" w:rsidR="00BC2457" w:rsidRPr="00F40A43" w:rsidRDefault="00BC2457" w:rsidP="00DC6FA8">
      <w:pPr>
        <w:rPr>
          <w:rFonts w:asciiTheme="minorHAnsi" w:hAnsiTheme="minorHAnsi"/>
          <w:sz w:val="22"/>
          <w:szCs w:val="22"/>
        </w:rPr>
      </w:pPr>
    </w:p>
    <w:p w14:paraId="55D47C70" w14:textId="391F4AF5" w:rsidR="00F361CF" w:rsidRPr="00F40A43" w:rsidRDefault="00526CC1" w:rsidP="00DC6FA8">
      <w:pPr>
        <w:rPr>
          <w:rFonts w:asciiTheme="minorHAnsi" w:hAnsiTheme="minorHAnsi"/>
          <w:sz w:val="22"/>
          <w:szCs w:val="22"/>
        </w:rPr>
      </w:pPr>
      <w:r w:rsidRPr="00F40A43">
        <w:rPr>
          <w:rFonts w:asciiTheme="minorHAnsi" w:hAnsiTheme="minorHAnsi"/>
          <w:sz w:val="22"/>
          <w:szCs w:val="22"/>
        </w:rPr>
        <w:t xml:space="preserve">To address non-response bias, </w:t>
      </w:r>
      <w:r w:rsidR="002B6BC7" w:rsidRPr="00F40A43">
        <w:rPr>
          <w:rFonts w:asciiTheme="minorHAnsi" w:hAnsiTheme="minorHAnsi"/>
          <w:sz w:val="22"/>
          <w:szCs w:val="22"/>
        </w:rPr>
        <w:t>t</w:t>
      </w:r>
      <w:r w:rsidR="00DD09B5" w:rsidRPr="00F40A43">
        <w:rPr>
          <w:rFonts w:asciiTheme="minorHAnsi" w:hAnsiTheme="minorHAnsi"/>
          <w:sz w:val="22"/>
          <w:szCs w:val="22"/>
        </w:rPr>
        <w:t xml:space="preserve">he research team will also utilize outside sources and existing literature to </w:t>
      </w:r>
      <w:r w:rsidR="002B6BC7" w:rsidRPr="00F40A43">
        <w:rPr>
          <w:rFonts w:asciiTheme="minorHAnsi" w:hAnsiTheme="minorHAnsi"/>
          <w:sz w:val="22"/>
          <w:szCs w:val="22"/>
        </w:rPr>
        <w:t>validate</w:t>
      </w:r>
      <w:r w:rsidR="00DD09B5" w:rsidRPr="00F40A43">
        <w:rPr>
          <w:rFonts w:asciiTheme="minorHAnsi" w:hAnsiTheme="minorHAnsi"/>
          <w:sz w:val="22"/>
          <w:szCs w:val="22"/>
        </w:rPr>
        <w:t xml:space="preserve"> the themes and common respon</w:t>
      </w:r>
      <w:r w:rsidR="002B6BC7" w:rsidRPr="00F40A43">
        <w:rPr>
          <w:rFonts w:asciiTheme="minorHAnsi" w:hAnsiTheme="minorHAnsi"/>
          <w:sz w:val="22"/>
          <w:szCs w:val="22"/>
        </w:rPr>
        <w:t xml:space="preserve">ses identified during the study.  These outside sources will allow the team to highlight </w:t>
      </w:r>
      <w:r w:rsidR="008A583F" w:rsidRPr="00F40A43">
        <w:rPr>
          <w:rFonts w:asciiTheme="minorHAnsi" w:hAnsiTheme="minorHAnsi"/>
          <w:sz w:val="22"/>
          <w:szCs w:val="22"/>
        </w:rPr>
        <w:t xml:space="preserve">and scrutinize </w:t>
      </w:r>
      <w:r w:rsidR="002B6BC7" w:rsidRPr="00F40A43">
        <w:rPr>
          <w:rFonts w:asciiTheme="minorHAnsi" w:hAnsiTheme="minorHAnsi"/>
          <w:sz w:val="22"/>
          <w:szCs w:val="22"/>
        </w:rPr>
        <w:t xml:space="preserve">unusual findings that may not corroborate </w:t>
      </w:r>
      <w:r w:rsidR="008A583F" w:rsidRPr="00F40A43">
        <w:rPr>
          <w:rFonts w:asciiTheme="minorHAnsi" w:hAnsiTheme="minorHAnsi"/>
          <w:sz w:val="22"/>
          <w:szCs w:val="22"/>
        </w:rPr>
        <w:t>historical data or examples</w:t>
      </w:r>
      <w:r w:rsidR="002B6BC7" w:rsidRPr="00F40A43">
        <w:rPr>
          <w:rFonts w:asciiTheme="minorHAnsi" w:hAnsiTheme="minorHAnsi"/>
          <w:sz w:val="22"/>
          <w:szCs w:val="22"/>
        </w:rPr>
        <w:t>.</w:t>
      </w:r>
    </w:p>
    <w:p w14:paraId="5FC1E3A4" w14:textId="77777777" w:rsidR="00CD298D" w:rsidRPr="00630827" w:rsidRDefault="00CD298D" w:rsidP="00DC6FA8">
      <w:pPr>
        <w:rPr>
          <w:rFonts w:asciiTheme="minorHAnsi" w:hAnsiTheme="minorHAnsi"/>
        </w:rPr>
      </w:pPr>
    </w:p>
    <w:p w14:paraId="1C599CD0" w14:textId="42983DF9" w:rsidR="00575FBD" w:rsidRPr="00E40C88" w:rsidRDefault="005453AD" w:rsidP="00E40C88">
      <w:pPr>
        <w:pStyle w:val="Heading1"/>
        <w:spacing w:before="0" w:after="0"/>
        <w:rPr>
          <w:rFonts w:asciiTheme="majorHAnsi" w:hAnsiTheme="majorHAnsi"/>
          <w:sz w:val="24"/>
          <w:szCs w:val="24"/>
        </w:rPr>
      </w:pPr>
      <w:bookmarkStart w:id="12" w:name="_Toc151782202"/>
      <w:bookmarkStart w:id="13" w:name="_Toc158526238"/>
      <w:bookmarkStart w:id="14" w:name="_Toc469402837"/>
      <w:r w:rsidRPr="00630827">
        <w:rPr>
          <w:rFonts w:asciiTheme="majorHAnsi" w:hAnsiTheme="majorHAnsi"/>
          <w:sz w:val="24"/>
          <w:szCs w:val="24"/>
        </w:rPr>
        <w:t>4. Tests of Procedures</w:t>
      </w:r>
      <w:bookmarkStart w:id="15" w:name="_Toc151782203"/>
      <w:bookmarkStart w:id="16" w:name="_Toc158526239"/>
      <w:bookmarkEnd w:id="12"/>
      <w:bookmarkEnd w:id="13"/>
      <w:r w:rsidR="00494438" w:rsidRPr="00630827">
        <w:rPr>
          <w:rFonts w:asciiTheme="majorHAnsi" w:hAnsiTheme="majorHAnsi"/>
          <w:sz w:val="24"/>
          <w:szCs w:val="24"/>
        </w:rPr>
        <w:t xml:space="preserve"> or Methods to be Undertaken</w:t>
      </w:r>
      <w:bookmarkEnd w:id="14"/>
    </w:p>
    <w:p w14:paraId="3564CF2E" w14:textId="135F00B8" w:rsidR="00575FBD" w:rsidRPr="00F40A43" w:rsidRDefault="00575FBD" w:rsidP="004C0285">
      <w:pPr>
        <w:rPr>
          <w:rFonts w:asciiTheme="minorHAnsi" w:hAnsiTheme="minorHAnsi"/>
          <w:sz w:val="22"/>
          <w:szCs w:val="22"/>
        </w:rPr>
      </w:pPr>
      <w:r w:rsidRPr="00F40A43">
        <w:rPr>
          <w:rFonts w:asciiTheme="minorHAnsi" w:hAnsiTheme="minorHAnsi"/>
          <w:sz w:val="22"/>
          <w:szCs w:val="22"/>
        </w:rPr>
        <w:t>The proposed information collection instruments have not been used in previous studies.</w:t>
      </w:r>
      <w:r w:rsidR="00252F86" w:rsidRPr="00F40A43">
        <w:rPr>
          <w:rFonts w:asciiTheme="minorHAnsi" w:hAnsiTheme="minorHAnsi"/>
          <w:sz w:val="22"/>
          <w:szCs w:val="22"/>
        </w:rPr>
        <w:t xml:space="preserve">  The time estimates are based on the past experiences of the research team in similar data collection situations.  </w:t>
      </w:r>
    </w:p>
    <w:p w14:paraId="3B638DCA" w14:textId="4FC01104" w:rsidR="00F34C93" w:rsidRPr="00096360" w:rsidRDefault="005453AD" w:rsidP="00096360">
      <w:pPr>
        <w:pStyle w:val="Heading1"/>
        <w:rPr>
          <w:rFonts w:asciiTheme="majorHAnsi" w:hAnsiTheme="majorHAnsi"/>
          <w:sz w:val="24"/>
          <w:szCs w:val="24"/>
        </w:rPr>
      </w:pPr>
      <w:bookmarkStart w:id="17" w:name="_Toc469402838"/>
      <w:r w:rsidRPr="00575FBD">
        <w:rPr>
          <w:rFonts w:asciiTheme="majorHAnsi" w:hAnsiTheme="majorHAnsi"/>
          <w:sz w:val="24"/>
          <w:szCs w:val="24"/>
        </w:rPr>
        <w:t xml:space="preserve">5. </w:t>
      </w:r>
      <w:bookmarkEnd w:id="15"/>
      <w:bookmarkEnd w:id="16"/>
      <w:r w:rsidR="00494438" w:rsidRPr="00575FBD">
        <w:rPr>
          <w:rFonts w:asciiTheme="majorHAnsi" w:hAnsiTheme="majorHAnsi"/>
          <w:sz w:val="24"/>
          <w:szCs w:val="24"/>
        </w:rPr>
        <w:t>Individuals Consulted on Statistical Aspects and Individuals Collecting and/or Analyzing Data</w:t>
      </w:r>
      <w:bookmarkEnd w:id="17"/>
    </w:p>
    <w:p w14:paraId="3B4365DC" w14:textId="696E6B8A" w:rsidR="00630827" w:rsidRPr="00F40A43" w:rsidRDefault="003E441B" w:rsidP="00096360">
      <w:pPr>
        <w:rPr>
          <w:rFonts w:asciiTheme="minorHAnsi" w:hAnsiTheme="minorHAnsi"/>
          <w:sz w:val="22"/>
          <w:szCs w:val="22"/>
        </w:rPr>
      </w:pPr>
      <w:r w:rsidRPr="00F40A43">
        <w:rPr>
          <w:rFonts w:asciiTheme="minorHAnsi" w:hAnsiTheme="minorHAnsi"/>
          <w:sz w:val="22"/>
          <w:szCs w:val="22"/>
        </w:rPr>
        <w:t>No individuals were consulted regarding the statistical aspects of the design of this study.</w:t>
      </w:r>
      <w:r w:rsidR="00096360" w:rsidRPr="00F40A43">
        <w:rPr>
          <w:rFonts w:asciiTheme="minorHAnsi" w:hAnsiTheme="minorHAnsi"/>
          <w:sz w:val="22"/>
          <w:szCs w:val="22"/>
        </w:rPr>
        <w:t xml:space="preserve">  </w:t>
      </w:r>
      <w:r w:rsidRPr="00F40A43">
        <w:rPr>
          <w:rFonts w:asciiTheme="minorHAnsi" w:hAnsiTheme="minorHAnsi"/>
          <w:sz w:val="22"/>
          <w:szCs w:val="22"/>
        </w:rPr>
        <w:t>All information will be collected and analyzed by PricewaterhouseCoopers LLP (PwC) employees and select members of the Office of Applied Research (OAR) in the Office of Public Health Preparedness and Response (OPHPR) at Centers for Disease Control and Prevention (CDC).</w:t>
      </w:r>
    </w:p>
    <w:p w14:paraId="6CF6FD02" w14:textId="77777777" w:rsidR="00630827" w:rsidRPr="00F40A43" w:rsidRDefault="00630827" w:rsidP="003E441B">
      <w:pPr>
        <w:tabs>
          <w:tab w:val="left" w:pos="0"/>
        </w:tabs>
        <w:rPr>
          <w:rFonts w:asciiTheme="minorHAnsi" w:hAnsiTheme="minorHAnsi"/>
          <w:sz w:val="22"/>
          <w:szCs w:val="22"/>
        </w:rPr>
      </w:pPr>
    </w:p>
    <w:p w14:paraId="06418A15" w14:textId="2D96DAC9" w:rsidR="004C7CC4" w:rsidRPr="00F40A43" w:rsidRDefault="004C7CC4" w:rsidP="003E441B">
      <w:pPr>
        <w:tabs>
          <w:tab w:val="left" w:pos="0"/>
        </w:tabs>
        <w:rPr>
          <w:rFonts w:asciiTheme="minorHAnsi" w:hAnsiTheme="minorHAnsi"/>
          <w:i/>
          <w:sz w:val="22"/>
          <w:szCs w:val="22"/>
        </w:rPr>
      </w:pPr>
      <w:r w:rsidRPr="00F40A43">
        <w:rPr>
          <w:rFonts w:asciiTheme="minorHAnsi" w:hAnsiTheme="minorHAnsi"/>
          <w:i/>
          <w:sz w:val="22"/>
          <w:szCs w:val="22"/>
        </w:rPr>
        <w:t>Names of PWC employees involved in designing the data collection tools, collecting data and/or analyzing data:</w:t>
      </w:r>
    </w:p>
    <w:p w14:paraId="1B5B04D9" w14:textId="25C67EA7" w:rsidR="004C7CC4" w:rsidRPr="00F40A43" w:rsidRDefault="004C7CC4" w:rsidP="003E441B">
      <w:pPr>
        <w:tabs>
          <w:tab w:val="left" w:pos="0"/>
        </w:tabs>
        <w:rPr>
          <w:rFonts w:asciiTheme="minorHAnsi" w:hAnsiTheme="minorHAnsi"/>
          <w:sz w:val="22"/>
          <w:szCs w:val="22"/>
        </w:rPr>
      </w:pPr>
      <w:r w:rsidRPr="00F40A43">
        <w:rPr>
          <w:rFonts w:asciiTheme="minorHAnsi" w:hAnsiTheme="minorHAnsi"/>
          <w:sz w:val="22"/>
          <w:szCs w:val="22"/>
        </w:rPr>
        <w:t>Dr. Chandresh Harjivan</w:t>
      </w:r>
    </w:p>
    <w:p w14:paraId="55CB6264" w14:textId="24F8CCFA" w:rsidR="004C7CC4" w:rsidRPr="00F40A43" w:rsidRDefault="004C7CC4" w:rsidP="003E441B">
      <w:pPr>
        <w:tabs>
          <w:tab w:val="left" w:pos="0"/>
        </w:tabs>
        <w:rPr>
          <w:rFonts w:asciiTheme="minorHAnsi" w:hAnsiTheme="minorHAnsi"/>
          <w:sz w:val="22"/>
          <w:szCs w:val="22"/>
        </w:rPr>
      </w:pPr>
      <w:r w:rsidRPr="00F40A43">
        <w:rPr>
          <w:rFonts w:asciiTheme="minorHAnsi" w:hAnsiTheme="minorHAnsi"/>
          <w:sz w:val="22"/>
          <w:szCs w:val="22"/>
        </w:rPr>
        <w:t>Dr. George Dougherty</w:t>
      </w:r>
    </w:p>
    <w:p w14:paraId="50417653" w14:textId="2FF6082B" w:rsidR="004C7CC4" w:rsidRPr="00F40A43" w:rsidRDefault="004C7CC4" w:rsidP="003E441B">
      <w:pPr>
        <w:tabs>
          <w:tab w:val="left" w:pos="0"/>
        </w:tabs>
        <w:rPr>
          <w:rFonts w:asciiTheme="minorHAnsi" w:hAnsiTheme="minorHAnsi"/>
          <w:sz w:val="22"/>
          <w:szCs w:val="22"/>
        </w:rPr>
      </w:pPr>
      <w:r w:rsidRPr="00F40A43">
        <w:rPr>
          <w:rFonts w:asciiTheme="minorHAnsi" w:hAnsiTheme="minorHAnsi"/>
          <w:sz w:val="22"/>
          <w:szCs w:val="22"/>
        </w:rPr>
        <w:t>Cara Klansek</w:t>
      </w:r>
    </w:p>
    <w:p w14:paraId="3064A40F" w14:textId="491E8746" w:rsidR="004C7CC4" w:rsidRPr="00F40A43" w:rsidRDefault="004C7CC4" w:rsidP="003E441B">
      <w:pPr>
        <w:tabs>
          <w:tab w:val="left" w:pos="0"/>
        </w:tabs>
        <w:rPr>
          <w:rFonts w:asciiTheme="minorHAnsi" w:hAnsiTheme="minorHAnsi"/>
          <w:sz w:val="22"/>
          <w:szCs w:val="22"/>
        </w:rPr>
      </w:pPr>
      <w:r w:rsidRPr="00F40A43">
        <w:rPr>
          <w:rFonts w:asciiTheme="minorHAnsi" w:hAnsiTheme="minorHAnsi"/>
          <w:sz w:val="22"/>
          <w:szCs w:val="22"/>
        </w:rPr>
        <w:t>Brian Sanders</w:t>
      </w:r>
    </w:p>
    <w:p w14:paraId="76BB09EB" w14:textId="26420854" w:rsidR="004C7CC4" w:rsidRPr="00F40A43" w:rsidRDefault="004C7CC4" w:rsidP="003E441B">
      <w:pPr>
        <w:tabs>
          <w:tab w:val="left" w:pos="0"/>
        </w:tabs>
        <w:rPr>
          <w:rFonts w:asciiTheme="minorHAnsi" w:hAnsiTheme="minorHAnsi"/>
          <w:sz w:val="22"/>
          <w:szCs w:val="22"/>
        </w:rPr>
      </w:pPr>
      <w:r w:rsidRPr="00F40A43">
        <w:rPr>
          <w:rFonts w:asciiTheme="minorHAnsi" w:hAnsiTheme="minorHAnsi"/>
          <w:sz w:val="22"/>
          <w:szCs w:val="22"/>
        </w:rPr>
        <w:t>Brendon Pezzack</w:t>
      </w:r>
    </w:p>
    <w:p w14:paraId="744E2ABA" w14:textId="77777777" w:rsidR="004C7CC4" w:rsidRPr="00F40A43" w:rsidRDefault="004C7CC4" w:rsidP="003E441B">
      <w:pPr>
        <w:tabs>
          <w:tab w:val="left" w:pos="0"/>
        </w:tabs>
        <w:rPr>
          <w:rFonts w:asciiTheme="minorHAnsi" w:hAnsiTheme="minorHAnsi"/>
          <w:sz w:val="22"/>
          <w:szCs w:val="22"/>
        </w:rPr>
      </w:pPr>
    </w:p>
    <w:p w14:paraId="4E1B8333" w14:textId="0F5412A9" w:rsidR="004C7CC4" w:rsidRPr="00F40A43" w:rsidRDefault="004C7CC4" w:rsidP="003E441B">
      <w:pPr>
        <w:tabs>
          <w:tab w:val="left" w:pos="0"/>
        </w:tabs>
        <w:rPr>
          <w:rFonts w:asciiTheme="minorHAnsi" w:hAnsiTheme="minorHAnsi"/>
          <w:i/>
          <w:sz w:val="22"/>
          <w:szCs w:val="22"/>
        </w:rPr>
      </w:pPr>
      <w:r w:rsidRPr="00F40A43">
        <w:rPr>
          <w:rFonts w:asciiTheme="minorHAnsi" w:hAnsiTheme="minorHAnsi"/>
          <w:i/>
          <w:sz w:val="22"/>
          <w:szCs w:val="22"/>
        </w:rPr>
        <w:t>Names of CDC employees responsible for receiving and approving contract deliverables:</w:t>
      </w:r>
    </w:p>
    <w:p w14:paraId="2F517A93" w14:textId="0F763EEF" w:rsidR="004C7CC4" w:rsidRPr="00F40A43" w:rsidRDefault="004C7CC4" w:rsidP="003E441B">
      <w:pPr>
        <w:tabs>
          <w:tab w:val="left" w:pos="0"/>
        </w:tabs>
        <w:rPr>
          <w:rFonts w:asciiTheme="minorHAnsi" w:hAnsiTheme="minorHAnsi"/>
          <w:sz w:val="22"/>
          <w:szCs w:val="22"/>
        </w:rPr>
      </w:pPr>
      <w:r w:rsidRPr="00F40A43">
        <w:rPr>
          <w:rFonts w:asciiTheme="minorHAnsi" w:hAnsiTheme="minorHAnsi"/>
          <w:sz w:val="22"/>
          <w:szCs w:val="22"/>
        </w:rPr>
        <w:t>Eric G. Carbone</w:t>
      </w:r>
    </w:p>
    <w:p w14:paraId="465917B6" w14:textId="1656427E" w:rsidR="004C7CC4" w:rsidRPr="00F40A43" w:rsidRDefault="004C7CC4" w:rsidP="003E441B">
      <w:pPr>
        <w:tabs>
          <w:tab w:val="left" w:pos="0"/>
        </w:tabs>
        <w:rPr>
          <w:rFonts w:asciiTheme="minorHAnsi" w:hAnsiTheme="minorHAnsi"/>
          <w:sz w:val="22"/>
          <w:szCs w:val="22"/>
        </w:rPr>
      </w:pPr>
      <w:r w:rsidRPr="00F40A43">
        <w:rPr>
          <w:rFonts w:asciiTheme="minorHAnsi" w:hAnsiTheme="minorHAnsi"/>
          <w:sz w:val="22"/>
          <w:szCs w:val="22"/>
        </w:rPr>
        <w:t>Erin Echols</w:t>
      </w:r>
    </w:p>
    <w:sectPr w:rsidR="004C7CC4" w:rsidRPr="00F40A43" w:rsidSect="00CB2E79">
      <w:headerReference w:type="default" r:id="rId9"/>
      <w:footerReference w:type="even" r:id="rId10"/>
      <w:footerReference w:type="default" r:id="rId11"/>
      <w:head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E812E" w14:textId="77777777" w:rsidR="009E4082" w:rsidRDefault="009E4082">
      <w:r>
        <w:separator/>
      </w:r>
    </w:p>
  </w:endnote>
  <w:endnote w:type="continuationSeparator" w:id="0">
    <w:p w14:paraId="588E3981" w14:textId="77777777" w:rsidR="009E4082" w:rsidRDefault="009E4082">
      <w:r>
        <w:continuationSeparator/>
      </w:r>
    </w:p>
  </w:endnote>
  <w:endnote w:type="continuationNotice" w:id="1">
    <w:p w14:paraId="4C74B62A" w14:textId="77777777" w:rsidR="009E4082" w:rsidRDefault="009E4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A6BD" w14:textId="77777777" w:rsidR="00F361CF" w:rsidRDefault="00F361CF"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8AB22" w14:textId="77777777" w:rsidR="00F361CF" w:rsidRDefault="00F36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045767"/>
      <w:docPartObj>
        <w:docPartGallery w:val="Page Numbers (Bottom of Page)"/>
        <w:docPartUnique/>
      </w:docPartObj>
    </w:sdtPr>
    <w:sdtEndPr>
      <w:rPr>
        <w:rFonts w:asciiTheme="minorHAnsi" w:hAnsiTheme="minorHAnsi"/>
        <w:noProof/>
        <w:sz w:val="22"/>
        <w:szCs w:val="22"/>
      </w:rPr>
    </w:sdtEndPr>
    <w:sdtContent>
      <w:p w14:paraId="2DE0FA77" w14:textId="2F3CD1A2" w:rsidR="007C79BC" w:rsidRPr="00F40A43" w:rsidRDefault="007C79BC">
        <w:pPr>
          <w:pStyle w:val="Footer"/>
          <w:jc w:val="right"/>
          <w:rPr>
            <w:rFonts w:asciiTheme="minorHAnsi" w:hAnsiTheme="minorHAnsi"/>
            <w:sz w:val="22"/>
            <w:szCs w:val="22"/>
          </w:rPr>
        </w:pPr>
        <w:r w:rsidRPr="00F40A43">
          <w:rPr>
            <w:rFonts w:asciiTheme="minorHAnsi" w:hAnsiTheme="minorHAnsi"/>
            <w:sz w:val="22"/>
            <w:szCs w:val="22"/>
          </w:rPr>
          <w:fldChar w:fldCharType="begin"/>
        </w:r>
        <w:r w:rsidRPr="00F40A43">
          <w:rPr>
            <w:rFonts w:asciiTheme="minorHAnsi" w:hAnsiTheme="minorHAnsi"/>
            <w:sz w:val="22"/>
            <w:szCs w:val="22"/>
          </w:rPr>
          <w:instrText xml:space="preserve"> PAGE   \* MERGEFORMAT </w:instrText>
        </w:r>
        <w:r w:rsidRPr="00F40A43">
          <w:rPr>
            <w:rFonts w:asciiTheme="minorHAnsi" w:hAnsiTheme="minorHAnsi"/>
            <w:sz w:val="22"/>
            <w:szCs w:val="22"/>
          </w:rPr>
          <w:fldChar w:fldCharType="separate"/>
        </w:r>
        <w:r w:rsidR="0005580A">
          <w:rPr>
            <w:rFonts w:asciiTheme="minorHAnsi" w:hAnsiTheme="minorHAnsi"/>
            <w:noProof/>
            <w:sz w:val="22"/>
            <w:szCs w:val="22"/>
          </w:rPr>
          <w:t>1</w:t>
        </w:r>
        <w:r w:rsidRPr="00F40A43">
          <w:rPr>
            <w:rFonts w:asciiTheme="minorHAnsi" w:hAnsiTheme="minorHAnsi"/>
            <w:noProof/>
            <w:sz w:val="22"/>
            <w:szCs w:val="22"/>
          </w:rPr>
          <w:fldChar w:fldCharType="end"/>
        </w:r>
      </w:p>
    </w:sdtContent>
  </w:sdt>
  <w:p w14:paraId="4AF30210" w14:textId="77777777" w:rsidR="00F361CF" w:rsidRDefault="00F36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119F6" w14:textId="77777777" w:rsidR="009E4082" w:rsidRDefault="009E4082">
      <w:r>
        <w:separator/>
      </w:r>
    </w:p>
  </w:footnote>
  <w:footnote w:type="continuationSeparator" w:id="0">
    <w:p w14:paraId="2BC00EB0" w14:textId="77777777" w:rsidR="009E4082" w:rsidRDefault="009E4082">
      <w:r>
        <w:continuationSeparator/>
      </w:r>
    </w:p>
  </w:footnote>
  <w:footnote w:type="continuationNotice" w:id="1">
    <w:p w14:paraId="608B7C44" w14:textId="77777777" w:rsidR="009E4082" w:rsidRDefault="009E40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6E0A4" w14:textId="3C4CFD10" w:rsidR="00F47658" w:rsidRPr="00F47658" w:rsidRDefault="00F47658" w:rsidP="00F47658">
    <w:pPr>
      <w:pStyle w:val="Header"/>
      <w:rPr>
        <w:rFonts w:asciiTheme="minorHAnsi" w:hAnsiTheme="minorHAnsi"/>
        <w:sz w:val="22"/>
        <w:szCs w:val="22"/>
      </w:rPr>
    </w:pPr>
    <w:r w:rsidRPr="00F47658">
      <w:rPr>
        <w:rFonts w:asciiTheme="minorHAnsi" w:hAnsiTheme="minorHAnsi"/>
        <w:sz w:val="22"/>
        <w:szCs w:val="22"/>
      </w:rPr>
      <w:t xml:space="preserve">Version </w:t>
    </w:r>
    <w:r w:rsidR="00C33D45">
      <w:rPr>
        <w:rFonts w:asciiTheme="minorHAnsi" w:hAnsiTheme="minorHAnsi"/>
        <w:sz w:val="22"/>
        <w:szCs w:val="22"/>
      </w:rPr>
      <w:t>1.0</w:t>
    </w:r>
    <w:r w:rsidRPr="00F47658">
      <w:rPr>
        <w:rFonts w:asciiTheme="minorHAnsi" w:hAnsiTheme="minorHAnsi"/>
        <w:sz w:val="22"/>
        <w:szCs w:val="22"/>
      </w:rPr>
      <w:tab/>
    </w:r>
    <w:r w:rsidRPr="00F47658">
      <w:rPr>
        <w:rFonts w:asciiTheme="minorHAnsi" w:hAnsiTheme="minorHAnsi"/>
        <w:sz w:val="22"/>
        <w:szCs w:val="22"/>
      </w:rPr>
      <w:tab/>
    </w:r>
    <w:r w:rsidRPr="00616B44">
      <w:rPr>
        <w:rFonts w:asciiTheme="minorHAnsi" w:hAnsiTheme="minorHAnsi"/>
        <w:b/>
        <w:sz w:val="22"/>
        <w:szCs w:val="22"/>
      </w:rPr>
      <w:t>Date:</w:t>
    </w:r>
    <w:r w:rsidRPr="00616B44">
      <w:rPr>
        <w:rFonts w:asciiTheme="minorHAnsi" w:hAnsiTheme="minorHAnsi"/>
        <w:sz w:val="22"/>
        <w:szCs w:val="22"/>
      </w:rPr>
      <w:t xml:space="preserve"> </w:t>
    </w:r>
    <w:r w:rsidR="00616B44">
      <w:rPr>
        <w:rFonts w:asciiTheme="minorHAnsi" w:hAnsiTheme="minorHAnsi"/>
        <w:sz w:val="22"/>
        <w:szCs w:val="22"/>
      </w:rPr>
      <w:t>07/13/2017</w:t>
    </w:r>
  </w:p>
  <w:p w14:paraId="42B1029C" w14:textId="77777777" w:rsidR="00F361CF" w:rsidRDefault="00F36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13956" w14:textId="60A243C0" w:rsidR="00F361CF" w:rsidRPr="00E70E60" w:rsidRDefault="00F361CF" w:rsidP="006E4E91">
    <w:pPr>
      <w:pStyle w:val="Header"/>
      <w:rPr>
        <w:rFonts w:asciiTheme="minorHAnsi" w:hAnsiTheme="minorHAnsi"/>
        <w:sz w:val="22"/>
        <w:szCs w:val="22"/>
      </w:rPr>
    </w:pPr>
    <w:r w:rsidRPr="00E70E60">
      <w:rPr>
        <w:rFonts w:asciiTheme="minorHAnsi" w:hAnsiTheme="minorHAnsi"/>
        <w:sz w:val="22"/>
        <w:szCs w:val="22"/>
      </w:rPr>
      <w:t>Draft Version 0.</w:t>
    </w:r>
    <w:r>
      <w:rPr>
        <w:rFonts w:asciiTheme="minorHAnsi" w:hAnsiTheme="minorHAnsi"/>
        <w:sz w:val="22"/>
        <w:szCs w:val="22"/>
      </w:rPr>
      <w:t>2</w:t>
    </w:r>
  </w:p>
  <w:p w14:paraId="0C0E3249" w14:textId="77777777" w:rsidR="00F361CF" w:rsidRDefault="00F36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4313F"/>
    <w:multiLevelType w:val="hybridMultilevel"/>
    <w:tmpl w:val="0C9513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A436AD1"/>
    <w:multiLevelType w:val="hybridMultilevel"/>
    <w:tmpl w:val="4860A2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1D"/>
    <w:multiLevelType w:val="multilevel"/>
    <w:tmpl w:val="9C2817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346F1"/>
    <w:multiLevelType w:val="hybridMultilevel"/>
    <w:tmpl w:val="9EFC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277D75"/>
    <w:multiLevelType w:val="hybridMultilevel"/>
    <w:tmpl w:val="DD34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7E159B"/>
    <w:multiLevelType w:val="hybridMultilevel"/>
    <w:tmpl w:val="4408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744675"/>
    <w:multiLevelType w:val="hybridMultilevel"/>
    <w:tmpl w:val="742E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2F5AEA"/>
    <w:multiLevelType w:val="hybridMultilevel"/>
    <w:tmpl w:val="9318A2E2"/>
    <w:lvl w:ilvl="0" w:tplc="B9881832">
      <w:numFmt w:val="bullet"/>
      <w:lvlText w:val="-"/>
      <w:lvlJc w:val="left"/>
      <w:pPr>
        <w:ind w:left="720" w:hanging="360"/>
      </w:pPr>
      <w:rPr>
        <w:rFonts w:ascii="ITC Franklin Gothic Std Book" w:eastAsia="Times New Roman" w:hAnsi="ITC Franklin Gothic Std Book" w:cs="ITC Franklin Gothic Std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0"/>
  </w:num>
  <w:num w:numId="5">
    <w:abstractNumId w:val="9"/>
  </w:num>
  <w:num w:numId="6">
    <w:abstractNumId w:val="4"/>
  </w:num>
  <w:num w:numId="7">
    <w:abstractNumId w:val="6"/>
  </w:num>
  <w:num w:numId="8">
    <w:abstractNumId w:val="2"/>
  </w:num>
  <w:num w:numId="9">
    <w:abstractNumId w:val="8"/>
  </w:num>
  <w:num w:numId="10">
    <w:abstractNumId w:val="11"/>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AMA_Revised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9aw9r95vtwa29ezp5gvwpf8sfzr9ppdr5e5&quot;&gt;jm endnote X&lt;record-ids&gt;&lt;item&gt;1500&lt;/item&gt;&lt;item&gt;2569&lt;/item&gt;&lt;item&gt;2758&lt;/item&gt;&lt;item&gt;2797&lt;/item&gt;&lt;item&gt;2851&lt;/item&gt;&lt;item&gt;2964&lt;/item&gt;&lt;/record-ids&gt;&lt;/item&gt;&lt;/Libraries&gt;"/>
  </w:docVars>
  <w:rsids>
    <w:rsidRoot w:val="005453AD"/>
    <w:rsid w:val="000028E6"/>
    <w:rsid w:val="00003726"/>
    <w:rsid w:val="00005C51"/>
    <w:rsid w:val="00006B50"/>
    <w:rsid w:val="00007C23"/>
    <w:rsid w:val="00011A56"/>
    <w:rsid w:val="00011C67"/>
    <w:rsid w:val="0001418A"/>
    <w:rsid w:val="00020CDC"/>
    <w:rsid w:val="00022B2F"/>
    <w:rsid w:val="00023905"/>
    <w:rsid w:val="0002688B"/>
    <w:rsid w:val="00027931"/>
    <w:rsid w:val="000375C3"/>
    <w:rsid w:val="00037FD8"/>
    <w:rsid w:val="00040D98"/>
    <w:rsid w:val="000412F2"/>
    <w:rsid w:val="0004144A"/>
    <w:rsid w:val="000418E7"/>
    <w:rsid w:val="00042F92"/>
    <w:rsid w:val="000437CC"/>
    <w:rsid w:val="00050229"/>
    <w:rsid w:val="00053B30"/>
    <w:rsid w:val="0005580A"/>
    <w:rsid w:val="000733EB"/>
    <w:rsid w:val="0008338A"/>
    <w:rsid w:val="00084D1F"/>
    <w:rsid w:val="00096360"/>
    <w:rsid w:val="000A3642"/>
    <w:rsid w:val="000A52E3"/>
    <w:rsid w:val="000A6B79"/>
    <w:rsid w:val="000B246F"/>
    <w:rsid w:val="000B2925"/>
    <w:rsid w:val="000B51D2"/>
    <w:rsid w:val="000C052D"/>
    <w:rsid w:val="000C26A4"/>
    <w:rsid w:val="000C273C"/>
    <w:rsid w:val="000D44AD"/>
    <w:rsid w:val="000D68E0"/>
    <w:rsid w:val="000E5B21"/>
    <w:rsid w:val="000F1C4B"/>
    <w:rsid w:val="001045E9"/>
    <w:rsid w:val="00105EF1"/>
    <w:rsid w:val="00107069"/>
    <w:rsid w:val="001072BA"/>
    <w:rsid w:val="00122180"/>
    <w:rsid w:val="001277A0"/>
    <w:rsid w:val="00133642"/>
    <w:rsid w:val="0013418E"/>
    <w:rsid w:val="00144014"/>
    <w:rsid w:val="0015078B"/>
    <w:rsid w:val="00152FCC"/>
    <w:rsid w:val="00157F93"/>
    <w:rsid w:val="00160B30"/>
    <w:rsid w:val="001623B4"/>
    <w:rsid w:val="00163BE9"/>
    <w:rsid w:val="001650B2"/>
    <w:rsid w:val="00172665"/>
    <w:rsid w:val="00172769"/>
    <w:rsid w:val="001737DC"/>
    <w:rsid w:val="00184281"/>
    <w:rsid w:val="00187366"/>
    <w:rsid w:val="001914B6"/>
    <w:rsid w:val="00193D98"/>
    <w:rsid w:val="001961A5"/>
    <w:rsid w:val="001A5FF7"/>
    <w:rsid w:val="001B2C89"/>
    <w:rsid w:val="001B5D6F"/>
    <w:rsid w:val="001C3D9E"/>
    <w:rsid w:val="001C685D"/>
    <w:rsid w:val="001C78FD"/>
    <w:rsid w:val="001E68AC"/>
    <w:rsid w:val="001F187D"/>
    <w:rsid w:val="001F2974"/>
    <w:rsid w:val="001F5E2E"/>
    <w:rsid w:val="001F6DBC"/>
    <w:rsid w:val="00202661"/>
    <w:rsid w:val="0020740B"/>
    <w:rsid w:val="0020799A"/>
    <w:rsid w:val="00220C60"/>
    <w:rsid w:val="00222258"/>
    <w:rsid w:val="00224620"/>
    <w:rsid w:val="002343F0"/>
    <w:rsid w:val="002352C8"/>
    <w:rsid w:val="0023595D"/>
    <w:rsid w:val="00240615"/>
    <w:rsid w:val="00243021"/>
    <w:rsid w:val="00250F6D"/>
    <w:rsid w:val="00252F86"/>
    <w:rsid w:val="00260020"/>
    <w:rsid w:val="00260A01"/>
    <w:rsid w:val="00262FCA"/>
    <w:rsid w:val="00265C70"/>
    <w:rsid w:val="00266D37"/>
    <w:rsid w:val="00274E60"/>
    <w:rsid w:val="00277CEA"/>
    <w:rsid w:val="002837E3"/>
    <w:rsid w:val="00287195"/>
    <w:rsid w:val="00287EA6"/>
    <w:rsid w:val="002A5262"/>
    <w:rsid w:val="002B0F78"/>
    <w:rsid w:val="002B51BE"/>
    <w:rsid w:val="002B6BC7"/>
    <w:rsid w:val="002C21A2"/>
    <w:rsid w:val="002D75B5"/>
    <w:rsid w:val="002E335C"/>
    <w:rsid w:val="002F344F"/>
    <w:rsid w:val="002F5365"/>
    <w:rsid w:val="002F7931"/>
    <w:rsid w:val="003004BA"/>
    <w:rsid w:val="00307CE1"/>
    <w:rsid w:val="00314B99"/>
    <w:rsid w:val="0031502F"/>
    <w:rsid w:val="00324E7E"/>
    <w:rsid w:val="00325BC9"/>
    <w:rsid w:val="003338AE"/>
    <w:rsid w:val="00341D74"/>
    <w:rsid w:val="00346F23"/>
    <w:rsid w:val="003511E4"/>
    <w:rsid w:val="00353007"/>
    <w:rsid w:val="00353DBB"/>
    <w:rsid w:val="00354573"/>
    <w:rsid w:val="0036002D"/>
    <w:rsid w:val="0036078A"/>
    <w:rsid w:val="00365067"/>
    <w:rsid w:val="00367D62"/>
    <w:rsid w:val="0037516E"/>
    <w:rsid w:val="003779C9"/>
    <w:rsid w:val="00381C57"/>
    <w:rsid w:val="00383034"/>
    <w:rsid w:val="00384745"/>
    <w:rsid w:val="003916E5"/>
    <w:rsid w:val="00393005"/>
    <w:rsid w:val="00396B62"/>
    <w:rsid w:val="003A0234"/>
    <w:rsid w:val="003B0FEA"/>
    <w:rsid w:val="003B376A"/>
    <w:rsid w:val="003B3C70"/>
    <w:rsid w:val="003B46B4"/>
    <w:rsid w:val="003B7C56"/>
    <w:rsid w:val="003C1C77"/>
    <w:rsid w:val="003C2F3C"/>
    <w:rsid w:val="003C3103"/>
    <w:rsid w:val="003C312C"/>
    <w:rsid w:val="003C6E1D"/>
    <w:rsid w:val="003C73E8"/>
    <w:rsid w:val="003D32B9"/>
    <w:rsid w:val="003D369A"/>
    <w:rsid w:val="003D3B9C"/>
    <w:rsid w:val="003D6AE8"/>
    <w:rsid w:val="003E441B"/>
    <w:rsid w:val="003E5535"/>
    <w:rsid w:val="003F04CB"/>
    <w:rsid w:val="003F223C"/>
    <w:rsid w:val="003F4F2F"/>
    <w:rsid w:val="00410CD0"/>
    <w:rsid w:val="004122A0"/>
    <w:rsid w:val="00413710"/>
    <w:rsid w:val="00415138"/>
    <w:rsid w:val="00422B2A"/>
    <w:rsid w:val="00422D69"/>
    <w:rsid w:val="004230CE"/>
    <w:rsid w:val="00426BAE"/>
    <w:rsid w:val="00431F3A"/>
    <w:rsid w:val="0043295B"/>
    <w:rsid w:val="00447D3B"/>
    <w:rsid w:val="00451EBF"/>
    <w:rsid w:val="004543F7"/>
    <w:rsid w:val="00460D1B"/>
    <w:rsid w:val="00461D98"/>
    <w:rsid w:val="00474DB9"/>
    <w:rsid w:val="004750AB"/>
    <w:rsid w:val="00476861"/>
    <w:rsid w:val="00494438"/>
    <w:rsid w:val="0049545C"/>
    <w:rsid w:val="00497C66"/>
    <w:rsid w:val="004A0508"/>
    <w:rsid w:val="004A111A"/>
    <w:rsid w:val="004A58E2"/>
    <w:rsid w:val="004A6368"/>
    <w:rsid w:val="004A74CC"/>
    <w:rsid w:val="004B06E4"/>
    <w:rsid w:val="004B5BD6"/>
    <w:rsid w:val="004B6489"/>
    <w:rsid w:val="004B64D5"/>
    <w:rsid w:val="004C0285"/>
    <w:rsid w:val="004C1A2B"/>
    <w:rsid w:val="004C7CC4"/>
    <w:rsid w:val="004C7F3B"/>
    <w:rsid w:val="004D2430"/>
    <w:rsid w:val="004D6C5F"/>
    <w:rsid w:val="004F153D"/>
    <w:rsid w:val="004F3F35"/>
    <w:rsid w:val="004F7C29"/>
    <w:rsid w:val="0050069A"/>
    <w:rsid w:val="00501C37"/>
    <w:rsid w:val="00501F33"/>
    <w:rsid w:val="00502005"/>
    <w:rsid w:val="0050472C"/>
    <w:rsid w:val="00505B6A"/>
    <w:rsid w:val="00506B7C"/>
    <w:rsid w:val="005124D8"/>
    <w:rsid w:val="00512850"/>
    <w:rsid w:val="00520D8D"/>
    <w:rsid w:val="005231AF"/>
    <w:rsid w:val="00525495"/>
    <w:rsid w:val="00526CC1"/>
    <w:rsid w:val="00536106"/>
    <w:rsid w:val="00540317"/>
    <w:rsid w:val="00543AF4"/>
    <w:rsid w:val="005453AD"/>
    <w:rsid w:val="00552C85"/>
    <w:rsid w:val="00554529"/>
    <w:rsid w:val="00555B00"/>
    <w:rsid w:val="00555B8A"/>
    <w:rsid w:val="0055766A"/>
    <w:rsid w:val="00560D3D"/>
    <w:rsid w:val="00575FBD"/>
    <w:rsid w:val="005772BD"/>
    <w:rsid w:val="005821AF"/>
    <w:rsid w:val="00591FED"/>
    <w:rsid w:val="005927C4"/>
    <w:rsid w:val="005A03B2"/>
    <w:rsid w:val="005A3D4D"/>
    <w:rsid w:val="005A528D"/>
    <w:rsid w:val="005B49CB"/>
    <w:rsid w:val="005B63B9"/>
    <w:rsid w:val="005B7E1A"/>
    <w:rsid w:val="005C5779"/>
    <w:rsid w:val="005D11F3"/>
    <w:rsid w:val="005E3686"/>
    <w:rsid w:val="005E5170"/>
    <w:rsid w:val="005F08FA"/>
    <w:rsid w:val="005F6627"/>
    <w:rsid w:val="005F785E"/>
    <w:rsid w:val="00602B9A"/>
    <w:rsid w:val="006051E2"/>
    <w:rsid w:val="00607E4C"/>
    <w:rsid w:val="006106C1"/>
    <w:rsid w:val="0061186F"/>
    <w:rsid w:val="00616B44"/>
    <w:rsid w:val="00620AC7"/>
    <w:rsid w:val="006238E0"/>
    <w:rsid w:val="00624196"/>
    <w:rsid w:val="00630827"/>
    <w:rsid w:val="00631667"/>
    <w:rsid w:val="0063344E"/>
    <w:rsid w:val="00633D67"/>
    <w:rsid w:val="00635512"/>
    <w:rsid w:val="0063714F"/>
    <w:rsid w:val="00640AFE"/>
    <w:rsid w:val="00644385"/>
    <w:rsid w:val="006520F3"/>
    <w:rsid w:val="00654137"/>
    <w:rsid w:val="00656C4F"/>
    <w:rsid w:val="0065798D"/>
    <w:rsid w:val="0066058A"/>
    <w:rsid w:val="006653E4"/>
    <w:rsid w:val="00666C20"/>
    <w:rsid w:val="00674DB4"/>
    <w:rsid w:val="006751F3"/>
    <w:rsid w:val="0069068A"/>
    <w:rsid w:val="00694254"/>
    <w:rsid w:val="00697067"/>
    <w:rsid w:val="006A09B7"/>
    <w:rsid w:val="006A23A7"/>
    <w:rsid w:val="006B417B"/>
    <w:rsid w:val="006B65D6"/>
    <w:rsid w:val="006C0C47"/>
    <w:rsid w:val="006D2949"/>
    <w:rsid w:val="006D2A3E"/>
    <w:rsid w:val="006D548C"/>
    <w:rsid w:val="006E4E91"/>
    <w:rsid w:val="006F00D7"/>
    <w:rsid w:val="006F344D"/>
    <w:rsid w:val="007017C8"/>
    <w:rsid w:val="00701B9B"/>
    <w:rsid w:val="007033D7"/>
    <w:rsid w:val="007121D5"/>
    <w:rsid w:val="00714C76"/>
    <w:rsid w:val="007257EA"/>
    <w:rsid w:val="00726E4F"/>
    <w:rsid w:val="0072702F"/>
    <w:rsid w:val="00734FA6"/>
    <w:rsid w:val="007428B6"/>
    <w:rsid w:val="007458ED"/>
    <w:rsid w:val="007519A8"/>
    <w:rsid w:val="00752720"/>
    <w:rsid w:val="00766ABD"/>
    <w:rsid w:val="00772E70"/>
    <w:rsid w:val="0077434B"/>
    <w:rsid w:val="00775880"/>
    <w:rsid w:val="00777546"/>
    <w:rsid w:val="007855F5"/>
    <w:rsid w:val="00790A3B"/>
    <w:rsid w:val="00792830"/>
    <w:rsid w:val="00793E46"/>
    <w:rsid w:val="007A011B"/>
    <w:rsid w:val="007A17F0"/>
    <w:rsid w:val="007C0D40"/>
    <w:rsid w:val="007C39E4"/>
    <w:rsid w:val="007C49D3"/>
    <w:rsid w:val="007C5905"/>
    <w:rsid w:val="007C661C"/>
    <w:rsid w:val="007C79BC"/>
    <w:rsid w:val="007D53AA"/>
    <w:rsid w:val="007E117D"/>
    <w:rsid w:val="007F2387"/>
    <w:rsid w:val="007F2F72"/>
    <w:rsid w:val="008018B3"/>
    <w:rsid w:val="00812673"/>
    <w:rsid w:val="008201AD"/>
    <w:rsid w:val="00826B80"/>
    <w:rsid w:val="00834A30"/>
    <w:rsid w:val="00844DC2"/>
    <w:rsid w:val="008452A3"/>
    <w:rsid w:val="008508C2"/>
    <w:rsid w:val="008525B8"/>
    <w:rsid w:val="00852717"/>
    <w:rsid w:val="00852C36"/>
    <w:rsid w:val="00854B3A"/>
    <w:rsid w:val="0085683E"/>
    <w:rsid w:val="0086294F"/>
    <w:rsid w:val="00864861"/>
    <w:rsid w:val="00864C0A"/>
    <w:rsid w:val="00871DAE"/>
    <w:rsid w:val="00873091"/>
    <w:rsid w:val="008741AB"/>
    <w:rsid w:val="00874B68"/>
    <w:rsid w:val="00890667"/>
    <w:rsid w:val="0089215C"/>
    <w:rsid w:val="00892197"/>
    <w:rsid w:val="008933F8"/>
    <w:rsid w:val="00894559"/>
    <w:rsid w:val="00894CB3"/>
    <w:rsid w:val="00895461"/>
    <w:rsid w:val="008A5586"/>
    <w:rsid w:val="008A583F"/>
    <w:rsid w:val="008B59A2"/>
    <w:rsid w:val="008B5CFB"/>
    <w:rsid w:val="008C5771"/>
    <w:rsid w:val="008D65E8"/>
    <w:rsid w:val="008E06B8"/>
    <w:rsid w:val="008E0DFC"/>
    <w:rsid w:val="008E5F75"/>
    <w:rsid w:val="008F0180"/>
    <w:rsid w:val="008F18CD"/>
    <w:rsid w:val="008F197F"/>
    <w:rsid w:val="008F23F5"/>
    <w:rsid w:val="008F6C41"/>
    <w:rsid w:val="008F74FC"/>
    <w:rsid w:val="0090111B"/>
    <w:rsid w:val="00903B31"/>
    <w:rsid w:val="00915652"/>
    <w:rsid w:val="00916AA3"/>
    <w:rsid w:val="00927F0A"/>
    <w:rsid w:val="0093202A"/>
    <w:rsid w:val="00932955"/>
    <w:rsid w:val="009431FA"/>
    <w:rsid w:val="0094411E"/>
    <w:rsid w:val="00944F8E"/>
    <w:rsid w:val="00954F95"/>
    <w:rsid w:val="009607AD"/>
    <w:rsid w:val="009607FE"/>
    <w:rsid w:val="00962495"/>
    <w:rsid w:val="00962EC1"/>
    <w:rsid w:val="009631D2"/>
    <w:rsid w:val="009659F5"/>
    <w:rsid w:val="00977915"/>
    <w:rsid w:val="00986127"/>
    <w:rsid w:val="00986FB6"/>
    <w:rsid w:val="0099328D"/>
    <w:rsid w:val="009A12A8"/>
    <w:rsid w:val="009A13F5"/>
    <w:rsid w:val="009A1506"/>
    <w:rsid w:val="009B35BB"/>
    <w:rsid w:val="009B54E4"/>
    <w:rsid w:val="009B57D0"/>
    <w:rsid w:val="009B7B44"/>
    <w:rsid w:val="009C00DB"/>
    <w:rsid w:val="009C0A68"/>
    <w:rsid w:val="009D5632"/>
    <w:rsid w:val="009D5E90"/>
    <w:rsid w:val="009E0615"/>
    <w:rsid w:val="009E070F"/>
    <w:rsid w:val="009E226C"/>
    <w:rsid w:val="009E2954"/>
    <w:rsid w:val="009E4082"/>
    <w:rsid w:val="009E749B"/>
    <w:rsid w:val="009F0517"/>
    <w:rsid w:val="009F5807"/>
    <w:rsid w:val="00A00D79"/>
    <w:rsid w:val="00A01360"/>
    <w:rsid w:val="00A04FB9"/>
    <w:rsid w:val="00A15278"/>
    <w:rsid w:val="00A15B3E"/>
    <w:rsid w:val="00A15E19"/>
    <w:rsid w:val="00A175C7"/>
    <w:rsid w:val="00A35E11"/>
    <w:rsid w:val="00A400AF"/>
    <w:rsid w:val="00A433E3"/>
    <w:rsid w:val="00A4499C"/>
    <w:rsid w:val="00A51A46"/>
    <w:rsid w:val="00A7710B"/>
    <w:rsid w:val="00A774A8"/>
    <w:rsid w:val="00A81F57"/>
    <w:rsid w:val="00AA2227"/>
    <w:rsid w:val="00AA39D7"/>
    <w:rsid w:val="00AB0020"/>
    <w:rsid w:val="00AB5C56"/>
    <w:rsid w:val="00AB5F7C"/>
    <w:rsid w:val="00AB72C0"/>
    <w:rsid w:val="00AC33C6"/>
    <w:rsid w:val="00AC6AA6"/>
    <w:rsid w:val="00AC7A69"/>
    <w:rsid w:val="00AD132E"/>
    <w:rsid w:val="00AD7038"/>
    <w:rsid w:val="00AE5089"/>
    <w:rsid w:val="00AF135C"/>
    <w:rsid w:val="00AF4804"/>
    <w:rsid w:val="00AF548B"/>
    <w:rsid w:val="00AF71F9"/>
    <w:rsid w:val="00B00008"/>
    <w:rsid w:val="00B02E0E"/>
    <w:rsid w:val="00B03A17"/>
    <w:rsid w:val="00B14283"/>
    <w:rsid w:val="00B256C1"/>
    <w:rsid w:val="00B274DD"/>
    <w:rsid w:val="00B3195C"/>
    <w:rsid w:val="00B31F0C"/>
    <w:rsid w:val="00B34438"/>
    <w:rsid w:val="00B3567E"/>
    <w:rsid w:val="00B4384C"/>
    <w:rsid w:val="00B454D1"/>
    <w:rsid w:val="00B47BB0"/>
    <w:rsid w:val="00B50549"/>
    <w:rsid w:val="00B51988"/>
    <w:rsid w:val="00B51FC6"/>
    <w:rsid w:val="00B57BE5"/>
    <w:rsid w:val="00B6413F"/>
    <w:rsid w:val="00B73EBB"/>
    <w:rsid w:val="00B75953"/>
    <w:rsid w:val="00B767FC"/>
    <w:rsid w:val="00B81108"/>
    <w:rsid w:val="00B81128"/>
    <w:rsid w:val="00B83341"/>
    <w:rsid w:val="00B91F14"/>
    <w:rsid w:val="00B9477A"/>
    <w:rsid w:val="00BA0D5D"/>
    <w:rsid w:val="00BA2394"/>
    <w:rsid w:val="00BA3FA4"/>
    <w:rsid w:val="00BA64B7"/>
    <w:rsid w:val="00BB24C6"/>
    <w:rsid w:val="00BB46DF"/>
    <w:rsid w:val="00BC2457"/>
    <w:rsid w:val="00BC38BC"/>
    <w:rsid w:val="00BC7661"/>
    <w:rsid w:val="00BE46D9"/>
    <w:rsid w:val="00BF1A41"/>
    <w:rsid w:val="00C07F4D"/>
    <w:rsid w:val="00C21143"/>
    <w:rsid w:val="00C33D45"/>
    <w:rsid w:val="00C36758"/>
    <w:rsid w:val="00C418BD"/>
    <w:rsid w:val="00C439E0"/>
    <w:rsid w:val="00C524D8"/>
    <w:rsid w:val="00C569F2"/>
    <w:rsid w:val="00C634FB"/>
    <w:rsid w:val="00C67216"/>
    <w:rsid w:val="00C67B2A"/>
    <w:rsid w:val="00C74454"/>
    <w:rsid w:val="00C76DEC"/>
    <w:rsid w:val="00C819BF"/>
    <w:rsid w:val="00C828BE"/>
    <w:rsid w:val="00C83192"/>
    <w:rsid w:val="00C84426"/>
    <w:rsid w:val="00C8449E"/>
    <w:rsid w:val="00C9230B"/>
    <w:rsid w:val="00C94DE8"/>
    <w:rsid w:val="00CA1121"/>
    <w:rsid w:val="00CA149B"/>
    <w:rsid w:val="00CA2FB9"/>
    <w:rsid w:val="00CA6A4B"/>
    <w:rsid w:val="00CB2E79"/>
    <w:rsid w:val="00CB2F8B"/>
    <w:rsid w:val="00CB4441"/>
    <w:rsid w:val="00CB660A"/>
    <w:rsid w:val="00CB7615"/>
    <w:rsid w:val="00CC3A9B"/>
    <w:rsid w:val="00CC42B4"/>
    <w:rsid w:val="00CC72ED"/>
    <w:rsid w:val="00CD03FF"/>
    <w:rsid w:val="00CD1A84"/>
    <w:rsid w:val="00CD269E"/>
    <w:rsid w:val="00CD298D"/>
    <w:rsid w:val="00CD6FBC"/>
    <w:rsid w:val="00CE2C1A"/>
    <w:rsid w:val="00CE49C8"/>
    <w:rsid w:val="00CE74B4"/>
    <w:rsid w:val="00CF1767"/>
    <w:rsid w:val="00CF3BB8"/>
    <w:rsid w:val="00CF3EB8"/>
    <w:rsid w:val="00CF414F"/>
    <w:rsid w:val="00D002C5"/>
    <w:rsid w:val="00D017BE"/>
    <w:rsid w:val="00D10174"/>
    <w:rsid w:val="00D1193F"/>
    <w:rsid w:val="00D224DD"/>
    <w:rsid w:val="00D2506E"/>
    <w:rsid w:val="00D254A2"/>
    <w:rsid w:val="00D3003B"/>
    <w:rsid w:val="00D33F5F"/>
    <w:rsid w:val="00D360FA"/>
    <w:rsid w:val="00D3751D"/>
    <w:rsid w:val="00D43EDA"/>
    <w:rsid w:val="00D459FF"/>
    <w:rsid w:val="00D45ABC"/>
    <w:rsid w:val="00D47F26"/>
    <w:rsid w:val="00D61851"/>
    <w:rsid w:val="00D656FA"/>
    <w:rsid w:val="00D67DD8"/>
    <w:rsid w:val="00D77619"/>
    <w:rsid w:val="00D83209"/>
    <w:rsid w:val="00D83E31"/>
    <w:rsid w:val="00DA667B"/>
    <w:rsid w:val="00DB042D"/>
    <w:rsid w:val="00DB4DF8"/>
    <w:rsid w:val="00DC3784"/>
    <w:rsid w:val="00DC6FA8"/>
    <w:rsid w:val="00DD09B5"/>
    <w:rsid w:val="00DD5759"/>
    <w:rsid w:val="00DD691C"/>
    <w:rsid w:val="00DE0C8F"/>
    <w:rsid w:val="00DE0C9B"/>
    <w:rsid w:val="00DE5C7A"/>
    <w:rsid w:val="00DF0C7D"/>
    <w:rsid w:val="00DF2AE2"/>
    <w:rsid w:val="00E00AFB"/>
    <w:rsid w:val="00E059FC"/>
    <w:rsid w:val="00E1093E"/>
    <w:rsid w:val="00E11A8D"/>
    <w:rsid w:val="00E159F6"/>
    <w:rsid w:val="00E17D7C"/>
    <w:rsid w:val="00E247D2"/>
    <w:rsid w:val="00E24AFA"/>
    <w:rsid w:val="00E2602E"/>
    <w:rsid w:val="00E3112F"/>
    <w:rsid w:val="00E311EA"/>
    <w:rsid w:val="00E33E06"/>
    <w:rsid w:val="00E346A8"/>
    <w:rsid w:val="00E35749"/>
    <w:rsid w:val="00E35BA9"/>
    <w:rsid w:val="00E40C88"/>
    <w:rsid w:val="00E41E4E"/>
    <w:rsid w:val="00E44959"/>
    <w:rsid w:val="00E466CE"/>
    <w:rsid w:val="00E524A1"/>
    <w:rsid w:val="00E54BE4"/>
    <w:rsid w:val="00E5761E"/>
    <w:rsid w:val="00E61391"/>
    <w:rsid w:val="00E66355"/>
    <w:rsid w:val="00E70E60"/>
    <w:rsid w:val="00E734A9"/>
    <w:rsid w:val="00E75ADF"/>
    <w:rsid w:val="00E808E4"/>
    <w:rsid w:val="00E8231E"/>
    <w:rsid w:val="00E87504"/>
    <w:rsid w:val="00E8787A"/>
    <w:rsid w:val="00E92A8D"/>
    <w:rsid w:val="00E95E30"/>
    <w:rsid w:val="00EA20B6"/>
    <w:rsid w:val="00EA33D7"/>
    <w:rsid w:val="00EA3559"/>
    <w:rsid w:val="00EA5256"/>
    <w:rsid w:val="00EA73B4"/>
    <w:rsid w:val="00EB1431"/>
    <w:rsid w:val="00EB1D2D"/>
    <w:rsid w:val="00EB2F7F"/>
    <w:rsid w:val="00ED13F6"/>
    <w:rsid w:val="00EE1A8B"/>
    <w:rsid w:val="00EE6E66"/>
    <w:rsid w:val="00EF008F"/>
    <w:rsid w:val="00EF15A6"/>
    <w:rsid w:val="00F01D8D"/>
    <w:rsid w:val="00F102B7"/>
    <w:rsid w:val="00F1636C"/>
    <w:rsid w:val="00F22079"/>
    <w:rsid w:val="00F2241C"/>
    <w:rsid w:val="00F253F0"/>
    <w:rsid w:val="00F3231E"/>
    <w:rsid w:val="00F332EC"/>
    <w:rsid w:val="00F34C93"/>
    <w:rsid w:val="00F361CF"/>
    <w:rsid w:val="00F40A43"/>
    <w:rsid w:val="00F429B2"/>
    <w:rsid w:val="00F43735"/>
    <w:rsid w:val="00F47658"/>
    <w:rsid w:val="00F47BB1"/>
    <w:rsid w:val="00F612D4"/>
    <w:rsid w:val="00F61E26"/>
    <w:rsid w:val="00F72A6E"/>
    <w:rsid w:val="00F760C2"/>
    <w:rsid w:val="00F80CBA"/>
    <w:rsid w:val="00F82E6F"/>
    <w:rsid w:val="00F877D8"/>
    <w:rsid w:val="00F91489"/>
    <w:rsid w:val="00F963FE"/>
    <w:rsid w:val="00FA2509"/>
    <w:rsid w:val="00FA6DF7"/>
    <w:rsid w:val="00FB13AD"/>
    <w:rsid w:val="00FB4693"/>
    <w:rsid w:val="00FB7518"/>
    <w:rsid w:val="00FC12A3"/>
    <w:rsid w:val="00FC224E"/>
    <w:rsid w:val="00FC633E"/>
    <w:rsid w:val="00FC711D"/>
    <w:rsid w:val="00FD17DB"/>
    <w:rsid w:val="00FD3D7E"/>
    <w:rsid w:val="00FD5A20"/>
    <w:rsid w:val="00FE299D"/>
    <w:rsid w:val="00FE2ABC"/>
    <w:rsid w:val="00FE2F78"/>
    <w:rsid w:val="00FE3549"/>
    <w:rsid w:val="00FE5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B16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semiHidden/>
    <w:rsid w:val="005453AD"/>
    <w:pPr>
      <w:ind w:left="240"/>
    </w:pPr>
  </w:style>
  <w:style w:type="character" w:styleId="Hyperlink">
    <w:name w:val="Hyperlink"/>
    <w:uiPriority w:val="99"/>
    <w:rsid w:val="005453AD"/>
    <w:rPr>
      <w:color w:val="0000FF"/>
      <w:u w:val="single"/>
    </w:rPr>
  </w:style>
  <w:style w:type="paragraph" w:styleId="Footer">
    <w:name w:val="footer"/>
    <w:basedOn w:val="Normal"/>
    <w:link w:val="FooterChar"/>
    <w:uiPriority w:val="99"/>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C569F2"/>
    <w:rPr>
      <w:rFonts w:ascii="Tahoma" w:hAnsi="Tahoma" w:cs="Tahoma"/>
      <w:sz w:val="16"/>
      <w:szCs w:val="16"/>
    </w:rPr>
  </w:style>
  <w:style w:type="character" w:customStyle="1" w:styleId="BalloonTextChar">
    <w:name w:val="Balloon Text Char"/>
    <w:link w:val="BalloonText"/>
    <w:rsid w:val="00C569F2"/>
    <w:rPr>
      <w:rFonts w:ascii="Tahoma" w:hAnsi="Tahoma" w:cs="Tahoma"/>
      <w:sz w:val="16"/>
      <w:szCs w:val="16"/>
      <w:lang w:bidi="ar-SA"/>
    </w:rPr>
  </w:style>
  <w:style w:type="table" w:styleId="TableGrid">
    <w:name w:val="Table Grid"/>
    <w:basedOn w:val="TableNormal"/>
    <w:rsid w:val="00354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B54E4"/>
    <w:rPr>
      <w:sz w:val="16"/>
      <w:szCs w:val="16"/>
    </w:rPr>
  </w:style>
  <w:style w:type="paragraph" w:styleId="CommentText">
    <w:name w:val="annotation text"/>
    <w:basedOn w:val="Normal"/>
    <w:link w:val="CommentTextChar"/>
    <w:rsid w:val="009B54E4"/>
    <w:rPr>
      <w:sz w:val="20"/>
      <w:szCs w:val="20"/>
    </w:rPr>
  </w:style>
  <w:style w:type="character" w:customStyle="1" w:styleId="CommentTextChar">
    <w:name w:val="Comment Text Char"/>
    <w:link w:val="CommentText"/>
    <w:rsid w:val="009B54E4"/>
    <w:rPr>
      <w:lang w:bidi="ar-SA"/>
    </w:rPr>
  </w:style>
  <w:style w:type="paragraph" w:styleId="CommentSubject">
    <w:name w:val="annotation subject"/>
    <w:basedOn w:val="CommentText"/>
    <w:next w:val="CommentText"/>
    <w:link w:val="CommentSubjectChar"/>
    <w:rsid w:val="009B54E4"/>
    <w:rPr>
      <w:b/>
      <w:bCs/>
    </w:rPr>
  </w:style>
  <w:style w:type="character" w:customStyle="1" w:styleId="CommentSubjectChar">
    <w:name w:val="Comment Subject Char"/>
    <w:link w:val="CommentSubject"/>
    <w:rsid w:val="009B54E4"/>
    <w:rPr>
      <w:b/>
      <w:bCs/>
      <w:lang w:bidi="ar-SA"/>
    </w:rPr>
  </w:style>
  <w:style w:type="paragraph" w:styleId="FootnoteText">
    <w:name w:val="footnote text"/>
    <w:basedOn w:val="Normal"/>
    <w:link w:val="FootnoteTextChar"/>
    <w:uiPriority w:val="99"/>
    <w:unhideWhenUsed/>
    <w:rsid w:val="0037516E"/>
    <w:rPr>
      <w:b/>
      <w:bCs/>
      <w:lang w:eastAsia="ja-JP"/>
    </w:rPr>
  </w:style>
  <w:style w:type="character" w:customStyle="1" w:styleId="FootnoteTextChar">
    <w:name w:val="Footnote Text Char"/>
    <w:link w:val="FootnoteText"/>
    <w:uiPriority w:val="99"/>
    <w:rsid w:val="0037516E"/>
    <w:rPr>
      <w:b/>
      <w:bCs/>
      <w:sz w:val="24"/>
      <w:szCs w:val="24"/>
      <w:lang w:eastAsia="ja-JP"/>
    </w:rPr>
  </w:style>
  <w:style w:type="character" w:styleId="FootnoteReference">
    <w:name w:val="footnote reference"/>
    <w:uiPriority w:val="99"/>
    <w:unhideWhenUsed/>
    <w:rsid w:val="0037516E"/>
    <w:rPr>
      <w:vertAlign w:val="superscript"/>
    </w:rPr>
  </w:style>
  <w:style w:type="paragraph" w:styleId="Header">
    <w:name w:val="header"/>
    <w:basedOn w:val="Normal"/>
    <w:link w:val="HeaderChar"/>
    <w:uiPriority w:val="99"/>
    <w:rsid w:val="00B14283"/>
    <w:pPr>
      <w:tabs>
        <w:tab w:val="center" w:pos="4680"/>
        <w:tab w:val="right" w:pos="9360"/>
      </w:tabs>
    </w:pPr>
  </w:style>
  <w:style w:type="character" w:customStyle="1" w:styleId="HeaderChar">
    <w:name w:val="Header Char"/>
    <w:basedOn w:val="DefaultParagraphFont"/>
    <w:link w:val="Header"/>
    <w:uiPriority w:val="99"/>
    <w:rsid w:val="00B14283"/>
    <w:rPr>
      <w:sz w:val="24"/>
      <w:szCs w:val="24"/>
    </w:rPr>
  </w:style>
  <w:style w:type="paragraph" w:styleId="Revision">
    <w:name w:val="Revision"/>
    <w:hidden/>
    <w:uiPriority w:val="99"/>
    <w:semiHidden/>
    <w:rsid w:val="00B14283"/>
    <w:rPr>
      <w:sz w:val="24"/>
      <w:szCs w:val="24"/>
    </w:rPr>
  </w:style>
  <w:style w:type="paragraph" w:styleId="TOCHeading">
    <w:name w:val="TOC Heading"/>
    <w:basedOn w:val="Heading1"/>
    <w:next w:val="Normal"/>
    <w:uiPriority w:val="39"/>
    <w:unhideWhenUsed/>
    <w:qFormat/>
    <w:rsid w:val="002F7931"/>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customStyle="1" w:styleId="Pa15">
    <w:name w:val="Pa15"/>
    <w:basedOn w:val="Normal"/>
    <w:next w:val="Normal"/>
    <w:uiPriority w:val="99"/>
    <w:rsid w:val="00630827"/>
    <w:pPr>
      <w:autoSpaceDE w:val="0"/>
      <w:autoSpaceDN w:val="0"/>
      <w:adjustRightInd w:val="0"/>
      <w:spacing w:line="221" w:lineRule="atLeast"/>
    </w:pPr>
    <w:rPr>
      <w:rFonts w:ascii="ITC Franklin Gothic Std Book" w:hAnsi="ITC Franklin Gothic Std Book"/>
    </w:rPr>
  </w:style>
  <w:style w:type="paragraph" w:customStyle="1" w:styleId="Default">
    <w:name w:val="Default"/>
    <w:rsid w:val="00422D69"/>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422D69"/>
    <w:pPr>
      <w:spacing w:line="221" w:lineRule="atLeast"/>
    </w:pPr>
    <w:rPr>
      <w:rFonts w:cs="Times New Roman"/>
      <w:color w:val="auto"/>
    </w:rPr>
  </w:style>
  <w:style w:type="paragraph" w:styleId="ListParagraph">
    <w:name w:val="List Paragraph"/>
    <w:basedOn w:val="Normal"/>
    <w:uiPriority w:val="34"/>
    <w:qFormat/>
    <w:rsid w:val="00422D69"/>
    <w:pPr>
      <w:ind w:left="720"/>
      <w:contextualSpacing/>
    </w:pPr>
  </w:style>
  <w:style w:type="character" w:customStyle="1" w:styleId="FooterChar">
    <w:name w:val="Footer Char"/>
    <w:basedOn w:val="DefaultParagraphFont"/>
    <w:link w:val="Footer"/>
    <w:uiPriority w:val="99"/>
    <w:rsid w:val="007C79B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semiHidden/>
    <w:rsid w:val="005453AD"/>
    <w:pPr>
      <w:ind w:left="240"/>
    </w:pPr>
  </w:style>
  <w:style w:type="character" w:styleId="Hyperlink">
    <w:name w:val="Hyperlink"/>
    <w:uiPriority w:val="99"/>
    <w:rsid w:val="005453AD"/>
    <w:rPr>
      <w:color w:val="0000FF"/>
      <w:u w:val="single"/>
    </w:rPr>
  </w:style>
  <w:style w:type="paragraph" w:styleId="Footer">
    <w:name w:val="footer"/>
    <w:basedOn w:val="Normal"/>
    <w:link w:val="FooterChar"/>
    <w:uiPriority w:val="99"/>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C569F2"/>
    <w:rPr>
      <w:rFonts w:ascii="Tahoma" w:hAnsi="Tahoma" w:cs="Tahoma"/>
      <w:sz w:val="16"/>
      <w:szCs w:val="16"/>
    </w:rPr>
  </w:style>
  <w:style w:type="character" w:customStyle="1" w:styleId="BalloonTextChar">
    <w:name w:val="Balloon Text Char"/>
    <w:link w:val="BalloonText"/>
    <w:rsid w:val="00C569F2"/>
    <w:rPr>
      <w:rFonts w:ascii="Tahoma" w:hAnsi="Tahoma" w:cs="Tahoma"/>
      <w:sz w:val="16"/>
      <w:szCs w:val="16"/>
      <w:lang w:bidi="ar-SA"/>
    </w:rPr>
  </w:style>
  <w:style w:type="table" w:styleId="TableGrid">
    <w:name w:val="Table Grid"/>
    <w:basedOn w:val="TableNormal"/>
    <w:rsid w:val="00354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B54E4"/>
    <w:rPr>
      <w:sz w:val="16"/>
      <w:szCs w:val="16"/>
    </w:rPr>
  </w:style>
  <w:style w:type="paragraph" w:styleId="CommentText">
    <w:name w:val="annotation text"/>
    <w:basedOn w:val="Normal"/>
    <w:link w:val="CommentTextChar"/>
    <w:rsid w:val="009B54E4"/>
    <w:rPr>
      <w:sz w:val="20"/>
      <w:szCs w:val="20"/>
    </w:rPr>
  </w:style>
  <w:style w:type="character" w:customStyle="1" w:styleId="CommentTextChar">
    <w:name w:val="Comment Text Char"/>
    <w:link w:val="CommentText"/>
    <w:rsid w:val="009B54E4"/>
    <w:rPr>
      <w:lang w:bidi="ar-SA"/>
    </w:rPr>
  </w:style>
  <w:style w:type="paragraph" w:styleId="CommentSubject">
    <w:name w:val="annotation subject"/>
    <w:basedOn w:val="CommentText"/>
    <w:next w:val="CommentText"/>
    <w:link w:val="CommentSubjectChar"/>
    <w:rsid w:val="009B54E4"/>
    <w:rPr>
      <w:b/>
      <w:bCs/>
    </w:rPr>
  </w:style>
  <w:style w:type="character" w:customStyle="1" w:styleId="CommentSubjectChar">
    <w:name w:val="Comment Subject Char"/>
    <w:link w:val="CommentSubject"/>
    <w:rsid w:val="009B54E4"/>
    <w:rPr>
      <w:b/>
      <w:bCs/>
      <w:lang w:bidi="ar-SA"/>
    </w:rPr>
  </w:style>
  <w:style w:type="paragraph" w:styleId="FootnoteText">
    <w:name w:val="footnote text"/>
    <w:basedOn w:val="Normal"/>
    <w:link w:val="FootnoteTextChar"/>
    <w:uiPriority w:val="99"/>
    <w:unhideWhenUsed/>
    <w:rsid w:val="0037516E"/>
    <w:rPr>
      <w:b/>
      <w:bCs/>
      <w:lang w:eastAsia="ja-JP"/>
    </w:rPr>
  </w:style>
  <w:style w:type="character" w:customStyle="1" w:styleId="FootnoteTextChar">
    <w:name w:val="Footnote Text Char"/>
    <w:link w:val="FootnoteText"/>
    <w:uiPriority w:val="99"/>
    <w:rsid w:val="0037516E"/>
    <w:rPr>
      <w:b/>
      <w:bCs/>
      <w:sz w:val="24"/>
      <w:szCs w:val="24"/>
      <w:lang w:eastAsia="ja-JP"/>
    </w:rPr>
  </w:style>
  <w:style w:type="character" w:styleId="FootnoteReference">
    <w:name w:val="footnote reference"/>
    <w:uiPriority w:val="99"/>
    <w:unhideWhenUsed/>
    <w:rsid w:val="0037516E"/>
    <w:rPr>
      <w:vertAlign w:val="superscript"/>
    </w:rPr>
  </w:style>
  <w:style w:type="paragraph" w:styleId="Header">
    <w:name w:val="header"/>
    <w:basedOn w:val="Normal"/>
    <w:link w:val="HeaderChar"/>
    <w:uiPriority w:val="99"/>
    <w:rsid w:val="00B14283"/>
    <w:pPr>
      <w:tabs>
        <w:tab w:val="center" w:pos="4680"/>
        <w:tab w:val="right" w:pos="9360"/>
      </w:tabs>
    </w:pPr>
  </w:style>
  <w:style w:type="character" w:customStyle="1" w:styleId="HeaderChar">
    <w:name w:val="Header Char"/>
    <w:basedOn w:val="DefaultParagraphFont"/>
    <w:link w:val="Header"/>
    <w:uiPriority w:val="99"/>
    <w:rsid w:val="00B14283"/>
    <w:rPr>
      <w:sz w:val="24"/>
      <w:szCs w:val="24"/>
    </w:rPr>
  </w:style>
  <w:style w:type="paragraph" w:styleId="Revision">
    <w:name w:val="Revision"/>
    <w:hidden/>
    <w:uiPriority w:val="99"/>
    <w:semiHidden/>
    <w:rsid w:val="00B14283"/>
    <w:rPr>
      <w:sz w:val="24"/>
      <w:szCs w:val="24"/>
    </w:rPr>
  </w:style>
  <w:style w:type="paragraph" w:styleId="TOCHeading">
    <w:name w:val="TOC Heading"/>
    <w:basedOn w:val="Heading1"/>
    <w:next w:val="Normal"/>
    <w:uiPriority w:val="39"/>
    <w:unhideWhenUsed/>
    <w:qFormat/>
    <w:rsid w:val="002F7931"/>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customStyle="1" w:styleId="Pa15">
    <w:name w:val="Pa15"/>
    <w:basedOn w:val="Normal"/>
    <w:next w:val="Normal"/>
    <w:uiPriority w:val="99"/>
    <w:rsid w:val="00630827"/>
    <w:pPr>
      <w:autoSpaceDE w:val="0"/>
      <w:autoSpaceDN w:val="0"/>
      <w:adjustRightInd w:val="0"/>
      <w:spacing w:line="221" w:lineRule="atLeast"/>
    </w:pPr>
    <w:rPr>
      <w:rFonts w:ascii="ITC Franklin Gothic Std Book" w:hAnsi="ITC Franklin Gothic Std Book"/>
    </w:rPr>
  </w:style>
  <w:style w:type="paragraph" w:customStyle="1" w:styleId="Default">
    <w:name w:val="Default"/>
    <w:rsid w:val="00422D69"/>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422D69"/>
    <w:pPr>
      <w:spacing w:line="221" w:lineRule="atLeast"/>
    </w:pPr>
    <w:rPr>
      <w:rFonts w:cs="Times New Roman"/>
      <w:color w:val="auto"/>
    </w:rPr>
  </w:style>
  <w:style w:type="paragraph" w:styleId="ListParagraph">
    <w:name w:val="List Paragraph"/>
    <w:basedOn w:val="Normal"/>
    <w:uiPriority w:val="34"/>
    <w:qFormat/>
    <w:rsid w:val="00422D69"/>
    <w:pPr>
      <w:ind w:left="720"/>
      <w:contextualSpacing/>
    </w:pPr>
  </w:style>
  <w:style w:type="character" w:customStyle="1" w:styleId="FooterChar">
    <w:name w:val="Footer Char"/>
    <w:basedOn w:val="DefaultParagraphFont"/>
    <w:link w:val="Footer"/>
    <w:uiPriority w:val="99"/>
    <w:rsid w:val="007C79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4B16E-2217-49C9-8314-384248BA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14225</CharactersWithSpaces>
  <SharedDoc>false</SharedDoc>
  <HLinks>
    <vt:vector size="42" baseType="variant">
      <vt:variant>
        <vt:i4>4653067</vt:i4>
      </vt:variant>
      <vt:variant>
        <vt:i4>32</vt:i4>
      </vt:variant>
      <vt:variant>
        <vt:i4>0</vt:i4>
      </vt:variant>
      <vt:variant>
        <vt:i4>5</vt:i4>
      </vt:variant>
      <vt:variant>
        <vt:lpwstr/>
      </vt:variant>
      <vt:variant>
        <vt:lpwstr>_ENREF_6</vt:lpwstr>
      </vt:variant>
      <vt:variant>
        <vt:i4>4194315</vt:i4>
      </vt:variant>
      <vt:variant>
        <vt:i4>26</vt:i4>
      </vt:variant>
      <vt:variant>
        <vt:i4>0</vt:i4>
      </vt:variant>
      <vt:variant>
        <vt:i4>5</vt:i4>
      </vt:variant>
      <vt:variant>
        <vt:lpwstr/>
      </vt:variant>
      <vt:variant>
        <vt:lpwstr>_ENREF_1</vt:lpwstr>
      </vt:variant>
      <vt:variant>
        <vt:i4>4456459</vt:i4>
      </vt:variant>
      <vt:variant>
        <vt:i4>20</vt:i4>
      </vt:variant>
      <vt:variant>
        <vt:i4>0</vt:i4>
      </vt:variant>
      <vt:variant>
        <vt:i4>5</vt:i4>
      </vt:variant>
      <vt:variant>
        <vt:lpwstr/>
      </vt:variant>
      <vt:variant>
        <vt:lpwstr>_ENREF_5</vt:lpwstr>
      </vt:variant>
      <vt:variant>
        <vt:i4>4521995</vt:i4>
      </vt:variant>
      <vt:variant>
        <vt:i4>16</vt:i4>
      </vt:variant>
      <vt:variant>
        <vt:i4>0</vt:i4>
      </vt:variant>
      <vt:variant>
        <vt:i4>5</vt:i4>
      </vt:variant>
      <vt:variant>
        <vt:lpwstr/>
      </vt:variant>
      <vt:variant>
        <vt:lpwstr>_ENREF_4</vt:lpwstr>
      </vt:variant>
      <vt:variant>
        <vt:i4>4325387</vt:i4>
      </vt:variant>
      <vt:variant>
        <vt:i4>13</vt:i4>
      </vt:variant>
      <vt:variant>
        <vt:i4>0</vt:i4>
      </vt:variant>
      <vt:variant>
        <vt:i4>5</vt:i4>
      </vt:variant>
      <vt:variant>
        <vt:lpwstr/>
      </vt:variant>
      <vt:variant>
        <vt:lpwstr>_ENREF_3</vt:lpwstr>
      </vt:variant>
      <vt:variant>
        <vt:i4>4390923</vt:i4>
      </vt:variant>
      <vt:variant>
        <vt:i4>5</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SYSTEM</cp:lastModifiedBy>
  <cp:revision>2</cp:revision>
  <cp:lastPrinted>2017-07-13T17:56:00Z</cp:lastPrinted>
  <dcterms:created xsi:type="dcterms:W3CDTF">2017-09-26T18:30:00Z</dcterms:created>
  <dcterms:modified xsi:type="dcterms:W3CDTF">2017-09-26T18:30:00Z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