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DF053" w14:textId="77777777" w:rsidR="0023129C" w:rsidRDefault="0023129C" w:rsidP="00761A65">
      <w:pPr>
        <w:pStyle w:val="NoSpacing"/>
        <w:jc w:val="center"/>
      </w:pPr>
      <w:bookmarkStart w:id="0" w:name="_GoBack"/>
      <w:bookmarkEnd w:id="0"/>
    </w:p>
    <w:p w14:paraId="79B958A5" w14:textId="77777777" w:rsidR="00DD6F15" w:rsidRDefault="00DD6F15" w:rsidP="007105A3">
      <w:pPr>
        <w:jc w:val="center"/>
        <w:rPr>
          <w:b/>
        </w:rPr>
      </w:pPr>
      <w:r>
        <w:rPr>
          <w:b/>
        </w:rPr>
        <w:t xml:space="preserve">SUPPORTING STATEMENT </w:t>
      </w:r>
      <w:r w:rsidR="00EC556C">
        <w:rPr>
          <w:b/>
        </w:rPr>
        <w:t>Part A</w:t>
      </w:r>
    </w:p>
    <w:p w14:paraId="568AB07F" w14:textId="77777777" w:rsidR="00EC556C" w:rsidRDefault="00DD6F15" w:rsidP="007105A3">
      <w:pPr>
        <w:jc w:val="center"/>
        <w:rPr>
          <w:b/>
        </w:rPr>
      </w:pPr>
      <w:r>
        <w:rPr>
          <w:b/>
        </w:rPr>
        <w:t>F</w:t>
      </w:r>
      <w:r w:rsidR="00EC556C">
        <w:rPr>
          <w:b/>
        </w:rPr>
        <w:t>or</w:t>
      </w:r>
    </w:p>
    <w:p w14:paraId="21A1CA09" w14:textId="77777777" w:rsidR="00DD6F15" w:rsidRDefault="000B5ABD" w:rsidP="007105A3">
      <w:pPr>
        <w:jc w:val="center"/>
        <w:rPr>
          <w:b/>
        </w:rPr>
      </w:pPr>
      <w:r w:rsidRPr="000B5ABD">
        <w:rPr>
          <w:b/>
        </w:rPr>
        <w:t>A Novel Framework for Structuring Industry-Tuned Public-Private Partnerships and Economic Incentives for U.S. Health Emergency Preparedness and Response</w:t>
      </w:r>
    </w:p>
    <w:p w14:paraId="56D08333" w14:textId="41189779" w:rsidR="007105A3" w:rsidRPr="006A59F0" w:rsidRDefault="00997736" w:rsidP="007105A3">
      <w:pPr>
        <w:jc w:val="center"/>
      </w:pPr>
      <w:r w:rsidRPr="006A59F0">
        <w:rPr>
          <w:b/>
        </w:rPr>
        <w:t>V</w:t>
      </w:r>
      <w:r w:rsidR="00C31751" w:rsidRPr="006A59F0">
        <w:rPr>
          <w:b/>
        </w:rPr>
        <w:t>ersion</w:t>
      </w:r>
      <w:r>
        <w:rPr>
          <w:b/>
        </w:rPr>
        <w:t xml:space="preserve"> </w:t>
      </w:r>
      <w:r w:rsidR="00D93AD5">
        <w:rPr>
          <w:b/>
        </w:rPr>
        <w:t>1</w:t>
      </w:r>
      <w:r w:rsidR="00DD6F15">
        <w:rPr>
          <w:b/>
        </w:rPr>
        <w:t>.</w:t>
      </w:r>
      <w:r w:rsidR="00D93AD5">
        <w:rPr>
          <w:b/>
        </w:rPr>
        <w:t>0</w:t>
      </w:r>
    </w:p>
    <w:p w14:paraId="184623C1" w14:textId="37B9C81F" w:rsidR="007105A3" w:rsidRPr="006A59F0" w:rsidRDefault="007105A3" w:rsidP="007105A3">
      <w:pPr>
        <w:jc w:val="center"/>
      </w:pPr>
      <w:r w:rsidRPr="00593EB1">
        <w:rPr>
          <w:b/>
        </w:rPr>
        <w:t>Date:</w:t>
      </w:r>
      <w:r w:rsidRPr="00593EB1">
        <w:t xml:space="preserve"> </w:t>
      </w:r>
      <w:r w:rsidR="00DB1424">
        <w:t>08/16</w:t>
      </w:r>
      <w:r w:rsidR="006D16C5">
        <w:t>/</w:t>
      </w:r>
      <w:r w:rsidR="005A2F7C">
        <w:t>2017</w:t>
      </w:r>
    </w:p>
    <w:p w14:paraId="71DAD502" w14:textId="77777777" w:rsidR="000A5042" w:rsidRDefault="000A5042" w:rsidP="00EC556C">
      <w:pPr>
        <w:rPr>
          <w:b/>
        </w:rPr>
      </w:pPr>
    </w:p>
    <w:p w14:paraId="4CC9FEE3" w14:textId="77777777" w:rsidR="000A5042" w:rsidRDefault="000A5042" w:rsidP="00EC556C">
      <w:pPr>
        <w:rPr>
          <w:b/>
        </w:rPr>
      </w:pPr>
    </w:p>
    <w:p w14:paraId="4D4EF7FB" w14:textId="77777777" w:rsidR="000A5042" w:rsidRDefault="000A5042" w:rsidP="00EC556C">
      <w:pPr>
        <w:rPr>
          <w:b/>
        </w:rPr>
      </w:pPr>
    </w:p>
    <w:p w14:paraId="70911D9F" w14:textId="77777777" w:rsidR="000A5042" w:rsidRDefault="000A5042" w:rsidP="00EC556C">
      <w:pPr>
        <w:rPr>
          <w:b/>
        </w:rPr>
      </w:pPr>
    </w:p>
    <w:p w14:paraId="1FD633FF" w14:textId="77777777" w:rsidR="000A5042" w:rsidRDefault="000A5042" w:rsidP="00EC556C">
      <w:pPr>
        <w:rPr>
          <w:b/>
        </w:rPr>
      </w:pPr>
    </w:p>
    <w:p w14:paraId="7D689089" w14:textId="77777777" w:rsidR="000A5042" w:rsidRDefault="000A5042" w:rsidP="00EC556C">
      <w:pPr>
        <w:rPr>
          <w:b/>
        </w:rPr>
      </w:pPr>
    </w:p>
    <w:p w14:paraId="55D66FFD" w14:textId="1764FB1A" w:rsidR="00EC556C" w:rsidRDefault="00EC556C" w:rsidP="00EC556C">
      <w:r w:rsidRPr="00E3763E">
        <w:rPr>
          <w:b/>
        </w:rPr>
        <w:t>Project Officer:</w:t>
      </w:r>
      <w:r>
        <w:t xml:space="preserve"> </w:t>
      </w:r>
    </w:p>
    <w:p w14:paraId="1E9324B0" w14:textId="77777777" w:rsidR="007105A3" w:rsidRPr="00A14583" w:rsidRDefault="007105A3" w:rsidP="007105A3">
      <w:pPr>
        <w:rPr>
          <w:b/>
        </w:rPr>
      </w:pPr>
      <w:r w:rsidRPr="00A14583">
        <w:rPr>
          <w:b/>
        </w:rPr>
        <w:t>Eric G. Carbone, M.B.A., Ph.D.</w:t>
      </w:r>
    </w:p>
    <w:p w14:paraId="0DF33D5F" w14:textId="77777777" w:rsidR="00C9113A" w:rsidRPr="00A14583" w:rsidRDefault="00CB2609" w:rsidP="007105A3">
      <w:r w:rsidRPr="00A14583">
        <w:t>Director, Office of Applied Research</w:t>
      </w:r>
      <w:r w:rsidRPr="00A14583" w:rsidDel="00CB2609">
        <w:t xml:space="preserve"> </w:t>
      </w:r>
      <w:r w:rsidRPr="00A14583">
        <w:t>(OAR)</w:t>
      </w:r>
    </w:p>
    <w:p w14:paraId="47861949" w14:textId="77777777" w:rsidR="007105A3" w:rsidRPr="00A14583" w:rsidRDefault="00CB2609" w:rsidP="007105A3">
      <w:r w:rsidRPr="00A14583">
        <w:t>Office of Science and Public Health Practice</w:t>
      </w:r>
      <w:r w:rsidRPr="00A14583" w:rsidDel="00CB2609">
        <w:t xml:space="preserve"> </w:t>
      </w:r>
      <w:r w:rsidRPr="00A14583">
        <w:t xml:space="preserve">(OSPHP) </w:t>
      </w:r>
    </w:p>
    <w:p w14:paraId="7E84F310" w14:textId="77777777" w:rsidR="007105A3" w:rsidRPr="00A14583" w:rsidRDefault="007105A3" w:rsidP="007105A3">
      <w:r w:rsidRPr="00A14583">
        <w:t>Office of Public Health Preparedness and Response (OPHPR)</w:t>
      </w:r>
    </w:p>
    <w:p w14:paraId="4D6D9C15" w14:textId="77777777" w:rsidR="007105A3" w:rsidRPr="00A14583" w:rsidRDefault="007105A3" w:rsidP="007105A3">
      <w:r w:rsidRPr="00A14583">
        <w:t>Centers for Disease Control and Prevention</w:t>
      </w:r>
    </w:p>
    <w:p w14:paraId="0109A16F" w14:textId="77777777" w:rsidR="007105A3" w:rsidRPr="00A14583" w:rsidRDefault="007105A3" w:rsidP="007105A3">
      <w:r w:rsidRPr="00A14583">
        <w:t>US Department of Health and Human Services</w:t>
      </w:r>
    </w:p>
    <w:p w14:paraId="6982BD98" w14:textId="5CE20A17" w:rsidR="007105A3" w:rsidRPr="00A14583" w:rsidRDefault="007105A3" w:rsidP="007105A3">
      <w:r w:rsidRPr="00A14583">
        <w:t xml:space="preserve">Phone:  </w:t>
      </w:r>
      <w:r w:rsidR="00145ABA">
        <w:t>404-956-</w:t>
      </w:r>
      <w:r w:rsidR="00145ABA" w:rsidRPr="00145ABA">
        <w:t>9477</w:t>
      </w:r>
    </w:p>
    <w:p w14:paraId="57B058BE" w14:textId="77777777" w:rsidR="007105A3" w:rsidRPr="00A14583" w:rsidRDefault="007105A3" w:rsidP="007105A3">
      <w:r w:rsidRPr="00A14583">
        <w:t xml:space="preserve">E-mail: </w:t>
      </w:r>
      <w:r w:rsidR="00CB2609" w:rsidRPr="00A14583">
        <w:t>vln0@cdc.gov</w:t>
      </w:r>
      <w:r w:rsidR="00CB2609" w:rsidRPr="00A14583" w:rsidDel="00CB2609">
        <w:t xml:space="preserve"> </w:t>
      </w:r>
    </w:p>
    <w:p w14:paraId="4DD341EE" w14:textId="3CDC9EDF" w:rsidR="00B462FB" w:rsidRDefault="00B462FB">
      <w:pPr>
        <w:rPr>
          <w:b/>
        </w:rPr>
      </w:pPr>
    </w:p>
    <w:p w14:paraId="6906C161" w14:textId="01C0CD1B" w:rsidR="000A5042" w:rsidRDefault="000A5042">
      <w:pPr>
        <w:rPr>
          <w:b/>
        </w:rPr>
      </w:pPr>
    </w:p>
    <w:p w14:paraId="5C893570" w14:textId="278F3E9C" w:rsidR="000A5042" w:rsidRDefault="000A5042">
      <w:pPr>
        <w:rPr>
          <w:b/>
        </w:rPr>
      </w:pPr>
    </w:p>
    <w:p w14:paraId="3D61A324" w14:textId="77777777" w:rsidR="000A5042" w:rsidRDefault="000A5042">
      <w:pPr>
        <w:rPr>
          <w:b/>
        </w:rPr>
      </w:pPr>
    </w:p>
    <w:sdt>
      <w:sdtPr>
        <w:rPr>
          <w:rFonts w:asciiTheme="minorHAnsi" w:eastAsiaTheme="minorHAnsi" w:hAnsiTheme="minorHAnsi" w:cstheme="minorBidi"/>
          <w:color w:val="auto"/>
          <w:sz w:val="22"/>
          <w:szCs w:val="22"/>
        </w:rPr>
        <w:id w:val="-267157410"/>
        <w:docPartObj>
          <w:docPartGallery w:val="Table of Contents"/>
          <w:docPartUnique/>
        </w:docPartObj>
      </w:sdtPr>
      <w:sdtEndPr>
        <w:rPr>
          <w:b/>
          <w:bCs/>
          <w:noProof/>
        </w:rPr>
      </w:sdtEndPr>
      <w:sdtContent>
        <w:p w14:paraId="704CC15B" w14:textId="02487F58" w:rsidR="00CE688A" w:rsidRDefault="00CE688A" w:rsidP="00CE688A">
          <w:pPr>
            <w:pStyle w:val="TOCHeading"/>
            <w:rPr>
              <w:b/>
              <w:color w:val="000000" w:themeColor="text1"/>
            </w:rPr>
          </w:pPr>
          <w:r w:rsidRPr="00CE688A">
            <w:rPr>
              <w:b/>
              <w:color w:val="000000" w:themeColor="text1"/>
            </w:rPr>
            <w:t>Table of Contents</w:t>
          </w:r>
        </w:p>
        <w:p w14:paraId="324A0386" w14:textId="77777777" w:rsidR="00CE688A" w:rsidRPr="00CE688A" w:rsidRDefault="00CE688A" w:rsidP="001E3631">
          <w:pPr>
            <w:spacing w:after="0"/>
          </w:pPr>
        </w:p>
        <w:p w14:paraId="39EAEEB5" w14:textId="77777777" w:rsidR="00506812" w:rsidRDefault="00CE688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709675" w:history="1">
            <w:r w:rsidR="00506812" w:rsidRPr="00C3039D">
              <w:rPr>
                <w:rStyle w:val="Hyperlink"/>
                <w:b/>
                <w:noProof/>
              </w:rPr>
              <w:t>1. Circumstances Making the Collection of Information Necessary</w:t>
            </w:r>
            <w:r w:rsidR="00506812">
              <w:rPr>
                <w:noProof/>
                <w:webHidden/>
              </w:rPr>
              <w:tab/>
            </w:r>
            <w:r w:rsidR="00506812">
              <w:rPr>
                <w:noProof/>
                <w:webHidden/>
              </w:rPr>
              <w:fldChar w:fldCharType="begin"/>
            </w:r>
            <w:r w:rsidR="00506812">
              <w:rPr>
                <w:noProof/>
                <w:webHidden/>
              </w:rPr>
              <w:instrText xml:space="preserve"> PAGEREF _Toc468709675 \h </w:instrText>
            </w:r>
            <w:r w:rsidR="00506812">
              <w:rPr>
                <w:noProof/>
                <w:webHidden/>
              </w:rPr>
            </w:r>
            <w:r w:rsidR="00506812">
              <w:rPr>
                <w:noProof/>
                <w:webHidden/>
              </w:rPr>
              <w:fldChar w:fldCharType="separate"/>
            </w:r>
            <w:r w:rsidR="00431261">
              <w:rPr>
                <w:noProof/>
                <w:webHidden/>
              </w:rPr>
              <w:t>3</w:t>
            </w:r>
            <w:r w:rsidR="00506812">
              <w:rPr>
                <w:noProof/>
                <w:webHidden/>
              </w:rPr>
              <w:fldChar w:fldCharType="end"/>
            </w:r>
          </w:hyperlink>
        </w:p>
        <w:p w14:paraId="04D45D8A" w14:textId="77777777" w:rsidR="00506812" w:rsidRDefault="00DA2181">
          <w:pPr>
            <w:pStyle w:val="TOC1"/>
            <w:tabs>
              <w:tab w:val="right" w:leader="dot" w:pos="9350"/>
            </w:tabs>
            <w:rPr>
              <w:rFonts w:eastAsiaTheme="minorEastAsia"/>
              <w:noProof/>
            </w:rPr>
          </w:pPr>
          <w:hyperlink w:anchor="_Toc468709676" w:history="1">
            <w:r w:rsidR="00506812" w:rsidRPr="00C3039D">
              <w:rPr>
                <w:rStyle w:val="Hyperlink"/>
                <w:b/>
                <w:noProof/>
              </w:rPr>
              <w:t>2. Purpose and Use of the Information Collection</w:t>
            </w:r>
            <w:r w:rsidR="00506812">
              <w:rPr>
                <w:noProof/>
                <w:webHidden/>
              </w:rPr>
              <w:tab/>
            </w:r>
            <w:r w:rsidR="00506812">
              <w:rPr>
                <w:noProof/>
                <w:webHidden/>
              </w:rPr>
              <w:fldChar w:fldCharType="begin"/>
            </w:r>
            <w:r w:rsidR="00506812">
              <w:rPr>
                <w:noProof/>
                <w:webHidden/>
              </w:rPr>
              <w:instrText xml:space="preserve"> PAGEREF _Toc468709676 \h </w:instrText>
            </w:r>
            <w:r w:rsidR="00506812">
              <w:rPr>
                <w:noProof/>
                <w:webHidden/>
              </w:rPr>
            </w:r>
            <w:r w:rsidR="00506812">
              <w:rPr>
                <w:noProof/>
                <w:webHidden/>
              </w:rPr>
              <w:fldChar w:fldCharType="separate"/>
            </w:r>
            <w:r w:rsidR="00431261">
              <w:rPr>
                <w:noProof/>
                <w:webHidden/>
              </w:rPr>
              <w:t>4</w:t>
            </w:r>
            <w:r w:rsidR="00506812">
              <w:rPr>
                <w:noProof/>
                <w:webHidden/>
              </w:rPr>
              <w:fldChar w:fldCharType="end"/>
            </w:r>
          </w:hyperlink>
        </w:p>
        <w:p w14:paraId="62152B0E" w14:textId="77777777" w:rsidR="00506812" w:rsidRDefault="00DA2181">
          <w:pPr>
            <w:pStyle w:val="TOC1"/>
            <w:tabs>
              <w:tab w:val="right" w:leader="dot" w:pos="9350"/>
            </w:tabs>
            <w:rPr>
              <w:rFonts w:eastAsiaTheme="minorEastAsia"/>
              <w:noProof/>
            </w:rPr>
          </w:pPr>
          <w:hyperlink w:anchor="_Toc468709677" w:history="1">
            <w:r w:rsidR="00506812" w:rsidRPr="00C3039D">
              <w:rPr>
                <w:rStyle w:val="Hyperlink"/>
                <w:b/>
                <w:noProof/>
              </w:rPr>
              <w:t>3. Use of Improved Information Technology and Burden Reduction</w:t>
            </w:r>
            <w:r w:rsidR="00506812">
              <w:rPr>
                <w:noProof/>
                <w:webHidden/>
              </w:rPr>
              <w:tab/>
            </w:r>
            <w:r w:rsidR="00506812">
              <w:rPr>
                <w:noProof/>
                <w:webHidden/>
              </w:rPr>
              <w:fldChar w:fldCharType="begin"/>
            </w:r>
            <w:r w:rsidR="00506812">
              <w:rPr>
                <w:noProof/>
                <w:webHidden/>
              </w:rPr>
              <w:instrText xml:space="preserve"> PAGEREF _Toc468709677 \h </w:instrText>
            </w:r>
            <w:r w:rsidR="00506812">
              <w:rPr>
                <w:noProof/>
                <w:webHidden/>
              </w:rPr>
            </w:r>
            <w:r w:rsidR="00506812">
              <w:rPr>
                <w:noProof/>
                <w:webHidden/>
              </w:rPr>
              <w:fldChar w:fldCharType="separate"/>
            </w:r>
            <w:r w:rsidR="00431261">
              <w:rPr>
                <w:noProof/>
                <w:webHidden/>
              </w:rPr>
              <w:t>5</w:t>
            </w:r>
            <w:r w:rsidR="00506812">
              <w:rPr>
                <w:noProof/>
                <w:webHidden/>
              </w:rPr>
              <w:fldChar w:fldCharType="end"/>
            </w:r>
          </w:hyperlink>
        </w:p>
        <w:p w14:paraId="6121B391" w14:textId="77777777" w:rsidR="00506812" w:rsidRDefault="00DA2181">
          <w:pPr>
            <w:pStyle w:val="TOC1"/>
            <w:tabs>
              <w:tab w:val="right" w:leader="dot" w:pos="9350"/>
            </w:tabs>
            <w:rPr>
              <w:rFonts w:eastAsiaTheme="minorEastAsia"/>
              <w:noProof/>
            </w:rPr>
          </w:pPr>
          <w:hyperlink w:anchor="_Toc468709678" w:history="1">
            <w:r w:rsidR="00506812" w:rsidRPr="00C3039D">
              <w:rPr>
                <w:rStyle w:val="Hyperlink"/>
                <w:b/>
                <w:noProof/>
              </w:rPr>
              <w:t>4. Efforts to Identify Duplication and Use of Similar Information</w:t>
            </w:r>
            <w:r w:rsidR="00506812">
              <w:rPr>
                <w:noProof/>
                <w:webHidden/>
              </w:rPr>
              <w:tab/>
            </w:r>
            <w:r w:rsidR="00506812">
              <w:rPr>
                <w:noProof/>
                <w:webHidden/>
              </w:rPr>
              <w:fldChar w:fldCharType="begin"/>
            </w:r>
            <w:r w:rsidR="00506812">
              <w:rPr>
                <w:noProof/>
                <w:webHidden/>
              </w:rPr>
              <w:instrText xml:space="preserve"> PAGEREF _Toc468709678 \h </w:instrText>
            </w:r>
            <w:r w:rsidR="00506812">
              <w:rPr>
                <w:noProof/>
                <w:webHidden/>
              </w:rPr>
            </w:r>
            <w:r w:rsidR="00506812">
              <w:rPr>
                <w:noProof/>
                <w:webHidden/>
              </w:rPr>
              <w:fldChar w:fldCharType="separate"/>
            </w:r>
            <w:r w:rsidR="00431261">
              <w:rPr>
                <w:noProof/>
                <w:webHidden/>
              </w:rPr>
              <w:t>5</w:t>
            </w:r>
            <w:r w:rsidR="00506812">
              <w:rPr>
                <w:noProof/>
                <w:webHidden/>
              </w:rPr>
              <w:fldChar w:fldCharType="end"/>
            </w:r>
          </w:hyperlink>
        </w:p>
        <w:p w14:paraId="64F2A8B3" w14:textId="77777777" w:rsidR="00506812" w:rsidRDefault="00DA2181">
          <w:pPr>
            <w:pStyle w:val="TOC1"/>
            <w:tabs>
              <w:tab w:val="right" w:leader="dot" w:pos="9350"/>
            </w:tabs>
            <w:rPr>
              <w:rFonts w:eastAsiaTheme="minorEastAsia"/>
              <w:noProof/>
            </w:rPr>
          </w:pPr>
          <w:hyperlink w:anchor="_Toc468709679" w:history="1">
            <w:r w:rsidR="00506812" w:rsidRPr="00C3039D">
              <w:rPr>
                <w:rStyle w:val="Hyperlink"/>
                <w:b/>
                <w:noProof/>
              </w:rPr>
              <w:t>5. Impact on Small Businesses or Other Small Entities</w:t>
            </w:r>
            <w:r w:rsidR="00506812">
              <w:rPr>
                <w:noProof/>
                <w:webHidden/>
              </w:rPr>
              <w:tab/>
            </w:r>
            <w:r w:rsidR="00506812">
              <w:rPr>
                <w:noProof/>
                <w:webHidden/>
              </w:rPr>
              <w:fldChar w:fldCharType="begin"/>
            </w:r>
            <w:r w:rsidR="00506812">
              <w:rPr>
                <w:noProof/>
                <w:webHidden/>
              </w:rPr>
              <w:instrText xml:space="preserve"> PAGEREF _Toc468709679 \h </w:instrText>
            </w:r>
            <w:r w:rsidR="00506812">
              <w:rPr>
                <w:noProof/>
                <w:webHidden/>
              </w:rPr>
            </w:r>
            <w:r w:rsidR="00506812">
              <w:rPr>
                <w:noProof/>
                <w:webHidden/>
              </w:rPr>
              <w:fldChar w:fldCharType="separate"/>
            </w:r>
            <w:r w:rsidR="00431261">
              <w:rPr>
                <w:noProof/>
                <w:webHidden/>
              </w:rPr>
              <w:t>5</w:t>
            </w:r>
            <w:r w:rsidR="00506812">
              <w:rPr>
                <w:noProof/>
                <w:webHidden/>
              </w:rPr>
              <w:fldChar w:fldCharType="end"/>
            </w:r>
          </w:hyperlink>
        </w:p>
        <w:p w14:paraId="4C3ED1DD" w14:textId="77777777" w:rsidR="00506812" w:rsidRDefault="00DA2181">
          <w:pPr>
            <w:pStyle w:val="TOC1"/>
            <w:tabs>
              <w:tab w:val="right" w:leader="dot" w:pos="9350"/>
            </w:tabs>
            <w:rPr>
              <w:rFonts w:eastAsiaTheme="minorEastAsia"/>
              <w:noProof/>
            </w:rPr>
          </w:pPr>
          <w:hyperlink w:anchor="_Toc468709680" w:history="1">
            <w:r w:rsidR="00506812" w:rsidRPr="00C3039D">
              <w:rPr>
                <w:rStyle w:val="Hyperlink"/>
                <w:b/>
                <w:noProof/>
              </w:rPr>
              <w:t>6. Consequences of Collecting the Information Less Frequently</w:t>
            </w:r>
            <w:r w:rsidR="00506812">
              <w:rPr>
                <w:noProof/>
                <w:webHidden/>
              </w:rPr>
              <w:tab/>
            </w:r>
            <w:r w:rsidR="00506812">
              <w:rPr>
                <w:noProof/>
                <w:webHidden/>
              </w:rPr>
              <w:fldChar w:fldCharType="begin"/>
            </w:r>
            <w:r w:rsidR="00506812">
              <w:rPr>
                <w:noProof/>
                <w:webHidden/>
              </w:rPr>
              <w:instrText xml:space="preserve"> PAGEREF _Toc468709680 \h </w:instrText>
            </w:r>
            <w:r w:rsidR="00506812">
              <w:rPr>
                <w:noProof/>
                <w:webHidden/>
              </w:rPr>
            </w:r>
            <w:r w:rsidR="00506812">
              <w:rPr>
                <w:noProof/>
                <w:webHidden/>
              </w:rPr>
              <w:fldChar w:fldCharType="separate"/>
            </w:r>
            <w:r w:rsidR="00431261">
              <w:rPr>
                <w:noProof/>
                <w:webHidden/>
              </w:rPr>
              <w:t>5</w:t>
            </w:r>
            <w:r w:rsidR="00506812">
              <w:rPr>
                <w:noProof/>
                <w:webHidden/>
              </w:rPr>
              <w:fldChar w:fldCharType="end"/>
            </w:r>
          </w:hyperlink>
        </w:p>
        <w:p w14:paraId="2105E846" w14:textId="77777777" w:rsidR="00506812" w:rsidRDefault="00DA2181">
          <w:pPr>
            <w:pStyle w:val="TOC1"/>
            <w:tabs>
              <w:tab w:val="right" w:leader="dot" w:pos="9350"/>
            </w:tabs>
            <w:rPr>
              <w:rFonts w:eastAsiaTheme="minorEastAsia"/>
              <w:noProof/>
            </w:rPr>
          </w:pPr>
          <w:hyperlink w:anchor="_Toc468709681" w:history="1">
            <w:r w:rsidR="00506812" w:rsidRPr="00C3039D">
              <w:rPr>
                <w:rStyle w:val="Hyperlink"/>
                <w:b/>
                <w:noProof/>
              </w:rPr>
              <w:t>7. Special Circumstances Relating to the Guidelines of 5 CFR 1320.5</w:t>
            </w:r>
            <w:r w:rsidR="00506812">
              <w:rPr>
                <w:noProof/>
                <w:webHidden/>
              </w:rPr>
              <w:tab/>
            </w:r>
            <w:r w:rsidR="00506812">
              <w:rPr>
                <w:noProof/>
                <w:webHidden/>
              </w:rPr>
              <w:fldChar w:fldCharType="begin"/>
            </w:r>
            <w:r w:rsidR="00506812">
              <w:rPr>
                <w:noProof/>
                <w:webHidden/>
              </w:rPr>
              <w:instrText xml:space="preserve"> PAGEREF _Toc468709681 \h </w:instrText>
            </w:r>
            <w:r w:rsidR="00506812">
              <w:rPr>
                <w:noProof/>
                <w:webHidden/>
              </w:rPr>
            </w:r>
            <w:r w:rsidR="00506812">
              <w:rPr>
                <w:noProof/>
                <w:webHidden/>
              </w:rPr>
              <w:fldChar w:fldCharType="separate"/>
            </w:r>
            <w:r w:rsidR="00431261">
              <w:rPr>
                <w:noProof/>
                <w:webHidden/>
              </w:rPr>
              <w:t>6</w:t>
            </w:r>
            <w:r w:rsidR="00506812">
              <w:rPr>
                <w:noProof/>
                <w:webHidden/>
              </w:rPr>
              <w:fldChar w:fldCharType="end"/>
            </w:r>
          </w:hyperlink>
        </w:p>
        <w:p w14:paraId="7AAC88DD" w14:textId="77777777" w:rsidR="00506812" w:rsidRDefault="00DA2181">
          <w:pPr>
            <w:pStyle w:val="TOC1"/>
            <w:tabs>
              <w:tab w:val="right" w:leader="dot" w:pos="9350"/>
            </w:tabs>
            <w:rPr>
              <w:rFonts w:eastAsiaTheme="minorEastAsia"/>
              <w:noProof/>
            </w:rPr>
          </w:pPr>
          <w:hyperlink w:anchor="_Toc468709682" w:history="1">
            <w:r w:rsidR="00506812" w:rsidRPr="00C3039D">
              <w:rPr>
                <w:rStyle w:val="Hyperlink"/>
                <w:b/>
                <w:noProof/>
              </w:rPr>
              <w:t>8. Comments in Response to the Federal Register Notice and Efforts to Consult Outside the Agency</w:t>
            </w:r>
            <w:r w:rsidR="00506812">
              <w:rPr>
                <w:noProof/>
                <w:webHidden/>
              </w:rPr>
              <w:tab/>
            </w:r>
            <w:r w:rsidR="00506812">
              <w:rPr>
                <w:noProof/>
                <w:webHidden/>
              </w:rPr>
              <w:fldChar w:fldCharType="begin"/>
            </w:r>
            <w:r w:rsidR="00506812">
              <w:rPr>
                <w:noProof/>
                <w:webHidden/>
              </w:rPr>
              <w:instrText xml:space="preserve"> PAGEREF _Toc468709682 \h </w:instrText>
            </w:r>
            <w:r w:rsidR="00506812">
              <w:rPr>
                <w:noProof/>
                <w:webHidden/>
              </w:rPr>
            </w:r>
            <w:r w:rsidR="00506812">
              <w:rPr>
                <w:noProof/>
                <w:webHidden/>
              </w:rPr>
              <w:fldChar w:fldCharType="separate"/>
            </w:r>
            <w:r w:rsidR="00431261">
              <w:rPr>
                <w:noProof/>
                <w:webHidden/>
              </w:rPr>
              <w:t>6</w:t>
            </w:r>
            <w:r w:rsidR="00506812">
              <w:rPr>
                <w:noProof/>
                <w:webHidden/>
              </w:rPr>
              <w:fldChar w:fldCharType="end"/>
            </w:r>
          </w:hyperlink>
        </w:p>
        <w:p w14:paraId="480B7268" w14:textId="77777777" w:rsidR="00506812" w:rsidRDefault="00DA2181">
          <w:pPr>
            <w:pStyle w:val="TOC1"/>
            <w:tabs>
              <w:tab w:val="right" w:leader="dot" w:pos="9350"/>
            </w:tabs>
            <w:rPr>
              <w:rFonts w:eastAsiaTheme="minorEastAsia"/>
              <w:noProof/>
            </w:rPr>
          </w:pPr>
          <w:hyperlink w:anchor="_Toc468709683" w:history="1">
            <w:r w:rsidR="00506812" w:rsidRPr="00C3039D">
              <w:rPr>
                <w:rStyle w:val="Hyperlink"/>
                <w:b/>
                <w:noProof/>
              </w:rPr>
              <w:t>9. Explanation of Any Payment or Gift to Respondents</w:t>
            </w:r>
            <w:r w:rsidR="00506812">
              <w:rPr>
                <w:noProof/>
                <w:webHidden/>
              </w:rPr>
              <w:tab/>
            </w:r>
            <w:r w:rsidR="00506812">
              <w:rPr>
                <w:noProof/>
                <w:webHidden/>
              </w:rPr>
              <w:fldChar w:fldCharType="begin"/>
            </w:r>
            <w:r w:rsidR="00506812">
              <w:rPr>
                <w:noProof/>
                <w:webHidden/>
              </w:rPr>
              <w:instrText xml:space="preserve"> PAGEREF _Toc468709683 \h </w:instrText>
            </w:r>
            <w:r w:rsidR="00506812">
              <w:rPr>
                <w:noProof/>
                <w:webHidden/>
              </w:rPr>
            </w:r>
            <w:r w:rsidR="00506812">
              <w:rPr>
                <w:noProof/>
                <w:webHidden/>
              </w:rPr>
              <w:fldChar w:fldCharType="separate"/>
            </w:r>
            <w:r w:rsidR="00431261">
              <w:rPr>
                <w:noProof/>
                <w:webHidden/>
              </w:rPr>
              <w:t>6</w:t>
            </w:r>
            <w:r w:rsidR="00506812">
              <w:rPr>
                <w:noProof/>
                <w:webHidden/>
              </w:rPr>
              <w:fldChar w:fldCharType="end"/>
            </w:r>
          </w:hyperlink>
        </w:p>
        <w:p w14:paraId="7A30DDD0" w14:textId="77777777" w:rsidR="00506812" w:rsidRDefault="00DA2181">
          <w:pPr>
            <w:pStyle w:val="TOC1"/>
            <w:tabs>
              <w:tab w:val="right" w:leader="dot" w:pos="9350"/>
            </w:tabs>
            <w:rPr>
              <w:rFonts w:eastAsiaTheme="minorEastAsia"/>
              <w:noProof/>
            </w:rPr>
          </w:pPr>
          <w:hyperlink w:anchor="_Toc468709684" w:history="1">
            <w:r w:rsidR="00506812" w:rsidRPr="00C3039D">
              <w:rPr>
                <w:rStyle w:val="Hyperlink"/>
                <w:b/>
                <w:noProof/>
              </w:rPr>
              <w:t>10. Assurance of Confidentiality Provided to Respondents</w:t>
            </w:r>
            <w:r w:rsidR="00506812">
              <w:rPr>
                <w:noProof/>
                <w:webHidden/>
              </w:rPr>
              <w:tab/>
            </w:r>
            <w:r w:rsidR="00506812">
              <w:rPr>
                <w:noProof/>
                <w:webHidden/>
              </w:rPr>
              <w:fldChar w:fldCharType="begin"/>
            </w:r>
            <w:r w:rsidR="00506812">
              <w:rPr>
                <w:noProof/>
                <w:webHidden/>
              </w:rPr>
              <w:instrText xml:space="preserve"> PAGEREF _Toc468709684 \h </w:instrText>
            </w:r>
            <w:r w:rsidR="00506812">
              <w:rPr>
                <w:noProof/>
                <w:webHidden/>
              </w:rPr>
            </w:r>
            <w:r w:rsidR="00506812">
              <w:rPr>
                <w:noProof/>
                <w:webHidden/>
              </w:rPr>
              <w:fldChar w:fldCharType="separate"/>
            </w:r>
            <w:r w:rsidR="00431261">
              <w:rPr>
                <w:noProof/>
                <w:webHidden/>
              </w:rPr>
              <w:t>6</w:t>
            </w:r>
            <w:r w:rsidR="00506812">
              <w:rPr>
                <w:noProof/>
                <w:webHidden/>
              </w:rPr>
              <w:fldChar w:fldCharType="end"/>
            </w:r>
          </w:hyperlink>
        </w:p>
        <w:p w14:paraId="3FBA7331" w14:textId="77777777" w:rsidR="00506812" w:rsidRDefault="00DA2181">
          <w:pPr>
            <w:pStyle w:val="TOC1"/>
            <w:tabs>
              <w:tab w:val="right" w:leader="dot" w:pos="9350"/>
            </w:tabs>
            <w:rPr>
              <w:rFonts w:eastAsiaTheme="minorEastAsia"/>
              <w:noProof/>
            </w:rPr>
          </w:pPr>
          <w:hyperlink w:anchor="_Toc468709685" w:history="1">
            <w:r w:rsidR="00506812" w:rsidRPr="00C3039D">
              <w:rPr>
                <w:rStyle w:val="Hyperlink"/>
                <w:b/>
                <w:noProof/>
              </w:rPr>
              <w:t>11. Justification for Sensitive Questions</w:t>
            </w:r>
            <w:r w:rsidR="00506812">
              <w:rPr>
                <w:noProof/>
                <w:webHidden/>
              </w:rPr>
              <w:tab/>
            </w:r>
            <w:r w:rsidR="00506812">
              <w:rPr>
                <w:noProof/>
                <w:webHidden/>
              </w:rPr>
              <w:fldChar w:fldCharType="begin"/>
            </w:r>
            <w:r w:rsidR="00506812">
              <w:rPr>
                <w:noProof/>
                <w:webHidden/>
              </w:rPr>
              <w:instrText xml:space="preserve"> PAGEREF _Toc468709685 \h </w:instrText>
            </w:r>
            <w:r w:rsidR="00506812">
              <w:rPr>
                <w:noProof/>
                <w:webHidden/>
              </w:rPr>
            </w:r>
            <w:r w:rsidR="00506812">
              <w:rPr>
                <w:noProof/>
                <w:webHidden/>
              </w:rPr>
              <w:fldChar w:fldCharType="separate"/>
            </w:r>
            <w:r w:rsidR="00431261">
              <w:rPr>
                <w:noProof/>
                <w:webHidden/>
              </w:rPr>
              <w:t>8</w:t>
            </w:r>
            <w:r w:rsidR="00506812">
              <w:rPr>
                <w:noProof/>
                <w:webHidden/>
              </w:rPr>
              <w:fldChar w:fldCharType="end"/>
            </w:r>
          </w:hyperlink>
        </w:p>
        <w:p w14:paraId="6EE1F7BD" w14:textId="77777777" w:rsidR="00506812" w:rsidRDefault="00DA2181">
          <w:pPr>
            <w:pStyle w:val="TOC1"/>
            <w:tabs>
              <w:tab w:val="right" w:leader="dot" w:pos="9350"/>
            </w:tabs>
            <w:rPr>
              <w:rFonts w:eastAsiaTheme="minorEastAsia"/>
              <w:noProof/>
            </w:rPr>
          </w:pPr>
          <w:hyperlink w:anchor="_Toc468709686" w:history="1">
            <w:r w:rsidR="00506812" w:rsidRPr="00C3039D">
              <w:rPr>
                <w:rStyle w:val="Hyperlink"/>
                <w:b/>
                <w:noProof/>
              </w:rPr>
              <w:t>12. Estimates of Annualized Burden Hours and Costs</w:t>
            </w:r>
            <w:r w:rsidR="00506812">
              <w:rPr>
                <w:noProof/>
                <w:webHidden/>
              </w:rPr>
              <w:tab/>
            </w:r>
            <w:r w:rsidR="00506812">
              <w:rPr>
                <w:noProof/>
                <w:webHidden/>
              </w:rPr>
              <w:fldChar w:fldCharType="begin"/>
            </w:r>
            <w:r w:rsidR="00506812">
              <w:rPr>
                <w:noProof/>
                <w:webHidden/>
              </w:rPr>
              <w:instrText xml:space="preserve"> PAGEREF _Toc468709686 \h </w:instrText>
            </w:r>
            <w:r w:rsidR="00506812">
              <w:rPr>
                <w:noProof/>
                <w:webHidden/>
              </w:rPr>
            </w:r>
            <w:r w:rsidR="00506812">
              <w:rPr>
                <w:noProof/>
                <w:webHidden/>
              </w:rPr>
              <w:fldChar w:fldCharType="separate"/>
            </w:r>
            <w:r w:rsidR="00431261">
              <w:rPr>
                <w:noProof/>
                <w:webHidden/>
              </w:rPr>
              <w:t>8</w:t>
            </w:r>
            <w:r w:rsidR="00506812">
              <w:rPr>
                <w:noProof/>
                <w:webHidden/>
              </w:rPr>
              <w:fldChar w:fldCharType="end"/>
            </w:r>
          </w:hyperlink>
        </w:p>
        <w:p w14:paraId="6DE9FECD" w14:textId="77777777" w:rsidR="00506812" w:rsidRDefault="00DA2181">
          <w:pPr>
            <w:pStyle w:val="TOC1"/>
            <w:tabs>
              <w:tab w:val="right" w:leader="dot" w:pos="9350"/>
            </w:tabs>
            <w:rPr>
              <w:rFonts w:eastAsiaTheme="minorEastAsia"/>
              <w:noProof/>
            </w:rPr>
          </w:pPr>
          <w:hyperlink w:anchor="_Toc468709687" w:history="1">
            <w:r w:rsidR="00506812" w:rsidRPr="00C3039D">
              <w:rPr>
                <w:rStyle w:val="Hyperlink"/>
                <w:b/>
                <w:noProof/>
              </w:rPr>
              <w:t>13. Estimates of Other Total Annual Cost Burden to Respondents and Record Keepers</w:t>
            </w:r>
            <w:r w:rsidR="00506812">
              <w:rPr>
                <w:noProof/>
                <w:webHidden/>
              </w:rPr>
              <w:tab/>
            </w:r>
            <w:r w:rsidR="00506812">
              <w:rPr>
                <w:noProof/>
                <w:webHidden/>
              </w:rPr>
              <w:fldChar w:fldCharType="begin"/>
            </w:r>
            <w:r w:rsidR="00506812">
              <w:rPr>
                <w:noProof/>
                <w:webHidden/>
              </w:rPr>
              <w:instrText xml:space="preserve"> PAGEREF _Toc468709687 \h </w:instrText>
            </w:r>
            <w:r w:rsidR="00506812">
              <w:rPr>
                <w:noProof/>
                <w:webHidden/>
              </w:rPr>
            </w:r>
            <w:r w:rsidR="00506812">
              <w:rPr>
                <w:noProof/>
                <w:webHidden/>
              </w:rPr>
              <w:fldChar w:fldCharType="separate"/>
            </w:r>
            <w:r w:rsidR="00431261">
              <w:rPr>
                <w:noProof/>
                <w:webHidden/>
              </w:rPr>
              <w:t>10</w:t>
            </w:r>
            <w:r w:rsidR="00506812">
              <w:rPr>
                <w:noProof/>
                <w:webHidden/>
              </w:rPr>
              <w:fldChar w:fldCharType="end"/>
            </w:r>
          </w:hyperlink>
        </w:p>
        <w:p w14:paraId="44E0E31A" w14:textId="77777777" w:rsidR="00506812" w:rsidRDefault="00DA2181">
          <w:pPr>
            <w:pStyle w:val="TOC1"/>
            <w:tabs>
              <w:tab w:val="right" w:leader="dot" w:pos="9350"/>
            </w:tabs>
            <w:rPr>
              <w:rFonts w:eastAsiaTheme="minorEastAsia"/>
              <w:noProof/>
            </w:rPr>
          </w:pPr>
          <w:hyperlink w:anchor="_Toc468709688" w:history="1">
            <w:r w:rsidR="00506812" w:rsidRPr="00C3039D">
              <w:rPr>
                <w:rStyle w:val="Hyperlink"/>
                <w:b/>
                <w:noProof/>
              </w:rPr>
              <w:t>14. Annualized Cost to the Federal Government</w:t>
            </w:r>
            <w:r w:rsidR="00506812">
              <w:rPr>
                <w:noProof/>
                <w:webHidden/>
              </w:rPr>
              <w:tab/>
            </w:r>
            <w:r w:rsidR="00506812">
              <w:rPr>
                <w:noProof/>
                <w:webHidden/>
              </w:rPr>
              <w:fldChar w:fldCharType="begin"/>
            </w:r>
            <w:r w:rsidR="00506812">
              <w:rPr>
                <w:noProof/>
                <w:webHidden/>
              </w:rPr>
              <w:instrText xml:space="preserve"> PAGEREF _Toc468709688 \h </w:instrText>
            </w:r>
            <w:r w:rsidR="00506812">
              <w:rPr>
                <w:noProof/>
                <w:webHidden/>
              </w:rPr>
            </w:r>
            <w:r w:rsidR="00506812">
              <w:rPr>
                <w:noProof/>
                <w:webHidden/>
              </w:rPr>
              <w:fldChar w:fldCharType="separate"/>
            </w:r>
            <w:r w:rsidR="00431261">
              <w:rPr>
                <w:noProof/>
                <w:webHidden/>
              </w:rPr>
              <w:t>10</w:t>
            </w:r>
            <w:r w:rsidR="00506812">
              <w:rPr>
                <w:noProof/>
                <w:webHidden/>
              </w:rPr>
              <w:fldChar w:fldCharType="end"/>
            </w:r>
          </w:hyperlink>
        </w:p>
        <w:p w14:paraId="02753431" w14:textId="77777777" w:rsidR="00506812" w:rsidRDefault="00DA2181">
          <w:pPr>
            <w:pStyle w:val="TOC1"/>
            <w:tabs>
              <w:tab w:val="right" w:leader="dot" w:pos="9350"/>
            </w:tabs>
            <w:rPr>
              <w:rFonts w:eastAsiaTheme="minorEastAsia"/>
              <w:noProof/>
            </w:rPr>
          </w:pPr>
          <w:hyperlink w:anchor="_Toc468709689" w:history="1">
            <w:r w:rsidR="00506812" w:rsidRPr="00C3039D">
              <w:rPr>
                <w:rStyle w:val="Hyperlink"/>
                <w:b/>
                <w:noProof/>
              </w:rPr>
              <w:t>15. Explanation for Program Changes or Adjustments</w:t>
            </w:r>
            <w:r w:rsidR="00506812">
              <w:rPr>
                <w:noProof/>
                <w:webHidden/>
              </w:rPr>
              <w:tab/>
            </w:r>
            <w:r w:rsidR="00506812">
              <w:rPr>
                <w:noProof/>
                <w:webHidden/>
              </w:rPr>
              <w:fldChar w:fldCharType="begin"/>
            </w:r>
            <w:r w:rsidR="00506812">
              <w:rPr>
                <w:noProof/>
                <w:webHidden/>
              </w:rPr>
              <w:instrText xml:space="preserve"> PAGEREF _Toc468709689 \h </w:instrText>
            </w:r>
            <w:r w:rsidR="00506812">
              <w:rPr>
                <w:noProof/>
                <w:webHidden/>
              </w:rPr>
            </w:r>
            <w:r w:rsidR="00506812">
              <w:rPr>
                <w:noProof/>
                <w:webHidden/>
              </w:rPr>
              <w:fldChar w:fldCharType="separate"/>
            </w:r>
            <w:r w:rsidR="00431261">
              <w:rPr>
                <w:noProof/>
                <w:webHidden/>
              </w:rPr>
              <w:t>10</w:t>
            </w:r>
            <w:r w:rsidR="00506812">
              <w:rPr>
                <w:noProof/>
                <w:webHidden/>
              </w:rPr>
              <w:fldChar w:fldCharType="end"/>
            </w:r>
          </w:hyperlink>
        </w:p>
        <w:p w14:paraId="655FE3CF" w14:textId="77777777" w:rsidR="00506812" w:rsidRDefault="00DA2181">
          <w:pPr>
            <w:pStyle w:val="TOC1"/>
            <w:tabs>
              <w:tab w:val="right" w:leader="dot" w:pos="9350"/>
            </w:tabs>
            <w:rPr>
              <w:rFonts w:eastAsiaTheme="minorEastAsia"/>
              <w:noProof/>
            </w:rPr>
          </w:pPr>
          <w:hyperlink w:anchor="_Toc468709690" w:history="1">
            <w:r w:rsidR="00506812" w:rsidRPr="00C3039D">
              <w:rPr>
                <w:rStyle w:val="Hyperlink"/>
                <w:b/>
                <w:noProof/>
              </w:rPr>
              <w:t>16. Plans for Tabulation and Publication and Project Time Schedule</w:t>
            </w:r>
            <w:r w:rsidR="00506812">
              <w:rPr>
                <w:noProof/>
                <w:webHidden/>
              </w:rPr>
              <w:tab/>
            </w:r>
            <w:r w:rsidR="00506812">
              <w:rPr>
                <w:noProof/>
                <w:webHidden/>
              </w:rPr>
              <w:fldChar w:fldCharType="begin"/>
            </w:r>
            <w:r w:rsidR="00506812">
              <w:rPr>
                <w:noProof/>
                <w:webHidden/>
              </w:rPr>
              <w:instrText xml:space="preserve"> PAGEREF _Toc468709690 \h </w:instrText>
            </w:r>
            <w:r w:rsidR="00506812">
              <w:rPr>
                <w:noProof/>
                <w:webHidden/>
              </w:rPr>
            </w:r>
            <w:r w:rsidR="00506812">
              <w:rPr>
                <w:noProof/>
                <w:webHidden/>
              </w:rPr>
              <w:fldChar w:fldCharType="separate"/>
            </w:r>
            <w:r w:rsidR="00431261">
              <w:rPr>
                <w:noProof/>
                <w:webHidden/>
              </w:rPr>
              <w:t>10</w:t>
            </w:r>
            <w:r w:rsidR="00506812">
              <w:rPr>
                <w:noProof/>
                <w:webHidden/>
              </w:rPr>
              <w:fldChar w:fldCharType="end"/>
            </w:r>
          </w:hyperlink>
        </w:p>
        <w:p w14:paraId="2AB37C41" w14:textId="77777777" w:rsidR="00506812" w:rsidRDefault="00DA2181">
          <w:pPr>
            <w:pStyle w:val="TOC1"/>
            <w:tabs>
              <w:tab w:val="right" w:leader="dot" w:pos="9350"/>
            </w:tabs>
            <w:rPr>
              <w:rFonts w:eastAsiaTheme="minorEastAsia"/>
              <w:noProof/>
            </w:rPr>
          </w:pPr>
          <w:hyperlink w:anchor="_Toc468709691" w:history="1">
            <w:r w:rsidR="00506812" w:rsidRPr="00C3039D">
              <w:rPr>
                <w:rStyle w:val="Hyperlink"/>
                <w:b/>
                <w:noProof/>
              </w:rPr>
              <w:t>17. Reason(s) Display of OMB Expiration Date is Inappropriate</w:t>
            </w:r>
            <w:r w:rsidR="00506812">
              <w:rPr>
                <w:noProof/>
                <w:webHidden/>
              </w:rPr>
              <w:tab/>
            </w:r>
            <w:r w:rsidR="00506812">
              <w:rPr>
                <w:noProof/>
                <w:webHidden/>
              </w:rPr>
              <w:fldChar w:fldCharType="begin"/>
            </w:r>
            <w:r w:rsidR="00506812">
              <w:rPr>
                <w:noProof/>
                <w:webHidden/>
              </w:rPr>
              <w:instrText xml:space="preserve"> PAGEREF _Toc468709691 \h </w:instrText>
            </w:r>
            <w:r w:rsidR="00506812">
              <w:rPr>
                <w:noProof/>
                <w:webHidden/>
              </w:rPr>
            </w:r>
            <w:r w:rsidR="00506812">
              <w:rPr>
                <w:noProof/>
                <w:webHidden/>
              </w:rPr>
              <w:fldChar w:fldCharType="separate"/>
            </w:r>
            <w:r w:rsidR="00431261">
              <w:rPr>
                <w:noProof/>
                <w:webHidden/>
              </w:rPr>
              <w:t>11</w:t>
            </w:r>
            <w:r w:rsidR="00506812">
              <w:rPr>
                <w:noProof/>
                <w:webHidden/>
              </w:rPr>
              <w:fldChar w:fldCharType="end"/>
            </w:r>
          </w:hyperlink>
        </w:p>
        <w:p w14:paraId="42B2A45A" w14:textId="77777777" w:rsidR="00506812" w:rsidRDefault="00DA2181">
          <w:pPr>
            <w:pStyle w:val="TOC1"/>
            <w:tabs>
              <w:tab w:val="right" w:leader="dot" w:pos="9350"/>
            </w:tabs>
            <w:rPr>
              <w:rFonts w:eastAsiaTheme="minorEastAsia"/>
              <w:noProof/>
            </w:rPr>
          </w:pPr>
          <w:hyperlink w:anchor="_Toc468709692" w:history="1">
            <w:r w:rsidR="00506812" w:rsidRPr="00C3039D">
              <w:rPr>
                <w:rStyle w:val="Hyperlink"/>
                <w:b/>
                <w:noProof/>
              </w:rPr>
              <w:t>18. Exceptions to Certification for Paperwork Reduction Act Submissions</w:t>
            </w:r>
            <w:r w:rsidR="00506812">
              <w:rPr>
                <w:noProof/>
                <w:webHidden/>
              </w:rPr>
              <w:tab/>
            </w:r>
            <w:r w:rsidR="00506812">
              <w:rPr>
                <w:noProof/>
                <w:webHidden/>
              </w:rPr>
              <w:fldChar w:fldCharType="begin"/>
            </w:r>
            <w:r w:rsidR="00506812">
              <w:rPr>
                <w:noProof/>
                <w:webHidden/>
              </w:rPr>
              <w:instrText xml:space="preserve"> PAGEREF _Toc468709692 \h </w:instrText>
            </w:r>
            <w:r w:rsidR="00506812">
              <w:rPr>
                <w:noProof/>
                <w:webHidden/>
              </w:rPr>
            </w:r>
            <w:r w:rsidR="00506812">
              <w:rPr>
                <w:noProof/>
                <w:webHidden/>
              </w:rPr>
              <w:fldChar w:fldCharType="separate"/>
            </w:r>
            <w:r w:rsidR="00431261">
              <w:rPr>
                <w:noProof/>
                <w:webHidden/>
              </w:rPr>
              <w:t>11</w:t>
            </w:r>
            <w:r w:rsidR="00506812">
              <w:rPr>
                <w:noProof/>
                <w:webHidden/>
              </w:rPr>
              <w:fldChar w:fldCharType="end"/>
            </w:r>
          </w:hyperlink>
        </w:p>
        <w:p w14:paraId="3F8237BD" w14:textId="37484CF5" w:rsidR="00CE688A" w:rsidRDefault="00CE688A">
          <w:r>
            <w:rPr>
              <w:b/>
              <w:bCs/>
              <w:noProof/>
            </w:rPr>
            <w:fldChar w:fldCharType="end"/>
          </w:r>
        </w:p>
      </w:sdtContent>
    </w:sdt>
    <w:p w14:paraId="4CCF0D48" w14:textId="11351B47" w:rsidR="00EC556C" w:rsidRPr="00A14583" w:rsidRDefault="00EC556C" w:rsidP="00B462FB">
      <w:pPr>
        <w:tabs>
          <w:tab w:val="right" w:leader="dot" w:pos="9360"/>
        </w:tabs>
        <w:rPr>
          <w:b/>
          <w:u w:val="single"/>
        </w:rPr>
      </w:pPr>
      <w:r w:rsidRPr="00A14583">
        <w:rPr>
          <w:b/>
          <w:u w:val="single"/>
        </w:rPr>
        <w:t>List of Attachments</w:t>
      </w:r>
      <w:r w:rsidR="00A14583">
        <w:rPr>
          <w:b/>
          <w:u w:val="single"/>
        </w:rPr>
        <w:t>:</w:t>
      </w:r>
    </w:p>
    <w:p w14:paraId="3E3D5979" w14:textId="06AD43F9" w:rsidR="00EC556C" w:rsidRDefault="00FC6AAC" w:rsidP="00CE688A">
      <w:pPr>
        <w:tabs>
          <w:tab w:val="right" w:leader="dot" w:pos="9360"/>
        </w:tabs>
        <w:spacing w:after="0"/>
      </w:pPr>
      <w:r>
        <w:t xml:space="preserve">Attachment </w:t>
      </w:r>
      <w:r w:rsidR="00EC556C">
        <w:t>A</w:t>
      </w:r>
      <w:r w:rsidR="00C9113A">
        <w:t xml:space="preserve"> – </w:t>
      </w:r>
      <w:r w:rsidR="00EC556C">
        <w:t>Authorizing Legislation</w:t>
      </w:r>
    </w:p>
    <w:p w14:paraId="529E5A63" w14:textId="150F4A97" w:rsidR="00EC556C" w:rsidRDefault="00FC6AAC" w:rsidP="00CE688A">
      <w:pPr>
        <w:tabs>
          <w:tab w:val="right" w:leader="dot" w:pos="9360"/>
        </w:tabs>
        <w:spacing w:after="0"/>
      </w:pPr>
      <w:r>
        <w:t xml:space="preserve">Attachment </w:t>
      </w:r>
      <w:r w:rsidR="00EC556C">
        <w:t>B</w:t>
      </w:r>
      <w:r w:rsidR="00C9113A">
        <w:t xml:space="preserve"> – </w:t>
      </w:r>
      <w:r w:rsidR="00EC556C">
        <w:t>Published 60-day FRN</w:t>
      </w:r>
    </w:p>
    <w:p w14:paraId="1FFE633B" w14:textId="5D36A971" w:rsidR="00EC556C" w:rsidRDefault="00FC6AAC" w:rsidP="00CE688A">
      <w:pPr>
        <w:tabs>
          <w:tab w:val="right" w:leader="dot" w:pos="9360"/>
        </w:tabs>
        <w:spacing w:after="0"/>
      </w:pPr>
      <w:r>
        <w:t xml:space="preserve">Attachment </w:t>
      </w:r>
      <w:r w:rsidR="00EC556C">
        <w:t>C</w:t>
      </w:r>
      <w:r w:rsidR="00C9113A">
        <w:t xml:space="preserve"> – Interview Guide</w:t>
      </w:r>
    </w:p>
    <w:p w14:paraId="7D318B0C" w14:textId="6330ABAB" w:rsidR="00C9113A" w:rsidRDefault="00FC6AAC" w:rsidP="00CE688A">
      <w:pPr>
        <w:tabs>
          <w:tab w:val="right" w:leader="dot" w:pos="9360"/>
        </w:tabs>
        <w:spacing w:after="0"/>
      </w:pPr>
      <w:r>
        <w:t>Attachment D</w:t>
      </w:r>
      <w:r w:rsidR="00C9113A">
        <w:t xml:space="preserve"> – Survey Plan</w:t>
      </w:r>
    </w:p>
    <w:p w14:paraId="70B04989" w14:textId="4EA67704" w:rsidR="00FC6AAC" w:rsidRDefault="00FC6AAC" w:rsidP="00CE688A">
      <w:pPr>
        <w:tabs>
          <w:tab w:val="right" w:leader="dot" w:pos="9360"/>
        </w:tabs>
        <w:spacing w:after="0"/>
      </w:pPr>
      <w:r>
        <w:t xml:space="preserve">Attachment </w:t>
      </w:r>
      <w:r w:rsidR="00C9113A">
        <w:t>E</w:t>
      </w:r>
      <w:r>
        <w:t xml:space="preserve"> – </w:t>
      </w:r>
      <w:r w:rsidRPr="00FC6AAC">
        <w:t xml:space="preserve">Recruitment </w:t>
      </w:r>
      <w:r w:rsidR="00194455">
        <w:t>E-mail</w:t>
      </w:r>
      <w:r w:rsidR="00194455" w:rsidRPr="00FC6AAC">
        <w:t xml:space="preserve"> </w:t>
      </w:r>
      <w:r w:rsidRPr="00FC6AAC">
        <w:t xml:space="preserve">for </w:t>
      </w:r>
      <w:r w:rsidR="00C9113A">
        <w:t>Potential Interview Participants</w:t>
      </w:r>
    </w:p>
    <w:p w14:paraId="3602087A" w14:textId="645FEA25" w:rsidR="00FC6AAC" w:rsidRDefault="00FC6AAC" w:rsidP="00CE688A">
      <w:pPr>
        <w:tabs>
          <w:tab w:val="right" w:leader="dot" w:pos="9360"/>
        </w:tabs>
        <w:spacing w:after="0"/>
      </w:pPr>
      <w:r>
        <w:t xml:space="preserve">Attachment </w:t>
      </w:r>
      <w:r w:rsidR="00C9113A">
        <w:t>F</w:t>
      </w:r>
      <w:r>
        <w:t xml:space="preserve"> – </w:t>
      </w:r>
      <w:r w:rsidR="00C9113A" w:rsidRPr="00FC6AAC">
        <w:t xml:space="preserve">Recruitment </w:t>
      </w:r>
      <w:r w:rsidR="00194455">
        <w:t>E-mail</w:t>
      </w:r>
      <w:r w:rsidR="00194455" w:rsidRPr="00FC6AAC">
        <w:t xml:space="preserve"> </w:t>
      </w:r>
      <w:r w:rsidR="00C9113A" w:rsidRPr="00FC6AAC">
        <w:t xml:space="preserve">for </w:t>
      </w:r>
      <w:r w:rsidR="00C9113A">
        <w:t>Potential Survey Participants</w:t>
      </w:r>
    </w:p>
    <w:p w14:paraId="070C05F8" w14:textId="51632A70" w:rsidR="00FC6AAC" w:rsidRDefault="00FC6AAC" w:rsidP="00CE688A">
      <w:pPr>
        <w:tabs>
          <w:tab w:val="right" w:leader="dot" w:pos="9360"/>
        </w:tabs>
        <w:spacing w:after="0"/>
      </w:pPr>
      <w:r>
        <w:t xml:space="preserve">Attachment </w:t>
      </w:r>
      <w:r w:rsidR="005658C9">
        <w:t>G</w:t>
      </w:r>
      <w:r>
        <w:t xml:space="preserve"> – </w:t>
      </w:r>
      <w:r w:rsidRPr="00FC6AAC">
        <w:t xml:space="preserve">Institutional Review Board (IRB) </w:t>
      </w:r>
      <w:r w:rsidR="002A7808">
        <w:t>Exemption</w:t>
      </w:r>
      <w:r w:rsidR="002A7808" w:rsidRPr="00FC6AAC">
        <w:t xml:space="preserve"> </w:t>
      </w:r>
      <w:r w:rsidRPr="00FC6AAC">
        <w:t>Letter</w:t>
      </w:r>
    </w:p>
    <w:p w14:paraId="734D9FCE" w14:textId="77777777" w:rsidR="00155E94" w:rsidRDefault="00D21557" w:rsidP="00EC556C">
      <w:pPr>
        <w:rPr>
          <w:b/>
        </w:rPr>
      </w:pPr>
      <w:r>
        <w:rPr>
          <w:b/>
        </w:rPr>
        <w:br w:type="page"/>
      </w:r>
    </w:p>
    <w:p w14:paraId="03F8A231" w14:textId="6D08F5D3" w:rsidR="00155E94" w:rsidRDefault="00155E94" w:rsidP="00EC556C">
      <w:pPr>
        <w:rPr>
          <w:b/>
        </w:rPr>
      </w:pPr>
    </w:p>
    <w:tbl>
      <w:tblPr>
        <w:tblStyle w:val="TableGrid"/>
        <w:tblW w:w="10126" w:type="dxa"/>
        <w:tblLook w:val="04A0" w:firstRow="1" w:lastRow="0" w:firstColumn="1" w:lastColumn="0" w:noHBand="0" w:noVBand="1"/>
      </w:tblPr>
      <w:tblGrid>
        <w:gridCol w:w="10126"/>
      </w:tblGrid>
      <w:tr w:rsidR="00C00DB1" w14:paraId="75634D03" w14:textId="77777777" w:rsidTr="00232588">
        <w:trPr>
          <w:trHeight w:val="1769"/>
        </w:trPr>
        <w:tc>
          <w:tcPr>
            <w:tcW w:w="10126" w:type="dxa"/>
          </w:tcPr>
          <w:p w14:paraId="21FEE18F" w14:textId="77777777" w:rsidR="00C00DB1" w:rsidRPr="00A14583" w:rsidRDefault="00C00DB1" w:rsidP="00C00DB1">
            <w:pPr>
              <w:pStyle w:val="Default"/>
              <w:numPr>
                <w:ilvl w:val="0"/>
                <w:numId w:val="8"/>
              </w:numPr>
              <w:rPr>
                <w:rFonts w:asciiTheme="minorHAnsi" w:hAnsiTheme="minorHAnsi"/>
                <w:color w:val="auto"/>
                <w:sz w:val="22"/>
                <w:szCs w:val="22"/>
              </w:rPr>
            </w:pPr>
            <w:r w:rsidRPr="00A14583">
              <w:rPr>
                <w:rFonts w:asciiTheme="minorHAnsi" w:hAnsiTheme="minorHAnsi"/>
                <w:color w:val="auto"/>
                <w:sz w:val="22"/>
                <w:szCs w:val="22"/>
              </w:rPr>
              <w:t>The data from this study will provide guidance to CDC regarding how best to build partnerships with private</w:t>
            </w:r>
            <w:r>
              <w:rPr>
                <w:rFonts w:asciiTheme="minorHAnsi" w:hAnsiTheme="minorHAnsi"/>
                <w:color w:val="auto"/>
                <w:sz w:val="22"/>
                <w:szCs w:val="22"/>
              </w:rPr>
              <w:t>-sector</w:t>
            </w:r>
            <w:r w:rsidRPr="00A14583">
              <w:rPr>
                <w:rFonts w:asciiTheme="minorHAnsi" w:hAnsiTheme="minorHAnsi"/>
                <w:color w:val="auto"/>
                <w:sz w:val="22"/>
                <w:szCs w:val="22"/>
              </w:rPr>
              <w:t xml:space="preserve"> organizations involved with public health </w:t>
            </w:r>
            <w:r>
              <w:rPr>
                <w:rFonts w:asciiTheme="minorHAnsi" w:hAnsiTheme="minorHAnsi"/>
                <w:color w:val="auto"/>
                <w:sz w:val="22"/>
                <w:szCs w:val="22"/>
              </w:rPr>
              <w:t xml:space="preserve">preparedness and response </w:t>
            </w:r>
            <w:r w:rsidRPr="00A14583">
              <w:rPr>
                <w:rFonts w:asciiTheme="minorHAnsi" w:hAnsiTheme="minorHAnsi"/>
                <w:color w:val="auto"/>
                <w:sz w:val="22"/>
                <w:szCs w:val="22"/>
              </w:rPr>
              <w:t>(PHPR).</w:t>
            </w:r>
          </w:p>
          <w:p w14:paraId="4A1FF594" w14:textId="62AD039B" w:rsidR="00C00DB1" w:rsidRPr="00A14583" w:rsidRDefault="00C00DB1" w:rsidP="00C00DB1">
            <w:pPr>
              <w:pStyle w:val="Default"/>
              <w:numPr>
                <w:ilvl w:val="0"/>
                <w:numId w:val="8"/>
              </w:numPr>
              <w:rPr>
                <w:rStyle w:val="A14"/>
                <w:rFonts w:asciiTheme="minorHAnsi" w:hAnsiTheme="minorHAnsi"/>
                <w:color w:val="auto"/>
                <w:sz w:val="22"/>
                <w:szCs w:val="22"/>
              </w:rPr>
            </w:pPr>
            <w:r w:rsidRPr="00A14583">
              <w:rPr>
                <w:rStyle w:val="A14"/>
                <w:rFonts w:asciiTheme="minorHAnsi" w:hAnsiTheme="minorHAnsi"/>
                <w:color w:val="auto"/>
                <w:sz w:val="22"/>
                <w:szCs w:val="22"/>
              </w:rPr>
              <w:t>This project will provide insights on the incentives, opportunities, barriers, and other characteristics of partnerships that private</w:t>
            </w:r>
            <w:r>
              <w:rPr>
                <w:rStyle w:val="A14"/>
                <w:rFonts w:asciiTheme="minorHAnsi" w:hAnsiTheme="minorHAnsi"/>
                <w:color w:val="auto"/>
                <w:sz w:val="22"/>
                <w:szCs w:val="22"/>
              </w:rPr>
              <w:t>-sector</w:t>
            </w:r>
            <w:r w:rsidRPr="00A14583">
              <w:rPr>
                <w:rStyle w:val="A14"/>
                <w:rFonts w:asciiTheme="minorHAnsi" w:hAnsiTheme="minorHAnsi"/>
                <w:color w:val="auto"/>
                <w:sz w:val="22"/>
                <w:szCs w:val="22"/>
              </w:rPr>
              <w:t xml:space="preserve"> organizations consider when deciding whether or not to partner with CDC and other public health entities</w:t>
            </w:r>
            <w:r w:rsidR="00142306">
              <w:rPr>
                <w:rStyle w:val="A14"/>
                <w:rFonts w:asciiTheme="minorHAnsi" w:hAnsiTheme="minorHAnsi"/>
                <w:color w:val="auto"/>
                <w:sz w:val="22"/>
                <w:szCs w:val="22"/>
              </w:rPr>
              <w:t xml:space="preserve">.  </w:t>
            </w:r>
            <w:r w:rsidRPr="00A14583">
              <w:rPr>
                <w:rStyle w:val="A14"/>
                <w:rFonts w:asciiTheme="minorHAnsi" w:hAnsiTheme="minorHAnsi"/>
                <w:color w:val="auto"/>
                <w:sz w:val="22"/>
                <w:szCs w:val="22"/>
              </w:rPr>
              <w:t xml:space="preserve">Upon completion of the project, the research team will </w:t>
            </w:r>
            <w:r>
              <w:rPr>
                <w:rStyle w:val="A14"/>
                <w:rFonts w:asciiTheme="minorHAnsi" w:hAnsiTheme="minorHAnsi"/>
                <w:color w:val="auto"/>
                <w:sz w:val="22"/>
                <w:szCs w:val="22"/>
              </w:rPr>
              <w:t>generate</w:t>
            </w:r>
            <w:r w:rsidRPr="00A14583">
              <w:rPr>
                <w:rStyle w:val="A14"/>
                <w:rFonts w:asciiTheme="minorHAnsi" w:hAnsiTheme="minorHAnsi"/>
                <w:color w:val="auto"/>
                <w:sz w:val="22"/>
                <w:szCs w:val="22"/>
              </w:rPr>
              <w:t xml:space="preserve"> a final report that includes a fully-developed partnering framework, recommendations, and an example high level implementation plan.</w:t>
            </w:r>
          </w:p>
          <w:p w14:paraId="471D054F" w14:textId="7F13FC04" w:rsidR="00C00DB1" w:rsidRPr="00A14583" w:rsidRDefault="00C00DB1" w:rsidP="00C00DB1">
            <w:pPr>
              <w:pStyle w:val="NoSpacing"/>
              <w:numPr>
                <w:ilvl w:val="0"/>
                <w:numId w:val="8"/>
              </w:numPr>
              <w:rPr>
                <w:rStyle w:val="A14"/>
                <w:rFonts w:ascii="Courier Std" w:hAnsi="Courier Std"/>
                <w:color w:val="auto"/>
                <w:sz w:val="24"/>
                <w:szCs w:val="24"/>
              </w:rPr>
            </w:pPr>
            <w:r w:rsidRPr="00A14583">
              <w:rPr>
                <w:rStyle w:val="A14"/>
                <w:color w:val="auto"/>
              </w:rPr>
              <w:t xml:space="preserve">This study has two data collection components: </w:t>
            </w:r>
            <w:r w:rsidR="002A412E">
              <w:rPr>
                <w:rStyle w:val="A14"/>
                <w:color w:val="auto"/>
              </w:rPr>
              <w:t>a series of</w:t>
            </w:r>
            <w:r w:rsidRPr="00A14583">
              <w:rPr>
                <w:rStyle w:val="A14"/>
                <w:color w:val="auto"/>
              </w:rPr>
              <w:t xml:space="preserve"> interviews and one general online survey </w:t>
            </w:r>
            <w:r>
              <w:rPr>
                <w:rStyle w:val="A14"/>
                <w:color w:val="auto"/>
              </w:rPr>
              <w:t>for decision</w:t>
            </w:r>
            <w:r w:rsidR="00265CF8">
              <w:rPr>
                <w:rStyle w:val="A14"/>
                <w:color w:val="auto"/>
              </w:rPr>
              <w:t>-</w:t>
            </w:r>
            <w:r w:rsidRPr="00A14583">
              <w:rPr>
                <w:rStyle w:val="A14"/>
                <w:color w:val="auto"/>
              </w:rPr>
              <w:t xml:space="preserve">makers in all sectors.  </w:t>
            </w:r>
            <w:r w:rsidR="00232588">
              <w:rPr>
                <w:rStyle w:val="A14"/>
                <w:color w:val="auto"/>
              </w:rPr>
              <w:t>Interviews will be conducted in person or over the phone and t</w:t>
            </w:r>
            <w:r w:rsidRPr="00A14583">
              <w:rPr>
                <w:rStyle w:val="A14"/>
                <w:color w:val="auto"/>
              </w:rPr>
              <w:t>he survey will be conducted using Qualtrics.</w:t>
            </w:r>
          </w:p>
          <w:p w14:paraId="3F6179AC" w14:textId="1E9A07AB" w:rsidR="00C00DB1" w:rsidRPr="00A14583" w:rsidRDefault="00C00DB1" w:rsidP="00C00DB1">
            <w:pPr>
              <w:pStyle w:val="NoSpacing"/>
              <w:numPr>
                <w:ilvl w:val="0"/>
                <w:numId w:val="8"/>
              </w:numPr>
              <w:rPr>
                <w:rStyle w:val="A14"/>
                <w:color w:val="auto"/>
              </w:rPr>
            </w:pPr>
            <w:r w:rsidRPr="00A14583">
              <w:rPr>
                <w:rStyle w:val="A14"/>
                <w:color w:val="auto"/>
              </w:rPr>
              <w:t xml:space="preserve">The subpopulations to be studied </w:t>
            </w:r>
            <w:r w:rsidR="002A412E">
              <w:rPr>
                <w:rStyle w:val="A14"/>
                <w:color w:val="auto"/>
              </w:rPr>
              <w:t>using</w:t>
            </w:r>
            <w:r w:rsidRPr="00A14583">
              <w:rPr>
                <w:rStyle w:val="A14"/>
                <w:color w:val="auto"/>
              </w:rPr>
              <w:t xml:space="preserve"> </w:t>
            </w:r>
            <w:r w:rsidR="002A412E">
              <w:rPr>
                <w:rStyle w:val="A14"/>
                <w:color w:val="auto"/>
              </w:rPr>
              <w:t xml:space="preserve">the interview campaign and survey </w:t>
            </w:r>
            <w:r w:rsidRPr="00A14583">
              <w:rPr>
                <w:rStyle w:val="A14"/>
                <w:color w:val="auto"/>
              </w:rPr>
              <w:t>are decision</w:t>
            </w:r>
            <w:r w:rsidR="00265CF8">
              <w:rPr>
                <w:rStyle w:val="A14"/>
                <w:color w:val="auto"/>
              </w:rPr>
              <w:t>-</w:t>
            </w:r>
            <w:r w:rsidRPr="00A14583">
              <w:rPr>
                <w:rStyle w:val="A14"/>
                <w:color w:val="auto"/>
              </w:rPr>
              <w:t>makers in the following sectors: pharmaceutical/life sciences,</w:t>
            </w:r>
            <w:r w:rsidR="00412253">
              <w:rPr>
                <w:rStyle w:val="A14"/>
                <w:color w:val="auto"/>
              </w:rPr>
              <w:t xml:space="preserve"> health IT/mobile, </w:t>
            </w:r>
            <w:r w:rsidRPr="00A14583">
              <w:rPr>
                <w:rStyle w:val="A14"/>
                <w:color w:val="auto"/>
              </w:rPr>
              <w:t>retailers</w:t>
            </w:r>
            <w:r w:rsidR="00412253">
              <w:rPr>
                <w:rStyle w:val="A14"/>
                <w:color w:val="auto"/>
              </w:rPr>
              <w:t>/distributors</w:t>
            </w:r>
            <w:r w:rsidRPr="00A14583">
              <w:rPr>
                <w:rStyle w:val="A14"/>
                <w:color w:val="auto"/>
              </w:rPr>
              <w:t>, academia/</w:t>
            </w:r>
            <w:r w:rsidR="00412253">
              <w:rPr>
                <w:rStyle w:val="A14"/>
                <w:color w:val="auto"/>
              </w:rPr>
              <w:t>research organization, hospital/healthcare provider</w:t>
            </w:r>
            <w:r w:rsidRPr="00A14583">
              <w:rPr>
                <w:rStyle w:val="A14"/>
                <w:color w:val="auto"/>
              </w:rPr>
              <w:t xml:space="preserve">, health insurance, logistics/transportation, and </w:t>
            </w:r>
            <w:r w:rsidR="00412253">
              <w:rPr>
                <w:rStyle w:val="A14"/>
                <w:color w:val="auto"/>
              </w:rPr>
              <w:t>charitable organization/foundation</w:t>
            </w:r>
            <w:r w:rsidRPr="00A14583">
              <w:rPr>
                <w:rStyle w:val="A14"/>
                <w:color w:val="auto"/>
              </w:rPr>
              <w:t>.</w:t>
            </w:r>
          </w:p>
          <w:p w14:paraId="0AB24DE7" w14:textId="005EE8C4" w:rsidR="00C00DB1" w:rsidRPr="000C6250" w:rsidRDefault="00C00DB1" w:rsidP="002C22AE">
            <w:pPr>
              <w:pStyle w:val="NoSpacing"/>
              <w:numPr>
                <w:ilvl w:val="0"/>
                <w:numId w:val="8"/>
              </w:numPr>
              <w:rPr>
                <w:b/>
              </w:rPr>
            </w:pPr>
            <w:r w:rsidRPr="00A14583">
              <w:rPr>
                <w:rStyle w:val="A14"/>
                <w:rFonts w:cstheme="minorBidi"/>
                <w:color w:val="auto"/>
              </w:rPr>
              <w:t>Interviews will be analyzed using “Voice of the Customer” techniques which focus on deriving stakeholder wants and needs from a service-oriented lens.  The semi-quantitative data gathered via the survey (</w:t>
            </w:r>
            <w:r w:rsidR="002C22AE">
              <w:rPr>
                <w:rStyle w:val="A14"/>
                <w:rFonts w:cstheme="minorBidi"/>
                <w:color w:val="auto"/>
              </w:rPr>
              <w:t>e.g., Likert Scores</w:t>
            </w:r>
            <w:r w:rsidRPr="00A14583">
              <w:rPr>
                <w:rStyle w:val="A14"/>
                <w:rFonts w:cstheme="minorBidi"/>
                <w:color w:val="auto"/>
              </w:rPr>
              <w:t xml:space="preserve">) will be fairly straightforward and simple numerical </w:t>
            </w:r>
            <w:r w:rsidR="002C22AE">
              <w:rPr>
                <w:rStyle w:val="A14"/>
                <w:rFonts w:cstheme="minorBidi"/>
                <w:color w:val="auto"/>
              </w:rPr>
              <w:t>measurements</w:t>
            </w:r>
            <w:r w:rsidRPr="00A14583">
              <w:rPr>
                <w:rStyle w:val="A14"/>
                <w:rFonts w:cstheme="minorBidi"/>
                <w:color w:val="auto"/>
              </w:rPr>
              <w:t xml:space="preserve"> (</w:t>
            </w:r>
            <w:r w:rsidR="002C22AE">
              <w:rPr>
                <w:rStyle w:val="A14"/>
                <w:rFonts w:cstheme="minorBidi"/>
                <w:color w:val="auto"/>
              </w:rPr>
              <w:t>e.g., means, frequencies</w:t>
            </w:r>
            <w:r w:rsidRPr="00A14583">
              <w:rPr>
                <w:rStyle w:val="A14"/>
                <w:rFonts w:cstheme="minorBidi"/>
                <w:color w:val="auto"/>
              </w:rPr>
              <w:t>) will be utilized</w:t>
            </w:r>
            <w:r w:rsidR="002C22AE">
              <w:rPr>
                <w:rStyle w:val="A14"/>
                <w:rFonts w:cstheme="minorBidi"/>
                <w:color w:val="auto"/>
              </w:rPr>
              <w:t xml:space="preserve"> to illustrate partnership preferences</w:t>
            </w:r>
            <w:r w:rsidRPr="00A14583">
              <w:rPr>
                <w:rStyle w:val="A14"/>
                <w:rFonts w:cstheme="minorBidi"/>
                <w:color w:val="auto"/>
              </w:rPr>
              <w:t>.</w:t>
            </w:r>
          </w:p>
        </w:tc>
      </w:tr>
    </w:tbl>
    <w:p w14:paraId="445A7302" w14:textId="77777777" w:rsidR="000C6250" w:rsidRDefault="000C6250" w:rsidP="00EC556C">
      <w:pPr>
        <w:rPr>
          <w:b/>
        </w:rPr>
      </w:pPr>
    </w:p>
    <w:p w14:paraId="7472EB1E" w14:textId="0CA8DC21" w:rsidR="005D0293" w:rsidRPr="001E3631" w:rsidRDefault="001E3631" w:rsidP="00506812">
      <w:pPr>
        <w:rPr>
          <w:rFonts w:asciiTheme="majorHAnsi" w:hAnsiTheme="majorHAnsi"/>
          <w:b/>
          <w:sz w:val="24"/>
          <w:szCs w:val="24"/>
        </w:rPr>
      </w:pPr>
      <w:r w:rsidRPr="001E3631">
        <w:rPr>
          <w:rFonts w:asciiTheme="majorHAnsi" w:hAnsiTheme="majorHAnsi"/>
          <w:b/>
          <w:sz w:val="24"/>
          <w:szCs w:val="24"/>
        </w:rPr>
        <w:t>S</w:t>
      </w:r>
      <w:r>
        <w:rPr>
          <w:rFonts w:asciiTheme="majorHAnsi" w:hAnsiTheme="majorHAnsi"/>
          <w:b/>
          <w:sz w:val="24"/>
          <w:szCs w:val="24"/>
        </w:rPr>
        <w:t>upporting</w:t>
      </w:r>
      <w:r w:rsidRPr="001E3631">
        <w:rPr>
          <w:rFonts w:asciiTheme="majorHAnsi" w:hAnsiTheme="majorHAnsi"/>
          <w:b/>
          <w:sz w:val="24"/>
          <w:szCs w:val="24"/>
        </w:rPr>
        <w:t xml:space="preserve"> S</w:t>
      </w:r>
      <w:r>
        <w:rPr>
          <w:rFonts w:asciiTheme="majorHAnsi" w:hAnsiTheme="majorHAnsi"/>
          <w:b/>
          <w:sz w:val="24"/>
          <w:szCs w:val="24"/>
        </w:rPr>
        <w:t>tatement</w:t>
      </w:r>
      <w:r w:rsidRPr="001E3631">
        <w:rPr>
          <w:rFonts w:asciiTheme="majorHAnsi" w:hAnsiTheme="majorHAnsi"/>
          <w:b/>
          <w:sz w:val="24"/>
          <w:szCs w:val="24"/>
        </w:rPr>
        <w:t xml:space="preserve"> Part A:</w:t>
      </w:r>
      <w:r w:rsidR="00EC556C" w:rsidRPr="001E3631">
        <w:rPr>
          <w:rFonts w:asciiTheme="majorHAnsi" w:hAnsiTheme="majorHAnsi"/>
          <w:b/>
          <w:sz w:val="24"/>
          <w:szCs w:val="24"/>
        </w:rPr>
        <w:t xml:space="preserve"> Justification</w:t>
      </w:r>
    </w:p>
    <w:p w14:paraId="59F0A56F" w14:textId="000775C9" w:rsidR="00CE688A" w:rsidRPr="00CE688A" w:rsidRDefault="00EC556C" w:rsidP="00CE688A">
      <w:pPr>
        <w:pStyle w:val="Heading1"/>
        <w:rPr>
          <w:b/>
          <w:color w:val="000000" w:themeColor="text1"/>
          <w:sz w:val="24"/>
          <w:szCs w:val="24"/>
        </w:rPr>
      </w:pPr>
      <w:bookmarkStart w:id="1" w:name="_Toc468709675"/>
      <w:r w:rsidRPr="00CE688A">
        <w:rPr>
          <w:b/>
          <w:color w:val="000000" w:themeColor="text1"/>
          <w:sz w:val="24"/>
          <w:szCs w:val="24"/>
        </w:rPr>
        <w:t>1. Circumstances Making the Collection of Information Necessary</w:t>
      </w:r>
      <w:bookmarkEnd w:id="1"/>
    </w:p>
    <w:p w14:paraId="23BD4018" w14:textId="2EE6C467" w:rsidR="008F7FF8" w:rsidRPr="00A14583" w:rsidRDefault="005428A3" w:rsidP="008F7FF8">
      <w:r>
        <w:t xml:space="preserve">The </w:t>
      </w:r>
      <w:r w:rsidR="000D6CC6" w:rsidRPr="00A14583">
        <w:t>C</w:t>
      </w:r>
      <w:r w:rsidR="00EC556C" w:rsidRPr="00A14583">
        <w:t xml:space="preserve">enters for Disease Control (CDC) request a </w:t>
      </w:r>
      <w:r w:rsidR="00DE0603">
        <w:t>one year</w:t>
      </w:r>
      <w:r w:rsidR="00EC556C" w:rsidRPr="00A14583">
        <w:t xml:space="preserve"> clearance from the Office of Management and Budget (OMB) for a new </w:t>
      </w:r>
      <w:r w:rsidR="008F7FF8" w:rsidRPr="00A14583">
        <w:t>I</w:t>
      </w:r>
      <w:r w:rsidR="00EC556C" w:rsidRPr="00A14583">
        <w:t xml:space="preserve">nformation </w:t>
      </w:r>
      <w:r w:rsidR="008F7FF8" w:rsidRPr="00A14583">
        <w:t>C</w:t>
      </w:r>
      <w:r w:rsidR="00EC556C" w:rsidRPr="00A14583">
        <w:t xml:space="preserve">ollection </w:t>
      </w:r>
      <w:r w:rsidR="008F7FF8" w:rsidRPr="00A14583">
        <w:t>R</w:t>
      </w:r>
      <w:r w:rsidR="00EC556C" w:rsidRPr="00A14583">
        <w:t>equest</w:t>
      </w:r>
      <w:r w:rsidR="008F7FF8" w:rsidRPr="00A14583">
        <w:t xml:space="preserve"> (ICR)</w:t>
      </w:r>
      <w:r w:rsidR="00EC556C" w:rsidRPr="00A14583">
        <w:t xml:space="preserve"> under the Paperwork Reduction Act </w:t>
      </w:r>
      <w:r w:rsidR="008F7FF8" w:rsidRPr="00A14583">
        <w:t xml:space="preserve">(PRA) </w:t>
      </w:r>
      <w:r w:rsidR="00EC556C" w:rsidRPr="00A14583">
        <w:t>of 199</w:t>
      </w:r>
      <w:r w:rsidR="008F7FF8" w:rsidRPr="00A14583">
        <w:t>5</w:t>
      </w:r>
      <w:r w:rsidR="00AF6E3B">
        <w:t xml:space="preserve">. </w:t>
      </w:r>
      <w:r w:rsidR="008F7FF8" w:rsidRPr="00A14583">
        <w:t xml:space="preserve">This information request will be part of </w:t>
      </w:r>
      <w:r w:rsidR="003E250D">
        <w:t xml:space="preserve">a </w:t>
      </w:r>
      <w:r w:rsidR="00841219">
        <w:t>study that</w:t>
      </w:r>
      <w:r w:rsidR="008F7FF8" w:rsidRPr="00A14583">
        <w:t xml:space="preserve"> aims to </w:t>
      </w:r>
      <w:r w:rsidR="00A14583">
        <w:t>understand and</w:t>
      </w:r>
      <w:r w:rsidR="008F7FF8" w:rsidRPr="00A14583">
        <w:t xml:space="preserve"> </w:t>
      </w:r>
      <w:r w:rsidR="00627CC4">
        <w:t xml:space="preserve">determine how to </w:t>
      </w:r>
      <w:r w:rsidR="008F7FF8" w:rsidRPr="00A14583">
        <w:t>encourage public</w:t>
      </w:r>
      <w:r w:rsidR="003E250D">
        <w:t>-</w:t>
      </w:r>
      <w:r w:rsidR="008F7FF8" w:rsidRPr="00A14583">
        <w:t xml:space="preserve">private partnerships (PPP) in </w:t>
      </w:r>
      <w:r w:rsidR="000D6CC6" w:rsidRPr="00A14583">
        <w:t xml:space="preserve">the </w:t>
      </w:r>
      <w:r w:rsidR="008F7FF8" w:rsidRPr="00A14583">
        <w:t>public health p</w:t>
      </w:r>
      <w:r w:rsidR="000D6CC6" w:rsidRPr="00A14583">
        <w:t>reparedness and response (PHPR) space</w:t>
      </w:r>
      <w:r w:rsidR="008F7FF8" w:rsidRPr="00A14583">
        <w:t xml:space="preserve">. </w:t>
      </w:r>
    </w:p>
    <w:p w14:paraId="2E509DE1" w14:textId="1097664F" w:rsidR="006E46CF" w:rsidRDefault="006E46CF" w:rsidP="00EC556C">
      <w:r w:rsidRPr="00CB6306">
        <w:t xml:space="preserve">The overall project objective is to develop a novel framework, informed by industry and government perspectives and experiences, </w:t>
      </w:r>
      <w:r w:rsidR="000D6CC6" w:rsidRPr="00CB6306">
        <w:t>that</w:t>
      </w:r>
      <w:r w:rsidRPr="00CB6306">
        <w:t xml:space="preserve"> CDC and </w:t>
      </w:r>
      <w:r w:rsidR="000D6CC6" w:rsidRPr="00CB6306">
        <w:t xml:space="preserve">other </w:t>
      </w:r>
      <w:r w:rsidR="00E447E0">
        <w:t xml:space="preserve">government </w:t>
      </w:r>
      <w:r w:rsidRPr="00CB6306">
        <w:t xml:space="preserve">public health stakeholders </w:t>
      </w:r>
      <w:r w:rsidR="000D6CC6" w:rsidRPr="00CB6306">
        <w:t xml:space="preserve">can use </w:t>
      </w:r>
      <w:r w:rsidRPr="00CB6306">
        <w:t xml:space="preserve">to </w:t>
      </w:r>
      <w:r w:rsidR="00CB6306" w:rsidRPr="00CB6306">
        <w:t>optimally structure public-private partnerships for</w:t>
      </w:r>
      <w:r w:rsidRPr="00CB6306">
        <w:t xml:space="preserve"> </w:t>
      </w:r>
      <w:r w:rsidR="000D6CC6" w:rsidRPr="00CB6306">
        <w:t>PHPR</w:t>
      </w:r>
      <w:r w:rsidRPr="00CB6306">
        <w:t xml:space="preserve"> activities</w:t>
      </w:r>
      <w:r w:rsidR="00AF6E3B">
        <w:t xml:space="preserve">. </w:t>
      </w:r>
      <w:r w:rsidR="00FA75E8">
        <w:t xml:space="preserve">The outcomes of this research </w:t>
      </w:r>
      <w:r w:rsidR="003B03DC">
        <w:t>may be considered</w:t>
      </w:r>
      <w:r w:rsidR="00FA75E8">
        <w:t xml:space="preserve"> generalizable, therefore, this new proposed information collection is required since it is not eligible for generic clearance mechanisms available at CDC. </w:t>
      </w:r>
      <w:r w:rsidR="000D6CC6" w:rsidRPr="00CB6306">
        <w:t>Existing research examining</w:t>
      </w:r>
      <w:r w:rsidRPr="00CB6306">
        <w:t xml:space="preserve"> </w:t>
      </w:r>
      <w:r w:rsidR="00CB6306">
        <w:t>partnerships</w:t>
      </w:r>
      <w:r w:rsidRPr="00CB6306">
        <w:t xml:space="preserve"> has </w:t>
      </w:r>
      <w:r w:rsidR="00CB6306">
        <w:t xml:space="preserve">focused on providing </w:t>
      </w:r>
      <w:r w:rsidRPr="00CB6306">
        <w:t>general principles for partnering</w:t>
      </w:r>
      <w:r w:rsidR="000D6CC6" w:rsidRPr="00CB6306">
        <w:t xml:space="preserve"> between generic organizations</w:t>
      </w:r>
      <w:r w:rsidRPr="00CB6306">
        <w:t xml:space="preserve">, but it has not consistently identified </w:t>
      </w:r>
      <w:r w:rsidR="006F27B6" w:rsidRPr="00CB6306">
        <w:t xml:space="preserve">the </w:t>
      </w:r>
      <w:r w:rsidRPr="00CB6306">
        <w:t xml:space="preserve">specific </w:t>
      </w:r>
      <w:r w:rsidR="006F27B6" w:rsidRPr="00CB6306">
        <w:t xml:space="preserve">institutional </w:t>
      </w:r>
      <w:r w:rsidRPr="00CB6306">
        <w:t>mechanisms and incentives</w:t>
      </w:r>
      <w:r w:rsidR="000D6CC6" w:rsidRPr="00CB6306">
        <w:t xml:space="preserve"> that allow </w:t>
      </w:r>
      <w:r w:rsidR="00CB6306">
        <w:t>PPPs</w:t>
      </w:r>
      <w:r w:rsidR="000D6CC6" w:rsidRPr="00CB6306">
        <w:t xml:space="preserve"> to succeed</w:t>
      </w:r>
      <w:r w:rsidR="00653431">
        <w:t xml:space="preserve"> across industries</w:t>
      </w:r>
      <w:r w:rsidRPr="00CB6306">
        <w:t xml:space="preserve">. </w:t>
      </w:r>
      <w:r w:rsidR="00B2151D" w:rsidRPr="00CC4ACF">
        <w:t>This</w:t>
      </w:r>
      <w:r w:rsidRPr="00CC4ACF">
        <w:t xml:space="preserve"> research is </w:t>
      </w:r>
      <w:r w:rsidR="00B2151D" w:rsidRPr="00CC4ACF">
        <w:t>limited when</w:t>
      </w:r>
      <w:r w:rsidRPr="00CC4ACF">
        <w:t xml:space="preserve"> discussing the unique ways in which </w:t>
      </w:r>
      <w:r w:rsidR="00653431">
        <w:t>public-private</w:t>
      </w:r>
      <w:r w:rsidRPr="00CC4ACF">
        <w:t xml:space="preserve"> partnerships operate</w:t>
      </w:r>
      <w:r w:rsidR="000D6CC6" w:rsidRPr="00CC4ACF">
        <w:t>,</w:t>
      </w:r>
      <w:r w:rsidRPr="00CC4ACF">
        <w:t xml:space="preserve"> and </w:t>
      </w:r>
      <w:r w:rsidR="000D6CC6" w:rsidRPr="00CC4ACF">
        <w:t>there is little specific guidance regarding what mechanisms</w:t>
      </w:r>
      <w:r w:rsidR="006F27B6" w:rsidRPr="00CC4ACF">
        <w:t xml:space="preserve"> should be pursued when combining private and public operations</w:t>
      </w:r>
      <w:r w:rsidR="00AF6E3B">
        <w:t xml:space="preserve">. </w:t>
      </w:r>
      <w:r w:rsidR="005761D3">
        <w:t xml:space="preserve">In addition, </w:t>
      </w:r>
      <w:r w:rsidR="000D6CC6" w:rsidRPr="00CB6306">
        <w:t xml:space="preserve">existing research provides little guidance </w:t>
      </w:r>
      <w:r w:rsidR="006F27B6" w:rsidRPr="00CB6306">
        <w:t xml:space="preserve">regarding what </w:t>
      </w:r>
      <w:r w:rsidR="000D6CC6" w:rsidRPr="00CB6306">
        <w:t>private</w:t>
      </w:r>
      <w:r w:rsidR="00653431">
        <w:t>-sector</w:t>
      </w:r>
      <w:r w:rsidR="000D6CC6" w:rsidRPr="00CB6306">
        <w:t xml:space="preserve"> organizations </w:t>
      </w:r>
      <w:r w:rsidR="00653431">
        <w:t xml:space="preserve">in varied industries </w:t>
      </w:r>
      <w:r w:rsidR="00D8336B">
        <w:t xml:space="preserve">actually </w:t>
      </w:r>
      <w:r w:rsidR="006F27B6" w:rsidRPr="00CB6306">
        <w:t xml:space="preserve">prefer </w:t>
      </w:r>
      <w:r w:rsidR="000D6CC6" w:rsidRPr="00CB6306">
        <w:t xml:space="preserve">when </w:t>
      </w:r>
      <w:r w:rsidR="00CB6306" w:rsidRPr="00CB6306">
        <w:t>presented with</w:t>
      </w:r>
      <w:r w:rsidR="00B15E07">
        <w:t xml:space="preserve"> different options for potential partnership structures</w:t>
      </w:r>
      <w:r w:rsidR="000D6CC6" w:rsidRPr="00CB6306">
        <w:t>.</w:t>
      </w:r>
      <w:r w:rsidR="005761D3" w:rsidRPr="005761D3">
        <w:t xml:space="preserve"> </w:t>
      </w:r>
      <w:r w:rsidR="005761D3" w:rsidRPr="00CC4ACF">
        <w:t>Furthermore</w:t>
      </w:r>
      <w:r w:rsidR="005761D3" w:rsidRPr="00CB6306">
        <w:t xml:space="preserve">, </w:t>
      </w:r>
      <w:r w:rsidR="005761D3">
        <w:t>little of the existing research is specific to public health preparedness and response and the guidance it provides is not oriented towards public health practitioners such as CDC program leaders who need actionable, n</w:t>
      </w:r>
      <w:r w:rsidR="00265CF8">
        <w:t>ormative, guidance for decision-</w:t>
      </w:r>
      <w:r w:rsidR="005761D3">
        <w:t>making.</w:t>
      </w:r>
    </w:p>
    <w:p w14:paraId="65C58D50" w14:textId="346A8C7B" w:rsidR="00CC4ACF" w:rsidRPr="00C107CE" w:rsidRDefault="00CC4ACF" w:rsidP="00EC556C">
      <w:r>
        <w:t xml:space="preserve">This project will address </w:t>
      </w:r>
      <w:r w:rsidR="001A23FA">
        <w:t xml:space="preserve">these </w:t>
      </w:r>
      <w:r>
        <w:t>gap</w:t>
      </w:r>
      <w:r w:rsidR="001A23FA">
        <w:t>s</w:t>
      </w:r>
      <w:r>
        <w:t xml:space="preserve"> in the literature by collecting information directly from decision</w:t>
      </w:r>
      <w:r w:rsidR="00D162B0">
        <w:t>-</w:t>
      </w:r>
      <w:r>
        <w:t xml:space="preserve">makers </w:t>
      </w:r>
      <w:r w:rsidR="001A23FA">
        <w:t xml:space="preserve">in </w:t>
      </w:r>
      <w:r>
        <w:t>private</w:t>
      </w:r>
      <w:r w:rsidR="001A23FA">
        <w:t>-sector</w:t>
      </w:r>
      <w:r>
        <w:t xml:space="preserve"> organizations</w:t>
      </w:r>
      <w:r w:rsidR="00064911">
        <w:t>.  The initiative will target those</w:t>
      </w:r>
      <w:r>
        <w:t xml:space="preserve"> </w:t>
      </w:r>
      <w:r w:rsidR="001A23FA">
        <w:t xml:space="preserve">working in the </w:t>
      </w:r>
      <w:r w:rsidR="001A23FA" w:rsidRPr="00CB6306">
        <w:t>PHPR</w:t>
      </w:r>
      <w:r w:rsidR="001A23FA">
        <w:t xml:space="preserve"> space and </w:t>
      </w:r>
      <w:r w:rsidR="00064911">
        <w:t xml:space="preserve">those </w:t>
      </w:r>
      <w:r w:rsidR="001A23FA">
        <w:t>whose activities, products, and services support public health emergency preparedness (PHEP)</w:t>
      </w:r>
      <w:r w:rsidR="00AF6E3B">
        <w:t xml:space="preserve">. </w:t>
      </w:r>
      <w:r>
        <w:t>The research team will use a series of detailed interviews and a larger survey to identify the specific wants and needs of organizations that currently partner or could potentially partner with CDC in the future</w:t>
      </w:r>
      <w:r w:rsidR="00AF6E3B">
        <w:t xml:space="preserve">. </w:t>
      </w:r>
      <w:r>
        <w:t xml:space="preserve">This information will be used to </w:t>
      </w:r>
      <w:r w:rsidR="009200A7">
        <w:t>create a f</w:t>
      </w:r>
      <w:r w:rsidR="009200A7" w:rsidRPr="009200A7">
        <w:t xml:space="preserve">inal report including </w:t>
      </w:r>
      <w:r w:rsidR="009200A7">
        <w:t xml:space="preserve">a </w:t>
      </w:r>
      <w:r w:rsidR="009200A7" w:rsidRPr="009200A7">
        <w:t>completed partnering framework, recommendations, and example implementation plan</w:t>
      </w:r>
      <w:r w:rsidR="00972521">
        <w:t>, a</w:t>
      </w:r>
      <w:r w:rsidR="00972521" w:rsidRPr="00972521">
        <w:t>ll designed for practical use by program leaders, policymakers, and other practitioners</w:t>
      </w:r>
      <w:r w:rsidR="00AF6E3B">
        <w:t xml:space="preserve">. </w:t>
      </w:r>
      <w:r w:rsidR="009200A7">
        <w:t>The findings will be circulated within CDC and shared with o</w:t>
      </w:r>
      <w:r w:rsidR="009200A7" w:rsidRPr="009200A7">
        <w:t xml:space="preserve">ther HHS agencies involved in </w:t>
      </w:r>
      <w:r w:rsidR="00E53AB3">
        <w:t>PHEP</w:t>
      </w:r>
      <w:r w:rsidR="00B62711">
        <w:t>/PHPR</w:t>
      </w:r>
      <w:r w:rsidR="00E53AB3">
        <w:t>.</w:t>
      </w:r>
    </w:p>
    <w:p w14:paraId="66CB2853" w14:textId="425DB358" w:rsidR="006E46CF" w:rsidRPr="009200A7" w:rsidRDefault="006F27B6" w:rsidP="00EC556C">
      <w:r w:rsidRPr="009200A7">
        <w:t>Ultimately, t</w:t>
      </w:r>
      <w:r w:rsidR="006E46CF" w:rsidRPr="009200A7">
        <w:t xml:space="preserve">his project will provide </w:t>
      </w:r>
      <w:r w:rsidR="009200A7" w:rsidRPr="009200A7">
        <w:t>an effective partnership incentive framework</w:t>
      </w:r>
      <w:r w:rsidR="006E46CF" w:rsidRPr="009200A7">
        <w:t xml:space="preserve"> that CDC and </w:t>
      </w:r>
      <w:r w:rsidRPr="009200A7">
        <w:t xml:space="preserve">other </w:t>
      </w:r>
      <w:r w:rsidR="006E46CF" w:rsidRPr="009200A7">
        <w:t>public health stakeholders</w:t>
      </w:r>
      <w:r w:rsidR="00E53AB3">
        <w:t xml:space="preserve"> in the public sector</w:t>
      </w:r>
      <w:r w:rsidR="006E46CF" w:rsidRPr="009200A7">
        <w:t xml:space="preserve"> can leverage </w:t>
      </w:r>
      <w:r w:rsidRPr="009200A7">
        <w:t xml:space="preserve">when building the </w:t>
      </w:r>
      <w:r w:rsidR="006E46CF" w:rsidRPr="009200A7">
        <w:t xml:space="preserve">public-private partnerships </w:t>
      </w:r>
      <w:r w:rsidRPr="009200A7">
        <w:t xml:space="preserve">necessary </w:t>
      </w:r>
      <w:r w:rsidR="00E53AB3">
        <w:t xml:space="preserve">to develop and improve PHEP </w:t>
      </w:r>
      <w:r w:rsidR="001E0724">
        <w:t>capabilities</w:t>
      </w:r>
      <w:r w:rsidR="00AF6E3B">
        <w:t xml:space="preserve">. </w:t>
      </w:r>
      <w:r w:rsidRPr="009200A7">
        <w:t xml:space="preserve">It will also allow </w:t>
      </w:r>
      <w:r w:rsidR="006E46CF" w:rsidRPr="009200A7">
        <w:t xml:space="preserve">CDC to </w:t>
      </w:r>
      <w:r w:rsidR="009200A7" w:rsidRPr="009200A7">
        <w:t>enhance its approach to stakeholder collaboration and engagement</w:t>
      </w:r>
      <w:r w:rsidR="00E53AB3">
        <w:t>,</w:t>
      </w:r>
      <w:r w:rsidR="009200A7" w:rsidRPr="009200A7">
        <w:t xml:space="preserve"> and provide actionable goals for public-private partnerships and health system resilience.</w:t>
      </w:r>
    </w:p>
    <w:p w14:paraId="1AD6F86F" w14:textId="77777777" w:rsidR="00EC556C" w:rsidRPr="00CC4ACF" w:rsidRDefault="00EC556C" w:rsidP="00EC556C">
      <w:r w:rsidRPr="00CC4ACF">
        <w:t xml:space="preserve">The data collection is authorized by Section 301 of the Public Health Service Act (42 U.S.C. 241), included in this request as </w:t>
      </w:r>
      <w:r w:rsidR="00B26E92" w:rsidRPr="00CC4ACF">
        <w:rPr>
          <w:b/>
        </w:rPr>
        <w:t xml:space="preserve">Attachment </w:t>
      </w:r>
      <w:r w:rsidRPr="00CC4ACF">
        <w:rPr>
          <w:b/>
        </w:rPr>
        <w:t>A</w:t>
      </w:r>
      <w:r w:rsidR="0078513A" w:rsidRPr="00CC4ACF">
        <w:rPr>
          <w:b/>
        </w:rPr>
        <w:t xml:space="preserve"> – Authorizing Legislation</w:t>
      </w:r>
      <w:r w:rsidRPr="00CC4ACF">
        <w:t>.</w:t>
      </w:r>
    </w:p>
    <w:p w14:paraId="44056C9A" w14:textId="77777777" w:rsidR="00EC556C" w:rsidRPr="00CE688A" w:rsidRDefault="00EC556C" w:rsidP="00CE688A">
      <w:pPr>
        <w:pStyle w:val="Heading1"/>
        <w:rPr>
          <w:b/>
          <w:color w:val="000000" w:themeColor="text1"/>
          <w:sz w:val="24"/>
          <w:szCs w:val="24"/>
        </w:rPr>
      </w:pPr>
      <w:bookmarkStart w:id="2" w:name="_Toc468709676"/>
      <w:r w:rsidRPr="00CE688A">
        <w:rPr>
          <w:b/>
          <w:color w:val="000000" w:themeColor="text1"/>
          <w:sz w:val="24"/>
          <w:szCs w:val="24"/>
        </w:rPr>
        <w:t>2. Purpose and Use of the Information Collection</w:t>
      </w:r>
      <w:bookmarkEnd w:id="2"/>
    </w:p>
    <w:p w14:paraId="1F242537" w14:textId="36AE285F" w:rsidR="009200A7" w:rsidRDefault="009200A7" w:rsidP="00EC556C">
      <w:pPr>
        <w:rPr>
          <w:color w:val="FF0000"/>
        </w:rPr>
      </w:pPr>
      <w:r w:rsidRPr="009200A7">
        <w:t>This is a new Information Collection Request (ICR)</w:t>
      </w:r>
      <w:r>
        <w:t xml:space="preserve"> and</w:t>
      </w:r>
      <w:r w:rsidR="001D6F14">
        <w:t xml:space="preserve"> this request is</w:t>
      </w:r>
      <w:r>
        <w:t xml:space="preserve"> not a generic ICR.</w:t>
      </w:r>
    </w:p>
    <w:p w14:paraId="0FCC1F04" w14:textId="77777777" w:rsidR="00604CFC" w:rsidRPr="00F07867" w:rsidRDefault="00604CFC" w:rsidP="00604CFC">
      <w:r w:rsidRPr="00F07867">
        <w:t>This research will allow CDC to more efficiently pursue and achieve some of its most critical objectives</w:t>
      </w:r>
      <w:r>
        <w:t xml:space="preserve">. </w:t>
      </w:r>
      <w:r w:rsidRPr="00F07867">
        <w:t xml:space="preserve">The </w:t>
      </w:r>
      <w:r>
        <w:t xml:space="preserve">mission of the </w:t>
      </w:r>
      <w:r w:rsidRPr="00F07867">
        <w:t>Office of Public Health Preparedness and Response (</w:t>
      </w:r>
      <w:r>
        <w:t>O</w:t>
      </w:r>
      <w:r w:rsidRPr="00F07867">
        <w:t>PHPR) is to strengthen and support the nation’s health security in order to save lives and protect against public health threats</w:t>
      </w:r>
      <w:r>
        <w:t xml:space="preserve">. </w:t>
      </w:r>
      <w:r w:rsidRPr="00F07867">
        <w:t xml:space="preserve">This mission is critically dependent on effectively engaging </w:t>
      </w:r>
      <w:r>
        <w:t>external</w:t>
      </w:r>
      <w:r w:rsidRPr="00F07867">
        <w:t xml:space="preserve"> partners to maximize resources and overall impact during times of emergency</w:t>
      </w:r>
      <w:r>
        <w:t xml:space="preserve">. </w:t>
      </w:r>
      <w:r w:rsidRPr="00F07867">
        <w:t>Catastrophic events require the ability to coordinate and leverage all members of the community, including those outside of the government in the private sector and other non-governmental organizations.</w:t>
      </w:r>
    </w:p>
    <w:p w14:paraId="48B47D94" w14:textId="2D789E37" w:rsidR="00D1254E" w:rsidRPr="00E2141F" w:rsidRDefault="0059465E" w:rsidP="00EC556C">
      <w:r w:rsidRPr="00E2141F">
        <w:t xml:space="preserve">Upon completion of the project, the research team will </w:t>
      </w:r>
      <w:r w:rsidR="00287C1F">
        <w:t>generate</w:t>
      </w:r>
      <w:r w:rsidRPr="00E2141F">
        <w:t xml:space="preserve"> a final report that includes a fully-developed partnering framework, </w:t>
      </w:r>
      <w:r w:rsidR="00D1254E" w:rsidRPr="00E2141F">
        <w:t xml:space="preserve">specific and actionable </w:t>
      </w:r>
      <w:r w:rsidRPr="00E2141F">
        <w:t>recommendations, and an example</w:t>
      </w:r>
      <w:r w:rsidR="00D1254E" w:rsidRPr="00E2141F">
        <w:t xml:space="preserve"> of a</w:t>
      </w:r>
      <w:r w:rsidRPr="00E2141F">
        <w:t xml:space="preserve"> high </w:t>
      </w:r>
      <w:r w:rsidR="00D1254E" w:rsidRPr="00E2141F">
        <w:t>level implementation plan</w:t>
      </w:r>
      <w:r w:rsidR="00AF6E3B">
        <w:t xml:space="preserve">. </w:t>
      </w:r>
      <w:r w:rsidR="00D1254E" w:rsidRPr="00E2141F">
        <w:t xml:space="preserve">This will allow </w:t>
      </w:r>
      <w:r w:rsidRPr="00E2141F">
        <w:t>CDC to process and disseminate the information in a timely manner to its internal and external stakeholders</w:t>
      </w:r>
      <w:r w:rsidR="00AF6E3B">
        <w:t xml:space="preserve">. </w:t>
      </w:r>
      <w:r w:rsidR="00D1254E" w:rsidRPr="00E2141F">
        <w:t>CDC will disseminate the findings through existing internal systems to reach the primary OPHPR and CDC audiences</w:t>
      </w:r>
      <w:r w:rsidR="00AF6E3B">
        <w:t xml:space="preserve">. </w:t>
      </w:r>
      <w:r w:rsidR="00287C1F">
        <w:t>P</w:t>
      </w:r>
      <w:r w:rsidR="00D1254E" w:rsidRPr="00E2141F">
        <w:t xml:space="preserve">ossible </w:t>
      </w:r>
      <w:r w:rsidR="00287C1F">
        <w:t xml:space="preserve">additional </w:t>
      </w:r>
      <w:r w:rsidR="00D1254E" w:rsidRPr="00E2141F">
        <w:t>recipients, such as other HHS agencies involved in preparedness</w:t>
      </w:r>
      <w:r w:rsidR="006E28D8">
        <w:t xml:space="preserve"> and response</w:t>
      </w:r>
      <w:r w:rsidR="00D1254E" w:rsidRPr="00E2141F">
        <w:t>, will receive the final report or relevant portions of the report via email or hard copy.</w:t>
      </w:r>
    </w:p>
    <w:p w14:paraId="4F42855C" w14:textId="5305ABE0" w:rsidR="00C91C59" w:rsidRPr="00F07867" w:rsidRDefault="00EC556C" w:rsidP="001D6F14">
      <w:r w:rsidRPr="00F07867">
        <w:t xml:space="preserve">The information collected in this study will be used to </w:t>
      </w:r>
      <w:r w:rsidR="00C91C59" w:rsidRPr="00F07867">
        <w:t>identify and evaluate: 1) opportunities for partnership with private</w:t>
      </w:r>
      <w:r w:rsidR="00287C1F">
        <w:t>-sector</w:t>
      </w:r>
      <w:r w:rsidR="00C91C59" w:rsidRPr="00F07867">
        <w:t xml:space="preserve"> organizations</w:t>
      </w:r>
      <w:r w:rsidR="005E3596">
        <w:t xml:space="preserve"> i</w:t>
      </w:r>
      <w:r w:rsidR="005E3596" w:rsidRPr="005E3596">
        <w:t>n industry segments relevant to public health</w:t>
      </w:r>
      <w:r w:rsidR="00C91C59" w:rsidRPr="00F07867">
        <w:t xml:space="preserve">, 2) the various efficiencies that could be </w:t>
      </w:r>
      <w:r w:rsidR="00D8336B">
        <w:t>achieved</w:t>
      </w:r>
      <w:r w:rsidR="00D8336B" w:rsidRPr="00F07867">
        <w:t xml:space="preserve"> </w:t>
      </w:r>
      <w:r w:rsidR="00C91C59" w:rsidRPr="00F07867">
        <w:t>via PPPs, 3) any barriers that prevent or could prevent partnering, and 4) the incentives that CDC could provide to private</w:t>
      </w:r>
      <w:r w:rsidR="00287C1F">
        <w:t>-sector</w:t>
      </w:r>
      <w:r w:rsidR="00C91C59" w:rsidRPr="00F07867">
        <w:t xml:space="preserve"> organizations to encourage relationship</w:t>
      </w:r>
      <w:r w:rsidR="00287C1F">
        <w:t xml:space="preserve"> building and sustainment</w:t>
      </w:r>
      <w:r w:rsidR="00AF6E3B">
        <w:t xml:space="preserve">. </w:t>
      </w:r>
      <w:r w:rsidR="00C91C59" w:rsidRPr="00F07867">
        <w:t xml:space="preserve">This information will be used in concert with data obtained from literature reviews and interviews with </w:t>
      </w:r>
      <w:r w:rsidR="00B14B3F">
        <w:t xml:space="preserve">external subject matter experts and </w:t>
      </w:r>
      <w:r w:rsidR="00C91C59" w:rsidRPr="00F07867">
        <w:t>internal CDC</w:t>
      </w:r>
      <w:r w:rsidR="00B14B3F">
        <w:t xml:space="preserve"> stakeholders</w:t>
      </w:r>
      <w:r w:rsidR="00C91C59" w:rsidRPr="00F07867">
        <w:t>.</w:t>
      </w:r>
      <w:r w:rsidR="001D6F14">
        <w:t xml:space="preserve">  No existing federal data collections have been used to provide the foundation for this ICR, and the research team does not plan on initiating any additional ICRs for this research project.</w:t>
      </w:r>
    </w:p>
    <w:p w14:paraId="7AF6F949" w14:textId="1275D29B" w:rsidR="00C77E87" w:rsidRDefault="008C27B2" w:rsidP="00C77E87">
      <w:r w:rsidRPr="00F07867">
        <w:t xml:space="preserve">Optimizing the </w:t>
      </w:r>
      <w:r w:rsidR="00804ED9">
        <w:t xml:space="preserve">OPHPR </w:t>
      </w:r>
      <w:r w:rsidRPr="00F07867">
        <w:t xml:space="preserve">partnering strategy will </w:t>
      </w:r>
      <w:r w:rsidR="00804ED9">
        <w:t>enable</w:t>
      </w:r>
      <w:r w:rsidR="00804ED9" w:rsidRPr="00F07867">
        <w:t xml:space="preserve"> </w:t>
      </w:r>
      <w:r w:rsidR="00C77E87" w:rsidRPr="00F07867">
        <w:t>engage</w:t>
      </w:r>
      <w:r w:rsidR="00804ED9">
        <w:t>ment with</w:t>
      </w:r>
      <w:r w:rsidR="00C77E87" w:rsidRPr="00F07867">
        <w:t xml:space="preserve"> new partners, expand</w:t>
      </w:r>
      <w:r w:rsidR="00804ED9">
        <w:t>ed</w:t>
      </w:r>
      <w:r w:rsidR="00C77E87" w:rsidRPr="00F07867">
        <w:t xml:space="preserve"> relationships with existing partners, and </w:t>
      </w:r>
      <w:r w:rsidR="00DA2583">
        <w:t>increased value as a</w:t>
      </w:r>
      <w:r w:rsidRPr="00F07867">
        <w:t xml:space="preserve"> resource for other </w:t>
      </w:r>
      <w:r w:rsidR="00C77E87" w:rsidRPr="00F07867">
        <w:t>stakeholders</w:t>
      </w:r>
      <w:r w:rsidRPr="00F07867">
        <w:t xml:space="preserve"> in the preparedness community</w:t>
      </w:r>
      <w:r w:rsidR="00AF6E3B">
        <w:t xml:space="preserve">. </w:t>
      </w:r>
      <w:r w:rsidRPr="00F07867">
        <w:t>This research will provide OPHPR with the overarching strategy and guidance it needs to succeed</w:t>
      </w:r>
      <w:r w:rsidR="000911C3">
        <w:t>, and become a leader</w:t>
      </w:r>
      <w:r w:rsidRPr="00F07867">
        <w:t xml:space="preserve"> in this complex field</w:t>
      </w:r>
      <w:r w:rsidR="00AF6E3B">
        <w:t xml:space="preserve">. </w:t>
      </w:r>
      <w:r w:rsidRPr="00F07867">
        <w:t>Without this information, OPHPR may inadvertently miss opportunities to strengthen its partnership network or mak</w:t>
      </w:r>
      <w:r w:rsidR="00B62711">
        <w:t>e</w:t>
      </w:r>
      <w:r w:rsidRPr="00F07867">
        <w:t xml:space="preserve"> unnecessary expenditures where more efficient partnership solutions </w:t>
      </w:r>
      <w:r w:rsidR="00B62711">
        <w:t>are</w:t>
      </w:r>
      <w:r w:rsidR="00B62711" w:rsidRPr="00F07867">
        <w:t xml:space="preserve"> </w:t>
      </w:r>
      <w:r w:rsidRPr="00F07867">
        <w:t>possible.</w:t>
      </w:r>
    </w:p>
    <w:p w14:paraId="6E814FBF" w14:textId="485032A0" w:rsidR="00050C8C" w:rsidRPr="00F07867" w:rsidRDefault="00050C8C" w:rsidP="00C77E87">
      <w:r>
        <w:t>Thi</w:t>
      </w:r>
      <w:r w:rsidR="00D93AD5">
        <w:t>s project has been fully funded as part of BAA 2016-N-17770 under contract number 200-2016-92426.</w:t>
      </w:r>
    </w:p>
    <w:p w14:paraId="6FC64ECB" w14:textId="77777777" w:rsidR="00EC556C" w:rsidRPr="00CE688A" w:rsidRDefault="00EC556C" w:rsidP="00CE688A">
      <w:pPr>
        <w:pStyle w:val="Heading1"/>
        <w:rPr>
          <w:b/>
          <w:color w:val="000000" w:themeColor="text1"/>
          <w:sz w:val="24"/>
          <w:szCs w:val="24"/>
        </w:rPr>
      </w:pPr>
      <w:bookmarkStart w:id="3" w:name="_Toc468709677"/>
      <w:r w:rsidRPr="00CE688A">
        <w:rPr>
          <w:b/>
          <w:color w:val="000000" w:themeColor="text1"/>
          <w:sz w:val="24"/>
          <w:szCs w:val="24"/>
        </w:rPr>
        <w:t>3. Use of Improved Information Technology and Burden Reduction</w:t>
      </w:r>
      <w:bookmarkEnd w:id="3"/>
    </w:p>
    <w:p w14:paraId="25C9A388" w14:textId="511E2A49" w:rsidR="00993889" w:rsidRPr="00F07867" w:rsidRDefault="00993889" w:rsidP="00EC556C">
      <w:r w:rsidRPr="00F07867">
        <w:t>Information technology will be used throughout data collection to reduce the burden on respondents</w:t>
      </w:r>
      <w:r w:rsidR="00AF6E3B">
        <w:t xml:space="preserve">. </w:t>
      </w:r>
      <w:r w:rsidR="00912E95" w:rsidRPr="00F07867">
        <w:t xml:space="preserve">During the interview portion of data collection, information will be </w:t>
      </w:r>
      <w:r w:rsidR="003C76DD">
        <w:t>obtained</w:t>
      </w:r>
      <w:r w:rsidR="003C76DD" w:rsidRPr="00F07867">
        <w:t xml:space="preserve"> </w:t>
      </w:r>
      <w:r w:rsidR="00912E95" w:rsidRPr="00F07867">
        <w:t>over the telephone or in person</w:t>
      </w:r>
      <w:r w:rsidR="003C76DD">
        <w:t>,</w:t>
      </w:r>
      <w:r w:rsidR="00912E95" w:rsidRPr="00F07867">
        <w:t xml:space="preserve"> and interview notes will be transcribed into pre-written electronic interview guides</w:t>
      </w:r>
      <w:r w:rsidR="00AF6E3B">
        <w:t xml:space="preserve">. </w:t>
      </w:r>
      <w:r w:rsidR="00912E95" w:rsidRPr="00F07867">
        <w:t>The survey, which will be distributed after the interviews have been completed, will be conducted and analyzed using the online platform Qualtrics</w:t>
      </w:r>
      <w:r w:rsidR="00796AC4">
        <w:t>, which is secure for use in government projects</w:t>
      </w:r>
      <w:r w:rsidR="00AF6E3B">
        <w:t xml:space="preserve">. </w:t>
      </w:r>
      <w:r w:rsidR="0030321C">
        <w:t>Th</w:t>
      </w:r>
      <w:r w:rsidR="00C31E74">
        <w:t xml:space="preserve">e research team will leverage </w:t>
      </w:r>
      <w:r w:rsidR="0030321C">
        <w:t>time-saving functionalities</w:t>
      </w:r>
      <w:r w:rsidR="00C31E74">
        <w:t xml:space="preserve"> available in Qualtrics</w:t>
      </w:r>
      <w:r w:rsidR="0030321C">
        <w:t xml:space="preserve">, such as computer generated skip patterns, to streamline the survey and minimize the time required to complete data collection.  </w:t>
      </w:r>
      <w:r w:rsidR="00912E95" w:rsidRPr="00F07867">
        <w:t>Members of the research team will</w:t>
      </w:r>
      <w:r w:rsidR="0030321C">
        <w:t xml:space="preserve"> also</w:t>
      </w:r>
      <w:r w:rsidR="00912E95" w:rsidRPr="00F07867">
        <w:t xml:space="preserve"> use</w:t>
      </w:r>
      <w:r w:rsidR="004E0DA5">
        <w:t xml:space="preserve"> leading</w:t>
      </w:r>
      <w:r w:rsidR="00912E95" w:rsidRPr="00F07867">
        <w:t xml:space="preserve"> hardware and software technology to securely store, transfer</w:t>
      </w:r>
      <w:r w:rsidR="004301B5">
        <w:t>,</w:t>
      </w:r>
      <w:r w:rsidR="00912E95" w:rsidRPr="00F07867">
        <w:t xml:space="preserve"> and ultimately present the data collected during research proceedings.</w:t>
      </w:r>
    </w:p>
    <w:p w14:paraId="43934D88" w14:textId="77777777" w:rsidR="00EC556C" w:rsidRPr="00CE688A" w:rsidRDefault="00EC556C" w:rsidP="00CE688A">
      <w:pPr>
        <w:pStyle w:val="Heading1"/>
        <w:rPr>
          <w:b/>
          <w:color w:val="000000" w:themeColor="text1"/>
          <w:sz w:val="24"/>
          <w:szCs w:val="24"/>
        </w:rPr>
      </w:pPr>
      <w:bookmarkStart w:id="4" w:name="_Toc468709678"/>
      <w:r w:rsidRPr="00CE688A">
        <w:rPr>
          <w:b/>
          <w:color w:val="000000" w:themeColor="text1"/>
          <w:sz w:val="24"/>
          <w:szCs w:val="24"/>
        </w:rPr>
        <w:t>4. Efforts to Identify Duplication and Use of Similar Information</w:t>
      </w:r>
      <w:bookmarkEnd w:id="4"/>
    </w:p>
    <w:p w14:paraId="71AACDF6" w14:textId="2D353412" w:rsidR="00B44488" w:rsidRPr="00F07867" w:rsidRDefault="00B44488" w:rsidP="00B44488">
      <w:r w:rsidRPr="00F07867">
        <w:t>This novel study aims to systematically evaluate and explore the partnership preferences of private</w:t>
      </w:r>
      <w:r>
        <w:t xml:space="preserve"> sector</w:t>
      </w:r>
      <w:r w:rsidRPr="00F07867">
        <w:t xml:space="preserve"> organizations</w:t>
      </w:r>
      <w:r w:rsidR="00841219">
        <w:t>,</w:t>
      </w:r>
      <w:r w:rsidRPr="00F07867">
        <w:t xml:space="preserve"> specifically when they are interacting or considering an interaction with government agencies.</w:t>
      </w:r>
      <w:r>
        <w:t xml:space="preserve">  The research team will only collect data from organizations that work in the </w:t>
      </w:r>
      <w:r w:rsidRPr="00CB6306">
        <w:t>PHPR</w:t>
      </w:r>
      <w:r>
        <w:t xml:space="preserve"> space </w:t>
      </w:r>
      <w:r w:rsidR="00E52ED3">
        <w:t xml:space="preserve">or </w:t>
      </w:r>
      <w:r>
        <w:t xml:space="preserve">whose activities, products, and services </w:t>
      </w:r>
      <w:r w:rsidR="00FB41F5">
        <w:t xml:space="preserve">could or do </w:t>
      </w:r>
      <w:r>
        <w:t>support PHEP.</w:t>
      </w:r>
    </w:p>
    <w:p w14:paraId="1A64C30F" w14:textId="00CDE647" w:rsidR="00B44488" w:rsidRDefault="00FB41F5" w:rsidP="00EC556C">
      <w:r>
        <w:t>The research team has conducted a literature review</w:t>
      </w:r>
      <w:r w:rsidR="000B7F7E" w:rsidRPr="00F07867">
        <w:t xml:space="preserve"> and </w:t>
      </w:r>
      <w:r w:rsidR="00E52ED3">
        <w:t xml:space="preserve">has </w:t>
      </w:r>
      <w:r w:rsidR="00841219">
        <w:t xml:space="preserve">spoken </w:t>
      </w:r>
      <w:r w:rsidR="000B7F7E" w:rsidRPr="00F07867">
        <w:t xml:space="preserve">with </w:t>
      </w:r>
      <w:r w:rsidR="007D24FC">
        <w:t xml:space="preserve">external subject matter experts and </w:t>
      </w:r>
      <w:r w:rsidR="007D24FC" w:rsidRPr="00F07867">
        <w:t>CDC</w:t>
      </w:r>
      <w:r w:rsidR="007D24FC">
        <w:t xml:space="preserve"> stakeholders</w:t>
      </w:r>
      <w:r>
        <w:t xml:space="preserve"> in order to become more familiar with the scientific research and institutional knowledge related to the field.  After these activities, the team has concluded that knowledge </w:t>
      </w:r>
      <w:r w:rsidR="00CB109A" w:rsidRPr="00F07867">
        <w:t xml:space="preserve">gaps exist in the </w:t>
      </w:r>
      <w:r>
        <w:t xml:space="preserve">public health community </w:t>
      </w:r>
      <w:r w:rsidR="00DC0306">
        <w:t>regarding</w:t>
      </w:r>
      <w:r w:rsidR="00CB109A" w:rsidRPr="00F07867">
        <w:t xml:space="preserve"> PPP best practices </w:t>
      </w:r>
      <w:r w:rsidR="00DC0306">
        <w:t>for</w:t>
      </w:r>
      <w:r w:rsidR="00CB109A" w:rsidRPr="00F07867">
        <w:t xml:space="preserve"> PHPR</w:t>
      </w:r>
      <w:r w:rsidR="00AF6E3B">
        <w:t xml:space="preserve">. </w:t>
      </w:r>
      <w:r w:rsidRPr="00F07867">
        <w:t>The research team is unaware of any alternative data sources th</w:t>
      </w:r>
      <w:r>
        <w:t xml:space="preserve">at have captured the required </w:t>
      </w:r>
      <w:r w:rsidRPr="00F07867">
        <w:t xml:space="preserve">information </w:t>
      </w:r>
      <w:r>
        <w:t xml:space="preserve">from this specific sample population in the past.  </w:t>
      </w:r>
      <w:r w:rsidR="00CB109A" w:rsidRPr="00F07867">
        <w:t>As mentioned above, existing research in this area has concentrated on exploring the benefits of partnering between generic organizations, or in other fields unrelated to PHPR</w:t>
      </w:r>
      <w:r w:rsidR="00AF6E3B">
        <w:t xml:space="preserve">. </w:t>
      </w:r>
      <w:r w:rsidR="00CB109A" w:rsidRPr="00F07867">
        <w:t xml:space="preserve">Although examples of successful PPPs in PHPR have been </w:t>
      </w:r>
      <w:r w:rsidR="00012DD0" w:rsidRPr="00F07867">
        <w:t xml:space="preserve">published and </w:t>
      </w:r>
      <w:r w:rsidR="00CB109A" w:rsidRPr="00F07867">
        <w:t>disseminated, this information is anecdotal</w:t>
      </w:r>
      <w:r w:rsidR="00012DD0" w:rsidRPr="00F07867">
        <w:t xml:space="preserve"> and the generalizability of any observations is unknown</w:t>
      </w:r>
      <w:r w:rsidR="00AF6E3B">
        <w:t xml:space="preserve">. </w:t>
      </w:r>
      <w:r w:rsidR="00B44488">
        <w:t>The research team will utilize thi</w:t>
      </w:r>
      <w:r>
        <w:t xml:space="preserve">s existing </w:t>
      </w:r>
      <w:r w:rsidR="00B44488">
        <w:t>research during the study, but the survey and interview campaign will be necessary</w:t>
      </w:r>
      <w:r>
        <w:t xml:space="preserve"> to understand the nuances of this</w:t>
      </w:r>
      <w:r w:rsidR="00B44488">
        <w:t xml:space="preserve"> unique</w:t>
      </w:r>
      <w:r>
        <w:t xml:space="preserve"> partnership environment</w:t>
      </w:r>
      <w:r w:rsidR="00B44488">
        <w:t>.</w:t>
      </w:r>
    </w:p>
    <w:p w14:paraId="252C14EA" w14:textId="77777777" w:rsidR="00EC556C" w:rsidRPr="00CE688A" w:rsidRDefault="00EC556C" w:rsidP="00CE688A">
      <w:pPr>
        <w:pStyle w:val="Heading1"/>
        <w:rPr>
          <w:b/>
          <w:color w:val="000000" w:themeColor="text1"/>
          <w:sz w:val="24"/>
          <w:szCs w:val="24"/>
        </w:rPr>
      </w:pPr>
      <w:bookmarkStart w:id="5" w:name="_Toc468709679"/>
      <w:r w:rsidRPr="00CE688A">
        <w:rPr>
          <w:b/>
          <w:color w:val="000000" w:themeColor="text1"/>
          <w:sz w:val="24"/>
          <w:szCs w:val="24"/>
        </w:rPr>
        <w:t>5. Impact on Small Businesses or Other Small Entities</w:t>
      </w:r>
      <w:bookmarkEnd w:id="5"/>
    </w:p>
    <w:p w14:paraId="272B2B7A" w14:textId="77777777" w:rsidR="00735CFB" w:rsidRDefault="00735CFB" w:rsidP="00EC556C">
      <w:r w:rsidRPr="00E2141F">
        <w:t>This data collection will not involve small businesses.</w:t>
      </w:r>
    </w:p>
    <w:p w14:paraId="3E2FB253" w14:textId="77777777" w:rsidR="00EC556C" w:rsidRPr="00CE688A" w:rsidRDefault="00EC556C" w:rsidP="00CE688A">
      <w:pPr>
        <w:pStyle w:val="Heading1"/>
        <w:rPr>
          <w:b/>
          <w:color w:val="000000" w:themeColor="text1"/>
          <w:sz w:val="24"/>
          <w:szCs w:val="24"/>
        </w:rPr>
      </w:pPr>
      <w:bookmarkStart w:id="6" w:name="_Toc468709680"/>
      <w:r w:rsidRPr="00CE688A">
        <w:rPr>
          <w:b/>
          <w:color w:val="000000" w:themeColor="text1"/>
          <w:sz w:val="24"/>
          <w:szCs w:val="24"/>
        </w:rPr>
        <w:t>6. Consequences of Collecting the Information Less Frequently</w:t>
      </w:r>
      <w:bookmarkEnd w:id="6"/>
    </w:p>
    <w:p w14:paraId="46D8ED2C" w14:textId="4F74E59A" w:rsidR="00FC2D08" w:rsidRPr="00F07867" w:rsidRDefault="00EC556C" w:rsidP="00F2094D">
      <w:r w:rsidRPr="00F07867">
        <w:t xml:space="preserve">This request is for </w:t>
      </w:r>
      <w:r w:rsidR="00F2094D" w:rsidRPr="00F07867">
        <w:t xml:space="preserve">two </w:t>
      </w:r>
      <w:r w:rsidR="00560519">
        <w:t xml:space="preserve">separate </w:t>
      </w:r>
      <w:r w:rsidRPr="00F07867">
        <w:t>information collection</w:t>
      </w:r>
      <w:r w:rsidR="00FC2D08" w:rsidRPr="00F07867">
        <w:t xml:space="preserve"> initiatives.</w:t>
      </w:r>
    </w:p>
    <w:p w14:paraId="0B0F94B8" w14:textId="59419F1E" w:rsidR="008D4E0D" w:rsidRPr="00F07867" w:rsidRDefault="00F2094D" w:rsidP="00F2094D">
      <w:r w:rsidRPr="00F07867">
        <w:t xml:space="preserve">The first will be a targeted interview campaign that will seek respondents in the following eight sectors: </w:t>
      </w:r>
      <w:r w:rsidR="00412253" w:rsidRPr="00412253">
        <w:t>pharmaceutical/life sciences (n=8), health IT/mobile (n=8), retailers/distributors (n=6), academia/research organization (n=6), hospital/healthcare provider (n=5), health insurance (n=4), logistics/transportation (n=4), and charitabl</w:t>
      </w:r>
      <w:r w:rsidR="00412253">
        <w:t>e organization/foundation (n=4)</w:t>
      </w:r>
      <w:r w:rsidR="00AF6E3B">
        <w:t xml:space="preserve">. </w:t>
      </w:r>
      <w:r w:rsidR="00560519">
        <w:t>The i</w:t>
      </w:r>
      <w:r w:rsidR="008D4E0D" w:rsidRPr="00F07867">
        <w:t>nterview questions and</w:t>
      </w:r>
      <w:r w:rsidR="00E0473B" w:rsidRPr="00F07867">
        <w:t xml:space="preserve"> the information collected will </w:t>
      </w:r>
      <w:r w:rsidR="008D4E0D" w:rsidRPr="00F07867">
        <w:t xml:space="preserve">vary </w:t>
      </w:r>
      <w:r w:rsidR="00560519">
        <w:t xml:space="preserve">significantly </w:t>
      </w:r>
      <w:r w:rsidR="008D4E0D" w:rsidRPr="00F07867">
        <w:t>across the different sectors</w:t>
      </w:r>
      <w:r w:rsidR="00AF6E3B">
        <w:t xml:space="preserve">. </w:t>
      </w:r>
      <w:r w:rsidRPr="00F07867">
        <w:t xml:space="preserve">The second </w:t>
      </w:r>
      <w:r w:rsidR="008D4E0D" w:rsidRPr="00F07867">
        <w:t xml:space="preserve">initiative </w:t>
      </w:r>
      <w:r w:rsidRPr="00F07867">
        <w:t>will be a larger survey that will be sent to 200 individuals to reach a total sample population of 100 (assuming a 50% response rate)</w:t>
      </w:r>
      <w:r w:rsidR="00AF6E3B">
        <w:t xml:space="preserve">. </w:t>
      </w:r>
      <w:r w:rsidR="00302B02">
        <w:t xml:space="preserve">The interviews and survey will only be administered one time to each </w:t>
      </w:r>
      <w:r w:rsidR="007D24FC">
        <w:t xml:space="preserve">individual </w:t>
      </w:r>
      <w:r w:rsidR="00302B02">
        <w:t>respondent</w:t>
      </w:r>
      <w:r w:rsidR="008D4E0D" w:rsidRPr="00F07867">
        <w:t>.</w:t>
      </w:r>
      <w:r w:rsidR="00302B02">
        <w:t xml:space="preserve"> </w:t>
      </w:r>
    </w:p>
    <w:p w14:paraId="6FC90140" w14:textId="0FDE13B2" w:rsidR="00735CFB" w:rsidRPr="00F07867" w:rsidRDefault="00FC2D08" w:rsidP="00F2094D">
      <w:r w:rsidRPr="00F07867">
        <w:t>Firstly, b</w:t>
      </w:r>
      <w:r w:rsidR="008D4E0D" w:rsidRPr="00F07867">
        <w:t xml:space="preserve">oth initiatives are necessary because the </w:t>
      </w:r>
      <w:r w:rsidR="00302B02">
        <w:t xml:space="preserve">information gathered during the </w:t>
      </w:r>
      <w:r w:rsidR="008D4E0D" w:rsidRPr="00F07867">
        <w:t>interviews will support development of the</w:t>
      </w:r>
      <w:r w:rsidR="00302B02">
        <w:t xml:space="preserve"> survey </w:t>
      </w:r>
      <w:r w:rsidR="008D4E0D" w:rsidRPr="00F07867">
        <w:t>questions</w:t>
      </w:r>
      <w:r w:rsidR="00AF6E3B">
        <w:t xml:space="preserve">. </w:t>
      </w:r>
      <w:r w:rsidR="008D4E0D" w:rsidRPr="00F07867">
        <w:t>For example, the list</w:t>
      </w:r>
      <w:r w:rsidR="00302B02">
        <w:t xml:space="preserve"> of</w:t>
      </w:r>
      <w:r w:rsidR="00560519">
        <w:t xml:space="preserve"> incentives in the survey that were initially drawn from background research </w:t>
      </w:r>
      <w:r w:rsidR="008D4E0D" w:rsidRPr="00F07867">
        <w:t xml:space="preserve">may be </w:t>
      </w:r>
      <w:r w:rsidR="00560519">
        <w:t>expanded if the research team</w:t>
      </w:r>
      <w:r w:rsidRPr="00F07867">
        <w:t xml:space="preserve"> </w:t>
      </w:r>
      <w:r w:rsidR="00560519">
        <w:t xml:space="preserve">learns of additional options </w:t>
      </w:r>
      <w:r w:rsidRPr="00F07867">
        <w:t>from interview respondents</w:t>
      </w:r>
      <w:r w:rsidR="00560519">
        <w:t xml:space="preserve"> (</w:t>
      </w:r>
      <w:r w:rsidR="00560519" w:rsidRPr="00560519">
        <w:rPr>
          <w:b/>
        </w:rPr>
        <w:t>Attachment D – Survey Plan</w:t>
      </w:r>
      <w:r w:rsidR="00560519">
        <w:t>)</w:t>
      </w:r>
      <w:r w:rsidR="00AF6E3B">
        <w:t xml:space="preserve">. </w:t>
      </w:r>
      <w:r w:rsidRPr="00F07867">
        <w:t>Secondly</w:t>
      </w:r>
      <w:r w:rsidR="00E0473B" w:rsidRPr="00F07867">
        <w:t xml:space="preserve">, the format of the two initiatives are conducive to collecting different </w:t>
      </w:r>
      <w:r w:rsidRPr="00F07867">
        <w:t>types</w:t>
      </w:r>
      <w:r w:rsidR="00E0473B" w:rsidRPr="00F07867">
        <w:t xml:space="preserve"> of data</w:t>
      </w:r>
      <w:r w:rsidR="00AF6E3B">
        <w:t xml:space="preserve">. </w:t>
      </w:r>
      <w:r w:rsidR="00E0473B" w:rsidRPr="00F07867">
        <w:t>The interviews will concentrate on qualitative fact-finding and the exploration of complex issues through dialogue, while the survey will ask specific semi-quantitative</w:t>
      </w:r>
      <w:r w:rsidRPr="00F07867">
        <w:t xml:space="preserve"> and quantitative</w:t>
      </w:r>
      <w:r w:rsidR="00E0473B" w:rsidRPr="00F07867">
        <w:t xml:space="preserve"> questions</w:t>
      </w:r>
      <w:r w:rsidR="00AB4CB9" w:rsidRPr="00F07867">
        <w:t xml:space="preserve"> that are answered more efficiently using an online tool (Qualtrics).</w:t>
      </w:r>
    </w:p>
    <w:p w14:paraId="0D41ED1D" w14:textId="377FC761" w:rsidR="000E22F8" w:rsidRPr="00F07867" w:rsidRDefault="00AB4CB9" w:rsidP="00EC556C">
      <w:r w:rsidRPr="00F07867">
        <w:t xml:space="preserve">Not using both forms of data </w:t>
      </w:r>
      <w:r w:rsidR="00FC2D08" w:rsidRPr="00F07867">
        <w:t xml:space="preserve">collection </w:t>
      </w:r>
      <w:r w:rsidRPr="00F07867">
        <w:t xml:space="preserve">will limit </w:t>
      </w:r>
      <w:r w:rsidR="00FC2D08" w:rsidRPr="00F07867">
        <w:t xml:space="preserve">the breadth of </w:t>
      </w:r>
      <w:r w:rsidRPr="00F07867">
        <w:t xml:space="preserve">understanding </w:t>
      </w:r>
      <w:r w:rsidR="00FC2D08" w:rsidRPr="00F07867">
        <w:t>that CDC will gain from this exercise</w:t>
      </w:r>
      <w:r w:rsidR="00AF6E3B">
        <w:t xml:space="preserve">. </w:t>
      </w:r>
      <w:r w:rsidR="00FC2D08" w:rsidRPr="00F07867">
        <w:t>Without both initiatives</w:t>
      </w:r>
      <w:r w:rsidR="00302B02">
        <w:t>,</w:t>
      </w:r>
      <w:r w:rsidR="00FC2D08" w:rsidRPr="00F07867">
        <w:t xml:space="preserve"> CDC may be unable to </w:t>
      </w:r>
      <w:r w:rsidR="00560519">
        <w:t xml:space="preserve">learn how to better </w:t>
      </w:r>
      <w:r w:rsidR="00CA14BC" w:rsidRPr="00F07867">
        <w:t>build</w:t>
      </w:r>
      <w:r w:rsidRPr="00F07867">
        <w:t xml:space="preserve"> partnershi</w:t>
      </w:r>
      <w:r w:rsidR="00FC2D08" w:rsidRPr="00F07867">
        <w:t xml:space="preserve">ps with private </w:t>
      </w:r>
      <w:r w:rsidR="00302B02">
        <w:t xml:space="preserve">sector </w:t>
      </w:r>
      <w:r w:rsidR="00FC2D08" w:rsidRPr="00F07867">
        <w:t>organizations</w:t>
      </w:r>
      <w:r w:rsidR="00302B02">
        <w:t>,</w:t>
      </w:r>
      <w:r w:rsidR="00FC2D08" w:rsidRPr="00F07867">
        <w:t xml:space="preserve"> or it may make</w:t>
      </w:r>
      <w:r w:rsidRPr="00F07867">
        <w:t xml:space="preserve"> unnecessary expenditures where more efficient partnership solutions </w:t>
      </w:r>
      <w:r w:rsidR="001C7164">
        <w:t>are</w:t>
      </w:r>
      <w:r w:rsidR="001C7164" w:rsidRPr="00F07867">
        <w:t xml:space="preserve"> </w:t>
      </w:r>
      <w:r w:rsidR="00FC2D08" w:rsidRPr="00F07867">
        <w:t>a possibility.</w:t>
      </w:r>
    </w:p>
    <w:p w14:paraId="35322490" w14:textId="77777777" w:rsidR="00EC556C" w:rsidRPr="00CE688A" w:rsidRDefault="00EC556C" w:rsidP="00CE688A">
      <w:pPr>
        <w:pStyle w:val="Heading1"/>
        <w:rPr>
          <w:b/>
          <w:color w:val="000000" w:themeColor="text1"/>
          <w:sz w:val="24"/>
          <w:szCs w:val="24"/>
        </w:rPr>
      </w:pPr>
      <w:bookmarkStart w:id="7" w:name="_Toc468709681"/>
      <w:r w:rsidRPr="00CE688A">
        <w:rPr>
          <w:b/>
          <w:color w:val="000000" w:themeColor="text1"/>
          <w:sz w:val="24"/>
          <w:szCs w:val="24"/>
        </w:rPr>
        <w:t>7. Special Circumstances Relating to the Guidelines of 5 CFR 1320.5</w:t>
      </w:r>
      <w:bookmarkEnd w:id="7"/>
    </w:p>
    <w:p w14:paraId="5FB17689" w14:textId="77777777" w:rsidR="000116A8" w:rsidRPr="000116A8" w:rsidRDefault="000116A8" w:rsidP="000116A8">
      <w:pPr>
        <w:rPr>
          <w:color w:val="FF0000"/>
        </w:rPr>
      </w:pPr>
      <w:r w:rsidRPr="00E2141F">
        <w:t>This request fully complies with the regulation 5 CFR 1320.5</w:t>
      </w:r>
    </w:p>
    <w:p w14:paraId="361D57E3" w14:textId="77777777" w:rsidR="00EC556C" w:rsidRPr="00CE688A" w:rsidRDefault="00EC556C" w:rsidP="00CE688A">
      <w:pPr>
        <w:pStyle w:val="Heading1"/>
        <w:rPr>
          <w:b/>
          <w:color w:val="000000" w:themeColor="text1"/>
          <w:sz w:val="24"/>
          <w:szCs w:val="24"/>
        </w:rPr>
      </w:pPr>
      <w:bookmarkStart w:id="8" w:name="_Toc468709682"/>
      <w:r w:rsidRPr="00CE688A">
        <w:rPr>
          <w:b/>
          <w:color w:val="000000" w:themeColor="text1"/>
          <w:sz w:val="24"/>
          <w:szCs w:val="24"/>
        </w:rPr>
        <w:t>8. Comments in Response to the Federal Register Notice and Efforts to Consult Outside the Agency</w:t>
      </w:r>
      <w:bookmarkEnd w:id="8"/>
    </w:p>
    <w:p w14:paraId="1EC16B72" w14:textId="494F17E5" w:rsidR="00EC556C" w:rsidRDefault="0012207D" w:rsidP="00EC556C">
      <w:r w:rsidRPr="0012207D">
        <w:rPr>
          <w:b/>
        </w:rPr>
        <w:t>A:</w:t>
      </w:r>
      <w:r>
        <w:t xml:space="preserve"> </w:t>
      </w:r>
      <w:r w:rsidR="00B462FB" w:rsidRPr="00E2141F">
        <w:t xml:space="preserve">A 60-day Federal Register Notice was published in the </w:t>
      </w:r>
      <w:r w:rsidR="00B462FB" w:rsidRPr="00C25737">
        <w:rPr>
          <w:i/>
        </w:rPr>
        <w:t>Federal Register</w:t>
      </w:r>
      <w:r w:rsidR="00B462FB" w:rsidRPr="00E2141F">
        <w:t xml:space="preserve"> on </w:t>
      </w:r>
      <w:r w:rsidR="00FA3F7F">
        <w:t>April 27, 2017</w:t>
      </w:r>
      <w:r w:rsidR="00C25737" w:rsidRPr="00C25737">
        <w:t>, vol.</w:t>
      </w:r>
      <w:r w:rsidR="00C25737">
        <w:t xml:space="preserve"> </w:t>
      </w:r>
      <w:r w:rsidR="00FA3F7F">
        <w:t>82</w:t>
      </w:r>
      <w:r w:rsidR="00FA3F7F" w:rsidRPr="00C25737">
        <w:t xml:space="preserve">, </w:t>
      </w:r>
      <w:r w:rsidR="00C25737" w:rsidRPr="00C25737">
        <w:t>No</w:t>
      </w:r>
      <w:r w:rsidR="00FA3F7F" w:rsidRPr="00C25737">
        <w:t>.</w:t>
      </w:r>
      <w:r w:rsidR="00FA3F7F">
        <w:t>80</w:t>
      </w:r>
      <w:r w:rsidR="00FA3F7F" w:rsidRPr="00C25737">
        <w:t xml:space="preserve">, </w:t>
      </w:r>
      <w:r w:rsidR="00C25737" w:rsidRPr="00C25737">
        <w:t>pp.</w:t>
      </w:r>
      <w:r w:rsidR="00C25737">
        <w:t xml:space="preserve"> </w:t>
      </w:r>
      <w:r w:rsidR="00FA3F7F">
        <w:t>19368</w:t>
      </w:r>
      <w:r w:rsidR="00FA3F7F" w:rsidRPr="00C25737">
        <w:t xml:space="preserve"> </w:t>
      </w:r>
      <w:r w:rsidR="00B462FB" w:rsidRPr="00E2141F">
        <w:t xml:space="preserve">(see </w:t>
      </w:r>
      <w:r w:rsidR="00E2141F" w:rsidRPr="00E2141F">
        <w:rPr>
          <w:b/>
        </w:rPr>
        <w:t>Attachment B – Published 60-day FRN</w:t>
      </w:r>
      <w:r w:rsidR="000E22F8" w:rsidRPr="00E2141F">
        <w:t>)</w:t>
      </w:r>
      <w:r w:rsidR="00E2141F">
        <w:t>.</w:t>
      </w:r>
      <w:r w:rsidR="00FA3F7F">
        <w:t xml:space="preserve"> </w:t>
      </w:r>
    </w:p>
    <w:p w14:paraId="37E97502" w14:textId="6F22B666" w:rsidR="00FA3F7F" w:rsidRDefault="00FA3F7F" w:rsidP="00EC556C">
      <w:r w:rsidRPr="00593EB1">
        <w:t>One comment was received</w:t>
      </w:r>
      <w:r w:rsidR="00593EB1" w:rsidRPr="00593EB1">
        <w:t xml:space="preserve"> (</w:t>
      </w:r>
      <w:r w:rsidR="00593EB1" w:rsidRPr="00593EB1">
        <w:rPr>
          <w:b/>
        </w:rPr>
        <w:t>Attachment B1</w:t>
      </w:r>
      <w:r w:rsidR="00593EB1" w:rsidRPr="00593EB1">
        <w:t>). CDC provided a standard response to the commenter</w:t>
      </w:r>
      <w:r w:rsidR="00E3542B">
        <w:t>.</w:t>
      </w:r>
    </w:p>
    <w:p w14:paraId="2912775F" w14:textId="61DD4788" w:rsidR="0012207D" w:rsidRDefault="0012207D" w:rsidP="00EC556C">
      <w:r w:rsidRPr="0012207D">
        <w:rPr>
          <w:b/>
        </w:rPr>
        <w:t>B:</w:t>
      </w:r>
      <w:r>
        <w:rPr>
          <w:b/>
        </w:rPr>
        <w:t xml:space="preserve"> </w:t>
      </w:r>
      <w:r w:rsidR="00050C8C">
        <w:t>C</w:t>
      </w:r>
      <w:r w:rsidR="00050C8C" w:rsidRPr="00050C8C">
        <w:t>onsultations outside of CDC did not occur</w:t>
      </w:r>
      <w:r w:rsidR="00050C8C">
        <w:t>.</w:t>
      </w:r>
    </w:p>
    <w:p w14:paraId="7D43AEEE" w14:textId="77777777" w:rsidR="00EC556C" w:rsidRPr="00CE688A" w:rsidRDefault="00EC556C" w:rsidP="00CE688A">
      <w:pPr>
        <w:pStyle w:val="Heading1"/>
        <w:rPr>
          <w:b/>
          <w:color w:val="000000" w:themeColor="text1"/>
          <w:sz w:val="24"/>
          <w:szCs w:val="24"/>
        </w:rPr>
      </w:pPr>
      <w:bookmarkStart w:id="9" w:name="_Toc468709683"/>
      <w:r w:rsidRPr="00CE688A">
        <w:rPr>
          <w:b/>
          <w:color w:val="000000" w:themeColor="text1"/>
          <w:sz w:val="24"/>
          <w:szCs w:val="24"/>
        </w:rPr>
        <w:t>9. Explanation of Any Payment or Gift to Respondents</w:t>
      </w:r>
      <w:bookmarkEnd w:id="9"/>
    </w:p>
    <w:p w14:paraId="289ADB58" w14:textId="77777777" w:rsidR="00EC556C" w:rsidRPr="00E2141F" w:rsidRDefault="00476FFF" w:rsidP="00EC556C">
      <w:r w:rsidRPr="00E2141F">
        <w:t>R</w:t>
      </w:r>
      <w:r w:rsidR="001D51FC" w:rsidRPr="00E2141F">
        <w:t xml:space="preserve">espondents will not be offered </w:t>
      </w:r>
      <w:r w:rsidRPr="00E2141F">
        <w:t>any incentives for</w:t>
      </w:r>
      <w:r w:rsidR="00EC556C" w:rsidRPr="00E2141F">
        <w:t xml:space="preserve"> their participation in surveys or interviews.</w:t>
      </w:r>
    </w:p>
    <w:p w14:paraId="57DD949C" w14:textId="02E6D86B" w:rsidR="00EC556C" w:rsidRPr="00CE688A" w:rsidRDefault="00EC556C" w:rsidP="00CE688A">
      <w:pPr>
        <w:pStyle w:val="Heading1"/>
        <w:rPr>
          <w:b/>
          <w:color w:val="000000" w:themeColor="text1"/>
          <w:sz w:val="24"/>
          <w:szCs w:val="24"/>
        </w:rPr>
      </w:pPr>
      <w:bookmarkStart w:id="10" w:name="_Toc468709684"/>
      <w:r w:rsidRPr="00CE688A">
        <w:rPr>
          <w:b/>
          <w:color w:val="000000" w:themeColor="text1"/>
          <w:sz w:val="24"/>
          <w:szCs w:val="24"/>
        </w:rPr>
        <w:t xml:space="preserve">10. </w:t>
      </w:r>
      <w:bookmarkEnd w:id="10"/>
      <w:r w:rsidR="001E771D">
        <w:rPr>
          <w:b/>
          <w:color w:val="000000" w:themeColor="text1"/>
          <w:sz w:val="24"/>
          <w:szCs w:val="24"/>
        </w:rPr>
        <w:t>Protection of the Privacy and Confidentiality of Information Provided by Respondents</w:t>
      </w:r>
    </w:p>
    <w:p w14:paraId="2792442F" w14:textId="19E935E5" w:rsidR="006D16C5" w:rsidRDefault="006D16C5" w:rsidP="006D16C5">
      <w:r>
        <w:rPr>
          <w:color w:val="000000"/>
        </w:rPr>
        <w:t xml:space="preserve">OPHPR determined that the Privacy Act is not applicable to this information collection. </w:t>
      </w:r>
      <w:r w:rsidRPr="006D16C5">
        <w:rPr>
          <w:color w:val="000000"/>
        </w:rPr>
        <w:t>The proposed information collection will not involve collecting or sharing respondents’ personal identification or place of residence. No personal identifiable information will be collected or retained.</w:t>
      </w:r>
      <w:r>
        <w:rPr>
          <w:color w:val="000000"/>
        </w:rPr>
        <w:t xml:space="preserve"> No information can be retrieved by name of the respondent. Individuals will be responding to the information collection completely voluntarily. Only de-identified data will be received by OPHPR.</w:t>
      </w:r>
    </w:p>
    <w:p w14:paraId="314E8EA6" w14:textId="77777777" w:rsidR="006D16C5" w:rsidRDefault="006D16C5" w:rsidP="006D16C5">
      <w:r w:rsidRPr="00DC5505">
        <w:t xml:space="preserve">The contractor will collect and analyze the project specific data. OPHPR will provide technical assistance in the design, implementation, and analysis of the project but will not be in contact with project participants (and will </w:t>
      </w:r>
      <w:r>
        <w:t xml:space="preserve">not </w:t>
      </w:r>
      <w:r w:rsidRPr="00DC5505">
        <w:t>have access</w:t>
      </w:r>
      <w:r>
        <w:t xml:space="preserve"> to</w:t>
      </w:r>
      <w:r w:rsidRPr="00DC5505">
        <w:t xml:space="preserve"> </w:t>
      </w:r>
      <w:r>
        <w:t>any personally identifiable information</w:t>
      </w:r>
      <w:r w:rsidRPr="00DC5505">
        <w:t>). All information provided by participants will be treated in a secure manner and will not be disclosed unless otherwise compelled by law. Participants will be informed prior to participation that their responses will be treated in a secure manner.</w:t>
      </w:r>
    </w:p>
    <w:p w14:paraId="2DC34C66" w14:textId="77777777" w:rsidR="006D16C5" w:rsidRDefault="006D16C5" w:rsidP="006D16C5">
      <w:r w:rsidRPr="00DC5505">
        <w:t>OPHPR, contractors, and the contractor organizations will follow procedures for securing and maintaining privacy during all stages of information collection.</w:t>
      </w:r>
    </w:p>
    <w:p w14:paraId="3856B395" w14:textId="77777777" w:rsidR="006D16C5" w:rsidRDefault="006D16C5" w:rsidP="006D16C5">
      <w:r w:rsidRPr="00DC5505">
        <w:t xml:space="preserve">Participants will be advised of the nature of the information collection activity, the length of time it will require, and that participation is purely voluntary. Participants will be assured that no penalties will occur if they wish not to respond to the information collection as a whole or to any specific questions. </w:t>
      </w:r>
      <w:r>
        <w:t xml:space="preserve">The exact language used to convey this information is provided </w:t>
      </w:r>
      <w:r w:rsidRPr="00E2141F">
        <w:t xml:space="preserve">in the data collection </w:t>
      </w:r>
      <w:r w:rsidRPr="00D15EC3">
        <w:t>materials (</w:t>
      </w:r>
      <w:r w:rsidRPr="00D15EC3">
        <w:rPr>
          <w:b/>
        </w:rPr>
        <w:t>Attachments C and D</w:t>
      </w:r>
      <w:r w:rsidRPr="00D15EC3">
        <w:t>)</w:t>
      </w:r>
      <w:r w:rsidRPr="00E2141F">
        <w:t xml:space="preserve"> and in the recruitment letters </w:t>
      </w:r>
      <w:r>
        <w:t>(</w:t>
      </w:r>
      <w:r w:rsidRPr="00E2141F">
        <w:rPr>
          <w:b/>
        </w:rPr>
        <w:t>Attachments E</w:t>
      </w:r>
      <w:r>
        <w:rPr>
          <w:b/>
        </w:rPr>
        <w:t xml:space="preserve"> and</w:t>
      </w:r>
      <w:r w:rsidRPr="00E2141F">
        <w:rPr>
          <w:b/>
        </w:rPr>
        <w:t xml:space="preserve"> F</w:t>
      </w:r>
      <w:r w:rsidRPr="00B45AB8">
        <w:t>)</w:t>
      </w:r>
      <w:r>
        <w:t xml:space="preserve">. </w:t>
      </w:r>
      <w:r w:rsidRPr="00E2141F">
        <w:t>Participants will provide informed consent verbally at the start of all interviews (</w:t>
      </w:r>
      <w:r w:rsidRPr="00E2141F">
        <w:rPr>
          <w:b/>
        </w:rPr>
        <w:t>Attachment C</w:t>
      </w:r>
      <w:r w:rsidRPr="00E2141F">
        <w:t xml:space="preserve">) and will indicate their informed consent </w:t>
      </w:r>
      <w:r>
        <w:t xml:space="preserve">electronically </w:t>
      </w:r>
      <w:r w:rsidRPr="00E2141F">
        <w:t>prior to starting the online survey (</w:t>
      </w:r>
      <w:r w:rsidRPr="00E2141F">
        <w:rPr>
          <w:b/>
        </w:rPr>
        <w:t>Attachment D</w:t>
      </w:r>
      <w:r w:rsidRPr="00E2141F">
        <w:t>).</w:t>
      </w:r>
    </w:p>
    <w:p w14:paraId="71341C64" w14:textId="77777777" w:rsidR="006D16C5" w:rsidRDefault="006D16C5" w:rsidP="006D16C5">
      <w:r>
        <w:t>All data will be stored in secure electronic files maintained by the contractor and will be accessible only to staff directly involved in the project. All members of the project will be required to sign a statement pledging their personal commitment to guarding the security of collected information. Online information collections will conform completely to federal regulations [the Hawkins-Stafford Amendments of 1988 (P.L. 100-297) and the Computer Security Act of 1987]; all information will be maintained in a password protected secure location. Stored transcripts will not contain personally identifiable information.</w:t>
      </w:r>
    </w:p>
    <w:p w14:paraId="77320A2E" w14:textId="3CD97D8A" w:rsidR="006D16C5" w:rsidRDefault="006D16C5" w:rsidP="006D16C5">
      <w:r>
        <w:t>No system of records is being created for this information collection. No personal identifiable information will be collected or retained.</w:t>
      </w:r>
    </w:p>
    <w:p w14:paraId="643B01C0" w14:textId="77777777" w:rsidR="006D16C5" w:rsidRPr="00E2141F" w:rsidRDefault="006D16C5" w:rsidP="006D16C5">
      <w:r>
        <w:t>The proposed collection will not impact the respondents’ privacy. All collected information will remain secure. Collected information including interview transcripts will be entered into appropriate data management systems and will not be linkable to personally identifiable information. Final electronic data (transcripts and summary reports) will be maintained by OPHPR. Analysis and resulting publications will not include any personal identifying information.</w:t>
      </w:r>
    </w:p>
    <w:p w14:paraId="145D8370" w14:textId="233F5E38" w:rsidR="00EC556C" w:rsidRPr="00CE688A" w:rsidRDefault="00EC556C" w:rsidP="00CE688A">
      <w:pPr>
        <w:pStyle w:val="Heading1"/>
        <w:rPr>
          <w:b/>
          <w:color w:val="000000" w:themeColor="text1"/>
          <w:sz w:val="24"/>
          <w:szCs w:val="24"/>
        </w:rPr>
      </w:pPr>
      <w:bookmarkStart w:id="11" w:name="_Toc468709685"/>
      <w:r w:rsidRPr="00CE688A">
        <w:rPr>
          <w:b/>
          <w:color w:val="000000" w:themeColor="text1"/>
          <w:sz w:val="24"/>
          <w:szCs w:val="24"/>
        </w:rPr>
        <w:t xml:space="preserve">11. </w:t>
      </w:r>
      <w:r w:rsidR="001E771D">
        <w:rPr>
          <w:b/>
          <w:color w:val="000000" w:themeColor="text1"/>
          <w:sz w:val="24"/>
          <w:szCs w:val="24"/>
        </w:rPr>
        <w:t xml:space="preserve">Institution Review Board (IRB) and </w:t>
      </w:r>
      <w:r w:rsidRPr="00CE688A">
        <w:rPr>
          <w:b/>
          <w:color w:val="000000" w:themeColor="text1"/>
          <w:sz w:val="24"/>
          <w:szCs w:val="24"/>
        </w:rPr>
        <w:t>Justification for Sensitive Questions</w:t>
      </w:r>
      <w:bookmarkEnd w:id="11"/>
    </w:p>
    <w:p w14:paraId="49828E42" w14:textId="77777777" w:rsidR="001E771D" w:rsidRPr="005B7AD2" w:rsidRDefault="001E771D" w:rsidP="001E771D">
      <w:r>
        <w:t xml:space="preserve">An </w:t>
      </w:r>
      <w:r w:rsidRPr="00E2141F">
        <w:t xml:space="preserve">Institutional Review Board (IRB) review </w:t>
      </w:r>
      <w:r>
        <w:t>was not required</w:t>
      </w:r>
      <w:r w:rsidRPr="00E2141F">
        <w:t xml:space="preserve"> for this study. An IRB Exemption Letter is included as </w:t>
      </w:r>
      <w:r w:rsidRPr="00E2141F">
        <w:rPr>
          <w:b/>
        </w:rPr>
        <w:t>Attachment G</w:t>
      </w:r>
      <w:r w:rsidRPr="00E2141F">
        <w:t>.</w:t>
      </w:r>
    </w:p>
    <w:p w14:paraId="628815B6" w14:textId="0FD4E563" w:rsidR="005629FC" w:rsidRDefault="007346C7" w:rsidP="005629FC">
      <w:r w:rsidRPr="005B7AD2">
        <w:t>The research team does not plan to ask any</w:t>
      </w:r>
      <w:r w:rsidR="005629FC" w:rsidRPr="005B7AD2">
        <w:t xml:space="preserve"> potentially sensitive </w:t>
      </w:r>
      <w:r w:rsidRPr="005B7AD2">
        <w:t xml:space="preserve">personal </w:t>
      </w:r>
      <w:r w:rsidR="005629FC" w:rsidRPr="005B7AD2">
        <w:t xml:space="preserve">questions </w:t>
      </w:r>
      <w:r w:rsidRPr="005B7AD2">
        <w:t xml:space="preserve">during </w:t>
      </w:r>
      <w:r w:rsidR="006732BB">
        <w:t xml:space="preserve">the </w:t>
      </w:r>
      <w:r w:rsidRPr="005B7AD2">
        <w:t>interviews or during the</w:t>
      </w:r>
      <w:r w:rsidR="005629FC" w:rsidRPr="005B7AD2">
        <w:t xml:space="preserve"> survey</w:t>
      </w:r>
      <w:r w:rsidR="00AF6E3B">
        <w:t xml:space="preserve">. </w:t>
      </w:r>
      <w:r w:rsidR="004338BC" w:rsidRPr="005B7AD2">
        <w:t>Respondents will be asked questions about the organizations where they are employed, but the disclosure of this non-sensitive information should not result in liability or competitive disadvantage to the</w:t>
      </w:r>
      <w:r w:rsidR="006732BB">
        <w:t>ir</w:t>
      </w:r>
      <w:r w:rsidR="004338BC" w:rsidRPr="005B7AD2">
        <w:t xml:space="preserve"> organization.</w:t>
      </w:r>
      <w:r w:rsidR="00B213EE">
        <w:t xml:space="preserve">  Respondents will also have the option, and will be informed that they have the option, to skip any questions that they feel uncomfortable answering.</w:t>
      </w:r>
    </w:p>
    <w:p w14:paraId="19B5BF89" w14:textId="77777777" w:rsidR="00EC556C" w:rsidRPr="00CE688A" w:rsidRDefault="00EC556C" w:rsidP="00CE688A">
      <w:pPr>
        <w:pStyle w:val="Heading1"/>
        <w:rPr>
          <w:b/>
          <w:color w:val="000000" w:themeColor="text1"/>
          <w:sz w:val="24"/>
          <w:szCs w:val="24"/>
        </w:rPr>
      </w:pPr>
      <w:bookmarkStart w:id="12" w:name="_Toc468709686"/>
      <w:r w:rsidRPr="00CE688A">
        <w:rPr>
          <w:b/>
          <w:color w:val="000000" w:themeColor="text1"/>
          <w:sz w:val="24"/>
          <w:szCs w:val="24"/>
        </w:rPr>
        <w:t xml:space="preserve">12. Estimates of Annualized Burden Hours and </w:t>
      </w:r>
      <w:r w:rsidR="004338BC" w:rsidRPr="00CE688A">
        <w:rPr>
          <w:b/>
          <w:color w:val="000000" w:themeColor="text1"/>
          <w:sz w:val="24"/>
          <w:szCs w:val="24"/>
        </w:rPr>
        <w:t>C</w:t>
      </w:r>
      <w:r w:rsidRPr="00CE688A">
        <w:rPr>
          <w:b/>
          <w:color w:val="000000" w:themeColor="text1"/>
          <w:sz w:val="24"/>
          <w:szCs w:val="24"/>
        </w:rPr>
        <w:t>osts</w:t>
      </w:r>
      <w:bookmarkEnd w:id="12"/>
    </w:p>
    <w:p w14:paraId="6C81AB21" w14:textId="08A7641E" w:rsidR="004338BC" w:rsidRPr="005B7AD2" w:rsidRDefault="00EC556C" w:rsidP="0057562C">
      <w:r w:rsidRPr="005B7AD2">
        <w:t>Thi</w:t>
      </w:r>
      <w:r w:rsidR="00800B21" w:rsidRPr="005B7AD2">
        <w:t xml:space="preserve">s </w:t>
      </w:r>
      <w:r w:rsidR="004338BC" w:rsidRPr="005B7AD2">
        <w:t xml:space="preserve">project </w:t>
      </w:r>
      <w:r w:rsidR="00800B21" w:rsidRPr="005B7AD2">
        <w:t xml:space="preserve">has two </w:t>
      </w:r>
      <w:r w:rsidR="004338BC" w:rsidRPr="005B7AD2">
        <w:t xml:space="preserve">data collection </w:t>
      </w:r>
      <w:r w:rsidR="00800B21" w:rsidRPr="005B7AD2">
        <w:t>components</w:t>
      </w:r>
      <w:r w:rsidR="00AF6E3B">
        <w:t xml:space="preserve">. </w:t>
      </w:r>
      <w:r w:rsidR="004338BC" w:rsidRPr="005B7AD2">
        <w:t>The first will be</w:t>
      </w:r>
      <w:r w:rsidR="00800B21" w:rsidRPr="005B7AD2">
        <w:t xml:space="preserve"> </w:t>
      </w:r>
      <w:r w:rsidR="002A412E">
        <w:t xml:space="preserve">an interview </w:t>
      </w:r>
      <w:r w:rsidR="009B781E" w:rsidRPr="005B7AD2">
        <w:t>campaign</w:t>
      </w:r>
      <w:r w:rsidR="002A412E">
        <w:t xml:space="preserve"> </w:t>
      </w:r>
      <w:r w:rsidR="004338BC" w:rsidRPr="005B7AD2">
        <w:t xml:space="preserve">conducted by the research team with decision-makers at private </w:t>
      </w:r>
      <w:r w:rsidR="00E8018C">
        <w:t xml:space="preserve">sector </w:t>
      </w:r>
      <w:r w:rsidR="004338BC" w:rsidRPr="005B7AD2">
        <w:t xml:space="preserve">organizations </w:t>
      </w:r>
      <w:r w:rsidR="002A412E">
        <w:t>across eight industry groups</w:t>
      </w:r>
      <w:r w:rsidR="002A412E" w:rsidRPr="005B7AD2">
        <w:t xml:space="preserve"> </w:t>
      </w:r>
      <w:r w:rsidR="005B6694" w:rsidRPr="005B7AD2">
        <w:t>involved in the</w:t>
      </w:r>
      <w:r w:rsidR="004338BC" w:rsidRPr="005B7AD2">
        <w:t xml:space="preserve"> </w:t>
      </w:r>
      <w:r w:rsidR="005B6694" w:rsidRPr="005B7AD2">
        <w:t>PHPR</w:t>
      </w:r>
      <w:r w:rsidR="004338BC" w:rsidRPr="005B7AD2">
        <w:t xml:space="preserve"> space</w:t>
      </w:r>
      <w:r w:rsidR="00AF6E3B">
        <w:t xml:space="preserve">. </w:t>
      </w:r>
      <w:r w:rsidR="004B7ED9" w:rsidRPr="005B7AD2">
        <w:t>T</w:t>
      </w:r>
      <w:r w:rsidR="004338BC" w:rsidRPr="005B7AD2">
        <w:t>he second will consist of a</w:t>
      </w:r>
      <w:r w:rsidR="005B6694" w:rsidRPr="005B7AD2">
        <w:t xml:space="preserve"> </w:t>
      </w:r>
      <w:r w:rsidR="009B781E" w:rsidRPr="005B7AD2">
        <w:t xml:space="preserve">single </w:t>
      </w:r>
      <w:r w:rsidR="005B6694" w:rsidRPr="005B7AD2">
        <w:t xml:space="preserve">standard </w:t>
      </w:r>
      <w:r w:rsidR="004338BC" w:rsidRPr="005B7AD2">
        <w:t xml:space="preserve">online </w:t>
      </w:r>
      <w:r w:rsidR="00E8018C">
        <w:t xml:space="preserve">Public-Private </w:t>
      </w:r>
      <w:r w:rsidR="004B7ED9" w:rsidRPr="005B7AD2">
        <w:t>Partnership S</w:t>
      </w:r>
      <w:r w:rsidRPr="005B7AD2">
        <w:t>urvey</w:t>
      </w:r>
      <w:r w:rsidR="004338BC" w:rsidRPr="005B7AD2">
        <w:t xml:space="preserve"> </w:t>
      </w:r>
      <w:r w:rsidR="004B7ED9" w:rsidRPr="005B7AD2">
        <w:t xml:space="preserve">(PPP Survey) </w:t>
      </w:r>
      <w:r w:rsidR="005B6694" w:rsidRPr="005B7AD2">
        <w:t>for all decision-makers across all industries</w:t>
      </w:r>
      <w:r w:rsidR="00AF6E3B">
        <w:t xml:space="preserve">. </w:t>
      </w:r>
      <w:r w:rsidR="009B781E" w:rsidRPr="005B7AD2">
        <w:t>The survey will be conducted using the software platform Qualtrics</w:t>
      </w:r>
      <w:r w:rsidR="00AF6E3B">
        <w:t xml:space="preserve">. </w:t>
      </w:r>
      <w:r w:rsidR="00E975D6" w:rsidRPr="005B7AD2">
        <w:t xml:space="preserve">All data collection will </w:t>
      </w:r>
      <w:r w:rsidR="009B781E" w:rsidRPr="005B7AD2">
        <w:t>be completed within a single year</w:t>
      </w:r>
      <w:r w:rsidR="00782C0F">
        <w:t xml:space="preserve"> after OMB approval</w:t>
      </w:r>
      <w:r w:rsidR="009B781E" w:rsidRPr="005B7AD2">
        <w:t>, therefore the numbers below are all total numbers and have not been annualized over a multi-year period.</w:t>
      </w:r>
    </w:p>
    <w:p w14:paraId="458F1251" w14:textId="009C6406" w:rsidR="0057562C" w:rsidRPr="005B7AD2" w:rsidRDefault="00D30241" w:rsidP="0057562C">
      <w:r w:rsidRPr="005B7AD2">
        <w:rPr>
          <w:b/>
        </w:rPr>
        <w:t>Exhibit</w:t>
      </w:r>
      <w:r w:rsidR="00CF1C0D" w:rsidRPr="005B7AD2">
        <w:rPr>
          <w:b/>
        </w:rPr>
        <w:t>s</w:t>
      </w:r>
      <w:r w:rsidRPr="005B7AD2">
        <w:rPr>
          <w:b/>
        </w:rPr>
        <w:t xml:space="preserve"> 1</w:t>
      </w:r>
      <w:r w:rsidR="00CF1C0D" w:rsidRPr="005B7AD2">
        <w:rPr>
          <w:b/>
        </w:rPr>
        <w:t xml:space="preserve"> and 2</w:t>
      </w:r>
      <w:r w:rsidR="00CF1C0D" w:rsidRPr="005B7AD2">
        <w:t xml:space="preserve"> summarize</w:t>
      </w:r>
      <w:r w:rsidRPr="005B7AD2">
        <w:t xml:space="preserve"> the estimated annualized burden in hours and </w:t>
      </w:r>
      <w:r w:rsidR="00782C0F">
        <w:t xml:space="preserve">estimated </w:t>
      </w:r>
      <w:r w:rsidRPr="005B7AD2">
        <w:t>cost that both data collectio</w:t>
      </w:r>
      <w:r w:rsidR="00153585">
        <w:t xml:space="preserve">n activities will require. The time </w:t>
      </w:r>
      <w:r w:rsidR="00050C8C">
        <w:t>estimates are based on the past experiences of the research team in similar data collection situations</w:t>
      </w:r>
      <w:r w:rsidR="00153585" w:rsidRPr="00153585">
        <w:t>.</w:t>
      </w:r>
      <w:r w:rsidR="00153585">
        <w:t xml:space="preserve">  </w:t>
      </w:r>
      <w:r w:rsidR="009C7ADE">
        <w:t>A</w:t>
      </w:r>
      <w:r w:rsidRPr="005B7AD2">
        <w:t xml:space="preserve">ll hourly wages </w:t>
      </w:r>
      <w:r w:rsidR="00621484" w:rsidRPr="005B7AD2">
        <w:t xml:space="preserve">are taken from </w:t>
      </w:r>
      <w:r w:rsidR="009B781E" w:rsidRPr="005B7AD2">
        <w:t>data provided by the</w:t>
      </w:r>
      <w:r w:rsidR="0017610A" w:rsidRPr="005B7AD2">
        <w:t xml:space="preserve"> </w:t>
      </w:r>
      <w:r w:rsidR="009B781E" w:rsidRPr="005B7AD2">
        <w:t>U.S. Department of Labor’s</w:t>
      </w:r>
      <w:r w:rsidR="0017610A" w:rsidRPr="005B7AD2">
        <w:t xml:space="preserve"> Bureau of Labor Statistics</w:t>
      </w:r>
      <w:r w:rsidR="00AF6E3B">
        <w:t xml:space="preserve">. </w:t>
      </w:r>
      <w:r w:rsidR="003F63C9" w:rsidRPr="005B7AD2">
        <w:t xml:space="preserve">The </w:t>
      </w:r>
      <w:r w:rsidR="009B781E" w:rsidRPr="005B7AD2">
        <w:t xml:space="preserve">details for the </w:t>
      </w:r>
      <w:r w:rsidR="00C21942">
        <w:t xml:space="preserve">interview campaign are summarized in the first line of </w:t>
      </w:r>
      <w:r w:rsidR="00CF1C0D" w:rsidRPr="005B7AD2">
        <w:rPr>
          <w:b/>
        </w:rPr>
        <w:t xml:space="preserve">Exhibits </w:t>
      </w:r>
      <w:r w:rsidR="003F63C9" w:rsidRPr="005B7AD2">
        <w:rPr>
          <w:b/>
        </w:rPr>
        <w:t>1</w:t>
      </w:r>
      <w:r w:rsidR="00CF1C0D" w:rsidRPr="005B7AD2">
        <w:rPr>
          <w:b/>
        </w:rPr>
        <w:t xml:space="preserve"> and 2</w:t>
      </w:r>
      <w:r w:rsidR="009B781E" w:rsidRPr="005B7AD2">
        <w:t xml:space="preserve">, and the information for the online survey is provided in </w:t>
      </w:r>
      <w:r w:rsidR="002A412E">
        <w:t>the second line</w:t>
      </w:r>
      <w:r w:rsidR="00AF6E3B">
        <w:t xml:space="preserve">. </w:t>
      </w:r>
      <w:r w:rsidR="00782C0F">
        <w:t xml:space="preserve">The research team will continue to contact new potential interviewees until the target sample size </w:t>
      </w:r>
      <w:r w:rsidR="002A412E">
        <w:t>of 45 is</w:t>
      </w:r>
      <w:r w:rsidR="00782C0F">
        <w:t xml:space="preserve"> met for the</w:t>
      </w:r>
      <w:r w:rsidR="00153585" w:rsidRPr="005B7AD2">
        <w:t xml:space="preserve"> interview campaign</w:t>
      </w:r>
      <w:r w:rsidR="00782C0F">
        <w:t xml:space="preserve">.  </w:t>
      </w:r>
      <w:r w:rsidRPr="005B7AD2">
        <w:t xml:space="preserve">The </w:t>
      </w:r>
      <w:r w:rsidR="005B6694" w:rsidRPr="005B7AD2">
        <w:t xml:space="preserve">research team </w:t>
      </w:r>
      <w:r w:rsidR="005F4D3E" w:rsidRPr="005B7AD2">
        <w:t>anticipate</w:t>
      </w:r>
      <w:r w:rsidR="005B6694" w:rsidRPr="005B7AD2">
        <w:t>s</w:t>
      </w:r>
      <w:r w:rsidR="005F4D3E" w:rsidRPr="005B7AD2">
        <w:t xml:space="preserve"> a response rate of </w:t>
      </w:r>
      <w:r w:rsidR="005B6694" w:rsidRPr="005B7AD2">
        <w:t xml:space="preserve">approximately </w:t>
      </w:r>
      <w:r w:rsidR="005F4D3E" w:rsidRPr="005B7AD2">
        <w:t>5</w:t>
      </w:r>
      <w:r w:rsidR="005B6694" w:rsidRPr="005B7AD2">
        <w:t>0</w:t>
      </w:r>
      <w:r w:rsidR="005F4D3E" w:rsidRPr="005B7AD2">
        <w:t>% for the survey</w:t>
      </w:r>
      <w:r w:rsidR="009B781E" w:rsidRPr="005B7AD2">
        <w:t xml:space="preserve"> and</w:t>
      </w:r>
      <w:r w:rsidR="005B6694" w:rsidRPr="005B7AD2">
        <w:t xml:space="preserve"> plans to contact 200 individuals to reach an overall survey sample population of 100</w:t>
      </w:r>
      <w:r w:rsidR="009B781E" w:rsidRPr="005B7AD2">
        <w:t xml:space="preserve"> respondents</w:t>
      </w:r>
      <w:r w:rsidR="005B6694" w:rsidRPr="005B7AD2">
        <w:t>.</w:t>
      </w:r>
    </w:p>
    <w:p w14:paraId="1CBE74AF" w14:textId="77777777" w:rsidR="00EC556C" w:rsidRPr="00C4039E" w:rsidRDefault="00EC556C" w:rsidP="00EC556C">
      <w:pPr>
        <w:spacing w:after="0"/>
        <w:rPr>
          <w:b/>
        </w:rPr>
      </w:pPr>
      <w:r w:rsidRPr="00C4039E">
        <w:rPr>
          <w:b/>
        </w:rPr>
        <w:t>Exhibit 1: Estimated Annualized Burden Hours</w:t>
      </w:r>
    </w:p>
    <w:tbl>
      <w:tblPr>
        <w:tblStyle w:val="TableGrid"/>
        <w:tblW w:w="9355" w:type="dxa"/>
        <w:tblLayout w:type="fixed"/>
        <w:tblLook w:val="04A0" w:firstRow="1" w:lastRow="0" w:firstColumn="1" w:lastColumn="0" w:noHBand="0" w:noVBand="1"/>
      </w:tblPr>
      <w:tblGrid>
        <w:gridCol w:w="2335"/>
        <w:gridCol w:w="1800"/>
        <w:gridCol w:w="1440"/>
        <w:gridCol w:w="1350"/>
        <w:gridCol w:w="1260"/>
        <w:gridCol w:w="1170"/>
      </w:tblGrid>
      <w:tr w:rsidR="005B7AD2" w:rsidRPr="00C4039E" w14:paraId="501FBD21" w14:textId="77777777" w:rsidTr="00761A65">
        <w:trPr>
          <w:trHeight w:val="1223"/>
        </w:trPr>
        <w:tc>
          <w:tcPr>
            <w:tcW w:w="2335" w:type="dxa"/>
            <w:vAlign w:val="center"/>
          </w:tcPr>
          <w:p w14:paraId="518F2D72" w14:textId="77777777" w:rsidR="003F63C9" w:rsidRPr="00C4039E" w:rsidRDefault="003F63C9" w:rsidP="00761A65">
            <w:pPr>
              <w:rPr>
                <w:b/>
              </w:rPr>
            </w:pPr>
            <w:r w:rsidRPr="00C4039E">
              <w:rPr>
                <w:b/>
              </w:rPr>
              <w:t xml:space="preserve"> Respondents</w:t>
            </w:r>
          </w:p>
        </w:tc>
        <w:tc>
          <w:tcPr>
            <w:tcW w:w="1800" w:type="dxa"/>
            <w:vAlign w:val="center"/>
          </w:tcPr>
          <w:p w14:paraId="7CCF6060" w14:textId="77777777" w:rsidR="003F63C9" w:rsidRPr="00C4039E" w:rsidRDefault="003F63C9">
            <w:pPr>
              <w:jc w:val="center"/>
              <w:rPr>
                <w:b/>
              </w:rPr>
            </w:pPr>
            <w:r w:rsidRPr="00C4039E">
              <w:rPr>
                <w:b/>
              </w:rPr>
              <w:t>Form Name</w:t>
            </w:r>
          </w:p>
        </w:tc>
        <w:tc>
          <w:tcPr>
            <w:tcW w:w="1440" w:type="dxa"/>
            <w:vAlign w:val="center"/>
          </w:tcPr>
          <w:p w14:paraId="3AB14DA5" w14:textId="77777777" w:rsidR="003F63C9" w:rsidRPr="00C4039E" w:rsidRDefault="003F63C9" w:rsidP="00CD38C7">
            <w:pPr>
              <w:jc w:val="center"/>
              <w:rPr>
                <w:b/>
              </w:rPr>
            </w:pPr>
            <w:r w:rsidRPr="00C4039E">
              <w:rPr>
                <w:b/>
              </w:rPr>
              <w:t>N</w:t>
            </w:r>
            <w:r w:rsidR="00C9109D" w:rsidRPr="00C4039E">
              <w:rPr>
                <w:b/>
              </w:rPr>
              <w:t>umber</w:t>
            </w:r>
            <w:r w:rsidRPr="00C4039E">
              <w:rPr>
                <w:b/>
              </w:rPr>
              <w:t xml:space="preserve"> of Respondents</w:t>
            </w:r>
          </w:p>
        </w:tc>
        <w:tc>
          <w:tcPr>
            <w:tcW w:w="1350" w:type="dxa"/>
            <w:vAlign w:val="center"/>
          </w:tcPr>
          <w:p w14:paraId="3EFC75B4" w14:textId="77777777" w:rsidR="003F63C9" w:rsidRPr="00C4039E" w:rsidRDefault="00C9109D" w:rsidP="00CD38C7">
            <w:pPr>
              <w:jc w:val="center"/>
              <w:rPr>
                <w:b/>
              </w:rPr>
            </w:pPr>
            <w:r w:rsidRPr="00C4039E">
              <w:rPr>
                <w:b/>
              </w:rPr>
              <w:t>Number</w:t>
            </w:r>
            <w:r w:rsidR="003F63C9" w:rsidRPr="00C4039E">
              <w:rPr>
                <w:b/>
              </w:rPr>
              <w:t xml:space="preserve"> of Responses per </w:t>
            </w:r>
            <w:r w:rsidRPr="00C4039E">
              <w:rPr>
                <w:b/>
              </w:rPr>
              <w:t>Respondent</w:t>
            </w:r>
          </w:p>
        </w:tc>
        <w:tc>
          <w:tcPr>
            <w:tcW w:w="1260" w:type="dxa"/>
            <w:vAlign w:val="center"/>
          </w:tcPr>
          <w:p w14:paraId="763C4E28" w14:textId="77777777" w:rsidR="003F63C9" w:rsidRPr="00C4039E" w:rsidRDefault="003F63C9">
            <w:pPr>
              <w:jc w:val="center"/>
              <w:rPr>
                <w:b/>
              </w:rPr>
            </w:pPr>
            <w:r w:rsidRPr="00C4039E">
              <w:rPr>
                <w:b/>
              </w:rPr>
              <w:t>Average Burden per Response (in hours)</w:t>
            </w:r>
          </w:p>
        </w:tc>
        <w:tc>
          <w:tcPr>
            <w:tcW w:w="1170" w:type="dxa"/>
            <w:vAlign w:val="center"/>
          </w:tcPr>
          <w:p w14:paraId="028F5796" w14:textId="77777777" w:rsidR="003F63C9" w:rsidRPr="00C4039E" w:rsidRDefault="003F63C9" w:rsidP="00CD38C7">
            <w:pPr>
              <w:jc w:val="center"/>
              <w:rPr>
                <w:b/>
              </w:rPr>
            </w:pPr>
            <w:r w:rsidRPr="00C4039E">
              <w:rPr>
                <w:b/>
              </w:rPr>
              <w:t>Total Burden (in hours)</w:t>
            </w:r>
          </w:p>
        </w:tc>
      </w:tr>
      <w:tr w:rsidR="005B7AD2" w:rsidRPr="00C4039E" w14:paraId="6D5A1D01" w14:textId="77777777" w:rsidTr="00D64ABB">
        <w:trPr>
          <w:trHeight w:val="300"/>
        </w:trPr>
        <w:tc>
          <w:tcPr>
            <w:tcW w:w="2335" w:type="dxa"/>
            <w:tcBorders>
              <w:top w:val="nil"/>
              <w:left w:val="single" w:sz="8" w:space="0" w:color="auto"/>
              <w:bottom w:val="single" w:sz="8" w:space="0" w:color="auto"/>
              <w:right w:val="single" w:sz="8" w:space="0" w:color="auto"/>
            </w:tcBorders>
            <w:shd w:val="clear" w:color="auto" w:fill="auto"/>
            <w:noWrap/>
            <w:vAlign w:val="center"/>
          </w:tcPr>
          <w:p w14:paraId="6CA77833" w14:textId="7A919AA9" w:rsidR="00D64ABB" w:rsidRPr="00C4039E" w:rsidRDefault="00B523E5" w:rsidP="00D64ABB">
            <w:pPr>
              <w:rPr>
                <w:rFonts w:eastAsia="Times New Roman" w:cs="Times New Roman"/>
              </w:rPr>
            </w:pPr>
            <w:r>
              <w:rPr>
                <w:rFonts w:cs="Arial"/>
              </w:rPr>
              <w:t>Private Sector Organization Senior Leaders</w:t>
            </w:r>
          </w:p>
        </w:tc>
        <w:tc>
          <w:tcPr>
            <w:tcW w:w="1800" w:type="dxa"/>
            <w:tcBorders>
              <w:top w:val="nil"/>
              <w:left w:val="nil"/>
              <w:bottom w:val="single" w:sz="8" w:space="0" w:color="auto"/>
              <w:right w:val="single" w:sz="8" w:space="0" w:color="auto"/>
            </w:tcBorders>
            <w:shd w:val="clear" w:color="auto" w:fill="auto"/>
            <w:noWrap/>
            <w:vAlign w:val="center"/>
          </w:tcPr>
          <w:p w14:paraId="6FBB2BDE" w14:textId="77777777" w:rsidR="00D64ABB" w:rsidRPr="00C4039E" w:rsidRDefault="00D64ABB" w:rsidP="00D64ABB">
            <w:pPr>
              <w:rPr>
                <w:rFonts w:eastAsia="Times New Roman" w:cs="Times New Roman"/>
              </w:rPr>
            </w:pPr>
            <w:r w:rsidRPr="00C4039E">
              <w:rPr>
                <w:rFonts w:cs="Arial"/>
              </w:rPr>
              <w:t>Interview Guide</w:t>
            </w:r>
          </w:p>
        </w:tc>
        <w:tc>
          <w:tcPr>
            <w:tcW w:w="1440" w:type="dxa"/>
            <w:tcBorders>
              <w:top w:val="nil"/>
              <w:left w:val="nil"/>
              <w:bottom w:val="single" w:sz="8" w:space="0" w:color="auto"/>
              <w:right w:val="single" w:sz="8" w:space="0" w:color="auto"/>
            </w:tcBorders>
            <w:shd w:val="clear" w:color="auto" w:fill="auto"/>
            <w:noWrap/>
            <w:vAlign w:val="center"/>
          </w:tcPr>
          <w:p w14:paraId="7A8EE0DA" w14:textId="4A10F6E0" w:rsidR="00D64ABB" w:rsidRPr="00C4039E" w:rsidRDefault="00B523E5" w:rsidP="00D64ABB">
            <w:pPr>
              <w:jc w:val="right"/>
              <w:rPr>
                <w:rFonts w:eastAsia="Times New Roman" w:cs="Times New Roman"/>
              </w:rPr>
            </w:pPr>
            <w:r>
              <w:rPr>
                <w:rFonts w:cs="Arial"/>
              </w:rPr>
              <w:t>45</w:t>
            </w:r>
          </w:p>
        </w:tc>
        <w:tc>
          <w:tcPr>
            <w:tcW w:w="1350" w:type="dxa"/>
            <w:tcBorders>
              <w:top w:val="nil"/>
              <w:left w:val="nil"/>
              <w:bottom w:val="single" w:sz="8" w:space="0" w:color="auto"/>
              <w:right w:val="single" w:sz="8" w:space="0" w:color="auto"/>
            </w:tcBorders>
            <w:shd w:val="clear" w:color="auto" w:fill="auto"/>
            <w:noWrap/>
            <w:vAlign w:val="center"/>
          </w:tcPr>
          <w:p w14:paraId="5654F91D" w14:textId="77777777" w:rsidR="00D64ABB" w:rsidRPr="00C4039E" w:rsidRDefault="00D64ABB" w:rsidP="00D64ABB">
            <w:pPr>
              <w:jc w:val="right"/>
              <w:rPr>
                <w:rFonts w:eastAsia="Times New Roman" w:cs="Times New Roman"/>
              </w:rPr>
            </w:pPr>
            <w:r w:rsidRPr="00C4039E">
              <w:rPr>
                <w:rFonts w:cs="Arial"/>
              </w:rPr>
              <w:t>1</w:t>
            </w:r>
          </w:p>
        </w:tc>
        <w:tc>
          <w:tcPr>
            <w:tcW w:w="1260" w:type="dxa"/>
            <w:tcBorders>
              <w:top w:val="nil"/>
              <w:left w:val="nil"/>
              <w:bottom w:val="single" w:sz="8" w:space="0" w:color="auto"/>
              <w:right w:val="single" w:sz="8" w:space="0" w:color="auto"/>
            </w:tcBorders>
            <w:shd w:val="clear" w:color="auto" w:fill="auto"/>
            <w:noWrap/>
            <w:vAlign w:val="center"/>
          </w:tcPr>
          <w:p w14:paraId="14E5B95C" w14:textId="77777777" w:rsidR="00D64ABB" w:rsidRPr="00C4039E" w:rsidRDefault="00D64ABB" w:rsidP="00D64ABB">
            <w:pPr>
              <w:jc w:val="right"/>
              <w:rPr>
                <w:rFonts w:eastAsia="Times New Roman" w:cs="Times New Roman"/>
              </w:rPr>
            </w:pPr>
            <w:r w:rsidRPr="00C4039E">
              <w:rPr>
                <w:rFonts w:cs="Arial"/>
              </w:rPr>
              <w:t>1</w:t>
            </w:r>
          </w:p>
        </w:tc>
        <w:tc>
          <w:tcPr>
            <w:tcW w:w="1170" w:type="dxa"/>
            <w:tcBorders>
              <w:top w:val="nil"/>
              <w:left w:val="nil"/>
              <w:bottom w:val="single" w:sz="8" w:space="0" w:color="auto"/>
              <w:right w:val="single" w:sz="8" w:space="0" w:color="auto"/>
            </w:tcBorders>
            <w:shd w:val="clear" w:color="auto" w:fill="auto"/>
            <w:noWrap/>
            <w:vAlign w:val="center"/>
          </w:tcPr>
          <w:p w14:paraId="4C04C082" w14:textId="07DBD249" w:rsidR="00D64ABB" w:rsidRPr="00C4039E" w:rsidRDefault="00B523E5" w:rsidP="00D64ABB">
            <w:pPr>
              <w:jc w:val="right"/>
              <w:rPr>
                <w:rFonts w:eastAsia="Times New Roman" w:cs="Times New Roman"/>
              </w:rPr>
            </w:pPr>
            <w:r>
              <w:t>45</w:t>
            </w:r>
          </w:p>
        </w:tc>
      </w:tr>
      <w:tr w:rsidR="005B7AD2" w:rsidRPr="00C4039E" w14:paraId="74D1C0A5" w14:textId="77777777" w:rsidTr="00D64ABB">
        <w:trPr>
          <w:trHeight w:val="300"/>
        </w:trPr>
        <w:tc>
          <w:tcPr>
            <w:tcW w:w="2335" w:type="dxa"/>
            <w:tcBorders>
              <w:top w:val="nil"/>
              <w:left w:val="single" w:sz="8" w:space="0" w:color="auto"/>
              <w:bottom w:val="single" w:sz="8" w:space="0" w:color="auto"/>
              <w:right w:val="single" w:sz="8" w:space="0" w:color="auto"/>
            </w:tcBorders>
            <w:shd w:val="clear" w:color="auto" w:fill="auto"/>
            <w:noWrap/>
            <w:vAlign w:val="center"/>
          </w:tcPr>
          <w:p w14:paraId="3517B124" w14:textId="7218154A" w:rsidR="00D64ABB" w:rsidRPr="00C4039E" w:rsidRDefault="00B523E5" w:rsidP="00B523E5">
            <w:pPr>
              <w:rPr>
                <w:rFonts w:eastAsia="Times New Roman" w:cs="Times New Roman"/>
              </w:rPr>
            </w:pPr>
            <w:r>
              <w:rPr>
                <w:rFonts w:cs="Arial"/>
              </w:rPr>
              <w:t>Private Sector Organization Manager</w:t>
            </w:r>
          </w:p>
        </w:tc>
        <w:tc>
          <w:tcPr>
            <w:tcW w:w="1800" w:type="dxa"/>
            <w:tcBorders>
              <w:top w:val="nil"/>
              <w:left w:val="nil"/>
              <w:bottom w:val="single" w:sz="8" w:space="0" w:color="auto"/>
              <w:right w:val="single" w:sz="8" w:space="0" w:color="auto"/>
            </w:tcBorders>
            <w:shd w:val="clear" w:color="auto" w:fill="auto"/>
            <w:noWrap/>
            <w:vAlign w:val="center"/>
          </w:tcPr>
          <w:p w14:paraId="68F37CA1" w14:textId="2CAA2771" w:rsidR="00D64ABB" w:rsidRPr="00C4039E" w:rsidRDefault="00B523E5" w:rsidP="00D64ABB">
            <w:pPr>
              <w:rPr>
                <w:rFonts w:eastAsia="Times New Roman" w:cs="Times New Roman"/>
              </w:rPr>
            </w:pPr>
            <w:r>
              <w:rPr>
                <w:rFonts w:cs="Arial"/>
              </w:rPr>
              <w:t>Survey Plan</w:t>
            </w:r>
          </w:p>
        </w:tc>
        <w:tc>
          <w:tcPr>
            <w:tcW w:w="1440" w:type="dxa"/>
            <w:tcBorders>
              <w:top w:val="nil"/>
              <w:left w:val="nil"/>
              <w:bottom w:val="single" w:sz="8" w:space="0" w:color="auto"/>
              <w:right w:val="single" w:sz="8" w:space="0" w:color="auto"/>
            </w:tcBorders>
            <w:shd w:val="clear" w:color="auto" w:fill="auto"/>
            <w:noWrap/>
            <w:vAlign w:val="center"/>
          </w:tcPr>
          <w:p w14:paraId="6001226C" w14:textId="171EE502" w:rsidR="00D64ABB" w:rsidRPr="00C4039E" w:rsidRDefault="00B523E5" w:rsidP="00D64ABB">
            <w:pPr>
              <w:jc w:val="right"/>
              <w:rPr>
                <w:rFonts w:eastAsia="Times New Roman" w:cs="Times New Roman"/>
              </w:rPr>
            </w:pPr>
            <w:r>
              <w:rPr>
                <w:rFonts w:cs="Arial"/>
              </w:rPr>
              <w:t>100</w:t>
            </w:r>
          </w:p>
        </w:tc>
        <w:tc>
          <w:tcPr>
            <w:tcW w:w="1350" w:type="dxa"/>
            <w:tcBorders>
              <w:top w:val="nil"/>
              <w:left w:val="nil"/>
              <w:bottom w:val="single" w:sz="8" w:space="0" w:color="auto"/>
              <w:right w:val="single" w:sz="8" w:space="0" w:color="auto"/>
            </w:tcBorders>
            <w:shd w:val="clear" w:color="auto" w:fill="auto"/>
            <w:noWrap/>
            <w:vAlign w:val="center"/>
          </w:tcPr>
          <w:p w14:paraId="269285B1" w14:textId="77777777" w:rsidR="00D64ABB" w:rsidRPr="00C4039E" w:rsidRDefault="00D64ABB" w:rsidP="00D64ABB">
            <w:pPr>
              <w:jc w:val="right"/>
              <w:rPr>
                <w:rFonts w:eastAsia="Times New Roman" w:cs="Times New Roman"/>
              </w:rPr>
            </w:pPr>
            <w:r w:rsidRPr="00C4039E">
              <w:rPr>
                <w:rFonts w:cs="Arial"/>
              </w:rPr>
              <w:t>1</w:t>
            </w:r>
          </w:p>
        </w:tc>
        <w:tc>
          <w:tcPr>
            <w:tcW w:w="1260" w:type="dxa"/>
            <w:tcBorders>
              <w:top w:val="nil"/>
              <w:left w:val="nil"/>
              <w:bottom w:val="single" w:sz="8" w:space="0" w:color="auto"/>
              <w:right w:val="single" w:sz="8" w:space="0" w:color="auto"/>
            </w:tcBorders>
            <w:shd w:val="clear" w:color="auto" w:fill="auto"/>
            <w:noWrap/>
            <w:vAlign w:val="center"/>
          </w:tcPr>
          <w:p w14:paraId="5E1FA5D3" w14:textId="174430D5" w:rsidR="00D64ABB" w:rsidRPr="00C4039E" w:rsidRDefault="00B523E5" w:rsidP="00D64ABB">
            <w:pPr>
              <w:jc w:val="right"/>
              <w:rPr>
                <w:rFonts w:eastAsia="Times New Roman" w:cs="Times New Roman"/>
              </w:rPr>
            </w:pPr>
            <w:r>
              <w:rPr>
                <w:rFonts w:cs="Arial"/>
              </w:rPr>
              <w:t>15/60</w:t>
            </w:r>
          </w:p>
        </w:tc>
        <w:tc>
          <w:tcPr>
            <w:tcW w:w="1170" w:type="dxa"/>
            <w:tcBorders>
              <w:top w:val="nil"/>
              <w:left w:val="nil"/>
              <w:bottom w:val="single" w:sz="8" w:space="0" w:color="auto"/>
              <w:right w:val="single" w:sz="8" w:space="0" w:color="auto"/>
            </w:tcBorders>
            <w:shd w:val="clear" w:color="auto" w:fill="auto"/>
            <w:noWrap/>
            <w:vAlign w:val="center"/>
          </w:tcPr>
          <w:p w14:paraId="7F297746" w14:textId="2E120A36" w:rsidR="00D64ABB" w:rsidRPr="00C4039E" w:rsidRDefault="00B523E5" w:rsidP="00D64ABB">
            <w:pPr>
              <w:jc w:val="right"/>
              <w:rPr>
                <w:rFonts w:eastAsia="Times New Roman" w:cs="Times New Roman"/>
              </w:rPr>
            </w:pPr>
            <w:r>
              <w:t>25</w:t>
            </w:r>
          </w:p>
        </w:tc>
      </w:tr>
      <w:tr w:rsidR="005B7AD2" w:rsidRPr="00C4039E" w14:paraId="13F61FF8" w14:textId="77777777" w:rsidTr="00761A65">
        <w:trPr>
          <w:trHeight w:val="520"/>
        </w:trPr>
        <w:tc>
          <w:tcPr>
            <w:tcW w:w="2335" w:type="dxa"/>
            <w:noWrap/>
            <w:vAlign w:val="center"/>
            <w:hideMark/>
          </w:tcPr>
          <w:p w14:paraId="31D64993" w14:textId="77777777" w:rsidR="003F63C9" w:rsidRPr="00C4039E" w:rsidRDefault="003F63C9" w:rsidP="00761A65">
            <w:pPr>
              <w:rPr>
                <w:rFonts w:eastAsia="Times New Roman" w:cs="Times New Roman"/>
                <w:b/>
              </w:rPr>
            </w:pPr>
            <w:r w:rsidRPr="00C4039E">
              <w:rPr>
                <w:rFonts w:eastAsia="Times New Roman" w:cs="Times New Roman"/>
                <w:b/>
              </w:rPr>
              <w:t>Total</w:t>
            </w:r>
          </w:p>
        </w:tc>
        <w:tc>
          <w:tcPr>
            <w:tcW w:w="1800" w:type="dxa"/>
            <w:shd w:val="clear" w:color="auto" w:fill="FFFFFF" w:themeFill="background1"/>
            <w:noWrap/>
            <w:vAlign w:val="center"/>
          </w:tcPr>
          <w:p w14:paraId="04D1601A" w14:textId="77777777" w:rsidR="003F63C9" w:rsidRPr="00C4039E" w:rsidRDefault="003F63C9" w:rsidP="00CD38C7">
            <w:pPr>
              <w:rPr>
                <w:rFonts w:eastAsia="Times New Roman" w:cs="Times New Roman"/>
                <w:b/>
              </w:rPr>
            </w:pPr>
          </w:p>
        </w:tc>
        <w:tc>
          <w:tcPr>
            <w:tcW w:w="1440" w:type="dxa"/>
            <w:shd w:val="clear" w:color="auto" w:fill="FFFFFF" w:themeFill="background1"/>
            <w:noWrap/>
            <w:vAlign w:val="center"/>
          </w:tcPr>
          <w:p w14:paraId="6F6074CC" w14:textId="77777777" w:rsidR="003F63C9" w:rsidRPr="00C4039E" w:rsidRDefault="00A870FD" w:rsidP="00CD38C7">
            <w:pPr>
              <w:jc w:val="right"/>
              <w:rPr>
                <w:rFonts w:eastAsia="Times New Roman" w:cs="Times New Roman"/>
                <w:b/>
              </w:rPr>
            </w:pPr>
            <w:r w:rsidRPr="00C4039E">
              <w:rPr>
                <w:rFonts w:eastAsia="Times New Roman" w:cs="Times New Roman"/>
                <w:b/>
              </w:rPr>
              <w:t>1</w:t>
            </w:r>
            <w:r w:rsidR="003F63C9" w:rsidRPr="00C4039E">
              <w:rPr>
                <w:rFonts w:eastAsia="Times New Roman" w:cs="Times New Roman"/>
                <w:b/>
              </w:rPr>
              <w:t>45</w:t>
            </w:r>
          </w:p>
        </w:tc>
        <w:tc>
          <w:tcPr>
            <w:tcW w:w="1350" w:type="dxa"/>
            <w:shd w:val="clear" w:color="auto" w:fill="FFFFFF" w:themeFill="background1"/>
            <w:noWrap/>
            <w:vAlign w:val="center"/>
          </w:tcPr>
          <w:p w14:paraId="626DAE84" w14:textId="77777777" w:rsidR="003F63C9" w:rsidRPr="00C4039E" w:rsidRDefault="003F63C9" w:rsidP="00761A65">
            <w:pPr>
              <w:jc w:val="right"/>
              <w:rPr>
                <w:rFonts w:eastAsia="Times New Roman" w:cs="Times New Roman"/>
                <w:b/>
              </w:rPr>
            </w:pPr>
          </w:p>
        </w:tc>
        <w:tc>
          <w:tcPr>
            <w:tcW w:w="1260" w:type="dxa"/>
            <w:shd w:val="clear" w:color="auto" w:fill="FFFFFF" w:themeFill="background1"/>
            <w:noWrap/>
            <w:vAlign w:val="center"/>
          </w:tcPr>
          <w:p w14:paraId="24CCFA43" w14:textId="77777777" w:rsidR="003F63C9" w:rsidRPr="00C4039E" w:rsidRDefault="003F63C9" w:rsidP="00761A65">
            <w:pPr>
              <w:jc w:val="right"/>
              <w:rPr>
                <w:rFonts w:eastAsia="Times New Roman" w:cs="Times New Roman"/>
                <w:b/>
              </w:rPr>
            </w:pPr>
          </w:p>
        </w:tc>
        <w:tc>
          <w:tcPr>
            <w:tcW w:w="1170" w:type="dxa"/>
            <w:shd w:val="clear" w:color="auto" w:fill="FFFFFF" w:themeFill="background1"/>
            <w:noWrap/>
            <w:vAlign w:val="center"/>
          </w:tcPr>
          <w:p w14:paraId="66A99CED" w14:textId="051E8141" w:rsidR="003F63C9" w:rsidRPr="00C4039E" w:rsidRDefault="00D64ABB" w:rsidP="00CD38C7">
            <w:pPr>
              <w:jc w:val="right"/>
              <w:rPr>
                <w:rFonts w:eastAsia="Times New Roman" w:cs="Times New Roman"/>
                <w:b/>
              </w:rPr>
            </w:pPr>
            <w:r w:rsidRPr="00C4039E">
              <w:rPr>
                <w:rFonts w:eastAsia="Times New Roman" w:cs="Times New Roman"/>
                <w:b/>
              </w:rPr>
              <w:t>7</w:t>
            </w:r>
            <w:r w:rsidR="00B523E5">
              <w:rPr>
                <w:rFonts w:eastAsia="Times New Roman" w:cs="Times New Roman"/>
                <w:b/>
              </w:rPr>
              <w:t>0</w:t>
            </w:r>
          </w:p>
        </w:tc>
      </w:tr>
    </w:tbl>
    <w:p w14:paraId="643527D6" w14:textId="77777777" w:rsidR="00CF1C0D" w:rsidRPr="00C4039E" w:rsidRDefault="00CF1C0D" w:rsidP="00CF1C0D">
      <w:pPr>
        <w:spacing w:after="0"/>
        <w:rPr>
          <w:b/>
        </w:rPr>
      </w:pPr>
    </w:p>
    <w:p w14:paraId="6646262A" w14:textId="77777777" w:rsidR="005629FC" w:rsidRPr="00C4039E" w:rsidRDefault="00CF1C0D" w:rsidP="00761A65">
      <w:pPr>
        <w:spacing w:after="0"/>
        <w:rPr>
          <w:b/>
        </w:rPr>
      </w:pPr>
      <w:r w:rsidRPr="00C4039E">
        <w:rPr>
          <w:b/>
        </w:rPr>
        <w:t>Exhibit 2: Estimated Annualized Burden Costs</w:t>
      </w:r>
    </w:p>
    <w:tbl>
      <w:tblPr>
        <w:tblStyle w:val="TableGrid"/>
        <w:tblW w:w="9355" w:type="dxa"/>
        <w:tblLayout w:type="fixed"/>
        <w:tblLook w:val="04A0" w:firstRow="1" w:lastRow="0" w:firstColumn="1" w:lastColumn="0" w:noHBand="0" w:noVBand="1"/>
      </w:tblPr>
      <w:tblGrid>
        <w:gridCol w:w="2335"/>
        <w:gridCol w:w="1800"/>
        <w:gridCol w:w="1800"/>
        <w:gridCol w:w="1530"/>
        <w:gridCol w:w="1890"/>
      </w:tblGrid>
      <w:tr w:rsidR="005B7AD2" w:rsidRPr="00C4039E" w14:paraId="13496CED" w14:textId="77777777" w:rsidTr="00F26118">
        <w:trPr>
          <w:trHeight w:val="764"/>
        </w:trPr>
        <w:tc>
          <w:tcPr>
            <w:tcW w:w="2335" w:type="dxa"/>
            <w:vAlign w:val="center"/>
          </w:tcPr>
          <w:p w14:paraId="2C3308E7" w14:textId="77777777" w:rsidR="00773229" w:rsidRPr="00C4039E" w:rsidRDefault="00773229" w:rsidP="00C9109D">
            <w:pPr>
              <w:rPr>
                <w:b/>
              </w:rPr>
            </w:pPr>
            <w:r w:rsidRPr="00C4039E">
              <w:rPr>
                <w:b/>
              </w:rPr>
              <w:t>Respondents</w:t>
            </w:r>
          </w:p>
        </w:tc>
        <w:tc>
          <w:tcPr>
            <w:tcW w:w="1800" w:type="dxa"/>
            <w:vAlign w:val="center"/>
          </w:tcPr>
          <w:p w14:paraId="3CE9521F" w14:textId="77777777" w:rsidR="00773229" w:rsidRPr="00C4039E" w:rsidRDefault="00773229" w:rsidP="00C9109D">
            <w:pPr>
              <w:jc w:val="center"/>
              <w:rPr>
                <w:b/>
              </w:rPr>
            </w:pPr>
            <w:r w:rsidRPr="00C4039E">
              <w:rPr>
                <w:b/>
              </w:rPr>
              <w:t>Form Name</w:t>
            </w:r>
          </w:p>
        </w:tc>
        <w:tc>
          <w:tcPr>
            <w:tcW w:w="1800" w:type="dxa"/>
            <w:vAlign w:val="center"/>
          </w:tcPr>
          <w:p w14:paraId="5E003EAF" w14:textId="77777777" w:rsidR="00773229" w:rsidRPr="00C4039E" w:rsidRDefault="00773229" w:rsidP="00C9109D">
            <w:pPr>
              <w:jc w:val="center"/>
              <w:rPr>
                <w:b/>
              </w:rPr>
            </w:pPr>
            <w:r w:rsidRPr="00C4039E">
              <w:rPr>
                <w:b/>
              </w:rPr>
              <w:t>Total Burden Hours (in hours)</w:t>
            </w:r>
          </w:p>
        </w:tc>
        <w:tc>
          <w:tcPr>
            <w:tcW w:w="1530" w:type="dxa"/>
            <w:vAlign w:val="center"/>
          </w:tcPr>
          <w:p w14:paraId="4A71AE18" w14:textId="77777777" w:rsidR="00773229" w:rsidRPr="00C4039E" w:rsidRDefault="00773229" w:rsidP="00C9109D">
            <w:pPr>
              <w:jc w:val="center"/>
              <w:rPr>
                <w:b/>
              </w:rPr>
            </w:pPr>
            <w:r w:rsidRPr="00C4039E">
              <w:rPr>
                <w:b/>
              </w:rPr>
              <w:t>Hourly Wage Rate</w:t>
            </w:r>
          </w:p>
        </w:tc>
        <w:tc>
          <w:tcPr>
            <w:tcW w:w="1890" w:type="dxa"/>
            <w:vAlign w:val="center"/>
          </w:tcPr>
          <w:p w14:paraId="0630A57D" w14:textId="77777777" w:rsidR="00773229" w:rsidRPr="00C4039E" w:rsidRDefault="00773229" w:rsidP="00C9109D">
            <w:pPr>
              <w:jc w:val="center"/>
              <w:rPr>
                <w:b/>
              </w:rPr>
            </w:pPr>
            <w:r w:rsidRPr="00C4039E">
              <w:rPr>
                <w:b/>
              </w:rPr>
              <w:t>Total Respondent Costs</w:t>
            </w:r>
          </w:p>
        </w:tc>
      </w:tr>
      <w:tr w:rsidR="00F26118" w:rsidRPr="00C4039E" w14:paraId="47606CB9" w14:textId="77777777" w:rsidTr="00C21942">
        <w:trPr>
          <w:trHeight w:val="300"/>
        </w:trPr>
        <w:tc>
          <w:tcPr>
            <w:tcW w:w="2335" w:type="dxa"/>
            <w:noWrap/>
            <w:vAlign w:val="center"/>
          </w:tcPr>
          <w:p w14:paraId="02E482A3" w14:textId="5AB5125A" w:rsidR="00F26118" w:rsidRPr="00C4039E" w:rsidRDefault="00F26118" w:rsidP="00F26118">
            <w:pPr>
              <w:rPr>
                <w:rFonts w:eastAsia="Times New Roman" w:cs="Times New Roman"/>
              </w:rPr>
            </w:pPr>
            <w:r>
              <w:rPr>
                <w:rFonts w:cs="Arial"/>
              </w:rPr>
              <w:t>Private Sector Organization Senior Leaders</w:t>
            </w:r>
          </w:p>
        </w:tc>
        <w:tc>
          <w:tcPr>
            <w:tcW w:w="1800" w:type="dxa"/>
            <w:noWrap/>
            <w:vAlign w:val="center"/>
          </w:tcPr>
          <w:p w14:paraId="13746615" w14:textId="6F8DDBE3" w:rsidR="00F26118" w:rsidRPr="00C4039E" w:rsidRDefault="00F26118" w:rsidP="00F26118">
            <w:pPr>
              <w:rPr>
                <w:rFonts w:eastAsia="Times New Roman" w:cs="Times New Roman"/>
              </w:rPr>
            </w:pPr>
            <w:r w:rsidRPr="00C4039E">
              <w:rPr>
                <w:rFonts w:cs="Arial"/>
              </w:rPr>
              <w:t>Interview Guide</w:t>
            </w:r>
          </w:p>
        </w:tc>
        <w:tc>
          <w:tcPr>
            <w:tcW w:w="1800" w:type="dxa"/>
            <w:noWrap/>
            <w:vAlign w:val="center"/>
          </w:tcPr>
          <w:p w14:paraId="737CF651" w14:textId="30398176" w:rsidR="00F26118" w:rsidRPr="00C4039E" w:rsidRDefault="00F26118" w:rsidP="00C21942">
            <w:pPr>
              <w:jc w:val="right"/>
              <w:rPr>
                <w:rFonts w:eastAsia="Times New Roman" w:cs="Times New Roman"/>
              </w:rPr>
            </w:pPr>
            <w:r>
              <w:t>45</w:t>
            </w:r>
          </w:p>
        </w:tc>
        <w:tc>
          <w:tcPr>
            <w:tcW w:w="1530" w:type="dxa"/>
            <w:vAlign w:val="center"/>
          </w:tcPr>
          <w:p w14:paraId="1C02653C" w14:textId="29285839" w:rsidR="00F26118" w:rsidRPr="00C4039E" w:rsidRDefault="00F26118" w:rsidP="00C21942">
            <w:pPr>
              <w:jc w:val="right"/>
              <w:rPr>
                <w:rFonts w:eastAsia="Times New Roman" w:cs="Times New Roman"/>
              </w:rPr>
            </w:pPr>
            <w:r w:rsidRPr="00F26118">
              <w:t>$89.35</w:t>
            </w:r>
          </w:p>
        </w:tc>
        <w:tc>
          <w:tcPr>
            <w:tcW w:w="1890" w:type="dxa"/>
            <w:vAlign w:val="center"/>
          </w:tcPr>
          <w:p w14:paraId="22F2602D" w14:textId="16947611" w:rsidR="00F26118" w:rsidRPr="00C4039E" w:rsidRDefault="00F26118" w:rsidP="00C21942">
            <w:pPr>
              <w:jc w:val="right"/>
              <w:rPr>
                <w:rFonts w:eastAsia="Times New Roman" w:cs="Times New Roman"/>
              </w:rPr>
            </w:pPr>
            <w:r w:rsidRPr="008014CD">
              <w:t xml:space="preserve">$4,020.75 </w:t>
            </w:r>
          </w:p>
        </w:tc>
      </w:tr>
      <w:tr w:rsidR="00F26118" w:rsidRPr="00C4039E" w14:paraId="2774AD0B" w14:textId="77777777" w:rsidTr="00C21942">
        <w:trPr>
          <w:trHeight w:val="300"/>
        </w:trPr>
        <w:tc>
          <w:tcPr>
            <w:tcW w:w="2335" w:type="dxa"/>
            <w:noWrap/>
            <w:vAlign w:val="center"/>
          </w:tcPr>
          <w:p w14:paraId="5937CEE5" w14:textId="0BCD39B5" w:rsidR="00F26118" w:rsidRPr="00C4039E" w:rsidRDefault="00F26118" w:rsidP="00F26118">
            <w:pPr>
              <w:rPr>
                <w:rFonts w:eastAsia="Times New Roman" w:cs="Times New Roman"/>
              </w:rPr>
            </w:pPr>
            <w:r>
              <w:rPr>
                <w:rFonts w:cs="Arial"/>
              </w:rPr>
              <w:t>Private Sector Organization Manager</w:t>
            </w:r>
          </w:p>
        </w:tc>
        <w:tc>
          <w:tcPr>
            <w:tcW w:w="1800" w:type="dxa"/>
            <w:noWrap/>
            <w:vAlign w:val="center"/>
          </w:tcPr>
          <w:p w14:paraId="4D09114A" w14:textId="5B2B94AB" w:rsidR="00F26118" w:rsidRPr="00C4039E" w:rsidRDefault="00F26118" w:rsidP="00F26118">
            <w:pPr>
              <w:rPr>
                <w:rFonts w:eastAsia="Times New Roman" w:cs="Times New Roman"/>
              </w:rPr>
            </w:pPr>
            <w:r>
              <w:rPr>
                <w:rFonts w:cs="Arial"/>
              </w:rPr>
              <w:t>Survey Plan</w:t>
            </w:r>
          </w:p>
        </w:tc>
        <w:tc>
          <w:tcPr>
            <w:tcW w:w="1800" w:type="dxa"/>
            <w:noWrap/>
            <w:vAlign w:val="center"/>
          </w:tcPr>
          <w:p w14:paraId="6FE92583" w14:textId="31F33BA3" w:rsidR="00F26118" w:rsidRPr="00C4039E" w:rsidRDefault="00F26118" w:rsidP="00C21942">
            <w:pPr>
              <w:jc w:val="right"/>
              <w:rPr>
                <w:rFonts w:eastAsia="Times New Roman" w:cs="Times New Roman"/>
              </w:rPr>
            </w:pPr>
            <w:r>
              <w:t>25</w:t>
            </w:r>
          </w:p>
        </w:tc>
        <w:tc>
          <w:tcPr>
            <w:tcW w:w="1530" w:type="dxa"/>
            <w:vAlign w:val="center"/>
          </w:tcPr>
          <w:p w14:paraId="5E51066D" w14:textId="5B43BC0C" w:rsidR="00F26118" w:rsidRPr="00C4039E" w:rsidRDefault="00F26118" w:rsidP="00C21942">
            <w:pPr>
              <w:jc w:val="right"/>
              <w:rPr>
                <w:rFonts w:eastAsia="Times New Roman" w:cs="Times New Roman"/>
              </w:rPr>
            </w:pPr>
            <w:r w:rsidRPr="00F26118">
              <w:t xml:space="preserve">$57.44 </w:t>
            </w:r>
            <w:r w:rsidRPr="00C4039E">
              <w:t xml:space="preserve"> </w:t>
            </w:r>
          </w:p>
        </w:tc>
        <w:tc>
          <w:tcPr>
            <w:tcW w:w="1890" w:type="dxa"/>
            <w:vAlign w:val="center"/>
          </w:tcPr>
          <w:p w14:paraId="65707CE8" w14:textId="5882158F" w:rsidR="00F26118" w:rsidRPr="00C4039E" w:rsidRDefault="00F26118" w:rsidP="00C21942">
            <w:pPr>
              <w:jc w:val="right"/>
              <w:rPr>
                <w:rFonts w:eastAsia="Times New Roman" w:cs="Times New Roman"/>
              </w:rPr>
            </w:pPr>
            <w:r w:rsidRPr="008014CD">
              <w:t xml:space="preserve">$1,436.00 </w:t>
            </w:r>
          </w:p>
        </w:tc>
      </w:tr>
      <w:tr w:rsidR="00F26118" w:rsidRPr="00C4039E" w14:paraId="535B42DF" w14:textId="77777777" w:rsidTr="00F26118">
        <w:trPr>
          <w:trHeight w:val="494"/>
        </w:trPr>
        <w:tc>
          <w:tcPr>
            <w:tcW w:w="2335" w:type="dxa"/>
            <w:noWrap/>
            <w:vAlign w:val="center"/>
            <w:hideMark/>
          </w:tcPr>
          <w:p w14:paraId="6BFCFD09" w14:textId="77777777" w:rsidR="00F26118" w:rsidRPr="00C4039E" w:rsidRDefault="00F26118" w:rsidP="00F26118">
            <w:pPr>
              <w:rPr>
                <w:rFonts w:eastAsia="Times New Roman" w:cs="Times New Roman"/>
                <w:b/>
              </w:rPr>
            </w:pPr>
            <w:r w:rsidRPr="00C4039E">
              <w:rPr>
                <w:rFonts w:eastAsia="Times New Roman" w:cs="Times New Roman"/>
                <w:b/>
              </w:rPr>
              <w:t>Total</w:t>
            </w:r>
          </w:p>
        </w:tc>
        <w:tc>
          <w:tcPr>
            <w:tcW w:w="1800" w:type="dxa"/>
            <w:shd w:val="clear" w:color="auto" w:fill="FFFFFF" w:themeFill="background1"/>
            <w:noWrap/>
            <w:vAlign w:val="center"/>
          </w:tcPr>
          <w:p w14:paraId="63842506" w14:textId="77777777" w:rsidR="00F26118" w:rsidRPr="00C4039E" w:rsidRDefault="00F26118" w:rsidP="00F26118">
            <w:pPr>
              <w:jc w:val="right"/>
              <w:rPr>
                <w:rFonts w:eastAsia="Times New Roman" w:cs="Times New Roman"/>
                <w:b/>
              </w:rPr>
            </w:pPr>
          </w:p>
        </w:tc>
        <w:tc>
          <w:tcPr>
            <w:tcW w:w="1800" w:type="dxa"/>
            <w:shd w:val="clear" w:color="auto" w:fill="FFFFFF" w:themeFill="background1"/>
            <w:noWrap/>
            <w:vAlign w:val="center"/>
          </w:tcPr>
          <w:p w14:paraId="5F8D409A" w14:textId="74BC3925" w:rsidR="00F26118" w:rsidRPr="00C4039E" w:rsidRDefault="00F26118" w:rsidP="00F26118">
            <w:pPr>
              <w:jc w:val="right"/>
              <w:rPr>
                <w:rFonts w:eastAsia="Times New Roman" w:cs="Times New Roman"/>
                <w:b/>
              </w:rPr>
            </w:pPr>
            <w:r>
              <w:rPr>
                <w:rFonts w:eastAsia="Times New Roman" w:cs="Times New Roman"/>
                <w:b/>
              </w:rPr>
              <w:t>70</w:t>
            </w:r>
          </w:p>
        </w:tc>
        <w:tc>
          <w:tcPr>
            <w:tcW w:w="1530" w:type="dxa"/>
            <w:shd w:val="clear" w:color="auto" w:fill="FFFFFF" w:themeFill="background1"/>
            <w:vAlign w:val="center"/>
          </w:tcPr>
          <w:p w14:paraId="48F44397" w14:textId="77777777" w:rsidR="00F26118" w:rsidRPr="00C4039E" w:rsidRDefault="00F26118" w:rsidP="00F26118">
            <w:pPr>
              <w:jc w:val="right"/>
              <w:rPr>
                <w:rFonts w:eastAsia="Times New Roman" w:cs="Times New Roman"/>
                <w:b/>
              </w:rPr>
            </w:pPr>
          </w:p>
        </w:tc>
        <w:tc>
          <w:tcPr>
            <w:tcW w:w="1890" w:type="dxa"/>
            <w:shd w:val="clear" w:color="auto" w:fill="FFFFFF" w:themeFill="background1"/>
          </w:tcPr>
          <w:p w14:paraId="5DD1C40E" w14:textId="1181EF4F" w:rsidR="00F26118" w:rsidRPr="00C4039E" w:rsidRDefault="00F26118" w:rsidP="00F26118">
            <w:pPr>
              <w:jc w:val="right"/>
              <w:rPr>
                <w:rFonts w:eastAsia="Times New Roman" w:cs="Times New Roman"/>
                <w:b/>
              </w:rPr>
            </w:pPr>
            <w:r w:rsidRPr="008014CD">
              <w:t xml:space="preserve">$5,456.75 </w:t>
            </w:r>
          </w:p>
        </w:tc>
      </w:tr>
    </w:tbl>
    <w:p w14:paraId="6F215387" w14:textId="77777777" w:rsidR="0038638C" w:rsidRPr="0038638C" w:rsidRDefault="0038638C" w:rsidP="00A4586F">
      <w:pPr>
        <w:pStyle w:val="NoSpacing"/>
      </w:pPr>
    </w:p>
    <w:p w14:paraId="6C8E5F2C" w14:textId="034BD457" w:rsidR="00241923" w:rsidRPr="005B7AD2" w:rsidRDefault="00E975D6" w:rsidP="00A4586F">
      <w:pPr>
        <w:rPr>
          <w:b/>
        </w:rPr>
      </w:pPr>
      <w:r w:rsidRPr="005B7AD2">
        <w:t>T</w:t>
      </w:r>
      <w:r w:rsidR="00D21557" w:rsidRPr="005B7AD2">
        <w:t>he total</w:t>
      </w:r>
      <w:r w:rsidRPr="005B7AD2">
        <w:t xml:space="preserve"> anticipated</w:t>
      </w:r>
      <w:r w:rsidR="00D21557" w:rsidRPr="005B7AD2">
        <w:t xml:space="preserve"> burden </w:t>
      </w:r>
      <w:r w:rsidR="00A82A7A">
        <w:t>of</w:t>
      </w:r>
      <w:r w:rsidRPr="005B7AD2">
        <w:t xml:space="preserve"> the</w:t>
      </w:r>
      <w:r w:rsidR="00D21557" w:rsidRPr="005B7AD2">
        <w:t xml:space="preserve"> data collection activities for this study is </w:t>
      </w:r>
      <w:r w:rsidR="00C21942">
        <w:t>70</w:t>
      </w:r>
      <w:r w:rsidRPr="005B7AD2">
        <w:t xml:space="preserve"> </w:t>
      </w:r>
      <w:r w:rsidR="00D21557" w:rsidRPr="005B7AD2">
        <w:t>hours</w:t>
      </w:r>
      <w:r w:rsidRPr="005B7AD2">
        <w:t xml:space="preserve"> and the</w:t>
      </w:r>
      <w:r w:rsidR="00773229" w:rsidRPr="005B7AD2">
        <w:t xml:space="preserve"> </w:t>
      </w:r>
      <w:r w:rsidRPr="005B7AD2">
        <w:t>total e</w:t>
      </w:r>
      <w:r w:rsidR="00D21557" w:rsidRPr="005B7AD2">
        <w:t xml:space="preserve">stimated </w:t>
      </w:r>
      <w:r w:rsidR="00A82A7A">
        <w:t xml:space="preserve">burden </w:t>
      </w:r>
      <w:r w:rsidR="00D21557" w:rsidRPr="005B7AD2">
        <w:t xml:space="preserve">cost of data collection is </w:t>
      </w:r>
      <w:r w:rsidR="00F26118" w:rsidRPr="00F26118">
        <w:t>$5,456.75</w:t>
      </w:r>
      <w:r w:rsidR="00D21557" w:rsidRPr="005B7AD2">
        <w:t>.</w:t>
      </w:r>
    </w:p>
    <w:p w14:paraId="2CE60203" w14:textId="77777777" w:rsidR="00EC556C" w:rsidRPr="00CE688A" w:rsidRDefault="00EC556C" w:rsidP="00CE688A">
      <w:pPr>
        <w:pStyle w:val="Heading1"/>
        <w:rPr>
          <w:b/>
          <w:color w:val="000000" w:themeColor="text1"/>
          <w:sz w:val="24"/>
          <w:szCs w:val="24"/>
        </w:rPr>
      </w:pPr>
      <w:bookmarkStart w:id="13" w:name="_Toc468709687"/>
      <w:r w:rsidRPr="00CE688A">
        <w:rPr>
          <w:b/>
          <w:color w:val="000000" w:themeColor="text1"/>
          <w:sz w:val="24"/>
          <w:szCs w:val="24"/>
        </w:rPr>
        <w:t>13. Estimates of Other Total Annual Cost Burden to Respondents and Record Keepers</w:t>
      </w:r>
      <w:bookmarkEnd w:id="13"/>
    </w:p>
    <w:p w14:paraId="0EE7FDA4" w14:textId="0B23BD4A" w:rsidR="00EC556C" w:rsidRPr="005B7AD2" w:rsidRDefault="001014AC" w:rsidP="00EC556C">
      <w:r w:rsidRPr="005B7AD2">
        <w:t xml:space="preserve">There are no other cost burdens to respondents </w:t>
      </w:r>
      <w:r w:rsidR="00A9125F">
        <w:t xml:space="preserve">or record keepers </w:t>
      </w:r>
      <w:r w:rsidRPr="005B7AD2">
        <w:t>for this data collection.</w:t>
      </w:r>
    </w:p>
    <w:p w14:paraId="74FA3A2B" w14:textId="77777777" w:rsidR="00EC556C" w:rsidRPr="00CE688A" w:rsidRDefault="00EC556C" w:rsidP="00CE688A">
      <w:pPr>
        <w:pStyle w:val="Heading1"/>
        <w:rPr>
          <w:b/>
          <w:color w:val="000000" w:themeColor="text1"/>
          <w:sz w:val="24"/>
          <w:szCs w:val="24"/>
        </w:rPr>
      </w:pPr>
      <w:bookmarkStart w:id="14" w:name="_Toc468709688"/>
      <w:r w:rsidRPr="00CE688A">
        <w:rPr>
          <w:b/>
          <w:color w:val="000000" w:themeColor="text1"/>
          <w:sz w:val="24"/>
          <w:szCs w:val="24"/>
        </w:rPr>
        <w:t>14. Annualized Cost to the Federal Government</w:t>
      </w:r>
      <w:bookmarkEnd w:id="14"/>
    </w:p>
    <w:p w14:paraId="3E96694D" w14:textId="2012BC6F" w:rsidR="00EC556C" w:rsidRPr="005B7AD2" w:rsidRDefault="00A9125F" w:rsidP="00EC556C">
      <w:r>
        <w:t xml:space="preserve">The government will pay PwC </w:t>
      </w:r>
      <w:r w:rsidR="00A33D27" w:rsidRPr="005B7AD2">
        <w:t xml:space="preserve">$698,587.88 </w:t>
      </w:r>
      <w:r>
        <w:t xml:space="preserve">over </w:t>
      </w:r>
      <w:r w:rsidR="00050C8C">
        <w:t>2</w:t>
      </w:r>
      <w:r>
        <w:t xml:space="preserve"> years to perform the research tasks outlined in this document</w:t>
      </w:r>
      <w:r w:rsidR="001014AC" w:rsidRPr="005B7AD2">
        <w:t>.</w:t>
      </w:r>
      <w:r>
        <w:t xml:space="preserve">  The cos</w:t>
      </w:r>
      <w:r w:rsidR="00C107CE">
        <w:t>t of the salary and benefits for the</w:t>
      </w:r>
      <w:r>
        <w:t xml:space="preserve"> federal employees involved in oversight of the PwC team </w:t>
      </w:r>
      <w:r w:rsidR="00061FCA">
        <w:t xml:space="preserve">and </w:t>
      </w:r>
      <w:r w:rsidR="00410A03">
        <w:t xml:space="preserve">direct </w:t>
      </w:r>
      <w:r w:rsidR="00061FCA">
        <w:t xml:space="preserve">collaboration on the project </w:t>
      </w:r>
      <w:r>
        <w:t xml:space="preserve">has been estimated at </w:t>
      </w:r>
      <w:r w:rsidR="00410A03">
        <w:t xml:space="preserve">$18,380 </w:t>
      </w:r>
      <w:r w:rsidR="00050C8C">
        <w:t xml:space="preserve">over 2 </w:t>
      </w:r>
      <w:r>
        <w:t>year</w:t>
      </w:r>
      <w:r w:rsidR="00050C8C">
        <w:t>s</w:t>
      </w:r>
      <w:r>
        <w:t xml:space="preserve">.  Therefore the total annualized cost to the federal government to complete this project is </w:t>
      </w:r>
      <w:r w:rsidR="00410A03" w:rsidRPr="00593EB1">
        <w:rPr>
          <w:b/>
        </w:rPr>
        <w:t xml:space="preserve">$358,484  </w:t>
      </w:r>
      <w:r w:rsidR="00410A03" w:rsidRPr="00593EB1">
        <w:t>($716,968 over 2 years)</w:t>
      </w:r>
      <w:r w:rsidRPr="00410A03">
        <w:t>.</w:t>
      </w:r>
    </w:p>
    <w:p w14:paraId="2B52752F" w14:textId="77777777" w:rsidR="00EC556C" w:rsidRPr="00CE688A" w:rsidRDefault="00EC556C" w:rsidP="00CE688A">
      <w:pPr>
        <w:pStyle w:val="Heading1"/>
        <w:rPr>
          <w:b/>
          <w:color w:val="000000" w:themeColor="text1"/>
          <w:sz w:val="24"/>
          <w:szCs w:val="24"/>
        </w:rPr>
      </w:pPr>
      <w:bookmarkStart w:id="15" w:name="_Toc468709689"/>
      <w:r w:rsidRPr="00CE688A">
        <w:rPr>
          <w:b/>
          <w:color w:val="000000" w:themeColor="text1"/>
          <w:sz w:val="24"/>
          <w:szCs w:val="24"/>
        </w:rPr>
        <w:t>15. Explanation for Program Changes or Adjustments</w:t>
      </w:r>
      <w:bookmarkEnd w:id="15"/>
    </w:p>
    <w:p w14:paraId="1566471F" w14:textId="77777777" w:rsidR="00EC556C" w:rsidRPr="005B7AD2" w:rsidRDefault="00EC556C" w:rsidP="00EC556C">
      <w:r w:rsidRPr="005B7AD2">
        <w:t>This is a new data</w:t>
      </w:r>
      <w:r w:rsidR="00A33D27" w:rsidRPr="005B7AD2">
        <w:t>/information</w:t>
      </w:r>
      <w:r w:rsidRPr="005B7AD2">
        <w:t xml:space="preserve"> collection.</w:t>
      </w:r>
    </w:p>
    <w:p w14:paraId="0FC328D6" w14:textId="77777777" w:rsidR="00EC556C" w:rsidRPr="00CE688A" w:rsidRDefault="00EC556C" w:rsidP="00CE688A">
      <w:pPr>
        <w:pStyle w:val="Heading1"/>
        <w:rPr>
          <w:b/>
          <w:color w:val="000000" w:themeColor="text1"/>
          <w:sz w:val="24"/>
          <w:szCs w:val="24"/>
        </w:rPr>
      </w:pPr>
      <w:bookmarkStart w:id="16" w:name="_Toc468709690"/>
      <w:r w:rsidRPr="00CE688A">
        <w:rPr>
          <w:b/>
          <w:color w:val="000000" w:themeColor="text1"/>
          <w:sz w:val="24"/>
          <w:szCs w:val="24"/>
        </w:rPr>
        <w:t>16. Plans for Tabulation and Publication and Project Time Schedule</w:t>
      </w:r>
      <w:bookmarkEnd w:id="16"/>
    </w:p>
    <w:p w14:paraId="4D02528A" w14:textId="77777777" w:rsidR="00EC556C" w:rsidRPr="00E2141F" w:rsidRDefault="00D21557" w:rsidP="00EC556C">
      <w:r w:rsidRPr="00E2141F">
        <w:rPr>
          <w:b/>
        </w:rPr>
        <w:t>Exhibit 3</w:t>
      </w:r>
      <w:r w:rsidR="00EC556C" w:rsidRPr="00E2141F">
        <w:t xml:space="preserve"> </w:t>
      </w:r>
      <w:r w:rsidR="00781988" w:rsidRPr="00E2141F">
        <w:t xml:space="preserve">outlines </w:t>
      </w:r>
      <w:r w:rsidR="00EC556C" w:rsidRPr="00E2141F">
        <w:t xml:space="preserve">the timeline for </w:t>
      </w:r>
      <w:r w:rsidR="00781988" w:rsidRPr="00E2141F">
        <w:t xml:space="preserve">the </w:t>
      </w:r>
      <w:r w:rsidR="00EC556C" w:rsidRPr="00E2141F">
        <w:t xml:space="preserve">activities related to this </w:t>
      </w:r>
      <w:r w:rsidR="00781988" w:rsidRPr="00E2141F">
        <w:t xml:space="preserve">data </w:t>
      </w:r>
      <w:r w:rsidR="00EC556C" w:rsidRPr="00E2141F">
        <w:t>collection</w:t>
      </w:r>
      <w:r w:rsidR="00781988" w:rsidRPr="00E2141F">
        <w:t xml:space="preserve"> initiative.</w:t>
      </w:r>
    </w:p>
    <w:p w14:paraId="6D2545D5" w14:textId="77777777" w:rsidR="00EC556C" w:rsidRPr="00E2141F" w:rsidRDefault="00EC556C" w:rsidP="00EC556C">
      <w:pPr>
        <w:spacing w:after="0"/>
        <w:rPr>
          <w:b/>
        </w:rPr>
      </w:pPr>
      <w:r w:rsidRPr="00E2141F">
        <w:rPr>
          <w:b/>
        </w:rPr>
        <w:t>Exhibit 3. Project Timeline</w:t>
      </w:r>
    </w:p>
    <w:tbl>
      <w:tblPr>
        <w:tblStyle w:val="TableGrid"/>
        <w:tblW w:w="0" w:type="auto"/>
        <w:tblLook w:val="04A0" w:firstRow="1" w:lastRow="0" w:firstColumn="1" w:lastColumn="0" w:noHBand="0" w:noVBand="1"/>
      </w:tblPr>
      <w:tblGrid>
        <w:gridCol w:w="4702"/>
        <w:gridCol w:w="4648"/>
      </w:tblGrid>
      <w:tr w:rsidR="00E2141F" w:rsidRPr="00E2141F" w14:paraId="45E29C9D" w14:textId="77777777" w:rsidTr="00781988">
        <w:tc>
          <w:tcPr>
            <w:tcW w:w="4702" w:type="dxa"/>
          </w:tcPr>
          <w:p w14:paraId="49F4E414" w14:textId="77777777" w:rsidR="00EC556C" w:rsidRPr="00E2141F" w:rsidRDefault="00EC556C" w:rsidP="000E22F8">
            <w:pPr>
              <w:rPr>
                <w:b/>
              </w:rPr>
            </w:pPr>
            <w:r w:rsidRPr="00E2141F">
              <w:rPr>
                <w:b/>
              </w:rPr>
              <w:br w:type="page"/>
              <w:t>Activity</w:t>
            </w:r>
          </w:p>
        </w:tc>
        <w:tc>
          <w:tcPr>
            <w:tcW w:w="4648" w:type="dxa"/>
          </w:tcPr>
          <w:p w14:paraId="52DEBC17" w14:textId="77777777" w:rsidR="00EC556C" w:rsidRPr="00E2141F" w:rsidRDefault="00EC556C" w:rsidP="000E22F8">
            <w:pPr>
              <w:rPr>
                <w:b/>
              </w:rPr>
            </w:pPr>
            <w:r w:rsidRPr="00E2141F">
              <w:rPr>
                <w:b/>
              </w:rPr>
              <w:t>Time Schedule</w:t>
            </w:r>
          </w:p>
        </w:tc>
      </w:tr>
      <w:tr w:rsidR="00E2141F" w:rsidRPr="00E2141F" w14:paraId="464DC08A" w14:textId="77777777" w:rsidTr="00781988">
        <w:tc>
          <w:tcPr>
            <w:tcW w:w="4702" w:type="dxa"/>
          </w:tcPr>
          <w:p w14:paraId="219F2035" w14:textId="77777777" w:rsidR="00EC556C" w:rsidRPr="00E2141F" w:rsidRDefault="00781988" w:rsidP="00A4586F">
            <w:r w:rsidRPr="00E2141F">
              <w:t>Recruitment of Interview Respondents</w:t>
            </w:r>
          </w:p>
        </w:tc>
        <w:tc>
          <w:tcPr>
            <w:tcW w:w="4648" w:type="dxa"/>
          </w:tcPr>
          <w:p w14:paraId="70A35DAE" w14:textId="79885EDE" w:rsidR="00EC556C" w:rsidRPr="00E2141F" w:rsidRDefault="00781988" w:rsidP="00145ABA">
            <w:r w:rsidRPr="00E2141F">
              <w:t>0-</w:t>
            </w:r>
            <w:r w:rsidR="00145ABA">
              <w:t>6</w:t>
            </w:r>
            <w:r w:rsidRPr="00E2141F">
              <w:t xml:space="preserve"> months after OMB approval</w:t>
            </w:r>
          </w:p>
        </w:tc>
      </w:tr>
      <w:tr w:rsidR="00E2141F" w:rsidRPr="00E2141F" w14:paraId="50A53822" w14:textId="77777777" w:rsidTr="00781988">
        <w:tc>
          <w:tcPr>
            <w:tcW w:w="4702" w:type="dxa"/>
          </w:tcPr>
          <w:p w14:paraId="2FE0505D" w14:textId="77777777" w:rsidR="00EC556C" w:rsidRPr="00E2141F" w:rsidRDefault="00781988" w:rsidP="00A4586F">
            <w:r w:rsidRPr="00E2141F">
              <w:t>Data Collection (Interviews)</w:t>
            </w:r>
          </w:p>
        </w:tc>
        <w:tc>
          <w:tcPr>
            <w:tcW w:w="4648" w:type="dxa"/>
          </w:tcPr>
          <w:p w14:paraId="4B77DEA5" w14:textId="2EC18EA0" w:rsidR="00EC556C" w:rsidRPr="00E2141F" w:rsidRDefault="00781988" w:rsidP="00145ABA">
            <w:r w:rsidRPr="00E2141F">
              <w:t>0-</w:t>
            </w:r>
            <w:r w:rsidR="00145ABA">
              <w:t>6</w:t>
            </w:r>
            <w:r w:rsidRPr="00E2141F">
              <w:t xml:space="preserve"> months after OMB approval</w:t>
            </w:r>
          </w:p>
        </w:tc>
      </w:tr>
      <w:tr w:rsidR="00E2141F" w:rsidRPr="00E2141F" w14:paraId="35D4B81F" w14:textId="77777777" w:rsidTr="00781988">
        <w:tc>
          <w:tcPr>
            <w:tcW w:w="4702" w:type="dxa"/>
          </w:tcPr>
          <w:p w14:paraId="6D67422C" w14:textId="77777777" w:rsidR="00EC556C" w:rsidRPr="00E2141F" w:rsidRDefault="00781988" w:rsidP="00A4586F">
            <w:r w:rsidRPr="00E2141F">
              <w:t>Recruitment of Survey Respondents</w:t>
            </w:r>
          </w:p>
        </w:tc>
        <w:tc>
          <w:tcPr>
            <w:tcW w:w="4648" w:type="dxa"/>
          </w:tcPr>
          <w:p w14:paraId="2D627950" w14:textId="77777777" w:rsidR="00EC556C" w:rsidRPr="00E2141F" w:rsidRDefault="00781988" w:rsidP="000E22F8">
            <w:r w:rsidRPr="00E2141F">
              <w:t>3-4 months after OMB approval</w:t>
            </w:r>
          </w:p>
        </w:tc>
      </w:tr>
      <w:tr w:rsidR="00E2141F" w:rsidRPr="00E2141F" w14:paraId="1F53F995" w14:textId="77777777" w:rsidTr="00781988">
        <w:tc>
          <w:tcPr>
            <w:tcW w:w="4702" w:type="dxa"/>
          </w:tcPr>
          <w:p w14:paraId="3CA850BB" w14:textId="77777777" w:rsidR="00781988" w:rsidRPr="00E2141F" w:rsidDel="00781988" w:rsidRDefault="00781988" w:rsidP="00781988">
            <w:r w:rsidRPr="00E2141F">
              <w:t>Data Collection (Surveys)</w:t>
            </w:r>
          </w:p>
        </w:tc>
        <w:tc>
          <w:tcPr>
            <w:tcW w:w="4648" w:type="dxa"/>
          </w:tcPr>
          <w:p w14:paraId="202DFD1D" w14:textId="77777777" w:rsidR="00781988" w:rsidRPr="00E2141F" w:rsidDel="00781988" w:rsidRDefault="00781988" w:rsidP="00781988">
            <w:r w:rsidRPr="00E2141F">
              <w:t>3-</w:t>
            </w:r>
            <w:r w:rsidRPr="00145ABA">
              <w:t>4</w:t>
            </w:r>
            <w:r w:rsidRPr="00E2141F">
              <w:t xml:space="preserve"> months after OMB approval</w:t>
            </w:r>
          </w:p>
        </w:tc>
      </w:tr>
      <w:tr w:rsidR="00E2141F" w:rsidRPr="00E2141F" w14:paraId="68E3792D" w14:textId="77777777" w:rsidTr="00781988">
        <w:tc>
          <w:tcPr>
            <w:tcW w:w="4702" w:type="dxa"/>
          </w:tcPr>
          <w:p w14:paraId="739A9DDF" w14:textId="77777777" w:rsidR="00781988" w:rsidRPr="00E2141F" w:rsidDel="00781988" w:rsidRDefault="00781988" w:rsidP="00781988">
            <w:r w:rsidRPr="00E2141F">
              <w:t>Analysis</w:t>
            </w:r>
          </w:p>
        </w:tc>
        <w:tc>
          <w:tcPr>
            <w:tcW w:w="4648" w:type="dxa"/>
          </w:tcPr>
          <w:p w14:paraId="0DA75E90" w14:textId="12033F98" w:rsidR="00781988" w:rsidRPr="00E2141F" w:rsidDel="00781988" w:rsidRDefault="00781988" w:rsidP="00145ABA">
            <w:r w:rsidRPr="00E2141F">
              <w:t>4-</w:t>
            </w:r>
            <w:r w:rsidR="00145ABA">
              <w:t>6</w:t>
            </w:r>
            <w:r w:rsidRPr="00E2141F">
              <w:t xml:space="preserve"> months after OMB approval</w:t>
            </w:r>
          </w:p>
        </w:tc>
      </w:tr>
      <w:tr w:rsidR="0038638C" w:rsidRPr="00E2141F" w14:paraId="7B31CF70" w14:textId="77777777" w:rsidTr="00781988">
        <w:tc>
          <w:tcPr>
            <w:tcW w:w="4702" w:type="dxa"/>
          </w:tcPr>
          <w:p w14:paraId="79AC9C65" w14:textId="77777777" w:rsidR="00781988" w:rsidRPr="00E2141F" w:rsidDel="00781988" w:rsidRDefault="00781988" w:rsidP="00781988">
            <w:r w:rsidRPr="00E2141F">
              <w:t xml:space="preserve">Completion of </w:t>
            </w:r>
            <w:r w:rsidR="00751A0F" w:rsidRPr="00E2141F">
              <w:t xml:space="preserve">Final </w:t>
            </w:r>
            <w:r w:rsidRPr="00E2141F">
              <w:t>Report</w:t>
            </w:r>
          </w:p>
        </w:tc>
        <w:tc>
          <w:tcPr>
            <w:tcW w:w="4648" w:type="dxa"/>
          </w:tcPr>
          <w:p w14:paraId="6DF8C1DB" w14:textId="49D99D6F" w:rsidR="00781988" w:rsidRPr="00E2141F" w:rsidDel="00781988" w:rsidRDefault="00145ABA" w:rsidP="00781988">
            <w:r>
              <w:t>6</w:t>
            </w:r>
            <w:r w:rsidR="00781988" w:rsidRPr="00E2141F">
              <w:t xml:space="preserve"> months after OMB approval</w:t>
            </w:r>
          </w:p>
        </w:tc>
      </w:tr>
    </w:tbl>
    <w:p w14:paraId="40EFF6A5" w14:textId="77777777" w:rsidR="00EC556C" w:rsidRPr="00E2141F" w:rsidRDefault="00EC556C" w:rsidP="000116A8">
      <w:pPr>
        <w:pStyle w:val="NoSpacing"/>
      </w:pPr>
    </w:p>
    <w:p w14:paraId="0EAB790A" w14:textId="0E95FAD9" w:rsidR="00593093" w:rsidRDefault="00751A0F" w:rsidP="00EC556C">
      <w:r w:rsidRPr="00E2141F">
        <w:t>Interviews will be structured and analyzed using “Voice of the Customer” techniques which focus on deriving stakeholder wants and needs from a service-oriented lens</w:t>
      </w:r>
      <w:r w:rsidR="00AF6E3B">
        <w:t xml:space="preserve">. </w:t>
      </w:r>
      <w:r w:rsidR="00593093" w:rsidRPr="00593093">
        <w:t>The research team will read and discuss all the consolidated interview transcripts and identify repeated themes and consistent observations from the respondents withi</w:t>
      </w:r>
      <w:r w:rsidR="00593093">
        <w:t>n the various industry groups.</w:t>
      </w:r>
    </w:p>
    <w:p w14:paraId="50D5F4A1" w14:textId="3E630206" w:rsidR="00781988" w:rsidRPr="00E2141F" w:rsidRDefault="00751A0F" w:rsidP="00EC556C">
      <w:r w:rsidRPr="00E2141F">
        <w:t xml:space="preserve">The survey will </w:t>
      </w:r>
      <w:r w:rsidR="00593093">
        <w:t xml:space="preserve">measure how different organizations view different partnership opportunities, barriers, incentives, efficiencies </w:t>
      </w:r>
      <w:r w:rsidRPr="00E2141F">
        <w:t xml:space="preserve">in a rigorous semi-quantitative manner (e.g., using </w:t>
      </w:r>
      <w:r w:rsidR="00593093">
        <w:t>Likert</w:t>
      </w:r>
      <w:r w:rsidRPr="00E2141F">
        <w:t xml:space="preserve"> scale</w:t>
      </w:r>
      <w:r w:rsidR="00593093">
        <w:t>s</w:t>
      </w:r>
      <w:r w:rsidRPr="00E2141F">
        <w:t>)</w:t>
      </w:r>
      <w:r w:rsidR="00AF6E3B">
        <w:t xml:space="preserve">. </w:t>
      </w:r>
      <w:r w:rsidRPr="00E2141F">
        <w:t>Because the quantitative data will be fairly straightforward</w:t>
      </w:r>
      <w:r w:rsidR="006B074A">
        <w:t>,</w:t>
      </w:r>
      <w:r w:rsidRPr="00E2141F">
        <w:t xml:space="preserve"> only simple numerical analysis (means, frequencies </w:t>
      </w:r>
      <w:r w:rsidR="00593093">
        <w:t xml:space="preserve">of certain responses </w:t>
      </w:r>
      <w:r w:rsidRPr="00E2141F">
        <w:t>etc.) will be utilized and provided in the final report.</w:t>
      </w:r>
      <w:r w:rsidR="00593093">
        <w:t xml:space="preserve">  </w:t>
      </w:r>
      <w:r w:rsidR="00593093" w:rsidRPr="00593093">
        <w:t xml:space="preserve">The results of the survey will be analyzed and presented at </w:t>
      </w:r>
      <w:r w:rsidR="00593093">
        <w:t>the</w:t>
      </w:r>
      <w:r w:rsidR="00593093" w:rsidRPr="00593093">
        <w:t xml:space="preserve"> industry level</w:t>
      </w:r>
      <w:r w:rsidR="00593093">
        <w:t xml:space="preserve"> (e.g.</w:t>
      </w:r>
      <w:r w:rsidR="00593093" w:rsidRPr="00593093">
        <w:t xml:space="preserve">, </w:t>
      </w:r>
      <w:r w:rsidR="00593093">
        <w:t>all the pharmaceutical and life sc</w:t>
      </w:r>
      <w:r w:rsidR="00593093" w:rsidRPr="00593093">
        <w:t>iences</w:t>
      </w:r>
      <w:r w:rsidR="00593093">
        <w:t xml:space="preserve"> companies will have their responses aggregated and presented together).  This </w:t>
      </w:r>
      <w:r w:rsidR="00593093" w:rsidRPr="00593093">
        <w:t>will allow the specific partnership preferences of different types of organizations to be illustrated and compared.</w:t>
      </w:r>
    </w:p>
    <w:p w14:paraId="3B16926A" w14:textId="77777777" w:rsidR="00EC556C" w:rsidRPr="00CE688A" w:rsidRDefault="00EC556C" w:rsidP="00CE688A">
      <w:pPr>
        <w:pStyle w:val="Heading1"/>
        <w:rPr>
          <w:b/>
          <w:color w:val="000000" w:themeColor="text1"/>
          <w:sz w:val="24"/>
          <w:szCs w:val="24"/>
        </w:rPr>
      </w:pPr>
      <w:bookmarkStart w:id="17" w:name="_Toc468709691"/>
      <w:r w:rsidRPr="00CE688A">
        <w:rPr>
          <w:b/>
          <w:color w:val="000000" w:themeColor="text1"/>
          <w:sz w:val="24"/>
          <w:szCs w:val="24"/>
        </w:rPr>
        <w:t>17. Reason(s) Display of OMB Expiration Date is Inappropriate</w:t>
      </w:r>
      <w:bookmarkEnd w:id="17"/>
    </w:p>
    <w:p w14:paraId="6BFBC2BF" w14:textId="77777777" w:rsidR="00751A0F" w:rsidRPr="00A4586F" w:rsidRDefault="00751A0F" w:rsidP="00EC556C">
      <w:pPr>
        <w:rPr>
          <w:color w:val="FF0000"/>
        </w:rPr>
      </w:pPr>
      <w:r w:rsidRPr="00E2141F">
        <w:t>The display of the OMB expiration date is not inappropriate.</w:t>
      </w:r>
    </w:p>
    <w:p w14:paraId="346B1C36" w14:textId="77777777" w:rsidR="00ED4ABA" w:rsidRPr="00CE688A" w:rsidRDefault="00EC556C" w:rsidP="00CE688A">
      <w:pPr>
        <w:pStyle w:val="Heading1"/>
        <w:rPr>
          <w:b/>
          <w:color w:val="000000" w:themeColor="text1"/>
          <w:sz w:val="24"/>
          <w:szCs w:val="24"/>
        </w:rPr>
      </w:pPr>
      <w:bookmarkStart w:id="18" w:name="_Toc468709692"/>
      <w:r w:rsidRPr="00CE688A">
        <w:rPr>
          <w:b/>
          <w:color w:val="000000" w:themeColor="text1"/>
          <w:sz w:val="24"/>
          <w:szCs w:val="24"/>
        </w:rPr>
        <w:t>18. Exceptions to Certification for Paperwork Reduction Act Submissions</w:t>
      </w:r>
      <w:bookmarkEnd w:id="18"/>
    </w:p>
    <w:p w14:paraId="0C262327" w14:textId="5C6934B4" w:rsidR="000116A8" w:rsidRPr="006B6B79" w:rsidRDefault="006B6B79">
      <w:pPr>
        <w:rPr>
          <w:color w:val="000000" w:themeColor="text1"/>
        </w:rPr>
      </w:pPr>
      <w:r w:rsidRPr="006B6B79">
        <w:rPr>
          <w:color w:val="000000" w:themeColor="text1"/>
        </w:rPr>
        <w:t>There are no exceptions to the certification</w:t>
      </w:r>
      <w:r>
        <w:rPr>
          <w:color w:val="000000" w:themeColor="text1"/>
        </w:rPr>
        <w:t>.</w:t>
      </w:r>
    </w:p>
    <w:sectPr w:rsidR="000116A8" w:rsidRPr="006B6B79" w:rsidSect="00782D1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012DF" w14:textId="77777777" w:rsidR="00E24C64" w:rsidRDefault="00E24C64" w:rsidP="0071509F">
      <w:pPr>
        <w:spacing w:after="0" w:line="240" w:lineRule="auto"/>
      </w:pPr>
      <w:r>
        <w:separator/>
      </w:r>
    </w:p>
  </w:endnote>
  <w:endnote w:type="continuationSeparator" w:id="0">
    <w:p w14:paraId="7A7F8E02" w14:textId="77777777" w:rsidR="00E24C64" w:rsidRDefault="00E24C64" w:rsidP="0071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Std">
    <w:altName w:val="Courier Std"/>
    <w:panose1 w:val="00000000000000000000"/>
    <w:charset w:val="00"/>
    <w:family w:val="roman"/>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79871"/>
      <w:docPartObj>
        <w:docPartGallery w:val="Page Numbers (Bottom of Page)"/>
        <w:docPartUnique/>
      </w:docPartObj>
    </w:sdtPr>
    <w:sdtEndPr>
      <w:rPr>
        <w:noProof/>
      </w:rPr>
    </w:sdtEndPr>
    <w:sdtContent>
      <w:p w14:paraId="4866631F" w14:textId="025F73CA" w:rsidR="00841219" w:rsidRDefault="00841219">
        <w:pPr>
          <w:pStyle w:val="Footer"/>
          <w:jc w:val="right"/>
        </w:pPr>
        <w:r>
          <w:fldChar w:fldCharType="begin"/>
        </w:r>
        <w:r>
          <w:instrText xml:space="preserve"> PAGE   \* MERGEFORMAT </w:instrText>
        </w:r>
        <w:r>
          <w:fldChar w:fldCharType="separate"/>
        </w:r>
        <w:r w:rsidR="00DA2181">
          <w:rPr>
            <w:noProof/>
          </w:rPr>
          <w:t>1</w:t>
        </w:r>
        <w:r>
          <w:rPr>
            <w:noProof/>
          </w:rPr>
          <w:fldChar w:fldCharType="end"/>
        </w:r>
      </w:p>
    </w:sdtContent>
  </w:sdt>
  <w:p w14:paraId="0521E73E" w14:textId="77777777" w:rsidR="00841219" w:rsidRDefault="00841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483F3" w14:textId="77777777" w:rsidR="00E24C64" w:rsidRDefault="00E24C64" w:rsidP="0071509F">
      <w:pPr>
        <w:spacing w:after="0" w:line="240" w:lineRule="auto"/>
      </w:pPr>
      <w:r>
        <w:separator/>
      </w:r>
    </w:p>
  </w:footnote>
  <w:footnote w:type="continuationSeparator" w:id="0">
    <w:p w14:paraId="5AFA8CBE" w14:textId="77777777" w:rsidR="00E24C64" w:rsidRDefault="00E24C64" w:rsidP="00715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4C36" w14:textId="00D66A7C" w:rsidR="00145ABA" w:rsidRDefault="00145ABA">
    <w:pPr>
      <w:pStyle w:val="Header"/>
    </w:pPr>
    <w:r w:rsidRPr="00593EB1">
      <w:t xml:space="preserve">Version </w:t>
    </w:r>
    <w:r w:rsidR="00D93AD5" w:rsidRPr="00593EB1">
      <w:t>1</w:t>
    </w:r>
    <w:r w:rsidRPr="00593EB1">
      <w:t>.</w:t>
    </w:r>
    <w:r w:rsidR="00D93AD5" w:rsidRPr="00593EB1">
      <w:t>0</w:t>
    </w:r>
    <w:r w:rsidRPr="00593EB1">
      <w:tab/>
    </w:r>
    <w:r w:rsidRPr="00593EB1">
      <w:tab/>
    </w:r>
    <w:r w:rsidRPr="00593EB1">
      <w:rPr>
        <w:b/>
      </w:rPr>
      <w:t>Date:</w:t>
    </w:r>
    <w:r w:rsidRPr="00593EB1">
      <w:t xml:space="preserve"> </w:t>
    </w:r>
    <w:r w:rsidR="00DB1424">
      <w:t>08/16</w:t>
    </w:r>
    <w:r w:rsidR="00593EB1">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B1C4"/>
    <w:multiLevelType w:val="hybridMultilevel"/>
    <w:tmpl w:val="9C636E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C82795"/>
    <w:multiLevelType w:val="hybridMultilevel"/>
    <w:tmpl w:val="C316B006"/>
    <w:lvl w:ilvl="0" w:tplc="84D2FAA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1D601B50"/>
    <w:multiLevelType w:val="hybridMultilevel"/>
    <w:tmpl w:val="2E8AB5DE"/>
    <w:lvl w:ilvl="0" w:tplc="77207A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5E2DBE"/>
    <w:multiLevelType w:val="hybridMultilevel"/>
    <w:tmpl w:val="39EC5B94"/>
    <w:lvl w:ilvl="0" w:tplc="7830477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F6581"/>
    <w:multiLevelType w:val="hybridMultilevel"/>
    <w:tmpl w:val="856C0398"/>
    <w:lvl w:ilvl="0" w:tplc="7830477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55911"/>
    <w:multiLevelType w:val="hybridMultilevel"/>
    <w:tmpl w:val="E9AAD848"/>
    <w:lvl w:ilvl="0" w:tplc="B6BE188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4104766C"/>
    <w:multiLevelType w:val="hybridMultilevel"/>
    <w:tmpl w:val="A63E3B0E"/>
    <w:lvl w:ilvl="0" w:tplc="7830477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555DD"/>
    <w:multiLevelType w:val="hybridMultilevel"/>
    <w:tmpl w:val="A2F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F68D0"/>
    <w:multiLevelType w:val="hybridMultilevel"/>
    <w:tmpl w:val="9F087964"/>
    <w:lvl w:ilvl="0" w:tplc="03F6519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64B06F50"/>
    <w:multiLevelType w:val="hybridMultilevel"/>
    <w:tmpl w:val="49104A98"/>
    <w:lvl w:ilvl="0" w:tplc="7830477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0"/>
  </w:num>
  <w:num w:numId="6">
    <w:abstractNumId w:val="6"/>
  </w:num>
  <w:num w:numId="7">
    <w:abstractNumId w:val="3"/>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6C"/>
    <w:rsid w:val="00000557"/>
    <w:rsid w:val="000116A8"/>
    <w:rsid w:val="00012DD0"/>
    <w:rsid w:val="00021605"/>
    <w:rsid w:val="00050C8C"/>
    <w:rsid w:val="00053479"/>
    <w:rsid w:val="00056471"/>
    <w:rsid w:val="00061FCA"/>
    <w:rsid w:val="00064911"/>
    <w:rsid w:val="00073A9E"/>
    <w:rsid w:val="00074AC5"/>
    <w:rsid w:val="00080F32"/>
    <w:rsid w:val="00084E7F"/>
    <w:rsid w:val="00090608"/>
    <w:rsid w:val="000911C3"/>
    <w:rsid w:val="00092DF6"/>
    <w:rsid w:val="000A5042"/>
    <w:rsid w:val="000B08DA"/>
    <w:rsid w:val="000B5ABD"/>
    <w:rsid w:val="000B7F7E"/>
    <w:rsid w:val="000C6250"/>
    <w:rsid w:val="000C7644"/>
    <w:rsid w:val="000D6CC6"/>
    <w:rsid w:val="000E22F8"/>
    <w:rsid w:val="000E5735"/>
    <w:rsid w:val="001014AC"/>
    <w:rsid w:val="00114187"/>
    <w:rsid w:val="0012207D"/>
    <w:rsid w:val="001257D3"/>
    <w:rsid w:val="00142306"/>
    <w:rsid w:val="00145ABA"/>
    <w:rsid w:val="00153585"/>
    <w:rsid w:val="00155E94"/>
    <w:rsid w:val="0016795A"/>
    <w:rsid w:val="0017610A"/>
    <w:rsid w:val="00194455"/>
    <w:rsid w:val="001A043F"/>
    <w:rsid w:val="001A23FA"/>
    <w:rsid w:val="001B05B0"/>
    <w:rsid w:val="001B556D"/>
    <w:rsid w:val="001B66E1"/>
    <w:rsid w:val="001C7164"/>
    <w:rsid w:val="001D51FC"/>
    <w:rsid w:val="001D6F14"/>
    <w:rsid w:val="001E0724"/>
    <w:rsid w:val="001E3631"/>
    <w:rsid w:val="001E771D"/>
    <w:rsid w:val="001F07AC"/>
    <w:rsid w:val="002216C3"/>
    <w:rsid w:val="0023129C"/>
    <w:rsid w:val="00232588"/>
    <w:rsid w:val="00241923"/>
    <w:rsid w:val="00254694"/>
    <w:rsid w:val="00255A1D"/>
    <w:rsid w:val="00265CF8"/>
    <w:rsid w:val="00267AB0"/>
    <w:rsid w:val="00287C1F"/>
    <w:rsid w:val="002A1F0F"/>
    <w:rsid w:val="002A412E"/>
    <w:rsid w:val="002A7808"/>
    <w:rsid w:val="002B2810"/>
    <w:rsid w:val="002B5E39"/>
    <w:rsid w:val="002C22AE"/>
    <w:rsid w:val="002C34B1"/>
    <w:rsid w:val="002E6E35"/>
    <w:rsid w:val="002F395B"/>
    <w:rsid w:val="002F3A93"/>
    <w:rsid w:val="00302B02"/>
    <w:rsid w:val="0030321C"/>
    <w:rsid w:val="00316ABC"/>
    <w:rsid w:val="003539E2"/>
    <w:rsid w:val="00370E8C"/>
    <w:rsid w:val="00381C5D"/>
    <w:rsid w:val="0038638C"/>
    <w:rsid w:val="0038752A"/>
    <w:rsid w:val="00396CE8"/>
    <w:rsid w:val="003A47A7"/>
    <w:rsid w:val="003B03DC"/>
    <w:rsid w:val="003C76DD"/>
    <w:rsid w:val="003E250D"/>
    <w:rsid w:val="003F63C9"/>
    <w:rsid w:val="003F7824"/>
    <w:rsid w:val="00404869"/>
    <w:rsid w:val="0040729F"/>
    <w:rsid w:val="00410A03"/>
    <w:rsid w:val="00412253"/>
    <w:rsid w:val="00422AF1"/>
    <w:rsid w:val="004301B5"/>
    <w:rsid w:val="00431261"/>
    <w:rsid w:val="004338BC"/>
    <w:rsid w:val="00442509"/>
    <w:rsid w:val="00455325"/>
    <w:rsid w:val="00476FFF"/>
    <w:rsid w:val="004938E2"/>
    <w:rsid w:val="004A2AF5"/>
    <w:rsid w:val="004B7ED9"/>
    <w:rsid w:val="004C28C8"/>
    <w:rsid w:val="004D11A0"/>
    <w:rsid w:val="004D3CC9"/>
    <w:rsid w:val="004E0DA5"/>
    <w:rsid w:val="00506812"/>
    <w:rsid w:val="0051376C"/>
    <w:rsid w:val="0052557E"/>
    <w:rsid w:val="005428A3"/>
    <w:rsid w:val="0055345A"/>
    <w:rsid w:val="00560519"/>
    <w:rsid w:val="005629FC"/>
    <w:rsid w:val="005658C9"/>
    <w:rsid w:val="0057562C"/>
    <w:rsid w:val="005761D3"/>
    <w:rsid w:val="00581E5F"/>
    <w:rsid w:val="0059218C"/>
    <w:rsid w:val="0059284C"/>
    <w:rsid w:val="00593093"/>
    <w:rsid w:val="00593EB1"/>
    <w:rsid w:val="0059465E"/>
    <w:rsid w:val="005970D9"/>
    <w:rsid w:val="005A2F7C"/>
    <w:rsid w:val="005B01B6"/>
    <w:rsid w:val="005B6694"/>
    <w:rsid w:val="005B7AD2"/>
    <w:rsid w:val="005C53E8"/>
    <w:rsid w:val="005D0293"/>
    <w:rsid w:val="005D3300"/>
    <w:rsid w:val="005E3596"/>
    <w:rsid w:val="005F4D3E"/>
    <w:rsid w:val="00604CFC"/>
    <w:rsid w:val="0062079C"/>
    <w:rsid w:val="00621484"/>
    <w:rsid w:val="00623F75"/>
    <w:rsid w:val="00624554"/>
    <w:rsid w:val="00627CC4"/>
    <w:rsid w:val="0063472B"/>
    <w:rsid w:val="006452BC"/>
    <w:rsid w:val="00653431"/>
    <w:rsid w:val="0065507F"/>
    <w:rsid w:val="006559F6"/>
    <w:rsid w:val="0066402E"/>
    <w:rsid w:val="006732BB"/>
    <w:rsid w:val="00676212"/>
    <w:rsid w:val="0068173C"/>
    <w:rsid w:val="00683392"/>
    <w:rsid w:val="006931BB"/>
    <w:rsid w:val="006951B7"/>
    <w:rsid w:val="006A057E"/>
    <w:rsid w:val="006A59F0"/>
    <w:rsid w:val="006A7FD9"/>
    <w:rsid w:val="006B074A"/>
    <w:rsid w:val="006B6B79"/>
    <w:rsid w:val="006D100C"/>
    <w:rsid w:val="006D16C5"/>
    <w:rsid w:val="006E28D8"/>
    <w:rsid w:val="006E46CF"/>
    <w:rsid w:val="006E540B"/>
    <w:rsid w:val="006E580D"/>
    <w:rsid w:val="006F13D8"/>
    <w:rsid w:val="006F27B6"/>
    <w:rsid w:val="006F3BF7"/>
    <w:rsid w:val="006F6351"/>
    <w:rsid w:val="00700AA5"/>
    <w:rsid w:val="00706258"/>
    <w:rsid w:val="00706AE2"/>
    <w:rsid w:val="007105A3"/>
    <w:rsid w:val="00710D97"/>
    <w:rsid w:val="00713A20"/>
    <w:rsid w:val="0071509F"/>
    <w:rsid w:val="007172F8"/>
    <w:rsid w:val="00725D86"/>
    <w:rsid w:val="00733187"/>
    <w:rsid w:val="007346C7"/>
    <w:rsid w:val="00735CFB"/>
    <w:rsid w:val="00743AA7"/>
    <w:rsid w:val="00744052"/>
    <w:rsid w:val="00751A0F"/>
    <w:rsid w:val="007540B8"/>
    <w:rsid w:val="007548B1"/>
    <w:rsid w:val="007572BD"/>
    <w:rsid w:val="00761A65"/>
    <w:rsid w:val="007630D4"/>
    <w:rsid w:val="0076466D"/>
    <w:rsid w:val="00773229"/>
    <w:rsid w:val="00780773"/>
    <w:rsid w:val="00781988"/>
    <w:rsid w:val="00782C0F"/>
    <w:rsid w:val="00782D1D"/>
    <w:rsid w:val="0078513A"/>
    <w:rsid w:val="00793238"/>
    <w:rsid w:val="0079528D"/>
    <w:rsid w:val="00796AC4"/>
    <w:rsid w:val="007B4B63"/>
    <w:rsid w:val="007C005C"/>
    <w:rsid w:val="007C72BA"/>
    <w:rsid w:val="007D1B80"/>
    <w:rsid w:val="007D24FC"/>
    <w:rsid w:val="007D2617"/>
    <w:rsid w:val="007D6A53"/>
    <w:rsid w:val="007E7ABF"/>
    <w:rsid w:val="007F2BFB"/>
    <w:rsid w:val="00800B21"/>
    <w:rsid w:val="00802E1F"/>
    <w:rsid w:val="00804ED9"/>
    <w:rsid w:val="008354AF"/>
    <w:rsid w:val="00841219"/>
    <w:rsid w:val="00844642"/>
    <w:rsid w:val="00850013"/>
    <w:rsid w:val="008724A1"/>
    <w:rsid w:val="0087682B"/>
    <w:rsid w:val="008809F1"/>
    <w:rsid w:val="00896AC1"/>
    <w:rsid w:val="008A5AAA"/>
    <w:rsid w:val="008C27B2"/>
    <w:rsid w:val="008C3F79"/>
    <w:rsid w:val="008C4069"/>
    <w:rsid w:val="008D4E0D"/>
    <w:rsid w:val="008E347C"/>
    <w:rsid w:val="008F7FF8"/>
    <w:rsid w:val="00912E95"/>
    <w:rsid w:val="00917020"/>
    <w:rsid w:val="009200A7"/>
    <w:rsid w:val="00932781"/>
    <w:rsid w:val="00932B47"/>
    <w:rsid w:val="00935958"/>
    <w:rsid w:val="0094311E"/>
    <w:rsid w:val="00951A91"/>
    <w:rsid w:val="00951E32"/>
    <w:rsid w:val="00956690"/>
    <w:rsid w:val="00960D12"/>
    <w:rsid w:val="00964B3F"/>
    <w:rsid w:val="00972521"/>
    <w:rsid w:val="00975FC3"/>
    <w:rsid w:val="00980541"/>
    <w:rsid w:val="0098382E"/>
    <w:rsid w:val="00993889"/>
    <w:rsid w:val="00997736"/>
    <w:rsid w:val="009B21D7"/>
    <w:rsid w:val="009B2B41"/>
    <w:rsid w:val="009B781E"/>
    <w:rsid w:val="009C7ADE"/>
    <w:rsid w:val="009D6297"/>
    <w:rsid w:val="009F2B89"/>
    <w:rsid w:val="00A14583"/>
    <w:rsid w:val="00A16E9B"/>
    <w:rsid w:val="00A25247"/>
    <w:rsid w:val="00A31EB0"/>
    <w:rsid w:val="00A31F92"/>
    <w:rsid w:val="00A33D27"/>
    <w:rsid w:val="00A4586F"/>
    <w:rsid w:val="00A534C3"/>
    <w:rsid w:val="00A605DC"/>
    <w:rsid w:val="00A82A7A"/>
    <w:rsid w:val="00A870FD"/>
    <w:rsid w:val="00A9125F"/>
    <w:rsid w:val="00A91BC6"/>
    <w:rsid w:val="00AA1C1D"/>
    <w:rsid w:val="00AB1629"/>
    <w:rsid w:val="00AB340A"/>
    <w:rsid w:val="00AB4CB9"/>
    <w:rsid w:val="00AE7B4F"/>
    <w:rsid w:val="00AF6E3B"/>
    <w:rsid w:val="00B0056A"/>
    <w:rsid w:val="00B0081B"/>
    <w:rsid w:val="00B044F6"/>
    <w:rsid w:val="00B14B3F"/>
    <w:rsid w:val="00B15E07"/>
    <w:rsid w:val="00B213EE"/>
    <w:rsid w:val="00B2151D"/>
    <w:rsid w:val="00B23747"/>
    <w:rsid w:val="00B26E92"/>
    <w:rsid w:val="00B34773"/>
    <w:rsid w:val="00B44488"/>
    <w:rsid w:val="00B455A3"/>
    <w:rsid w:val="00B45AB8"/>
    <w:rsid w:val="00B462FB"/>
    <w:rsid w:val="00B523E5"/>
    <w:rsid w:val="00B5486D"/>
    <w:rsid w:val="00B62711"/>
    <w:rsid w:val="00B62FF6"/>
    <w:rsid w:val="00B75F3B"/>
    <w:rsid w:val="00B852F9"/>
    <w:rsid w:val="00BB27D4"/>
    <w:rsid w:val="00BC1E62"/>
    <w:rsid w:val="00BE4D95"/>
    <w:rsid w:val="00C00DB1"/>
    <w:rsid w:val="00C052AD"/>
    <w:rsid w:val="00C107CE"/>
    <w:rsid w:val="00C21942"/>
    <w:rsid w:val="00C25737"/>
    <w:rsid w:val="00C31751"/>
    <w:rsid w:val="00C31E74"/>
    <w:rsid w:val="00C35AC7"/>
    <w:rsid w:val="00C4039E"/>
    <w:rsid w:val="00C60771"/>
    <w:rsid w:val="00C77E87"/>
    <w:rsid w:val="00C9109D"/>
    <w:rsid w:val="00C9113A"/>
    <w:rsid w:val="00C91C59"/>
    <w:rsid w:val="00CA14BC"/>
    <w:rsid w:val="00CB109A"/>
    <w:rsid w:val="00CB2609"/>
    <w:rsid w:val="00CB36DC"/>
    <w:rsid w:val="00CB6306"/>
    <w:rsid w:val="00CC4ACF"/>
    <w:rsid w:val="00CD1B3F"/>
    <w:rsid w:val="00CD38C7"/>
    <w:rsid w:val="00CD76AA"/>
    <w:rsid w:val="00CE02EB"/>
    <w:rsid w:val="00CE0BB5"/>
    <w:rsid w:val="00CE49E0"/>
    <w:rsid w:val="00CE688A"/>
    <w:rsid w:val="00CF1C0D"/>
    <w:rsid w:val="00CF2E70"/>
    <w:rsid w:val="00CF3D8D"/>
    <w:rsid w:val="00D01401"/>
    <w:rsid w:val="00D1254E"/>
    <w:rsid w:val="00D153C1"/>
    <w:rsid w:val="00D15EC3"/>
    <w:rsid w:val="00D162B0"/>
    <w:rsid w:val="00D21557"/>
    <w:rsid w:val="00D223A5"/>
    <w:rsid w:val="00D30241"/>
    <w:rsid w:val="00D344EC"/>
    <w:rsid w:val="00D42D96"/>
    <w:rsid w:val="00D620D5"/>
    <w:rsid w:val="00D64ABB"/>
    <w:rsid w:val="00D7518A"/>
    <w:rsid w:val="00D75B8A"/>
    <w:rsid w:val="00D82AF0"/>
    <w:rsid w:val="00D8336B"/>
    <w:rsid w:val="00D8760B"/>
    <w:rsid w:val="00D937D9"/>
    <w:rsid w:val="00D93AD5"/>
    <w:rsid w:val="00DA1B1F"/>
    <w:rsid w:val="00DA2181"/>
    <w:rsid w:val="00DA2583"/>
    <w:rsid w:val="00DA4FF9"/>
    <w:rsid w:val="00DB1424"/>
    <w:rsid w:val="00DC0306"/>
    <w:rsid w:val="00DC1073"/>
    <w:rsid w:val="00DD422B"/>
    <w:rsid w:val="00DD6F15"/>
    <w:rsid w:val="00DE0603"/>
    <w:rsid w:val="00E0473B"/>
    <w:rsid w:val="00E10D17"/>
    <w:rsid w:val="00E206C5"/>
    <w:rsid w:val="00E2141F"/>
    <w:rsid w:val="00E24C64"/>
    <w:rsid w:val="00E272DF"/>
    <w:rsid w:val="00E3542B"/>
    <w:rsid w:val="00E447E0"/>
    <w:rsid w:val="00E52ED3"/>
    <w:rsid w:val="00E53AB3"/>
    <w:rsid w:val="00E5585F"/>
    <w:rsid w:val="00E57611"/>
    <w:rsid w:val="00E8018C"/>
    <w:rsid w:val="00E83C97"/>
    <w:rsid w:val="00E975D6"/>
    <w:rsid w:val="00EA0512"/>
    <w:rsid w:val="00EA57B6"/>
    <w:rsid w:val="00EC2517"/>
    <w:rsid w:val="00EC556C"/>
    <w:rsid w:val="00EC609E"/>
    <w:rsid w:val="00EC71B2"/>
    <w:rsid w:val="00ED4ABA"/>
    <w:rsid w:val="00ED5C4B"/>
    <w:rsid w:val="00EE29FC"/>
    <w:rsid w:val="00EF5033"/>
    <w:rsid w:val="00F0009C"/>
    <w:rsid w:val="00F07867"/>
    <w:rsid w:val="00F15E34"/>
    <w:rsid w:val="00F2094D"/>
    <w:rsid w:val="00F26118"/>
    <w:rsid w:val="00F71C3B"/>
    <w:rsid w:val="00F829AA"/>
    <w:rsid w:val="00F83340"/>
    <w:rsid w:val="00FA3F7F"/>
    <w:rsid w:val="00FA75E8"/>
    <w:rsid w:val="00FB41F5"/>
    <w:rsid w:val="00FB42C1"/>
    <w:rsid w:val="00FC2D08"/>
    <w:rsid w:val="00FC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5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6C"/>
  </w:style>
  <w:style w:type="paragraph" w:styleId="Heading1">
    <w:name w:val="heading 1"/>
    <w:basedOn w:val="Normal"/>
    <w:next w:val="Normal"/>
    <w:link w:val="Heading1Char"/>
    <w:uiPriority w:val="9"/>
    <w:qFormat/>
    <w:rsid w:val="00CE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56C"/>
    <w:pPr>
      <w:ind w:left="720"/>
      <w:contextualSpacing/>
    </w:pPr>
  </w:style>
  <w:style w:type="paragraph" w:styleId="BalloonText">
    <w:name w:val="Balloon Text"/>
    <w:basedOn w:val="Normal"/>
    <w:link w:val="BalloonTextChar"/>
    <w:uiPriority w:val="99"/>
    <w:semiHidden/>
    <w:unhideWhenUsed/>
    <w:rsid w:val="00EC5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6C"/>
    <w:rPr>
      <w:rFonts w:ascii="Tahoma" w:hAnsi="Tahoma" w:cs="Tahoma"/>
      <w:sz w:val="16"/>
      <w:szCs w:val="16"/>
    </w:rPr>
  </w:style>
  <w:style w:type="character" w:styleId="Hyperlink">
    <w:name w:val="Hyperlink"/>
    <w:basedOn w:val="DefaultParagraphFont"/>
    <w:uiPriority w:val="99"/>
    <w:unhideWhenUsed/>
    <w:rsid w:val="007105A3"/>
    <w:rPr>
      <w:color w:val="0000FF" w:themeColor="hyperlink"/>
      <w:u w:val="single"/>
    </w:rPr>
  </w:style>
  <w:style w:type="character" w:styleId="CommentReference">
    <w:name w:val="annotation reference"/>
    <w:basedOn w:val="DefaultParagraphFont"/>
    <w:unhideWhenUsed/>
    <w:rsid w:val="00960D12"/>
    <w:rPr>
      <w:sz w:val="16"/>
      <w:szCs w:val="16"/>
    </w:rPr>
  </w:style>
  <w:style w:type="paragraph" w:styleId="CommentText">
    <w:name w:val="annotation text"/>
    <w:basedOn w:val="Normal"/>
    <w:link w:val="CommentTextChar"/>
    <w:unhideWhenUsed/>
    <w:rsid w:val="00960D12"/>
    <w:pPr>
      <w:spacing w:line="240" w:lineRule="auto"/>
    </w:pPr>
    <w:rPr>
      <w:sz w:val="20"/>
      <w:szCs w:val="20"/>
    </w:rPr>
  </w:style>
  <w:style w:type="character" w:customStyle="1" w:styleId="CommentTextChar">
    <w:name w:val="Comment Text Char"/>
    <w:basedOn w:val="DefaultParagraphFont"/>
    <w:link w:val="CommentText"/>
    <w:rsid w:val="00960D12"/>
    <w:rPr>
      <w:sz w:val="20"/>
      <w:szCs w:val="20"/>
    </w:rPr>
  </w:style>
  <w:style w:type="paragraph" w:styleId="CommentSubject">
    <w:name w:val="annotation subject"/>
    <w:basedOn w:val="CommentText"/>
    <w:next w:val="CommentText"/>
    <w:link w:val="CommentSubjectChar"/>
    <w:uiPriority w:val="99"/>
    <w:semiHidden/>
    <w:unhideWhenUsed/>
    <w:rsid w:val="00960D12"/>
    <w:rPr>
      <w:b/>
      <w:bCs/>
    </w:rPr>
  </w:style>
  <w:style w:type="character" w:customStyle="1" w:styleId="CommentSubjectChar">
    <w:name w:val="Comment Subject Char"/>
    <w:basedOn w:val="CommentTextChar"/>
    <w:link w:val="CommentSubject"/>
    <w:uiPriority w:val="99"/>
    <w:semiHidden/>
    <w:rsid w:val="00960D12"/>
    <w:rPr>
      <w:b/>
      <w:bCs/>
      <w:sz w:val="20"/>
      <w:szCs w:val="20"/>
    </w:rPr>
  </w:style>
  <w:style w:type="paragraph" w:customStyle="1" w:styleId="Default">
    <w:name w:val="Default"/>
    <w:rsid w:val="005B01B6"/>
    <w:pPr>
      <w:autoSpaceDE w:val="0"/>
      <w:autoSpaceDN w:val="0"/>
      <w:adjustRightInd w:val="0"/>
      <w:spacing w:after="0" w:line="240" w:lineRule="auto"/>
    </w:pPr>
    <w:rPr>
      <w:rFonts w:ascii="Courier Std" w:hAnsi="Courier Std" w:cs="Courier Std"/>
      <w:color w:val="000000"/>
      <w:sz w:val="24"/>
      <w:szCs w:val="24"/>
    </w:rPr>
  </w:style>
  <w:style w:type="character" w:customStyle="1" w:styleId="A14">
    <w:name w:val="A14"/>
    <w:uiPriority w:val="99"/>
    <w:rsid w:val="005B01B6"/>
    <w:rPr>
      <w:rFonts w:cs="Courier Std"/>
      <w:color w:val="000000"/>
    </w:rPr>
  </w:style>
  <w:style w:type="paragraph" w:customStyle="1" w:styleId="Pa15">
    <w:name w:val="Pa15"/>
    <w:basedOn w:val="Default"/>
    <w:next w:val="Default"/>
    <w:uiPriority w:val="99"/>
    <w:rsid w:val="00A605DC"/>
    <w:pPr>
      <w:spacing w:line="221" w:lineRule="atLeast"/>
    </w:pPr>
    <w:rPr>
      <w:rFonts w:ascii="ITC Franklin Gothic Std Book" w:hAnsi="ITC Franklin Gothic Std Book" w:cstheme="minorBidi"/>
      <w:color w:val="auto"/>
    </w:rPr>
  </w:style>
  <w:style w:type="character" w:customStyle="1" w:styleId="A6">
    <w:name w:val="A6"/>
    <w:uiPriority w:val="99"/>
    <w:rsid w:val="00A605DC"/>
    <w:rPr>
      <w:rFonts w:cs="ITC Franklin Gothic Std Book"/>
      <w:color w:val="000000"/>
      <w:sz w:val="22"/>
      <w:szCs w:val="22"/>
    </w:rPr>
  </w:style>
  <w:style w:type="character" w:customStyle="1" w:styleId="A8">
    <w:name w:val="A8"/>
    <w:uiPriority w:val="99"/>
    <w:rsid w:val="00A605DC"/>
    <w:rPr>
      <w:rFonts w:cs="ITC Franklin Gothic Std Book"/>
      <w:b/>
      <w:bCs/>
      <w:color w:val="000000"/>
      <w:sz w:val="22"/>
      <w:szCs w:val="22"/>
      <w:u w:val="single"/>
    </w:rPr>
  </w:style>
  <w:style w:type="character" w:customStyle="1" w:styleId="A13">
    <w:name w:val="A13"/>
    <w:uiPriority w:val="99"/>
    <w:rsid w:val="00A605DC"/>
    <w:rPr>
      <w:rFonts w:cs="ITC Franklin Gothic Std Book"/>
      <w:color w:val="000000"/>
      <w:sz w:val="22"/>
      <w:szCs w:val="22"/>
    </w:rPr>
  </w:style>
  <w:style w:type="paragraph" w:styleId="Revision">
    <w:name w:val="Revision"/>
    <w:hidden/>
    <w:uiPriority w:val="99"/>
    <w:semiHidden/>
    <w:rsid w:val="00FC2D08"/>
    <w:pPr>
      <w:spacing w:after="0" w:line="240" w:lineRule="auto"/>
    </w:pPr>
  </w:style>
  <w:style w:type="paragraph" w:styleId="Header">
    <w:name w:val="header"/>
    <w:basedOn w:val="Normal"/>
    <w:link w:val="HeaderChar"/>
    <w:uiPriority w:val="99"/>
    <w:unhideWhenUsed/>
    <w:rsid w:val="0071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9F"/>
  </w:style>
  <w:style w:type="paragraph" w:styleId="Footer">
    <w:name w:val="footer"/>
    <w:basedOn w:val="Normal"/>
    <w:link w:val="FooterChar"/>
    <w:uiPriority w:val="99"/>
    <w:unhideWhenUsed/>
    <w:rsid w:val="0071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9F"/>
  </w:style>
  <w:style w:type="paragraph" w:styleId="NoSpacing">
    <w:name w:val="No Spacing"/>
    <w:uiPriority w:val="1"/>
    <w:qFormat/>
    <w:rsid w:val="0038638C"/>
    <w:pPr>
      <w:spacing w:after="0" w:line="240" w:lineRule="auto"/>
    </w:pPr>
  </w:style>
  <w:style w:type="character" w:customStyle="1" w:styleId="Heading1Char">
    <w:name w:val="Heading 1 Char"/>
    <w:basedOn w:val="DefaultParagraphFont"/>
    <w:link w:val="Heading1"/>
    <w:uiPriority w:val="9"/>
    <w:rsid w:val="00CE688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E688A"/>
    <w:pPr>
      <w:spacing w:line="259" w:lineRule="auto"/>
      <w:outlineLvl w:val="9"/>
    </w:pPr>
  </w:style>
  <w:style w:type="paragraph" w:styleId="TOC1">
    <w:name w:val="toc 1"/>
    <w:basedOn w:val="Normal"/>
    <w:next w:val="Normal"/>
    <w:autoRedefine/>
    <w:uiPriority w:val="39"/>
    <w:unhideWhenUsed/>
    <w:rsid w:val="00CE688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6C"/>
  </w:style>
  <w:style w:type="paragraph" w:styleId="Heading1">
    <w:name w:val="heading 1"/>
    <w:basedOn w:val="Normal"/>
    <w:next w:val="Normal"/>
    <w:link w:val="Heading1Char"/>
    <w:uiPriority w:val="9"/>
    <w:qFormat/>
    <w:rsid w:val="00CE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56C"/>
    <w:pPr>
      <w:ind w:left="720"/>
      <w:contextualSpacing/>
    </w:pPr>
  </w:style>
  <w:style w:type="paragraph" w:styleId="BalloonText">
    <w:name w:val="Balloon Text"/>
    <w:basedOn w:val="Normal"/>
    <w:link w:val="BalloonTextChar"/>
    <w:uiPriority w:val="99"/>
    <w:semiHidden/>
    <w:unhideWhenUsed/>
    <w:rsid w:val="00EC5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6C"/>
    <w:rPr>
      <w:rFonts w:ascii="Tahoma" w:hAnsi="Tahoma" w:cs="Tahoma"/>
      <w:sz w:val="16"/>
      <w:szCs w:val="16"/>
    </w:rPr>
  </w:style>
  <w:style w:type="character" w:styleId="Hyperlink">
    <w:name w:val="Hyperlink"/>
    <w:basedOn w:val="DefaultParagraphFont"/>
    <w:uiPriority w:val="99"/>
    <w:unhideWhenUsed/>
    <w:rsid w:val="007105A3"/>
    <w:rPr>
      <w:color w:val="0000FF" w:themeColor="hyperlink"/>
      <w:u w:val="single"/>
    </w:rPr>
  </w:style>
  <w:style w:type="character" w:styleId="CommentReference">
    <w:name w:val="annotation reference"/>
    <w:basedOn w:val="DefaultParagraphFont"/>
    <w:unhideWhenUsed/>
    <w:rsid w:val="00960D12"/>
    <w:rPr>
      <w:sz w:val="16"/>
      <w:szCs w:val="16"/>
    </w:rPr>
  </w:style>
  <w:style w:type="paragraph" w:styleId="CommentText">
    <w:name w:val="annotation text"/>
    <w:basedOn w:val="Normal"/>
    <w:link w:val="CommentTextChar"/>
    <w:unhideWhenUsed/>
    <w:rsid w:val="00960D12"/>
    <w:pPr>
      <w:spacing w:line="240" w:lineRule="auto"/>
    </w:pPr>
    <w:rPr>
      <w:sz w:val="20"/>
      <w:szCs w:val="20"/>
    </w:rPr>
  </w:style>
  <w:style w:type="character" w:customStyle="1" w:styleId="CommentTextChar">
    <w:name w:val="Comment Text Char"/>
    <w:basedOn w:val="DefaultParagraphFont"/>
    <w:link w:val="CommentText"/>
    <w:rsid w:val="00960D12"/>
    <w:rPr>
      <w:sz w:val="20"/>
      <w:szCs w:val="20"/>
    </w:rPr>
  </w:style>
  <w:style w:type="paragraph" w:styleId="CommentSubject">
    <w:name w:val="annotation subject"/>
    <w:basedOn w:val="CommentText"/>
    <w:next w:val="CommentText"/>
    <w:link w:val="CommentSubjectChar"/>
    <w:uiPriority w:val="99"/>
    <w:semiHidden/>
    <w:unhideWhenUsed/>
    <w:rsid w:val="00960D12"/>
    <w:rPr>
      <w:b/>
      <w:bCs/>
    </w:rPr>
  </w:style>
  <w:style w:type="character" w:customStyle="1" w:styleId="CommentSubjectChar">
    <w:name w:val="Comment Subject Char"/>
    <w:basedOn w:val="CommentTextChar"/>
    <w:link w:val="CommentSubject"/>
    <w:uiPriority w:val="99"/>
    <w:semiHidden/>
    <w:rsid w:val="00960D12"/>
    <w:rPr>
      <w:b/>
      <w:bCs/>
      <w:sz w:val="20"/>
      <w:szCs w:val="20"/>
    </w:rPr>
  </w:style>
  <w:style w:type="paragraph" w:customStyle="1" w:styleId="Default">
    <w:name w:val="Default"/>
    <w:rsid w:val="005B01B6"/>
    <w:pPr>
      <w:autoSpaceDE w:val="0"/>
      <w:autoSpaceDN w:val="0"/>
      <w:adjustRightInd w:val="0"/>
      <w:spacing w:after="0" w:line="240" w:lineRule="auto"/>
    </w:pPr>
    <w:rPr>
      <w:rFonts w:ascii="Courier Std" w:hAnsi="Courier Std" w:cs="Courier Std"/>
      <w:color w:val="000000"/>
      <w:sz w:val="24"/>
      <w:szCs w:val="24"/>
    </w:rPr>
  </w:style>
  <w:style w:type="character" w:customStyle="1" w:styleId="A14">
    <w:name w:val="A14"/>
    <w:uiPriority w:val="99"/>
    <w:rsid w:val="005B01B6"/>
    <w:rPr>
      <w:rFonts w:cs="Courier Std"/>
      <w:color w:val="000000"/>
    </w:rPr>
  </w:style>
  <w:style w:type="paragraph" w:customStyle="1" w:styleId="Pa15">
    <w:name w:val="Pa15"/>
    <w:basedOn w:val="Default"/>
    <w:next w:val="Default"/>
    <w:uiPriority w:val="99"/>
    <w:rsid w:val="00A605DC"/>
    <w:pPr>
      <w:spacing w:line="221" w:lineRule="atLeast"/>
    </w:pPr>
    <w:rPr>
      <w:rFonts w:ascii="ITC Franklin Gothic Std Book" w:hAnsi="ITC Franklin Gothic Std Book" w:cstheme="minorBidi"/>
      <w:color w:val="auto"/>
    </w:rPr>
  </w:style>
  <w:style w:type="character" w:customStyle="1" w:styleId="A6">
    <w:name w:val="A6"/>
    <w:uiPriority w:val="99"/>
    <w:rsid w:val="00A605DC"/>
    <w:rPr>
      <w:rFonts w:cs="ITC Franklin Gothic Std Book"/>
      <w:color w:val="000000"/>
      <w:sz w:val="22"/>
      <w:szCs w:val="22"/>
    </w:rPr>
  </w:style>
  <w:style w:type="character" w:customStyle="1" w:styleId="A8">
    <w:name w:val="A8"/>
    <w:uiPriority w:val="99"/>
    <w:rsid w:val="00A605DC"/>
    <w:rPr>
      <w:rFonts w:cs="ITC Franklin Gothic Std Book"/>
      <w:b/>
      <w:bCs/>
      <w:color w:val="000000"/>
      <w:sz w:val="22"/>
      <w:szCs w:val="22"/>
      <w:u w:val="single"/>
    </w:rPr>
  </w:style>
  <w:style w:type="character" w:customStyle="1" w:styleId="A13">
    <w:name w:val="A13"/>
    <w:uiPriority w:val="99"/>
    <w:rsid w:val="00A605DC"/>
    <w:rPr>
      <w:rFonts w:cs="ITC Franklin Gothic Std Book"/>
      <w:color w:val="000000"/>
      <w:sz w:val="22"/>
      <w:szCs w:val="22"/>
    </w:rPr>
  </w:style>
  <w:style w:type="paragraph" w:styleId="Revision">
    <w:name w:val="Revision"/>
    <w:hidden/>
    <w:uiPriority w:val="99"/>
    <w:semiHidden/>
    <w:rsid w:val="00FC2D08"/>
    <w:pPr>
      <w:spacing w:after="0" w:line="240" w:lineRule="auto"/>
    </w:pPr>
  </w:style>
  <w:style w:type="paragraph" w:styleId="Header">
    <w:name w:val="header"/>
    <w:basedOn w:val="Normal"/>
    <w:link w:val="HeaderChar"/>
    <w:uiPriority w:val="99"/>
    <w:unhideWhenUsed/>
    <w:rsid w:val="0071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9F"/>
  </w:style>
  <w:style w:type="paragraph" w:styleId="Footer">
    <w:name w:val="footer"/>
    <w:basedOn w:val="Normal"/>
    <w:link w:val="FooterChar"/>
    <w:uiPriority w:val="99"/>
    <w:unhideWhenUsed/>
    <w:rsid w:val="0071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9F"/>
  </w:style>
  <w:style w:type="paragraph" w:styleId="NoSpacing">
    <w:name w:val="No Spacing"/>
    <w:uiPriority w:val="1"/>
    <w:qFormat/>
    <w:rsid w:val="0038638C"/>
    <w:pPr>
      <w:spacing w:after="0" w:line="240" w:lineRule="auto"/>
    </w:pPr>
  </w:style>
  <w:style w:type="character" w:customStyle="1" w:styleId="Heading1Char">
    <w:name w:val="Heading 1 Char"/>
    <w:basedOn w:val="DefaultParagraphFont"/>
    <w:link w:val="Heading1"/>
    <w:uiPriority w:val="9"/>
    <w:rsid w:val="00CE688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E688A"/>
    <w:pPr>
      <w:spacing w:line="259" w:lineRule="auto"/>
      <w:outlineLvl w:val="9"/>
    </w:pPr>
  </w:style>
  <w:style w:type="paragraph" w:styleId="TOC1">
    <w:name w:val="toc 1"/>
    <w:basedOn w:val="Normal"/>
    <w:next w:val="Normal"/>
    <w:autoRedefine/>
    <w:uiPriority w:val="39"/>
    <w:unhideWhenUsed/>
    <w:rsid w:val="00CE68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363633">
      <w:bodyDiv w:val="1"/>
      <w:marLeft w:val="0"/>
      <w:marRight w:val="0"/>
      <w:marTop w:val="0"/>
      <w:marBottom w:val="0"/>
      <w:divBdr>
        <w:top w:val="none" w:sz="0" w:space="0" w:color="auto"/>
        <w:left w:val="none" w:sz="0" w:space="0" w:color="auto"/>
        <w:bottom w:val="none" w:sz="0" w:space="0" w:color="auto"/>
        <w:right w:val="none" w:sz="0" w:space="0" w:color="auto"/>
      </w:divBdr>
    </w:div>
    <w:div w:id="196303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9F05-FF72-47D2-B48D-CE7EC90A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 Authorized User</dc:creator>
  <cp:lastModifiedBy>SYSTEM</cp:lastModifiedBy>
  <cp:revision>2</cp:revision>
  <dcterms:created xsi:type="dcterms:W3CDTF">2017-09-26T18:30:00Z</dcterms:created>
  <dcterms:modified xsi:type="dcterms:W3CDTF">2017-09-26T18:30:00Z</dcterms:modified>
</cp:coreProperties>
</file>