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596D2" w14:textId="77777777" w:rsidR="00873BFC" w:rsidRPr="00DC563E" w:rsidRDefault="00873BFC" w:rsidP="00873BFC">
      <w:pPr>
        <w:rPr>
          <w:b/>
          <w:sz w:val="22"/>
          <w:szCs w:val="22"/>
        </w:rPr>
      </w:pPr>
      <w:bookmarkStart w:id="0" w:name="_GoBack"/>
      <w:bookmarkEnd w:id="0"/>
    </w:p>
    <w:p w14:paraId="65B7B0CE" w14:textId="77777777" w:rsidR="00873BFC" w:rsidRPr="00DC563E" w:rsidRDefault="003E680F" w:rsidP="00140D7A">
      <w:pPr>
        <w:jc w:val="center"/>
        <w:rPr>
          <w:b/>
        </w:rPr>
      </w:pPr>
      <w:r w:rsidRPr="00DC563E">
        <w:rPr>
          <w:b/>
        </w:rPr>
        <w:t>Supporting Statement Part A</w:t>
      </w:r>
    </w:p>
    <w:p w14:paraId="5306C9B8" w14:textId="77777777" w:rsidR="00140D7A" w:rsidRPr="00DC563E" w:rsidRDefault="00140D7A" w:rsidP="00140D7A">
      <w:pPr>
        <w:jc w:val="center"/>
        <w:rPr>
          <w:b/>
        </w:rPr>
      </w:pPr>
    </w:p>
    <w:p w14:paraId="467578F3" w14:textId="77777777" w:rsidR="00140D7A" w:rsidRPr="00DC563E" w:rsidRDefault="00140D7A" w:rsidP="00140D7A">
      <w:pPr>
        <w:jc w:val="center"/>
        <w:rPr>
          <w:b/>
        </w:rPr>
      </w:pPr>
    </w:p>
    <w:p w14:paraId="23ADEBB4" w14:textId="77777777" w:rsidR="00140D7A" w:rsidRPr="00DC563E" w:rsidRDefault="00140D7A" w:rsidP="00140D7A">
      <w:pPr>
        <w:jc w:val="center"/>
        <w:rPr>
          <w:b/>
        </w:rPr>
      </w:pPr>
    </w:p>
    <w:p w14:paraId="623821AB" w14:textId="77777777" w:rsidR="00C60BB2" w:rsidRPr="00DC563E" w:rsidRDefault="00C60BB2" w:rsidP="00140D7A">
      <w:pPr>
        <w:jc w:val="center"/>
        <w:rPr>
          <w:rFonts w:eastAsiaTheme="minorEastAsia"/>
          <w:b/>
          <w:bCs/>
        </w:rPr>
      </w:pPr>
      <w:r w:rsidRPr="00DC563E">
        <w:rPr>
          <w:rFonts w:eastAsiaTheme="minorEastAsia"/>
          <w:b/>
          <w:bCs/>
        </w:rPr>
        <w:t>T</w:t>
      </w:r>
      <w:r w:rsidR="00DF5D8D" w:rsidRPr="00DC563E">
        <w:rPr>
          <w:rFonts w:eastAsiaTheme="minorEastAsia"/>
          <w:b/>
          <w:bCs/>
        </w:rPr>
        <w:t>he</w:t>
      </w:r>
      <w:r w:rsidRPr="00DC563E">
        <w:rPr>
          <w:rFonts w:eastAsiaTheme="minorEastAsia"/>
          <w:b/>
          <w:bCs/>
        </w:rPr>
        <w:t xml:space="preserve"> S</w:t>
      </w:r>
      <w:r w:rsidR="00DF5D8D" w:rsidRPr="00DC563E">
        <w:rPr>
          <w:rFonts w:eastAsiaTheme="minorEastAsia"/>
          <w:b/>
          <w:bCs/>
        </w:rPr>
        <w:t>tudy</w:t>
      </w:r>
      <w:r w:rsidRPr="00DC563E">
        <w:rPr>
          <w:rFonts w:eastAsiaTheme="minorEastAsia"/>
          <w:b/>
          <w:bCs/>
        </w:rPr>
        <w:t xml:space="preserve"> </w:t>
      </w:r>
      <w:r w:rsidR="006934D3" w:rsidRPr="00DC563E">
        <w:rPr>
          <w:rFonts w:eastAsiaTheme="minorEastAsia"/>
          <w:b/>
          <w:bCs/>
        </w:rPr>
        <w:t>t</w:t>
      </w:r>
      <w:r w:rsidR="00DF5D8D" w:rsidRPr="00DC563E">
        <w:rPr>
          <w:rFonts w:eastAsiaTheme="minorEastAsia"/>
          <w:b/>
          <w:bCs/>
        </w:rPr>
        <w:t>o</w:t>
      </w:r>
      <w:r w:rsidRPr="00DC563E">
        <w:rPr>
          <w:rFonts w:eastAsiaTheme="minorEastAsia"/>
          <w:b/>
          <w:bCs/>
        </w:rPr>
        <w:t xml:space="preserve"> E</w:t>
      </w:r>
      <w:r w:rsidR="00DF5D8D" w:rsidRPr="00DC563E">
        <w:rPr>
          <w:rFonts w:eastAsiaTheme="minorEastAsia"/>
          <w:b/>
          <w:bCs/>
        </w:rPr>
        <w:t>xplore</w:t>
      </w:r>
      <w:r w:rsidRPr="00DC563E">
        <w:rPr>
          <w:rFonts w:eastAsiaTheme="minorEastAsia"/>
          <w:b/>
          <w:bCs/>
        </w:rPr>
        <w:t xml:space="preserve"> E</w:t>
      </w:r>
      <w:r w:rsidR="00DF5D8D" w:rsidRPr="00DC563E">
        <w:rPr>
          <w:rFonts w:eastAsiaTheme="minorEastAsia"/>
          <w:b/>
          <w:bCs/>
        </w:rPr>
        <w:t>arly</w:t>
      </w:r>
      <w:r w:rsidRPr="00DC563E">
        <w:rPr>
          <w:rFonts w:eastAsiaTheme="minorEastAsia"/>
          <w:b/>
          <w:bCs/>
        </w:rPr>
        <w:t xml:space="preserve"> D</w:t>
      </w:r>
      <w:r w:rsidR="00DF5D8D" w:rsidRPr="00DC563E">
        <w:rPr>
          <w:rFonts w:eastAsiaTheme="minorEastAsia"/>
          <w:b/>
          <w:bCs/>
        </w:rPr>
        <w:t>evelopment</w:t>
      </w:r>
      <w:r w:rsidRPr="00DC563E">
        <w:rPr>
          <w:rFonts w:eastAsiaTheme="minorEastAsia"/>
          <w:b/>
          <w:bCs/>
        </w:rPr>
        <w:t>, T</w:t>
      </w:r>
      <w:r w:rsidR="00DF5D8D" w:rsidRPr="00DC563E">
        <w:rPr>
          <w:rFonts w:eastAsiaTheme="minorEastAsia"/>
          <w:b/>
          <w:bCs/>
        </w:rPr>
        <w:t>een</w:t>
      </w:r>
      <w:r w:rsidRPr="00DC563E">
        <w:rPr>
          <w:rFonts w:eastAsiaTheme="minorEastAsia"/>
          <w:b/>
          <w:bCs/>
        </w:rPr>
        <w:t xml:space="preserve"> F</w:t>
      </w:r>
      <w:r w:rsidR="00DF5D8D" w:rsidRPr="00DC563E">
        <w:rPr>
          <w:rFonts w:eastAsiaTheme="minorEastAsia"/>
          <w:b/>
          <w:bCs/>
        </w:rPr>
        <w:t>ollow-Up Study</w:t>
      </w:r>
    </w:p>
    <w:p w14:paraId="1E708FB0" w14:textId="77777777" w:rsidR="00D47EBE" w:rsidRPr="00DC563E" w:rsidRDefault="00DF5D8D" w:rsidP="00140D7A">
      <w:pPr>
        <w:jc w:val="center"/>
        <w:rPr>
          <w:rFonts w:eastAsiaTheme="minorEastAsia"/>
          <w:b/>
          <w:bCs/>
        </w:rPr>
      </w:pPr>
      <w:r w:rsidRPr="00DC563E">
        <w:rPr>
          <w:rFonts w:eastAsiaTheme="minorEastAsia"/>
          <w:b/>
          <w:bCs/>
        </w:rPr>
        <w:t>(SEED Teen)</w:t>
      </w:r>
    </w:p>
    <w:p w14:paraId="5F45225C" w14:textId="77777777" w:rsidR="00DF5D8D" w:rsidRPr="00DC563E" w:rsidRDefault="00DF5D8D" w:rsidP="00140D7A">
      <w:pPr>
        <w:jc w:val="center"/>
        <w:rPr>
          <w:rFonts w:eastAsiaTheme="minorEastAsia"/>
          <w:b/>
          <w:bCs/>
        </w:rPr>
      </w:pPr>
    </w:p>
    <w:p w14:paraId="7A4411F0" w14:textId="77777777" w:rsidR="00140D7A" w:rsidRPr="00DC563E" w:rsidRDefault="00140D7A" w:rsidP="00140D7A">
      <w:pPr>
        <w:jc w:val="center"/>
        <w:rPr>
          <w:b/>
        </w:rPr>
      </w:pPr>
      <w:r w:rsidRPr="00DC563E">
        <w:rPr>
          <w:b/>
        </w:rPr>
        <w:t>OMB</w:t>
      </w:r>
      <w:r w:rsidR="00003A54">
        <w:rPr>
          <w:b/>
        </w:rPr>
        <w:t xml:space="preserve"> # </w:t>
      </w:r>
    </w:p>
    <w:p w14:paraId="20712152" w14:textId="77777777" w:rsidR="00140D7A" w:rsidRPr="00DC563E" w:rsidRDefault="00140D7A" w:rsidP="00140D7A">
      <w:pPr>
        <w:jc w:val="center"/>
        <w:rPr>
          <w:b/>
        </w:rPr>
      </w:pPr>
    </w:p>
    <w:p w14:paraId="2F180774" w14:textId="77777777" w:rsidR="003E680F" w:rsidRPr="00DC563E" w:rsidRDefault="003E680F" w:rsidP="00140D7A">
      <w:pPr>
        <w:jc w:val="center"/>
        <w:rPr>
          <w:b/>
        </w:rPr>
      </w:pPr>
    </w:p>
    <w:p w14:paraId="47E2BD9D" w14:textId="77777777" w:rsidR="003E680F" w:rsidRPr="00DC563E" w:rsidRDefault="003E680F" w:rsidP="00140D7A">
      <w:pPr>
        <w:jc w:val="center"/>
        <w:rPr>
          <w:b/>
        </w:rPr>
      </w:pPr>
    </w:p>
    <w:p w14:paraId="60910D05" w14:textId="77777777" w:rsidR="003E680F" w:rsidRPr="00DC563E" w:rsidRDefault="003E680F" w:rsidP="00140D7A">
      <w:pPr>
        <w:jc w:val="center"/>
        <w:rPr>
          <w:b/>
        </w:rPr>
      </w:pPr>
    </w:p>
    <w:p w14:paraId="37AD629E" w14:textId="77777777" w:rsidR="003E680F" w:rsidRPr="00DC563E" w:rsidRDefault="003E680F" w:rsidP="00140D7A">
      <w:pPr>
        <w:jc w:val="center"/>
        <w:rPr>
          <w:b/>
        </w:rPr>
      </w:pPr>
    </w:p>
    <w:p w14:paraId="11AD0D29" w14:textId="77777777" w:rsidR="003E680F" w:rsidRPr="00DC563E" w:rsidRDefault="003E680F" w:rsidP="00140D7A">
      <w:pPr>
        <w:jc w:val="center"/>
        <w:rPr>
          <w:b/>
        </w:rPr>
      </w:pPr>
    </w:p>
    <w:p w14:paraId="36DE957E" w14:textId="77777777" w:rsidR="003E680F" w:rsidRPr="00DC563E" w:rsidRDefault="003E680F" w:rsidP="00140D7A">
      <w:pPr>
        <w:jc w:val="center"/>
        <w:rPr>
          <w:b/>
        </w:rPr>
      </w:pPr>
    </w:p>
    <w:p w14:paraId="1419D413" w14:textId="77777777" w:rsidR="00140D7A" w:rsidRPr="00DC563E" w:rsidRDefault="003E680F" w:rsidP="00140D7A">
      <w:pPr>
        <w:jc w:val="center"/>
        <w:rPr>
          <w:b/>
        </w:rPr>
      </w:pPr>
      <w:r w:rsidRPr="00DC563E">
        <w:rPr>
          <w:b/>
        </w:rPr>
        <w:t>New</w:t>
      </w:r>
    </w:p>
    <w:p w14:paraId="3DE99373" w14:textId="77777777" w:rsidR="00863E4B" w:rsidRPr="00DC563E" w:rsidRDefault="00863E4B" w:rsidP="00140D7A">
      <w:pPr>
        <w:jc w:val="center"/>
        <w:rPr>
          <w:b/>
        </w:rPr>
      </w:pPr>
    </w:p>
    <w:p w14:paraId="44CA859C" w14:textId="77777777" w:rsidR="00140D7A" w:rsidRPr="00DC563E" w:rsidRDefault="00140D7A" w:rsidP="00140D7A">
      <w:pPr>
        <w:jc w:val="center"/>
        <w:rPr>
          <w:b/>
        </w:rPr>
      </w:pPr>
    </w:p>
    <w:p w14:paraId="28747B8E" w14:textId="77777777" w:rsidR="00F2430C" w:rsidRPr="00DC563E" w:rsidRDefault="00F2430C" w:rsidP="00140D7A">
      <w:pPr>
        <w:jc w:val="center"/>
        <w:rPr>
          <w:b/>
        </w:rPr>
      </w:pPr>
    </w:p>
    <w:p w14:paraId="17B4ADD0" w14:textId="77777777" w:rsidR="00F2430C" w:rsidRPr="00DC563E" w:rsidRDefault="00F2430C" w:rsidP="00140D7A">
      <w:pPr>
        <w:jc w:val="center"/>
        <w:rPr>
          <w:b/>
        </w:rPr>
      </w:pPr>
    </w:p>
    <w:p w14:paraId="097CB306" w14:textId="77777777" w:rsidR="00F2430C" w:rsidRPr="00DC563E" w:rsidRDefault="00F2430C" w:rsidP="00140D7A">
      <w:pPr>
        <w:jc w:val="center"/>
        <w:rPr>
          <w:b/>
        </w:rPr>
      </w:pPr>
    </w:p>
    <w:p w14:paraId="0FEC91F9" w14:textId="77777777" w:rsidR="00140D7A" w:rsidRPr="00DC563E" w:rsidRDefault="003C14E8" w:rsidP="00140D7A">
      <w:pPr>
        <w:jc w:val="center"/>
        <w:rPr>
          <w:b/>
        </w:rPr>
      </w:pPr>
      <w:r w:rsidRPr="00DC563E">
        <w:rPr>
          <w:b/>
        </w:rPr>
        <w:t>Laura Schieve</w:t>
      </w:r>
      <w:r w:rsidR="00863E4B" w:rsidRPr="00DC563E">
        <w:rPr>
          <w:b/>
        </w:rPr>
        <w:t>, PhD</w:t>
      </w:r>
    </w:p>
    <w:p w14:paraId="01A8B80E" w14:textId="77777777" w:rsidR="00863E4B" w:rsidRPr="00DC563E" w:rsidRDefault="00863E4B" w:rsidP="00140D7A">
      <w:pPr>
        <w:jc w:val="center"/>
      </w:pPr>
      <w:r w:rsidRPr="00DC563E">
        <w:t>Epidemiologist</w:t>
      </w:r>
    </w:p>
    <w:p w14:paraId="40A9A636" w14:textId="77777777" w:rsidR="00140D7A" w:rsidRPr="00DC563E" w:rsidRDefault="00863E4B" w:rsidP="00140D7A">
      <w:pPr>
        <w:jc w:val="center"/>
      </w:pPr>
      <w:r w:rsidRPr="00DC563E">
        <w:t>Centers for Disease Control and Prevention</w:t>
      </w:r>
    </w:p>
    <w:p w14:paraId="475A3724" w14:textId="77777777" w:rsidR="00140D7A" w:rsidRPr="00DC563E" w:rsidRDefault="00863E4B" w:rsidP="00140D7A">
      <w:pPr>
        <w:jc w:val="center"/>
      </w:pPr>
      <w:r w:rsidRPr="00DC563E">
        <w:t xml:space="preserve">Email: </w:t>
      </w:r>
      <w:r w:rsidR="003C14E8" w:rsidRPr="00DC563E">
        <w:t>LSchieve@cdc.gov</w:t>
      </w:r>
    </w:p>
    <w:p w14:paraId="6B0236FE" w14:textId="77777777" w:rsidR="00140D7A" w:rsidRPr="00DC563E" w:rsidRDefault="003C14E8" w:rsidP="00140D7A">
      <w:pPr>
        <w:jc w:val="center"/>
      </w:pPr>
      <w:r w:rsidRPr="00DC563E">
        <w:t>Phone: 404.498.3888</w:t>
      </w:r>
    </w:p>
    <w:p w14:paraId="4F04A316" w14:textId="77777777" w:rsidR="00863E4B" w:rsidRPr="00DC563E" w:rsidRDefault="00863E4B" w:rsidP="00140D7A">
      <w:pPr>
        <w:jc w:val="center"/>
      </w:pPr>
      <w:r w:rsidRPr="00DC563E">
        <w:t xml:space="preserve">Fax: </w:t>
      </w:r>
      <w:r w:rsidR="003C14E8" w:rsidRPr="00DC563E">
        <w:t>770.498.1541</w:t>
      </w:r>
    </w:p>
    <w:p w14:paraId="7FF163B9" w14:textId="77777777" w:rsidR="00140D7A" w:rsidRPr="00DC563E" w:rsidRDefault="00140D7A" w:rsidP="00140D7A">
      <w:pPr>
        <w:jc w:val="center"/>
      </w:pPr>
    </w:p>
    <w:p w14:paraId="6A8B9D27" w14:textId="77777777" w:rsidR="00140D7A" w:rsidRPr="00DC563E" w:rsidRDefault="00140D7A" w:rsidP="00140D7A">
      <w:pPr>
        <w:jc w:val="center"/>
        <w:rPr>
          <w:b/>
        </w:rPr>
      </w:pPr>
    </w:p>
    <w:p w14:paraId="0918BF35" w14:textId="77777777" w:rsidR="00140D7A" w:rsidRPr="00DC563E" w:rsidRDefault="00140D7A" w:rsidP="00140D7A">
      <w:pPr>
        <w:jc w:val="center"/>
        <w:rPr>
          <w:b/>
        </w:rPr>
      </w:pPr>
    </w:p>
    <w:p w14:paraId="156C0629" w14:textId="77777777" w:rsidR="00140D7A" w:rsidRPr="00DC563E" w:rsidRDefault="00140D7A" w:rsidP="00140D7A">
      <w:pPr>
        <w:jc w:val="center"/>
        <w:rPr>
          <w:b/>
        </w:rPr>
      </w:pPr>
    </w:p>
    <w:p w14:paraId="6C350552" w14:textId="77777777" w:rsidR="00140D7A" w:rsidRPr="00DC563E" w:rsidRDefault="00140D7A" w:rsidP="00140D7A">
      <w:pPr>
        <w:jc w:val="center"/>
        <w:rPr>
          <w:b/>
        </w:rPr>
      </w:pPr>
    </w:p>
    <w:p w14:paraId="4919FDFE" w14:textId="77777777" w:rsidR="00140D7A" w:rsidRPr="00DC563E" w:rsidRDefault="00140D7A" w:rsidP="00140D7A">
      <w:pPr>
        <w:jc w:val="center"/>
        <w:rPr>
          <w:b/>
        </w:rPr>
      </w:pPr>
    </w:p>
    <w:p w14:paraId="0531E600" w14:textId="77777777" w:rsidR="00140D7A" w:rsidRPr="00DC563E" w:rsidRDefault="00140D7A" w:rsidP="00140D7A">
      <w:pPr>
        <w:jc w:val="center"/>
        <w:rPr>
          <w:b/>
        </w:rPr>
      </w:pPr>
    </w:p>
    <w:p w14:paraId="6651309D" w14:textId="77777777" w:rsidR="00140D7A" w:rsidRPr="00DC563E" w:rsidRDefault="00140D7A" w:rsidP="00140D7A">
      <w:pPr>
        <w:jc w:val="center"/>
        <w:rPr>
          <w:b/>
        </w:rPr>
      </w:pPr>
    </w:p>
    <w:p w14:paraId="53C2F417" w14:textId="77777777" w:rsidR="00140D7A" w:rsidRPr="00DC563E" w:rsidRDefault="00140D7A" w:rsidP="00140D7A">
      <w:pPr>
        <w:jc w:val="center"/>
        <w:rPr>
          <w:b/>
        </w:rPr>
      </w:pPr>
    </w:p>
    <w:p w14:paraId="791AF643" w14:textId="77777777" w:rsidR="00140D7A" w:rsidRPr="00DC563E" w:rsidRDefault="00140D7A" w:rsidP="00140D7A">
      <w:pPr>
        <w:jc w:val="center"/>
        <w:rPr>
          <w:b/>
        </w:rPr>
      </w:pPr>
    </w:p>
    <w:p w14:paraId="1A66555D" w14:textId="77777777" w:rsidR="00140D7A" w:rsidRPr="00DC563E" w:rsidRDefault="00140D7A" w:rsidP="00140D7A">
      <w:pPr>
        <w:jc w:val="center"/>
        <w:rPr>
          <w:b/>
        </w:rPr>
      </w:pPr>
    </w:p>
    <w:p w14:paraId="62E58F59" w14:textId="77777777" w:rsidR="00140D7A" w:rsidRPr="00DC563E" w:rsidRDefault="00140D7A" w:rsidP="00140D7A">
      <w:pPr>
        <w:jc w:val="center"/>
        <w:rPr>
          <w:b/>
        </w:rPr>
      </w:pPr>
    </w:p>
    <w:p w14:paraId="1BB93CE0" w14:textId="77777777" w:rsidR="00864BFF" w:rsidRPr="00DC563E" w:rsidRDefault="00657855" w:rsidP="00A6782A">
      <w:pPr>
        <w:jc w:val="center"/>
        <w:rPr>
          <w:b/>
        </w:rPr>
        <w:sectPr w:rsidR="00864BFF" w:rsidRPr="00DC563E" w:rsidSect="000C1329">
          <w:footerReference w:type="default" r:id="rId9"/>
          <w:pgSz w:w="12240" w:h="15840"/>
          <w:pgMar w:top="1440" w:right="1440" w:bottom="1440" w:left="1440" w:header="720" w:footer="720" w:gutter="0"/>
          <w:cols w:space="720"/>
          <w:titlePg/>
          <w:docGrid w:linePitch="360"/>
        </w:sectPr>
      </w:pPr>
      <w:r>
        <w:rPr>
          <w:b/>
        </w:rPr>
        <w:t xml:space="preserve"> August 2</w:t>
      </w:r>
      <w:r w:rsidR="00996262" w:rsidRPr="00DC563E">
        <w:rPr>
          <w:b/>
        </w:rPr>
        <w:t>, 2017</w:t>
      </w:r>
    </w:p>
    <w:p w14:paraId="2C61144D" w14:textId="77777777" w:rsidR="00591437" w:rsidRPr="00A6782A" w:rsidRDefault="00591437" w:rsidP="00591437">
      <w:pPr>
        <w:jc w:val="center"/>
        <w:rPr>
          <w:rFonts w:eastAsiaTheme="majorEastAsia"/>
          <w:b/>
        </w:rPr>
      </w:pPr>
      <w:bookmarkStart w:id="1" w:name="_Toc429667304"/>
      <w:r w:rsidRPr="00A6782A">
        <w:rPr>
          <w:rFonts w:eastAsiaTheme="majorEastAsia"/>
          <w:b/>
        </w:rPr>
        <w:lastRenderedPageBreak/>
        <w:t>Table of Contents</w:t>
      </w:r>
    </w:p>
    <w:p w14:paraId="235486EC" w14:textId="77777777" w:rsidR="00591437" w:rsidRPr="00A6782A" w:rsidRDefault="00591437" w:rsidP="00591437">
      <w:pPr>
        <w:jc w:val="center"/>
        <w:rPr>
          <w:rFonts w:eastAsiaTheme="majorEastAsia"/>
        </w:rPr>
      </w:pPr>
    </w:p>
    <w:p w14:paraId="7CC8C101" w14:textId="77777777" w:rsidR="00591437" w:rsidRPr="00A6782A" w:rsidRDefault="00591437" w:rsidP="00591437">
      <w:pPr>
        <w:rPr>
          <w:rFonts w:eastAsiaTheme="majorEastAsia"/>
        </w:rPr>
      </w:pPr>
      <w:r w:rsidRPr="00A6782A">
        <w:rPr>
          <w:rFonts w:eastAsiaTheme="majorEastAsia"/>
          <w:b/>
        </w:rPr>
        <w:t>Abstract</w:t>
      </w:r>
      <w:r w:rsidRPr="00A6782A">
        <w:rPr>
          <w:rFonts w:eastAsiaTheme="majorEastAsia"/>
        </w:rPr>
        <w:t xml:space="preserve"> …………………………………………………………………………………………………</w:t>
      </w:r>
      <w:r w:rsidR="00A6782A">
        <w:rPr>
          <w:rFonts w:eastAsiaTheme="majorEastAsia"/>
        </w:rPr>
        <w:t>.</w:t>
      </w:r>
      <w:r w:rsidRPr="00A6782A">
        <w:rPr>
          <w:rFonts w:eastAsiaTheme="majorEastAsia"/>
        </w:rPr>
        <w:t xml:space="preserve"> 4</w:t>
      </w:r>
    </w:p>
    <w:p w14:paraId="3CA14930" w14:textId="77777777" w:rsidR="00591437" w:rsidRPr="00A6782A" w:rsidRDefault="00591437" w:rsidP="00591437">
      <w:pPr>
        <w:rPr>
          <w:rFonts w:eastAsiaTheme="majorEastAsia"/>
        </w:rPr>
      </w:pPr>
    </w:p>
    <w:p w14:paraId="128179CD" w14:textId="77777777" w:rsidR="00591437" w:rsidRPr="00A6782A" w:rsidRDefault="00591437" w:rsidP="00591437">
      <w:pPr>
        <w:pStyle w:val="ListParagraph"/>
        <w:numPr>
          <w:ilvl w:val="0"/>
          <w:numId w:val="13"/>
        </w:numPr>
        <w:rPr>
          <w:rFonts w:eastAsiaTheme="majorEastAsia"/>
        </w:rPr>
      </w:pPr>
      <w:r w:rsidRPr="00A6782A">
        <w:rPr>
          <w:rFonts w:eastAsiaTheme="majorEastAsia"/>
          <w:b/>
        </w:rPr>
        <w:t>Justification</w:t>
      </w:r>
      <w:r w:rsidRPr="00A6782A">
        <w:rPr>
          <w:rFonts w:eastAsiaTheme="majorEastAsia"/>
        </w:rPr>
        <w:t xml:space="preserve"> …………………………………………………………………………………………………..</w:t>
      </w:r>
      <w:r w:rsidR="00A6782A">
        <w:rPr>
          <w:rFonts w:eastAsiaTheme="majorEastAsia"/>
        </w:rPr>
        <w:t>.</w:t>
      </w:r>
      <w:r w:rsidRPr="00A6782A">
        <w:rPr>
          <w:rFonts w:eastAsiaTheme="majorEastAsia"/>
        </w:rPr>
        <w:t xml:space="preserve"> 5</w:t>
      </w:r>
    </w:p>
    <w:p w14:paraId="0C2A6C44" w14:textId="77777777" w:rsidR="00591437" w:rsidRPr="00A6782A" w:rsidRDefault="00591437" w:rsidP="00591437">
      <w:pPr>
        <w:pStyle w:val="ListParagraph"/>
        <w:ind w:left="360"/>
        <w:rPr>
          <w:rFonts w:eastAsiaTheme="majorEastAsia"/>
        </w:rPr>
      </w:pPr>
    </w:p>
    <w:p w14:paraId="5288286C" w14:textId="77777777" w:rsidR="00591437" w:rsidRPr="00A6782A" w:rsidRDefault="00591437" w:rsidP="00591437">
      <w:pPr>
        <w:pStyle w:val="ListParagraph"/>
        <w:ind w:left="360"/>
        <w:rPr>
          <w:rFonts w:eastAsiaTheme="majorEastAsia"/>
        </w:rPr>
      </w:pPr>
      <w:r w:rsidRPr="00A6782A">
        <w:rPr>
          <w:rFonts w:eastAsiaTheme="majorEastAsia"/>
          <w:b/>
        </w:rPr>
        <w:t>Section A. 1.</w:t>
      </w:r>
      <w:r w:rsidRPr="00A6782A">
        <w:rPr>
          <w:rFonts w:eastAsiaTheme="majorEastAsia"/>
        </w:rPr>
        <w:t xml:space="preserve"> Circumstances Making the Collection of Information Necessary …………………………….</w:t>
      </w:r>
      <w:r w:rsidR="00A6782A">
        <w:rPr>
          <w:rFonts w:eastAsiaTheme="majorEastAsia"/>
        </w:rPr>
        <w:t>..</w:t>
      </w:r>
      <w:r w:rsidRPr="00A6782A">
        <w:rPr>
          <w:rFonts w:eastAsiaTheme="majorEastAsia"/>
        </w:rPr>
        <w:t xml:space="preserve"> 5</w:t>
      </w:r>
    </w:p>
    <w:p w14:paraId="4C838828" w14:textId="77777777" w:rsidR="00591437" w:rsidRPr="00A6782A" w:rsidRDefault="00591437" w:rsidP="00591437">
      <w:pPr>
        <w:pStyle w:val="ListParagraph"/>
        <w:ind w:left="360"/>
        <w:rPr>
          <w:rFonts w:eastAsiaTheme="majorEastAsia"/>
        </w:rPr>
      </w:pPr>
      <w:r w:rsidRPr="00A6782A">
        <w:rPr>
          <w:rFonts w:eastAsiaTheme="majorEastAsia"/>
          <w:b/>
        </w:rPr>
        <w:t>Section A.2.</w:t>
      </w:r>
      <w:r w:rsidRPr="00A6782A">
        <w:rPr>
          <w:rFonts w:eastAsiaTheme="majorEastAsia"/>
        </w:rPr>
        <w:t xml:space="preserve"> Purpose and Use of Information Collection …………………………………………………...</w:t>
      </w:r>
      <w:r w:rsidR="00A6782A">
        <w:rPr>
          <w:rFonts w:eastAsiaTheme="majorEastAsia"/>
        </w:rPr>
        <w:t>..</w:t>
      </w:r>
      <w:r w:rsidRPr="00A6782A">
        <w:rPr>
          <w:rFonts w:eastAsiaTheme="majorEastAsia"/>
        </w:rPr>
        <w:t xml:space="preserve"> 8</w:t>
      </w:r>
    </w:p>
    <w:p w14:paraId="6D0B46F6" w14:textId="77777777" w:rsidR="00591437" w:rsidRPr="00A6782A" w:rsidRDefault="00591437" w:rsidP="00591437">
      <w:pPr>
        <w:pStyle w:val="ListParagraph"/>
        <w:ind w:left="360"/>
        <w:rPr>
          <w:rFonts w:eastAsiaTheme="majorEastAsia"/>
        </w:rPr>
      </w:pPr>
      <w:r w:rsidRPr="00A6782A">
        <w:rPr>
          <w:rFonts w:eastAsiaTheme="majorEastAsia"/>
          <w:b/>
        </w:rPr>
        <w:t>Section A. 3.</w:t>
      </w:r>
      <w:r w:rsidRPr="00A6782A">
        <w:rPr>
          <w:rFonts w:eastAsiaTheme="majorEastAsia"/>
        </w:rPr>
        <w:t xml:space="preserve"> Use of Improved Information Technology and Burden Reduction …………………………</w:t>
      </w:r>
      <w:r w:rsidR="00A6782A">
        <w:rPr>
          <w:rFonts w:eastAsiaTheme="majorEastAsia"/>
        </w:rPr>
        <w:t>…</w:t>
      </w:r>
      <w:r w:rsidRPr="00A6782A">
        <w:rPr>
          <w:rFonts w:eastAsiaTheme="majorEastAsia"/>
        </w:rPr>
        <w:t xml:space="preserve"> 12</w:t>
      </w:r>
    </w:p>
    <w:p w14:paraId="64AE42CD" w14:textId="77777777" w:rsidR="00591437" w:rsidRPr="00A6782A" w:rsidRDefault="00591437" w:rsidP="00591437">
      <w:pPr>
        <w:pStyle w:val="ListParagraph"/>
        <w:ind w:left="360"/>
        <w:rPr>
          <w:rFonts w:eastAsiaTheme="majorEastAsia"/>
        </w:rPr>
      </w:pPr>
      <w:r w:rsidRPr="00A6782A">
        <w:rPr>
          <w:rFonts w:eastAsiaTheme="majorEastAsia"/>
          <w:b/>
        </w:rPr>
        <w:t>Section A.4.</w:t>
      </w:r>
      <w:r w:rsidRPr="00A6782A">
        <w:rPr>
          <w:rFonts w:eastAsiaTheme="majorEastAsia"/>
        </w:rPr>
        <w:t xml:space="preserve"> Efforts to Identify Duplication and Use of Similar Information ……………………………...</w:t>
      </w:r>
      <w:r w:rsidR="00A6782A">
        <w:rPr>
          <w:rFonts w:eastAsiaTheme="majorEastAsia"/>
        </w:rPr>
        <w:t>..</w:t>
      </w:r>
      <w:r w:rsidRPr="00A6782A">
        <w:rPr>
          <w:rFonts w:eastAsiaTheme="majorEastAsia"/>
        </w:rPr>
        <w:t xml:space="preserve"> 15</w:t>
      </w:r>
    </w:p>
    <w:p w14:paraId="0C45A0FF" w14:textId="77777777" w:rsidR="00591437" w:rsidRPr="00A6782A" w:rsidRDefault="00591437" w:rsidP="00591437">
      <w:pPr>
        <w:pStyle w:val="ListParagraph"/>
        <w:ind w:left="360"/>
        <w:rPr>
          <w:rFonts w:eastAsiaTheme="majorEastAsia"/>
        </w:rPr>
      </w:pPr>
      <w:r w:rsidRPr="00A6782A">
        <w:rPr>
          <w:rFonts w:eastAsiaTheme="majorEastAsia"/>
          <w:b/>
        </w:rPr>
        <w:t>Section A.5.</w:t>
      </w:r>
      <w:r w:rsidR="00A6782A" w:rsidRPr="00A6782A">
        <w:rPr>
          <w:rFonts w:eastAsiaTheme="majorEastAsia"/>
        </w:rPr>
        <w:t xml:space="preserve"> Impact on Small Businesses o</w:t>
      </w:r>
      <w:r w:rsidRPr="00A6782A">
        <w:rPr>
          <w:rFonts w:eastAsiaTheme="majorEastAsia"/>
        </w:rPr>
        <w:t>r Other Small Entities ………………………………………...</w:t>
      </w:r>
      <w:r w:rsidR="00A6782A">
        <w:rPr>
          <w:rFonts w:eastAsiaTheme="majorEastAsia"/>
        </w:rPr>
        <w:t>...</w:t>
      </w:r>
      <w:r w:rsidRPr="00A6782A">
        <w:rPr>
          <w:rFonts w:eastAsiaTheme="majorEastAsia"/>
        </w:rPr>
        <w:t xml:space="preserve"> 18</w:t>
      </w:r>
    </w:p>
    <w:p w14:paraId="663E070A" w14:textId="77777777" w:rsidR="00591437" w:rsidRPr="00A6782A" w:rsidRDefault="00591437" w:rsidP="00591437">
      <w:pPr>
        <w:pStyle w:val="ListParagraph"/>
        <w:ind w:left="360"/>
        <w:rPr>
          <w:rFonts w:eastAsiaTheme="majorEastAsia"/>
        </w:rPr>
      </w:pPr>
      <w:r w:rsidRPr="00A6782A">
        <w:rPr>
          <w:rFonts w:eastAsiaTheme="majorEastAsia"/>
          <w:b/>
        </w:rPr>
        <w:t>Section A.6.</w:t>
      </w:r>
      <w:r w:rsidRPr="00A6782A">
        <w:rPr>
          <w:rFonts w:eastAsiaTheme="majorEastAsia"/>
        </w:rPr>
        <w:t xml:space="preserve"> Consequences of Collecting the Information Less Frequently ………………………………..</w:t>
      </w:r>
      <w:r w:rsidR="00A6782A">
        <w:rPr>
          <w:rFonts w:eastAsiaTheme="majorEastAsia"/>
        </w:rPr>
        <w:t>.</w:t>
      </w:r>
      <w:r w:rsidRPr="00A6782A">
        <w:rPr>
          <w:rFonts w:eastAsiaTheme="majorEastAsia"/>
        </w:rPr>
        <w:t xml:space="preserve"> 18</w:t>
      </w:r>
    </w:p>
    <w:p w14:paraId="74A0F182" w14:textId="77777777" w:rsidR="00591437" w:rsidRPr="00A6782A" w:rsidRDefault="00591437" w:rsidP="00591437">
      <w:pPr>
        <w:pStyle w:val="ListParagraph"/>
        <w:ind w:left="360"/>
        <w:rPr>
          <w:rFonts w:eastAsiaTheme="majorEastAsia"/>
        </w:rPr>
      </w:pPr>
      <w:r w:rsidRPr="00A6782A">
        <w:rPr>
          <w:rFonts w:eastAsiaTheme="majorEastAsia"/>
          <w:b/>
        </w:rPr>
        <w:t>Section A.7.</w:t>
      </w:r>
      <w:r w:rsidRPr="00A6782A">
        <w:rPr>
          <w:rFonts w:eastAsiaTheme="majorEastAsia"/>
        </w:rPr>
        <w:t xml:space="preserve"> Special Circumstances Relating to the Guidelines of 5 CFR 1320.5 …………………………</w:t>
      </w:r>
      <w:r w:rsidR="00A6782A">
        <w:rPr>
          <w:rFonts w:eastAsiaTheme="majorEastAsia"/>
        </w:rPr>
        <w:t>..</w:t>
      </w:r>
      <w:r w:rsidRPr="00A6782A">
        <w:rPr>
          <w:rFonts w:eastAsiaTheme="majorEastAsia"/>
        </w:rPr>
        <w:t xml:space="preserve"> 19</w:t>
      </w:r>
    </w:p>
    <w:p w14:paraId="5D5DF120" w14:textId="77777777" w:rsidR="00591437" w:rsidRPr="00A6782A" w:rsidRDefault="00591437" w:rsidP="00A6782A">
      <w:pPr>
        <w:pStyle w:val="ListParagraph"/>
        <w:ind w:left="360"/>
        <w:rPr>
          <w:rFonts w:eastAsiaTheme="majorEastAsia"/>
        </w:rPr>
      </w:pPr>
      <w:r w:rsidRPr="00A6782A">
        <w:rPr>
          <w:rFonts w:eastAsiaTheme="majorEastAsia"/>
          <w:b/>
        </w:rPr>
        <w:t>Section A.8.</w:t>
      </w:r>
      <w:r w:rsidRPr="00A6782A">
        <w:rPr>
          <w:rFonts w:eastAsiaTheme="majorEastAsia"/>
        </w:rPr>
        <w:t xml:space="preserve"> Comments in Response to the Federal Register Notice</w:t>
      </w:r>
      <w:r w:rsidR="00A6782A">
        <w:rPr>
          <w:rFonts w:eastAsiaTheme="majorEastAsia"/>
        </w:rPr>
        <w:t xml:space="preserve"> and Efforts to Consult Outside </w:t>
      </w:r>
      <w:r w:rsidRPr="00A6782A">
        <w:rPr>
          <w:rFonts w:eastAsiaTheme="majorEastAsia"/>
        </w:rPr>
        <w:t>the Agency ……………………………………………………………………………………</w:t>
      </w:r>
      <w:r w:rsidR="00A6782A" w:rsidRPr="00A6782A">
        <w:rPr>
          <w:rFonts w:eastAsiaTheme="majorEastAsia"/>
        </w:rPr>
        <w:t>……………...</w:t>
      </w:r>
      <w:r w:rsidR="00A6782A">
        <w:rPr>
          <w:rFonts w:eastAsiaTheme="majorEastAsia"/>
        </w:rPr>
        <w:t>....</w:t>
      </w:r>
      <w:r w:rsidR="009B11CB">
        <w:rPr>
          <w:rFonts w:eastAsiaTheme="majorEastAsia"/>
        </w:rPr>
        <w:t>.</w:t>
      </w:r>
      <w:r w:rsidR="00A6782A">
        <w:rPr>
          <w:rFonts w:eastAsiaTheme="majorEastAsia"/>
        </w:rPr>
        <w:t>..</w:t>
      </w:r>
      <w:r w:rsidRPr="00A6782A">
        <w:rPr>
          <w:rFonts w:eastAsiaTheme="majorEastAsia"/>
        </w:rPr>
        <w:t xml:space="preserve"> 19</w:t>
      </w:r>
    </w:p>
    <w:p w14:paraId="77F83DDA" w14:textId="77777777" w:rsidR="00591437" w:rsidRPr="00A6782A" w:rsidRDefault="00591437" w:rsidP="00591437">
      <w:pPr>
        <w:pStyle w:val="ListParagraph"/>
        <w:ind w:left="360"/>
        <w:rPr>
          <w:rFonts w:eastAsiaTheme="majorEastAsia"/>
        </w:rPr>
      </w:pPr>
      <w:r w:rsidRPr="00A6782A">
        <w:rPr>
          <w:rFonts w:eastAsiaTheme="majorEastAsia"/>
          <w:b/>
        </w:rPr>
        <w:t>Section A.9.</w:t>
      </w:r>
      <w:r w:rsidRPr="00A6782A">
        <w:rPr>
          <w:rFonts w:eastAsiaTheme="majorEastAsia"/>
        </w:rPr>
        <w:t xml:space="preserve"> Explanation of Any Payment or Gift to Respondents ………………………………………</w:t>
      </w:r>
      <w:r w:rsidR="00A6782A">
        <w:rPr>
          <w:rFonts w:eastAsiaTheme="majorEastAsia"/>
        </w:rPr>
        <w:t>.</w:t>
      </w:r>
      <w:r w:rsidRPr="00A6782A">
        <w:rPr>
          <w:rFonts w:eastAsiaTheme="majorEastAsia"/>
        </w:rPr>
        <w:t>… 21</w:t>
      </w:r>
    </w:p>
    <w:p w14:paraId="0969BD40" w14:textId="77777777" w:rsidR="00591437" w:rsidRPr="00A6782A" w:rsidRDefault="00591437" w:rsidP="00591437">
      <w:pPr>
        <w:pStyle w:val="ListParagraph"/>
        <w:ind w:left="360"/>
        <w:rPr>
          <w:rFonts w:eastAsiaTheme="majorEastAsia"/>
        </w:rPr>
      </w:pPr>
      <w:r w:rsidRPr="00A6782A">
        <w:rPr>
          <w:rFonts w:eastAsiaTheme="majorEastAsia"/>
          <w:b/>
        </w:rPr>
        <w:t>Section A.10.</w:t>
      </w:r>
      <w:r w:rsidRPr="00A6782A">
        <w:rPr>
          <w:rFonts w:eastAsiaTheme="majorEastAsia"/>
        </w:rPr>
        <w:t xml:space="preserve"> Protection of the Privacy and Confidentiality of Information Provided by Respondents …...</w:t>
      </w:r>
      <w:r w:rsidR="00A6782A">
        <w:rPr>
          <w:rFonts w:eastAsiaTheme="majorEastAsia"/>
        </w:rPr>
        <w:t>.</w:t>
      </w:r>
      <w:r w:rsidRPr="00A6782A">
        <w:rPr>
          <w:rFonts w:eastAsiaTheme="majorEastAsia"/>
        </w:rPr>
        <w:t>. 22</w:t>
      </w:r>
    </w:p>
    <w:p w14:paraId="388DE6D7" w14:textId="77777777" w:rsidR="00591437" w:rsidRPr="00A6782A" w:rsidRDefault="00591437" w:rsidP="00A6782A">
      <w:pPr>
        <w:pStyle w:val="ListParagraph"/>
        <w:ind w:left="360"/>
        <w:rPr>
          <w:rFonts w:eastAsiaTheme="majorEastAsia"/>
        </w:rPr>
      </w:pPr>
      <w:r w:rsidRPr="00A6782A">
        <w:rPr>
          <w:rFonts w:eastAsiaTheme="majorEastAsia"/>
          <w:b/>
        </w:rPr>
        <w:t>Section A.11.</w:t>
      </w:r>
      <w:r w:rsidRPr="00A6782A">
        <w:rPr>
          <w:rFonts w:eastAsiaTheme="majorEastAsia"/>
        </w:rPr>
        <w:t xml:space="preserve"> Institutional Review Board Approval and Justification for Sensitive Questions …………….. 25</w:t>
      </w:r>
    </w:p>
    <w:p w14:paraId="36DD8E7D" w14:textId="77777777" w:rsidR="00A6782A" w:rsidRPr="00A6782A" w:rsidRDefault="00A6782A" w:rsidP="00A6782A">
      <w:pPr>
        <w:pStyle w:val="ListParagraph"/>
        <w:ind w:left="360"/>
        <w:rPr>
          <w:rFonts w:eastAsiaTheme="majorEastAsia"/>
        </w:rPr>
      </w:pPr>
      <w:r w:rsidRPr="00A6782A">
        <w:rPr>
          <w:rFonts w:eastAsiaTheme="majorEastAsia"/>
          <w:b/>
        </w:rPr>
        <w:t>Section A.12.</w:t>
      </w:r>
      <w:r w:rsidRPr="00A6782A">
        <w:rPr>
          <w:rFonts w:eastAsiaTheme="majorEastAsia"/>
        </w:rPr>
        <w:t xml:space="preserve"> Estimates of Annualized Burden Hours and Costs …………………………………………... 26</w:t>
      </w:r>
    </w:p>
    <w:p w14:paraId="6CB016B7" w14:textId="77777777" w:rsidR="00A6782A" w:rsidRPr="00A6782A" w:rsidRDefault="00A6782A" w:rsidP="00A6782A">
      <w:pPr>
        <w:pStyle w:val="ListParagraph"/>
        <w:ind w:left="360"/>
        <w:rPr>
          <w:rFonts w:eastAsiaTheme="majorEastAsia"/>
        </w:rPr>
      </w:pPr>
      <w:r w:rsidRPr="00A6782A">
        <w:rPr>
          <w:rFonts w:eastAsiaTheme="majorEastAsia"/>
          <w:b/>
        </w:rPr>
        <w:t>Section A.13.</w:t>
      </w:r>
      <w:r w:rsidRPr="00A6782A">
        <w:rPr>
          <w:rFonts w:eastAsiaTheme="majorEastAsia"/>
        </w:rPr>
        <w:t xml:space="preserve"> Estimates of Other Total Annual Cost Burden to Respondents or Record Keepers …………. 31</w:t>
      </w:r>
    </w:p>
    <w:p w14:paraId="3A646B5C" w14:textId="77777777" w:rsidR="00A6782A" w:rsidRPr="00A6782A" w:rsidRDefault="00A6782A" w:rsidP="00A6782A">
      <w:pPr>
        <w:pStyle w:val="ListParagraph"/>
        <w:ind w:left="360"/>
        <w:rPr>
          <w:rFonts w:eastAsiaTheme="majorEastAsia"/>
        </w:rPr>
      </w:pPr>
      <w:r w:rsidRPr="00A6782A">
        <w:rPr>
          <w:rFonts w:eastAsiaTheme="majorEastAsia"/>
          <w:b/>
        </w:rPr>
        <w:t>Section A.14.</w:t>
      </w:r>
      <w:r w:rsidRPr="00A6782A">
        <w:rPr>
          <w:rFonts w:eastAsiaTheme="majorEastAsia"/>
        </w:rPr>
        <w:t xml:space="preserve"> Annualized Cost to the Government …………………………………………………………. 32</w:t>
      </w:r>
    </w:p>
    <w:p w14:paraId="39776C15" w14:textId="77777777" w:rsidR="00A6782A" w:rsidRPr="00A6782A" w:rsidRDefault="00A6782A" w:rsidP="00A6782A">
      <w:pPr>
        <w:pStyle w:val="ListParagraph"/>
        <w:ind w:left="360"/>
        <w:rPr>
          <w:rFonts w:eastAsiaTheme="majorEastAsia"/>
        </w:rPr>
      </w:pPr>
      <w:r w:rsidRPr="00A6782A">
        <w:rPr>
          <w:rFonts w:eastAsiaTheme="majorEastAsia"/>
          <w:b/>
        </w:rPr>
        <w:t>Section A.15.</w:t>
      </w:r>
      <w:r w:rsidRPr="00A6782A">
        <w:rPr>
          <w:rFonts w:eastAsiaTheme="majorEastAsia"/>
        </w:rPr>
        <w:t xml:space="preserve"> Explanation for Program Changes or Adjustments …………………………………………... 33</w:t>
      </w:r>
    </w:p>
    <w:p w14:paraId="357A3C4B" w14:textId="77777777" w:rsidR="00A6782A" w:rsidRPr="00A6782A" w:rsidRDefault="00A6782A" w:rsidP="00A6782A">
      <w:pPr>
        <w:pStyle w:val="ListParagraph"/>
        <w:ind w:left="360"/>
        <w:rPr>
          <w:rFonts w:eastAsiaTheme="majorEastAsia"/>
        </w:rPr>
      </w:pPr>
      <w:r w:rsidRPr="00A6782A">
        <w:rPr>
          <w:rFonts w:eastAsiaTheme="majorEastAsia"/>
          <w:b/>
        </w:rPr>
        <w:t>Section A.16.</w:t>
      </w:r>
      <w:r w:rsidRPr="00A6782A">
        <w:rPr>
          <w:rFonts w:eastAsiaTheme="majorEastAsia"/>
        </w:rPr>
        <w:t xml:space="preserve"> Plans for Tabulation and Publication and Project Time Schedule …………………………… 33</w:t>
      </w:r>
    </w:p>
    <w:p w14:paraId="2D67DAD8" w14:textId="77777777" w:rsidR="00A6782A" w:rsidRPr="00A6782A" w:rsidRDefault="00A6782A" w:rsidP="00A6782A">
      <w:pPr>
        <w:pStyle w:val="ListParagraph"/>
        <w:ind w:left="360"/>
        <w:rPr>
          <w:rFonts w:eastAsiaTheme="majorEastAsia"/>
        </w:rPr>
      </w:pPr>
      <w:r w:rsidRPr="00A6782A">
        <w:rPr>
          <w:rFonts w:eastAsiaTheme="majorEastAsia"/>
          <w:b/>
        </w:rPr>
        <w:t>Section A.17.</w:t>
      </w:r>
      <w:r w:rsidRPr="00A6782A">
        <w:rPr>
          <w:rFonts w:eastAsiaTheme="majorEastAsia"/>
        </w:rPr>
        <w:t xml:space="preserve"> Reason(s) Display of OMB Expiration Date Is Inappropriate ……………………………….. 34</w:t>
      </w:r>
    </w:p>
    <w:p w14:paraId="044362E5" w14:textId="77777777" w:rsidR="00A6782A" w:rsidRPr="00A6782A" w:rsidRDefault="00A6782A" w:rsidP="00A6782A">
      <w:pPr>
        <w:pStyle w:val="ListParagraph"/>
        <w:ind w:left="360"/>
        <w:rPr>
          <w:rFonts w:eastAsiaTheme="majorEastAsia"/>
        </w:rPr>
      </w:pPr>
      <w:r w:rsidRPr="00A6782A">
        <w:rPr>
          <w:rFonts w:eastAsiaTheme="majorEastAsia"/>
          <w:b/>
        </w:rPr>
        <w:t>Section A.18.</w:t>
      </w:r>
      <w:r w:rsidRPr="00A6782A">
        <w:rPr>
          <w:rFonts w:eastAsiaTheme="majorEastAsia"/>
        </w:rPr>
        <w:t xml:space="preserve"> Exemptions to Certification for Paperwork Reduction Act Submission ……………………... 34</w:t>
      </w:r>
    </w:p>
    <w:p w14:paraId="2835972D" w14:textId="77777777" w:rsidR="00A6782A" w:rsidRPr="00A6782A" w:rsidRDefault="00A6782A" w:rsidP="00A6782A">
      <w:pPr>
        <w:pStyle w:val="ListParagraph"/>
        <w:ind w:left="360"/>
        <w:rPr>
          <w:rFonts w:eastAsiaTheme="majorEastAsia"/>
        </w:rPr>
      </w:pPr>
    </w:p>
    <w:p w14:paraId="2AF564BA" w14:textId="77777777" w:rsidR="00A6782A" w:rsidRPr="00A6782A" w:rsidRDefault="00A6782A" w:rsidP="00A6782A">
      <w:pPr>
        <w:pStyle w:val="ListParagraph"/>
        <w:ind w:left="360"/>
        <w:rPr>
          <w:rFonts w:eastAsiaTheme="majorEastAsia"/>
        </w:rPr>
      </w:pPr>
    </w:p>
    <w:p w14:paraId="23260312" w14:textId="77777777" w:rsidR="00A6782A" w:rsidRPr="00A6782A" w:rsidRDefault="00A6782A" w:rsidP="00A6782A">
      <w:pPr>
        <w:pStyle w:val="ListParagraph"/>
        <w:ind w:left="0"/>
        <w:rPr>
          <w:rFonts w:eastAsiaTheme="majorEastAsia"/>
          <w:b/>
        </w:rPr>
      </w:pPr>
      <w:r w:rsidRPr="00A6782A">
        <w:rPr>
          <w:rFonts w:eastAsiaTheme="majorEastAsia"/>
          <w:b/>
        </w:rPr>
        <w:t>Appendices</w:t>
      </w:r>
    </w:p>
    <w:p w14:paraId="045098AB" w14:textId="77777777" w:rsidR="00A6782A" w:rsidRPr="00A6782A" w:rsidRDefault="00A6782A" w:rsidP="00A6782A">
      <w:pPr>
        <w:pStyle w:val="ListParagraph"/>
        <w:ind w:left="360"/>
        <w:rPr>
          <w:rFonts w:eastAsiaTheme="majorEastAsia"/>
        </w:rPr>
      </w:pPr>
    </w:p>
    <w:p w14:paraId="22FD8468" w14:textId="77777777" w:rsidR="00A6782A" w:rsidRDefault="00A6782A" w:rsidP="009B11CB">
      <w:pPr>
        <w:pStyle w:val="ListParagraph"/>
        <w:ind w:left="360"/>
        <w:rPr>
          <w:rFonts w:eastAsiaTheme="majorEastAsia"/>
        </w:rPr>
      </w:pPr>
      <w:r w:rsidRPr="00A6782A">
        <w:rPr>
          <w:rFonts w:eastAsiaTheme="majorEastAsia"/>
          <w:b/>
        </w:rPr>
        <w:t>Attachment 1.</w:t>
      </w:r>
      <w:r w:rsidR="001F5941">
        <w:rPr>
          <w:rFonts w:eastAsiaTheme="majorEastAsia"/>
          <w:b/>
        </w:rPr>
        <w:t>a.</w:t>
      </w:r>
      <w:r w:rsidRPr="00A6782A">
        <w:rPr>
          <w:rFonts w:eastAsiaTheme="majorEastAsia"/>
        </w:rPr>
        <w:t xml:space="preserve"> </w:t>
      </w:r>
      <w:r w:rsidRPr="00A6782A">
        <w:rPr>
          <w:rFonts w:eastAsiaTheme="majorEastAsia"/>
        </w:rPr>
        <w:tab/>
        <w:t>Authorizing Legislation</w:t>
      </w:r>
    </w:p>
    <w:p w14:paraId="72CD4AAB" w14:textId="77777777" w:rsidR="001F5941" w:rsidRDefault="001F5941" w:rsidP="009B11CB">
      <w:pPr>
        <w:pStyle w:val="ListParagraph"/>
        <w:ind w:left="360"/>
        <w:rPr>
          <w:noProof/>
        </w:rPr>
      </w:pPr>
      <w:r w:rsidRPr="00B87E27">
        <w:rPr>
          <w:rFonts w:eastAsiaTheme="majorEastAsia"/>
          <w:b/>
        </w:rPr>
        <w:t>Attachment 1.b.</w:t>
      </w:r>
      <w:r>
        <w:rPr>
          <w:rFonts w:eastAsiaTheme="majorEastAsia"/>
        </w:rPr>
        <w:tab/>
      </w:r>
      <w:r>
        <w:rPr>
          <w:noProof/>
        </w:rPr>
        <w:t>The Combating Autism Act of 2006</w:t>
      </w:r>
    </w:p>
    <w:p w14:paraId="48B66780" w14:textId="77777777" w:rsidR="001F5941" w:rsidRPr="009B11CB" w:rsidRDefault="001F5941" w:rsidP="009B11CB">
      <w:pPr>
        <w:pStyle w:val="ListParagraph"/>
        <w:ind w:left="360"/>
        <w:rPr>
          <w:rFonts w:eastAsiaTheme="majorEastAsia"/>
        </w:rPr>
      </w:pPr>
      <w:r w:rsidRPr="00B87E27">
        <w:rPr>
          <w:rFonts w:eastAsiaTheme="majorEastAsia"/>
          <w:b/>
        </w:rPr>
        <w:t>Attachment 1.c.</w:t>
      </w:r>
      <w:r>
        <w:rPr>
          <w:rFonts w:eastAsiaTheme="majorEastAsia"/>
        </w:rPr>
        <w:tab/>
      </w:r>
      <w:r>
        <w:rPr>
          <w:noProof/>
        </w:rPr>
        <w:t>Children’s Health Care Act of 2000</w:t>
      </w:r>
    </w:p>
    <w:p w14:paraId="18AD6A33" w14:textId="77777777" w:rsidR="00A6782A" w:rsidRPr="009B11CB" w:rsidRDefault="00A6782A" w:rsidP="009B11CB">
      <w:pPr>
        <w:pStyle w:val="ListParagraph"/>
        <w:ind w:left="360"/>
        <w:rPr>
          <w:rFonts w:eastAsiaTheme="majorEastAsia"/>
        </w:rPr>
      </w:pPr>
      <w:r w:rsidRPr="00A6782A">
        <w:rPr>
          <w:rFonts w:eastAsiaTheme="majorEastAsia"/>
          <w:b/>
        </w:rPr>
        <w:t>Attachment 2.</w:t>
      </w:r>
      <w:r w:rsidRPr="00A6782A">
        <w:rPr>
          <w:rFonts w:eastAsiaTheme="majorEastAsia"/>
        </w:rPr>
        <w:t xml:space="preserve"> </w:t>
      </w:r>
      <w:r w:rsidRPr="00A6782A">
        <w:rPr>
          <w:rFonts w:eastAsiaTheme="majorEastAsia"/>
        </w:rPr>
        <w:tab/>
        <w:t>60-Day Federal Register Notice</w:t>
      </w:r>
    </w:p>
    <w:p w14:paraId="4FCFF20E" w14:textId="77777777" w:rsidR="00A6782A" w:rsidRPr="00A6782A" w:rsidRDefault="00A6782A" w:rsidP="00A6782A">
      <w:pPr>
        <w:pStyle w:val="ListParagraph"/>
        <w:ind w:left="360"/>
        <w:rPr>
          <w:rFonts w:eastAsiaTheme="majorEastAsia"/>
        </w:rPr>
      </w:pPr>
      <w:r w:rsidRPr="00A6782A">
        <w:rPr>
          <w:rFonts w:eastAsiaTheme="majorEastAsia"/>
          <w:b/>
        </w:rPr>
        <w:t>Attachment 3.</w:t>
      </w:r>
      <w:r w:rsidRPr="00A6782A">
        <w:rPr>
          <w:rFonts w:eastAsiaTheme="majorEastAsia"/>
        </w:rPr>
        <w:t xml:space="preserve"> </w:t>
      </w:r>
      <w:r w:rsidRPr="00A6782A">
        <w:rPr>
          <w:rFonts w:eastAsiaTheme="majorEastAsia"/>
        </w:rPr>
        <w:tab/>
      </w:r>
      <w:r w:rsidR="00DC563E">
        <w:rPr>
          <w:rFonts w:eastAsiaTheme="majorEastAsia"/>
        </w:rPr>
        <w:t>Invitation Packet</w:t>
      </w:r>
    </w:p>
    <w:p w14:paraId="7785E085" w14:textId="77777777" w:rsidR="00A6782A" w:rsidRPr="00A6782A" w:rsidRDefault="00A6782A" w:rsidP="00A6782A">
      <w:pPr>
        <w:pStyle w:val="ListParagraph"/>
        <w:ind w:left="360"/>
        <w:rPr>
          <w:rFonts w:eastAsiaTheme="majorEastAsia"/>
        </w:rPr>
      </w:pPr>
      <w:r w:rsidRPr="00A6782A">
        <w:rPr>
          <w:rFonts w:eastAsiaTheme="majorEastAsia"/>
          <w:b/>
        </w:rPr>
        <w:t>Attachment 4.</w:t>
      </w:r>
      <w:r w:rsidR="00DC563E">
        <w:rPr>
          <w:rFonts w:eastAsiaTheme="majorEastAsia"/>
        </w:rPr>
        <w:t xml:space="preserve"> </w:t>
      </w:r>
      <w:r w:rsidR="00DC563E">
        <w:rPr>
          <w:rFonts w:eastAsiaTheme="majorEastAsia"/>
        </w:rPr>
        <w:tab/>
        <w:t>Invitation Call Script</w:t>
      </w:r>
    </w:p>
    <w:p w14:paraId="66033B8F" w14:textId="77777777" w:rsidR="00FE7A1D" w:rsidRDefault="00A6782A" w:rsidP="00A6782A">
      <w:pPr>
        <w:pStyle w:val="ListParagraph"/>
        <w:ind w:left="360"/>
        <w:rPr>
          <w:rFonts w:eastAsiaTheme="majorEastAsia"/>
        </w:rPr>
      </w:pPr>
      <w:r w:rsidRPr="00A6782A">
        <w:rPr>
          <w:rFonts w:eastAsiaTheme="majorEastAsia"/>
          <w:b/>
        </w:rPr>
        <w:t>Attachment 5.</w:t>
      </w:r>
      <w:r w:rsidR="00DC563E">
        <w:rPr>
          <w:rFonts w:eastAsiaTheme="majorEastAsia"/>
        </w:rPr>
        <w:tab/>
      </w:r>
      <w:r w:rsidR="00FE7A1D">
        <w:rPr>
          <w:rFonts w:eastAsiaTheme="majorEastAsia"/>
        </w:rPr>
        <w:t xml:space="preserve">Follow-up Call </w:t>
      </w:r>
      <w:r w:rsidR="009637BC">
        <w:rPr>
          <w:rFonts w:eastAsiaTheme="majorEastAsia"/>
        </w:rPr>
        <w:t>Checklist</w:t>
      </w:r>
    </w:p>
    <w:p w14:paraId="2510D6DC" w14:textId="77777777" w:rsidR="00A6782A" w:rsidRPr="00A6782A" w:rsidRDefault="00FE7A1D" w:rsidP="00FE7A1D">
      <w:pPr>
        <w:pStyle w:val="ListParagraph"/>
        <w:ind w:left="0" w:firstLine="360"/>
        <w:rPr>
          <w:rFonts w:eastAsiaTheme="majorEastAsia"/>
        </w:rPr>
      </w:pPr>
      <w:r>
        <w:rPr>
          <w:rFonts w:eastAsiaTheme="majorEastAsia"/>
          <w:b/>
        </w:rPr>
        <w:t>Attachment 6</w:t>
      </w:r>
      <w:r w:rsidRPr="00A6782A">
        <w:rPr>
          <w:rFonts w:eastAsiaTheme="majorEastAsia"/>
          <w:b/>
        </w:rPr>
        <w:t>.</w:t>
      </w:r>
      <w:r>
        <w:rPr>
          <w:rFonts w:eastAsiaTheme="majorEastAsia"/>
          <w:b/>
        </w:rPr>
        <w:tab/>
      </w:r>
      <w:r w:rsidR="00DC563E">
        <w:rPr>
          <w:rFonts w:eastAsiaTheme="majorEastAsia"/>
        </w:rPr>
        <w:t>Data Collection Packet</w:t>
      </w:r>
      <w:r w:rsidR="00A6782A" w:rsidRPr="00A6782A">
        <w:rPr>
          <w:rFonts w:eastAsiaTheme="majorEastAsia"/>
        </w:rPr>
        <w:t xml:space="preserve"> </w:t>
      </w:r>
      <w:r w:rsidR="00A6782A" w:rsidRPr="00A6782A">
        <w:rPr>
          <w:rFonts w:eastAsiaTheme="majorEastAsia"/>
        </w:rPr>
        <w:tab/>
      </w:r>
    </w:p>
    <w:p w14:paraId="120F7DB5" w14:textId="77777777" w:rsidR="00A6782A" w:rsidRPr="00A6782A" w:rsidRDefault="00FE7A1D" w:rsidP="00A6782A">
      <w:pPr>
        <w:pStyle w:val="ListParagraph"/>
        <w:ind w:left="360"/>
        <w:rPr>
          <w:rFonts w:eastAsiaTheme="majorEastAsia"/>
        </w:rPr>
      </w:pPr>
      <w:r>
        <w:rPr>
          <w:rFonts w:eastAsiaTheme="majorEastAsia"/>
          <w:b/>
        </w:rPr>
        <w:t>Attachment 7</w:t>
      </w:r>
      <w:r w:rsidR="00A6782A" w:rsidRPr="00A6782A">
        <w:rPr>
          <w:rFonts w:eastAsiaTheme="majorEastAsia"/>
          <w:b/>
        </w:rPr>
        <w:t>.</w:t>
      </w:r>
      <w:r w:rsidR="00A6782A" w:rsidRPr="00A6782A">
        <w:rPr>
          <w:rFonts w:eastAsiaTheme="majorEastAsia"/>
        </w:rPr>
        <w:t xml:space="preserve"> </w:t>
      </w:r>
      <w:r w:rsidR="00A6782A" w:rsidRPr="00A6782A">
        <w:rPr>
          <w:rFonts w:eastAsiaTheme="majorEastAsia"/>
        </w:rPr>
        <w:tab/>
        <w:t>Supplemental Consent Forms</w:t>
      </w:r>
    </w:p>
    <w:p w14:paraId="77563CAD" w14:textId="77777777" w:rsidR="00A6782A" w:rsidRPr="00A6782A" w:rsidRDefault="00FE7A1D" w:rsidP="00A6782A">
      <w:pPr>
        <w:pStyle w:val="ListParagraph"/>
        <w:ind w:left="360"/>
        <w:rPr>
          <w:rFonts w:eastAsiaTheme="majorEastAsia"/>
        </w:rPr>
      </w:pPr>
      <w:r>
        <w:rPr>
          <w:rFonts w:eastAsiaTheme="majorEastAsia"/>
          <w:b/>
        </w:rPr>
        <w:t>Attachment 8</w:t>
      </w:r>
      <w:r w:rsidR="00A6782A" w:rsidRPr="00A6782A">
        <w:rPr>
          <w:rFonts w:eastAsiaTheme="majorEastAsia"/>
          <w:b/>
        </w:rPr>
        <w:t>.</w:t>
      </w:r>
      <w:r w:rsidR="00A6782A" w:rsidRPr="00A6782A">
        <w:rPr>
          <w:rFonts w:eastAsiaTheme="majorEastAsia"/>
        </w:rPr>
        <w:tab/>
        <w:t>Thank You Letter</w:t>
      </w:r>
    </w:p>
    <w:p w14:paraId="4262B454" w14:textId="77777777" w:rsidR="00A6782A" w:rsidRPr="00A6782A" w:rsidRDefault="00FE7A1D" w:rsidP="00A6782A">
      <w:pPr>
        <w:pStyle w:val="ListParagraph"/>
        <w:ind w:left="360"/>
        <w:rPr>
          <w:rFonts w:eastAsiaTheme="majorEastAsia"/>
        </w:rPr>
      </w:pPr>
      <w:r>
        <w:rPr>
          <w:rFonts w:eastAsiaTheme="majorEastAsia"/>
          <w:b/>
        </w:rPr>
        <w:t>Attachment 9</w:t>
      </w:r>
      <w:r w:rsidR="00A6782A" w:rsidRPr="00A6782A">
        <w:rPr>
          <w:rFonts w:eastAsiaTheme="majorEastAsia"/>
          <w:b/>
        </w:rPr>
        <w:t>.</w:t>
      </w:r>
      <w:r w:rsidR="00A6782A" w:rsidRPr="00A6782A">
        <w:rPr>
          <w:rFonts w:eastAsiaTheme="majorEastAsia"/>
        </w:rPr>
        <w:t xml:space="preserve"> </w:t>
      </w:r>
      <w:r w:rsidR="00A6782A" w:rsidRPr="00A6782A">
        <w:rPr>
          <w:rFonts w:eastAsiaTheme="majorEastAsia"/>
        </w:rPr>
        <w:tab/>
        <w:t>Passive Refusal Letter</w:t>
      </w:r>
    </w:p>
    <w:p w14:paraId="5FACE18A" w14:textId="77777777" w:rsidR="00A6782A" w:rsidRPr="00A6782A" w:rsidRDefault="00FE7A1D" w:rsidP="00A6782A">
      <w:pPr>
        <w:pStyle w:val="ListParagraph"/>
        <w:ind w:left="360"/>
        <w:rPr>
          <w:rFonts w:eastAsiaTheme="majorEastAsia"/>
        </w:rPr>
      </w:pPr>
      <w:r>
        <w:rPr>
          <w:rFonts w:eastAsiaTheme="majorEastAsia"/>
          <w:b/>
        </w:rPr>
        <w:t>Attachment 10</w:t>
      </w:r>
      <w:r w:rsidR="00A6782A" w:rsidRPr="00A6782A">
        <w:rPr>
          <w:rFonts w:eastAsiaTheme="majorEastAsia"/>
          <w:b/>
        </w:rPr>
        <w:t>.</w:t>
      </w:r>
      <w:r w:rsidR="00A6782A" w:rsidRPr="00A6782A">
        <w:rPr>
          <w:rFonts w:eastAsiaTheme="majorEastAsia"/>
        </w:rPr>
        <w:t xml:space="preserve"> </w:t>
      </w:r>
      <w:r w:rsidR="00A6782A" w:rsidRPr="00A6782A">
        <w:rPr>
          <w:rFonts w:eastAsiaTheme="majorEastAsia"/>
        </w:rPr>
        <w:tab/>
      </w:r>
      <w:r w:rsidR="009637BC">
        <w:rPr>
          <w:rFonts w:eastAsiaTheme="majorEastAsia"/>
        </w:rPr>
        <w:t xml:space="preserve">CDC </w:t>
      </w:r>
      <w:r w:rsidR="00A6782A" w:rsidRPr="00A6782A">
        <w:rPr>
          <w:rFonts w:eastAsiaTheme="majorEastAsia"/>
        </w:rPr>
        <w:t>IRB Approval Letter</w:t>
      </w:r>
    </w:p>
    <w:p w14:paraId="065561F9" w14:textId="77777777" w:rsidR="00A6782A" w:rsidRDefault="00FE7A1D" w:rsidP="00A6782A">
      <w:pPr>
        <w:pStyle w:val="ListParagraph"/>
        <w:ind w:left="360"/>
        <w:rPr>
          <w:rFonts w:eastAsiaTheme="majorEastAsia"/>
        </w:rPr>
      </w:pPr>
      <w:r>
        <w:rPr>
          <w:rFonts w:eastAsiaTheme="majorEastAsia"/>
          <w:b/>
        </w:rPr>
        <w:t>Attachment 11</w:t>
      </w:r>
      <w:r w:rsidR="00A6782A" w:rsidRPr="00A6782A">
        <w:rPr>
          <w:rFonts w:eastAsiaTheme="majorEastAsia"/>
          <w:b/>
        </w:rPr>
        <w:t>.</w:t>
      </w:r>
      <w:r w:rsidR="00A6782A" w:rsidRPr="00A6782A">
        <w:rPr>
          <w:rFonts w:eastAsiaTheme="majorEastAsia"/>
        </w:rPr>
        <w:tab/>
        <w:t>References</w:t>
      </w:r>
    </w:p>
    <w:p w14:paraId="149C4415" w14:textId="77777777" w:rsidR="00A6782A" w:rsidRDefault="00A6782A" w:rsidP="00A6782A">
      <w:pPr>
        <w:pStyle w:val="ListParagraph"/>
        <w:ind w:left="360"/>
        <w:rPr>
          <w:rFonts w:eastAsiaTheme="majorEastAsia"/>
        </w:rPr>
      </w:pPr>
    </w:p>
    <w:p w14:paraId="49EC9D10" w14:textId="77777777" w:rsidR="00591437" w:rsidRPr="00591437" w:rsidRDefault="00591437" w:rsidP="00591437">
      <w:pPr>
        <w:jc w:val="both"/>
        <w:rPr>
          <w:rFonts w:eastAsiaTheme="majorEastAsia"/>
        </w:rPr>
        <w:sectPr w:rsidR="00591437" w:rsidRPr="00591437" w:rsidSect="00864BFF">
          <w:pgSz w:w="12240" w:h="15840"/>
          <w:pgMar w:top="1440" w:right="1080" w:bottom="1440" w:left="1080" w:header="720" w:footer="720" w:gutter="0"/>
          <w:cols w:space="720"/>
          <w:titlePg/>
          <w:docGrid w:linePitch="360"/>
        </w:sectPr>
      </w:pPr>
    </w:p>
    <w:p w14:paraId="15525AF0" w14:textId="77777777" w:rsidR="00581567" w:rsidRPr="00C42DD3" w:rsidRDefault="003C14E8" w:rsidP="00537A78">
      <w:pPr>
        <w:pStyle w:val="Heading1"/>
        <w:keepLines/>
        <w:widowControl w:val="0"/>
        <w:pBdr>
          <w:top w:val="none" w:sz="0" w:space="0" w:color="auto"/>
        </w:pBdr>
        <w:autoSpaceDE w:val="0"/>
        <w:autoSpaceDN w:val="0"/>
        <w:adjustRightInd w:val="0"/>
        <w:spacing w:before="240" w:after="0"/>
        <w:jc w:val="left"/>
        <w:rPr>
          <w:rFonts w:ascii="Courier New" w:hAnsi="Courier New" w:cs="Courier New"/>
        </w:rPr>
      </w:pPr>
      <w:r w:rsidRPr="00C42DD3">
        <w:rPr>
          <w:rFonts w:ascii="Courier New" w:hAnsi="Courier New" w:cs="Courier New"/>
          <w:noProof/>
        </w:rPr>
        <w:lastRenderedPageBreak/>
        <mc:AlternateContent>
          <mc:Choice Requires="wps">
            <w:drawing>
              <wp:anchor distT="0" distB="0" distL="114300" distR="114300" simplePos="0" relativeHeight="251659264" behindDoc="0" locked="0" layoutInCell="1" allowOverlap="1" wp14:anchorId="76B23652" wp14:editId="2DDAD8B5">
                <wp:simplePos x="0" y="0"/>
                <wp:positionH relativeFrom="column">
                  <wp:posOffset>-9525</wp:posOffset>
                </wp:positionH>
                <wp:positionV relativeFrom="paragraph">
                  <wp:posOffset>85725</wp:posOffset>
                </wp:positionV>
                <wp:extent cx="6233160" cy="880110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8801100"/>
                        </a:xfrm>
                        <a:prstGeom prst="rect">
                          <a:avLst/>
                        </a:prstGeom>
                        <a:solidFill>
                          <a:srgbClr val="FFFFFF"/>
                        </a:solidFill>
                        <a:ln w="9525">
                          <a:solidFill>
                            <a:srgbClr val="000000"/>
                          </a:solidFill>
                          <a:miter lim="800000"/>
                          <a:headEnd/>
                          <a:tailEnd/>
                        </a:ln>
                      </wps:spPr>
                      <wps:txbx>
                        <w:txbxContent>
                          <w:p w14:paraId="730585AB" w14:textId="1091212F" w:rsidR="00143599" w:rsidRPr="00D0677D" w:rsidRDefault="00143599" w:rsidP="0009731F">
                            <w:pPr>
                              <w:pStyle w:val="Style1"/>
                              <w:rPr>
                                <w:sz w:val="24"/>
                                <w:szCs w:val="24"/>
                              </w:rPr>
                            </w:pPr>
                            <w:r w:rsidRPr="00EF5B7E">
                              <w:rPr>
                                <w:rFonts w:eastAsiaTheme="majorEastAsia"/>
                                <w:b/>
                                <w:sz w:val="24"/>
                                <w:szCs w:val="24"/>
                              </w:rPr>
                              <w:t>Goal of the study</w:t>
                            </w:r>
                            <w:r w:rsidRPr="00EF5B7E">
                              <w:rPr>
                                <w:b/>
                                <w:sz w:val="24"/>
                                <w:szCs w:val="24"/>
                              </w:rPr>
                              <w:t>:</w:t>
                            </w:r>
                            <w:r w:rsidRPr="00EF5B7E">
                              <w:rPr>
                                <w:sz w:val="24"/>
                                <w:szCs w:val="24"/>
                              </w:rPr>
                              <w:t xml:space="preserve"> </w:t>
                            </w:r>
                            <w:r w:rsidRPr="00D0677D">
                              <w:rPr>
                                <w:sz w:val="24"/>
                                <w:szCs w:val="24"/>
                              </w:rPr>
                              <w:t xml:space="preserve">The purpose of the Study to Explore Early Development, Teen Follow-up Study (SEED Teen) is to </w:t>
                            </w:r>
                            <w:r w:rsidRPr="00D0677D">
                              <w:rPr>
                                <w:sz w:val="24"/>
                              </w:rPr>
                              <w:t>assess the health</w:t>
                            </w:r>
                            <w:r w:rsidRPr="00D0677D">
                              <w:rPr>
                                <w:sz w:val="24"/>
                                <w:szCs w:val="24"/>
                              </w:rPr>
                              <w:t xml:space="preserve"> and functioning in a cohort of teens with autism spectrum disorder (ASD) and other developmental disabilities (DDs) who previously participated in an autism research study when they were young. The study will also assess family impacts associated with ASD and other DDs, and service needs and use associated with having ASD and other DDs during the early teen years.  </w:t>
                            </w:r>
                          </w:p>
                          <w:p w14:paraId="35E5EFC0" w14:textId="77777777" w:rsidR="00143599" w:rsidRPr="00D0677D" w:rsidRDefault="00143599" w:rsidP="003C14E8">
                            <w:pPr>
                              <w:pStyle w:val="Style1"/>
                              <w:numPr>
                                <w:ilvl w:val="0"/>
                                <w:numId w:val="0"/>
                              </w:numPr>
                              <w:ind w:left="360"/>
                              <w:rPr>
                                <w:sz w:val="24"/>
                                <w:szCs w:val="24"/>
                              </w:rPr>
                            </w:pPr>
                          </w:p>
                          <w:p w14:paraId="512B71B0" w14:textId="0831D895" w:rsidR="00143599" w:rsidRPr="00D0677D" w:rsidRDefault="00143599" w:rsidP="003C14E8">
                            <w:pPr>
                              <w:pStyle w:val="Style1"/>
                              <w:rPr>
                                <w:sz w:val="24"/>
                                <w:szCs w:val="24"/>
                              </w:rPr>
                            </w:pPr>
                            <w:r w:rsidRPr="00D0677D">
                              <w:rPr>
                                <w:b/>
                                <w:sz w:val="24"/>
                                <w:szCs w:val="24"/>
                              </w:rPr>
                              <w:t>Intended use of the resulting data:</w:t>
                            </w:r>
                            <w:r w:rsidRPr="00D0677D">
                              <w:rPr>
                                <w:sz w:val="24"/>
                                <w:szCs w:val="24"/>
                              </w:rPr>
                              <w:t xml:space="preserve"> Data from SEED Teen will enable investigators to increase scientific understanding of the developmental trajectory and health consequences of ASD among adolescents and enable federal, state, and local governments and organizations to better understand the needs of adolescents with ASD.   </w:t>
                            </w:r>
                          </w:p>
                          <w:p w14:paraId="0AB55E15" w14:textId="77777777" w:rsidR="00143599" w:rsidRPr="00EF5B7E" w:rsidRDefault="00143599" w:rsidP="00D83040">
                            <w:pPr>
                              <w:pStyle w:val="ListParagraph"/>
                              <w:numPr>
                                <w:ilvl w:val="0"/>
                                <w:numId w:val="3"/>
                              </w:numPr>
                              <w:rPr>
                                <w:sz w:val="24"/>
                                <w:szCs w:val="24"/>
                              </w:rPr>
                            </w:pPr>
                            <w:r w:rsidRPr="00D0677D">
                              <w:rPr>
                                <w:b/>
                                <w:sz w:val="24"/>
                                <w:szCs w:val="24"/>
                              </w:rPr>
                              <w:t>Methods to be used to collect:</w:t>
                            </w:r>
                            <w:r w:rsidRPr="00D0677D">
                              <w:rPr>
                                <w:sz w:val="24"/>
                                <w:szCs w:val="24"/>
                              </w:rPr>
                              <w:t xml:space="preserve"> SEED Teen is a follow-up study of children who participated in the SEED case-control study in 2007-2011 when they were 2 to 5 years of age. Mothers or other primary caregivers who participated in the</w:t>
                            </w:r>
                            <w:r>
                              <w:rPr>
                                <w:sz w:val="24"/>
                                <w:szCs w:val="24"/>
                              </w:rPr>
                              <w:t xml:space="preserve"> case-control study </w:t>
                            </w:r>
                            <w:r w:rsidRPr="00EF5B7E">
                              <w:rPr>
                                <w:sz w:val="24"/>
                                <w:szCs w:val="24"/>
                              </w:rPr>
                              <w:t>will be</w:t>
                            </w:r>
                            <w:r>
                              <w:rPr>
                                <w:sz w:val="24"/>
                                <w:szCs w:val="24"/>
                              </w:rPr>
                              <w:t xml:space="preserve"> re-contacted when their child is 13-17 years of age and</w:t>
                            </w:r>
                            <w:r w:rsidRPr="00EF5B7E">
                              <w:rPr>
                                <w:sz w:val="24"/>
                                <w:szCs w:val="24"/>
                              </w:rPr>
                              <w:t xml:space="preserve"> asked to </w:t>
                            </w:r>
                            <w:r w:rsidRPr="00D0677D">
                              <w:rPr>
                                <w:sz w:val="24"/>
                              </w:rPr>
                              <w:t>complete two self-administered questionnaires about their child’s health, development, education, and current functioning</w:t>
                            </w:r>
                            <w:r w:rsidRPr="00EF5B7E">
                              <w:rPr>
                                <w:sz w:val="24"/>
                                <w:szCs w:val="24"/>
                              </w:rPr>
                              <w:t xml:space="preserve">. </w:t>
                            </w:r>
                          </w:p>
                          <w:p w14:paraId="6AE709BE" w14:textId="77777777" w:rsidR="00143599" w:rsidRPr="00EF5B7E" w:rsidRDefault="00143599" w:rsidP="003C14E8">
                            <w:pPr>
                              <w:pStyle w:val="Style1"/>
                              <w:rPr>
                                <w:sz w:val="24"/>
                                <w:szCs w:val="24"/>
                              </w:rPr>
                            </w:pPr>
                            <w:r w:rsidRPr="00EF5B7E">
                              <w:rPr>
                                <w:b/>
                                <w:sz w:val="24"/>
                                <w:szCs w:val="24"/>
                              </w:rPr>
                              <w:t>The subpopulation to be studied:</w:t>
                            </w:r>
                            <w:r w:rsidRPr="00EF5B7E">
                              <w:rPr>
                                <w:sz w:val="24"/>
                                <w:szCs w:val="24"/>
                              </w:rPr>
                              <w:t xml:space="preserve"> </w:t>
                            </w:r>
                            <w:r>
                              <w:rPr>
                                <w:color w:val="0D0D0D"/>
                                <w:sz w:val="24"/>
                                <w:szCs w:val="24"/>
                              </w:rPr>
                              <w:t xml:space="preserve">The initial phase of SEED Teen, which will include children born between 2003 and 2007 and their parent respondents. </w:t>
                            </w:r>
                            <w:r w:rsidRPr="00EF5B7E">
                              <w:rPr>
                                <w:sz w:val="24"/>
                                <w:szCs w:val="24"/>
                              </w:rPr>
                              <w:t>Children will be identified from four SEED sites in Georgia, Maryland, North Carolina, and Pennsylvania. Three groups of children will</w:t>
                            </w:r>
                            <w:r w:rsidRPr="00C5496E">
                              <w:rPr>
                                <w:sz w:val="24"/>
                                <w:szCs w:val="24"/>
                              </w:rPr>
                              <w:t xml:space="preserve"> be included: children with ASD, children with other </w:t>
                            </w:r>
                            <w:r>
                              <w:rPr>
                                <w:sz w:val="24"/>
                                <w:szCs w:val="24"/>
                              </w:rPr>
                              <w:t xml:space="preserve">(non-ASD) </w:t>
                            </w:r>
                            <w:r w:rsidRPr="00C5496E">
                              <w:rPr>
                                <w:sz w:val="24"/>
                                <w:szCs w:val="24"/>
                              </w:rPr>
                              <w:t>developmental conditions (DD comparison group), and children from the general population who were initially samp</w:t>
                            </w:r>
                            <w:r w:rsidRPr="00EF5B7E">
                              <w:rPr>
                                <w:sz w:val="24"/>
                                <w:szCs w:val="24"/>
                              </w:rPr>
                              <w:t xml:space="preserve">led from birth records (POP comparison group). </w:t>
                            </w:r>
                          </w:p>
                          <w:p w14:paraId="3C6DAE1E" w14:textId="77777777" w:rsidR="00143599" w:rsidRPr="00EF5B7E" w:rsidRDefault="00143599" w:rsidP="00D83040">
                            <w:pPr>
                              <w:pStyle w:val="ListParagraph"/>
                              <w:numPr>
                                <w:ilvl w:val="0"/>
                                <w:numId w:val="3"/>
                              </w:numPr>
                              <w:rPr>
                                <w:sz w:val="24"/>
                                <w:szCs w:val="24"/>
                              </w:rPr>
                            </w:pPr>
                            <w:r w:rsidRPr="00EF5B7E">
                              <w:rPr>
                                <w:b/>
                                <w:sz w:val="24"/>
                                <w:szCs w:val="24"/>
                              </w:rPr>
                              <w:t>How data will be analyzed:</w:t>
                            </w:r>
                            <w:r w:rsidRPr="00EF5B7E">
                              <w:rPr>
                                <w:sz w:val="24"/>
                                <w:szCs w:val="24"/>
                              </w:rPr>
                              <w:t xml:space="preserve"> </w:t>
                            </w:r>
                            <w:r w:rsidRPr="00D0677D">
                              <w:rPr>
                                <w:sz w:val="24"/>
                              </w:rPr>
                              <w:t>Health</w:t>
                            </w:r>
                            <w:r w:rsidRPr="00EF5B7E">
                              <w:rPr>
                                <w:sz w:val="24"/>
                                <w:szCs w:val="24"/>
                              </w:rPr>
                              <w:t>, health care, and developmental outcomes and indicators will b</w:t>
                            </w:r>
                            <w:r>
                              <w:rPr>
                                <w:sz w:val="24"/>
                                <w:szCs w:val="24"/>
                              </w:rPr>
                              <w:t>e compared in children with ASD</w:t>
                            </w:r>
                            <w:r w:rsidRPr="00EF5B7E">
                              <w:rPr>
                                <w:sz w:val="24"/>
                                <w:szCs w:val="24"/>
                              </w:rPr>
                              <w:t xml:space="preserve">, children with other DDs and children in the POP group.  Prevalence estimates and 95% confidences intervals for various health and development indicators will be calculated for each group, for select ASD subgroups (defined by severity of symptoms), and for important demographic subgroups.  Multivariable log-binomial regression will be used to determine risk factors for given health outcomes and to compare study groups on various indicators.  Using chi-square tests, prevalence estimates will also be compared to those from national publicly available population-based surveys.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6.75pt;width:490.8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">
                <v:textbox>
                  <w:txbxContent>
                    <w:p w14:paraId="730585AB" w14:textId="1091212F" w:rsidR="00143599" w:rsidRPr="00D0677D" w:rsidRDefault="00143599" w:rsidP="0009731F">
                      <w:pPr>
                        <w:pStyle w:val="Style1"/>
                        <w:rPr>
                          <w:sz w:val="24"/>
                          <w:szCs w:val="24"/>
                        </w:rPr>
                      </w:pPr>
                      <w:r w:rsidRPr="00EF5B7E">
                        <w:rPr>
                          <w:rFonts w:eastAsiaTheme="majorEastAsia"/>
                          <w:b/>
                          <w:sz w:val="24"/>
                          <w:szCs w:val="24"/>
                        </w:rPr>
                        <w:t>Goal of the study</w:t>
                      </w:r>
                      <w:r w:rsidRPr="00EF5B7E">
                        <w:rPr>
                          <w:b/>
                          <w:sz w:val="24"/>
                          <w:szCs w:val="24"/>
                        </w:rPr>
                        <w:t>:</w:t>
                      </w:r>
                      <w:r w:rsidRPr="00EF5B7E">
                        <w:rPr>
                          <w:sz w:val="24"/>
                          <w:szCs w:val="24"/>
                        </w:rPr>
                        <w:t xml:space="preserve"> </w:t>
                      </w:r>
                      <w:r w:rsidRPr="00D0677D">
                        <w:rPr>
                          <w:sz w:val="24"/>
                          <w:szCs w:val="24"/>
                        </w:rPr>
                        <w:t xml:space="preserve">The purpose of the Study to Explore Early Development, Teen Follow-up Study (SEED Teen) is to </w:t>
                      </w:r>
                      <w:r w:rsidRPr="00D0677D">
                        <w:rPr>
                          <w:sz w:val="24"/>
                        </w:rPr>
                        <w:t>assess the health</w:t>
                      </w:r>
                      <w:r w:rsidRPr="00D0677D">
                        <w:rPr>
                          <w:sz w:val="24"/>
                          <w:szCs w:val="24"/>
                        </w:rPr>
                        <w:t xml:space="preserve"> and functioning in a cohort of teens with autism spectrum disorder (ASD) and other developmental disabilities (DDs) who previously participated in an autism research study when they were young. The study will also assess family impacts associated with ASD and other DDs, and service needs and use associated with having ASD and other DDs during the early teen years.  </w:t>
                      </w:r>
                    </w:p>
                    <w:p w14:paraId="35E5EFC0" w14:textId="77777777" w:rsidR="00143599" w:rsidRPr="00D0677D" w:rsidRDefault="00143599" w:rsidP="003C14E8">
                      <w:pPr>
                        <w:pStyle w:val="Style1"/>
                        <w:numPr>
                          <w:ilvl w:val="0"/>
                          <w:numId w:val="0"/>
                        </w:numPr>
                        <w:ind w:left="360"/>
                        <w:rPr>
                          <w:sz w:val="24"/>
                          <w:szCs w:val="24"/>
                        </w:rPr>
                      </w:pPr>
                    </w:p>
                    <w:p w14:paraId="512B71B0" w14:textId="0831D895" w:rsidR="00143599" w:rsidRPr="00D0677D" w:rsidRDefault="00143599" w:rsidP="003C14E8">
                      <w:pPr>
                        <w:pStyle w:val="Style1"/>
                        <w:rPr>
                          <w:sz w:val="24"/>
                          <w:szCs w:val="24"/>
                        </w:rPr>
                      </w:pPr>
                      <w:r w:rsidRPr="00D0677D">
                        <w:rPr>
                          <w:b/>
                          <w:sz w:val="24"/>
                          <w:szCs w:val="24"/>
                        </w:rPr>
                        <w:t>Intended use of the resulting data:</w:t>
                      </w:r>
                      <w:r w:rsidRPr="00D0677D">
                        <w:rPr>
                          <w:sz w:val="24"/>
                          <w:szCs w:val="24"/>
                        </w:rPr>
                        <w:t xml:space="preserve"> Data from SEED Teen will enable investigators to increase scientific understanding of the developmental trajectory and health consequences of ASD among adolescents and enable federal, state, and local governments and organizations to better understand the needs of adolescents with ASD.   </w:t>
                      </w:r>
                    </w:p>
                    <w:p w14:paraId="0AB55E15" w14:textId="77777777" w:rsidR="00143599" w:rsidRPr="00EF5B7E" w:rsidRDefault="00143599" w:rsidP="00D83040">
                      <w:pPr>
                        <w:pStyle w:val="ListParagraph"/>
                        <w:numPr>
                          <w:ilvl w:val="0"/>
                          <w:numId w:val="3"/>
                        </w:numPr>
                        <w:rPr>
                          <w:sz w:val="24"/>
                          <w:szCs w:val="24"/>
                        </w:rPr>
                      </w:pPr>
                      <w:r w:rsidRPr="00D0677D">
                        <w:rPr>
                          <w:b/>
                          <w:sz w:val="24"/>
                          <w:szCs w:val="24"/>
                        </w:rPr>
                        <w:t>Methods to be used to collect:</w:t>
                      </w:r>
                      <w:r w:rsidRPr="00D0677D">
                        <w:rPr>
                          <w:sz w:val="24"/>
                          <w:szCs w:val="24"/>
                        </w:rPr>
                        <w:t xml:space="preserve"> SEED Teen is a follow-up study of children who participated in the SEED case-control study in 2007-2011 when they were 2 to 5 years of age. Mothers or other primary caregivers who participated in the</w:t>
                      </w:r>
                      <w:r>
                        <w:rPr>
                          <w:sz w:val="24"/>
                          <w:szCs w:val="24"/>
                        </w:rPr>
                        <w:t xml:space="preserve"> case-control study </w:t>
                      </w:r>
                      <w:r w:rsidRPr="00EF5B7E">
                        <w:rPr>
                          <w:sz w:val="24"/>
                          <w:szCs w:val="24"/>
                        </w:rPr>
                        <w:t>will be</w:t>
                      </w:r>
                      <w:r>
                        <w:rPr>
                          <w:sz w:val="24"/>
                          <w:szCs w:val="24"/>
                        </w:rPr>
                        <w:t xml:space="preserve"> re-contacted when their child is 13-17 years of age and</w:t>
                      </w:r>
                      <w:r w:rsidRPr="00EF5B7E">
                        <w:rPr>
                          <w:sz w:val="24"/>
                          <w:szCs w:val="24"/>
                        </w:rPr>
                        <w:t xml:space="preserve"> asked to </w:t>
                      </w:r>
                      <w:r w:rsidRPr="00D0677D">
                        <w:rPr>
                          <w:sz w:val="24"/>
                        </w:rPr>
                        <w:t>complete two self-administered questionnaires about their child’s health, development, education, and current functioning</w:t>
                      </w:r>
                      <w:r w:rsidRPr="00EF5B7E">
                        <w:rPr>
                          <w:sz w:val="24"/>
                          <w:szCs w:val="24"/>
                        </w:rPr>
                        <w:t xml:space="preserve">. </w:t>
                      </w:r>
                    </w:p>
                    <w:p w14:paraId="6AE709BE" w14:textId="77777777" w:rsidR="00143599" w:rsidRPr="00EF5B7E" w:rsidRDefault="00143599" w:rsidP="003C14E8">
                      <w:pPr>
                        <w:pStyle w:val="Style1"/>
                        <w:rPr>
                          <w:sz w:val="24"/>
                          <w:szCs w:val="24"/>
                        </w:rPr>
                      </w:pPr>
                      <w:r w:rsidRPr="00EF5B7E">
                        <w:rPr>
                          <w:b/>
                          <w:sz w:val="24"/>
                          <w:szCs w:val="24"/>
                        </w:rPr>
                        <w:t>The subpopulation to be studied:</w:t>
                      </w:r>
                      <w:r w:rsidRPr="00EF5B7E">
                        <w:rPr>
                          <w:sz w:val="24"/>
                          <w:szCs w:val="24"/>
                        </w:rPr>
                        <w:t xml:space="preserve"> </w:t>
                      </w:r>
                      <w:r>
                        <w:rPr>
                          <w:color w:val="0D0D0D"/>
                          <w:sz w:val="24"/>
                          <w:szCs w:val="24"/>
                        </w:rPr>
                        <w:t xml:space="preserve">The initial phase of SEED Teen, which will include children born between 2003 and 2007 and their parent respondents. </w:t>
                      </w:r>
                      <w:r w:rsidRPr="00EF5B7E">
                        <w:rPr>
                          <w:sz w:val="24"/>
                          <w:szCs w:val="24"/>
                        </w:rPr>
                        <w:t>Children will be identified from four SEED sites in Georgia, Maryland, North Carolina, and Pennsylvania. Three groups of children will</w:t>
                      </w:r>
                      <w:r w:rsidRPr="00C5496E">
                        <w:rPr>
                          <w:sz w:val="24"/>
                          <w:szCs w:val="24"/>
                        </w:rPr>
                        <w:t xml:space="preserve"> be included: children with ASD, children with other </w:t>
                      </w:r>
                      <w:r>
                        <w:rPr>
                          <w:sz w:val="24"/>
                          <w:szCs w:val="24"/>
                        </w:rPr>
                        <w:t xml:space="preserve">(non-ASD) </w:t>
                      </w:r>
                      <w:r w:rsidRPr="00C5496E">
                        <w:rPr>
                          <w:sz w:val="24"/>
                          <w:szCs w:val="24"/>
                        </w:rPr>
                        <w:t>developmental conditions (DD comparison group), and children from the general population who were initially samp</w:t>
                      </w:r>
                      <w:r w:rsidRPr="00EF5B7E">
                        <w:rPr>
                          <w:sz w:val="24"/>
                          <w:szCs w:val="24"/>
                        </w:rPr>
                        <w:t xml:space="preserve">led from birth records (POP comparison group). </w:t>
                      </w:r>
                    </w:p>
                    <w:p w14:paraId="3C6DAE1E" w14:textId="77777777" w:rsidR="00143599" w:rsidRPr="00EF5B7E" w:rsidRDefault="00143599" w:rsidP="00D83040">
                      <w:pPr>
                        <w:pStyle w:val="ListParagraph"/>
                        <w:numPr>
                          <w:ilvl w:val="0"/>
                          <w:numId w:val="3"/>
                        </w:numPr>
                        <w:rPr>
                          <w:sz w:val="24"/>
                          <w:szCs w:val="24"/>
                        </w:rPr>
                      </w:pPr>
                      <w:r w:rsidRPr="00EF5B7E">
                        <w:rPr>
                          <w:b/>
                          <w:sz w:val="24"/>
                          <w:szCs w:val="24"/>
                        </w:rPr>
                        <w:t>How data will be analyzed:</w:t>
                      </w:r>
                      <w:r w:rsidRPr="00EF5B7E">
                        <w:rPr>
                          <w:sz w:val="24"/>
                          <w:szCs w:val="24"/>
                        </w:rPr>
                        <w:t xml:space="preserve"> </w:t>
                      </w:r>
                      <w:r w:rsidRPr="00D0677D">
                        <w:rPr>
                          <w:sz w:val="24"/>
                        </w:rPr>
                        <w:t>Health</w:t>
                      </w:r>
                      <w:r w:rsidRPr="00EF5B7E">
                        <w:rPr>
                          <w:sz w:val="24"/>
                          <w:szCs w:val="24"/>
                        </w:rPr>
                        <w:t>, health care, and developmental outcomes and indicators will b</w:t>
                      </w:r>
                      <w:r>
                        <w:rPr>
                          <w:sz w:val="24"/>
                          <w:szCs w:val="24"/>
                        </w:rPr>
                        <w:t>e compared in children with ASD</w:t>
                      </w:r>
                      <w:r w:rsidRPr="00EF5B7E">
                        <w:rPr>
                          <w:sz w:val="24"/>
                          <w:szCs w:val="24"/>
                        </w:rPr>
                        <w:t xml:space="preserve">, children with other DDs and children in the POP group.  Prevalence estimates and 95% confidences intervals for various health and development indicators will be calculated for each group, for select ASD subgroups (defined by severity of symptoms), and for important demographic subgroups.  Multivariable log-binomial regression will be used to determine risk factors for given health outcomes and to compare study groups on various indicators.  Using chi-square tests, prevalence estimates will also be compared to those from national publicly available population-based surveys.  </w:t>
                      </w:r>
                    </w:p>
                  </w:txbxContent>
                </v:textbox>
              </v:shape>
            </w:pict>
          </mc:Fallback>
        </mc:AlternateContent>
      </w:r>
      <w:r w:rsidR="004E4587" w:rsidRPr="00096EC1">
        <w:rPr>
          <w:rFonts w:ascii="Courier New" w:eastAsiaTheme="majorEastAsia" w:hAnsi="Courier New" w:cs="Courier New"/>
          <w:bCs w:val="0"/>
          <w:color w:val="FFFFFF" w:themeColor="background1"/>
          <w:kern w:val="0"/>
          <w:sz w:val="24"/>
          <w:szCs w:val="24"/>
        </w:rPr>
        <w:t>Ab</w:t>
      </w:r>
      <w:bookmarkEnd w:id="1"/>
    </w:p>
    <w:p w14:paraId="137760CA" w14:textId="77777777" w:rsidR="00581567" w:rsidRPr="00C42DD3" w:rsidRDefault="00581567" w:rsidP="00581567">
      <w:pPr>
        <w:rPr>
          <w:rFonts w:ascii="Courier New" w:hAnsi="Courier New" w:cs="Courier New"/>
        </w:rPr>
      </w:pPr>
    </w:p>
    <w:p w14:paraId="65C8D051" w14:textId="77777777" w:rsidR="00581567" w:rsidRPr="00C42DD3" w:rsidRDefault="00581567" w:rsidP="00581567">
      <w:pPr>
        <w:rPr>
          <w:rFonts w:ascii="Courier New" w:hAnsi="Courier New" w:cs="Courier New"/>
        </w:rPr>
      </w:pPr>
    </w:p>
    <w:p w14:paraId="63EC9056" w14:textId="77777777" w:rsidR="00581567" w:rsidRPr="00C42DD3" w:rsidRDefault="00581567" w:rsidP="00581567">
      <w:pPr>
        <w:rPr>
          <w:rFonts w:ascii="Courier New" w:hAnsi="Courier New" w:cs="Courier New"/>
        </w:rPr>
      </w:pPr>
    </w:p>
    <w:p w14:paraId="056A1614" w14:textId="77777777" w:rsidR="00581567" w:rsidRPr="00C42DD3" w:rsidRDefault="00581567" w:rsidP="00581567">
      <w:pPr>
        <w:rPr>
          <w:rFonts w:ascii="Courier New" w:hAnsi="Courier New" w:cs="Courier New"/>
        </w:rPr>
      </w:pPr>
    </w:p>
    <w:p w14:paraId="51DDA0C8" w14:textId="77777777" w:rsidR="00581567" w:rsidRPr="00C42DD3" w:rsidRDefault="00581567" w:rsidP="00581567">
      <w:pPr>
        <w:rPr>
          <w:rFonts w:ascii="Courier New" w:hAnsi="Courier New" w:cs="Courier New"/>
        </w:rPr>
      </w:pPr>
    </w:p>
    <w:p w14:paraId="3E6DF63E" w14:textId="77777777" w:rsidR="00581567" w:rsidRPr="00C42DD3" w:rsidRDefault="00581567" w:rsidP="00581567">
      <w:pPr>
        <w:rPr>
          <w:rFonts w:ascii="Courier New" w:hAnsi="Courier New" w:cs="Courier New"/>
        </w:rPr>
      </w:pPr>
    </w:p>
    <w:p w14:paraId="1B8C7D58" w14:textId="77777777" w:rsidR="00581567" w:rsidRPr="00C42DD3" w:rsidRDefault="00581567" w:rsidP="00581567">
      <w:pPr>
        <w:rPr>
          <w:rFonts w:ascii="Courier New" w:hAnsi="Courier New" w:cs="Courier New"/>
        </w:rPr>
      </w:pPr>
    </w:p>
    <w:p w14:paraId="77B1641E" w14:textId="77777777" w:rsidR="00581567" w:rsidRPr="00C42DD3" w:rsidRDefault="00581567" w:rsidP="00581567">
      <w:pPr>
        <w:rPr>
          <w:rFonts w:ascii="Courier New" w:hAnsi="Courier New" w:cs="Courier New"/>
        </w:rPr>
      </w:pPr>
      <w:r w:rsidRPr="00C42DD3">
        <w:rPr>
          <w:rFonts w:ascii="Courier New" w:hAnsi="Courier New" w:cs="Courier New"/>
        </w:rPr>
        <w:t xml:space="preserve">Responses for each </w:t>
      </w:r>
      <w:r w:rsidRPr="00C42DD3">
        <w:rPr>
          <w:rFonts w:ascii="Courier New" w:hAnsi="Courier New" w:cs="Courier New"/>
          <w:b/>
        </w:rPr>
        <w:t>should be no more than 2 or 3 sentences</w:t>
      </w:r>
      <w:r w:rsidRPr="00C42DD3">
        <w:rPr>
          <w:rFonts w:ascii="Courier New" w:hAnsi="Courier New" w:cs="Courier New"/>
        </w:rPr>
        <w:t xml:space="preserve"> to orient the reviewer to the contents of the package.  The information collection request must show a clear link between the methods, the goal, and the use of the data.</w:t>
      </w:r>
    </w:p>
    <w:p w14:paraId="6B5ADA37" w14:textId="77777777" w:rsidR="00581567" w:rsidRPr="00C42DD3" w:rsidRDefault="00581567" w:rsidP="00581567">
      <w:pPr>
        <w:rPr>
          <w:rFonts w:ascii="Courier New" w:hAnsi="Courier New" w:cs="Courier New"/>
        </w:rPr>
      </w:pPr>
    </w:p>
    <w:p w14:paraId="177271FC" w14:textId="77777777" w:rsidR="00581567" w:rsidRPr="00C42DD3" w:rsidRDefault="00581567" w:rsidP="00140D7A">
      <w:pPr>
        <w:rPr>
          <w:rFonts w:ascii="Courier New" w:hAnsi="Courier New" w:cs="Courier New"/>
          <w:b/>
        </w:rPr>
      </w:pPr>
    </w:p>
    <w:p w14:paraId="1C8B89B8" w14:textId="77777777" w:rsidR="00581567" w:rsidRPr="00C42DD3" w:rsidRDefault="00581567" w:rsidP="00140D7A">
      <w:pPr>
        <w:rPr>
          <w:rFonts w:ascii="Courier New" w:hAnsi="Courier New" w:cs="Courier New"/>
          <w:b/>
        </w:rPr>
      </w:pPr>
    </w:p>
    <w:p w14:paraId="302F2206" w14:textId="77777777" w:rsidR="00581567" w:rsidRPr="00C42DD3" w:rsidRDefault="00581567" w:rsidP="00140D7A">
      <w:pPr>
        <w:rPr>
          <w:rFonts w:ascii="Courier New" w:hAnsi="Courier New" w:cs="Courier New"/>
          <w:b/>
        </w:rPr>
      </w:pPr>
    </w:p>
    <w:p w14:paraId="1B391347" w14:textId="77777777" w:rsidR="00581567" w:rsidRPr="00C42DD3" w:rsidRDefault="00581567" w:rsidP="00140D7A">
      <w:pPr>
        <w:rPr>
          <w:rFonts w:ascii="Courier New" w:hAnsi="Courier New" w:cs="Courier New"/>
          <w:b/>
        </w:rPr>
      </w:pPr>
    </w:p>
    <w:p w14:paraId="77A54F20" w14:textId="77777777" w:rsidR="00581567" w:rsidRPr="00C42DD3" w:rsidRDefault="00581567" w:rsidP="00140D7A">
      <w:pPr>
        <w:rPr>
          <w:rFonts w:ascii="Courier New" w:hAnsi="Courier New" w:cs="Courier New"/>
          <w:b/>
        </w:rPr>
      </w:pPr>
    </w:p>
    <w:p w14:paraId="1BD971A4" w14:textId="77777777" w:rsidR="00581567" w:rsidRPr="00C42DD3" w:rsidRDefault="00581567" w:rsidP="00140D7A">
      <w:pPr>
        <w:rPr>
          <w:rFonts w:ascii="Courier New" w:hAnsi="Courier New" w:cs="Courier New"/>
          <w:b/>
        </w:rPr>
      </w:pPr>
    </w:p>
    <w:p w14:paraId="7FE97385" w14:textId="77777777" w:rsidR="00581567" w:rsidRPr="00C42DD3" w:rsidRDefault="00581567" w:rsidP="00140D7A">
      <w:pPr>
        <w:rPr>
          <w:rFonts w:ascii="Courier New" w:hAnsi="Courier New" w:cs="Courier New"/>
          <w:b/>
        </w:rPr>
      </w:pPr>
    </w:p>
    <w:p w14:paraId="3A01B871" w14:textId="77777777" w:rsidR="00581567" w:rsidRPr="00C42DD3" w:rsidRDefault="00581567" w:rsidP="00140D7A">
      <w:pPr>
        <w:rPr>
          <w:rFonts w:ascii="Courier New" w:hAnsi="Courier New" w:cs="Courier New"/>
          <w:b/>
        </w:rPr>
      </w:pPr>
    </w:p>
    <w:p w14:paraId="6F0D9C18" w14:textId="77777777" w:rsidR="00581567" w:rsidRPr="00C42DD3" w:rsidRDefault="00581567" w:rsidP="00140D7A">
      <w:pPr>
        <w:rPr>
          <w:rFonts w:ascii="Courier New" w:hAnsi="Courier New" w:cs="Courier New"/>
          <w:b/>
        </w:rPr>
      </w:pPr>
    </w:p>
    <w:p w14:paraId="782A24C6" w14:textId="77777777" w:rsidR="00581567" w:rsidRPr="00C42DD3" w:rsidRDefault="00581567" w:rsidP="00140D7A">
      <w:pPr>
        <w:rPr>
          <w:rFonts w:ascii="Courier New" w:hAnsi="Courier New" w:cs="Courier New"/>
          <w:b/>
        </w:rPr>
      </w:pPr>
    </w:p>
    <w:p w14:paraId="03D1BB0A" w14:textId="77777777" w:rsidR="00581567" w:rsidRPr="00C42DD3" w:rsidRDefault="00581567" w:rsidP="00140D7A">
      <w:pPr>
        <w:rPr>
          <w:rFonts w:ascii="Courier New" w:hAnsi="Courier New" w:cs="Courier New"/>
          <w:b/>
        </w:rPr>
      </w:pPr>
    </w:p>
    <w:p w14:paraId="200132E5" w14:textId="77777777" w:rsidR="00581567" w:rsidRPr="00C42DD3" w:rsidRDefault="00581567" w:rsidP="00140D7A">
      <w:pPr>
        <w:rPr>
          <w:rFonts w:ascii="Courier New" w:hAnsi="Courier New" w:cs="Courier New"/>
          <w:b/>
        </w:rPr>
      </w:pPr>
    </w:p>
    <w:p w14:paraId="690A40DF" w14:textId="77777777" w:rsidR="00581567" w:rsidRPr="00C42DD3" w:rsidRDefault="00581567" w:rsidP="00140D7A">
      <w:pPr>
        <w:rPr>
          <w:rFonts w:ascii="Courier New" w:hAnsi="Courier New" w:cs="Courier New"/>
          <w:b/>
        </w:rPr>
      </w:pPr>
    </w:p>
    <w:p w14:paraId="4967A85E" w14:textId="77777777" w:rsidR="00581567" w:rsidRPr="00C42DD3" w:rsidRDefault="00581567" w:rsidP="00140D7A">
      <w:pPr>
        <w:rPr>
          <w:rFonts w:ascii="Courier New" w:hAnsi="Courier New" w:cs="Courier New"/>
          <w:b/>
        </w:rPr>
      </w:pPr>
    </w:p>
    <w:p w14:paraId="28B2F392" w14:textId="77777777" w:rsidR="00581567" w:rsidRPr="00C42DD3" w:rsidRDefault="00581567" w:rsidP="00140D7A">
      <w:pPr>
        <w:rPr>
          <w:rFonts w:ascii="Courier New" w:hAnsi="Courier New" w:cs="Courier New"/>
          <w:b/>
        </w:rPr>
      </w:pPr>
    </w:p>
    <w:p w14:paraId="7436DE36" w14:textId="77777777" w:rsidR="00581567" w:rsidRPr="00C42DD3" w:rsidRDefault="00581567" w:rsidP="00140D7A">
      <w:pPr>
        <w:rPr>
          <w:rFonts w:ascii="Courier New" w:hAnsi="Courier New" w:cs="Courier New"/>
          <w:b/>
        </w:rPr>
      </w:pPr>
    </w:p>
    <w:p w14:paraId="77F7A3F7" w14:textId="77777777" w:rsidR="00581567" w:rsidRPr="00C42DD3" w:rsidRDefault="00581567" w:rsidP="00140D7A">
      <w:pPr>
        <w:rPr>
          <w:rFonts w:ascii="Courier New" w:hAnsi="Courier New" w:cs="Courier New"/>
          <w:b/>
        </w:rPr>
      </w:pPr>
    </w:p>
    <w:p w14:paraId="725A3FBA" w14:textId="77777777" w:rsidR="00581567" w:rsidRPr="00C42DD3" w:rsidRDefault="00581567" w:rsidP="00140D7A">
      <w:pPr>
        <w:rPr>
          <w:rFonts w:ascii="Courier New" w:hAnsi="Courier New" w:cs="Courier New"/>
          <w:b/>
        </w:rPr>
      </w:pPr>
    </w:p>
    <w:p w14:paraId="0B4BAC4C" w14:textId="77777777" w:rsidR="00581567" w:rsidRPr="00C42DD3" w:rsidRDefault="00581567" w:rsidP="00140D7A">
      <w:pPr>
        <w:rPr>
          <w:rFonts w:ascii="Courier New" w:hAnsi="Courier New" w:cs="Courier New"/>
          <w:b/>
        </w:rPr>
      </w:pPr>
    </w:p>
    <w:p w14:paraId="711D9E79" w14:textId="77777777" w:rsidR="00581567" w:rsidRPr="00C42DD3" w:rsidRDefault="00581567" w:rsidP="00140D7A">
      <w:pPr>
        <w:rPr>
          <w:rFonts w:ascii="Courier New" w:hAnsi="Courier New" w:cs="Courier New"/>
          <w:b/>
        </w:rPr>
      </w:pPr>
    </w:p>
    <w:p w14:paraId="18557102" w14:textId="77777777" w:rsidR="00581567" w:rsidRPr="00C42DD3" w:rsidRDefault="00581567" w:rsidP="00140D7A">
      <w:pPr>
        <w:rPr>
          <w:rFonts w:ascii="Courier New" w:hAnsi="Courier New" w:cs="Courier New"/>
          <w:b/>
        </w:rPr>
      </w:pPr>
    </w:p>
    <w:p w14:paraId="20DD26AE" w14:textId="77777777" w:rsidR="00581567" w:rsidRPr="00C42DD3" w:rsidRDefault="00581567" w:rsidP="00140D7A">
      <w:pPr>
        <w:rPr>
          <w:rFonts w:ascii="Courier New" w:hAnsi="Courier New" w:cs="Courier New"/>
          <w:b/>
        </w:rPr>
      </w:pPr>
    </w:p>
    <w:p w14:paraId="5F21A997" w14:textId="77777777" w:rsidR="00581567" w:rsidRPr="00C42DD3" w:rsidRDefault="00581567" w:rsidP="00140D7A">
      <w:pPr>
        <w:rPr>
          <w:rFonts w:ascii="Courier New" w:hAnsi="Courier New" w:cs="Courier New"/>
          <w:b/>
        </w:rPr>
      </w:pPr>
    </w:p>
    <w:p w14:paraId="2973F187" w14:textId="77777777" w:rsidR="00581567" w:rsidRPr="00C42DD3" w:rsidRDefault="00581567" w:rsidP="00140D7A">
      <w:pPr>
        <w:rPr>
          <w:rFonts w:ascii="Courier New" w:hAnsi="Courier New" w:cs="Courier New"/>
          <w:b/>
        </w:rPr>
      </w:pPr>
    </w:p>
    <w:p w14:paraId="6005A28E" w14:textId="77777777" w:rsidR="00581567" w:rsidRPr="00C42DD3" w:rsidRDefault="00581567" w:rsidP="00140D7A">
      <w:pPr>
        <w:rPr>
          <w:rFonts w:ascii="Courier New" w:hAnsi="Courier New" w:cs="Courier New"/>
          <w:b/>
        </w:rPr>
      </w:pPr>
    </w:p>
    <w:p w14:paraId="533A0B9C" w14:textId="77777777" w:rsidR="00581567" w:rsidRPr="00C42DD3" w:rsidRDefault="00581567" w:rsidP="00140D7A">
      <w:pPr>
        <w:rPr>
          <w:rFonts w:ascii="Courier New" w:hAnsi="Courier New" w:cs="Courier New"/>
          <w:b/>
        </w:rPr>
      </w:pPr>
    </w:p>
    <w:p w14:paraId="74DC3A55" w14:textId="77777777" w:rsidR="00581567" w:rsidRPr="00C42DD3" w:rsidRDefault="00581567" w:rsidP="00140D7A">
      <w:pPr>
        <w:rPr>
          <w:rFonts w:ascii="Courier New" w:hAnsi="Courier New" w:cs="Courier New"/>
          <w:b/>
        </w:rPr>
      </w:pPr>
    </w:p>
    <w:p w14:paraId="3FB6C6D7" w14:textId="77777777" w:rsidR="00581567" w:rsidRPr="00C42DD3" w:rsidRDefault="00581567" w:rsidP="00140D7A">
      <w:pPr>
        <w:rPr>
          <w:rFonts w:ascii="Courier New" w:hAnsi="Courier New" w:cs="Courier New"/>
          <w:b/>
        </w:rPr>
      </w:pPr>
    </w:p>
    <w:p w14:paraId="61F6F89A" w14:textId="77777777" w:rsidR="00581567" w:rsidRPr="00C42DD3" w:rsidRDefault="00581567" w:rsidP="00140D7A">
      <w:pPr>
        <w:rPr>
          <w:rFonts w:ascii="Courier New" w:hAnsi="Courier New" w:cs="Courier New"/>
          <w:b/>
        </w:rPr>
      </w:pPr>
    </w:p>
    <w:p w14:paraId="5AAC0542" w14:textId="77777777" w:rsidR="00581567" w:rsidRPr="00C42DD3" w:rsidRDefault="00581567" w:rsidP="00140D7A">
      <w:pPr>
        <w:rPr>
          <w:rFonts w:ascii="Courier New" w:hAnsi="Courier New" w:cs="Courier New"/>
          <w:b/>
        </w:rPr>
      </w:pPr>
    </w:p>
    <w:p w14:paraId="1452A29A" w14:textId="77777777" w:rsidR="00581567" w:rsidRPr="00C42DD3" w:rsidRDefault="00581567" w:rsidP="00140D7A">
      <w:pPr>
        <w:rPr>
          <w:rFonts w:ascii="Courier New" w:hAnsi="Courier New" w:cs="Courier New"/>
          <w:b/>
        </w:rPr>
      </w:pPr>
    </w:p>
    <w:p w14:paraId="41349775" w14:textId="77777777" w:rsidR="00581567" w:rsidRPr="00C42DD3" w:rsidRDefault="00581567" w:rsidP="00140D7A">
      <w:pPr>
        <w:rPr>
          <w:rFonts w:ascii="Courier New" w:hAnsi="Courier New" w:cs="Courier New"/>
          <w:b/>
        </w:rPr>
      </w:pPr>
    </w:p>
    <w:p w14:paraId="19A32F1C" w14:textId="77777777" w:rsidR="00C13392" w:rsidRDefault="00C13392" w:rsidP="00C13392">
      <w:pPr>
        <w:spacing w:line="480" w:lineRule="auto"/>
        <w:rPr>
          <w:rFonts w:ascii="Courier New" w:hAnsi="Courier New" w:cs="Courier New"/>
          <w:b/>
        </w:rPr>
      </w:pPr>
    </w:p>
    <w:p w14:paraId="24530337" w14:textId="24764326" w:rsidR="00873BFC" w:rsidRPr="00C60BB2" w:rsidRDefault="000000ED" w:rsidP="00C13392">
      <w:pPr>
        <w:spacing w:line="480" w:lineRule="auto"/>
        <w:rPr>
          <w:b/>
        </w:rPr>
      </w:pPr>
      <w:r w:rsidRPr="00C60BB2">
        <w:rPr>
          <w:b/>
        </w:rPr>
        <w:t>Supporting Statement Part A.</w:t>
      </w:r>
    </w:p>
    <w:p w14:paraId="1FAF17BE" w14:textId="77777777" w:rsidR="003E680F" w:rsidRPr="00C60BB2" w:rsidRDefault="003E680F" w:rsidP="00C13392">
      <w:pPr>
        <w:pStyle w:val="Heading1"/>
        <w:keepLines/>
        <w:widowControl w:val="0"/>
        <w:pBdr>
          <w:top w:val="none" w:sz="0" w:space="0" w:color="auto"/>
        </w:pBdr>
        <w:autoSpaceDE w:val="0"/>
        <w:autoSpaceDN w:val="0"/>
        <w:adjustRightInd w:val="0"/>
        <w:spacing w:before="240" w:after="0" w:line="480" w:lineRule="auto"/>
        <w:jc w:val="left"/>
        <w:rPr>
          <w:rFonts w:ascii="Times New Roman" w:eastAsiaTheme="majorEastAsia" w:hAnsi="Times New Roman"/>
          <w:bCs w:val="0"/>
          <w:kern w:val="0"/>
          <w:sz w:val="24"/>
          <w:szCs w:val="24"/>
        </w:rPr>
      </w:pPr>
      <w:bookmarkStart w:id="2" w:name="_Toc429667305"/>
      <w:r w:rsidRPr="00C60BB2">
        <w:rPr>
          <w:rFonts w:ascii="Times New Roman" w:eastAsiaTheme="majorEastAsia" w:hAnsi="Times New Roman"/>
          <w:bCs w:val="0"/>
          <w:kern w:val="0"/>
          <w:sz w:val="24"/>
          <w:szCs w:val="24"/>
        </w:rPr>
        <w:t>A. Justification</w:t>
      </w:r>
      <w:bookmarkEnd w:id="2"/>
    </w:p>
    <w:p w14:paraId="1B2EA7CC" w14:textId="77777777" w:rsidR="00873BFC" w:rsidRPr="00C60BB2" w:rsidRDefault="00694C20"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3" w:name="_Toc429667306"/>
      <w:r w:rsidRPr="00C60BB2">
        <w:rPr>
          <w:rFonts w:ascii="Times New Roman" w:eastAsiaTheme="majorEastAsia" w:hAnsi="Times New Roman"/>
          <w:i w:val="0"/>
          <w:sz w:val="24"/>
          <w:szCs w:val="24"/>
          <w:u w:val="single"/>
        </w:rPr>
        <w:t xml:space="preserve">Section </w:t>
      </w:r>
      <w:r w:rsidR="00873BFC" w:rsidRPr="00C60BB2">
        <w:rPr>
          <w:rFonts w:ascii="Times New Roman" w:eastAsiaTheme="majorEastAsia" w:hAnsi="Times New Roman"/>
          <w:i w:val="0"/>
          <w:sz w:val="24"/>
          <w:szCs w:val="24"/>
          <w:u w:val="single"/>
        </w:rPr>
        <w:t xml:space="preserve">A.1. Circumstances </w:t>
      </w:r>
      <w:r w:rsidR="003E680F" w:rsidRPr="00C60BB2">
        <w:rPr>
          <w:rFonts w:ascii="Times New Roman" w:eastAsiaTheme="majorEastAsia" w:hAnsi="Times New Roman"/>
          <w:i w:val="0"/>
          <w:sz w:val="24"/>
          <w:szCs w:val="24"/>
          <w:u w:val="single"/>
        </w:rPr>
        <w:t>Making the Collection of Information Necessary</w:t>
      </w:r>
      <w:bookmarkEnd w:id="3"/>
    </w:p>
    <w:p w14:paraId="67E7F36E" w14:textId="77777777" w:rsidR="00DF657F" w:rsidRDefault="00873BFC" w:rsidP="00DF657F">
      <w:pPr>
        <w:pStyle w:val="ListBullet"/>
        <w:numPr>
          <w:ilvl w:val="0"/>
          <w:numId w:val="0"/>
        </w:numPr>
        <w:spacing w:line="480" w:lineRule="auto"/>
        <w:ind w:firstLine="720"/>
        <w:rPr>
          <w:color w:val="000000"/>
          <w:sz w:val="24"/>
          <w:szCs w:val="24"/>
        </w:rPr>
      </w:pPr>
      <w:r w:rsidRPr="00C60BB2">
        <w:rPr>
          <w:sz w:val="24"/>
          <w:szCs w:val="24"/>
        </w:rPr>
        <w:t xml:space="preserve">This Information Collection Request is submitted under the classification </w:t>
      </w:r>
      <w:r w:rsidR="00B24291" w:rsidRPr="00C60BB2">
        <w:rPr>
          <w:sz w:val="24"/>
          <w:szCs w:val="24"/>
        </w:rPr>
        <w:t>“New” request</w:t>
      </w:r>
      <w:r w:rsidRPr="00C60BB2">
        <w:rPr>
          <w:sz w:val="24"/>
          <w:szCs w:val="24"/>
        </w:rPr>
        <w:t>.  The length of data collection requested for</w:t>
      </w:r>
      <w:r w:rsidR="00614883" w:rsidRPr="00C60BB2">
        <w:rPr>
          <w:sz w:val="24"/>
          <w:szCs w:val="24"/>
        </w:rPr>
        <w:t xml:space="preserve"> Office of Management and Budget (</w:t>
      </w:r>
      <w:r w:rsidRPr="00C60BB2">
        <w:rPr>
          <w:sz w:val="24"/>
          <w:szCs w:val="24"/>
        </w:rPr>
        <w:t>OMB</w:t>
      </w:r>
      <w:r w:rsidR="00614883" w:rsidRPr="00C60BB2">
        <w:rPr>
          <w:sz w:val="24"/>
          <w:szCs w:val="24"/>
        </w:rPr>
        <w:t xml:space="preserve">) </w:t>
      </w:r>
      <w:r w:rsidRPr="00C60BB2">
        <w:rPr>
          <w:sz w:val="24"/>
          <w:szCs w:val="24"/>
        </w:rPr>
        <w:t xml:space="preserve">approval is </w:t>
      </w:r>
      <w:r w:rsidR="0011507C" w:rsidRPr="00F32F2D">
        <w:rPr>
          <w:sz w:val="24"/>
          <w:szCs w:val="24"/>
        </w:rPr>
        <w:t>3</w:t>
      </w:r>
      <w:r w:rsidR="00140D7A" w:rsidRPr="00C60BB2">
        <w:rPr>
          <w:sz w:val="24"/>
          <w:szCs w:val="24"/>
        </w:rPr>
        <w:t xml:space="preserve"> years</w:t>
      </w:r>
      <w:r w:rsidRPr="00C60BB2">
        <w:rPr>
          <w:sz w:val="24"/>
          <w:szCs w:val="24"/>
        </w:rPr>
        <w:t>.</w:t>
      </w:r>
      <w:r w:rsidR="003E680F" w:rsidRPr="00C60BB2">
        <w:rPr>
          <w:sz w:val="24"/>
          <w:szCs w:val="24"/>
        </w:rPr>
        <w:t xml:space="preserve"> </w:t>
      </w:r>
      <w:r w:rsidR="00B24291" w:rsidRPr="00C60BB2">
        <w:rPr>
          <w:sz w:val="24"/>
          <w:szCs w:val="24"/>
        </w:rPr>
        <w:t xml:space="preserve">The National Center on Birth Defects and Developmental Disabilities (NCBDDD) at the Centers for Disease Control and Prevention (CDC) is making this request as authorized by </w:t>
      </w:r>
      <w:r w:rsidR="00B24291" w:rsidRPr="00C60BB2">
        <w:rPr>
          <w:color w:val="000000"/>
          <w:sz w:val="24"/>
          <w:szCs w:val="24"/>
        </w:rPr>
        <w:t xml:space="preserve">Section </w:t>
      </w:r>
      <w:r w:rsidR="00034D88" w:rsidRPr="007D2DCB">
        <w:rPr>
          <w:color w:val="000000"/>
          <w:sz w:val="24"/>
          <w:szCs w:val="24"/>
        </w:rPr>
        <w:t xml:space="preserve">301(a)[42 U.S.C. Section 241(a)] and 317(c) of the Public Health Service Act [42 U.S.C. 247b-4], as amended </w:t>
      </w:r>
      <w:r w:rsidR="00034D88" w:rsidRPr="007D2DCB">
        <w:rPr>
          <w:b/>
          <w:color w:val="000000"/>
          <w:sz w:val="24"/>
          <w:szCs w:val="24"/>
        </w:rPr>
        <w:t>(Attachment 1.a.)</w:t>
      </w:r>
      <w:r w:rsidR="00034D88" w:rsidRPr="007D2DCB">
        <w:rPr>
          <w:color w:val="000000"/>
          <w:sz w:val="24"/>
          <w:szCs w:val="24"/>
        </w:rPr>
        <w:t xml:space="preserve">;  the Combating Autism Act of 2006, Pub. Law No. 109-416 </w:t>
      </w:r>
      <w:r w:rsidR="00034D88" w:rsidRPr="007D2DCB">
        <w:rPr>
          <w:b/>
          <w:color w:val="000000"/>
          <w:sz w:val="24"/>
          <w:szCs w:val="24"/>
        </w:rPr>
        <w:t>(Attachment 1.b.);</w:t>
      </w:r>
      <w:r w:rsidR="00034D88" w:rsidRPr="007D2DCB">
        <w:rPr>
          <w:color w:val="000000"/>
          <w:sz w:val="24"/>
          <w:szCs w:val="24"/>
        </w:rPr>
        <w:t xml:space="preserve"> and the Children’s Health Care Act of 2000 </w:t>
      </w:r>
      <w:r w:rsidR="00034D88" w:rsidRPr="007D2DCB">
        <w:rPr>
          <w:b/>
          <w:color w:val="000000"/>
          <w:sz w:val="24"/>
          <w:szCs w:val="24"/>
        </w:rPr>
        <w:t>(Attachment 1.c.)</w:t>
      </w:r>
      <w:r w:rsidR="00034D88" w:rsidRPr="007D2DCB">
        <w:rPr>
          <w:color w:val="000000"/>
          <w:sz w:val="24"/>
          <w:szCs w:val="24"/>
        </w:rPr>
        <w:t>.</w:t>
      </w:r>
    </w:p>
    <w:p w14:paraId="4872B740" w14:textId="77777777" w:rsidR="00DF657F" w:rsidRDefault="00DF657F" w:rsidP="00DF657F">
      <w:pPr>
        <w:pStyle w:val="ListBullet"/>
        <w:numPr>
          <w:ilvl w:val="0"/>
          <w:numId w:val="0"/>
        </w:numPr>
        <w:spacing w:line="480" w:lineRule="auto"/>
        <w:ind w:firstLine="720"/>
        <w:rPr>
          <w:sz w:val="24"/>
          <w:szCs w:val="24"/>
        </w:rPr>
      </w:pPr>
      <w:r>
        <w:rPr>
          <w:color w:val="000000"/>
          <w:sz w:val="24"/>
          <w:szCs w:val="24"/>
        </w:rPr>
        <w:t>A</w:t>
      </w:r>
      <w:r w:rsidR="00A80AA6" w:rsidRPr="00C60BB2">
        <w:rPr>
          <w:sz w:val="24"/>
          <w:szCs w:val="24"/>
        </w:rPr>
        <w:t>utism spectrum disorder (ASD) is a neurodevelopmental disorder characterized by impairments in social interaction and communication and stereotyped b</w:t>
      </w:r>
      <w:r w:rsidR="002A6933" w:rsidRPr="00C60BB2">
        <w:rPr>
          <w:sz w:val="24"/>
          <w:szCs w:val="24"/>
        </w:rPr>
        <w:t>ehaviors and interests.</w:t>
      </w:r>
      <w:r w:rsidR="00DF44FC">
        <w:rPr>
          <w:sz w:val="24"/>
          <w:szCs w:val="24"/>
        </w:rPr>
        <w:t xml:space="preserve">  </w:t>
      </w:r>
      <w:r w:rsidR="00C5496E" w:rsidRPr="00C60BB2">
        <w:rPr>
          <w:sz w:val="24"/>
          <w:szCs w:val="24"/>
        </w:rPr>
        <w:t xml:space="preserve">The U.S. prevalence of </w:t>
      </w:r>
      <w:r w:rsidR="00C5496E" w:rsidRPr="00642A37">
        <w:rPr>
          <w:sz w:val="24"/>
          <w:szCs w:val="24"/>
        </w:rPr>
        <w:t xml:space="preserve">ASD is estimated at 1% to 2% (1-3). In addition to the profound, lifelong impacts on individuals’ functioning given the core deficits in social-communication abilities, a high proportion of children with ASD also have one or more other developmental impairments such as intellectual disability or attention-deficit-hyperactivity-disorder (3-5) and children with ASDs have higher than expected prevalences of health conditions such as obesity, asthma and respiratory disorders, eczema and skin allergies, migraine headaches, and gastrointestinal symptoms and disorders (4,6). </w:t>
      </w:r>
    </w:p>
    <w:p w14:paraId="73ECE87D" w14:textId="77777777" w:rsidR="00DF657F" w:rsidRDefault="00DF44FC" w:rsidP="00DF657F">
      <w:pPr>
        <w:pStyle w:val="ListBullet"/>
        <w:numPr>
          <w:ilvl w:val="0"/>
          <w:numId w:val="0"/>
        </w:numPr>
        <w:spacing w:line="480" w:lineRule="auto"/>
        <w:ind w:firstLine="720"/>
        <w:rPr>
          <w:sz w:val="24"/>
          <w:szCs w:val="24"/>
        </w:rPr>
      </w:pPr>
      <w:r w:rsidRPr="00C60BB2">
        <w:rPr>
          <w:sz w:val="24"/>
          <w:szCs w:val="24"/>
        </w:rPr>
        <w:t>The Children’s Health Care Act of 2000 mandated CDC to establish autism surveillance and research programs to address the number, incidence, correlates, and causes of autism and related developmental disabilities</w:t>
      </w:r>
      <w:r w:rsidR="001060D8">
        <w:rPr>
          <w:sz w:val="24"/>
          <w:szCs w:val="24"/>
        </w:rPr>
        <w:t xml:space="preserve"> (DDs)</w:t>
      </w:r>
      <w:r w:rsidRPr="00C60BB2">
        <w:rPr>
          <w:sz w:val="24"/>
          <w:szCs w:val="24"/>
        </w:rPr>
        <w:t xml:space="preserve">. </w:t>
      </w:r>
      <w:r w:rsidRPr="007D2DCB">
        <w:rPr>
          <w:sz w:val="24"/>
          <w:szCs w:val="24"/>
        </w:rPr>
        <w:t xml:space="preserve">Under the provisions of this act, NCBDDD funded Centers for Autism and Developmental Research and Epidemiology (CADDRE) to implement and complete a case-control study, the Study to Explore Early Development (SEED), to collect and report data on risk factors for ASD and health consequences of ASD in young children. To date two phases of data collection for the SEED case-control study have been completed and a third phase will be initiated soon. OMB first approved “The Study to Explore Early Development’ (OMB 0920-0741) in October 2007. </w:t>
      </w:r>
      <w:r w:rsidRPr="00642A37">
        <w:rPr>
          <w:sz w:val="24"/>
          <w:szCs w:val="24"/>
        </w:rPr>
        <w:t xml:space="preserve">The second phase of the effort </w:t>
      </w:r>
      <w:r w:rsidR="00507860" w:rsidRPr="00642A37">
        <w:rPr>
          <w:sz w:val="24"/>
          <w:szCs w:val="24"/>
        </w:rPr>
        <w:t xml:space="preserve">(SEED 2) </w:t>
      </w:r>
      <w:r w:rsidRPr="00642A37">
        <w:rPr>
          <w:sz w:val="24"/>
          <w:szCs w:val="24"/>
        </w:rPr>
        <w:t xml:space="preserve">was </w:t>
      </w:r>
      <w:r w:rsidR="00507860" w:rsidRPr="00642A37">
        <w:rPr>
          <w:sz w:val="24"/>
          <w:szCs w:val="24"/>
        </w:rPr>
        <w:t xml:space="preserve">inappropriately </w:t>
      </w:r>
      <w:r w:rsidRPr="00642A37">
        <w:rPr>
          <w:sz w:val="24"/>
          <w:szCs w:val="24"/>
        </w:rPr>
        <w:t xml:space="preserve">granted an OMB-PRA clinical research exemption.  A third phase of the effort (OMB </w:t>
      </w:r>
      <w:r w:rsidR="00017EFB">
        <w:rPr>
          <w:sz w:val="24"/>
          <w:szCs w:val="24"/>
        </w:rPr>
        <w:t>0920-117</w:t>
      </w:r>
      <w:r w:rsidR="00642A37">
        <w:rPr>
          <w:sz w:val="24"/>
          <w:szCs w:val="24"/>
        </w:rPr>
        <w:t>1</w:t>
      </w:r>
      <w:r w:rsidRPr="00642A37">
        <w:rPr>
          <w:sz w:val="24"/>
          <w:szCs w:val="24"/>
        </w:rPr>
        <w:t xml:space="preserve">) </w:t>
      </w:r>
      <w:r w:rsidR="00507860" w:rsidRPr="00642A37">
        <w:rPr>
          <w:sz w:val="24"/>
          <w:szCs w:val="24"/>
        </w:rPr>
        <w:t>wa</w:t>
      </w:r>
      <w:r w:rsidRPr="00642A37">
        <w:rPr>
          <w:sz w:val="24"/>
          <w:szCs w:val="24"/>
        </w:rPr>
        <w:t>s</w:t>
      </w:r>
      <w:r w:rsidR="00507860" w:rsidRPr="00642A37">
        <w:rPr>
          <w:sz w:val="24"/>
          <w:szCs w:val="24"/>
        </w:rPr>
        <w:t xml:space="preserve"> granted approval by OMB under a new ICR in March</w:t>
      </w:r>
      <w:r w:rsidRPr="00642A37">
        <w:rPr>
          <w:sz w:val="24"/>
          <w:szCs w:val="24"/>
        </w:rPr>
        <w:t xml:space="preserve"> 2017.  </w:t>
      </w:r>
      <w:r>
        <w:rPr>
          <w:sz w:val="24"/>
          <w:szCs w:val="24"/>
        </w:rPr>
        <w:t>All three phases of SEED collected (will collect) detailed information on 1) children’s developmental characteristics and health conditions; 2) mother’s reproductive and health history with a particular focus on her health and behaviors during her pregnancy with the SEED index (enrolled) child; and 3) family socio-demographics.</w:t>
      </w:r>
    </w:p>
    <w:p w14:paraId="62A0063C" w14:textId="77777777" w:rsidR="00DF657F" w:rsidRPr="00642A37" w:rsidRDefault="001E06DA" w:rsidP="00DF657F">
      <w:pPr>
        <w:pStyle w:val="ListBullet"/>
        <w:numPr>
          <w:ilvl w:val="0"/>
          <w:numId w:val="0"/>
        </w:numPr>
        <w:spacing w:line="480" w:lineRule="auto"/>
        <w:ind w:firstLine="720"/>
        <w:rPr>
          <w:sz w:val="24"/>
          <w:szCs w:val="24"/>
        </w:rPr>
      </w:pPr>
      <w:r w:rsidRPr="001E06DA">
        <w:rPr>
          <w:sz w:val="24"/>
          <w:szCs w:val="24"/>
        </w:rPr>
        <w:t>Histor</w:t>
      </w:r>
      <w:r w:rsidR="006934D3">
        <w:rPr>
          <w:sz w:val="24"/>
          <w:szCs w:val="24"/>
        </w:rPr>
        <w:t xml:space="preserve">ically, </w:t>
      </w:r>
      <w:r w:rsidRPr="001E06DA">
        <w:rPr>
          <w:sz w:val="24"/>
          <w:szCs w:val="24"/>
        </w:rPr>
        <w:t xml:space="preserve">young children have been the focus of ASD research: diagnosis and symptom detection at young ages, prenatal or early-life risk factors, and the effect of early intervention programs.  Meanwhile, the number of children diagnosed with ASD each year has steadily increased and, as children age, the prevalence of adults diagnosed with ASD will likewise increase for several decades.  Despite this ongoing demographic shift—which some have called “the autism tsunami”—there has been relatively little research on ASD in adolescence and adulthood.  For instance, the most recent data from the Interagency Autism </w:t>
      </w:r>
      <w:r w:rsidRPr="00642A37">
        <w:rPr>
          <w:sz w:val="24"/>
          <w:szCs w:val="24"/>
        </w:rPr>
        <w:t>Coordinating Committee shows that less than 1% of autism research dollars were focused on adults or “lifespan” issues (</w:t>
      </w:r>
      <w:r w:rsidR="009046CF" w:rsidRPr="00642A37">
        <w:rPr>
          <w:sz w:val="24"/>
          <w:szCs w:val="24"/>
        </w:rPr>
        <w:t>7</w:t>
      </w:r>
      <w:r w:rsidRPr="00642A37">
        <w:rPr>
          <w:sz w:val="24"/>
          <w:szCs w:val="24"/>
        </w:rPr>
        <w:t>).</w:t>
      </w:r>
    </w:p>
    <w:p w14:paraId="301C0B55" w14:textId="77777777" w:rsidR="00DF657F" w:rsidRDefault="001E06DA" w:rsidP="00DF657F">
      <w:pPr>
        <w:pStyle w:val="ListBullet"/>
        <w:numPr>
          <w:ilvl w:val="0"/>
          <w:numId w:val="0"/>
        </w:numPr>
        <w:spacing w:line="480" w:lineRule="auto"/>
        <w:ind w:firstLine="720"/>
        <w:rPr>
          <w:sz w:val="24"/>
          <w:szCs w:val="24"/>
        </w:rPr>
      </w:pPr>
      <w:r w:rsidRPr="00642A37">
        <w:rPr>
          <w:sz w:val="24"/>
          <w:szCs w:val="24"/>
        </w:rPr>
        <w:t>While there is research showing that the majority of ASD diagnoses made in early childhood are retained in adolescence (</w:t>
      </w:r>
      <w:r w:rsidR="009046CF" w:rsidRPr="00642A37">
        <w:rPr>
          <w:sz w:val="24"/>
          <w:szCs w:val="24"/>
        </w:rPr>
        <w:t>8</w:t>
      </w:r>
      <w:r w:rsidRPr="00642A37">
        <w:rPr>
          <w:sz w:val="24"/>
          <w:szCs w:val="24"/>
        </w:rPr>
        <w:t xml:space="preserve">) with mostly stable in symptom severity </w:t>
      </w:r>
      <w:r w:rsidR="009046CF" w:rsidRPr="00642A37">
        <w:rPr>
          <w:sz w:val="24"/>
          <w:szCs w:val="24"/>
        </w:rPr>
        <w:t>(9</w:t>
      </w:r>
      <w:r w:rsidRPr="00642A37">
        <w:rPr>
          <w:sz w:val="24"/>
          <w:szCs w:val="24"/>
        </w:rPr>
        <w:t>), there are major gaps in our understanding of the health, functioning, and experiences of</w:t>
      </w:r>
      <w:r w:rsidRPr="001E06DA">
        <w:rPr>
          <w:sz w:val="24"/>
          <w:szCs w:val="24"/>
        </w:rPr>
        <w:t xml:space="preserve"> adolescents with ASD and other developmental disabilities.  Many of these topics are especially relevant to public health: adolescents and adults with </w:t>
      </w:r>
      <w:r w:rsidRPr="00642A37">
        <w:rPr>
          <w:sz w:val="24"/>
          <w:szCs w:val="24"/>
        </w:rPr>
        <w:t>ASD have been shown to have frequent health problems (</w:t>
      </w:r>
      <w:r w:rsidR="009046CF" w:rsidRPr="00642A37">
        <w:rPr>
          <w:sz w:val="24"/>
          <w:szCs w:val="24"/>
        </w:rPr>
        <w:t>10</w:t>
      </w:r>
      <w:r w:rsidRPr="00642A37">
        <w:rPr>
          <w:sz w:val="24"/>
          <w:szCs w:val="24"/>
        </w:rPr>
        <w:t>), high healthcare utilization and specialized service needs (</w:t>
      </w:r>
      <w:r w:rsidR="009046CF" w:rsidRPr="00642A37">
        <w:rPr>
          <w:sz w:val="24"/>
          <w:szCs w:val="24"/>
        </w:rPr>
        <w:t>11</w:t>
      </w:r>
      <w:r w:rsidRPr="00642A37">
        <w:rPr>
          <w:sz w:val="24"/>
          <w:szCs w:val="24"/>
        </w:rPr>
        <w:t>), high caregiving burden (</w:t>
      </w:r>
      <w:r w:rsidR="009046CF" w:rsidRPr="00642A37">
        <w:rPr>
          <w:sz w:val="24"/>
          <w:szCs w:val="24"/>
        </w:rPr>
        <w:t>12</w:t>
      </w:r>
      <w:r w:rsidRPr="00642A37">
        <w:rPr>
          <w:sz w:val="24"/>
          <w:szCs w:val="24"/>
        </w:rPr>
        <w:t>), require substantial supports to perform daily activities (</w:t>
      </w:r>
      <w:r w:rsidR="009046CF" w:rsidRPr="00642A37">
        <w:rPr>
          <w:sz w:val="24"/>
          <w:szCs w:val="24"/>
        </w:rPr>
        <w:t>13</w:t>
      </w:r>
      <w:r w:rsidRPr="00642A37">
        <w:rPr>
          <w:sz w:val="24"/>
          <w:szCs w:val="24"/>
        </w:rPr>
        <w:t>), are likely to be bullied (</w:t>
      </w:r>
      <w:r w:rsidR="009046CF" w:rsidRPr="00642A37">
        <w:rPr>
          <w:sz w:val="24"/>
          <w:szCs w:val="24"/>
        </w:rPr>
        <w:t>14</w:t>
      </w:r>
      <w:r w:rsidRPr="00642A37">
        <w:rPr>
          <w:sz w:val="24"/>
          <w:szCs w:val="24"/>
        </w:rPr>
        <w:t xml:space="preserve">), or isolated from society </w:t>
      </w:r>
      <w:r w:rsidR="009046CF" w:rsidRPr="00642A37">
        <w:rPr>
          <w:sz w:val="24"/>
          <w:szCs w:val="24"/>
        </w:rPr>
        <w:t>(15</w:t>
      </w:r>
      <w:r w:rsidRPr="00642A37">
        <w:rPr>
          <w:sz w:val="24"/>
          <w:szCs w:val="24"/>
        </w:rPr>
        <w:t>), and are likely to have food allergies (</w:t>
      </w:r>
      <w:r w:rsidR="009046CF" w:rsidRPr="00642A37">
        <w:rPr>
          <w:sz w:val="24"/>
          <w:szCs w:val="24"/>
        </w:rPr>
        <w:t>16</w:t>
      </w:r>
      <w:r w:rsidRPr="00642A37">
        <w:rPr>
          <w:sz w:val="24"/>
          <w:szCs w:val="24"/>
        </w:rPr>
        <w:t>) or put on restrictive diets of questionable benefit (</w:t>
      </w:r>
      <w:r w:rsidR="009046CF" w:rsidRPr="00642A37">
        <w:rPr>
          <w:sz w:val="24"/>
          <w:szCs w:val="24"/>
        </w:rPr>
        <w:t>17</w:t>
      </w:r>
      <w:r w:rsidRPr="00642A37">
        <w:rPr>
          <w:sz w:val="24"/>
          <w:szCs w:val="24"/>
        </w:rPr>
        <w:t>). Many of these problems emerge after</w:t>
      </w:r>
      <w:r w:rsidRPr="001E06DA">
        <w:rPr>
          <w:sz w:val="24"/>
          <w:szCs w:val="24"/>
        </w:rPr>
        <w:t xml:space="preserve"> early childhood, and more studies are needed to estimate the frequency, severity, and predictive factors for these important outcomes in diverse cohorts of individuals with autism and other developmental conditions.</w:t>
      </w:r>
    </w:p>
    <w:p w14:paraId="3EEB860F" w14:textId="38ACD90C" w:rsidR="00DF657F" w:rsidRDefault="00F556CA" w:rsidP="00DF657F">
      <w:pPr>
        <w:pStyle w:val="ListBullet"/>
        <w:numPr>
          <w:ilvl w:val="0"/>
          <w:numId w:val="0"/>
        </w:numPr>
        <w:spacing w:line="480" w:lineRule="auto"/>
        <w:ind w:firstLine="720"/>
        <w:rPr>
          <w:sz w:val="24"/>
          <w:szCs w:val="24"/>
        </w:rPr>
      </w:pPr>
      <w:r w:rsidRPr="00C60BB2">
        <w:rPr>
          <w:sz w:val="24"/>
          <w:szCs w:val="24"/>
        </w:rPr>
        <w:t>The children</w:t>
      </w:r>
      <w:r w:rsidR="00265238">
        <w:rPr>
          <w:sz w:val="24"/>
          <w:szCs w:val="24"/>
        </w:rPr>
        <w:t xml:space="preserve"> and parents</w:t>
      </w:r>
      <w:r w:rsidR="00C60BB2">
        <w:rPr>
          <w:sz w:val="24"/>
          <w:szCs w:val="24"/>
        </w:rPr>
        <w:t xml:space="preserve"> previously </w:t>
      </w:r>
      <w:r w:rsidR="008B39BB" w:rsidRPr="00C60BB2">
        <w:rPr>
          <w:sz w:val="24"/>
          <w:szCs w:val="24"/>
        </w:rPr>
        <w:t xml:space="preserve">enrolled in </w:t>
      </w:r>
      <w:r w:rsidR="00CE3788">
        <w:rPr>
          <w:sz w:val="24"/>
          <w:szCs w:val="24"/>
        </w:rPr>
        <w:t xml:space="preserve">the </w:t>
      </w:r>
      <w:r w:rsidR="008B39BB" w:rsidRPr="00C60BB2">
        <w:rPr>
          <w:sz w:val="24"/>
          <w:szCs w:val="24"/>
        </w:rPr>
        <w:t xml:space="preserve">SEED </w:t>
      </w:r>
      <w:r w:rsidR="00CE3788">
        <w:rPr>
          <w:sz w:val="24"/>
          <w:szCs w:val="24"/>
        </w:rPr>
        <w:t xml:space="preserve">case-control study </w:t>
      </w:r>
      <w:r w:rsidR="008B39BB" w:rsidRPr="00C60BB2">
        <w:rPr>
          <w:sz w:val="24"/>
          <w:szCs w:val="24"/>
        </w:rPr>
        <w:t xml:space="preserve">represent a unique opportunity to better understand the trajectory of </w:t>
      </w:r>
      <w:r w:rsidR="00696B23">
        <w:rPr>
          <w:sz w:val="24"/>
          <w:szCs w:val="24"/>
        </w:rPr>
        <w:t xml:space="preserve">health outcomes </w:t>
      </w:r>
      <w:r w:rsidR="0077012B">
        <w:rPr>
          <w:sz w:val="24"/>
          <w:szCs w:val="24"/>
        </w:rPr>
        <w:t>i</w:t>
      </w:r>
      <w:r w:rsidR="00696B23">
        <w:rPr>
          <w:sz w:val="24"/>
          <w:szCs w:val="24"/>
        </w:rPr>
        <w:t xml:space="preserve">n </w:t>
      </w:r>
      <w:r w:rsidR="008B39BB" w:rsidRPr="00C60BB2">
        <w:rPr>
          <w:sz w:val="24"/>
          <w:szCs w:val="24"/>
        </w:rPr>
        <w:t>children identified as having ASD at early ages. SEED includes one of the largest cohorts of children assembled with ASD. In 2017, the oldest SEED children (</w:t>
      </w:r>
      <w:r w:rsidR="0047279A" w:rsidRPr="00C60BB2">
        <w:rPr>
          <w:sz w:val="24"/>
          <w:szCs w:val="24"/>
        </w:rPr>
        <w:t>participated in SEED 1</w:t>
      </w:r>
      <w:r w:rsidR="008B39BB" w:rsidRPr="00C60BB2">
        <w:rPr>
          <w:sz w:val="24"/>
          <w:szCs w:val="24"/>
        </w:rPr>
        <w:t>) will be adolescents – aged 10 to 14 years. By June, 2021, they will be 14 to 17 years of age. The teen years are an ideal time to begin a follow-up study as there are many gaps in the current scientific literature on the developmental trajectory and health consequences of ASD among adolescents. Moreover, given the wealth of health, developmental, and risk factor data collected on both the children and parents included in the core SEED case-control study, a follow-up study of the children presents unparalleled opportunities to better understand ASD etiologic subgroups, the health and functioning of children with ASD and other DDs</w:t>
      </w:r>
      <w:r w:rsidR="0077012B">
        <w:rPr>
          <w:sz w:val="24"/>
          <w:szCs w:val="24"/>
        </w:rPr>
        <w:t xml:space="preserve"> from early childhood to adolescence</w:t>
      </w:r>
      <w:r w:rsidR="008B39BB" w:rsidRPr="00C60BB2">
        <w:rPr>
          <w:sz w:val="24"/>
          <w:szCs w:val="24"/>
        </w:rPr>
        <w:t xml:space="preserve">, family impacts associated with ASD and other DDs, and service needs and use associated with ASD and other DDs.  </w:t>
      </w:r>
    </w:p>
    <w:p w14:paraId="6C82C08B" w14:textId="00A297D6" w:rsidR="00DF657F" w:rsidRDefault="008B39BB" w:rsidP="00DF657F">
      <w:pPr>
        <w:pStyle w:val="ListBullet"/>
        <w:numPr>
          <w:ilvl w:val="0"/>
          <w:numId w:val="0"/>
        </w:numPr>
        <w:spacing w:line="480" w:lineRule="auto"/>
        <w:ind w:firstLine="720"/>
        <w:rPr>
          <w:sz w:val="24"/>
          <w:szCs w:val="24"/>
        </w:rPr>
      </w:pPr>
      <w:r w:rsidRPr="00C60BB2">
        <w:rPr>
          <w:sz w:val="24"/>
          <w:szCs w:val="24"/>
        </w:rPr>
        <w:t>SEED Teen has several strengths that set it apart from most previous studies.  First, the original SEED protocol entails very thorough diagnostic protocols and detailed data collection, providing an extremely well-defined cohort for SEED Teen to follow. Second, many of the extant studies recruited participants as adolescents; SEED Teen will prospectively follow children from approximately age 4</w:t>
      </w:r>
      <w:r w:rsidR="00D0677D">
        <w:rPr>
          <w:sz w:val="24"/>
          <w:szCs w:val="24"/>
        </w:rPr>
        <w:t xml:space="preserve"> to adolescence</w:t>
      </w:r>
      <w:r w:rsidRPr="00C60BB2">
        <w:rPr>
          <w:sz w:val="24"/>
          <w:szCs w:val="24"/>
        </w:rPr>
        <w:t xml:space="preserve">.  Finally SEED includes children with developmental disabilities without autism, as well as children with ASD and typically developing children.  This will allow researchers to </w:t>
      </w:r>
      <w:r w:rsidR="006C341A">
        <w:rPr>
          <w:sz w:val="24"/>
          <w:szCs w:val="24"/>
        </w:rPr>
        <w:t>develop hypotheses about</w:t>
      </w:r>
      <w:r w:rsidR="006C341A" w:rsidRPr="00C60BB2">
        <w:rPr>
          <w:sz w:val="24"/>
          <w:szCs w:val="24"/>
        </w:rPr>
        <w:t xml:space="preserve"> </w:t>
      </w:r>
      <w:r w:rsidRPr="00C60BB2">
        <w:rPr>
          <w:sz w:val="24"/>
          <w:szCs w:val="24"/>
        </w:rPr>
        <w:t>whether certain outcomes are specific to autism, or whether they are shared by a broad range of developmental conditions.  Taken together, these characteristics will allow SEED to make unique contributions to our knowledge about the health and functioning of autism and developmental disabilities in adolescence.</w:t>
      </w:r>
    </w:p>
    <w:p w14:paraId="6F217F31" w14:textId="3D456F04" w:rsidR="00034D88" w:rsidRDefault="008B39BB" w:rsidP="00DF657F">
      <w:pPr>
        <w:pStyle w:val="ListBullet"/>
        <w:numPr>
          <w:ilvl w:val="0"/>
          <w:numId w:val="0"/>
        </w:numPr>
        <w:spacing w:line="480" w:lineRule="auto"/>
        <w:ind w:firstLine="720"/>
        <w:rPr>
          <w:sz w:val="24"/>
          <w:szCs w:val="24"/>
        </w:rPr>
      </w:pPr>
      <w:r w:rsidRPr="00AB0319">
        <w:rPr>
          <w:sz w:val="24"/>
          <w:szCs w:val="24"/>
        </w:rPr>
        <w:t xml:space="preserve">Additionally, a follow-up study of adolescent SEED participants gives investigators an opportunity to incorporate a protocol to remain in contact with the participants and their families into adulthood, and thus </w:t>
      </w:r>
      <w:r w:rsidR="0043195E">
        <w:rPr>
          <w:sz w:val="24"/>
          <w:szCs w:val="24"/>
        </w:rPr>
        <w:t xml:space="preserve">possibly </w:t>
      </w:r>
      <w:r w:rsidRPr="00AB0319">
        <w:rPr>
          <w:sz w:val="24"/>
          <w:szCs w:val="24"/>
        </w:rPr>
        <w:t>extend the current follow-up study into a longer term follow-up of persons with ASD.</w:t>
      </w:r>
      <w:r w:rsidR="0043195E">
        <w:rPr>
          <w:sz w:val="24"/>
          <w:szCs w:val="24"/>
        </w:rPr>
        <w:t xml:space="preserve"> (We would seek a new </w:t>
      </w:r>
      <w:r w:rsidR="0043195E">
        <w:rPr>
          <w:color w:val="0D0D0D"/>
          <w:sz w:val="24"/>
          <w:szCs w:val="24"/>
        </w:rPr>
        <w:t>OMB-PRA clearance for any such future studies.)</w:t>
      </w:r>
    </w:p>
    <w:p w14:paraId="73196DD0"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4" w:name="_Toc429667307"/>
      <w:r w:rsidRPr="00C60BB2">
        <w:rPr>
          <w:rFonts w:ascii="Times New Roman" w:eastAsiaTheme="majorEastAsia" w:hAnsi="Times New Roman"/>
          <w:i w:val="0"/>
          <w:sz w:val="24"/>
          <w:szCs w:val="24"/>
          <w:u w:val="single"/>
        </w:rPr>
        <w:t>Section A.2. Purpose and Use of Information</w:t>
      </w:r>
      <w:r w:rsidR="00C10E8C" w:rsidRPr="00C60BB2">
        <w:rPr>
          <w:rFonts w:ascii="Times New Roman" w:eastAsiaTheme="majorEastAsia" w:hAnsi="Times New Roman"/>
          <w:i w:val="0"/>
          <w:sz w:val="24"/>
          <w:szCs w:val="24"/>
          <w:u w:val="single"/>
        </w:rPr>
        <w:t xml:space="preserve"> Collection</w:t>
      </w:r>
      <w:bookmarkEnd w:id="4"/>
    </w:p>
    <w:p w14:paraId="3196BDDF" w14:textId="77777777" w:rsidR="00B125EB" w:rsidRPr="00DF30CD" w:rsidRDefault="00B125EB" w:rsidP="00D83040">
      <w:pPr>
        <w:pStyle w:val="ListParagraph"/>
        <w:numPr>
          <w:ilvl w:val="0"/>
          <w:numId w:val="4"/>
        </w:numPr>
        <w:spacing w:line="480" w:lineRule="auto"/>
        <w:rPr>
          <w:rFonts w:eastAsiaTheme="majorEastAsia"/>
          <w:b/>
          <w:sz w:val="24"/>
          <w:szCs w:val="24"/>
        </w:rPr>
      </w:pPr>
      <w:r w:rsidRPr="00DF30CD">
        <w:rPr>
          <w:rFonts w:eastAsiaTheme="majorEastAsia"/>
          <w:b/>
          <w:sz w:val="24"/>
          <w:szCs w:val="24"/>
        </w:rPr>
        <w:t>How this information will be used and for what purpose:</w:t>
      </w:r>
    </w:p>
    <w:p w14:paraId="7EFEF0D8" w14:textId="3A30F597" w:rsidR="00074F25" w:rsidRDefault="00034D88" w:rsidP="00074F25">
      <w:pPr>
        <w:spacing w:line="480" w:lineRule="auto"/>
        <w:ind w:firstLine="720"/>
      </w:pPr>
      <w:r w:rsidRPr="00C60BB2">
        <w:t>The information collected in SEED</w:t>
      </w:r>
      <w:r w:rsidR="00DF06E6" w:rsidRPr="00C60BB2">
        <w:t xml:space="preserve"> Teen</w:t>
      </w:r>
      <w:r w:rsidR="008B39BB" w:rsidRPr="00C60BB2">
        <w:t xml:space="preserve"> will be</w:t>
      </w:r>
      <w:r w:rsidRPr="00C60BB2">
        <w:t xml:space="preserve"> used to conduct epidemiologic analyses to </w:t>
      </w:r>
      <w:r w:rsidR="00DB6F88" w:rsidRPr="00C60BB2">
        <w:t xml:space="preserve">assess </w:t>
      </w:r>
      <w:r w:rsidRPr="00C60BB2">
        <w:t xml:space="preserve">1) </w:t>
      </w:r>
      <w:r w:rsidR="00F220CD" w:rsidRPr="00C60BB2">
        <w:t xml:space="preserve">the developmental trajectory of children identified at young ages of having ASD in comparison to children with other non-ASD developmental disabilities (DDs) and children in </w:t>
      </w:r>
      <w:r w:rsidR="00653049">
        <w:t xml:space="preserve">a </w:t>
      </w:r>
      <w:r w:rsidR="00F220CD" w:rsidRPr="00C60BB2">
        <w:t>general population</w:t>
      </w:r>
      <w:r w:rsidR="00653049">
        <w:t xml:space="preserve"> cohort</w:t>
      </w:r>
      <w:r w:rsidRPr="00C60BB2">
        <w:t xml:space="preserve">; 2) </w:t>
      </w:r>
      <w:r w:rsidR="00F220CD" w:rsidRPr="00C60BB2">
        <w:t xml:space="preserve">the </w:t>
      </w:r>
      <w:r w:rsidR="00F220CD" w:rsidRPr="00D0677D">
        <w:t>health</w:t>
      </w:r>
      <w:r w:rsidR="00F220CD" w:rsidRPr="00C60BB2">
        <w:t xml:space="preserve"> and functioning of adolescents with ASD and other DDs in comparison to adolescents in </w:t>
      </w:r>
      <w:r w:rsidR="00653049">
        <w:t xml:space="preserve">a </w:t>
      </w:r>
      <w:r w:rsidR="00F220CD" w:rsidRPr="00C60BB2">
        <w:t>general population</w:t>
      </w:r>
      <w:r w:rsidR="00653049">
        <w:t xml:space="preserve"> cohort</w:t>
      </w:r>
      <w:r w:rsidR="00F220CD" w:rsidRPr="00C60BB2">
        <w:t xml:space="preserve">; </w:t>
      </w:r>
      <w:r w:rsidRPr="00C60BB2">
        <w:t>3)</w:t>
      </w:r>
      <w:r w:rsidR="00F220CD" w:rsidRPr="00FE1DAD">
        <w:t xml:space="preserve"> </w:t>
      </w:r>
      <w:r w:rsidR="00F220CD" w:rsidRPr="00C60BB2">
        <w:t xml:space="preserve">the healthcare utilization and needs of adolescents with ASD and other DDs in comparison to adolescents in </w:t>
      </w:r>
      <w:r w:rsidR="00653049">
        <w:t>a</w:t>
      </w:r>
      <w:r w:rsidR="00F220CD" w:rsidRPr="00C60BB2">
        <w:t xml:space="preserve"> general population</w:t>
      </w:r>
      <w:r w:rsidR="00653049">
        <w:t xml:space="preserve"> cohort</w:t>
      </w:r>
      <w:r w:rsidR="00F220CD" w:rsidRPr="00C60BB2">
        <w:t>; 4) the education attainment and needs of adolescents with ASD and other DDs in comparison to adolescents in the general population; and 5) family impacts associated with having a child with ASD or other DD with the goal of identifying strategies to help meet the unique needs of these families.</w:t>
      </w:r>
    </w:p>
    <w:p w14:paraId="156A90B2" w14:textId="77777777" w:rsidR="00074F25" w:rsidRDefault="00F220CD" w:rsidP="00074F25">
      <w:pPr>
        <w:spacing w:line="480" w:lineRule="auto"/>
        <w:ind w:firstLine="720"/>
      </w:pPr>
      <w:r w:rsidRPr="00C60BB2">
        <w:t>In addition to these core objectives, SEED Teen is designed to address two ancillary objectives:</w:t>
      </w:r>
      <w:r w:rsidR="00DB6F88" w:rsidRPr="00C60BB2">
        <w:t xml:space="preserve"> 1) </w:t>
      </w:r>
      <w:r w:rsidR="006B7D90" w:rsidRPr="008C6A2E">
        <w:t>request parent/guardian consent and child assent to maintain contact with SEED Teen participants for possible future follow-up studies when they reach adulthood</w:t>
      </w:r>
      <w:r w:rsidR="00DB6F88" w:rsidRPr="00C60BB2">
        <w:t>; and 2)</w:t>
      </w:r>
      <w:r w:rsidR="00AB0319">
        <w:t xml:space="preserve"> </w:t>
      </w:r>
      <w:r w:rsidR="006B7D90" w:rsidRPr="008C6A2E">
        <w:t xml:space="preserve">request parent/guardian consent and child assent to </w:t>
      </w:r>
      <w:r w:rsidR="006B7D90" w:rsidRPr="00653049">
        <w:t xml:space="preserve">share genetic data obtained from biosamples collected in the core SEED 1 case-control protocol with </w:t>
      </w:r>
      <w:bookmarkStart w:id="5" w:name="OLE_LINK2"/>
      <w:r w:rsidR="006B7D90" w:rsidRPr="00653049">
        <w:t>two genetic research consortia established and maintained by the National Institutes of Health</w:t>
      </w:r>
      <w:bookmarkEnd w:id="5"/>
      <w:r w:rsidR="006B7D90" w:rsidRPr="00653049">
        <w:t>.</w:t>
      </w:r>
    </w:p>
    <w:p w14:paraId="343DCAD1" w14:textId="77777777" w:rsidR="00074F25" w:rsidRDefault="006B7D90" w:rsidP="00074F25">
      <w:pPr>
        <w:spacing w:line="480" w:lineRule="auto"/>
        <w:ind w:firstLine="720"/>
      </w:pPr>
      <w:r w:rsidRPr="00AB0319">
        <w:t xml:space="preserve">In the years subsequent to the launch of the first phase of the SEED case-control study (SEED 1), genetic research consortia have been established to allow genetic data from various studies of ASDs to be pooled. Because such consortia were not in existence when SEED 1 was planned and implemented, SEED participants were not appropriately consented to allow their genetic data (obtained from biosamples collected during SEED 1) to be shared in this manner. The CDC IRB recently reviewed the SEED 1 consent forms, the current NIH guidance on submitting genetic data into biorepositories, and recent advances in technology that allow for potential identification of individuals  based on their genetic data. They determined that the SEED 1 </w:t>
      </w:r>
      <w:r w:rsidR="0043195E">
        <w:t xml:space="preserve">case-control study </w:t>
      </w:r>
      <w:r w:rsidRPr="00AB0319">
        <w:t>consents d</w:t>
      </w:r>
      <w:r w:rsidR="0043195E">
        <w:t>id</w:t>
      </w:r>
      <w:r w:rsidRPr="00AB0319">
        <w:t xml:space="preserve"> not sufficiently address the issue of genetic data sharing. SEED Teen will provide an opportunity to obtain consents for genetic data sharing from SEED 1 participants, and thus maximize the use of the SEED biorepository data.</w:t>
      </w:r>
    </w:p>
    <w:p w14:paraId="419A78B6" w14:textId="734BD0A4" w:rsidR="00074F25" w:rsidRDefault="00DB6F88" w:rsidP="00074F25">
      <w:pPr>
        <w:spacing w:line="480" w:lineRule="auto"/>
        <w:ind w:firstLine="720"/>
      </w:pPr>
      <w:r w:rsidRPr="00C60BB2">
        <w:t>SEED Teen is a follow-up study of children who participated in the SEED 1 case-control study.  Th</w:t>
      </w:r>
      <w:r w:rsidR="006312B3">
        <w:t>e</w:t>
      </w:r>
      <w:r w:rsidRPr="00C60BB2">
        <w:t xml:space="preserve"> protocol</w:t>
      </w:r>
      <w:r w:rsidR="006312B3">
        <w:t xml:space="preserve"> for this OMB-PRA clearance request</w:t>
      </w:r>
      <w:r w:rsidRPr="00C60BB2">
        <w:t xml:space="preserve"> covers the first wave of SEED Teen which includes children from 4 SEED sites – GA, MD, NC, PA --who participated in the SEED 1 case-control study in 2007-2011 when they were 2 to 5 years of age.  The purpose of SEED Teen is to collect data on enrolled children’s health and development when they are teenagers. </w:t>
      </w:r>
      <w:r w:rsidR="00C5496E">
        <w:t xml:space="preserve"> </w:t>
      </w:r>
      <w:r w:rsidRPr="00C60BB2">
        <w:t xml:space="preserve">Data will be collected from all three groups </w:t>
      </w:r>
      <w:r w:rsidR="00560F35">
        <w:t xml:space="preserve">originally </w:t>
      </w:r>
      <w:r w:rsidRPr="00C60BB2">
        <w:t xml:space="preserve">enrolled in </w:t>
      </w:r>
      <w:r w:rsidR="00560F35">
        <w:t xml:space="preserve">the </w:t>
      </w:r>
      <w:r w:rsidRPr="00C60BB2">
        <w:t>SEED</w:t>
      </w:r>
      <w:r w:rsidR="00560F35">
        <w:t xml:space="preserve"> case-control study</w:t>
      </w:r>
      <w:r w:rsidRPr="00C60BB2">
        <w:t xml:space="preserve"> – ASD cases and DD and POP control groups.  Mothers or other primary caregivers of these children will be asked to complete two self-administered questionnaires </w:t>
      </w:r>
      <w:r w:rsidR="00194805">
        <w:t>(</w:t>
      </w:r>
      <w:r w:rsidR="00194805" w:rsidRPr="00653049">
        <w:rPr>
          <w:b/>
        </w:rPr>
        <w:t>Attachments 6</w:t>
      </w:r>
      <w:r w:rsidR="00653049" w:rsidRPr="00653049">
        <w:rPr>
          <w:b/>
        </w:rPr>
        <w:t>.</w:t>
      </w:r>
      <w:r w:rsidR="00194805" w:rsidRPr="00653049">
        <w:rPr>
          <w:b/>
        </w:rPr>
        <w:t>c</w:t>
      </w:r>
      <w:r w:rsidR="00740CC2" w:rsidRPr="00653049">
        <w:rPr>
          <w:b/>
        </w:rPr>
        <w:t xml:space="preserve"> SEED Teen Health and Development Survey</w:t>
      </w:r>
      <w:r w:rsidR="00194805" w:rsidRPr="00653049">
        <w:rPr>
          <w:b/>
        </w:rPr>
        <w:t xml:space="preserve"> and 6</w:t>
      </w:r>
      <w:r w:rsidR="00653049" w:rsidRPr="00653049">
        <w:rPr>
          <w:b/>
        </w:rPr>
        <w:t>.</w:t>
      </w:r>
      <w:r w:rsidR="00194805" w:rsidRPr="00653049">
        <w:rPr>
          <w:b/>
        </w:rPr>
        <w:t>d</w:t>
      </w:r>
      <w:r w:rsidR="00740CC2" w:rsidRPr="00653049">
        <w:rPr>
          <w:b/>
        </w:rPr>
        <w:t xml:space="preserve"> Social Responsiveness Scale</w:t>
      </w:r>
      <w:r w:rsidR="00194805">
        <w:t xml:space="preserve">) </w:t>
      </w:r>
      <w:r w:rsidRPr="00C60BB2">
        <w:t xml:space="preserve">about their children’s health, development, education, and current functioning.  One of the questionnaires also includes questions on the caregiver’s demographics, health, and relationship with the child. </w:t>
      </w:r>
    </w:p>
    <w:p w14:paraId="5E15AE37" w14:textId="2C7CF67E" w:rsidR="00074F25" w:rsidRDefault="00DB6F88" w:rsidP="00074F25">
      <w:pPr>
        <w:spacing w:line="480" w:lineRule="auto"/>
        <w:ind w:firstLine="720"/>
      </w:pPr>
      <w:r w:rsidRPr="00C60BB2">
        <w:t xml:space="preserve">The data collected in SEED Teen will be combined with data collected during the original SEED 1 case-control study in 2007-2011.  Thus, SEED Teen provides a unique and rich opportunity to examine the health and developmental trajectory </w:t>
      </w:r>
      <w:r w:rsidR="00DD1CFE">
        <w:t xml:space="preserve">from early childhood to adolescence </w:t>
      </w:r>
      <w:r w:rsidRPr="00C60BB2">
        <w:t>of children in each of the three study groups and how this trajectory might be related to various demographic, maternal pregnancy, and early childhood health and behavioral factors that were collected in the SEED case-control study, 7-13 years earlier.</w:t>
      </w:r>
    </w:p>
    <w:p w14:paraId="00C9547E" w14:textId="23DCEB51" w:rsidR="00197264" w:rsidRPr="00C60BB2" w:rsidRDefault="00034D88" w:rsidP="00074F25">
      <w:pPr>
        <w:spacing w:line="480" w:lineRule="auto"/>
        <w:ind w:firstLine="720"/>
      </w:pPr>
      <w:r w:rsidRPr="00C60BB2">
        <w:t xml:space="preserve">The findings from analyses of </w:t>
      </w:r>
      <w:r w:rsidR="00BD66D3" w:rsidRPr="00C60BB2">
        <w:t>SEED Teen</w:t>
      </w:r>
      <w:r w:rsidRPr="00C60BB2">
        <w:t xml:space="preserve"> data will be published in peer-reviewed journals and presented at national scientific and public health meetings and at local community meetings at each site. CDC will also prepare summaries of key findings from these studies written in plain language so as to be accessible to the general public and </w:t>
      </w:r>
      <w:r w:rsidR="00C5496E">
        <w:t>include them on</w:t>
      </w:r>
      <w:r w:rsidRPr="00C60BB2">
        <w:t xml:space="preserve"> </w:t>
      </w:r>
      <w:r w:rsidR="00C5496E">
        <w:t>the CDC</w:t>
      </w:r>
      <w:r w:rsidRPr="00C60BB2">
        <w:t xml:space="preserve"> website. </w:t>
      </w:r>
      <w:r w:rsidR="00C5496E">
        <w:t>W</w:t>
      </w:r>
      <w:r w:rsidRPr="00C60BB2">
        <w:t xml:space="preserve">ebinars and reports detailing SEED </w:t>
      </w:r>
      <w:r w:rsidR="002B1956">
        <w:t xml:space="preserve">Teen </w:t>
      </w:r>
      <w:r w:rsidRPr="00C60BB2">
        <w:t>findings</w:t>
      </w:r>
      <w:r w:rsidR="00C5496E">
        <w:t xml:space="preserve"> will also be prepared</w:t>
      </w:r>
      <w:r w:rsidRPr="00C60BB2">
        <w:t xml:space="preserve"> for partner organizations and stakeholders. </w:t>
      </w:r>
      <w:r w:rsidR="00C5496E">
        <w:t xml:space="preserve"> </w:t>
      </w:r>
      <w:r w:rsidRPr="00C60BB2">
        <w:t xml:space="preserve">The personally identifying information collected will </w:t>
      </w:r>
      <w:r w:rsidR="00653049">
        <w:t xml:space="preserve">only </w:t>
      </w:r>
      <w:r w:rsidRPr="00C60BB2">
        <w:t>be used to maintain contact with the participants throughout the course of the study and (if the participant consents), this information may be retained for future contact for a follow-up study.</w:t>
      </w:r>
    </w:p>
    <w:p w14:paraId="46BB1773" w14:textId="77777777" w:rsidR="00034D88" w:rsidRPr="00C60BB2" w:rsidRDefault="00034D88" w:rsidP="00074F25"/>
    <w:p w14:paraId="127F8108" w14:textId="77777777" w:rsidR="00197264" w:rsidRPr="00896F49" w:rsidRDefault="00197264" w:rsidP="00074F25">
      <w:pPr>
        <w:pStyle w:val="ListParagraph"/>
        <w:numPr>
          <w:ilvl w:val="0"/>
          <w:numId w:val="4"/>
        </w:numPr>
        <w:spacing w:line="240" w:lineRule="auto"/>
        <w:rPr>
          <w:b/>
          <w:sz w:val="24"/>
          <w:szCs w:val="24"/>
        </w:rPr>
      </w:pPr>
      <w:r w:rsidRPr="00896F49">
        <w:rPr>
          <w:b/>
          <w:sz w:val="24"/>
          <w:szCs w:val="24"/>
        </w:rPr>
        <w:t>Justification for data collection in terms of positive needs and the negative consequences of not having the information:</w:t>
      </w:r>
    </w:p>
    <w:p w14:paraId="4085BE36" w14:textId="048FBC2A" w:rsidR="00896F49" w:rsidRDefault="00E014E2" w:rsidP="00896F49">
      <w:pPr>
        <w:spacing w:line="480" w:lineRule="auto"/>
        <w:ind w:firstLine="720"/>
      </w:pPr>
      <w:r w:rsidRPr="00C60BB2">
        <w:t>With the information collected in this survey, the CDC, along with its partners, w</w:t>
      </w:r>
      <w:r w:rsidR="00E35D79" w:rsidRPr="00C60BB2">
        <w:t>ill</w:t>
      </w:r>
      <w:r w:rsidRPr="00C60BB2">
        <w:t xml:space="preserve"> have information </w:t>
      </w:r>
      <w:r w:rsidR="00E35D79" w:rsidRPr="00C60BB2">
        <w:t>on h</w:t>
      </w:r>
      <w:r w:rsidR="0047279A" w:rsidRPr="00C60BB2">
        <w:t xml:space="preserve">ealth and </w:t>
      </w:r>
      <w:r w:rsidR="00007CE8" w:rsidRPr="00C60BB2">
        <w:t>development</w:t>
      </w:r>
      <w:r w:rsidR="0047279A" w:rsidRPr="00C60BB2">
        <w:t xml:space="preserve"> </w:t>
      </w:r>
      <w:r w:rsidR="00E35D79" w:rsidRPr="00C60BB2">
        <w:t>among</w:t>
      </w:r>
      <w:r w:rsidRPr="00C60BB2">
        <w:t xml:space="preserve"> </w:t>
      </w:r>
      <w:r w:rsidR="00E35D79" w:rsidRPr="00C60BB2">
        <w:t xml:space="preserve">a </w:t>
      </w:r>
      <w:r w:rsidRPr="00C60BB2">
        <w:t xml:space="preserve">U.S. </w:t>
      </w:r>
      <w:r w:rsidR="00E35D79" w:rsidRPr="00C60BB2">
        <w:t>group of a</w:t>
      </w:r>
      <w:r w:rsidR="00DF06E6" w:rsidRPr="00C60BB2">
        <w:t xml:space="preserve">dolescents with </w:t>
      </w:r>
      <w:r w:rsidR="000C318F">
        <w:t xml:space="preserve">and without </w:t>
      </w:r>
      <w:r w:rsidR="00DF06E6" w:rsidRPr="00C60BB2">
        <w:t>ASD and other DDs</w:t>
      </w:r>
      <w:r w:rsidR="00653049">
        <w:t>, including adolescents from diverse population subgroups</w:t>
      </w:r>
      <w:r w:rsidR="00E35D79" w:rsidRPr="00C60BB2">
        <w:t xml:space="preserve">. This information </w:t>
      </w:r>
      <w:r w:rsidR="00696B23">
        <w:t>may help</w:t>
      </w:r>
      <w:r w:rsidR="00E35D79" w:rsidRPr="00C60BB2">
        <w:t xml:space="preserve"> inform local, state, and federal </w:t>
      </w:r>
      <w:r w:rsidRPr="00C60BB2">
        <w:t xml:space="preserve">resource allocation for services targeting U.S. </w:t>
      </w:r>
      <w:r w:rsidR="00007CE8" w:rsidRPr="00C60BB2">
        <w:t xml:space="preserve">adolescents and </w:t>
      </w:r>
      <w:r w:rsidRPr="00C60BB2">
        <w:t xml:space="preserve">adults with </w:t>
      </w:r>
      <w:r w:rsidR="00DF06E6" w:rsidRPr="00C60BB2">
        <w:t>ASD</w:t>
      </w:r>
      <w:r w:rsidR="00007CE8" w:rsidRPr="00C60BB2">
        <w:t>.</w:t>
      </w:r>
      <w:r w:rsidRPr="00C60BB2">
        <w:t xml:space="preserve"> </w:t>
      </w:r>
      <w:r w:rsidR="00C5496E">
        <w:t xml:space="preserve"> </w:t>
      </w:r>
      <w:r w:rsidR="00EC03CF" w:rsidRPr="00C60BB2">
        <w:t xml:space="preserve">Additionally, clinicians </w:t>
      </w:r>
      <w:r w:rsidR="00696B23">
        <w:t>may find the results useful</w:t>
      </w:r>
      <w:r w:rsidR="00A334F3">
        <w:t>.</w:t>
      </w:r>
      <w:r w:rsidR="00EC03CF" w:rsidRPr="00C60BB2">
        <w:t xml:space="preserve"> </w:t>
      </w:r>
      <w:r w:rsidR="00C5496E">
        <w:t xml:space="preserve"> </w:t>
      </w:r>
      <w:r w:rsidRPr="00C60BB2">
        <w:t>Without the infor</w:t>
      </w:r>
      <w:r w:rsidR="00E35D79" w:rsidRPr="00C60BB2">
        <w:t xml:space="preserve">mation, </w:t>
      </w:r>
      <w:r w:rsidR="00007CE8" w:rsidRPr="00C60BB2">
        <w:t xml:space="preserve">SEED will not be able to </w:t>
      </w:r>
      <w:r w:rsidR="00696B23">
        <w:t xml:space="preserve">fulfill </w:t>
      </w:r>
      <w:r w:rsidR="00007CE8" w:rsidRPr="00C60BB2">
        <w:t>the</w:t>
      </w:r>
      <w:r w:rsidR="00696B23">
        <w:t xml:space="preserve"> originally envisioned</w:t>
      </w:r>
      <w:r w:rsidR="00007CE8" w:rsidRPr="00C60BB2">
        <w:t xml:space="preserve"> purpose for this study</w:t>
      </w:r>
      <w:r w:rsidR="007D0397">
        <w:t>, which are part of the larger governmental response to ASD</w:t>
      </w:r>
      <w:r w:rsidR="00B7136B">
        <w:t>.</w:t>
      </w:r>
    </w:p>
    <w:p w14:paraId="65DF0132" w14:textId="5902F4E5" w:rsidR="007D0397" w:rsidRPr="00EE123E" w:rsidRDefault="007D0397" w:rsidP="00896F49">
      <w:pPr>
        <w:spacing w:line="480" w:lineRule="auto"/>
        <w:ind w:firstLine="720"/>
        <w:rPr>
          <w:lang w:val="en"/>
        </w:rPr>
      </w:pPr>
      <w:r w:rsidRPr="00EE123E">
        <w:rPr>
          <w:lang w:val="en"/>
        </w:rPr>
        <w:t>CDC’s work on population-based ASD studies</w:t>
      </w:r>
      <w:r>
        <w:rPr>
          <w:lang w:val="en"/>
        </w:rPr>
        <w:t xml:space="preserve"> including SEED Teen</w:t>
      </w:r>
      <w:r w:rsidRPr="00EE123E">
        <w:rPr>
          <w:lang w:val="en"/>
        </w:rPr>
        <w:t xml:space="preserve"> contribute key data to inform the Departmental priorities for ASD research, surveillance and services through the</w:t>
      </w:r>
      <w:r w:rsidRPr="00910801">
        <w:rPr>
          <w:lang w:val="en"/>
        </w:rPr>
        <w:t xml:space="preserve"> Interagency Autism Coordinating Committee (IACC)</w:t>
      </w:r>
      <w:r w:rsidRPr="00EE123E">
        <w:rPr>
          <w:lang w:val="en"/>
        </w:rPr>
        <w:t>.  IACC</w:t>
      </w:r>
      <w:r w:rsidRPr="00910801">
        <w:rPr>
          <w:lang w:val="en"/>
        </w:rPr>
        <w:t xml:space="preserve"> is a Federal advisory committee that coordinates all efforts within the Department of Health and Human Services (HHS) concerning ASD. </w:t>
      </w:r>
      <w:r w:rsidRPr="00EE123E">
        <w:rPr>
          <w:lang w:val="en"/>
        </w:rPr>
        <w:t xml:space="preserve">One responsibility of the IACC is the development of a strategic plan for ASD research. The </w:t>
      </w:r>
      <w:r w:rsidRPr="00EE123E">
        <w:rPr>
          <w:i/>
          <w:iCs/>
          <w:lang w:val="en"/>
        </w:rPr>
        <w:t>IACC Strategic Plan</w:t>
      </w:r>
      <w:r w:rsidRPr="00EE123E">
        <w:rPr>
          <w:lang w:val="en"/>
        </w:rPr>
        <w:t xml:space="preserve">, first issued in </w:t>
      </w:r>
      <w:hyperlink r:id="rId10" w:history="1">
        <w:r w:rsidRPr="00EE123E">
          <w:rPr>
            <w:lang w:val="en"/>
          </w:rPr>
          <w:t>2009</w:t>
        </w:r>
      </w:hyperlink>
      <w:r w:rsidRPr="00EE123E">
        <w:rPr>
          <w:lang w:val="en"/>
        </w:rPr>
        <w:t xml:space="preserve">, is periodically updated through work groups, composed of federal officials and public stakeholders, with extensive input from researchers, adults on the autism spectrum, parents, advocates, and the general public. The </w:t>
      </w:r>
      <w:r w:rsidRPr="00EE123E">
        <w:rPr>
          <w:i/>
          <w:iCs/>
          <w:lang w:val="en"/>
        </w:rPr>
        <w:t xml:space="preserve">IACC Strategic Plan </w:t>
      </w:r>
      <w:r w:rsidRPr="00EE123E">
        <w:rPr>
          <w:lang w:val="en"/>
        </w:rPr>
        <w:t xml:space="preserve">is organized around seven general topic areas.  The data obtained from SEED Teen will </w:t>
      </w:r>
      <w:r w:rsidR="00696B23">
        <w:rPr>
          <w:lang w:val="en"/>
        </w:rPr>
        <w:t>help</w:t>
      </w:r>
      <w:r w:rsidRPr="00EE123E">
        <w:rPr>
          <w:lang w:val="en"/>
        </w:rPr>
        <w:t xml:space="preserve"> inform four of the seven topic areas:</w:t>
      </w:r>
    </w:p>
    <w:p w14:paraId="373DC45D" w14:textId="77777777" w:rsidR="007D0397" w:rsidRDefault="007D0397" w:rsidP="00D83040">
      <w:pPr>
        <w:pStyle w:val="ListParagraph"/>
        <w:numPr>
          <w:ilvl w:val="0"/>
          <w:numId w:val="7"/>
        </w:numPr>
        <w:spacing w:after="0" w:line="240" w:lineRule="auto"/>
        <w:rPr>
          <w:b/>
          <w:bCs/>
          <w:i/>
          <w:sz w:val="24"/>
          <w:szCs w:val="24"/>
        </w:rPr>
      </w:pPr>
      <w:r w:rsidRPr="006312B3">
        <w:rPr>
          <w:b/>
          <w:bCs/>
          <w:i/>
          <w:sz w:val="24"/>
          <w:szCs w:val="24"/>
        </w:rPr>
        <w:t>What causes ASD, and can disabling aspects of ASD be prevented or preempted?</w:t>
      </w:r>
    </w:p>
    <w:p w14:paraId="57A2FE86" w14:textId="77777777" w:rsidR="006312B3" w:rsidRPr="006312B3" w:rsidRDefault="006312B3" w:rsidP="006312B3">
      <w:pPr>
        <w:pStyle w:val="ListParagraph"/>
        <w:spacing w:after="0" w:line="240" w:lineRule="auto"/>
        <w:rPr>
          <w:b/>
          <w:bCs/>
          <w:i/>
          <w:sz w:val="24"/>
          <w:szCs w:val="24"/>
        </w:rPr>
      </w:pPr>
    </w:p>
    <w:p w14:paraId="230B333F" w14:textId="77777777" w:rsidR="007D0397" w:rsidRDefault="007D0397" w:rsidP="00D83040">
      <w:pPr>
        <w:pStyle w:val="ListParagraph"/>
        <w:numPr>
          <w:ilvl w:val="0"/>
          <w:numId w:val="7"/>
        </w:numPr>
        <w:autoSpaceDE w:val="0"/>
        <w:autoSpaceDN w:val="0"/>
        <w:adjustRightInd w:val="0"/>
        <w:spacing w:after="0" w:line="240" w:lineRule="auto"/>
        <w:rPr>
          <w:b/>
          <w:bCs/>
          <w:i/>
          <w:sz w:val="24"/>
          <w:szCs w:val="24"/>
        </w:rPr>
      </w:pPr>
      <w:r w:rsidRPr="006312B3">
        <w:rPr>
          <w:b/>
          <w:bCs/>
          <w:i/>
          <w:sz w:val="24"/>
          <w:szCs w:val="24"/>
        </w:rPr>
        <w:t>What kinds of services and supports are needed to maximize quality of life for people on the autism spectrum?</w:t>
      </w:r>
    </w:p>
    <w:p w14:paraId="7FB9C62F" w14:textId="77777777" w:rsidR="006312B3" w:rsidRPr="006312B3" w:rsidRDefault="006312B3" w:rsidP="006312B3">
      <w:pPr>
        <w:autoSpaceDE w:val="0"/>
        <w:autoSpaceDN w:val="0"/>
        <w:adjustRightInd w:val="0"/>
        <w:rPr>
          <w:b/>
          <w:bCs/>
          <w:i/>
        </w:rPr>
      </w:pPr>
    </w:p>
    <w:p w14:paraId="14F4F229" w14:textId="77777777" w:rsidR="007D0397" w:rsidRDefault="007D0397" w:rsidP="00D83040">
      <w:pPr>
        <w:pStyle w:val="ListParagraph"/>
        <w:numPr>
          <w:ilvl w:val="0"/>
          <w:numId w:val="7"/>
        </w:numPr>
        <w:autoSpaceDE w:val="0"/>
        <w:autoSpaceDN w:val="0"/>
        <w:adjustRightInd w:val="0"/>
        <w:spacing w:after="0" w:line="240" w:lineRule="auto"/>
        <w:rPr>
          <w:b/>
          <w:bCs/>
          <w:i/>
          <w:sz w:val="24"/>
          <w:szCs w:val="24"/>
        </w:rPr>
      </w:pPr>
      <w:r w:rsidRPr="006312B3">
        <w:rPr>
          <w:b/>
          <w:bCs/>
          <w:i/>
          <w:sz w:val="24"/>
          <w:szCs w:val="24"/>
        </w:rPr>
        <w:t>How can we meet the needs of people with ASD as they progress into and through adulthood (or across the lifespan)?</w:t>
      </w:r>
    </w:p>
    <w:p w14:paraId="13FAD6C1" w14:textId="77777777" w:rsidR="006312B3" w:rsidRPr="006312B3" w:rsidRDefault="006312B3" w:rsidP="006312B3">
      <w:pPr>
        <w:autoSpaceDE w:val="0"/>
        <w:autoSpaceDN w:val="0"/>
        <w:adjustRightInd w:val="0"/>
        <w:rPr>
          <w:b/>
          <w:bCs/>
          <w:i/>
        </w:rPr>
      </w:pPr>
    </w:p>
    <w:p w14:paraId="190D6502" w14:textId="77777777" w:rsidR="007D0397" w:rsidRPr="006312B3" w:rsidRDefault="007D0397" w:rsidP="00D83040">
      <w:pPr>
        <w:pStyle w:val="ListParagraph"/>
        <w:numPr>
          <w:ilvl w:val="0"/>
          <w:numId w:val="7"/>
        </w:numPr>
        <w:autoSpaceDE w:val="0"/>
        <w:autoSpaceDN w:val="0"/>
        <w:adjustRightInd w:val="0"/>
        <w:spacing w:after="0" w:line="240" w:lineRule="auto"/>
        <w:rPr>
          <w:b/>
          <w:bCs/>
          <w:i/>
          <w:sz w:val="24"/>
          <w:szCs w:val="24"/>
        </w:rPr>
      </w:pPr>
      <w:r w:rsidRPr="006312B3">
        <w:rPr>
          <w:b/>
          <w:bCs/>
          <w:i/>
          <w:sz w:val="24"/>
          <w:szCs w:val="24"/>
        </w:rPr>
        <w:t>How do we continue to build, expand, and enhance the infrastructure system to meet the needs of the ASD community?</w:t>
      </w:r>
    </w:p>
    <w:p w14:paraId="31E8CEBA" w14:textId="77777777" w:rsidR="00DF06E6" w:rsidRDefault="00DF06E6" w:rsidP="00007CE8">
      <w:pPr>
        <w:spacing w:line="480" w:lineRule="auto"/>
      </w:pPr>
    </w:p>
    <w:p w14:paraId="4B4F769C" w14:textId="71B6866D" w:rsidR="00E40AB1" w:rsidRPr="00C60BB2" w:rsidRDefault="00F352A1" w:rsidP="00007CE8">
      <w:pPr>
        <w:spacing w:line="480" w:lineRule="auto"/>
      </w:pPr>
      <w:r w:rsidRPr="00F352A1">
        <w:t xml:space="preserve">SEED Teen is especially unique in comparison to other ASD studies in that the information collected in the original case-control study when children were 3-5 years of age will be able to be linked with the data collected in SEED Teen.  Thus, SEED Teen will allow for assessments of how early maternal and child risk factors and child health outcomes </w:t>
      </w:r>
      <w:r w:rsidR="00696B23">
        <w:t xml:space="preserve">potentially </w:t>
      </w:r>
      <w:r w:rsidRPr="00F352A1">
        <w:t xml:space="preserve">influence the trajectory of ASD symptomatology, health outcomes, healthcare needs, and access to healthcare and education services.  </w:t>
      </w:r>
    </w:p>
    <w:p w14:paraId="42860BA0" w14:textId="1A00806B" w:rsidR="0009731F" w:rsidRPr="00C60BB2" w:rsidRDefault="00DF06E6" w:rsidP="00DF06E6">
      <w:pPr>
        <w:pStyle w:val="ListBullet"/>
        <w:numPr>
          <w:ilvl w:val="0"/>
          <w:numId w:val="0"/>
        </w:numPr>
        <w:spacing w:line="480" w:lineRule="auto"/>
        <w:rPr>
          <w:b/>
          <w:bCs/>
          <w:sz w:val="24"/>
          <w:szCs w:val="24"/>
          <w:u w:val="single"/>
        </w:rPr>
      </w:pPr>
      <w:r w:rsidRPr="00C60BB2">
        <w:rPr>
          <w:b/>
          <w:bCs/>
          <w:sz w:val="24"/>
          <w:szCs w:val="24"/>
          <w:u w:val="single"/>
        </w:rPr>
        <w:t>Section A.3. Use of Improved Information Technology and Burden Reduction</w:t>
      </w:r>
    </w:p>
    <w:p w14:paraId="2A5593C9" w14:textId="4D9BC9F6" w:rsidR="00A0411C" w:rsidRPr="00002653" w:rsidRDefault="00A0411C" w:rsidP="00896F49">
      <w:pPr>
        <w:pStyle w:val="ListBullet"/>
        <w:numPr>
          <w:ilvl w:val="0"/>
          <w:numId w:val="0"/>
        </w:numPr>
        <w:spacing w:line="480" w:lineRule="auto"/>
        <w:ind w:firstLine="720"/>
        <w:rPr>
          <w:bCs/>
          <w:sz w:val="24"/>
          <w:szCs w:val="24"/>
        </w:rPr>
      </w:pPr>
      <w:r w:rsidRPr="00002653">
        <w:rPr>
          <w:iCs/>
          <w:sz w:val="24"/>
          <w:szCs w:val="24"/>
        </w:rPr>
        <w:t xml:space="preserve">In order to comply with all legal requirements for privacy of data and consent to participation, all SEED families </w:t>
      </w:r>
      <w:r w:rsidR="00002653">
        <w:rPr>
          <w:iCs/>
          <w:sz w:val="24"/>
          <w:szCs w:val="24"/>
        </w:rPr>
        <w:t xml:space="preserve">eligible for participation in SEED Teen </w:t>
      </w:r>
      <w:r w:rsidRPr="00002653">
        <w:rPr>
          <w:iCs/>
          <w:sz w:val="24"/>
          <w:szCs w:val="24"/>
        </w:rPr>
        <w:t xml:space="preserve">will be invited to participate and consent to study participation in a manner that respects the terms and conditions of </w:t>
      </w:r>
      <w:r w:rsidR="00002653">
        <w:rPr>
          <w:iCs/>
          <w:sz w:val="24"/>
          <w:szCs w:val="24"/>
        </w:rPr>
        <w:t xml:space="preserve">SORN </w:t>
      </w:r>
      <w:r w:rsidR="00002653" w:rsidRPr="00002653">
        <w:rPr>
          <w:sz w:val="24"/>
          <w:szCs w:val="24"/>
        </w:rPr>
        <w:t xml:space="preserve">09-20-0136, Epidemiologic Studies and Surveillance of Disease Problems, HHS/CCC/NCID </w:t>
      </w:r>
      <w:r w:rsidRPr="00002653">
        <w:rPr>
          <w:iCs/>
          <w:sz w:val="24"/>
          <w:szCs w:val="24"/>
        </w:rPr>
        <w:t>and the Data Privacy Act of 1974.</w:t>
      </w:r>
    </w:p>
    <w:p w14:paraId="2B78C182" w14:textId="22E0EFA0" w:rsidR="00896F49" w:rsidRPr="00896F49" w:rsidRDefault="00090AE1" w:rsidP="00896F49">
      <w:pPr>
        <w:pStyle w:val="ListBullet"/>
        <w:numPr>
          <w:ilvl w:val="0"/>
          <w:numId w:val="0"/>
        </w:numPr>
        <w:spacing w:line="480" w:lineRule="auto"/>
        <w:ind w:firstLine="720"/>
        <w:rPr>
          <w:bCs/>
          <w:sz w:val="24"/>
          <w:szCs w:val="24"/>
        </w:rPr>
      </w:pPr>
      <w:r w:rsidRPr="00896F49">
        <w:rPr>
          <w:bCs/>
          <w:sz w:val="24"/>
          <w:szCs w:val="24"/>
        </w:rPr>
        <w:t>SEED Teen will apply information technology to assure both the quality of the collected data and the privacy and security of the collected data</w:t>
      </w:r>
      <w:r w:rsidR="00E31298" w:rsidRPr="00896F49">
        <w:rPr>
          <w:bCs/>
          <w:sz w:val="24"/>
          <w:szCs w:val="24"/>
        </w:rPr>
        <w:t>.</w:t>
      </w:r>
      <w:r w:rsidRPr="00896F49">
        <w:rPr>
          <w:bCs/>
          <w:sz w:val="24"/>
          <w:szCs w:val="24"/>
        </w:rPr>
        <w:t xml:space="preserve">  </w:t>
      </w:r>
    </w:p>
    <w:p w14:paraId="52A45D89" w14:textId="77777777" w:rsidR="00896F49" w:rsidRDefault="008D6CF8" w:rsidP="00896F49">
      <w:pPr>
        <w:pStyle w:val="ListBullet"/>
        <w:numPr>
          <w:ilvl w:val="0"/>
          <w:numId w:val="0"/>
        </w:numPr>
        <w:spacing w:line="480" w:lineRule="auto"/>
        <w:ind w:firstLine="720"/>
        <w:rPr>
          <w:sz w:val="24"/>
          <w:szCs w:val="24"/>
        </w:rPr>
      </w:pPr>
      <w:r w:rsidRPr="00896F49">
        <w:rPr>
          <w:sz w:val="24"/>
          <w:szCs w:val="24"/>
        </w:rPr>
        <w:t xml:space="preserve">All SEED </w:t>
      </w:r>
      <w:r w:rsidR="00DF44FC" w:rsidRPr="00896F49">
        <w:rPr>
          <w:sz w:val="24"/>
          <w:szCs w:val="24"/>
        </w:rPr>
        <w:t xml:space="preserve">families eligible for </w:t>
      </w:r>
      <w:r w:rsidR="00007CE8" w:rsidRPr="00896F49">
        <w:rPr>
          <w:sz w:val="24"/>
          <w:szCs w:val="24"/>
        </w:rPr>
        <w:t>participa</w:t>
      </w:r>
      <w:r w:rsidR="00DF44FC" w:rsidRPr="00896F49">
        <w:rPr>
          <w:sz w:val="24"/>
          <w:szCs w:val="24"/>
        </w:rPr>
        <w:t>tion</w:t>
      </w:r>
      <w:r w:rsidR="00007CE8" w:rsidRPr="00896F49">
        <w:rPr>
          <w:sz w:val="24"/>
          <w:szCs w:val="24"/>
        </w:rPr>
        <w:t xml:space="preserve"> </w:t>
      </w:r>
      <w:r w:rsidR="000675F5" w:rsidRPr="00896F49">
        <w:rPr>
          <w:sz w:val="24"/>
          <w:szCs w:val="24"/>
        </w:rPr>
        <w:t xml:space="preserve">in SEED Teen </w:t>
      </w:r>
      <w:r w:rsidR="00007CE8" w:rsidRPr="00896F49">
        <w:rPr>
          <w:sz w:val="24"/>
          <w:szCs w:val="24"/>
        </w:rPr>
        <w:t xml:space="preserve">will receive an </w:t>
      </w:r>
      <w:r w:rsidR="006312B3" w:rsidRPr="00896F49">
        <w:rPr>
          <w:sz w:val="24"/>
          <w:szCs w:val="24"/>
        </w:rPr>
        <w:t>invitation letter</w:t>
      </w:r>
      <w:r w:rsidR="00CB1842">
        <w:rPr>
          <w:sz w:val="24"/>
          <w:szCs w:val="24"/>
        </w:rPr>
        <w:t xml:space="preserve"> </w:t>
      </w:r>
      <w:r w:rsidR="004B1167" w:rsidRPr="00B87E27">
        <w:rPr>
          <w:sz w:val="24"/>
          <w:szCs w:val="24"/>
        </w:rPr>
        <w:t>(</w:t>
      </w:r>
      <w:r w:rsidR="004B1167">
        <w:rPr>
          <w:b/>
          <w:sz w:val="24"/>
          <w:szCs w:val="24"/>
        </w:rPr>
        <w:t>Attachment 3.a</w:t>
      </w:r>
      <w:r w:rsidR="00CB1842" w:rsidRPr="00B87E27">
        <w:rPr>
          <w:sz w:val="24"/>
          <w:szCs w:val="24"/>
        </w:rPr>
        <w:t>)</w:t>
      </w:r>
      <w:r w:rsidR="006312B3" w:rsidRPr="00896F49">
        <w:rPr>
          <w:sz w:val="24"/>
          <w:szCs w:val="24"/>
        </w:rPr>
        <w:t xml:space="preserve"> briefly describing the study, followed by an </w:t>
      </w:r>
      <w:r w:rsidR="00007CE8" w:rsidRPr="00896F49">
        <w:rPr>
          <w:sz w:val="24"/>
          <w:szCs w:val="24"/>
        </w:rPr>
        <w:t>introductory phone call</w:t>
      </w:r>
      <w:r w:rsidR="006312B3" w:rsidRPr="00896F49">
        <w:rPr>
          <w:sz w:val="24"/>
          <w:szCs w:val="24"/>
        </w:rPr>
        <w:t xml:space="preserve">. These letters and phone calls will be addressed to the parent or other primary caregiver who completed data collection activities for the SEED case-control study.  </w:t>
      </w:r>
      <w:r w:rsidR="000675F5" w:rsidRPr="00896F49">
        <w:rPr>
          <w:sz w:val="24"/>
          <w:szCs w:val="24"/>
        </w:rPr>
        <w:t>An electronic, centralized</w:t>
      </w:r>
      <w:r w:rsidR="00E31298" w:rsidRPr="00896F49">
        <w:rPr>
          <w:sz w:val="24"/>
          <w:szCs w:val="24"/>
        </w:rPr>
        <w:t xml:space="preserve"> secure</w:t>
      </w:r>
      <w:r w:rsidR="000675F5" w:rsidRPr="00896F49">
        <w:rPr>
          <w:sz w:val="24"/>
          <w:szCs w:val="24"/>
        </w:rPr>
        <w:t xml:space="preserve"> SEED tracking system which was established for the case-control study will allow study staff to efficiently locate the correct person and update contact information as needed. </w:t>
      </w:r>
      <w:r w:rsidR="00E31298" w:rsidRPr="00896F49">
        <w:rPr>
          <w:sz w:val="24"/>
          <w:szCs w:val="24"/>
        </w:rPr>
        <w:t xml:space="preserve"> This system will also allow SEED staff to personalize the SEED Teen invitation letters. </w:t>
      </w:r>
      <w:r w:rsidR="000675F5" w:rsidRPr="00896F49">
        <w:rPr>
          <w:sz w:val="24"/>
          <w:szCs w:val="24"/>
        </w:rPr>
        <w:t xml:space="preserve"> </w:t>
      </w:r>
      <w:r w:rsidR="006312B3" w:rsidRPr="00896F49">
        <w:rPr>
          <w:sz w:val="24"/>
          <w:szCs w:val="24"/>
        </w:rPr>
        <w:t>Parents/caregivers</w:t>
      </w:r>
      <w:r w:rsidR="00007CE8" w:rsidRPr="00896F49">
        <w:rPr>
          <w:sz w:val="24"/>
          <w:szCs w:val="24"/>
        </w:rPr>
        <w:t xml:space="preserve"> </w:t>
      </w:r>
      <w:r w:rsidR="006312B3" w:rsidRPr="00896F49">
        <w:rPr>
          <w:sz w:val="24"/>
          <w:szCs w:val="24"/>
        </w:rPr>
        <w:t xml:space="preserve">who provide verbal consent to enroll in SEED Teen will </w:t>
      </w:r>
      <w:r w:rsidR="00220EFE" w:rsidRPr="00896F49">
        <w:rPr>
          <w:sz w:val="24"/>
          <w:szCs w:val="24"/>
        </w:rPr>
        <w:t>receive a</w:t>
      </w:r>
      <w:r w:rsidR="00007CE8" w:rsidRPr="00896F49">
        <w:rPr>
          <w:sz w:val="24"/>
          <w:szCs w:val="24"/>
        </w:rPr>
        <w:t xml:space="preserve"> data collection packet</w:t>
      </w:r>
      <w:r w:rsidR="00220EFE" w:rsidRPr="00896F49">
        <w:rPr>
          <w:sz w:val="24"/>
          <w:szCs w:val="24"/>
        </w:rPr>
        <w:t xml:space="preserve"> mailing</w:t>
      </w:r>
      <w:r w:rsidR="00007CE8" w:rsidRPr="00896F49">
        <w:rPr>
          <w:sz w:val="24"/>
          <w:szCs w:val="24"/>
        </w:rPr>
        <w:t xml:space="preserve"> that includes two questionnaires (</w:t>
      </w:r>
      <w:r w:rsidR="00007CE8" w:rsidRPr="008C2E8E">
        <w:rPr>
          <w:sz w:val="24"/>
          <w:szCs w:val="24"/>
        </w:rPr>
        <w:t xml:space="preserve">SEED Teen Health and Development Survey </w:t>
      </w:r>
      <w:r w:rsidR="008C2E8E" w:rsidRPr="008C2E8E">
        <w:rPr>
          <w:sz w:val="24"/>
          <w:szCs w:val="24"/>
        </w:rPr>
        <w:t>[</w:t>
      </w:r>
      <w:r w:rsidR="00DC563E">
        <w:rPr>
          <w:b/>
          <w:sz w:val="24"/>
          <w:szCs w:val="24"/>
        </w:rPr>
        <w:t>Attachment</w:t>
      </w:r>
      <w:r w:rsidR="00FE7A1D">
        <w:rPr>
          <w:b/>
          <w:sz w:val="24"/>
          <w:szCs w:val="24"/>
        </w:rPr>
        <w:t xml:space="preserve"> 6</w:t>
      </w:r>
      <w:r w:rsidR="008C2E8E">
        <w:rPr>
          <w:b/>
          <w:sz w:val="24"/>
          <w:szCs w:val="24"/>
        </w:rPr>
        <w:t>.c</w:t>
      </w:r>
      <w:r w:rsidR="008C2E8E" w:rsidRPr="008C2E8E">
        <w:rPr>
          <w:sz w:val="24"/>
          <w:szCs w:val="24"/>
        </w:rPr>
        <w:t xml:space="preserve">] </w:t>
      </w:r>
      <w:r w:rsidR="00007CE8" w:rsidRPr="008C2E8E">
        <w:rPr>
          <w:sz w:val="24"/>
          <w:szCs w:val="24"/>
        </w:rPr>
        <w:t>and the Social Responsiveness Scale</w:t>
      </w:r>
      <w:r w:rsidR="008C2E8E" w:rsidRPr="008C2E8E">
        <w:rPr>
          <w:sz w:val="24"/>
          <w:szCs w:val="24"/>
        </w:rPr>
        <w:t xml:space="preserve"> [</w:t>
      </w:r>
      <w:r w:rsidR="00DC563E">
        <w:rPr>
          <w:b/>
          <w:sz w:val="24"/>
          <w:szCs w:val="24"/>
        </w:rPr>
        <w:t>Attachment</w:t>
      </w:r>
      <w:r w:rsidR="00FE7A1D">
        <w:rPr>
          <w:b/>
          <w:sz w:val="24"/>
          <w:szCs w:val="24"/>
        </w:rPr>
        <w:t xml:space="preserve"> 6</w:t>
      </w:r>
      <w:r w:rsidR="008C2E8E">
        <w:rPr>
          <w:b/>
          <w:sz w:val="24"/>
          <w:szCs w:val="24"/>
        </w:rPr>
        <w:t>.d</w:t>
      </w:r>
      <w:r w:rsidR="008C2E8E" w:rsidRPr="00B87E27">
        <w:rPr>
          <w:sz w:val="24"/>
          <w:szCs w:val="24"/>
        </w:rPr>
        <w:t>]</w:t>
      </w:r>
      <w:r w:rsidR="00007CE8" w:rsidRPr="008C2E8E">
        <w:rPr>
          <w:sz w:val="24"/>
          <w:szCs w:val="24"/>
        </w:rPr>
        <w:t>),</w:t>
      </w:r>
      <w:r w:rsidR="008C2E8E">
        <w:rPr>
          <w:sz w:val="24"/>
          <w:szCs w:val="24"/>
        </w:rPr>
        <w:t xml:space="preserve"> and two consent forms (Consent Form for Future C</w:t>
      </w:r>
      <w:r w:rsidR="00007CE8" w:rsidRPr="00896F49">
        <w:rPr>
          <w:sz w:val="24"/>
          <w:szCs w:val="24"/>
        </w:rPr>
        <w:t>ontact</w:t>
      </w:r>
      <w:r w:rsidR="008C2E8E">
        <w:rPr>
          <w:sz w:val="24"/>
          <w:szCs w:val="24"/>
        </w:rPr>
        <w:t xml:space="preserve"> [</w:t>
      </w:r>
      <w:r w:rsidR="00DC563E">
        <w:rPr>
          <w:b/>
          <w:sz w:val="24"/>
          <w:szCs w:val="24"/>
        </w:rPr>
        <w:t>Attachment</w:t>
      </w:r>
      <w:r w:rsidR="00FE7A1D">
        <w:rPr>
          <w:b/>
          <w:sz w:val="24"/>
          <w:szCs w:val="24"/>
        </w:rPr>
        <w:t xml:space="preserve"> 7</w:t>
      </w:r>
      <w:r w:rsidR="008C2E8E">
        <w:rPr>
          <w:b/>
          <w:sz w:val="24"/>
          <w:szCs w:val="24"/>
        </w:rPr>
        <w:t>.a</w:t>
      </w:r>
      <w:r w:rsidR="008C2E8E">
        <w:rPr>
          <w:sz w:val="24"/>
          <w:szCs w:val="24"/>
        </w:rPr>
        <w:t>] and C</w:t>
      </w:r>
      <w:r w:rsidR="00007CE8" w:rsidRPr="00896F49">
        <w:rPr>
          <w:sz w:val="24"/>
          <w:szCs w:val="24"/>
        </w:rPr>
        <w:t xml:space="preserve">onsent </w:t>
      </w:r>
      <w:r w:rsidR="008C2E8E">
        <w:rPr>
          <w:sz w:val="24"/>
          <w:szCs w:val="24"/>
        </w:rPr>
        <w:t>Form for Genetic Data S</w:t>
      </w:r>
      <w:r w:rsidR="00007CE8" w:rsidRPr="00896F49">
        <w:rPr>
          <w:sz w:val="24"/>
          <w:szCs w:val="24"/>
        </w:rPr>
        <w:t>haring</w:t>
      </w:r>
      <w:r w:rsidR="008C2E8E">
        <w:rPr>
          <w:sz w:val="24"/>
          <w:szCs w:val="24"/>
        </w:rPr>
        <w:t xml:space="preserve"> [</w:t>
      </w:r>
      <w:r w:rsidR="00DC563E">
        <w:rPr>
          <w:b/>
          <w:sz w:val="24"/>
          <w:szCs w:val="24"/>
        </w:rPr>
        <w:t>Attachment</w:t>
      </w:r>
      <w:r w:rsidR="00FE7A1D">
        <w:rPr>
          <w:b/>
          <w:sz w:val="24"/>
          <w:szCs w:val="24"/>
        </w:rPr>
        <w:t xml:space="preserve"> 7</w:t>
      </w:r>
      <w:r w:rsidR="008C2E8E">
        <w:rPr>
          <w:b/>
          <w:sz w:val="24"/>
          <w:szCs w:val="24"/>
        </w:rPr>
        <w:t>.b</w:t>
      </w:r>
      <w:r w:rsidR="008C2E8E" w:rsidRPr="008C2E8E">
        <w:rPr>
          <w:sz w:val="24"/>
          <w:szCs w:val="24"/>
        </w:rPr>
        <w:t>]</w:t>
      </w:r>
      <w:r w:rsidR="00007CE8" w:rsidRPr="00896F49">
        <w:rPr>
          <w:sz w:val="24"/>
          <w:szCs w:val="24"/>
        </w:rPr>
        <w:t>).</w:t>
      </w:r>
      <w:r w:rsidRPr="00896F49">
        <w:rPr>
          <w:sz w:val="24"/>
          <w:szCs w:val="24"/>
        </w:rPr>
        <w:t xml:space="preserve">  </w:t>
      </w:r>
      <w:r w:rsidR="000675F5" w:rsidRPr="00896F49">
        <w:rPr>
          <w:sz w:val="24"/>
          <w:szCs w:val="24"/>
        </w:rPr>
        <w:t xml:space="preserve">They will </w:t>
      </w:r>
      <w:r w:rsidR="00E31298" w:rsidRPr="00896F49">
        <w:rPr>
          <w:sz w:val="24"/>
          <w:szCs w:val="24"/>
        </w:rPr>
        <w:t xml:space="preserve">be </w:t>
      </w:r>
      <w:r w:rsidR="000675F5" w:rsidRPr="00896F49">
        <w:rPr>
          <w:sz w:val="24"/>
          <w:szCs w:val="24"/>
        </w:rPr>
        <w:t xml:space="preserve">asked to complete the questionnaires and consent forms and return them in a pre-paid </w:t>
      </w:r>
      <w:r w:rsidR="00E31298" w:rsidRPr="00896F49">
        <w:rPr>
          <w:sz w:val="24"/>
          <w:szCs w:val="24"/>
        </w:rPr>
        <w:t>envelope</w:t>
      </w:r>
      <w:r w:rsidR="000675F5" w:rsidRPr="00896F49">
        <w:rPr>
          <w:sz w:val="24"/>
          <w:szCs w:val="24"/>
        </w:rPr>
        <w:t xml:space="preserve">.  </w:t>
      </w:r>
      <w:r w:rsidR="000F0484" w:rsidRPr="00896F49">
        <w:rPr>
          <w:sz w:val="24"/>
          <w:szCs w:val="24"/>
        </w:rPr>
        <w:t>Telephone</w:t>
      </w:r>
      <w:r w:rsidRPr="00896F49">
        <w:rPr>
          <w:sz w:val="24"/>
          <w:szCs w:val="24"/>
        </w:rPr>
        <w:t xml:space="preserve"> support will </w:t>
      </w:r>
      <w:r w:rsidR="00E31298" w:rsidRPr="00896F49">
        <w:rPr>
          <w:sz w:val="24"/>
          <w:szCs w:val="24"/>
        </w:rPr>
        <w:t xml:space="preserve">also </w:t>
      </w:r>
      <w:r w:rsidRPr="00896F49">
        <w:rPr>
          <w:sz w:val="24"/>
          <w:szCs w:val="24"/>
        </w:rPr>
        <w:t>be available to those participants requiring assistance</w:t>
      </w:r>
      <w:r w:rsidR="00220EFE" w:rsidRPr="00896F49">
        <w:rPr>
          <w:sz w:val="24"/>
          <w:szCs w:val="24"/>
        </w:rPr>
        <w:t xml:space="preserve"> completing any or all portions of the questionnaires</w:t>
      </w:r>
      <w:r w:rsidRPr="00896F49">
        <w:rPr>
          <w:sz w:val="24"/>
          <w:szCs w:val="24"/>
        </w:rPr>
        <w:t>.</w:t>
      </w:r>
      <w:r w:rsidR="00DF44FC" w:rsidRPr="00896F49">
        <w:rPr>
          <w:sz w:val="24"/>
          <w:szCs w:val="24"/>
        </w:rPr>
        <w:t xml:space="preserve"> </w:t>
      </w:r>
      <w:r w:rsidR="00E31298" w:rsidRPr="00896F49">
        <w:rPr>
          <w:sz w:val="24"/>
          <w:szCs w:val="24"/>
        </w:rPr>
        <w:t xml:space="preserve"> SEED staff will proactively follow-up with all participants after the data collection mailing is sent to ensure they received the mailing, answer any questions, and offer assistance.</w:t>
      </w:r>
      <w:r w:rsidR="00DF44FC" w:rsidRPr="00896F49">
        <w:rPr>
          <w:sz w:val="24"/>
          <w:szCs w:val="24"/>
        </w:rPr>
        <w:t xml:space="preserve"> Web data collection </w:t>
      </w:r>
      <w:r w:rsidR="00902F11" w:rsidRPr="00896F49">
        <w:rPr>
          <w:sz w:val="24"/>
          <w:szCs w:val="24"/>
        </w:rPr>
        <w:t>i</w:t>
      </w:r>
      <w:r w:rsidR="00DF44FC" w:rsidRPr="00896F49">
        <w:rPr>
          <w:sz w:val="24"/>
          <w:szCs w:val="24"/>
        </w:rPr>
        <w:t>s not feasible for this first phase of the study</w:t>
      </w:r>
      <w:r w:rsidR="00220EFE" w:rsidRPr="00896F49">
        <w:rPr>
          <w:sz w:val="24"/>
          <w:szCs w:val="24"/>
        </w:rPr>
        <w:t xml:space="preserve"> due to </w:t>
      </w:r>
      <w:r w:rsidR="000F0484" w:rsidRPr="00896F49">
        <w:rPr>
          <w:sz w:val="24"/>
          <w:szCs w:val="24"/>
        </w:rPr>
        <w:t>the study’s necessary yet stringent</w:t>
      </w:r>
      <w:r w:rsidR="00220EFE" w:rsidRPr="00896F49">
        <w:rPr>
          <w:sz w:val="24"/>
          <w:szCs w:val="24"/>
        </w:rPr>
        <w:t xml:space="preserve"> timeline to begin enrollment by 2018 </w:t>
      </w:r>
      <w:r w:rsidR="000F0484" w:rsidRPr="00896F49">
        <w:rPr>
          <w:sz w:val="24"/>
          <w:szCs w:val="24"/>
        </w:rPr>
        <w:t xml:space="preserve">and complete enrollment by 2021 -- </w:t>
      </w:r>
      <w:r w:rsidR="00220EFE" w:rsidRPr="00896F49">
        <w:rPr>
          <w:sz w:val="24"/>
          <w:szCs w:val="24"/>
        </w:rPr>
        <w:t>given children’s dates of birth</w:t>
      </w:r>
      <w:r w:rsidR="000F0484" w:rsidRPr="00896F49">
        <w:rPr>
          <w:sz w:val="24"/>
          <w:szCs w:val="24"/>
        </w:rPr>
        <w:t xml:space="preserve"> (i.e. to ensure that all participants will be enrolled when the child is 13-17 years of age); the</w:t>
      </w:r>
      <w:r w:rsidR="00C71102" w:rsidRPr="00896F49">
        <w:rPr>
          <w:sz w:val="24"/>
          <w:szCs w:val="24"/>
        </w:rPr>
        <w:t xml:space="preserve"> CDC</w:t>
      </w:r>
      <w:r w:rsidR="000F0484" w:rsidRPr="00896F49">
        <w:rPr>
          <w:sz w:val="24"/>
          <w:szCs w:val="24"/>
        </w:rPr>
        <w:t xml:space="preserve"> funding cycle period</w:t>
      </w:r>
      <w:r w:rsidR="00C71102" w:rsidRPr="00896F49">
        <w:rPr>
          <w:sz w:val="24"/>
          <w:szCs w:val="24"/>
        </w:rPr>
        <w:t xml:space="preserve"> for SEED Teen activities</w:t>
      </w:r>
      <w:r w:rsidR="000F0484" w:rsidRPr="00896F49">
        <w:rPr>
          <w:sz w:val="24"/>
          <w:szCs w:val="24"/>
        </w:rPr>
        <w:t>; and the estimated time to trace and contact all SEED participants potentially eligible for SEED Teen</w:t>
      </w:r>
      <w:r w:rsidR="00220EFE" w:rsidRPr="00896F49">
        <w:rPr>
          <w:sz w:val="24"/>
          <w:szCs w:val="24"/>
        </w:rPr>
        <w:t xml:space="preserve">.  Development of web-based data collection </w:t>
      </w:r>
      <w:r w:rsidR="000F0484" w:rsidRPr="00896F49">
        <w:rPr>
          <w:sz w:val="24"/>
          <w:szCs w:val="24"/>
        </w:rPr>
        <w:t xml:space="preserve">option </w:t>
      </w:r>
      <w:r w:rsidR="00220EFE" w:rsidRPr="00896F49">
        <w:rPr>
          <w:sz w:val="24"/>
          <w:szCs w:val="24"/>
        </w:rPr>
        <w:t>with inclusion of all CDC-required security features and testing</w:t>
      </w:r>
      <w:r w:rsidR="00E31298" w:rsidRPr="00896F49">
        <w:rPr>
          <w:sz w:val="24"/>
          <w:szCs w:val="24"/>
        </w:rPr>
        <w:t xml:space="preserve"> requirements</w:t>
      </w:r>
      <w:r w:rsidR="00220EFE" w:rsidRPr="00896F49">
        <w:rPr>
          <w:sz w:val="24"/>
          <w:szCs w:val="24"/>
        </w:rPr>
        <w:t xml:space="preserve"> </w:t>
      </w:r>
      <w:r w:rsidR="00DF44FC" w:rsidRPr="00896F49">
        <w:rPr>
          <w:sz w:val="24"/>
          <w:szCs w:val="24"/>
        </w:rPr>
        <w:t xml:space="preserve">will be considered for future phases of SEED Teen. </w:t>
      </w:r>
      <w:r w:rsidRPr="00896F49">
        <w:rPr>
          <w:sz w:val="24"/>
          <w:szCs w:val="24"/>
        </w:rPr>
        <w:t xml:space="preserve"> </w:t>
      </w:r>
      <w:r w:rsidR="00007CE8" w:rsidRPr="00896F49">
        <w:rPr>
          <w:sz w:val="24"/>
          <w:szCs w:val="24"/>
        </w:rPr>
        <w:t xml:space="preserve"> </w:t>
      </w:r>
    </w:p>
    <w:p w14:paraId="06A52B49" w14:textId="77777777" w:rsidR="00896F49" w:rsidRDefault="00623464" w:rsidP="00896F49">
      <w:pPr>
        <w:pStyle w:val="ListBullet"/>
        <w:numPr>
          <w:ilvl w:val="0"/>
          <w:numId w:val="0"/>
        </w:numPr>
        <w:spacing w:line="480" w:lineRule="auto"/>
        <w:ind w:firstLine="720"/>
        <w:rPr>
          <w:bCs/>
          <w:sz w:val="24"/>
          <w:szCs w:val="24"/>
        </w:rPr>
      </w:pPr>
      <w:r w:rsidRPr="00896F49">
        <w:rPr>
          <w:bCs/>
          <w:sz w:val="24"/>
          <w:szCs w:val="24"/>
        </w:rPr>
        <w:t xml:space="preserve">NCBDDD has funded a Data Coordinating Center (DCC) at Michigan State University through a separate contract. </w:t>
      </w:r>
      <w:r w:rsidR="004709C4" w:rsidRPr="00896F49">
        <w:rPr>
          <w:bCs/>
          <w:sz w:val="24"/>
          <w:szCs w:val="24"/>
        </w:rPr>
        <w:t xml:space="preserve"> </w:t>
      </w:r>
      <w:r w:rsidR="00090AE1" w:rsidRPr="00896F49">
        <w:rPr>
          <w:bCs/>
          <w:sz w:val="24"/>
          <w:szCs w:val="24"/>
        </w:rPr>
        <w:t xml:space="preserve">The DCC will be responsible for the information technology aspects of the study.  </w:t>
      </w:r>
      <w:r w:rsidRPr="00896F49">
        <w:rPr>
          <w:bCs/>
          <w:sz w:val="24"/>
          <w:szCs w:val="24"/>
        </w:rPr>
        <w:t>This DCC is the same as that previously</w:t>
      </w:r>
      <w:r w:rsidR="000F0484" w:rsidRPr="00896F49">
        <w:rPr>
          <w:bCs/>
          <w:sz w:val="24"/>
          <w:szCs w:val="24"/>
        </w:rPr>
        <w:t xml:space="preserve"> and currently</w:t>
      </w:r>
      <w:r w:rsidRPr="00896F49">
        <w:rPr>
          <w:bCs/>
          <w:sz w:val="24"/>
          <w:szCs w:val="24"/>
        </w:rPr>
        <w:t xml:space="preserve"> funded</w:t>
      </w:r>
      <w:r w:rsidRPr="00623464">
        <w:rPr>
          <w:bCs/>
          <w:sz w:val="24"/>
          <w:szCs w:val="24"/>
        </w:rPr>
        <w:t xml:space="preserve"> by CDC </w:t>
      </w:r>
      <w:r w:rsidR="000F0484">
        <w:rPr>
          <w:bCs/>
          <w:sz w:val="24"/>
          <w:szCs w:val="24"/>
        </w:rPr>
        <w:t>for the SEED case-control study</w:t>
      </w:r>
      <w:r w:rsidR="00090AE1">
        <w:rPr>
          <w:bCs/>
          <w:sz w:val="24"/>
          <w:szCs w:val="24"/>
        </w:rPr>
        <w:t xml:space="preserve">. For SEED Teen, DCC will </w:t>
      </w:r>
      <w:r w:rsidRPr="00623464">
        <w:rPr>
          <w:bCs/>
          <w:sz w:val="24"/>
          <w:szCs w:val="24"/>
        </w:rPr>
        <w:t xml:space="preserve">develop and manage a </w:t>
      </w:r>
      <w:r w:rsidR="00090AE1">
        <w:rPr>
          <w:bCs/>
          <w:sz w:val="24"/>
          <w:szCs w:val="24"/>
        </w:rPr>
        <w:t>secure, CDC-approved</w:t>
      </w:r>
      <w:r w:rsidR="007C7E2E">
        <w:rPr>
          <w:bCs/>
          <w:sz w:val="24"/>
          <w:szCs w:val="24"/>
        </w:rPr>
        <w:t>,</w:t>
      </w:r>
      <w:r w:rsidR="00090AE1">
        <w:rPr>
          <w:bCs/>
          <w:sz w:val="24"/>
          <w:szCs w:val="24"/>
        </w:rPr>
        <w:t xml:space="preserve"> </w:t>
      </w:r>
      <w:r w:rsidRPr="00623464">
        <w:rPr>
          <w:bCs/>
          <w:sz w:val="24"/>
          <w:szCs w:val="24"/>
        </w:rPr>
        <w:t>web-based centralized participant tracking</w:t>
      </w:r>
      <w:r w:rsidR="000F0484">
        <w:rPr>
          <w:bCs/>
          <w:sz w:val="24"/>
          <w:szCs w:val="24"/>
        </w:rPr>
        <w:t xml:space="preserve"> system which incorporates select information from the SEED c</w:t>
      </w:r>
      <w:r w:rsidR="00C71102">
        <w:rPr>
          <w:bCs/>
          <w:sz w:val="24"/>
          <w:szCs w:val="24"/>
        </w:rPr>
        <w:t>ase-control tracking system</w:t>
      </w:r>
      <w:r w:rsidR="000F0484">
        <w:rPr>
          <w:bCs/>
          <w:sz w:val="24"/>
          <w:szCs w:val="24"/>
        </w:rPr>
        <w:t xml:space="preserve">. </w:t>
      </w:r>
      <w:r w:rsidR="00C71102">
        <w:rPr>
          <w:bCs/>
          <w:sz w:val="24"/>
          <w:szCs w:val="24"/>
        </w:rPr>
        <w:t xml:space="preserve"> The DCC </w:t>
      </w:r>
      <w:r w:rsidR="000F0484">
        <w:rPr>
          <w:bCs/>
          <w:sz w:val="24"/>
          <w:szCs w:val="24"/>
        </w:rPr>
        <w:t>will also</w:t>
      </w:r>
      <w:r w:rsidR="00C71102">
        <w:rPr>
          <w:bCs/>
          <w:sz w:val="24"/>
          <w:szCs w:val="24"/>
        </w:rPr>
        <w:t xml:space="preserve"> develop a secure </w:t>
      </w:r>
      <w:r w:rsidRPr="00623464">
        <w:rPr>
          <w:bCs/>
          <w:sz w:val="24"/>
          <w:szCs w:val="24"/>
        </w:rPr>
        <w:t xml:space="preserve">data </w:t>
      </w:r>
      <w:r w:rsidR="00090AE1">
        <w:rPr>
          <w:bCs/>
          <w:sz w:val="24"/>
          <w:szCs w:val="24"/>
        </w:rPr>
        <w:t>entry</w:t>
      </w:r>
      <w:r w:rsidRPr="00623464">
        <w:rPr>
          <w:bCs/>
          <w:sz w:val="24"/>
          <w:szCs w:val="24"/>
        </w:rPr>
        <w:t xml:space="preserve"> system</w:t>
      </w:r>
      <w:r w:rsidR="00C71102">
        <w:rPr>
          <w:bCs/>
          <w:sz w:val="24"/>
          <w:szCs w:val="24"/>
        </w:rPr>
        <w:t xml:space="preserve"> with full quality control checks including duplicate data entry functionality. </w:t>
      </w:r>
      <w:r w:rsidR="00090AE1">
        <w:rPr>
          <w:bCs/>
          <w:sz w:val="24"/>
          <w:szCs w:val="24"/>
        </w:rPr>
        <w:t xml:space="preserve"> Upon completion of data collection activities, the DCC will export the SEED Teen data into analytic files and will add these data files to </w:t>
      </w:r>
      <w:r w:rsidR="007C7E2E">
        <w:rPr>
          <w:bCs/>
          <w:sz w:val="24"/>
          <w:szCs w:val="24"/>
        </w:rPr>
        <w:t>a</w:t>
      </w:r>
      <w:r w:rsidR="00090AE1">
        <w:rPr>
          <w:bCs/>
          <w:sz w:val="24"/>
          <w:szCs w:val="24"/>
        </w:rPr>
        <w:t xml:space="preserve"> secure CDC-approved </w:t>
      </w:r>
      <w:r w:rsidR="007C7E2E">
        <w:rPr>
          <w:bCs/>
          <w:sz w:val="24"/>
          <w:szCs w:val="24"/>
        </w:rPr>
        <w:t>remove data access (</w:t>
      </w:r>
      <w:r w:rsidR="00090AE1">
        <w:rPr>
          <w:bCs/>
          <w:sz w:val="24"/>
          <w:szCs w:val="24"/>
        </w:rPr>
        <w:t>RDA</w:t>
      </w:r>
      <w:r w:rsidR="007C7E2E">
        <w:rPr>
          <w:bCs/>
          <w:sz w:val="24"/>
          <w:szCs w:val="24"/>
        </w:rPr>
        <w:t xml:space="preserve">) server </w:t>
      </w:r>
      <w:r w:rsidR="00090AE1">
        <w:rPr>
          <w:bCs/>
          <w:sz w:val="24"/>
          <w:szCs w:val="24"/>
        </w:rPr>
        <w:t xml:space="preserve">that they maintain.  </w:t>
      </w:r>
      <w:r w:rsidRPr="00623464">
        <w:rPr>
          <w:bCs/>
          <w:sz w:val="24"/>
          <w:szCs w:val="24"/>
        </w:rPr>
        <w:t>Thus, the DCC is already broadly engaged in SEED activities and maintains all of the key data from the SEED case-control study that will eventually be linked to data collected in SEED Teen.</w:t>
      </w:r>
    </w:p>
    <w:p w14:paraId="097A532F" w14:textId="77777777" w:rsidR="00E24E4B" w:rsidRPr="00E24E4B" w:rsidRDefault="00896F49" w:rsidP="00896F49">
      <w:pPr>
        <w:pStyle w:val="ListBullet"/>
        <w:numPr>
          <w:ilvl w:val="0"/>
          <w:numId w:val="0"/>
        </w:numPr>
        <w:spacing w:line="480" w:lineRule="auto"/>
        <w:ind w:firstLine="720"/>
        <w:rPr>
          <w:bCs/>
          <w:sz w:val="24"/>
          <w:szCs w:val="24"/>
        </w:rPr>
      </w:pPr>
      <w:r>
        <w:rPr>
          <w:bCs/>
          <w:sz w:val="24"/>
          <w:szCs w:val="24"/>
        </w:rPr>
        <w:t>T</w:t>
      </w:r>
      <w:r w:rsidR="00E24E4B" w:rsidRPr="00E24E4B">
        <w:rPr>
          <w:bCs/>
          <w:sz w:val="24"/>
          <w:szCs w:val="24"/>
        </w:rPr>
        <w:t>he DCC has previously created and hosted a custom web-based information system, CIS, which is used for the SEED case-control study.  DCC is currently developing plans for the SEED Teen system which may be developed as a module to CIS or as a separate standalone system. Whichever option is chosen, DCC will include all of the functionality and security features that are currently included in the CIS.</w:t>
      </w:r>
      <w:r>
        <w:rPr>
          <w:bCs/>
          <w:sz w:val="24"/>
          <w:szCs w:val="24"/>
        </w:rPr>
        <w:t xml:space="preserve"> </w:t>
      </w:r>
      <w:r w:rsidR="00E24E4B" w:rsidRPr="00E24E4B">
        <w:rPr>
          <w:bCs/>
          <w:sz w:val="24"/>
          <w:szCs w:val="24"/>
        </w:rPr>
        <w:t xml:space="preserve">CIS was carefully designed to directly support all of SEED data collection workflows, data quality assurance processes, and provide secure database and Internet transaction services.  Relevant services provided by CIS for </w:t>
      </w:r>
      <w:r w:rsidR="00090AE1">
        <w:rPr>
          <w:bCs/>
          <w:sz w:val="24"/>
          <w:szCs w:val="24"/>
        </w:rPr>
        <w:t xml:space="preserve">the </w:t>
      </w:r>
      <w:r w:rsidR="00E24E4B" w:rsidRPr="00E24E4B">
        <w:rPr>
          <w:bCs/>
          <w:sz w:val="24"/>
          <w:szCs w:val="24"/>
        </w:rPr>
        <w:t xml:space="preserve">SEED case-control study include: </w:t>
      </w:r>
    </w:p>
    <w:p w14:paraId="34D5E660" w14:textId="77777777" w:rsidR="00E24E4B" w:rsidRPr="00E24E4B" w:rsidRDefault="00E24E4B" w:rsidP="00C71102">
      <w:pPr>
        <w:pStyle w:val="ListBullet"/>
        <w:rPr>
          <w:bCs/>
          <w:sz w:val="24"/>
          <w:szCs w:val="24"/>
        </w:rPr>
      </w:pPr>
      <w:r w:rsidRPr="00E24E4B">
        <w:rPr>
          <w:bCs/>
          <w:sz w:val="24"/>
          <w:szCs w:val="24"/>
        </w:rPr>
        <w:t>Generation of customized task lists specific to the role of each authenticated user</w:t>
      </w:r>
    </w:p>
    <w:p w14:paraId="0CF3C27A" w14:textId="77777777" w:rsidR="00E24E4B" w:rsidRPr="00E24E4B" w:rsidRDefault="00E24E4B" w:rsidP="00C71102">
      <w:pPr>
        <w:pStyle w:val="ListBullet"/>
        <w:rPr>
          <w:bCs/>
          <w:sz w:val="24"/>
          <w:szCs w:val="24"/>
        </w:rPr>
      </w:pPr>
      <w:r w:rsidRPr="00E24E4B">
        <w:rPr>
          <w:bCs/>
          <w:sz w:val="24"/>
          <w:szCs w:val="24"/>
        </w:rPr>
        <w:t>Role-based security that restricts user access privileges to the minimum required</w:t>
      </w:r>
    </w:p>
    <w:p w14:paraId="7E786E60" w14:textId="77777777" w:rsidR="00E24E4B" w:rsidRPr="00E24E4B" w:rsidRDefault="00E24E4B" w:rsidP="00C71102">
      <w:pPr>
        <w:pStyle w:val="ListBullet"/>
        <w:rPr>
          <w:bCs/>
          <w:sz w:val="24"/>
          <w:szCs w:val="24"/>
        </w:rPr>
      </w:pPr>
      <w:r w:rsidRPr="00E24E4B">
        <w:rPr>
          <w:bCs/>
          <w:sz w:val="24"/>
          <w:szCs w:val="24"/>
        </w:rPr>
        <w:t>Automated tracking of participant progress</w:t>
      </w:r>
    </w:p>
    <w:p w14:paraId="6D2F5195" w14:textId="77777777" w:rsidR="00E24E4B" w:rsidRPr="00E24E4B" w:rsidRDefault="00E24E4B" w:rsidP="00C71102">
      <w:pPr>
        <w:pStyle w:val="ListBullet"/>
        <w:rPr>
          <w:bCs/>
          <w:sz w:val="24"/>
          <w:szCs w:val="24"/>
        </w:rPr>
      </w:pPr>
      <w:r w:rsidRPr="00E24E4B">
        <w:rPr>
          <w:bCs/>
          <w:sz w:val="24"/>
          <w:szCs w:val="24"/>
        </w:rPr>
        <w:t xml:space="preserve">Generation of bar code labels to identify all study documents.  </w:t>
      </w:r>
    </w:p>
    <w:p w14:paraId="4B59B2F2" w14:textId="77777777" w:rsidR="00E24E4B" w:rsidRPr="00E24E4B" w:rsidRDefault="00E24E4B" w:rsidP="00C71102">
      <w:pPr>
        <w:pStyle w:val="ListBullet"/>
        <w:rPr>
          <w:bCs/>
          <w:sz w:val="24"/>
          <w:szCs w:val="24"/>
        </w:rPr>
      </w:pPr>
      <w:r w:rsidRPr="00E24E4B">
        <w:rPr>
          <w:bCs/>
          <w:sz w:val="24"/>
          <w:szCs w:val="24"/>
        </w:rPr>
        <w:t xml:space="preserve">Double data entry for data collected on paper forms  </w:t>
      </w:r>
    </w:p>
    <w:p w14:paraId="4B32C475" w14:textId="77777777" w:rsidR="00E24E4B" w:rsidRPr="00E24E4B" w:rsidRDefault="00E24E4B" w:rsidP="00C71102">
      <w:pPr>
        <w:pStyle w:val="ListBullet"/>
        <w:rPr>
          <w:bCs/>
          <w:sz w:val="24"/>
          <w:szCs w:val="24"/>
        </w:rPr>
      </w:pPr>
      <w:r w:rsidRPr="00E24E4B">
        <w:rPr>
          <w:bCs/>
          <w:sz w:val="24"/>
          <w:szCs w:val="24"/>
        </w:rPr>
        <w:t>Support for data entry and coding of copyrighted assessment instruments (such as the SRS)</w:t>
      </w:r>
    </w:p>
    <w:p w14:paraId="75A78E79" w14:textId="77777777" w:rsidR="00E24E4B" w:rsidRPr="00E24E4B" w:rsidRDefault="00E24E4B" w:rsidP="00C71102">
      <w:pPr>
        <w:pStyle w:val="ListBullet"/>
        <w:rPr>
          <w:bCs/>
          <w:sz w:val="24"/>
          <w:szCs w:val="24"/>
        </w:rPr>
      </w:pPr>
      <w:r w:rsidRPr="00E24E4B">
        <w:rPr>
          <w:bCs/>
          <w:sz w:val="24"/>
          <w:szCs w:val="24"/>
        </w:rPr>
        <w:t>Ongoing data quality assurance checks</w:t>
      </w:r>
    </w:p>
    <w:p w14:paraId="3811AD38" w14:textId="77777777" w:rsidR="00E24E4B" w:rsidRPr="00E24E4B" w:rsidRDefault="00E24E4B" w:rsidP="00C71102">
      <w:pPr>
        <w:pStyle w:val="ListBullet"/>
        <w:rPr>
          <w:bCs/>
          <w:sz w:val="24"/>
          <w:szCs w:val="24"/>
        </w:rPr>
      </w:pPr>
      <w:r w:rsidRPr="00E24E4B">
        <w:rPr>
          <w:bCs/>
          <w:sz w:val="24"/>
          <w:szCs w:val="24"/>
        </w:rPr>
        <w:t>Automated tracking and quality assurance reports</w:t>
      </w:r>
    </w:p>
    <w:p w14:paraId="192F2187" w14:textId="77777777" w:rsidR="00E24E4B" w:rsidRPr="00E24E4B" w:rsidRDefault="00E24E4B" w:rsidP="00C71102">
      <w:pPr>
        <w:pStyle w:val="ListBullet"/>
        <w:rPr>
          <w:bCs/>
          <w:sz w:val="24"/>
          <w:szCs w:val="24"/>
        </w:rPr>
      </w:pPr>
      <w:r w:rsidRPr="00E24E4B">
        <w:rPr>
          <w:bCs/>
          <w:sz w:val="24"/>
          <w:szCs w:val="24"/>
        </w:rPr>
        <w:t>Comprehensive audit logging  functions</w:t>
      </w:r>
    </w:p>
    <w:p w14:paraId="4025E5E6" w14:textId="77777777" w:rsidR="00E24E4B" w:rsidRDefault="00E24E4B" w:rsidP="00C71102">
      <w:pPr>
        <w:pStyle w:val="ListBullet"/>
        <w:rPr>
          <w:bCs/>
          <w:sz w:val="24"/>
          <w:szCs w:val="24"/>
        </w:rPr>
      </w:pPr>
      <w:r w:rsidRPr="00E24E4B">
        <w:rPr>
          <w:bCs/>
          <w:sz w:val="24"/>
          <w:szCs w:val="24"/>
        </w:rPr>
        <w:t>User support services</w:t>
      </w:r>
    </w:p>
    <w:p w14:paraId="08F188B1" w14:textId="77777777" w:rsidR="00562EF2" w:rsidRPr="00E24E4B" w:rsidRDefault="00562EF2" w:rsidP="0034257D">
      <w:pPr>
        <w:pStyle w:val="ListBullet"/>
        <w:numPr>
          <w:ilvl w:val="0"/>
          <w:numId w:val="0"/>
        </w:numPr>
        <w:spacing w:line="480" w:lineRule="auto"/>
        <w:ind w:left="1440"/>
        <w:rPr>
          <w:bCs/>
          <w:sz w:val="24"/>
          <w:szCs w:val="24"/>
        </w:rPr>
      </w:pPr>
    </w:p>
    <w:p w14:paraId="3515A380" w14:textId="77777777" w:rsidR="00896F49" w:rsidRDefault="00E24E4B" w:rsidP="00896F49">
      <w:pPr>
        <w:pStyle w:val="ListBullet"/>
        <w:numPr>
          <w:ilvl w:val="0"/>
          <w:numId w:val="0"/>
        </w:numPr>
        <w:spacing w:line="480" w:lineRule="auto"/>
        <w:ind w:firstLine="720"/>
        <w:rPr>
          <w:bCs/>
          <w:sz w:val="24"/>
          <w:szCs w:val="24"/>
        </w:rPr>
      </w:pPr>
      <w:r w:rsidRPr="00E24E4B">
        <w:rPr>
          <w:bCs/>
          <w:sz w:val="24"/>
          <w:szCs w:val="24"/>
        </w:rPr>
        <w:t xml:space="preserve">Upon completion of data collection activities, the DCC works with the CDC to organize the preparation of pooled analytic data files from the data entered into CIS.  This process includes quality control checks of the data collected in CIS before its exported into analytic files; quality control of the export process itself; and de-identification of analytic files by applying a date shifting algorithm previously developed and tested by DCC and removing open string text field data elements that are inherently or likely identifiable (these issues are unlikely to apply to SEED Teen as neither dates nor inherently identifiable text data will be collected and entered from either instrument). </w:t>
      </w:r>
    </w:p>
    <w:p w14:paraId="1A2E3DFE" w14:textId="77777777" w:rsidR="007562B5" w:rsidRDefault="00E24E4B" w:rsidP="00896F49">
      <w:pPr>
        <w:pStyle w:val="ListBullet"/>
        <w:numPr>
          <w:ilvl w:val="0"/>
          <w:numId w:val="0"/>
        </w:numPr>
        <w:spacing w:line="480" w:lineRule="auto"/>
        <w:ind w:firstLine="720"/>
        <w:rPr>
          <w:bCs/>
          <w:sz w:val="24"/>
          <w:szCs w:val="24"/>
        </w:rPr>
      </w:pPr>
      <w:r w:rsidRPr="00E24E4B">
        <w:rPr>
          <w:bCs/>
          <w:sz w:val="24"/>
          <w:szCs w:val="24"/>
        </w:rPr>
        <w:t>Upon completion of the export and QC process, DCC uploads the analytic data files and accompanying data dictionaries and other documentation onto a remote data access server (RDA) for access by the site investigators. The RDA meets CDC security requirements and is located in a HIPAA-compliant data-center with full redundant power and security measures</w:t>
      </w:r>
      <w:r w:rsidR="00F162FB">
        <w:rPr>
          <w:bCs/>
          <w:sz w:val="24"/>
          <w:szCs w:val="24"/>
        </w:rPr>
        <w:t xml:space="preserve">.  </w:t>
      </w:r>
      <w:r w:rsidRPr="00E24E4B">
        <w:rPr>
          <w:bCs/>
          <w:sz w:val="24"/>
          <w:szCs w:val="24"/>
        </w:rPr>
        <w:t xml:space="preserve">  </w:t>
      </w:r>
    </w:p>
    <w:p w14:paraId="7B0D009A" w14:textId="77777777" w:rsidR="00DB6F88" w:rsidRPr="00563C41" w:rsidRDefault="00CA79E4" w:rsidP="00DB6F88">
      <w:pPr>
        <w:pStyle w:val="ListBullet"/>
        <w:numPr>
          <w:ilvl w:val="0"/>
          <w:numId w:val="0"/>
        </w:numPr>
        <w:spacing w:line="480" w:lineRule="auto"/>
        <w:rPr>
          <w:b/>
          <w:bCs/>
          <w:sz w:val="24"/>
          <w:szCs w:val="24"/>
        </w:rPr>
      </w:pPr>
      <w:bookmarkStart w:id="6" w:name="_Toc429667309"/>
      <w:r w:rsidRPr="00563C41">
        <w:rPr>
          <w:b/>
          <w:bCs/>
          <w:sz w:val="24"/>
          <w:szCs w:val="24"/>
          <w:u w:val="single"/>
        </w:rPr>
        <w:t xml:space="preserve">Summary of </w:t>
      </w:r>
      <w:r w:rsidR="005A37F7" w:rsidRPr="00563C41">
        <w:rPr>
          <w:b/>
          <w:bCs/>
          <w:sz w:val="24"/>
          <w:szCs w:val="24"/>
          <w:u w:val="single"/>
        </w:rPr>
        <w:t>P</w:t>
      </w:r>
      <w:r w:rsidR="0009731F" w:rsidRPr="00563C41">
        <w:rPr>
          <w:rFonts w:eastAsiaTheme="majorEastAsia"/>
          <w:b/>
          <w:sz w:val="24"/>
          <w:szCs w:val="24"/>
          <w:u w:val="single"/>
        </w:rPr>
        <w:t>articipant Burden Reduction</w:t>
      </w:r>
    </w:p>
    <w:p w14:paraId="3CDD1127" w14:textId="77777777" w:rsidR="006075B2" w:rsidRPr="007D2DCB" w:rsidRDefault="007562B5" w:rsidP="00896F49">
      <w:pPr>
        <w:spacing w:line="480" w:lineRule="auto"/>
        <w:ind w:firstLine="720"/>
        <w:rPr>
          <w:rFonts w:eastAsiaTheme="majorEastAsia"/>
        </w:rPr>
      </w:pPr>
      <w:r w:rsidRPr="007D2DCB">
        <w:rPr>
          <w:rFonts w:eastAsiaTheme="majorEastAsia"/>
        </w:rPr>
        <w:t>The web-based information system developed by the DCC will include technology to de-duplicate tracking lists and conduct tracing to ensure that participants do not receive multiple invitation letters. In addition, the system will</w:t>
      </w:r>
      <w:r w:rsidR="00C23EFB">
        <w:rPr>
          <w:rFonts w:eastAsiaTheme="majorEastAsia"/>
        </w:rPr>
        <w:t xml:space="preserve"> allow for personalization of invitation mailings and will</w:t>
      </w:r>
      <w:r w:rsidRPr="007D2DCB">
        <w:rPr>
          <w:rFonts w:eastAsiaTheme="majorEastAsia"/>
        </w:rPr>
        <w:t xml:space="preserve"> facilitate data entry for the SEED Teen </w:t>
      </w:r>
      <w:r w:rsidRPr="009046CF">
        <w:rPr>
          <w:rFonts w:eastAsiaTheme="majorEastAsia"/>
        </w:rPr>
        <w:t>Health and Development survey (</w:t>
      </w:r>
      <w:r w:rsidR="00FE7A1D">
        <w:rPr>
          <w:rFonts w:eastAsiaTheme="majorEastAsia"/>
          <w:b/>
        </w:rPr>
        <w:t>Attachment 6</w:t>
      </w:r>
      <w:r w:rsidR="008C2E8E" w:rsidRPr="009046CF">
        <w:rPr>
          <w:rFonts w:eastAsiaTheme="majorEastAsia"/>
          <w:b/>
        </w:rPr>
        <w:t>.c</w:t>
      </w:r>
      <w:r w:rsidRPr="009046CF">
        <w:rPr>
          <w:rFonts w:eastAsiaTheme="majorEastAsia"/>
        </w:rPr>
        <w:t>) and the Social Responsiveness Scale</w:t>
      </w:r>
      <w:r w:rsidR="00991CEF" w:rsidRPr="009046CF">
        <w:rPr>
          <w:rFonts w:eastAsiaTheme="majorEastAsia"/>
        </w:rPr>
        <w:t xml:space="preserve"> (</w:t>
      </w:r>
      <w:r w:rsidR="00FE7A1D">
        <w:rPr>
          <w:rFonts w:eastAsiaTheme="majorEastAsia"/>
          <w:b/>
        </w:rPr>
        <w:t>Attachment 6</w:t>
      </w:r>
      <w:r w:rsidR="008C2E8E" w:rsidRPr="009046CF">
        <w:rPr>
          <w:rFonts w:eastAsiaTheme="majorEastAsia"/>
          <w:b/>
        </w:rPr>
        <w:t>.d</w:t>
      </w:r>
      <w:r w:rsidR="00991CEF" w:rsidRPr="009046CF">
        <w:rPr>
          <w:rFonts w:eastAsiaTheme="majorEastAsia"/>
        </w:rPr>
        <w:t>)</w:t>
      </w:r>
      <w:r w:rsidRPr="009046CF">
        <w:rPr>
          <w:rFonts w:eastAsiaTheme="majorEastAsia"/>
        </w:rPr>
        <w:t>.</w:t>
      </w:r>
      <w:r w:rsidRPr="007D2DCB">
        <w:rPr>
          <w:rFonts w:eastAsiaTheme="majorEastAsia"/>
        </w:rPr>
        <w:t xml:space="preserve">  </w:t>
      </w:r>
      <w:r w:rsidR="0009731F" w:rsidRPr="007D2DCB">
        <w:rPr>
          <w:rFonts w:eastAsiaTheme="majorEastAsia"/>
        </w:rPr>
        <w:t xml:space="preserve">Electronic </w:t>
      </w:r>
      <w:r w:rsidR="00414044">
        <w:rPr>
          <w:rFonts w:eastAsiaTheme="majorEastAsia"/>
        </w:rPr>
        <w:t xml:space="preserve">duplicate </w:t>
      </w:r>
      <w:r w:rsidR="0009731F" w:rsidRPr="007D2DCB">
        <w:rPr>
          <w:rFonts w:eastAsiaTheme="majorEastAsia"/>
        </w:rPr>
        <w:t xml:space="preserve">data </w:t>
      </w:r>
      <w:r w:rsidR="00414044">
        <w:rPr>
          <w:rFonts w:eastAsiaTheme="majorEastAsia"/>
        </w:rPr>
        <w:t>entry</w:t>
      </w:r>
      <w:r w:rsidR="0009731F" w:rsidRPr="007D2DCB">
        <w:rPr>
          <w:rFonts w:eastAsiaTheme="majorEastAsia"/>
        </w:rPr>
        <w:t xml:space="preserve"> systems </w:t>
      </w:r>
      <w:r w:rsidR="008D6CF8" w:rsidRPr="007D2DCB">
        <w:rPr>
          <w:rFonts w:eastAsiaTheme="majorEastAsia"/>
        </w:rPr>
        <w:t>will be</w:t>
      </w:r>
      <w:r w:rsidR="0009731F" w:rsidRPr="007D2DCB">
        <w:rPr>
          <w:rFonts w:eastAsiaTheme="majorEastAsia"/>
        </w:rPr>
        <w:t xml:space="preserve"> used to reduce data entry errors.</w:t>
      </w:r>
      <w:r w:rsidR="00C23EFB">
        <w:rPr>
          <w:rFonts w:eastAsiaTheme="majorEastAsia"/>
        </w:rPr>
        <w:t xml:space="preserve"> While this does not reduce participant burden per se, it does ensure that the data participants took time to provide to this study are prepared in electronic data files in a manner that maximizes data quality.</w:t>
      </w:r>
      <w:r w:rsidR="0009731F" w:rsidRPr="007D2DCB">
        <w:rPr>
          <w:rFonts w:eastAsiaTheme="majorEastAsia"/>
        </w:rPr>
        <w:t xml:space="preserve">  </w:t>
      </w:r>
    </w:p>
    <w:p w14:paraId="07E7CCBA" w14:textId="77777777" w:rsidR="006075B2" w:rsidRPr="00185F08" w:rsidRDefault="00873BFC" w:rsidP="007D2DCB">
      <w:pPr>
        <w:rPr>
          <w:rFonts w:eastAsiaTheme="majorEastAsia"/>
          <w:b/>
        </w:rPr>
      </w:pPr>
      <w:r w:rsidRPr="00185F08">
        <w:rPr>
          <w:rFonts w:eastAsiaTheme="majorEastAsia"/>
          <w:b/>
          <w:u w:val="single"/>
        </w:rPr>
        <w:t>Section A.4. Efforts to Identify Duplication and Use of Similar Information</w:t>
      </w:r>
      <w:bookmarkEnd w:id="6"/>
    </w:p>
    <w:p w14:paraId="62A5C0F4" w14:textId="77777777" w:rsidR="006075B2" w:rsidRPr="007D2DCB" w:rsidRDefault="006075B2" w:rsidP="007D2DCB">
      <w:pPr>
        <w:rPr>
          <w:rFonts w:eastAsiaTheme="majorEastAsia"/>
        </w:rPr>
      </w:pPr>
    </w:p>
    <w:p w14:paraId="0BE83220" w14:textId="77777777" w:rsidR="006075B2" w:rsidRDefault="006075B2" w:rsidP="00896F49">
      <w:pPr>
        <w:pStyle w:val="Heading2"/>
        <w:spacing w:before="0" w:after="0" w:line="480" w:lineRule="auto"/>
        <w:ind w:firstLine="720"/>
        <w:rPr>
          <w:rFonts w:ascii="Times New Roman" w:hAnsi="Times New Roman"/>
          <w:b w:val="0"/>
          <w:i w:val="0"/>
          <w:sz w:val="24"/>
          <w:szCs w:val="24"/>
        </w:rPr>
      </w:pPr>
      <w:r w:rsidRPr="006075B2">
        <w:rPr>
          <w:rFonts w:ascii="Times New Roman" w:hAnsi="Times New Roman"/>
          <w:b w:val="0"/>
          <w:i w:val="0"/>
          <w:sz w:val="24"/>
          <w:szCs w:val="24"/>
        </w:rPr>
        <w:t xml:space="preserve">SEED Teen is a large and diverse prospective cohort of U.S. children with ASD, other DDs, and typical development that focuses on the health, functioning, and family situation of these adolescents.  SEED Teen participants </w:t>
      </w:r>
      <w:r w:rsidR="00563C41">
        <w:rPr>
          <w:rFonts w:ascii="Times New Roman" w:hAnsi="Times New Roman"/>
          <w:b w:val="0"/>
          <w:i w:val="0"/>
          <w:sz w:val="24"/>
          <w:szCs w:val="24"/>
        </w:rPr>
        <w:t xml:space="preserve">previously </w:t>
      </w:r>
      <w:r w:rsidRPr="006075B2">
        <w:rPr>
          <w:rFonts w:ascii="Times New Roman" w:hAnsi="Times New Roman"/>
          <w:b w:val="0"/>
          <w:i w:val="0"/>
          <w:sz w:val="24"/>
          <w:szCs w:val="24"/>
        </w:rPr>
        <w:t>underwent rigorous developmental assessment</w:t>
      </w:r>
      <w:r w:rsidR="00563C41">
        <w:rPr>
          <w:rFonts w:ascii="Times New Roman" w:hAnsi="Times New Roman"/>
          <w:b w:val="0"/>
          <w:i w:val="0"/>
          <w:sz w:val="24"/>
          <w:szCs w:val="24"/>
        </w:rPr>
        <w:t>s during their participation in the SEED case-control study</w:t>
      </w:r>
      <w:r w:rsidRPr="006075B2">
        <w:rPr>
          <w:rFonts w:ascii="Times New Roman" w:hAnsi="Times New Roman"/>
          <w:b w:val="0"/>
          <w:i w:val="0"/>
          <w:sz w:val="24"/>
          <w:szCs w:val="24"/>
        </w:rPr>
        <w:t xml:space="preserve"> and contributed rich data concerning maternal pregnancy history</w:t>
      </w:r>
      <w:r w:rsidR="00444877">
        <w:rPr>
          <w:rFonts w:ascii="Times New Roman" w:hAnsi="Times New Roman"/>
          <w:b w:val="0"/>
          <w:i w:val="0"/>
          <w:sz w:val="24"/>
          <w:szCs w:val="24"/>
        </w:rPr>
        <w:t>, family health history</w:t>
      </w:r>
      <w:r w:rsidRPr="006075B2">
        <w:rPr>
          <w:rFonts w:ascii="Times New Roman" w:hAnsi="Times New Roman"/>
          <w:b w:val="0"/>
          <w:i w:val="0"/>
          <w:sz w:val="24"/>
          <w:szCs w:val="24"/>
        </w:rPr>
        <w:t xml:space="preserve"> and </w:t>
      </w:r>
      <w:r w:rsidR="00444877">
        <w:rPr>
          <w:rFonts w:ascii="Times New Roman" w:hAnsi="Times New Roman"/>
          <w:b w:val="0"/>
          <w:i w:val="0"/>
          <w:sz w:val="24"/>
          <w:szCs w:val="24"/>
        </w:rPr>
        <w:t xml:space="preserve">child </w:t>
      </w:r>
      <w:r w:rsidRPr="006075B2">
        <w:rPr>
          <w:rFonts w:ascii="Times New Roman" w:hAnsi="Times New Roman"/>
          <w:b w:val="0"/>
          <w:i w:val="0"/>
          <w:sz w:val="24"/>
          <w:szCs w:val="24"/>
        </w:rPr>
        <w:t>early life events.  This comprehensive data collection will place SEED Teen in the unique position to study risks and protective factors that predict important outcomes over the life span.</w:t>
      </w:r>
    </w:p>
    <w:p w14:paraId="65D7B52A" w14:textId="77777777" w:rsidR="006B6026" w:rsidRDefault="006B6026" w:rsidP="00896F49">
      <w:pPr>
        <w:pStyle w:val="Heading2"/>
        <w:spacing w:before="0" w:after="0" w:line="480" w:lineRule="auto"/>
        <w:ind w:firstLine="720"/>
        <w:rPr>
          <w:rFonts w:ascii="Times New Roman" w:hAnsi="Times New Roman"/>
          <w:b w:val="0"/>
          <w:i w:val="0"/>
          <w:sz w:val="24"/>
          <w:szCs w:val="24"/>
        </w:rPr>
      </w:pPr>
      <w:r w:rsidRPr="006B6026">
        <w:rPr>
          <w:rFonts w:ascii="Times New Roman" w:hAnsi="Times New Roman"/>
          <w:b w:val="0"/>
          <w:i w:val="0"/>
          <w:sz w:val="24"/>
          <w:szCs w:val="24"/>
        </w:rPr>
        <w:t>We searched for similar studies with potentially overlapping goals.  We included studies that are well-known to researchers in the field and performed supplementary literature searches on PubMed and Google Scholar.  I</w:t>
      </w:r>
      <w:r>
        <w:rPr>
          <w:rFonts w:ascii="Times New Roman" w:hAnsi="Times New Roman"/>
          <w:b w:val="0"/>
          <w:i w:val="0"/>
          <w:sz w:val="24"/>
          <w:szCs w:val="24"/>
        </w:rPr>
        <w:t>n addition, NIH Reporter returned</w:t>
      </w:r>
      <w:r w:rsidRPr="006B6026">
        <w:rPr>
          <w:rFonts w:ascii="Times New Roman" w:hAnsi="Times New Roman"/>
          <w:b w:val="0"/>
          <w:i w:val="0"/>
          <w:sz w:val="24"/>
          <w:szCs w:val="24"/>
        </w:rPr>
        <w:t xml:space="preserve"> 66 results for “autism” and “adolescence</w:t>
      </w:r>
      <w:r>
        <w:rPr>
          <w:rFonts w:ascii="Times New Roman" w:hAnsi="Times New Roman"/>
          <w:b w:val="0"/>
          <w:i w:val="0"/>
          <w:sz w:val="24"/>
          <w:szCs w:val="24"/>
        </w:rPr>
        <w:t>;”</w:t>
      </w:r>
      <w:r w:rsidRPr="006B6026">
        <w:rPr>
          <w:rFonts w:ascii="Times New Roman" w:hAnsi="Times New Roman"/>
          <w:b w:val="0"/>
          <w:i w:val="0"/>
          <w:sz w:val="24"/>
          <w:szCs w:val="24"/>
        </w:rPr>
        <w:t xml:space="preserve"> most studies were exclusively interested in biological correlates of autism symptoms.  The most recent IACC research portfolio for question 6</w:t>
      </w:r>
      <w:r>
        <w:rPr>
          <w:rFonts w:ascii="Times New Roman" w:hAnsi="Times New Roman"/>
          <w:b w:val="0"/>
          <w:i w:val="0"/>
          <w:sz w:val="24"/>
          <w:szCs w:val="24"/>
        </w:rPr>
        <w:t>,</w:t>
      </w:r>
      <w:r w:rsidRPr="006B6026">
        <w:rPr>
          <w:rFonts w:ascii="Times New Roman" w:hAnsi="Times New Roman"/>
          <w:b w:val="0"/>
          <w:i w:val="0"/>
          <w:sz w:val="24"/>
          <w:szCs w:val="24"/>
        </w:rPr>
        <w:t xml:space="preserve"> “What does the future hold, especially for adults</w:t>
      </w:r>
      <w:r>
        <w:rPr>
          <w:rFonts w:ascii="Times New Roman" w:hAnsi="Times New Roman"/>
          <w:b w:val="0"/>
          <w:i w:val="0"/>
          <w:sz w:val="24"/>
          <w:szCs w:val="24"/>
        </w:rPr>
        <w:t>,</w:t>
      </w:r>
      <w:r w:rsidRPr="006B6026">
        <w:rPr>
          <w:rFonts w:ascii="Times New Roman" w:hAnsi="Times New Roman"/>
          <w:b w:val="0"/>
          <w:i w:val="0"/>
          <w:sz w:val="24"/>
          <w:szCs w:val="24"/>
        </w:rPr>
        <w:t xml:space="preserve">” returned 34 studies.  Of the 34, three relevant studies utilized data from the National </w:t>
      </w:r>
      <w:r w:rsidR="0075522D">
        <w:rPr>
          <w:rFonts w:ascii="Times New Roman" w:hAnsi="Times New Roman"/>
          <w:b w:val="0"/>
          <w:i w:val="0"/>
          <w:sz w:val="24"/>
          <w:szCs w:val="24"/>
        </w:rPr>
        <w:t>Longitudinal Transition Survey-</w:t>
      </w:r>
      <w:r w:rsidRPr="006B6026">
        <w:rPr>
          <w:rFonts w:ascii="Times New Roman" w:hAnsi="Times New Roman"/>
          <w:b w:val="0"/>
          <w:i w:val="0"/>
          <w:sz w:val="24"/>
          <w:szCs w:val="24"/>
        </w:rPr>
        <w:t xml:space="preserve">2 </w:t>
      </w:r>
      <w:r>
        <w:rPr>
          <w:rFonts w:ascii="Times New Roman" w:hAnsi="Times New Roman"/>
          <w:b w:val="0"/>
          <w:i w:val="0"/>
          <w:sz w:val="24"/>
          <w:szCs w:val="24"/>
        </w:rPr>
        <w:t>(</w:t>
      </w:r>
      <w:r w:rsidRPr="006B6026">
        <w:rPr>
          <w:rFonts w:ascii="Times New Roman" w:hAnsi="Times New Roman"/>
          <w:b w:val="0"/>
          <w:i w:val="0"/>
          <w:sz w:val="24"/>
          <w:szCs w:val="24"/>
        </w:rPr>
        <w:t>NLTS-2</w:t>
      </w:r>
      <w:r>
        <w:rPr>
          <w:rFonts w:ascii="Times New Roman" w:hAnsi="Times New Roman"/>
          <w:b w:val="0"/>
          <w:i w:val="0"/>
          <w:sz w:val="24"/>
          <w:szCs w:val="24"/>
        </w:rPr>
        <w:t>)</w:t>
      </w:r>
      <w:r w:rsidRPr="006B6026">
        <w:rPr>
          <w:rFonts w:ascii="Times New Roman" w:hAnsi="Times New Roman"/>
          <w:b w:val="0"/>
          <w:i w:val="0"/>
          <w:sz w:val="24"/>
          <w:szCs w:val="24"/>
        </w:rPr>
        <w:t>, and one additional study (Longitudinal Studies of Autism Spectrum Disorder: 2-23) was included in our review and comparison</w:t>
      </w:r>
      <w:r w:rsidRPr="009046CF">
        <w:rPr>
          <w:rFonts w:ascii="Times New Roman" w:hAnsi="Times New Roman"/>
          <w:b w:val="0"/>
          <w:i w:val="0"/>
          <w:sz w:val="24"/>
          <w:szCs w:val="24"/>
        </w:rPr>
        <w:t xml:space="preserve">.  </w:t>
      </w:r>
      <w:r w:rsidR="006075B2" w:rsidRPr="009046CF">
        <w:rPr>
          <w:rFonts w:ascii="Times New Roman" w:hAnsi="Times New Roman"/>
          <w:b w:val="0"/>
          <w:i w:val="0"/>
          <w:sz w:val="24"/>
          <w:szCs w:val="24"/>
        </w:rPr>
        <w:t>Table</w:t>
      </w:r>
      <w:r w:rsidR="007D2DCB" w:rsidRPr="009046CF">
        <w:rPr>
          <w:rFonts w:ascii="Times New Roman" w:hAnsi="Times New Roman"/>
          <w:b w:val="0"/>
          <w:i w:val="0"/>
          <w:sz w:val="24"/>
          <w:szCs w:val="24"/>
        </w:rPr>
        <w:t xml:space="preserve"> 1</w:t>
      </w:r>
      <w:r w:rsidR="006075B2" w:rsidRPr="009046CF">
        <w:rPr>
          <w:rFonts w:ascii="Times New Roman" w:hAnsi="Times New Roman"/>
          <w:b w:val="0"/>
          <w:i w:val="0"/>
          <w:sz w:val="24"/>
          <w:szCs w:val="24"/>
        </w:rPr>
        <w:t xml:space="preserve"> </w:t>
      </w:r>
      <w:r w:rsidRPr="009046CF">
        <w:rPr>
          <w:rFonts w:ascii="Times New Roman" w:hAnsi="Times New Roman"/>
          <w:b w:val="0"/>
          <w:i w:val="0"/>
          <w:sz w:val="24"/>
          <w:szCs w:val="24"/>
        </w:rPr>
        <w:t>summarizes the relevant studies that we identified and compares the characteristics of each</w:t>
      </w:r>
      <w:r w:rsidRPr="006B6026">
        <w:rPr>
          <w:rFonts w:ascii="Times New Roman" w:hAnsi="Times New Roman"/>
          <w:b w:val="0"/>
          <w:i w:val="0"/>
          <w:sz w:val="24"/>
          <w:szCs w:val="24"/>
        </w:rPr>
        <w:t xml:space="preserve"> study to SEED TEEN.</w:t>
      </w:r>
    </w:p>
    <w:p w14:paraId="1F4DE74C" w14:textId="7FC0BC31" w:rsidR="00563C41" w:rsidRDefault="006B6026" w:rsidP="00896F49">
      <w:pPr>
        <w:spacing w:line="480" w:lineRule="auto"/>
        <w:ind w:firstLine="720"/>
      </w:pPr>
      <w:r w:rsidRPr="006B6026">
        <w:t xml:space="preserve">There are </w:t>
      </w:r>
      <w:r w:rsidR="00444877">
        <w:t>two large</w:t>
      </w:r>
      <w:r w:rsidRPr="006B6026">
        <w:t xml:space="preserve"> national surveys (Reference A in Table</w:t>
      </w:r>
      <w:r w:rsidR="00CB1842">
        <w:t xml:space="preserve"> 1</w:t>
      </w:r>
      <w:r w:rsidRPr="006B6026">
        <w:t xml:space="preserve">) </w:t>
      </w:r>
      <w:r w:rsidR="00444877">
        <w:t xml:space="preserve">that collect information </w:t>
      </w:r>
      <w:r w:rsidRPr="006B6026">
        <w:t xml:space="preserve">about child health and development including teenagers.  It is possible to assess children with ASD and </w:t>
      </w:r>
      <w:r w:rsidR="00444877">
        <w:t>other disabilities</w:t>
      </w:r>
      <w:r w:rsidRPr="006B6026">
        <w:t xml:space="preserve"> in these surveys.  However, these surveys are cross-sectional only and thus do not allow for in-depth developmental assessments nor </w:t>
      </w:r>
      <w:r w:rsidR="00DD1CFE">
        <w:t xml:space="preserve">for </w:t>
      </w:r>
      <w:r w:rsidRPr="006B6026">
        <w:t>a</w:t>
      </w:r>
      <w:r w:rsidR="00DD1CFE">
        <w:t xml:space="preserve">n assessment of the </w:t>
      </w:r>
      <w:r w:rsidRPr="006B6026">
        <w:t xml:space="preserve">developmental and health trajectory that SEED </w:t>
      </w:r>
      <w:r w:rsidR="00DD1CFE">
        <w:t xml:space="preserve">Teen </w:t>
      </w:r>
      <w:r w:rsidRPr="006B6026">
        <w:t>is designed to include.  Moreover, even though the total sample size is large in many of these surveys, because they are designed to cover the entire population of non-institutionalized children 0-17 years of age, the sample sizes for teenagers with specific developmental disabilities</w:t>
      </w:r>
      <w:r>
        <w:t xml:space="preserve"> </w:t>
      </w:r>
      <w:r w:rsidRPr="006B6026">
        <w:t xml:space="preserve">such as ASD are small.  Also, SEED Teen is specifically designed to address research questions that are most relevant to children with ASD and other DDs.  National surveys have a much broader focus and thus, data collection on any specific topic is often much less detailed than SEED Teen. </w:t>
      </w:r>
      <w:r w:rsidR="00563C41">
        <w:t xml:space="preserve"> Finally, unlike national surveys, </w:t>
      </w:r>
      <w:r w:rsidRPr="006B6026">
        <w:t xml:space="preserve">SEED Teen also follows children for whom we already have a wealth of preconception, prenatal, and early post-natal risk factor data which are not available for cross-sectional studies.   </w:t>
      </w:r>
    </w:p>
    <w:p w14:paraId="0AAF1CB0" w14:textId="77777777" w:rsidR="006B6026" w:rsidRDefault="006B6026" w:rsidP="00896F49">
      <w:pPr>
        <w:spacing w:line="480" w:lineRule="auto"/>
        <w:ind w:firstLine="720"/>
      </w:pPr>
      <w:r>
        <w:t xml:space="preserve">The Interactive Autism Network </w:t>
      </w:r>
      <w:r w:rsidRPr="006B6026">
        <w:t>(</w:t>
      </w:r>
      <w:r w:rsidR="00B87E27">
        <w:t xml:space="preserve">Reference </w:t>
      </w:r>
      <w:r w:rsidRPr="006B6026">
        <w:t>B</w:t>
      </w:r>
      <w:r w:rsidR="00B87E27">
        <w:t xml:space="preserve"> in Table 1</w:t>
      </w:r>
      <w:r w:rsidRPr="006B6026">
        <w:t>) is another large survey composed of individuals with autism, but is also cross-sectional and does not have the purposeful sampling and design of the national surveys.</w:t>
      </w:r>
      <w:r w:rsidR="00563C41">
        <w:t xml:space="preserve">  This data collection system also is limited in that it does not include a control group of individuals without ASD.</w:t>
      </w:r>
    </w:p>
    <w:p w14:paraId="7AEC49C0" w14:textId="77777777" w:rsidR="00563C41" w:rsidRDefault="006B6026" w:rsidP="00896F49">
      <w:pPr>
        <w:spacing w:line="480" w:lineRule="auto"/>
        <w:ind w:firstLine="720"/>
      </w:pPr>
      <w:r w:rsidRPr="006B6026">
        <w:t xml:space="preserve">The </w:t>
      </w:r>
      <w:r w:rsidR="0075522D">
        <w:t>NLTS-</w:t>
      </w:r>
      <w:r w:rsidRPr="006B6026">
        <w:t>2 (</w:t>
      </w:r>
      <w:r w:rsidR="00B87E27">
        <w:t xml:space="preserve">Reference </w:t>
      </w:r>
      <w:r w:rsidRPr="006B6026">
        <w:t>C</w:t>
      </w:r>
      <w:r w:rsidR="00B87E27">
        <w:t xml:space="preserve"> in Table 1</w:t>
      </w:r>
      <w:r w:rsidRPr="006B6026">
        <w:t xml:space="preserve">) is </w:t>
      </w:r>
      <w:r w:rsidR="004F3EE1">
        <w:t>a</w:t>
      </w:r>
      <w:r w:rsidRPr="006B6026">
        <w:t xml:space="preserve"> national survey of adolescents in special education</w:t>
      </w:r>
      <w:r w:rsidR="004F3EE1">
        <w:t xml:space="preserve"> designed</w:t>
      </w:r>
      <w:r w:rsidRPr="006B6026">
        <w:t xml:space="preserve"> to study service</w:t>
      </w:r>
      <w:r w:rsidR="00563C41">
        <w:t xml:space="preserve"> use</w:t>
      </w:r>
      <w:r w:rsidRPr="006B6026">
        <w:t xml:space="preserve"> </w:t>
      </w:r>
      <w:r w:rsidR="00563C41">
        <w:t xml:space="preserve">and </w:t>
      </w:r>
      <w:r w:rsidR="004F3EE1">
        <w:t xml:space="preserve">ongoing </w:t>
      </w:r>
      <w:r w:rsidRPr="006B6026">
        <w:t>educational</w:t>
      </w:r>
      <w:r w:rsidR="004F3EE1">
        <w:t xml:space="preserve"> attainment</w:t>
      </w:r>
      <w:r w:rsidRPr="006B6026">
        <w:t xml:space="preserve"> and employment</w:t>
      </w:r>
      <w:r w:rsidR="004F3EE1">
        <w:t xml:space="preserve"> in this group</w:t>
      </w:r>
      <w:r w:rsidRPr="006B6026">
        <w:t>.  Participants were first enrolled in the study during adolescen</w:t>
      </w:r>
      <w:r w:rsidR="00563C41">
        <w:t>ce</w:t>
      </w:r>
      <w:r w:rsidRPr="006B6026">
        <w:t xml:space="preserve">, so NLTS-2 cannot address how early risk factors impact the long term developmental outcomes of children with and without ASD.  Furthermore, because the NLTS-2 is composed entirely of adolescents receiving special education, it does not include a non-disability comparison group.  </w:t>
      </w:r>
    </w:p>
    <w:p w14:paraId="55D64555" w14:textId="07DE6351" w:rsidR="00896F49" w:rsidRDefault="006B6026" w:rsidP="00896F49">
      <w:pPr>
        <w:spacing w:line="480" w:lineRule="auto"/>
        <w:ind w:firstLine="720"/>
      </w:pPr>
      <w:r w:rsidRPr="006B6026">
        <w:t xml:space="preserve">Other well-established </w:t>
      </w:r>
      <w:r w:rsidR="00DD1CFE">
        <w:t>follow-up</w:t>
      </w:r>
      <w:r w:rsidR="00DD1CFE" w:rsidRPr="006B6026">
        <w:t xml:space="preserve"> </w:t>
      </w:r>
      <w:r w:rsidRPr="006B6026">
        <w:t>research studies (</w:t>
      </w:r>
      <w:r w:rsidR="00B87E27">
        <w:t xml:space="preserve">References </w:t>
      </w:r>
      <w:r w:rsidRPr="006B6026">
        <w:t>D, E, F</w:t>
      </w:r>
      <w:r w:rsidR="00B87E27">
        <w:t xml:space="preserve"> in Table 1</w:t>
      </w:r>
      <w:r w:rsidRPr="006B6026">
        <w:t xml:space="preserve">) </w:t>
      </w:r>
      <w:r w:rsidR="00563C41">
        <w:t xml:space="preserve">also </w:t>
      </w:r>
      <w:r w:rsidRPr="006B6026">
        <w:t xml:space="preserve">typically begin following individuals during adolescence or adulthood, which limits the ability to explore early-life contributions to later outcomes.  </w:t>
      </w:r>
      <w:r w:rsidR="00563C41">
        <w:t>And as with IAN and NLTS-2, t</w:t>
      </w:r>
      <w:r w:rsidRPr="006B6026">
        <w:t xml:space="preserve">hese studies also lack non-autism comparison groups.  </w:t>
      </w:r>
    </w:p>
    <w:p w14:paraId="182EAE04" w14:textId="77777777" w:rsidR="00896F49" w:rsidRDefault="006B6026" w:rsidP="00896F49">
      <w:pPr>
        <w:spacing w:line="480" w:lineRule="auto"/>
        <w:ind w:firstLine="720"/>
      </w:pPr>
      <w:r w:rsidRPr="006B6026">
        <w:t>Finally, there a</w:t>
      </w:r>
      <w:r w:rsidR="00563C41">
        <w:t>re a few</w:t>
      </w:r>
      <w:r w:rsidRPr="006B6026">
        <w:t xml:space="preserve"> longitudinal autism studies that begin in childhood, but these </w:t>
      </w:r>
      <w:r w:rsidR="00563C41">
        <w:t xml:space="preserve">clinic-based </w:t>
      </w:r>
      <w:r w:rsidRPr="006B6026">
        <w:t xml:space="preserve">studies are </w:t>
      </w:r>
      <w:r w:rsidR="00563C41">
        <w:t xml:space="preserve">much </w:t>
      </w:r>
      <w:r w:rsidRPr="006B6026">
        <w:t>smaller in size than SEED Teen, have limited (or no) comparison groups, and are often focused on autism symptomatology and psychometric evaluation rather than on health, family, and functioning.  Further, these studies do not match the depth of SEED Teen’s prospectively-collected information in early childhood.</w:t>
      </w:r>
    </w:p>
    <w:p w14:paraId="51D684A7" w14:textId="77777777" w:rsidR="006B6026" w:rsidRDefault="006B6026" w:rsidP="00896F49">
      <w:pPr>
        <w:spacing w:line="480" w:lineRule="auto"/>
        <w:ind w:firstLine="720"/>
      </w:pPr>
      <w:r w:rsidRPr="006B6026">
        <w:t>By building upon the already-comple</w:t>
      </w:r>
      <w:r>
        <w:t xml:space="preserve">ted waves of SEED, SEED Teen </w:t>
      </w:r>
      <w:r w:rsidRPr="006B6026">
        <w:t xml:space="preserve">represents an extremely efficient use of resources – the cost to perform the follow-up components of SEED Teen is much less than the initial, intensive data collection. </w:t>
      </w:r>
      <w:r>
        <w:t xml:space="preserve"> </w:t>
      </w:r>
      <w:r w:rsidRPr="006B6026">
        <w:t>Thus, SEED Teen is not only a unique source of information about autism and other developmental disabilities, it is further enhancing the value of the existing SEED data.</w:t>
      </w:r>
    </w:p>
    <w:p w14:paraId="2DABD329" w14:textId="77777777" w:rsidR="006B6026" w:rsidRPr="007D2DCB" w:rsidRDefault="007D2DCB" w:rsidP="00EE41FC">
      <w:pPr>
        <w:spacing w:line="480" w:lineRule="auto"/>
        <w:rPr>
          <w:b/>
        </w:rPr>
      </w:pPr>
      <w:r w:rsidRPr="007D2DCB">
        <w:rPr>
          <w:b/>
        </w:rPr>
        <w:t>Table 1. Characteristics of relevant autism studies compared to SEED Teen</w:t>
      </w:r>
      <w:r w:rsidR="006075B2" w:rsidRPr="007D2DCB">
        <w:rPr>
          <w:b/>
        </w:rPr>
        <w:t xml:space="preserve"> </w:t>
      </w:r>
    </w:p>
    <w:tbl>
      <w:tblPr>
        <w:tblStyle w:val="TableGrid"/>
        <w:tblW w:w="10430" w:type="dxa"/>
        <w:tblLayout w:type="fixed"/>
        <w:tblLook w:val="04A0" w:firstRow="1" w:lastRow="0" w:firstColumn="1" w:lastColumn="0" w:noHBand="0" w:noVBand="1"/>
      </w:tblPr>
      <w:tblGrid>
        <w:gridCol w:w="2695"/>
        <w:gridCol w:w="810"/>
        <w:gridCol w:w="990"/>
        <w:gridCol w:w="630"/>
        <w:gridCol w:w="720"/>
        <w:gridCol w:w="810"/>
        <w:gridCol w:w="990"/>
        <w:gridCol w:w="990"/>
        <w:gridCol w:w="810"/>
        <w:gridCol w:w="985"/>
      </w:tblGrid>
      <w:tr w:rsidR="006B6026" w:rsidRPr="0072786F" w14:paraId="0BCB1776" w14:textId="77777777" w:rsidTr="005843EE">
        <w:tc>
          <w:tcPr>
            <w:tcW w:w="2695" w:type="dxa"/>
            <w:vAlign w:val="bottom"/>
          </w:tcPr>
          <w:p w14:paraId="33D0933A" w14:textId="77777777" w:rsidR="006B6026" w:rsidRPr="0072786F" w:rsidRDefault="006B6026" w:rsidP="006B6026">
            <w:pPr>
              <w:rPr>
                <w:sz w:val="20"/>
                <w:szCs w:val="20"/>
              </w:rPr>
            </w:pPr>
            <w:r w:rsidRPr="0072786F">
              <w:rPr>
                <w:sz w:val="20"/>
                <w:szCs w:val="20"/>
              </w:rPr>
              <w:t>Feature</w:t>
            </w:r>
          </w:p>
        </w:tc>
        <w:tc>
          <w:tcPr>
            <w:tcW w:w="810" w:type="dxa"/>
            <w:vAlign w:val="bottom"/>
          </w:tcPr>
          <w:p w14:paraId="63ACEEE9" w14:textId="77777777" w:rsidR="006B6026" w:rsidRPr="0072786F" w:rsidRDefault="006B6026" w:rsidP="006B6026">
            <w:pPr>
              <w:rPr>
                <w:sz w:val="20"/>
                <w:szCs w:val="20"/>
              </w:rPr>
            </w:pPr>
            <w:r w:rsidRPr="0072786F">
              <w:rPr>
                <w:sz w:val="20"/>
                <w:szCs w:val="20"/>
              </w:rPr>
              <w:t>SEED TEEN</w:t>
            </w:r>
          </w:p>
        </w:tc>
        <w:tc>
          <w:tcPr>
            <w:tcW w:w="990" w:type="dxa"/>
            <w:vAlign w:val="bottom"/>
          </w:tcPr>
          <w:p w14:paraId="2304BC7F" w14:textId="75F2C587" w:rsidR="00A4299F" w:rsidRDefault="00A4299F" w:rsidP="00563C41">
            <w:pPr>
              <w:rPr>
                <w:sz w:val="20"/>
                <w:szCs w:val="20"/>
              </w:rPr>
            </w:pPr>
            <w:r>
              <w:rPr>
                <w:sz w:val="20"/>
                <w:szCs w:val="20"/>
              </w:rPr>
              <w:t>Natl Surveys</w:t>
            </w:r>
            <w:r w:rsidR="005843EE">
              <w:rPr>
                <w:sz w:val="20"/>
                <w:szCs w:val="20"/>
              </w:rPr>
              <w:t>,</w:t>
            </w:r>
            <w:r>
              <w:rPr>
                <w:sz w:val="20"/>
                <w:szCs w:val="20"/>
              </w:rPr>
              <w:t xml:space="preserve">  such as</w:t>
            </w:r>
          </w:p>
          <w:p w14:paraId="7C564E7C" w14:textId="18DAF564" w:rsidR="006B6026" w:rsidRPr="0072786F" w:rsidRDefault="006B6026" w:rsidP="00563C41">
            <w:pPr>
              <w:rPr>
                <w:sz w:val="20"/>
                <w:szCs w:val="20"/>
              </w:rPr>
            </w:pPr>
            <w:r>
              <w:rPr>
                <w:sz w:val="20"/>
                <w:szCs w:val="20"/>
              </w:rPr>
              <w:t xml:space="preserve">NHIS NSCH </w:t>
            </w:r>
            <w:r w:rsidRPr="00CC068E">
              <w:rPr>
                <w:sz w:val="16"/>
                <w:szCs w:val="16"/>
              </w:rPr>
              <w:t>(</w:t>
            </w:r>
            <w:r>
              <w:rPr>
                <w:sz w:val="20"/>
                <w:szCs w:val="20"/>
              </w:rPr>
              <w:t>A)</w:t>
            </w:r>
          </w:p>
        </w:tc>
        <w:tc>
          <w:tcPr>
            <w:tcW w:w="630" w:type="dxa"/>
            <w:vAlign w:val="bottom"/>
          </w:tcPr>
          <w:p w14:paraId="160DF631" w14:textId="77777777" w:rsidR="006B6026" w:rsidRDefault="006B6026" w:rsidP="006B6026">
            <w:pPr>
              <w:rPr>
                <w:sz w:val="20"/>
                <w:szCs w:val="20"/>
              </w:rPr>
            </w:pPr>
            <w:r w:rsidRPr="0072786F">
              <w:rPr>
                <w:sz w:val="20"/>
                <w:szCs w:val="20"/>
              </w:rPr>
              <w:t>IAN</w:t>
            </w:r>
          </w:p>
          <w:p w14:paraId="30AA751E" w14:textId="77777777" w:rsidR="006B6026" w:rsidRPr="0072786F" w:rsidRDefault="006B6026" w:rsidP="006B6026">
            <w:pPr>
              <w:rPr>
                <w:sz w:val="20"/>
                <w:szCs w:val="20"/>
              </w:rPr>
            </w:pPr>
            <w:r>
              <w:rPr>
                <w:sz w:val="20"/>
                <w:szCs w:val="20"/>
              </w:rPr>
              <w:t>(B)</w:t>
            </w:r>
          </w:p>
        </w:tc>
        <w:tc>
          <w:tcPr>
            <w:tcW w:w="720" w:type="dxa"/>
            <w:vAlign w:val="bottom"/>
          </w:tcPr>
          <w:p w14:paraId="165BC609" w14:textId="77777777" w:rsidR="006B6026" w:rsidRPr="0072786F" w:rsidRDefault="006B6026" w:rsidP="006B6026">
            <w:pPr>
              <w:rPr>
                <w:sz w:val="20"/>
                <w:szCs w:val="20"/>
              </w:rPr>
            </w:pPr>
            <w:r w:rsidRPr="0072786F">
              <w:rPr>
                <w:sz w:val="20"/>
                <w:szCs w:val="20"/>
              </w:rPr>
              <w:t>NLTS2</w:t>
            </w:r>
            <w:r>
              <w:rPr>
                <w:sz w:val="20"/>
                <w:szCs w:val="20"/>
              </w:rPr>
              <w:t xml:space="preserve"> (C)</w:t>
            </w:r>
          </w:p>
        </w:tc>
        <w:tc>
          <w:tcPr>
            <w:tcW w:w="810" w:type="dxa"/>
            <w:vAlign w:val="bottom"/>
          </w:tcPr>
          <w:p w14:paraId="59C8FB58" w14:textId="77777777" w:rsidR="006B6026" w:rsidRPr="0072786F" w:rsidRDefault="006B6026" w:rsidP="006B6026">
            <w:pPr>
              <w:rPr>
                <w:sz w:val="20"/>
                <w:szCs w:val="20"/>
              </w:rPr>
            </w:pPr>
            <w:r>
              <w:rPr>
                <w:sz w:val="20"/>
                <w:szCs w:val="20"/>
              </w:rPr>
              <w:t>Adolescents and adults with autism (D)</w:t>
            </w:r>
          </w:p>
        </w:tc>
        <w:tc>
          <w:tcPr>
            <w:tcW w:w="990" w:type="dxa"/>
            <w:vAlign w:val="bottom"/>
          </w:tcPr>
          <w:p w14:paraId="0E5F4207" w14:textId="77777777" w:rsidR="006B6026" w:rsidRPr="0072786F" w:rsidRDefault="006B6026" w:rsidP="006B6026">
            <w:pPr>
              <w:rPr>
                <w:sz w:val="20"/>
                <w:szCs w:val="20"/>
              </w:rPr>
            </w:pPr>
            <w:r w:rsidRPr="0072786F">
              <w:rPr>
                <w:sz w:val="20"/>
                <w:szCs w:val="20"/>
              </w:rPr>
              <w:t>UNC TEACCH</w:t>
            </w:r>
            <w:r>
              <w:rPr>
                <w:sz w:val="20"/>
                <w:szCs w:val="20"/>
              </w:rPr>
              <w:t xml:space="preserve"> (E)</w:t>
            </w:r>
          </w:p>
        </w:tc>
        <w:tc>
          <w:tcPr>
            <w:tcW w:w="990" w:type="dxa"/>
            <w:vAlign w:val="bottom"/>
          </w:tcPr>
          <w:p w14:paraId="7774BEF6" w14:textId="77777777" w:rsidR="006B6026" w:rsidRPr="0072786F" w:rsidRDefault="006B6026" w:rsidP="006B6026">
            <w:pPr>
              <w:rPr>
                <w:sz w:val="20"/>
                <w:szCs w:val="20"/>
              </w:rPr>
            </w:pPr>
            <w:r w:rsidRPr="0072786F">
              <w:rPr>
                <w:sz w:val="20"/>
                <w:szCs w:val="20"/>
              </w:rPr>
              <w:t>Vanderbilt</w:t>
            </w:r>
            <w:r>
              <w:rPr>
                <w:sz w:val="20"/>
                <w:szCs w:val="20"/>
              </w:rPr>
              <w:t xml:space="preserve"> (F)</w:t>
            </w:r>
          </w:p>
        </w:tc>
        <w:tc>
          <w:tcPr>
            <w:tcW w:w="810" w:type="dxa"/>
            <w:vAlign w:val="bottom"/>
          </w:tcPr>
          <w:p w14:paraId="54CEDAF4" w14:textId="77777777" w:rsidR="006B6026" w:rsidRDefault="006B6026" w:rsidP="006B6026">
            <w:pPr>
              <w:rPr>
                <w:sz w:val="20"/>
                <w:szCs w:val="20"/>
              </w:rPr>
            </w:pPr>
            <w:r w:rsidRPr="0072786F">
              <w:rPr>
                <w:sz w:val="20"/>
                <w:szCs w:val="20"/>
              </w:rPr>
              <w:t>Lord Transi</w:t>
            </w:r>
            <w:r>
              <w:rPr>
                <w:sz w:val="20"/>
                <w:szCs w:val="20"/>
              </w:rPr>
              <w:t>-</w:t>
            </w:r>
            <w:r w:rsidRPr="0072786F">
              <w:rPr>
                <w:sz w:val="20"/>
                <w:szCs w:val="20"/>
              </w:rPr>
              <w:t>tion</w:t>
            </w:r>
          </w:p>
          <w:p w14:paraId="1EB29896" w14:textId="77777777" w:rsidR="006B6026" w:rsidRPr="0072786F" w:rsidRDefault="006B6026" w:rsidP="006B6026">
            <w:pPr>
              <w:rPr>
                <w:sz w:val="20"/>
                <w:szCs w:val="20"/>
              </w:rPr>
            </w:pPr>
            <w:r>
              <w:rPr>
                <w:sz w:val="20"/>
                <w:szCs w:val="20"/>
              </w:rPr>
              <w:t>(G)</w:t>
            </w:r>
          </w:p>
        </w:tc>
        <w:tc>
          <w:tcPr>
            <w:tcW w:w="985" w:type="dxa"/>
            <w:vAlign w:val="bottom"/>
          </w:tcPr>
          <w:p w14:paraId="44947315" w14:textId="77777777" w:rsidR="006B6026" w:rsidRDefault="006B6026" w:rsidP="006B6026">
            <w:pPr>
              <w:rPr>
                <w:sz w:val="20"/>
                <w:szCs w:val="20"/>
              </w:rPr>
            </w:pPr>
            <w:r w:rsidRPr="0072786F">
              <w:rPr>
                <w:sz w:val="20"/>
                <w:szCs w:val="20"/>
              </w:rPr>
              <w:t>Lord Longi</w:t>
            </w:r>
            <w:r>
              <w:rPr>
                <w:sz w:val="20"/>
                <w:szCs w:val="20"/>
              </w:rPr>
              <w:t>-</w:t>
            </w:r>
            <w:r w:rsidRPr="0072786F">
              <w:rPr>
                <w:sz w:val="20"/>
                <w:szCs w:val="20"/>
              </w:rPr>
              <w:t>tudinal</w:t>
            </w:r>
          </w:p>
          <w:p w14:paraId="0E0FB623" w14:textId="77777777" w:rsidR="006B6026" w:rsidRPr="0072786F" w:rsidRDefault="006B6026" w:rsidP="006B6026">
            <w:pPr>
              <w:rPr>
                <w:sz w:val="20"/>
                <w:szCs w:val="20"/>
              </w:rPr>
            </w:pPr>
            <w:r>
              <w:rPr>
                <w:sz w:val="20"/>
                <w:szCs w:val="20"/>
              </w:rPr>
              <w:t>(H)</w:t>
            </w:r>
          </w:p>
        </w:tc>
      </w:tr>
      <w:tr w:rsidR="006B6026" w:rsidRPr="0072786F" w14:paraId="0D0DAD15" w14:textId="77777777" w:rsidTr="005843EE">
        <w:tc>
          <w:tcPr>
            <w:tcW w:w="2695" w:type="dxa"/>
            <w:vAlign w:val="bottom"/>
          </w:tcPr>
          <w:p w14:paraId="094FCCEF" w14:textId="161D84DC" w:rsidR="006B6026" w:rsidRPr="0072786F" w:rsidRDefault="0077012B" w:rsidP="006B6026">
            <w:pPr>
              <w:rPr>
                <w:sz w:val="20"/>
                <w:szCs w:val="20"/>
              </w:rPr>
            </w:pPr>
            <w:r>
              <w:rPr>
                <w:sz w:val="20"/>
                <w:szCs w:val="20"/>
              </w:rPr>
              <w:t>Follow-up Study Component</w:t>
            </w:r>
          </w:p>
        </w:tc>
        <w:tc>
          <w:tcPr>
            <w:tcW w:w="810" w:type="dxa"/>
            <w:vAlign w:val="bottom"/>
          </w:tcPr>
          <w:p w14:paraId="55758FBD" w14:textId="77777777" w:rsidR="006B6026" w:rsidRPr="0072786F" w:rsidRDefault="006B6026" w:rsidP="006B6026">
            <w:pPr>
              <w:rPr>
                <w:sz w:val="20"/>
                <w:szCs w:val="20"/>
              </w:rPr>
            </w:pPr>
            <w:r>
              <w:rPr>
                <w:sz w:val="20"/>
                <w:szCs w:val="20"/>
              </w:rPr>
              <w:t>Yes</w:t>
            </w:r>
          </w:p>
        </w:tc>
        <w:tc>
          <w:tcPr>
            <w:tcW w:w="990" w:type="dxa"/>
            <w:vAlign w:val="bottom"/>
          </w:tcPr>
          <w:p w14:paraId="1A18383A" w14:textId="77777777" w:rsidR="006B6026" w:rsidRPr="0072786F" w:rsidRDefault="006B6026" w:rsidP="006B6026">
            <w:pPr>
              <w:rPr>
                <w:sz w:val="20"/>
                <w:szCs w:val="20"/>
              </w:rPr>
            </w:pPr>
          </w:p>
        </w:tc>
        <w:tc>
          <w:tcPr>
            <w:tcW w:w="630" w:type="dxa"/>
            <w:vAlign w:val="bottom"/>
          </w:tcPr>
          <w:p w14:paraId="2E31D87F" w14:textId="77777777" w:rsidR="006B6026" w:rsidRPr="0072786F" w:rsidRDefault="006B6026" w:rsidP="006B6026">
            <w:pPr>
              <w:rPr>
                <w:sz w:val="20"/>
                <w:szCs w:val="20"/>
              </w:rPr>
            </w:pPr>
          </w:p>
        </w:tc>
        <w:tc>
          <w:tcPr>
            <w:tcW w:w="720" w:type="dxa"/>
            <w:vAlign w:val="bottom"/>
          </w:tcPr>
          <w:p w14:paraId="494B484B" w14:textId="77777777" w:rsidR="006B6026" w:rsidRPr="0072786F" w:rsidRDefault="006B6026" w:rsidP="006B6026">
            <w:pPr>
              <w:rPr>
                <w:sz w:val="20"/>
                <w:szCs w:val="20"/>
              </w:rPr>
            </w:pPr>
            <w:r>
              <w:rPr>
                <w:sz w:val="20"/>
                <w:szCs w:val="20"/>
              </w:rPr>
              <w:t>Yes</w:t>
            </w:r>
          </w:p>
        </w:tc>
        <w:tc>
          <w:tcPr>
            <w:tcW w:w="810" w:type="dxa"/>
            <w:vAlign w:val="bottom"/>
          </w:tcPr>
          <w:p w14:paraId="68213C03" w14:textId="77777777" w:rsidR="006B6026" w:rsidRPr="0072786F" w:rsidRDefault="006B6026" w:rsidP="006B6026">
            <w:pPr>
              <w:rPr>
                <w:sz w:val="20"/>
                <w:szCs w:val="20"/>
              </w:rPr>
            </w:pPr>
            <w:r>
              <w:rPr>
                <w:sz w:val="20"/>
                <w:szCs w:val="20"/>
              </w:rPr>
              <w:t>Yes</w:t>
            </w:r>
          </w:p>
        </w:tc>
        <w:tc>
          <w:tcPr>
            <w:tcW w:w="990" w:type="dxa"/>
            <w:vAlign w:val="bottom"/>
          </w:tcPr>
          <w:p w14:paraId="5E0825F7" w14:textId="77777777" w:rsidR="006B6026" w:rsidRPr="0072786F" w:rsidRDefault="006B6026" w:rsidP="006B6026">
            <w:pPr>
              <w:rPr>
                <w:sz w:val="20"/>
                <w:szCs w:val="20"/>
              </w:rPr>
            </w:pPr>
            <w:r>
              <w:rPr>
                <w:sz w:val="20"/>
                <w:szCs w:val="20"/>
              </w:rPr>
              <w:t>Yes</w:t>
            </w:r>
          </w:p>
        </w:tc>
        <w:tc>
          <w:tcPr>
            <w:tcW w:w="990" w:type="dxa"/>
            <w:vAlign w:val="bottom"/>
          </w:tcPr>
          <w:p w14:paraId="79A55DA0" w14:textId="77777777" w:rsidR="006B6026" w:rsidRPr="0072786F" w:rsidRDefault="006B6026" w:rsidP="006B6026">
            <w:pPr>
              <w:rPr>
                <w:sz w:val="20"/>
                <w:szCs w:val="20"/>
              </w:rPr>
            </w:pPr>
            <w:r>
              <w:rPr>
                <w:sz w:val="20"/>
                <w:szCs w:val="20"/>
              </w:rPr>
              <w:t>Yes</w:t>
            </w:r>
          </w:p>
        </w:tc>
        <w:tc>
          <w:tcPr>
            <w:tcW w:w="810" w:type="dxa"/>
            <w:vAlign w:val="bottom"/>
          </w:tcPr>
          <w:p w14:paraId="5805CEB7" w14:textId="77777777" w:rsidR="006B6026" w:rsidRPr="0072786F" w:rsidRDefault="006B6026" w:rsidP="006B6026">
            <w:pPr>
              <w:rPr>
                <w:sz w:val="20"/>
                <w:szCs w:val="20"/>
              </w:rPr>
            </w:pPr>
            <w:r>
              <w:rPr>
                <w:sz w:val="20"/>
                <w:szCs w:val="20"/>
              </w:rPr>
              <w:t>Yes</w:t>
            </w:r>
          </w:p>
        </w:tc>
        <w:tc>
          <w:tcPr>
            <w:tcW w:w="985" w:type="dxa"/>
            <w:vAlign w:val="bottom"/>
          </w:tcPr>
          <w:p w14:paraId="71D82B9A" w14:textId="77777777" w:rsidR="006B6026" w:rsidRPr="0072786F" w:rsidRDefault="006B6026" w:rsidP="006B6026">
            <w:pPr>
              <w:rPr>
                <w:sz w:val="20"/>
                <w:szCs w:val="20"/>
              </w:rPr>
            </w:pPr>
            <w:r>
              <w:rPr>
                <w:sz w:val="20"/>
                <w:szCs w:val="20"/>
              </w:rPr>
              <w:t>Yes</w:t>
            </w:r>
          </w:p>
        </w:tc>
      </w:tr>
      <w:tr w:rsidR="006B6026" w14:paraId="2C49C107" w14:textId="77777777" w:rsidTr="005843EE">
        <w:tc>
          <w:tcPr>
            <w:tcW w:w="2695" w:type="dxa"/>
            <w:vAlign w:val="bottom"/>
          </w:tcPr>
          <w:p w14:paraId="60B5B51A" w14:textId="77777777" w:rsidR="006B6026" w:rsidRDefault="006B6026" w:rsidP="006B6026">
            <w:pPr>
              <w:rPr>
                <w:sz w:val="20"/>
                <w:szCs w:val="20"/>
              </w:rPr>
            </w:pPr>
            <w:r>
              <w:rPr>
                <w:sz w:val="20"/>
                <w:szCs w:val="20"/>
              </w:rPr>
              <w:t>Purposeful recruiting/sampling for racial and socio-economic diversity</w:t>
            </w:r>
          </w:p>
        </w:tc>
        <w:tc>
          <w:tcPr>
            <w:tcW w:w="810" w:type="dxa"/>
            <w:vAlign w:val="bottom"/>
          </w:tcPr>
          <w:p w14:paraId="35F1824F" w14:textId="77777777" w:rsidR="006B6026" w:rsidRDefault="006B6026" w:rsidP="006B6026">
            <w:pPr>
              <w:rPr>
                <w:sz w:val="20"/>
                <w:szCs w:val="20"/>
              </w:rPr>
            </w:pPr>
            <w:r>
              <w:rPr>
                <w:sz w:val="20"/>
                <w:szCs w:val="20"/>
              </w:rPr>
              <w:t>Yes</w:t>
            </w:r>
          </w:p>
        </w:tc>
        <w:tc>
          <w:tcPr>
            <w:tcW w:w="990" w:type="dxa"/>
            <w:vAlign w:val="bottom"/>
          </w:tcPr>
          <w:p w14:paraId="0D20DEB4" w14:textId="77777777" w:rsidR="006B6026" w:rsidRDefault="006B6026" w:rsidP="006B6026">
            <w:pPr>
              <w:rPr>
                <w:sz w:val="20"/>
                <w:szCs w:val="20"/>
              </w:rPr>
            </w:pPr>
            <w:r>
              <w:rPr>
                <w:sz w:val="20"/>
                <w:szCs w:val="20"/>
              </w:rPr>
              <w:t>Yes</w:t>
            </w:r>
          </w:p>
        </w:tc>
        <w:tc>
          <w:tcPr>
            <w:tcW w:w="630" w:type="dxa"/>
            <w:vAlign w:val="bottom"/>
          </w:tcPr>
          <w:p w14:paraId="410C563D" w14:textId="77777777" w:rsidR="006B6026" w:rsidRDefault="006B6026" w:rsidP="006B6026">
            <w:pPr>
              <w:rPr>
                <w:sz w:val="20"/>
                <w:szCs w:val="20"/>
              </w:rPr>
            </w:pPr>
            <w:r>
              <w:rPr>
                <w:sz w:val="20"/>
                <w:szCs w:val="20"/>
              </w:rPr>
              <w:t>Yes</w:t>
            </w:r>
          </w:p>
        </w:tc>
        <w:tc>
          <w:tcPr>
            <w:tcW w:w="720" w:type="dxa"/>
            <w:vAlign w:val="bottom"/>
          </w:tcPr>
          <w:p w14:paraId="11553A81" w14:textId="77777777" w:rsidR="006B6026" w:rsidRDefault="006B6026" w:rsidP="006B6026">
            <w:pPr>
              <w:rPr>
                <w:sz w:val="20"/>
                <w:szCs w:val="20"/>
              </w:rPr>
            </w:pPr>
            <w:r>
              <w:rPr>
                <w:sz w:val="20"/>
                <w:szCs w:val="20"/>
              </w:rPr>
              <w:t>Yes</w:t>
            </w:r>
          </w:p>
        </w:tc>
        <w:tc>
          <w:tcPr>
            <w:tcW w:w="810" w:type="dxa"/>
            <w:vAlign w:val="bottom"/>
          </w:tcPr>
          <w:p w14:paraId="0DB22043" w14:textId="77777777" w:rsidR="006B6026" w:rsidRDefault="006B6026" w:rsidP="006B6026">
            <w:pPr>
              <w:rPr>
                <w:sz w:val="20"/>
                <w:szCs w:val="20"/>
              </w:rPr>
            </w:pPr>
            <w:r>
              <w:rPr>
                <w:sz w:val="20"/>
                <w:szCs w:val="20"/>
              </w:rPr>
              <w:t>?</w:t>
            </w:r>
          </w:p>
        </w:tc>
        <w:tc>
          <w:tcPr>
            <w:tcW w:w="990" w:type="dxa"/>
            <w:vAlign w:val="bottom"/>
          </w:tcPr>
          <w:p w14:paraId="058C6311" w14:textId="77777777" w:rsidR="006B6026" w:rsidRDefault="006B6026" w:rsidP="006B6026">
            <w:pPr>
              <w:rPr>
                <w:sz w:val="20"/>
                <w:szCs w:val="20"/>
              </w:rPr>
            </w:pPr>
            <w:r>
              <w:rPr>
                <w:sz w:val="20"/>
                <w:szCs w:val="20"/>
              </w:rPr>
              <w:t>?</w:t>
            </w:r>
          </w:p>
        </w:tc>
        <w:tc>
          <w:tcPr>
            <w:tcW w:w="990" w:type="dxa"/>
            <w:vAlign w:val="bottom"/>
          </w:tcPr>
          <w:p w14:paraId="75C1238B" w14:textId="77777777" w:rsidR="006B6026" w:rsidRDefault="006B6026" w:rsidP="006B6026">
            <w:pPr>
              <w:rPr>
                <w:sz w:val="20"/>
                <w:szCs w:val="20"/>
              </w:rPr>
            </w:pPr>
            <w:r>
              <w:rPr>
                <w:sz w:val="20"/>
                <w:szCs w:val="20"/>
              </w:rPr>
              <w:t>?</w:t>
            </w:r>
          </w:p>
        </w:tc>
        <w:tc>
          <w:tcPr>
            <w:tcW w:w="810" w:type="dxa"/>
            <w:vAlign w:val="bottom"/>
          </w:tcPr>
          <w:p w14:paraId="0D7D7752" w14:textId="77777777" w:rsidR="006B6026" w:rsidRDefault="006B6026" w:rsidP="006B6026">
            <w:pPr>
              <w:rPr>
                <w:sz w:val="20"/>
                <w:szCs w:val="20"/>
              </w:rPr>
            </w:pPr>
            <w:r>
              <w:rPr>
                <w:sz w:val="20"/>
                <w:szCs w:val="20"/>
              </w:rPr>
              <w:t>?</w:t>
            </w:r>
          </w:p>
        </w:tc>
        <w:tc>
          <w:tcPr>
            <w:tcW w:w="985" w:type="dxa"/>
            <w:vAlign w:val="bottom"/>
          </w:tcPr>
          <w:p w14:paraId="215746F4" w14:textId="77777777" w:rsidR="006B6026" w:rsidRDefault="006B6026" w:rsidP="006B6026">
            <w:pPr>
              <w:rPr>
                <w:sz w:val="20"/>
                <w:szCs w:val="20"/>
              </w:rPr>
            </w:pPr>
            <w:r>
              <w:rPr>
                <w:sz w:val="20"/>
                <w:szCs w:val="20"/>
              </w:rPr>
              <w:t>?</w:t>
            </w:r>
          </w:p>
        </w:tc>
      </w:tr>
      <w:tr w:rsidR="008C285E" w14:paraId="31E57BCA" w14:textId="77777777" w:rsidTr="005843EE">
        <w:tc>
          <w:tcPr>
            <w:tcW w:w="2695" w:type="dxa"/>
            <w:vAlign w:val="bottom"/>
          </w:tcPr>
          <w:p w14:paraId="247F00D6" w14:textId="77777777" w:rsidR="008C285E" w:rsidRDefault="008C285E" w:rsidP="002F3841">
            <w:pPr>
              <w:rPr>
                <w:sz w:val="20"/>
                <w:szCs w:val="20"/>
              </w:rPr>
            </w:pPr>
            <w:r>
              <w:rPr>
                <w:sz w:val="20"/>
                <w:szCs w:val="20"/>
              </w:rPr>
              <w:t>Purposeful probability – based methods to identify study participants for recruitment</w:t>
            </w:r>
          </w:p>
        </w:tc>
        <w:tc>
          <w:tcPr>
            <w:tcW w:w="810" w:type="dxa"/>
            <w:vAlign w:val="bottom"/>
          </w:tcPr>
          <w:p w14:paraId="374FDCAC" w14:textId="77777777" w:rsidR="008C285E" w:rsidRDefault="008C285E" w:rsidP="008C285E">
            <w:pPr>
              <w:rPr>
                <w:sz w:val="20"/>
                <w:szCs w:val="20"/>
              </w:rPr>
            </w:pPr>
            <w:r>
              <w:rPr>
                <w:sz w:val="20"/>
                <w:szCs w:val="20"/>
              </w:rPr>
              <w:t>Yes</w:t>
            </w:r>
          </w:p>
        </w:tc>
        <w:tc>
          <w:tcPr>
            <w:tcW w:w="990" w:type="dxa"/>
            <w:vAlign w:val="bottom"/>
          </w:tcPr>
          <w:p w14:paraId="0DD17E8A" w14:textId="77777777" w:rsidR="008C285E" w:rsidRDefault="008C285E" w:rsidP="008C285E">
            <w:pPr>
              <w:rPr>
                <w:sz w:val="20"/>
                <w:szCs w:val="20"/>
              </w:rPr>
            </w:pPr>
            <w:r>
              <w:rPr>
                <w:sz w:val="20"/>
                <w:szCs w:val="20"/>
              </w:rPr>
              <w:t>Yes</w:t>
            </w:r>
          </w:p>
        </w:tc>
        <w:tc>
          <w:tcPr>
            <w:tcW w:w="630" w:type="dxa"/>
            <w:vAlign w:val="bottom"/>
          </w:tcPr>
          <w:p w14:paraId="38F0359F" w14:textId="77777777" w:rsidR="008C285E" w:rsidRDefault="008C285E" w:rsidP="008C285E">
            <w:pPr>
              <w:rPr>
                <w:sz w:val="20"/>
                <w:szCs w:val="20"/>
              </w:rPr>
            </w:pPr>
          </w:p>
        </w:tc>
        <w:tc>
          <w:tcPr>
            <w:tcW w:w="720" w:type="dxa"/>
            <w:vAlign w:val="bottom"/>
          </w:tcPr>
          <w:p w14:paraId="7245E528" w14:textId="77777777" w:rsidR="008C285E" w:rsidRDefault="008C285E" w:rsidP="008C285E">
            <w:pPr>
              <w:rPr>
                <w:sz w:val="20"/>
                <w:szCs w:val="20"/>
              </w:rPr>
            </w:pPr>
          </w:p>
        </w:tc>
        <w:tc>
          <w:tcPr>
            <w:tcW w:w="810" w:type="dxa"/>
            <w:vAlign w:val="bottom"/>
          </w:tcPr>
          <w:p w14:paraId="7E752BE9" w14:textId="77777777" w:rsidR="008C285E" w:rsidRDefault="008C285E" w:rsidP="008C285E">
            <w:pPr>
              <w:rPr>
                <w:sz w:val="20"/>
                <w:szCs w:val="20"/>
              </w:rPr>
            </w:pPr>
          </w:p>
        </w:tc>
        <w:tc>
          <w:tcPr>
            <w:tcW w:w="990" w:type="dxa"/>
            <w:vAlign w:val="bottom"/>
          </w:tcPr>
          <w:p w14:paraId="70227790" w14:textId="77777777" w:rsidR="008C285E" w:rsidRDefault="008C285E" w:rsidP="008C285E">
            <w:pPr>
              <w:rPr>
                <w:sz w:val="20"/>
                <w:szCs w:val="20"/>
              </w:rPr>
            </w:pPr>
          </w:p>
        </w:tc>
        <w:tc>
          <w:tcPr>
            <w:tcW w:w="990" w:type="dxa"/>
            <w:vAlign w:val="bottom"/>
          </w:tcPr>
          <w:p w14:paraId="7551BB22" w14:textId="77777777" w:rsidR="008C285E" w:rsidRDefault="008C285E" w:rsidP="008C285E">
            <w:pPr>
              <w:rPr>
                <w:sz w:val="20"/>
                <w:szCs w:val="20"/>
              </w:rPr>
            </w:pPr>
          </w:p>
        </w:tc>
        <w:tc>
          <w:tcPr>
            <w:tcW w:w="810" w:type="dxa"/>
            <w:vAlign w:val="bottom"/>
          </w:tcPr>
          <w:p w14:paraId="5B84EFE0" w14:textId="77777777" w:rsidR="008C285E" w:rsidRDefault="008C285E" w:rsidP="008C285E">
            <w:pPr>
              <w:rPr>
                <w:sz w:val="20"/>
                <w:szCs w:val="20"/>
              </w:rPr>
            </w:pPr>
          </w:p>
        </w:tc>
        <w:tc>
          <w:tcPr>
            <w:tcW w:w="985" w:type="dxa"/>
            <w:vAlign w:val="bottom"/>
          </w:tcPr>
          <w:p w14:paraId="15F34D34" w14:textId="77777777" w:rsidR="008C285E" w:rsidRDefault="008C285E" w:rsidP="008C285E">
            <w:pPr>
              <w:rPr>
                <w:sz w:val="20"/>
                <w:szCs w:val="20"/>
              </w:rPr>
            </w:pPr>
          </w:p>
        </w:tc>
      </w:tr>
      <w:tr w:rsidR="008C285E" w14:paraId="407A8B87" w14:textId="77777777" w:rsidTr="005843EE">
        <w:tc>
          <w:tcPr>
            <w:tcW w:w="2695" w:type="dxa"/>
            <w:vAlign w:val="bottom"/>
          </w:tcPr>
          <w:p w14:paraId="4BCABB31" w14:textId="77777777" w:rsidR="008C285E" w:rsidRDefault="008C285E" w:rsidP="008C285E">
            <w:pPr>
              <w:rPr>
                <w:sz w:val="20"/>
                <w:szCs w:val="20"/>
              </w:rPr>
            </w:pPr>
            <w:r>
              <w:rPr>
                <w:sz w:val="20"/>
                <w:szCs w:val="20"/>
              </w:rPr>
              <w:t>Major focus on child health, daily-life functioning, and family impact</w:t>
            </w:r>
          </w:p>
        </w:tc>
        <w:tc>
          <w:tcPr>
            <w:tcW w:w="810" w:type="dxa"/>
            <w:vAlign w:val="bottom"/>
          </w:tcPr>
          <w:p w14:paraId="3B7C133A" w14:textId="77777777" w:rsidR="008C285E" w:rsidRDefault="008C285E" w:rsidP="008C285E">
            <w:pPr>
              <w:rPr>
                <w:sz w:val="20"/>
                <w:szCs w:val="20"/>
              </w:rPr>
            </w:pPr>
            <w:r>
              <w:rPr>
                <w:sz w:val="20"/>
                <w:szCs w:val="20"/>
              </w:rPr>
              <w:t>Yes</w:t>
            </w:r>
          </w:p>
        </w:tc>
        <w:tc>
          <w:tcPr>
            <w:tcW w:w="990" w:type="dxa"/>
            <w:vAlign w:val="bottom"/>
          </w:tcPr>
          <w:p w14:paraId="21FA7C67" w14:textId="77777777" w:rsidR="008C285E" w:rsidRDefault="008C285E" w:rsidP="008C285E">
            <w:pPr>
              <w:rPr>
                <w:sz w:val="20"/>
                <w:szCs w:val="20"/>
              </w:rPr>
            </w:pPr>
            <w:r>
              <w:rPr>
                <w:sz w:val="20"/>
                <w:szCs w:val="20"/>
              </w:rPr>
              <w:t>Yes</w:t>
            </w:r>
          </w:p>
        </w:tc>
        <w:tc>
          <w:tcPr>
            <w:tcW w:w="630" w:type="dxa"/>
            <w:vAlign w:val="bottom"/>
          </w:tcPr>
          <w:p w14:paraId="21833737" w14:textId="77777777" w:rsidR="008C285E" w:rsidRDefault="008C285E" w:rsidP="008C285E">
            <w:pPr>
              <w:rPr>
                <w:sz w:val="20"/>
                <w:szCs w:val="20"/>
              </w:rPr>
            </w:pPr>
            <w:r>
              <w:rPr>
                <w:sz w:val="20"/>
                <w:szCs w:val="20"/>
              </w:rPr>
              <w:t>Yes</w:t>
            </w:r>
          </w:p>
        </w:tc>
        <w:tc>
          <w:tcPr>
            <w:tcW w:w="720" w:type="dxa"/>
            <w:vAlign w:val="bottom"/>
          </w:tcPr>
          <w:p w14:paraId="41E9EA82" w14:textId="77777777" w:rsidR="008C285E" w:rsidRDefault="008C285E" w:rsidP="008C285E">
            <w:pPr>
              <w:rPr>
                <w:sz w:val="20"/>
                <w:szCs w:val="20"/>
              </w:rPr>
            </w:pPr>
            <w:r>
              <w:rPr>
                <w:sz w:val="20"/>
                <w:szCs w:val="20"/>
              </w:rPr>
              <w:t>Partial</w:t>
            </w:r>
          </w:p>
        </w:tc>
        <w:tc>
          <w:tcPr>
            <w:tcW w:w="810" w:type="dxa"/>
            <w:vAlign w:val="bottom"/>
          </w:tcPr>
          <w:p w14:paraId="45D6598A" w14:textId="77777777" w:rsidR="008C285E" w:rsidRDefault="008C285E" w:rsidP="008C285E">
            <w:pPr>
              <w:rPr>
                <w:sz w:val="20"/>
                <w:szCs w:val="20"/>
              </w:rPr>
            </w:pPr>
            <w:r>
              <w:rPr>
                <w:sz w:val="20"/>
                <w:szCs w:val="20"/>
              </w:rPr>
              <w:t>Yes</w:t>
            </w:r>
          </w:p>
        </w:tc>
        <w:tc>
          <w:tcPr>
            <w:tcW w:w="990" w:type="dxa"/>
            <w:vAlign w:val="bottom"/>
          </w:tcPr>
          <w:p w14:paraId="4B35D494" w14:textId="77777777" w:rsidR="008C285E" w:rsidRDefault="008C285E" w:rsidP="008C285E">
            <w:pPr>
              <w:rPr>
                <w:sz w:val="20"/>
                <w:szCs w:val="20"/>
              </w:rPr>
            </w:pPr>
            <w:r>
              <w:rPr>
                <w:sz w:val="20"/>
                <w:szCs w:val="20"/>
              </w:rPr>
              <w:t>Yes</w:t>
            </w:r>
          </w:p>
        </w:tc>
        <w:tc>
          <w:tcPr>
            <w:tcW w:w="990" w:type="dxa"/>
            <w:vAlign w:val="bottom"/>
          </w:tcPr>
          <w:p w14:paraId="6B291C9C" w14:textId="77777777" w:rsidR="008C285E" w:rsidRDefault="008C285E" w:rsidP="008C285E">
            <w:pPr>
              <w:rPr>
                <w:sz w:val="20"/>
                <w:szCs w:val="20"/>
              </w:rPr>
            </w:pPr>
          </w:p>
        </w:tc>
        <w:tc>
          <w:tcPr>
            <w:tcW w:w="810" w:type="dxa"/>
            <w:vAlign w:val="bottom"/>
          </w:tcPr>
          <w:p w14:paraId="233B8DA0" w14:textId="77777777" w:rsidR="008C285E" w:rsidRDefault="008C285E" w:rsidP="008C285E">
            <w:pPr>
              <w:rPr>
                <w:sz w:val="20"/>
                <w:szCs w:val="20"/>
              </w:rPr>
            </w:pPr>
          </w:p>
        </w:tc>
        <w:tc>
          <w:tcPr>
            <w:tcW w:w="985" w:type="dxa"/>
            <w:vAlign w:val="bottom"/>
          </w:tcPr>
          <w:p w14:paraId="3EB4FDD4" w14:textId="77777777" w:rsidR="008C285E" w:rsidRDefault="008C285E" w:rsidP="008C285E">
            <w:pPr>
              <w:rPr>
                <w:sz w:val="20"/>
                <w:szCs w:val="20"/>
              </w:rPr>
            </w:pPr>
          </w:p>
        </w:tc>
      </w:tr>
      <w:tr w:rsidR="008C285E" w14:paraId="3F76D78D" w14:textId="77777777" w:rsidTr="005843EE">
        <w:tc>
          <w:tcPr>
            <w:tcW w:w="2695" w:type="dxa"/>
            <w:vAlign w:val="bottom"/>
          </w:tcPr>
          <w:p w14:paraId="384787E5" w14:textId="77777777" w:rsidR="008C285E" w:rsidRDefault="008C285E" w:rsidP="008C285E">
            <w:pPr>
              <w:rPr>
                <w:sz w:val="20"/>
                <w:szCs w:val="20"/>
              </w:rPr>
            </w:pPr>
            <w:r>
              <w:rPr>
                <w:sz w:val="20"/>
                <w:szCs w:val="20"/>
              </w:rPr>
              <w:t xml:space="preserve">Large sample size of teen-aged individuals with ASD </w:t>
            </w:r>
          </w:p>
        </w:tc>
        <w:tc>
          <w:tcPr>
            <w:tcW w:w="810" w:type="dxa"/>
            <w:vAlign w:val="bottom"/>
          </w:tcPr>
          <w:p w14:paraId="2B352B78" w14:textId="77777777" w:rsidR="008C285E" w:rsidRDefault="008C285E" w:rsidP="008C285E">
            <w:pPr>
              <w:rPr>
                <w:sz w:val="20"/>
                <w:szCs w:val="20"/>
              </w:rPr>
            </w:pPr>
            <w:r>
              <w:rPr>
                <w:sz w:val="20"/>
                <w:szCs w:val="20"/>
              </w:rPr>
              <w:t>Yes</w:t>
            </w:r>
          </w:p>
        </w:tc>
        <w:tc>
          <w:tcPr>
            <w:tcW w:w="990" w:type="dxa"/>
            <w:vAlign w:val="bottom"/>
          </w:tcPr>
          <w:p w14:paraId="31D154D0" w14:textId="77777777" w:rsidR="008C285E" w:rsidRDefault="008C285E" w:rsidP="008C285E">
            <w:pPr>
              <w:rPr>
                <w:sz w:val="20"/>
                <w:szCs w:val="20"/>
              </w:rPr>
            </w:pPr>
          </w:p>
        </w:tc>
        <w:tc>
          <w:tcPr>
            <w:tcW w:w="630" w:type="dxa"/>
            <w:vAlign w:val="bottom"/>
          </w:tcPr>
          <w:p w14:paraId="46AF8E92" w14:textId="77777777" w:rsidR="008C285E" w:rsidRDefault="008C285E" w:rsidP="008C285E">
            <w:pPr>
              <w:rPr>
                <w:sz w:val="20"/>
                <w:szCs w:val="20"/>
              </w:rPr>
            </w:pPr>
          </w:p>
        </w:tc>
        <w:tc>
          <w:tcPr>
            <w:tcW w:w="720" w:type="dxa"/>
            <w:vAlign w:val="bottom"/>
          </w:tcPr>
          <w:p w14:paraId="57FD5D2A" w14:textId="77777777" w:rsidR="008C285E" w:rsidRDefault="008C285E" w:rsidP="008C285E">
            <w:pPr>
              <w:rPr>
                <w:sz w:val="20"/>
                <w:szCs w:val="20"/>
              </w:rPr>
            </w:pPr>
            <w:r>
              <w:rPr>
                <w:sz w:val="20"/>
                <w:szCs w:val="20"/>
              </w:rPr>
              <w:t>Yes</w:t>
            </w:r>
          </w:p>
        </w:tc>
        <w:tc>
          <w:tcPr>
            <w:tcW w:w="810" w:type="dxa"/>
            <w:vAlign w:val="bottom"/>
          </w:tcPr>
          <w:p w14:paraId="2DEC0434" w14:textId="77777777" w:rsidR="008C285E" w:rsidRDefault="008C285E" w:rsidP="008C285E">
            <w:pPr>
              <w:rPr>
                <w:sz w:val="20"/>
                <w:szCs w:val="20"/>
              </w:rPr>
            </w:pPr>
          </w:p>
        </w:tc>
        <w:tc>
          <w:tcPr>
            <w:tcW w:w="990" w:type="dxa"/>
            <w:vAlign w:val="bottom"/>
          </w:tcPr>
          <w:p w14:paraId="526A009A" w14:textId="77777777" w:rsidR="008C285E" w:rsidRDefault="008C285E" w:rsidP="008C285E">
            <w:pPr>
              <w:rPr>
                <w:sz w:val="20"/>
                <w:szCs w:val="20"/>
              </w:rPr>
            </w:pPr>
          </w:p>
        </w:tc>
        <w:tc>
          <w:tcPr>
            <w:tcW w:w="990" w:type="dxa"/>
            <w:vAlign w:val="bottom"/>
          </w:tcPr>
          <w:p w14:paraId="47A5F940" w14:textId="77777777" w:rsidR="008C285E" w:rsidRDefault="008C285E" w:rsidP="008C285E">
            <w:pPr>
              <w:rPr>
                <w:sz w:val="20"/>
                <w:szCs w:val="20"/>
              </w:rPr>
            </w:pPr>
            <w:r>
              <w:rPr>
                <w:sz w:val="20"/>
                <w:szCs w:val="20"/>
              </w:rPr>
              <w:t>Yes</w:t>
            </w:r>
          </w:p>
        </w:tc>
        <w:tc>
          <w:tcPr>
            <w:tcW w:w="810" w:type="dxa"/>
            <w:vAlign w:val="bottom"/>
          </w:tcPr>
          <w:p w14:paraId="4557D5E8" w14:textId="77777777" w:rsidR="008C285E" w:rsidRDefault="008C285E" w:rsidP="008C285E">
            <w:pPr>
              <w:rPr>
                <w:sz w:val="20"/>
                <w:szCs w:val="20"/>
              </w:rPr>
            </w:pPr>
          </w:p>
        </w:tc>
        <w:tc>
          <w:tcPr>
            <w:tcW w:w="985" w:type="dxa"/>
            <w:vAlign w:val="bottom"/>
          </w:tcPr>
          <w:p w14:paraId="55B5EDF6" w14:textId="77777777" w:rsidR="008C285E" w:rsidRDefault="008C285E" w:rsidP="008C285E">
            <w:pPr>
              <w:rPr>
                <w:sz w:val="20"/>
                <w:szCs w:val="20"/>
              </w:rPr>
            </w:pPr>
          </w:p>
        </w:tc>
      </w:tr>
      <w:tr w:rsidR="008C285E" w14:paraId="15E284F4" w14:textId="77777777" w:rsidTr="005843EE">
        <w:tc>
          <w:tcPr>
            <w:tcW w:w="2695" w:type="dxa"/>
            <w:vAlign w:val="bottom"/>
          </w:tcPr>
          <w:p w14:paraId="4D380640" w14:textId="77777777" w:rsidR="008C285E" w:rsidRDefault="008C285E" w:rsidP="008C285E">
            <w:pPr>
              <w:rPr>
                <w:sz w:val="20"/>
                <w:szCs w:val="20"/>
              </w:rPr>
            </w:pPr>
            <w:r>
              <w:rPr>
                <w:sz w:val="20"/>
                <w:szCs w:val="20"/>
              </w:rPr>
              <w:t>Inclusion of comparison group of teenagers with other (non-ASD) disabilities</w:t>
            </w:r>
          </w:p>
        </w:tc>
        <w:tc>
          <w:tcPr>
            <w:tcW w:w="810" w:type="dxa"/>
            <w:vAlign w:val="bottom"/>
          </w:tcPr>
          <w:p w14:paraId="7954B0C5" w14:textId="77777777" w:rsidR="008C285E" w:rsidRDefault="008C285E" w:rsidP="008C285E">
            <w:pPr>
              <w:rPr>
                <w:sz w:val="20"/>
                <w:szCs w:val="20"/>
              </w:rPr>
            </w:pPr>
            <w:r>
              <w:rPr>
                <w:sz w:val="20"/>
                <w:szCs w:val="20"/>
              </w:rPr>
              <w:t>Yes</w:t>
            </w:r>
          </w:p>
        </w:tc>
        <w:tc>
          <w:tcPr>
            <w:tcW w:w="990" w:type="dxa"/>
            <w:vAlign w:val="bottom"/>
          </w:tcPr>
          <w:p w14:paraId="410E6882" w14:textId="77777777" w:rsidR="008C285E" w:rsidRDefault="008C285E" w:rsidP="008C285E">
            <w:pPr>
              <w:rPr>
                <w:sz w:val="20"/>
                <w:szCs w:val="20"/>
              </w:rPr>
            </w:pPr>
            <w:r>
              <w:rPr>
                <w:sz w:val="20"/>
                <w:szCs w:val="20"/>
              </w:rPr>
              <w:t>Yes</w:t>
            </w:r>
          </w:p>
        </w:tc>
        <w:tc>
          <w:tcPr>
            <w:tcW w:w="630" w:type="dxa"/>
            <w:vAlign w:val="bottom"/>
          </w:tcPr>
          <w:p w14:paraId="60CC0F47" w14:textId="77777777" w:rsidR="008C285E" w:rsidRDefault="008C285E" w:rsidP="008C285E">
            <w:pPr>
              <w:rPr>
                <w:sz w:val="20"/>
                <w:szCs w:val="20"/>
              </w:rPr>
            </w:pPr>
          </w:p>
        </w:tc>
        <w:tc>
          <w:tcPr>
            <w:tcW w:w="720" w:type="dxa"/>
            <w:vAlign w:val="bottom"/>
          </w:tcPr>
          <w:p w14:paraId="0F72FEA6" w14:textId="77777777" w:rsidR="008C285E" w:rsidRDefault="008C285E" w:rsidP="008C285E">
            <w:pPr>
              <w:rPr>
                <w:sz w:val="20"/>
                <w:szCs w:val="20"/>
              </w:rPr>
            </w:pPr>
            <w:r>
              <w:rPr>
                <w:sz w:val="20"/>
                <w:szCs w:val="20"/>
              </w:rPr>
              <w:t>Yes</w:t>
            </w:r>
          </w:p>
        </w:tc>
        <w:tc>
          <w:tcPr>
            <w:tcW w:w="810" w:type="dxa"/>
            <w:vAlign w:val="bottom"/>
          </w:tcPr>
          <w:p w14:paraId="499FD057" w14:textId="77777777" w:rsidR="008C285E" w:rsidRDefault="008C285E" w:rsidP="008C285E">
            <w:pPr>
              <w:rPr>
                <w:sz w:val="20"/>
                <w:szCs w:val="20"/>
              </w:rPr>
            </w:pPr>
            <w:r>
              <w:rPr>
                <w:sz w:val="20"/>
                <w:szCs w:val="20"/>
              </w:rPr>
              <w:t>Yes</w:t>
            </w:r>
          </w:p>
        </w:tc>
        <w:tc>
          <w:tcPr>
            <w:tcW w:w="990" w:type="dxa"/>
            <w:vAlign w:val="bottom"/>
          </w:tcPr>
          <w:p w14:paraId="13086FA0" w14:textId="77777777" w:rsidR="008C285E" w:rsidRDefault="008C285E" w:rsidP="008C285E">
            <w:pPr>
              <w:rPr>
                <w:sz w:val="20"/>
                <w:szCs w:val="20"/>
              </w:rPr>
            </w:pPr>
          </w:p>
        </w:tc>
        <w:tc>
          <w:tcPr>
            <w:tcW w:w="990" w:type="dxa"/>
            <w:vAlign w:val="bottom"/>
          </w:tcPr>
          <w:p w14:paraId="45AF14AE" w14:textId="77777777" w:rsidR="008C285E" w:rsidRDefault="008C285E" w:rsidP="008C285E">
            <w:pPr>
              <w:rPr>
                <w:sz w:val="20"/>
                <w:szCs w:val="20"/>
              </w:rPr>
            </w:pPr>
          </w:p>
        </w:tc>
        <w:tc>
          <w:tcPr>
            <w:tcW w:w="810" w:type="dxa"/>
            <w:vAlign w:val="bottom"/>
          </w:tcPr>
          <w:p w14:paraId="68B942F5" w14:textId="77777777" w:rsidR="008C285E" w:rsidRDefault="008C285E" w:rsidP="008C285E">
            <w:pPr>
              <w:rPr>
                <w:sz w:val="20"/>
                <w:szCs w:val="20"/>
              </w:rPr>
            </w:pPr>
          </w:p>
        </w:tc>
        <w:tc>
          <w:tcPr>
            <w:tcW w:w="985" w:type="dxa"/>
            <w:vAlign w:val="bottom"/>
          </w:tcPr>
          <w:p w14:paraId="264A927D" w14:textId="77777777" w:rsidR="008C285E" w:rsidRDefault="008C285E" w:rsidP="008C285E">
            <w:pPr>
              <w:rPr>
                <w:sz w:val="20"/>
                <w:szCs w:val="20"/>
              </w:rPr>
            </w:pPr>
            <w:r>
              <w:rPr>
                <w:sz w:val="20"/>
                <w:szCs w:val="20"/>
              </w:rPr>
              <w:t>Yes</w:t>
            </w:r>
          </w:p>
        </w:tc>
      </w:tr>
      <w:tr w:rsidR="008C285E" w14:paraId="3B1BA971" w14:textId="77777777" w:rsidTr="005843EE">
        <w:tc>
          <w:tcPr>
            <w:tcW w:w="2695" w:type="dxa"/>
            <w:vAlign w:val="bottom"/>
          </w:tcPr>
          <w:p w14:paraId="2E133951" w14:textId="77777777" w:rsidR="008C285E" w:rsidRDefault="008C285E" w:rsidP="008C285E">
            <w:pPr>
              <w:rPr>
                <w:sz w:val="20"/>
                <w:szCs w:val="20"/>
              </w:rPr>
            </w:pPr>
            <w:r>
              <w:rPr>
                <w:sz w:val="20"/>
                <w:szCs w:val="20"/>
              </w:rPr>
              <w:t>Inclusion of general population comparison group (teenagers without ASD or other disabilities)</w:t>
            </w:r>
          </w:p>
        </w:tc>
        <w:tc>
          <w:tcPr>
            <w:tcW w:w="810" w:type="dxa"/>
            <w:vAlign w:val="bottom"/>
          </w:tcPr>
          <w:p w14:paraId="328AA681" w14:textId="77777777" w:rsidR="008C285E" w:rsidRDefault="008C285E" w:rsidP="008C285E">
            <w:pPr>
              <w:rPr>
                <w:sz w:val="20"/>
                <w:szCs w:val="20"/>
              </w:rPr>
            </w:pPr>
            <w:r>
              <w:rPr>
                <w:sz w:val="20"/>
                <w:szCs w:val="20"/>
              </w:rPr>
              <w:t>Yes</w:t>
            </w:r>
          </w:p>
        </w:tc>
        <w:tc>
          <w:tcPr>
            <w:tcW w:w="990" w:type="dxa"/>
            <w:vAlign w:val="bottom"/>
          </w:tcPr>
          <w:p w14:paraId="0C2260AF" w14:textId="77777777" w:rsidR="008C285E" w:rsidRDefault="008C285E" w:rsidP="008C285E">
            <w:pPr>
              <w:rPr>
                <w:sz w:val="20"/>
                <w:szCs w:val="20"/>
              </w:rPr>
            </w:pPr>
            <w:r>
              <w:rPr>
                <w:sz w:val="20"/>
                <w:szCs w:val="20"/>
              </w:rPr>
              <w:t>Yes</w:t>
            </w:r>
          </w:p>
        </w:tc>
        <w:tc>
          <w:tcPr>
            <w:tcW w:w="630" w:type="dxa"/>
            <w:vAlign w:val="bottom"/>
          </w:tcPr>
          <w:p w14:paraId="1DE3C76F" w14:textId="77777777" w:rsidR="008C285E" w:rsidRDefault="008C285E" w:rsidP="008C285E">
            <w:pPr>
              <w:rPr>
                <w:sz w:val="20"/>
                <w:szCs w:val="20"/>
              </w:rPr>
            </w:pPr>
          </w:p>
        </w:tc>
        <w:tc>
          <w:tcPr>
            <w:tcW w:w="720" w:type="dxa"/>
            <w:vAlign w:val="bottom"/>
          </w:tcPr>
          <w:p w14:paraId="4666A718" w14:textId="77777777" w:rsidR="008C285E" w:rsidRDefault="008C285E" w:rsidP="008C285E">
            <w:pPr>
              <w:rPr>
                <w:sz w:val="20"/>
                <w:szCs w:val="20"/>
              </w:rPr>
            </w:pPr>
          </w:p>
        </w:tc>
        <w:tc>
          <w:tcPr>
            <w:tcW w:w="810" w:type="dxa"/>
            <w:vAlign w:val="bottom"/>
          </w:tcPr>
          <w:p w14:paraId="6B251F47" w14:textId="77777777" w:rsidR="008C285E" w:rsidRDefault="008C285E" w:rsidP="008C285E">
            <w:pPr>
              <w:rPr>
                <w:sz w:val="20"/>
                <w:szCs w:val="20"/>
              </w:rPr>
            </w:pPr>
          </w:p>
        </w:tc>
        <w:tc>
          <w:tcPr>
            <w:tcW w:w="990" w:type="dxa"/>
            <w:vAlign w:val="bottom"/>
          </w:tcPr>
          <w:p w14:paraId="0A2DE5A6" w14:textId="77777777" w:rsidR="008C285E" w:rsidRDefault="008C285E" w:rsidP="008C285E">
            <w:pPr>
              <w:rPr>
                <w:sz w:val="20"/>
                <w:szCs w:val="20"/>
              </w:rPr>
            </w:pPr>
          </w:p>
        </w:tc>
        <w:tc>
          <w:tcPr>
            <w:tcW w:w="990" w:type="dxa"/>
            <w:vAlign w:val="bottom"/>
          </w:tcPr>
          <w:p w14:paraId="1DCFD8B7" w14:textId="77777777" w:rsidR="008C285E" w:rsidRDefault="008C285E" w:rsidP="008C285E">
            <w:pPr>
              <w:rPr>
                <w:sz w:val="20"/>
                <w:szCs w:val="20"/>
              </w:rPr>
            </w:pPr>
          </w:p>
        </w:tc>
        <w:tc>
          <w:tcPr>
            <w:tcW w:w="810" w:type="dxa"/>
            <w:vAlign w:val="bottom"/>
          </w:tcPr>
          <w:p w14:paraId="49B99BED" w14:textId="77777777" w:rsidR="008C285E" w:rsidRDefault="008C285E" w:rsidP="008C285E">
            <w:pPr>
              <w:rPr>
                <w:sz w:val="20"/>
                <w:szCs w:val="20"/>
              </w:rPr>
            </w:pPr>
          </w:p>
        </w:tc>
        <w:tc>
          <w:tcPr>
            <w:tcW w:w="985" w:type="dxa"/>
            <w:vAlign w:val="bottom"/>
          </w:tcPr>
          <w:p w14:paraId="709FBCD2" w14:textId="77777777" w:rsidR="008C285E" w:rsidRDefault="008C285E" w:rsidP="008C285E">
            <w:pPr>
              <w:rPr>
                <w:sz w:val="20"/>
                <w:szCs w:val="20"/>
              </w:rPr>
            </w:pPr>
          </w:p>
        </w:tc>
      </w:tr>
      <w:tr w:rsidR="008C285E" w14:paraId="1BEA78FC" w14:textId="77777777" w:rsidTr="005843EE">
        <w:tc>
          <w:tcPr>
            <w:tcW w:w="2695" w:type="dxa"/>
            <w:vAlign w:val="bottom"/>
          </w:tcPr>
          <w:p w14:paraId="2F403648" w14:textId="77777777" w:rsidR="008C285E" w:rsidRDefault="002F3841" w:rsidP="002F3841">
            <w:pPr>
              <w:rPr>
                <w:sz w:val="20"/>
                <w:szCs w:val="20"/>
              </w:rPr>
            </w:pPr>
            <w:r>
              <w:rPr>
                <w:sz w:val="20"/>
                <w:szCs w:val="20"/>
              </w:rPr>
              <w:t>Detailed d</w:t>
            </w:r>
            <w:r w:rsidR="008C285E">
              <w:rPr>
                <w:sz w:val="20"/>
                <w:szCs w:val="20"/>
              </w:rPr>
              <w:t>ata available from prospective, developmental assessment</w:t>
            </w:r>
            <w:r>
              <w:rPr>
                <w:sz w:val="20"/>
                <w:szCs w:val="20"/>
              </w:rPr>
              <w:t>s</w:t>
            </w:r>
            <w:r w:rsidR="008C285E">
              <w:rPr>
                <w:sz w:val="20"/>
                <w:szCs w:val="20"/>
              </w:rPr>
              <w:t xml:space="preserve"> </w:t>
            </w:r>
            <w:r>
              <w:rPr>
                <w:sz w:val="20"/>
                <w:szCs w:val="20"/>
              </w:rPr>
              <w:t xml:space="preserve">conducted </w:t>
            </w:r>
            <w:r w:rsidR="008C285E">
              <w:rPr>
                <w:sz w:val="20"/>
                <w:szCs w:val="20"/>
              </w:rPr>
              <w:t>in early childhood</w:t>
            </w:r>
          </w:p>
        </w:tc>
        <w:tc>
          <w:tcPr>
            <w:tcW w:w="810" w:type="dxa"/>
            <w:vAlign w:val="bottom"/>
          </w:tcPr>
          <w:p w14:paraId="4D6F4704" w14:textId="77777777" w:rsidR="008C285E" w:rsidRDefault="008C285E" w:rsidP="008C285E">
            <w:pPr>
              <w:rPr>
                <w:sz w:val="20"/>
                <w:szCs w:val="20"/>
              </w:rPr>
            </w:pPr>
            <w:r>
              <w:rPr>
                <w:sz w:val="20"/>
                <w:szCs w:val="20"/>
              </w:rPr>
              <w:t>Yes</w:t>
            </w:r>
          </w:p>
        </w:tc>
        <w:tc>
          <w:tcPr>
            <w:tcW w:w="990" w:type="dxa"/>
            <w:vAlign w:val="bottom"/>
          </w:tcPr>
          <w:p w14:paraId="41043CA5" w14:textId="77777777" w:rsidR="008C285E" w:rsidRDefault="008C285E" w:rsidP="008C285E">
            <w:pPr>
              <w:rPr>
                <w:sz w:val="20"/>
                <w:szCs w:val="20"/>
              </w:rPr>
            </w:pPr>
          </w:p>
        </w:tc>
        <w:tc>
          <w:tcPr>
            <w:tcW w:w="630" w:type="dxa"/>
            <w:vAlign w:val="bottom"/>
          </w:tcPr>
          <w:p w14:paraId="5A9757C3" w14:textId="77777777" w:rsidR="008C285E" w:rsidRDefault="008C285E" w:rsidP="008C285E">
            <w:pPr>
              <w:rPr>
                <w:sz w:val="20"/>
                <w:szCs w:val="20"/>
              </w:rPr>
            </w:pPr>
          </w:p>
        </w:tc>
        <w:tc>
          <w:tcPr>
            <w:tcW w:w="720" w:type="dxa"/>
            <w:vAlign w:val="bottom"/>
          </w:tcPr>
          <w:p w14:paraId="7B0EBB2A" w14:textId="77777777" w:rsidR="008C285E" w:rsidRDefault="008C285E" w:rsidP="008C285E">
            <w:pPr>
              <w:rPr>
                <w:sz w:val="20"/>
                <w:szCs w:val="20"/>
              </w:rPr>
            </w:pPr>
          </w:p>
        </w:tc>
        <w:tc>
          <w:tcPr>
            <w:tcW w:w="810" w:type="dxa"/>
            <w:vAlign w:val="bottom"/>
          </w:tcPr>
          <w:p w14:paraId="7F2F269A" w14:textId="77777777" w:rsidR="008C285E" w:rsidRDefault="008C285E" w:rsidP="008C285E">
            <w:pPr>
              <w:rPr>
                <w:sz w:val="20"/>
                <w:szCs w:val="20"/>
              </w:rPr>
            </w:pPr>
          </w:p>
        </w:tc>
        <w:tc>
          <w:tcPr>
            <w:tcW w:w="990" w:type="dxa"/>
            <w:vAlign w:val="bottom"/>
          </w:tcPr>
          <w:p w14:paraId="4EE8D4F6" w14:textId="77777777" w:rsidR="008C285E" w:rsidRDefault="008C285E" w:rsidP="008C285E">
            <w:pPr>
              <w:rPr>
                <w:sz w:val="20"/>
                <w:szCs w:val="20"/>
              </w:rPr>
            </w:pPr>
          </w:p>
        </w:tc>
        <w:tc>
          <w:tcPr>
            <w:tcW w:w="990" w:type="dxa"/>
            <w:vAlign w:val="bottom"/>
          </w:tcPr>
          <w:p w14:paraId="553EB450" w14:textId="77777777" w:rsidR="008C285E" w:rsidRDefault="008C285E" w:rsidP="008C285E">
            <w:pPr>
              <w:rPr>
                <w:sz w:val="20"/>
                <w:szCs w:val="20"/>
              </w:rPr>
            </w:pPr>
          </w:p>
        </w:tc>
        <w:tc>
          <w:tcPr>
            <w:tcW w:w="810" w:type="dxa"/>
            <w:vAlign w:val="bottom"/>
          </w:tcPr>
          <w:p w14:paraId="61983DD2" w14:textId="77777777" w:rsidR="008C285E" w:rsidRDefault="008C285E" w:rsidP="008C285E">
            <w:pPr>
              <w:rPr>
                <w:sz w:val="20"/>
                <w:szCs w:val="20"/>
              </w:rPr>
            </w:pPr>
          </w:p>
        </w:tc>
        <w:tc>
          <w:tcPr>
            <w:tcW w:w="985" w:type="dxa"/>
            <w:vAlign w:val="bottom"/>
          </w:tcPr>
          <w:p w14:paraId="28889C8C" w14:textId="77777777" w:rsidR="008C285E" w:rsidRDefault="008C285E" w:rsidP="008C285E">
            <w:pPr>
              <w:rPr>
                <w:sz w:val="20"/>
                <w:szCs w:val="20"/>
              </w:rPr>
            </w:pPr>
            <w:r>
              <w:rPr>
                <w:sz w:val="20"/>
                <w:szCs w:val="20"/>
              </w:rPr>
              <w:t>Partial</w:t>
            </w:r>
          </w:p>
        </w:tc>
      </w:tr>
      <w:tr w:rsidR="008C285E" w14:paraId="3934EE6A" w14:textId="77777777" w:rsidTr="005843EE">
        <w:tc>
          <w:tcPr>
            <w:tcW w:w="2695" w:type="dxa"/>
            <w:vAlign w:val="bottom"/>
          </w:tcPr>
          <w:p w14:paraId="0D301206" w14:textId="77777777" w:rsidR="008C285E" w:rsidRDefault="008D338C" w:rsidP="008C285E">
            <w:pPr>
              <w:rPr>
                <w:sz w:val="20"/>
                <w:szCs w:val="20"/>
              </w:rPr>
            </w:pPr>
            <w:r>
              <w:rPr>
                <w:sz w:val="20"/>
                <w:szCs w:val="20"/>
              </w:rPr>
              <w:t>D</w:t>
            </w:r>
            <w:r w:rsidR="00194C38">
              <w:rPr>
                <w:sz w:val="20"/>
                <w:szCs w:val="20"/>
              </w:rPr>
              <w:t>etailed d</w:t>
            </w:r>
            <w:r>
              <w:rPr>
                <w:sz w:val="20"/>
                <w:szCs w:val="20"/>
              </w:rPr>
              <w:t>ata available from early child health outcomes</w:t>
            </w:r>
          </w:p>
        </w:tc>
        <w:tc>
          <w:tcPr>
            <w:tcW w:w="810" w:type="dxa"/>
            <w:vAlign w:val="bottom"/>
          </w:tcPr>
          <w:p w14:paraId="083025AF" w14:textId="77777777" w:rsidR="008C285E" w:rsidRDefault="008D338C" w:rsidP="008C285E">
            <w:pPr>
              <w:rPr>
                <w:sz w:val="20"/>
                <w:szCs w:val="20"/>
              </w:rPr>
            </w:pPr>
            <w:r>
              <w:rPr>
                <w:sz w:val="20"/>
                <w:szCs w:val="20"/>
              </w:rPr>
              <w:t>Yes</w:t>
            </w:r>
          </w:p>
        </w:tc>
        <w:tc>
          <w:tcPr>
            <w:tcW w:w="990" w:type="dxa"/>
            <w:vAlign w:val="bottom"/>
          </w:tcPr>
          <w:p w14:paraId="3A225236" w14:textId="77777777" w:rsidR="008C285E" w:rsidRDefault="008C285E" w:rsidP="008C285E">
            <w:pPr>
              <w:rPr>
                <w:sz w:val="20"/>
                <w:szCs w:val="20"/>
              </w:rPr>
            </w:pPr>
          </w:p>
        </w:tc>
        <w:tc>
          <w:tcPr>
            <w:tcW w:w="630" w:type="dxa"/>
            <w:vAlign w:val="bottom"/>
          </w:tcPr>
          <w:p w14:paraId="51B8BED4" w14:textId="77777777" w:rsidR="008C285E" w:rsidRDefault="008C285E" w:rsidP="008C285E">
            <w:pPr>
              <w:rPr>
                <w:sz w:val="20"/>
                <w:szCs w:val="20"/>
              </w:rPr>
            </w:pPr>
          </w:p>
        </w:tc>
        <w:tc>
          <w:tcPr>
            <w:tcW w:w="720" w:type="dxa"/>
            <w:vAlign w:val="bottom"/>
          </w:tcPr>
          <w:p w14:paraId="377DA35B" w14:textId="77777777" w:rsidR="008C285E" w:rsidRDefault="008C285E" w:rsidP="008C285E">
            <w:pPr>
              <w:rPr>
                <w:sz w:val="20"/>
                <w:szCs w:val="20"/>
              </w:rPr>
            </w:pPr>
          </w:p>
        </w:tc>
        <w:tc>
          <w:tcPr>
            <w:tcW w:w="810" w:type="dxa"/>
            <w:vAlign w:val="bottom"/>
          </w:tcPr>
          <w:p w14:paraId="69F0B9D1" w14:textId="77777777" w:rsidR="008C285E" w:rsidRDefault="008C285E" w:rsidP="008C285E">
            <w:pPr>
              <w:rPr>
                <w:sz w:val="20"/>
                <w:szCs w:val="20"/>
              </w:rPr>
            </w:pPr>
          </w:p>
        </w:tc>
        <w:tc>
          <w:tcPr>
            <w:tcW w:w="990" w:type="dxa"/>
            <w:vAlign w:val="bottom"/>
          </w:tcPr>
          <w:p w14:paraId="53156602" w14:textId="77777777" w:rsidR="008C285E" w:rsidRDefault="008C285E" w:rsidP="008C285E">
            <w:pPr>
              <w:rPr>
                <w:sz w:val="20"/>
                <w:szCs w:val="20"/>
              </w:rPr>
            </w:pPr>
          </w:p>
        </w:tc>
        <w:tc>
          <w:tcPr>
            <w:tcW w:w="990" w:type="dxa"/>
            <w:vAlign w:val="bottom"/>
          </w:tcPr>
          <w:p w14:paraId="76F747D2" w14:textId="77777777" w:rsidR="008C285E" w:rsidRDefault="008C285E" w:rsidP="008C285E">
            <w:pPr>
              <w:rPr>
                <w:sz w:val="20"/>
                <w:szCs w:val="20"/>
              </w:rPr>
            </w:pPr>
          </w:p>
        </w:tc>
        <w:tc>
          <w:tcPr>
            <w:tcW w:w="810" w:type="dxa"/>
            <w:vAlign w:val="bottom"/>
          </w:tcPr>
          <w:p w14:paraId="078B2F1D" w14:textId="77777777" w:rsidR="008C285E" w:rsidRDefault="008C285E" w:rsidP="008C285E">
            <w:pPr>
              <w:rPr>
                <w:sz w:val="20"/>
                <w:szCs w:val="20"/>
              </w:rPr>
            </w:pPr>
          </w:p>
        </w:tc>
        <w:tc>
          <w:tcPr>
            <w:tcW w:w="985" w:type="dxa"/>
            <w:vAlign w:val="bottom"/>
          </w:tcPr>
          <w:p w14:paraId="019B2DB3" w14:textId="77777777" w:rsidR="008C285E" w:rsidRDefault="008C285E" w:rsidP="008C285E">
            <w:pPr>
              <w:rPr>
                <w:sz w:val="20"/>
                <w:szCs w:val="20"/>
              </w:rPr>
            </w:pPr>
          </w:p>
        </w:tc>
      </w:tr>
      <w:tr w:rsidR="008C285E" w14:paraId="5FD554AE" w14:textId="77777777" w:rsidTr="005843EE">
        <w:tc>
          <w:tcPr>
            <w:tcW w:w="2695" w:type="dxa"/>
            <w:vAlign w:val="bottom"/>
          </w:tcPr>
          <w:p w14:paraId="3EAB2FCD" w14:textId="77777777" w:rsidR="008C285E" w:rsidRDefault="008D338C" w:rsidP="008C285E">
            <w:pPr>
              <w:rPr>
                <w:sz w:val="20"/>
                <w:szCs w:val="20"/>
              </w:rPr>
            </w:pPr>
            <w:r>
              <w:rPr>
                <w:sz w:val="20"/>
                <w:szCs w:val="20"/>
              </w:rPr>
              <w:t>D</w:t>
            </w:r>
            <w:r w:rsidR="00194C38">
              <w:rPr>
                <w:sz w:val="20"/>
                <w:szCs w:val="20"/>
              </w:rPr>
              <w:t>etailed d</w:t>
            </w:r>
            <w:r>
              <w:rPr>
                <w:sz w:val="20"/>
                <w:szCs w:val="20"/>
              </w:rPr>
              <w:t xml:space="preserve">ata </w:t>
            </w:r>
            <w:r w:rsidR="008C285E">
              <w:rPr>
                <w:sz w:val="20"/>
                <w:szCs w:val="20"/>
              </w:rPr>
              <w:t>available about maternal pregnancy and health risk factors</w:t>
            </w:r>
          </w:p>
        </w:tc>
        <w:tc>
          <w:tcPr>
            <w:tcW w:w="810" w:type="dxa"/>
            <w:vAlign w:val="bottom"/>
          </w:tcPr>
          <w:p w14:paraId="4855A1DD" w14:textId="77777777" w:rsidR="008C285E" w:rsidRDefault="008C285E" w:rsidP="008C285E">
            <w:pPr>
              <w:rPr>
                <w:sz w:val="20"/>
                <w:szCs w:val="20"/>
              </w:rPr>
            </w:pPr>
            <w:r>
              <w:rPr>
                <w:sz w:val="20"/>
                <w:szCs w:val="20"/>
              </w:rPr>
              <w:t>Yes</w:t>
            </w:r>
          </w:p>
        </w:tc>
        <w:tc>
          <w:tcPr>
            <w:tcW w:w="990" w:type="dxa"/>
            <w:vAlign w:val="bottom"/>
          </w:tcPr>
          <w:p w14:paraId="182F85B0" w14:textId="77777777" w:rsidR="008C285E" w:rsidRDefault="008C285E" w:rsidP="008C285E">
            <w:pPr>
              <w:rPr>
                <w:sz w:val="20"/>
                <w:szCs w:val="20"/>
              </w:rPr>
            </w:pPr>
          </w:p>
        </w:tc>
        <w:tc>
          <w:tcPr>
            <w:tcW w:w="630" w:type="dxa"/>
            <w:vAlign w:val="bottom"/>
          </w:tcPr>
          <w:p w14:paraId="722861B7" w14:textId="77777777" w:rsidR="008C285E" w:rsidRDefault="008C285E" w:rsidP="008C285E">
            <w:pPr>
              <w:rPr>
                <w:sz w:val="20"/>
                <w:szCs w:val="20"/>
              </w:rPr>
            </w:pPr>
          </w:p>
        </w:tc>
        <w:tc>
          <w:tcPr>
            <w:tcW w:w="720" w:type="dxa"/>
            <w:vAlign w:val="bottom"/>
          </w:tcPr>
          <w:p w14:paraId="12398CD7" w14:textId="77777777" w:rsidR="008C285E" w:rsidRDefault="008C285E" w:rsidP="008C285E">
            <w:pPr>
              <w:rPr>
                <w:sz w:val="20"/>
                <w:szCs w:val="20"/>
              </w:rPr>
            </w:pPr>
          </w:p>
        </w:tc>
        <w:tc>
          <w:tcPr>
            <w:tcW w:w="810" w:type="dxa"/>
            <w:vAlign w:val="bottom"/>
          </w:tcPr>
          <w:p w14:paraId="44DCC230" w14:textId="77777777" w:rsidR="008C285E" w:rsidRDefault="008C285E" w:rsidP="008C285E">
            <w:pPr>
              <w:rPr>
                <w:sz w:val="20"/>
                <w:szCs w:val="20"/>
              </w:rPr>
            </w:pPr>
          </w:p>
        </w:tc>
        <w:tc>
          <w:tcPr>
            <w:tcW w:w="990" w:type="dxa"/>
            <w:vAlign w:val="bottom"/>
          </w:tcPr>
          <w:p w14:paraId="64127A1C" w14:textId="77777777" w:rsidR="008C285E" w:rsidRDefault="008C285E" w:rsidP="008C285E">
            <w:pPr>
              <w:rPr>
                <w:sz w:val="20"/>
                <w:szCs w:val="20"/>
              </w:rPr>
            </w:pPr>
          </w:p>
        </w:tc>
        <w:tc>
          <w:tcPr>
            <w:tcW w:w="990" w:type="dxa"/>
            <w:vAlign w:val="bottom"/>
          </w:tcPr>
          <w:p w14:paraId="33E379BC" w14:textId="77777777" w:rsidR="008C285E" w:rsidRDefault="008C285E" w:rsidP="008C285E">
            <w:pPr>
              <w:rPr>
                <w:sz w:val="20"/>
                <w:szCs w:val="20"/>
              </w:rPr>
            </w:pPr>
          </w:p>
        </w:tc>
        <w:tc>
          <w:tcPr>
            <w:tcW w:w="810" w:type="dxa"/>
            <w:vAlign w:val="bottom"/>
          </w:tcPr>
          <w:p w14:paraId="38C1FAE9" w14:textId="77777777" w:rsidR="008C285E" w:rsidRDefault="008C285E" w:rsidP="008C285E">
            <w:pPr>
              <w:rPr>
                <w:sz w:val="20"/>
                <w:szCs w:val="20"/>
              </w:rPr>
            </w:pPr>
          </w:p>
        </w:tc>
        <w:tc>
          <w:tcPr>
            <w:tcW w:w="985" w:type="dxa"/>
            <w:vAlign w:val="bottom"/>
          </w:tcPr>
          <w:p w14:paraId="04C39FC7" w14:textId="77777777" w:rsidR="008C285E" w:rsidRDefault="008C285E" w:rsidP="008C285E">
            <w:pPr>
              <w:rPr>
                <w:sz w:val="20"/>
                <w:szCs w:val="20"/>
              </w:rPr>
            </w:pPr>
          </w:p>
        </w:tc>
      </w:tr>
      <w:tr w:rsidR="008C285E" w14:paraId="1DC2C838" w14:textId="77777777" w:rsidTr="005843EE">
        <w:tc>
          <w:tcPr>
            <w:tcW w:w="2695" w:type="dxa"/>
            <w:vAlign w:val="bottom"/>
          </w:tcPr>
          <w:p w14:paraId="161E8AAE" w14:textId="77777777" w:rsidR="008C285E" w:rsidRDefault="008D338C" w:rsidP="008D338C">
            <w:pPr>
              <w:rPr>
                <w:sz w:val="20"/>
                <w:szCs w:val="20"/>
              </w:rPr>
            </w:pPr>
            <w:r>
              <w:rPr>
                <w:sz w:val="20"/>
                <w:szCs w:val="20"/>
              </w:rPr>
              <w:t>Detailed data available about family health history</w:t>
            </w:r>
          </w:p>
        </w:tc>
        <w:tc>
          <w:tcPr>
            <w:tcW w:w="810" w:type="dxa"/>
            <w:vAlign w:val="bottom"/>
          </w:tcPr>
          <w:p w14:paraId="2CBAE52B" w14:textId="77777777" w:rsidR="008C285E" w:rsidRDefault="008D338C" w:rsidP="008C285E">
            <w:pPr>
              <w:rPr>
                <w:sz w:val="20"/>
                <w:szCs w:val="20"/>
              </w:rPr>
            </w:pPr>
            <w:r>
              <w:rPr>
                <w:sz w:val="20"/>
                <w:szCs w:val="20"/>
              </w:rPr>
              <w:t>Yes</w:t>
            </w:r>
          </w:p>
        </w:tc>
        <w:tc>
          <w:tcPr>
            <w:tcW w:w="990" w:type="dxa"/>
            <w:vAlign w:val="bottom"/>
          </w:tcPr>
          <w:p w14:paraId="18F65FB1" w14:textId="77777777" w:rsidR="008C285E" w:rsidRDefault="008C285E" w:rsidP="008C285E">
            <w:pPr>
              <w:rPr>
                <w:sz w:val="20"/>
                <w:szCs w:val="20"/>
              </w:rPr>
            </w:pPr>
          </w:p>
        </w:tc>
        <w:tc>
          <w:tcPr>
            <w:tcW w:w="630" w:type="dxa"/>
            <w:vAlign w:val="bottom"/>
          </w:tcPr>
          <w:p w14:paraId="3EC1BE33" w14:textId="77777777" w:rsidR="008C285E" w:rsidRDefault="008C285E" w:rsidP="008C285E">
            <w:pPr>
              <w:rPr>
                <w:sz w:val="20"/>
                <w:szCs w:val="20"/>
              </w:rPr>
            </w:pPr>
          </w:p>
        </w:tc>
        <w:tc>
          <w:tcPr>
            <w:tcW w:w="720" w:type="dxa"/>
            <w:vAlign w:val="bottom"/>
          </w:tcPr>
          <w:p w14:paraId="29AA8D82" w14:textId="77777777" w:rsidR="008C285E" w:rsidRDefault="008C285E" w:rsidP="008C285E">
            <w:pPr>
              <w:rPr>
                <w:sz w:val="20"/>
                <w:szCs w:val="20"/>
              </w:rPr>
            </w:pPr>
          </w:p>
        </w:tc>
        <w:tc>
          <w:tcPr>
            <w:tcW w:w="810" w:type="dxa"/>
            <w:vAlign w:val="bottom"/>
          </w:tcPr>
          <w:p w14:paraId="0F038C0C" w14:textId="77777777" w:rsidR="008C285E" w:rsidRDefault="008C285E" w:rsidP="008C285E">
            <w:pPr>
              <w:rPr>
                <w:sz w:val="20"/>
                <w:szCs w:val="20"/>
              </w:rPr>
            </w:pPr>
          </w:p>
        </w:tc>
        <w:tc>
          <w:tcPr>
            <w:tcW w:w="990" w:type="dxa"/>
            <w:vAlign w:val="bottom"/>
          </w:tcPr>
          <w:p w14:paraId="16205758" w14:textId="77777777" w:rsidR="008C285E" w:rsidRDefault="008C285E" w:rsidP="008C285E">
            <w:pPr>
              <w:rPr>
                <w:sz w:val="20"/>
                <w:szCs w:val="20"/>
              </w:rPr>
            </w:pPr>
          </w:p>
        </w:tc>
        <w:tc>
          <w:tcPr>
            <w:tcW w:w="990" w:type="dxa"/>
            <w:vAlign w:val="bottom"/>
          </w:tcPr>
          <w:p w14:paraId="71C37A2C" w14:textId="77777777" w:rsidR="008C285E" w:rsidRDefault="008C285E" w:rsidP="008C285E">
            <w:pPr>
              <w:rPr>
                <w:sz w:val="20"/>
                <w:szCs w:val="20"/>
              </w:rPr>
            </w:pPr>
          </w:p>
        </w:tc>
        <w:tc>
          <w:tcPr>
            <w:tcW w:w="810" w:type="dxa"/>
            <w:vAlign w:val="bottom"/>
          </w:tcPr>
          <w:p w14:paraId="7332D474" w14:textId="77777777" w:rsidR="008C285E" w:rsidRDefault="008C285E" w:rsidP="008C285E">
            <w:pPr>
              <w:rPr>
                <w:sz w:val="20"/>
                <w:szCs w:val="20"/>
              </w:rPr>
            </w:pPr>
          </w:p>
        </w:tc>
        <w:tc>
          <w:tcPr>
            <w:tcW w:w="985" w:type="dxa"/>
            <w:vAlign w:val="bottom"/>
          </w:tcPr>
          <w:p w14:paraId="000D6AB1" w14:textId="77777777" w:rsidR="008C285E" w:rsidRDefault="008C285E" w:rsidP="008C285E">
            <w:pPr>
              <w:rPr>
                <w:sz w:val="20"/>
                <w:szCs w:val="20"/>
              </w:rPr>
            </w:pPr>
          </w:p>
        </w:tc>
      </w:tr>
    </w:tbl>
    <w:p w14:paraId="5487BD7F" w14:textId="77777777" w:rsidR="006B6026" w:rsidRDefault="006B6026" w:rsidP="00EE41FC">
      <w:pPr>
        <w:spacing w:line="480" w:lineRule="auto"/>
      </w:pPr>
    </w:p>
    <w:p w14:paraId="767D9E9B" w14:textId="77777777" w:rsidR="006B6026" w:rsidRPr="00B74F9B" w:rsidRDefault="006B6026" w:rsidP="006B6026">
      <w:pPr>
        <w:rPr>
          <w:sz w:val="20"/>
          <w:szCs w:val="20"/>
        </w:rPr>
      </w:pPr>
      <w:r>
        <w:t>Links to other studies:</w:t>
      </w:r>
      <w:r>
        <w:br/>
      </w:r>
      <w:r>
        <w:rPr>
          <w:sz w:val="20"/>
          <w:szCs w:val="20"/>
        </w:rPr>
        <w:t>A</w:t>
      </w:r>
      <w:r w:rsidRPr="00B74F9B">
        <w:rPr>
          <w:sz w:val="20"/>
          <w:szCs w:val="20"/>
        </w:rPr>
        <w:t xml:space="preserve"> – National Health Interview Survey: </w:t>
      </w:r>
      <w:hyperlink r:id="rId11" w:history="1">
        <w:r w:rsidRPr="00B74F9B">
          <w:rPr>
            <w:rStyle w:val="Hyperlink"/>
            <w:sz w:val="20"/>
            <w:szCs w:val="20"/>
          </w:rPr>
          <w:t>https://www.cdc.gov/nchs/nhis/</w:t>
        </w:r>
      </w:hyperlink>
      <w:r w:rsidRPr="00B74F9B">
        <w:rPr>
          <w:sz w:val="20"/>
          <w:szCs w:val="20"/>
        </w:rPr>
        <w:t xml:space="preserve"> and National Survey of Children’s Health: </w:t>
      </w:r>
      <w:hyperlink r:id="rId12" w:history="1">
        <w:r w:rsidRPr="00B74F9B">
          <w:rPr>
            <w:rStyle w:val="Hyperlink"/>
            <w:sz w:val="20"/>
            <w:szCs w:val="20"/>
          </w:rPr>
          <w:t>http://www.childhealthdata.org/learn/NSCH</w:t>
        </w:r>
      </w:hyperlink>
    </w:p>
    <w:p w14:paraId="4C3A889C" w14:textId="77777777" w:rsidR="006B6026" w:rsidRDefault="006B6026" w:rsidP="006B6026">
      <w:pPr>
        <w:rPr>
          <w:sz w:val="20"/>
          <w:szCs w:val="20"/>
        </w:rPr>
      </w:pPr>
      <w:r>
        <w:rPr>
          <w:sz w:val="20"/>
          <w:szCs w:val="20"/>
        </w:rPr>
        <w:t>B</w:t>
      </w:r>
      <w:r w:rsidRPr="00B74F9B">
        <w:rPr>
          <w:sz w:val="20"/>
          <w:szCs w:val="20"/>
        </w:rPr>
        <w:t xml:space="preserve">- Interactive Autism Network: </w:t>
      </w:r>
      <w:hyperlink r:id="rId13" w:history="1">
        <w:r w:rsidRPr="00B74F9B">
          <w:rPr>
            <w:rStyle w:val="Hyperlink"/>
            <w:sz w:val="20"/>
            <w:szCs w:val="20"/>
          </w:rPr>
          <w:t>https://iancommunity.org/</w:t>
        </w:r>
      </w:hyperlink>
    </w:p>
    <w:p w14:paraId="7C979C83" w14:textId="77777777" w:rsidR="006B6026" w:rsidRDefault="006B6026" w:rsidP="006B6026">
      <w:pPr>
        <w:rPr>
          <w:sz w:val="20"/>
          <w:szCs w:val="20"/>
        </w:rPr>
      </w:pPr>
      <w:r>
        <w:rPr>
          <w:sz w:val="20"/>
          <w:szCs w:val="20"/>
        </w:rPr>
        <w:t>C</w:t>
      </w:r>
      <w:r w:rsidRPr="00B74F9B">
        <w:rPr>
          <w:sz w:val="20"/>
          <w:szCs w:val="20"/>
        </w:rPr>
        <w:t xml:space="preserve"> </w:t>
      </w:r>
      <w:r>
        <w:rPr>
          <w:sz w:val="20"/>
          <w:szCs w:val="20"/>
        </w:rPr>
        <w:t xml:space="preserve">– National Longitudinal Transition Survey -2 </w:t>
      </w:r>
      <w:r w:rsidRPr="00B74F9B">
        <w:rPr>
          <w:sz w:val="20"/>
          <w:szCs w:val="20"/>
        </w:rPr>
        <w:t xml:space="preserve"> </w:t>
      </w:r>
      <w:hyperlink r:id="rId14" w:history="1">
        <w:r w:rsidRPr="00B74F9B">
          <w:rPr>
            <w:rStyle w:val="Hyperlink"/>
            <w:sz w:val="20"/>
            <w:szCs w:val="20"/>
          </w:rPr>
          <w:t>https://ies.ed.gov/ncser/projects/nlts2/</w:t>
        </w:r>
      </w:hyperlink>
    </w:p>
    <w:p w14:paraId="5F5C579B" w14:textId="77777777" w:rsidR="006B6026" w:rsidRPr="00B74F9B" w:rsidRDefault="006B6026" w:rsidP="006B6026">
      <w:pPr>
        <w:rPr>
          <w:sz w:val="20"/>
          <w:szCs w:val="20"/>
        </w:rPr>
      </w:pPr>
      <w:r>
        <w:rPr>
          <w:sz w:val="20"/>
          <w:szCs w:val="20"/>
        </w:rPr>
        <w:t>D</w:t>
      </w:r>
      <w:r w:rsidRPr="00B74F9B">
        <w:rPr>
          <w:sz w:val="20"/>
          <w:szCs w:val="20"/>
        </w:rPr>
        <w:t xml:space="preserve">- Adolescents and Adults with Autism: </w:t>
      </w:r>
      <w:hyperlink r:id="rId15" w:history="1">
        <w:r w:rsidRPr="00B74F9B">
          <w:rPr>
            <w:rStyle w:val="Hyperlink"/>
            <w:sz w:val="20"/>
            <w:szCs w:val="20"/>
          </w:rPr>
          <w:t>http://www.waisman.wisc.edu/family/study_autism.html</w:t>
        </w:r>
      </w:hyperlink>
    </w:p>
    <w:p w14:paraId="7499C5A0" w14:textId="77777777" w:rsidR="006B6026" w:rsidRPr="00B74F9B" w:rsidRDefault="006B6026" w:rsidP="006B6026">
      <w:pPr>
        <w:rPr>
          <w:sz w:val="20"/>
          <w:szCs w:val="20"/>
        </w:rPr>
      </w:pPr>
      <w:r w:rsidRPr="00B74F9B">
        <w:rPr>
          <w:sz w:val="20"/>
          <w:szCs w:val="20"/>
        </w:rPr>
        <w:t xml:space="preserve">E – TEACCH Understanding Autism in Adulthood Research Study: </w:t>
      </w:r>
      <w:hyperlink r:id="rId16" w:history="1">
        <w:r w:rsidRPr="00B74F9B">
          <w:rPr>
            <w:rStyle w:val="Hyperlink"/>
            <w:sz w:val="20"/>
            <w:szCs w:val="20"/>
          </w:rPr>
          <w:t>https://www.teacch.com/research/understanding-autism-in-adulthood-research-study</w:t>
        </w:r>
      </w:hyperlink>
    </w:p>
    <w:p w14:paraId="4A3F6FAE" w14:textId="77777777" w:rsidR="006B6026" w:rsidRPr="00B74F9B" w:rsidRDefault="006B6026" w:rsidP="006B6026">
      <w:pPr>
        <w:rPr>
          <w:sz w:val="20"/>
          <w:szCs w:val="20"/>
        </w:rPr>
      </w:pPr>
      <w:r w:rsidRPr="00B74F9B">
        <w:rPr>
          <w:sz w:val="20"/>
          <w:szCs w:val="20"/>
        </w:rPr>
        <w:t xml:space="preserve">F – Improving Transition for Youth with Autism: </w:t>
      </w:r>
      <w:hyperlink r:id="rId17" w:history="1">
        <w:r w:rsidRPr="00B74F9B">
          <w:rPr>
            <w:rStyle w:val="Hyperlink"/>
            <w:sz w:val="20"/>
            <w:szCs w:val="20"/>
          </w:rPr>
          <w:t>http://vkc.mc.vanderbilt.edu/notables/2015/03/improving-transition-for-youth-with-autism/</w:t>
        </w:r>
      </w:hyperlink>
    </w:p>
    <w:p w14:paraId="7EAC370E" w14:textId="77777777" w:rsidR="006B6026" w:rsidRPr="00B74F9B" w:rsidRDefault="006B6026" w:rsidP="006B6026">
      <w:pPr>
        <w:tabs>
          <w:tab w:val="left" w:pos="975"/>
        </w:tabs>
        <w:rPr>
          <w:sz w:val="20"/>
          <w:szCs w:val="20"/>
        </w:rPr>
      </w:pPr>
      <w:r w:rsidRPr="00B74F9B">
        <w:rPr>
          <w:sz w:val="20"/>
          <w:szCs w:val="20"/>
        </w:rPr>
        <w:t xml:space="preserve">G – TRANSITIONING TO ADULTHOOD: A PROSPECTIVE LONGITUDINAL STUDY </w:t>
      </w:r>
      <w:hyperlink r:id="rId18" w:history="1">
        <w:r w:rsidRPr="00B74F9B">
          <w:rPr>
            <w:rStyle w:val="Hyperlink"/>
            <w:sz w:val="20"/>
            <w:szCs w:val="20"/>
          </w:rPr>
          <w:t>https://projectreporter.nih.gov/project_info_description.cfm?aid=9131788&amp;icde=32880793</w:t>
        </w:r>
      </w:hyperlink>
    </w:p>
    <w:p w14:paraId="2FC913EA" w14:textId="77777777" w:rsidR="006B6026" w:rsidRPr="00B74F9B" w:rsidRDefault="006B6026" w:rsidP="006B6026">
      <w:pPr>
        <w:rPr>
          <w:sz w:val="20"/>
          <w:szCs w:val="20"/>
        </w:rPr>
      </w:pPr>
      <w:r w:rsidRPr="00B74F9B">
        <w:rPr>
          <w:sz w:val="20"/>
          <w:szCs w:val="20"/>
        </w:rPr>
        <w:t>H-  LONGITUDINAL STUDIES OF AUTISM SPECTRUM DISORDERS: 2 TO 23Awardee Organization:</w:t>
      </w:r>
      <w:r>
        <w:rPr>
          <w:sz w:val="20"/>
          <w:szCs w:val="20"/>
        </w:rPr>
        <w:t xml:space="preserve"> </w:t>
      </w:r>
      <w:r w:rsidRPr="00B74F9B">
        <w:rPr>
          <w:sz w:val="20"/>
          <w:szCs w:val="20"/>
        </w:rPr>
        <w:t>WEILL MEDICAL COLL OF CORNELL UNIV -</w:t>
      </w:r>
      <w:hyperlink r:id="rId19" w:history="1">
        <w:r w:rsidRPr="00B74F9B">
          <w:rPr>
            <w:rStyle w:val="Hyperlink"/>
            <w:sz w:val="20"/>
            <w:szCs w:val="20"/>
          </w:rPr>
          <w:t>https://projectreporter.nih.gov/project_info_description.cfm?aid=8268499&amp;icde=6662910</w:t>
        </w:r>
      </w:hyperlink>
    </w:p>
    <w:p w14:paraId="500DCD5A" w14:textId="77777777" w:rsidR="006B6026" w:rsidRDefault="006B6026" w:rsidP="00EE41FC">
      <w:pPr>
        <w:pStyle w:val="Heading2"/>
        <w:rPr>
          <w:rFonts w:ascii="Times New Roman" w:hAnsi="Times New Roman"/>
          <w:b w:val="0"/>
          <w:i w:val="0"/>
          <w:sz w:val="24"/>
          <w:szCs w:val="24"/>
        </w:rPr>
      </w:pPr>
    </w:p>
    <w:p w14:paraId="3C8BCB44"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7" w:name="_Toc429667310"/>
      <w:r w:rsidRPr="00C60BB2">
        <w:rPr>
          <w:rFonts w:ascii="Times New Roman" w:eastAsiaTheme="majorEastAsia" w:hAnsi="Times New Roman"/>
          <w:i w:val="0"/>
          <w:sz w:val="24"/>
          <w:szCs w:val="24"/>
          <w:u w:val="single"/>
        </w:rPr>
        <w:t>Section A.5. Impact on Small Businesses or Other Small Entities</w:t>
      </w:r>
      <w:bookmarkEnd w:id="7"/>
    </w:p>
    <w:p w14:paraId="5A01B3D0" w14:textId="77777777" w:rsidR="00C13392" w:rsidRPr="00C60BB2" w:rsidRDefault="00F54362" w:rsidP="00896F49">
      <w:pPr>
        <w:spacing w:line="480" w:lineRule="auto"/>
        <w:ind w:firstLine="720"/>
        <w:rPr>
          <w:rFonts w:eastAsiaTheme="majorEastAsia"/>
        </w:rPr>
      </w:pPr>
      <w:r w:rsidRPr="00C60BB2">
        <w:t>This data collection will not involve small businesses.</w:t>
      </w:r>
      <w:bookmarkStart w:id="8" w:name="_Toc429667311"/>
    </w:p>
    <w:p w14:paraId="0E5C10AD"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r w:rsidRPr="00C60BB2">
        <w:rPr>
          <w:rFonts w:ascii="Times New Roman" w:eastAsiaTheme="majorEastAsia" w:hAnsi="Times New Roman"/>
          <w:i w:val="0"/>
          <w:sz w:val="24"/>
          <w:szCs w:val="24"/>
          <w:u w:val="single"/>
        </w:rPr>
        <w:t>Section A.6. Consequences of Collecting the Information Less Frequently</w:t>
      </w:r>
      <w:bookmarkEnd w:id="8"/>
    </w:p>
    <w:p w14:paraId="7CF875B7" w14:textId="77777777" w:rsidR="00896F49" w:rsidRDefault="00514EB7" w:rsidP="00896F49">
      <w:pPr>
        <w:spacing w:line="480" w:lineRule="auto"/>
        <w:ind w:firstLine="720"/>
      </w:pPr>
      <w:r w:rsidRPr="00C60BB2">
        <w:t xml:space="preserve">The information collected from each SEED Teen participant will only be collected once and has not been collected previously. </w:t>
      </w:r>
    </w:p>
    <w:p w14:paraId="44AD9390" w14:textId="77777777" w:rsidR="00873BFC" w:rsidRPr="00C60BB2" w:rsidRDefault="00EA06D5" w:rsidP="00A73B4D">
      <w:pPr>
        <w:spacing w:line="480" w:lineRule="auto"/>
        <w:ind w:firstLine="720"/>
      </w:pPr>
      <w:r w:rsidRPr="00C60BB2">
        <w:t xml:space="preserve">There are no </w:t>
      </w:r>
      <w:r w:rsidR="00873BFC" w:rsidRPr="00C60BB2">
        <w:t>legal</w:t>
      </w:r>
      <w:r w:rsidRPr="00C60BB2">
        <w:t xml:space="preserve"> </w:t>
      </w:r>
      <w:r w:rsidR="000C0955" w:rsidRPr="00C60BB2">
        <w:t>obstacles to reduce the burden.</w:t>
      </w:r>
    </w:p>
    <w:p w14:paraId="5202CDCF"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9" w:name="_Toc429667312"/>
      <w:r w:rsidRPr="00C60BB2">
        <w:rPr>
          <w:rFonts w:ascii="Times New Roman" w:eastAsiaTheme="majorEastAsia" w:hAnsi="Times New Roman"/>
          <w:i w:val="0"/>
          <w:sz w:val="24"/>
          <w:szCs w:val="24"/>
          <w:u w:val="single"/>
        </w:rPr>
        <w:t>Section A.7. Special Circumstances Relating to the Guidelines of 5 CFR 1320.5</w:t>
      </w:r>
      <w:bookmarkEnd w:id="9"/>
    </w:p>
    <w:p w14:paraId="509E5783" w14:textId="77777777" w:rsidR="00D926C9" w:rsidRPr="00C60BB2" w:rsidRDefault="00873BFC" w:rsidP="00896F49">
      <w:pPr>
        <w:spacing w:line="480" w:lineRule="auto"/>
        <w:ind w:firstLine="720"/>
        <w:rPr>
          <w:i/>
          <w:u w:val="single"/>
        </w:rPr>
      </w:pPr>
      <w:r w:rsidRPr="00C60BB2">
        <w:t xml:space="preserve">This request fully complies </w:t>
      </w:r>
      <w:r w:rsidR="00EA06D5" w:rsidRPr="00C60BB2">
        <w:t xml:space="preserve">with </w:t>
      </w:r>
      <w:r w:rsidR="000D40C9" w:rsidRPr="00C60BB2">
        <w:t xml:space="preserve">the </w:t>
      </w:r>
      <w:r w:rsidR="007C7E2E">
        <w:t>regulation</w:t>
      </w:r>
      <w:r w:rsidR="007C7E2E" w:rsidRPr="00C60BB2">
        <w:t xml:space="preserve"> </w:t>
      </w:r>
      <w:r w:rsidR="000D40C9" w:rsidRPr="00C60BB2">
        <w:t xml:space="preserve">of </w:t>
      </w:r>
      <w:r w:rsidR="00EA06D5" w:rsidRPr="00C60BB2">
        <w:t>5 CFR 1320.5</w:t>
      </w:r>
      <w:r w:rsidR="000C0955" w:rsidRPr="00C60BB2">
        <w:t>.</w:t>
      </w:r>
    </w:p>
    <w:p w14:paraId="65902A35"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0" w:name="_Toc429667313"/>
      <w:r w:rsidRPr="00C60BB2">
        <w:rPr>
          <w:rFonts w:ascii="Times New Roman" w:eastAsiaTheme="majorEastAsia" w:hAnsi="Times New Roman"/>
          <w:i w:val="0"/>
          <w:sz w:val="24"/>
          <w:szCs w:val="24"/>
          <w:u w:val="single"/>
        </w:rPr>
        <w:t>Section A.8. Comments in Response to the Federal Register Notice and Efforts to Consult Outside the Agency</w:t>
      </w:r>
      <w:bookmarkEnd w:id="10"/>
    </w:p>
    <w:p w14:paraId="66B0297D" w14:textId="77777777" w:rsidR="00F279C2" w:rsidRDefault="00873BFC" w:rsidP="00F279C2">
      <w:pPr>
        <w:spacing w:line="480" w:lineRule="auto"/>
        <w:ind w:firstLine="720"/>
      </w:pPr>
      <w:r w:rsidRPr="009046CF">
        <w:t xml:space="preserve">A 60-day Federal Register Notice </w:t>
      </w:r>
      <w:r w:rsidR="00C725F3" w:rsidRPr="009046CF">
        <w:t xml:space="preserve">was published in the Federal Registry on </w:t>
      </w:r>
      <w:r w:rsidR="00FD1735" w:rsidRPr="00FD1735">
        <w:t>May 1, 2017, vol. 82, No. 82, pp 20343</w:t>
      </w:r>
      <w:r w:rsidR="00C725F3" w:rsidRPr="00FD1735">
        <w:t xml:space="preserve"> </w:t>
      </w:r>
      <w:r w:rsidRPr="00FD1735">
        <w:rPr>
          <w:b/>
        </w:rPr>
        <w:t xml:space="preserve">(Attachment </w:t>
      </w:r>
      <w:r w:rsidR="007C7E2E" w:rsidRPr="00FD1735">
        <w:rPr>
          <w:b/>
        </w:rPr>
        <w:t>2</w:t>
      </w:r>
      <w:r w:rsidRPr="00C84766">
        <w:rPr>
          <w:b/>
        </w:rPr>
        <w:t>).</w:t>
      </w:r>
      <w:r w:rsidRPr="00C84766">
        <w:t xml:space="preserve"> </w:t>
      </w:r>
      <w:r w:rsidR="007C7E2E" w:rsidRPr="00C84766">
        <w:t>CDC did not receive public</w:t>
      </w:r>
      <w:r w:rsidR="00C84766" w:rsidRPr="00C84766">
        <w:t xml:space="preserve"> comments related to this notice</w:t>
      </w:r>
      <w:r w:rsidR="00417B86" w:rsidRPr="00C84766">
        <w:t>.</w:t>
      </w:r>
      <w:bookmarkStart w:id="11" w:name="_Toc429667314"/>
    </w:p>
    <w:p w14:paraId="0F349261" w14:textId="04620299" w:rsidR="00CF48F9" w:rsidRDefault="00CF48F9" w:rsidP="00CF48F9">
      <w:pPr>
        <w:spacing w:line="480" w:lineRule="auto"/>
        <w:ind w:firstLine="720"/>
      </w:pPr>
      <w:r>
        <w:t xml:space="preserve">Prior to developing the funding announcement for SEED Teen, CDC discussed the possibility of a follow-up </w:t>
      </w:r>
      <w:r w:rsidR="0077012B">
        <w:t xml:space="preserve">study </w:t>
      </w:r>
      <w:r>
        <w:t>with external partners through several settings:</w:t>
      </w:r>
    </w:p>
    <w:p w14:paraId="6EE05147" w14:textId="77777777" w:rsidR="00CF48F9" w:rsidRDefault="00CF48F9" w:rsidP="00D83040">
      <w:pPr>
        <w:pStyle w:val="ListParagraph"/>
        <w:numPr>
          <w:ilvl w:val="0"/>
          <w:numId w:val="9"/>
        </w:numPr>
        <w:spacing w:line="240" w:lineRule="auto"/>
      </w:pPr>
      <w:r>
        <w:t>NCBDDD holds meetings and conference calls with partners to provide updates on Center activities and to solicit input and comments.  For the past 7 years, we have received numerous ad hoc comments from partners that the SEED project represents an unparalleled opportunity to understand the long term trajectory of children with ASD.</w:t>
      </w:r>
    </w:p>
    <w:p w14:paraId="2E9AF9EB" w14:textId="77777777" w:rsidR="00CF48F9" w:rsidRDefault="00CF48F9" w:rsidP="00D83040">
      <w:pPr>
        <w:pStyle w:val="ListParagraph"/>
        <w:numPr>
          <w:ilvl w:val="0"/>
          <w:numId w:val="9"/>
        </w:numPr>
        <w:spacing w:line="240" w:lineRule="auto"/>
      </w:pPr>
      <w:r>
        <w:t>The PIs and other investigators at the extramural SEED sites have repeatedly encouraged CDC and other government funding organizations such as NIH and HRSA to consider funding a long term follow-up study of SEED participants.</w:t>
      </w:r>
    </w:p>
    <w:p w14:paraId="0A728038" w14:textId="77777777" w:rsidR="00AD2519" w:rsidRPr="00AD2519" w:rsidRDefault="00CF48F9" w:rsidP="00AD2519">
      <w:pPr>
        <w:pStyle w:val="ListParagraph"/>
        <w:numPr>
          <w:ilvl w:val="0"/>
          <w:numId w:val="9"/>
        </w:numPr>
        <w:spacing w:line="240" w:lineRule="auto"/>
      </w:pPr>
      <w:r>
        <w:t xml:space="preserve">In </w:t>
      </w:r>
      <w:r w:rsidR="00AD2519">
        <w:t xml:space="preserve">January, </w:t>
      </w:r>
      <w:r w:rsidR="00AB0460">
        <w:t xml:space="preserve">2015, CDC convened an external </w:t>
      </w:r>
      <w:r w:rsidR="00896F49">
        <w:t xml:space="preserve">peer review </w:t>
      </w:r>
      <w:r w:rsidR="00AB0460">
        <w:t xml:space="preserve">panel to review autism research activities in </w:t>
      </w:r>
      <w:r w:rsidR="00AB0460" w:rsidRPr="00AD2519">
        <w:t xml:space="preserve">NCBDDD with a focus on SEED.  As part of this review the panel was asked to make recommendations about future SEED projects including the possibility of a follow-up of children enrolled in the SEED case-control study.  </w:t>
      </w:r>
    </w:p>
    <w:p w14:paraId="65ADA1A2" w14:textId="77777777" w:rsidR="00AD2519" w:rsidRDefault="00AD2519" w:rsidP="00AD2519">
      <w:pPr>
        <w:pStyle w:val="ListParagraph"/>
        <w:numPr>
          <w:ilvl w:val="1"/>
          <w:numId w:val="9"/>
        </w:numPr>
        <w:tabs>
          <w:tab w:val="left" w:pos="3383"/>
        </w:tabs>
        <w:spacing w:line="240" w:lineRule="auto"/>
      </w:pPr>
      <w:r w:rsidRPr="00AD2519">
        <w:t>External Peer Review Panel Members were: Alison Singer, MBA, Autism Science Foundation; Stephen Buka, ScD, Harvard University; Chris Gunter, PhD, Marcus Autism Center, Children’s Healthcare of Atlanta, and Emory University School of Medicine; Alycia Halladay, PhD</w:t>
      </w:r>
      <w:r>
        <w:t xml:space="preserve">, </w:t>
      </w:r>
      <w:r w:rsidRPr="00AD2519">
        <w:t>Autism Science Foundation, Susan L Hyman, MD, University of Rochester School of Medicine; Michael Kogan, PhD, Health Resources and Services Administration; Matthew Longnecker MD, ScD, National Institute of Environmental Health Sciences; and Jennifer Mulle, PhD, Emory Rollins School of Public Health.</w:t>
      </w:r>
    </w:p>
    <w:p w14:paraId="511EB405" w14:textId="77777777" w:rsidR="00AD2519" w:rsidRDefault="00AB0460" w:rsidP="00AD2519">
      <w:pPr>
        <w:pStyle w:val="ListParagraph"/>
        <w:numPr>
          <w:ilvl w:val="1"/>
          <w:numId w:val="9"/>
        </w:numPr>
        <w:tabs>
          <w:tab w:val="left" w:pos="3383"/>
        </w:tabs>
        <w:spacing w:line="240" w:lineRule="auto"/>
      </w:pPr>
      <w:r w:rsidRPr="00AD2519">
        <w:t xml:space="preserve">The panel reported that SEED could make a unique contribution to our understanding of autism in the areas of longitudinal documentation of symptoms within biologic and clinical phenotypes, and in understanding the impact of interventions.  </w:t>
      </w:r>
    </w:p>
    <w:p w14:paraId="21ECFA70" w14:textId="77777777" w:rsidR="00D83040" w:rsidRPr="00AD2519" w:rsidRDefault="00AB0460" w:rsidP="00AD2519">
      <w:pPr>
        <w:pStyle w:val="ListParagraph"/>
        <w:numPr>
          <w:ilvl w:val="1"/>
          <w:numId w:val="9"/>
        </w:numPr>
        <w:tabs>
          <w:tab w:val="left" w:pos="3383"/>
        </w:tabs>
        <w:spacing w:line="240" w:lineRule="auto"/>
      </w:pPr>
      <w:r w:rsidRPr="00AD2519">
        <w:t xml:space="preserve">They </w:t>
      </w:r>
      <w:r w:rsidR="00D83040" w:rsidRPr="00AD2519">
        <w:t>recommended the study include data collection within the several research domains:  course of medical and behavioral symptoms associated with ASD: current functioning of children related to health/wellness, behavior, language, education, social and community challenges; current diagnoses, symptoms and course relative to diagnosis and treatment of comorbid medical and psychiatric conditions; relationship of the use of health and educational services relative to trajectory/outcome; and broader family functioning including impact on caregiver and sibling health, stress, and finances</w:t>
      </w:r>
    </w:p>
    <w:p w14:paraId="1B504D44" w14:textId="543D9C0C" w:rsidR="00CF48F9" w:rsidRDefault="00D83040" w:rsidP="00AD2519">
      <w:pPr>
        <w:pStyle w:val="ListParagraph"/>
        <w:numPr>
          <w:ilvl w:val="1"/>
          <w:numId w:val="9"/>
        </w:numPr>
        <w:spacing w:line="240" w:lineRule="auto"/>
      </w:pPr>
      <w:r w:rsidRPr="00AD2519">
        <w:t>They additionally identifie</w:t>
      </w:r>
      <w:r>
        <w:t xml:space="preserve">d several specific </w:t>
      </w:r>
      <w:r w:rsidR="007777BA">
        <w:t>research topics</w:t>
      </w:r>
      <w:r>
        <w:t xml:space="preserve"> they felt particularly important to include in a follow up study -- obesity, elopement &amp; accidents, bullying, social and community program impact, quality of life as an outcome measurement and access to care/medical home participation. </w:t>
      </w:r>
    </w:p>
    <w:p w14:paraId="72B0F47B" w14:textId="77777777" w:rsidR="00D83040" w:rsidRDefault="007777BA" w:rsidP="007777BA">
      <w:pPr>
        <w:spacing w:line="480" w:lineRule="auto"/>
      </w:pPr>
      <w:r>
        <w:t>CDC carefully considered these recommendations in designing SEED Teen.  SEED Teen will collect detailed data within each of the research domains and specific topic areas recommended by the peer-reviewed panel</w:t>
      </w:r>
      <w:r w:rsidR="00AD2519">
        <w:t>.</w:t>
      </w:r>
    </w:p>
    <w:p w14:paraId="099FF72B" w14:textId="77777777" w:rsidR="00AD2519" w:rsidRDefault="00AD2519" w:rsidP="00F279C2">
      <w:pPr>
        <w:spacing w:line="480" w:lineRule="auto"/>
        <w:ind w:firstLine="720"/>
      </w:pPr>
      <w:r>
        <w:t>During the process of developing the SEED Teen protocol, CDC</w:t>
      </w:r>
      <w:r w:rsidR="007777BA">
        <w:t xml:space="preserve"> </w:t>
      </w:r>
      <w:r w:rsidR="00514EB7" w:rsidRPr="00C60BB2">
        <w:t>consulted a number of persons outside CDC</w:t>
      </w:r>
      <w:r w:rsidR="007777BA">
        <w:t xml:space="preserve"> and researched previous studies</w:t>
      </w:r>
      <w:r w:rsidR="00514EB7" w:rsidRPr="00C60BB2">
        <w:t xml:space="preserve"> to ensure that this data collection is not duplicative and that the study design, data elements, and instruments are appropriate. </w:t>
      </w:r>
    </w:p>
    <w:p w14:paraId="58D9D010" w14:textId="77777777" w:rsidR="00F279C2" w:rsidRDefault="00AD2519" w:rsidP="00F279C2">
      <w:pPr>
        <w:spacing w:line="480" w:lineRule="auto"/>
        <w:ind w:firstLine="720"/>
      </w:pPr>
      <w:r>
        <w:t>Finally, t</w:t>
      </w:r>
      <w:r w:rsidR="00514EB7" w:rsidRPr="00C60BB2">
        <w:t xml:space="preserve">he principal investigators (PIs) at </w:t>
      </w:r>
      <w:r w:rsidR="00E166BC">
        <w:t xml:space="preserve">four of the </w:t>
      </w:r>
      <w:r w:rsidR="00514EB7" w:rsidRPr="00C60BB2">
        <w:t>SEED 1</w:t>
      </w:r>
      <w:r>
        <w:t xml:space="preserve"> case-control study</w:t>
      </w:r>
      <w:r w:rsidR="00514EB7" w:rsidRPr="00C60BB2">
        <w:t xml:space="preserve"> sites played an integral role in the design and the development of SEED</w:t>
      </w:r>
      <w:r w:rsidR="002A6933" w:rsidRPr="00C60BB2">
        <w:t xml:space="preserve"> Teen</w:t>
      </w:r>
      <w:r w:rsidR="00514EB7" w:rsidRPr="00C60BB2">
        <w:t xml:space="preserve">. </w:t>
      </w:r>
      <w:r w:rsidR="00623464">
        <w:t xml:space="preserve">The </w:t>
      </w:r>
      <w:r>
        <w:t xml:space="preserve">SEED Teen </w:t>
      </w:r>
      <w:r w:rsidR="00623464">
        <w:t xml:space="preserve">protocol development </w:t>
      </w:r>
      <w:r>
        <w:t>was</w:t>
      </w:r>
      <w:r w:rsidR="00623464">
        <w:t xml:space="preserve"> a collaborative effort between the CDC, NCBDDD and one </w:t>
      </w:r>
      <w:r>
        <w:t xml:space="preserve">funded </w:t>
      </w:r>
      <w:r w:rsidR="00623464">
        <w:t xml:space="preserve">extramural </w:t>
      </w:r>
      <w:r>
        <w:t xml:space="preserve">SEED </w:t>
      </w:r>
      <w:r w:rsidR="00623464">
        <w:t>Center, the University of North Carolina at Chapel Hill (UNC).  Additionally, UNC has partnered with two other sites that participated in SEED 1</w:t>
      </w:r>
      <w:r>
        <w:t xml:space="preserve"> case-control study</w:t>
      </w:r>
      <w:r w:rsidR="00623464">
        <w:t xml:space="preserve"> (Johns Hopkins University and University of Pennsylvania).  Under agreements with these two institutions, UNC will collect data from SEED 1 participants from the Maryland SEED site and Pennsylvania SEED site in addition to the North Carolina SEED site.  </w:t>
      </w:r>
      <w:r>
        <w:t>CDC worked with individuals from all three sites in developing SEED Teen instruments and protocol.</w:t>
      </w:r>
    </w:p>
    <w:p w14:paraId="370FCC6E"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r w:rsidRPr="00C60BB2">
        <w:rPr>
          <w:rFonts w:ascii="Times New Roman" w:eastAsiaTheme="majorEastAsia" w:hAnsi="Times New Roman"/>
          <w:i w:val="0"/>
          <w:sz w:val="24"/>
          <w:szCs w:val="24"/>
          <w:u w:val="single"/>
        </w:rPr>
        <w:t>Section A.9. Explanation of Any Payment or Gift to Respondents</w:t>
      </w:r>
      <w:bookmarkEnd w:id="11"/>
    </w:p>
    <w:p w14:paraId="742270E6" w14:textId="7D3D2446" w:rsidR="00765383" w:rsidRDefault="00007CE8" w:rsidP="00765383">
      <w:pPr>
        <w:spacing w:line="480" w:lineRule="auto"/>
        <w:ind w:firstLine="720"/>
      </w:pPr>
      <w:r w:rsidRPr="00C60BB2">
        <w:t>Respondents will receive a $30 cash</w:t>
      </w:r>
      <w:r w:rsidR="003B6934" w:rsidRPr="00C60BB2">
        <w:t xml:space="preserve"> </w:t>
      </w:r>
      <w:r w:rsidRPr="00C60BB2">
        <w:t xml:space="preserve">card with a </w:t>
      </w:r>
      <w:r w:rsidR="00902F11">
        <w:t>t</w:t>
      </w:r>
      <w:r w:rsidRPr="00C60BB2">
        <w:t xml:space="preserve">hank </w:t>
      </w:r>
      <w:r w:rsidR="00902F11">
        <w:t>y</w:t>
      </w:r>
      <w:r w:rsidRPr="00C60BB2">
        <w:t xml:space="preserve">ou letter </w:t>
      </w:r>
      <w:r w:rsidR="00DF30CD">
        <w:t>(</w:t>
      </w:r>
      <w:r w:rsidR="00FE7A1D">
        <w:rPr>
          <w:b/>
        </w:rPr>
        <w:t>Attachment 8</w:t>
      </w:r>
      <w:r w:rsidR="00DF30CD">
        <w:t xml:space="preserve">) </w:t>
      </w:r>
      <w:r w:rsidRPr="00C60BB2">
        <w:t xml:space="preserve">as a token of appreciation. The </w:t>
      </w:r>
      <w:r w:rsidR="00B5333A">
        <w:t xml:space="preserve">CDC </w:t>
      </w:r>
      <w:r w:rsidRPr="00C60BB2">
        <w:t xml:space="preserve">IRB approval of the </w:t>
      </w:r>
      <w:r w:rsidRPr="009046CF">
        <w:t>study (</w:t>
      </w:r>
      <w:r w:rsidR="00FE7A1D">
        <w:rPr>
          <w:b/>
        </w:rPr>
        <w:t>Attachment 10</w:t>
      </w:r>
      <w:r w:rsidRPr="009046CF">
        <w:rPr>
          <w:b/>
        </w:rPr>
        <w:t>)</w:t>
      </w:r>
      <w:r w:rsidRPr="009046CF">
        <w:t xml:space="preserve"> included</w:t>
      </w:r>
      <w:r w:rsidRPr="00C60BB2">
        <w:t xml:space="preserve"> the review and approval of this type of gift. </w:t>
      </w:r>
      <w:r w:rsidR="009A38CB">
        <w:t>Incentives are provided to parents who are the respondents in this study.  No additional incentives are provided to the teens themselves.</w:t>
      </w:r>
    </w:p>
    <w:p w14:paraId="685218B2" w14:textId="4B596BC1" w:rsidR="00765383" w:rsidRDefault="00514EB7" w:rsidP="00765383">
      <w:pPr>
        <w:spacing w:line="480" w:lineRule="auto"/>
        <w:ind w:firstLine="720"/>
      </w:pPr>
      <w:r w:rsidRPr="00C60BB2">
        <w:t>All SEED</w:t>
      </w:r>
      <w:r w:rsidR="00B43B27">
        <w:t xml:space="preserve"> </w:t>
      </w:r>
      <w:r w:rsidRPr="00C60BB2">
        <w:t xml:space="preserve">parents cope with challenges above and beyond what parents of typically developing children face. </w:t>
      </w:r>
      <w:r w:rsidR="006A1601">
        <w:t xml:space="preserve">Use of a nominal incentive will be one important means of motivating invited caregivers to participate in SEED Teen and thus, the incentive is critical to helping us achieve high response rates. </w:t>
      </w:r>
      <w:r w:rsidR="00B43B27">
        <w:t>Parents and other primary caregivers</w:t>
      </w:r>
      <w:r w:rsidR="006A1601">
        <w:t xml:space="preserve"> </w:t>
      </w:r>
      <w:r w:rsidR="00780BBA">
        <w:t>who</w:t>
      </w:r>
      <w:r w:rsidR="006A1601">
        <w:t xml:space="preserve"> participated in the SEED case-control study </w:t>
      </w:r>
      <w:r w:rsidR="0046652E" w:rsidRPr="00C1755E">
        <w:t>cited altruistic reasons</w:t>
      </w:r>
      <w:r w:rsidR="006A1601">
        <w:t xml:space="preserve"> when asked why they chose to participate</w:t>
      </w:r>
      <w:r w:rsidR="00B43B27">
        <w:t>; however,</w:t>
      </w:r>
      <w:r w:rsidR="006A1601">
        <w:t xml:space="preserve"> many participants also noted that a primary barrier to study completion was the difficulty in </w:t>
      </w:r>
      <w:r w:rsidR="0046652E" w:rsidRPr="00C1755E">
        <w:t xml:space="preserve">finding sufficient periods of uninterrupted time </w:t>
      </w:r>
      <w:r w:rsidR="006A1601">
        <w:t xml:space="preserve">needed to complete study instruments. </w:t>
      </w:r>
      <w:r w:rsidR="0046652E" w:rsidRPr="00C1755E">
        <w:t xml:space="preserve">This problem </w:t>
      </w:r>
      <w:r w:rsidR="0046652E">
        <w:t>was</w:t>
      </w:r>
      <w:r w:rsidR="0046652E" w:rsidRPr="00C1755E">
        <w:t xml:space="preserve"> often exacerbated for many </w:t>
      </w:r>
      <w:r w:rsidR="00B43B27">
        <w:t>participants</w:t>
      </w:r>
      <w:r w:rsidR="00B43B27" w:rsidRPr="00C1755E">
        <w:t xml:space="preserve"> </w:t>
      </w:r>
      <w:r w:rsidR="0046652E" w:rsidRPr="00C1755E">
        <w:t xml:space="preserve">of lower </w:t>
      </w:r>
      <w:r w:rsidR="00CB1842">
        <w:t>socioeconomic status (</w:t>
      </w:r>
      <w:r w:rsidR="0046652E" w:rsidRPr="00C1755E">
        <w:t>SES</w:t>
      </w:r>
      <w:r w:rsidR="00CB1842">
        <w:t>)</w:t>
      </w:r>
      <w:r w:rsidR="0046652E" w:rsidRPr="00C1755E">
        <w:t xml:space="preserve"> – groups SEED was specifically designed to include</w:t>
      </w:r>
      <w:r w:rsidR="0046652E">
        <w:t>.</w:t>
      </w:r>
    </w:p>
    <w:p w14:paraId="308A494B" w14:textId="77777777" w:rsidR="00DD4D97" w:rsidRDefault="0046652E" w:rsidP="00765383">
      <w:pPr>
        <w:spacing w:line="480" w:lineRule="auto"/>
        <w:ind w:firstLine="720"/>
      </w:pPr>
      <w:r>
        <w:t xml:space="preserve">Providing a nominal </w:t>
      </w:r>
      <w:r w:rsidRPr="00C1755E">
        <w:t>monetary incentives of $</w:t>
      </w:r>
      <w:r>
        <w:t xml:space="preserve">30 in SEED Teen will </w:t>
      </w:r>
      <w:r w:rsidRPr="00C1755E">
        <w:t>allow</w:t>
      </w:r>
      <w:r>
        <w:t xml:space="preserve"> parents</w:t>
      </w:r>
      <w:r w:rsidRPr="00C1755E">
        <w:t xml:space="preserve"> to offset other </w:t>
      </w:r>
      <w:r w:rsidR="00977B5C">
        <w:t xml:space="preserve">competing personal </w:t>
      </w:r>
      <w:r w:rsidRPr="00C1755E">
        <w:t>demands</w:t>
      </w:r>
      <w:r w:rsidR="007C62A8">
        <w:t xml:space="preserve"> such as </w:t>
      </w:r>
      <w:r w:rsidR="00780BBA">
        <w:t>caregiving or meal preparation</w:t>
      </w:r>
      <w:r w:rsidRPr="00C1755E">
        <w:t xml:space="preserve">.  Given the diversity of our study population, we </w:t>
      </w:r>
      <w:r>
        <w:t xml:space="preserve">also </w:t>
      </w:r>
      <w:r w:rsidRPr="00C1755E">
        <w:t>need to be mindful that some participants have low literacy level and thus need more support from SEED staff</w:t>
      </w:r>
      <w:r>
        <w:t>, for example help completing their data collection instruments over the phone rather than using the self-administered mode</w:t>
      </w:r>
      <w:r w:rsidRPr="00C1755E">
        <w:t xml:space="preserve">.  </w:t>
      </w:r>
      <w:r>
        <w:t xml:space="preserve">This will </w:t>
      </w:r>
      <w:r w:rsidR="00977B5C">
        <w:t xml:space="preserve">take longer and thus </w:t>
      </w:r>
      <w:r>
        <w:t>add burden to th</w:t>
      </w:r>
      <w:r w:rsidR="00B02AB0">
        <w:t>e</w:t>
      </w:r>
      <w:r>
        <w:t>se</w:t>
      </w:r>
      <w:r w:rsidRPr="00C1755E">
        <w:t xml:space="preserve"> participants</w:t>
      </w:r>
      <w:r w:rsidR="00B43B27">
        <w:t>. This could be particularly problematic because t</w:t>
      </w:r>
      <w:r w:rsidR="00B02AB0">
        <w:t>hese participants might have</w:t>
      </w:r>
      <w:r>
        <w:t xml:space="preserve"> the greatest</w:t>
      </w:r>
      <w:r w:rsidRPr="00C1755E">
        <w:t xml:space="preserve"> </w:t>
      </w:r>
      <w:r w:rsidR="00B43B27">
        <w:t xml:space="preserve">personal </w:t>
      </w:r>
      <w:r w:rsidRPr="00C1755E">
        <w:t>time constraints</w:t>
      </w:r>
      <w:r w:rsidR="00092F3A">
        <w:t xml:space="preserve"> and/or might not have resources to pay for extra child care or meals out such that they can offset the demands of completing SEED Teen study instruments</w:t>
      </w:r>
      <w:r w:rsidRPr="00C1755E">
        <w:t>.</w:t>
      </w:r>
    </w:p>
    <w:p w14:paraId="442A99EA" w14:textId="77777777" w:rsidR="00873BFC"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2" w:name="_Toc429667315"/>
      <w:r w:rsidRPr="00C60BB2">
        <w:rPr>
          <w:rFonts w:ascii="Times New Roman" w:eastAsiaTheme="majorEastAsia" w:hAnsi="Times New Roman"/>
          <w:i w:val="0"/>
          <w:sz w:val="24"/>
          <w:szCs w:val="24"/>
          <w:u w:val="single"/>
        </w:rPr>
        <w:t xml:space="preserve">Section A.10. </w:t>
      </w:r>
      <w:r w:rsidR="003D75DE" w:rsidRPr="00C60BB2">
        <w:rPr>
          <w:rFonts w:ascii="Times New Roman" w:eastAsiaTheme="majorEastAsia" w:hAnsi="Times New Roman"/>
          <w:i w:val="0"/>
          <w:sz w:val="24"/>
          <w:szCs w:val="24"/>
          <w:u w:val="single"/>
        </w:rPr>
        <w:t xml:space="preserve"> Protection of the Privacy and Confidentiality of Information Provided by Respondents</w:t>
      </w:r>
      <w:bookmarkEnd w:id="12"/>
    </w:p>
    <w:p w14:paraId="315F6D6A" w14:textId="54D2808B" w:rsidR="00765383" w:rsidRDefault="007C7E2E" w:rsidP="00765383">
      <w:pPr>
        <w:autoSpaceDE w:val="0"/>
        <w:autoSpaceDN w:val="0"/>
        <w:adjustRightInd w:val="0"/>
        <w:spacing w:line="480" w:lineRule="auto"/>
        <w:ind w:firstLine="720"/>
        <w:rPr>
          <w:rFonts w:eastAsiaTheme="minorHAnsi"/>
        </w:rPr>
      </w:pPr>
      <w:r w:rsidRPr="00C60BB2">
        <w:rPr>
          <w:rFonts w:eastAsiaTheme="minorHAnsi"/>
        </w:rPr>
        <w:t xml:space="preserve">This submission has been reviewed by the NCBDDD </w:t>
      </w:r>
      <w:r w:rsidR="00EC4B88">
        <w:rPr>
          <w:rFonts w:eastAsiaTheme="minorHAnsi"/>
        </w:rPr>
        <w:t>Information Systems Security</w:t>
      </w:r>
      <w:r w:rsidRPr="00C60BB2">
        <w:rPr>
          <w:rFonts w:eastAsiaTheme="minorHAnsi"/>
        </w:rPr>
        <w:t xml:space="preserve"> Officer</w:t>
      </w:r>
      <w:r w:rsidR="00EC4B88">
        <w:rPr>
          <w:rFonts w:eastAsiaTheme="minorHAnsi"/>
        </w:rPr>
        <w:t xml:space="preserve"> </w:t>
      </w:r>
      <w:r w:rsidR="00071D0A">
        <w:rPr>
          <w:rFonts w:eastAsiaTheme="minorHAnsi"/>
        </w:rPr>
        <w:t xml:space="preserve">and the CDC Chief Privacy Officer </w:t>
      </w:r>
      <w:r w:rsidR="00EC4B88">
        <w:rPr>
          <w:rFonts w:eastAsiaTheme="minorHAnsi"/>
        </w:rPr>
        <w:t xml:space="preserve">and </w:t>
      </w:r>
      <w:r w:rsidRPr="00C60BB2">
        <w:rPr>
          <w:rFonts w:eastAsiaTheme="minorHAnsi"/>
        </w:rPr>
        <w:t>determined that the Privacy Act does apply</w:t>
      </w:r>
      <w:r w:rsidR="000D1A91">
        <w:rPr>
          <w:rFonts w:eastAsiaTheme="minorHAnsi"/>
        </w:rPr>
        <w:t xml:space="preserve"> because a system of records will be maintained by CDC, a federal agency, that includes information on individuals, including but not limited to medical history</w:t>
      </w:r>
      <w:r w:rsidR="0020105A">
        <w:rPr>
          <w:rFonts w:eastAsiaTheme="minorHAnsi"/>
        </w:rPr>
        <w:t>,</w:t>
      </w:r>
      <w:r w:rsidR="000D1A91">
        <w:rPr>
          <w:rFonts w:eastAsiaTheme="minorHAnsi"/>
        </w:rPr>
        <w:t xml:space="preserve"> </w:t>
      </w:r>
      <w:r w:rsidR="00542EF7">
        <w:rPr>
          <w:rFonts w:eastAsiaTheme="minorHAnsi"/>
        </w:rPr>
        <w:t>and</w:t>
      </w:r>
      <w:r w:rsidR="000D1A91">
        <w:rPr>
          <w:rFonts w:eastAsiaTheme="minorHAnsi"/>
        </w:rPr>
        <w:t xml:space="preserve"> an identifying number assigned to each individual</w:t>
      </w:r>
      <w:r w:rsidR="00AD03A0">
        <w:rPr>
          <w:rFonts w:eastAsiaTheme="minorHAnsi"/>
        </w:rPr>
        <w:t>.</w:t>
      </w:r>
      <w:r w:rsidRPr="00A05B6A">
        <w:rPr>
          <w:rFonts w:eastAsiaTheme="minorHAnsi"/>
        </w:rPr>
        <w:t xml:space="preserve">  </w:t>
      </w:r>
      <w:r w:rsidR="00AD03A0">
        <w:rPr>
          <w:rFonts w:eastAsiaTheme="minorHAnsi"/>
        </w:rPr>
        <w:t>P</w:t>
      </w:r>
      <w:r w:rsidRPr="00A05B6A">
        <w:rPr>
          <w:rFonts w:eastAsiaTheme="minorHAnsi"/>
        </w:rPr>
        <w:t xml:space="preserve">ersonally identifiable information will be collected and maintained under </w:t>
      </w:r>
      <w:bookmarkStart w:id="13" w:name="OLE_LINK1"/>
      <w:r w:rsidRPr="00A05B6A">
        <w:rPr>
          <w:rFonts w:eastAsiaTheme="minorHAnsi"/>
        </w:rPr>
        <w:t>Privacy Act System of Records 09-20-0136, “Epidemiologic Studies and Surveillance of Disease Problems</w:t>
      </w:r>
      <w:bookmarkEnd w:id="13"/>
      <w:r w:rsidRPr="00A05B6A">
        <w:rPr>
          <w:rFonts w:eastAsiaTheme="minorHAnsi"/>
        </w:rPr>
        <w:t xml:space="preserve">.”  Analytic datasets transmitted to CDC by the </w:t>
      </w:r>
      <w:r w:rsidR="007C03BD" w:rsidRPr="00A05B6A">
        <w:rPr>
          <w:rFonts w:eastAsiaTheme="minorHAnsi"/>
        </w:rPr>
        <w:t>DCC</w:t>
      </w:r>
      <w:r w:rsidRPr="00A05B6A">
        <w:rPr>
          <w:rFonts w:eastAsiaTheme="minorHAnsi"/>
        </w:rPr>
        <w:t xml:space="preserve"> will be encrypted. The data collected is jointly owned by the CDC and the participating research sites.</w:t>
      </w:r>
      <w:r w:rsidR="0024577E">
        <w:rPr>
          <w:rFonts w:eastAsiaTheme="minorHAnsi"/>
        </w:rPr>
        <w:t xml:space="preserve">  All employees at all SEED sites associated with this project, including contractors, will sign a non-disclosure agreement.</w:t>
      </w:r>
    </w:p>
    <w:p w14:paraId="34F55952" w14:textId="77777777" w:rsidR="00EC4B88" w:rsidRPr="00EC4B88" w:rsidRDefault="00E711E7" w:rsidP="00765383">
      <w:pPr>
        <w:autoSpaceDE w:val="0"/>
        <w:autoSpaceDN w:val="0"/>
        <w:adjustRightInd w:val="0"/>
        <w:spacing w:line="480" w:lineRule="auto"/>
        <w:ind w:firstLine="720"/>
        <w:rPr>
          <w:rFonts w:eastAsiaTheme="minorHAnsi"/>
        </w:rPr>
      </w:pPr>
      <w:r>
        <w:rPr>
          <w:rFonts w:eastAsiaTheme="minorHAnsi"/>
        </w:rPr>
        <w:t>V</w:t>
      </w:r>
      <w:r w:rsidR="00EC4B88" w:rsidRPr="00EC4B88">
        <w:rPr>
          <w:rFonts w:eastAsiaTheme="minorHAnsi"/>
        </w:rPr>
        <w:t xml:space="preserve">erbal consent for participation in SEED Teen </w:t>
      </w:r>
      <w:r>
        <w:rPr>
          <w:rFonts w:eastAsiaTheme="minorHAnsi"/>
        </w:rPr>
        <w:t xml:space="preserve">will be obtained </w:t>
      </w:r>
      <w:r w:rsidR="00EC4B88" w:rsidRPr="00EC4B88">
        <w:rPr>
          <w:rFonts w:eastAsiaTheme="minorHAnsi"/>
        </w:rPr>
        <w:t xml:space="preserve">during the invitation call before sending participants the data collection packet.  Additionally, the participant information sheet included in the data collection packet provides a full description of participants’ rights in any easy to read Frequently Asked Questions </w:t>
      </w:r>
      <w:r w:rsidR="00EC4B88" w:rsidRPr="009046CF">
        <w:rPr>
          <w:rFonts w:eastAsiaTheme="minorHAnsi"/>
        </w:rPr>
        <w:t>format (</w:t>
      </w:r>
      <w:r w:rsidR="00DC563E" w:rsidRPr="009046CF">
        <w:rPr>
          <w:rFonts w:eastAsiaTheme="minorHAnsi"/>
          <w:b/>
        </w:rPr>
        <w:t>Attachment</w:t>
      </w:r>
      <w:r w:rsidR="00FE7A1D">
        <w:rPr>
          <w:rFonts w:eastAsiaTheme="minorHAnsi"/>
          <w:b/>
        </w:rPr>
        <w:t xml:space="preserve"> 6</w:t>
      </w:r>
      <w:r w:rsidR="008C2E8E" w:rsidRPr="009046CF">
        <w:rPr>
          <w:rFonts w:eastAsiaTheme="minorHAnsi"/>
          <w:b/>
        </w:rPr>
        <w:t>.b</w:t>
      </w:r>
      <w:r w:rsidR="00EC4B88" w:rsidRPr="009046CF">
        <w:rPr>
          <w:rFonts w:eastAsiaTheme="minorHAnsi"/>
        </w:rPr>
        <w:t>).</w:t>
      </w:r>
      <w:r w:rsidR="00EC4B88" w:rsidRPr="00EC4B88">
        <w:rPr>
          <w:rFonts w:eastAsiaTheme="minorHAnsi"/>
        </w:rPr>
        <w:t xml:space="preserve"> These questions cover all relevant areas included in study consent forms: study purpose, description of study tasks, potential risks and benefits to participant, monetary incentives, safeguards taken to protect participant privacy, data sharing, and explicit language that participation in SEED Teen is voluntary.  Specifically, the following language is inc</w:t>
      </w:r>
      <w:r w:rsidR="00EC4B88">
        <w:rPr>
          <w:rFonts w:eastAsiaTheme="minorHAnsi"/>
        </w:rPr>
        <w:t>luded in the information sheet:</w:t>
      </w:r>
    </w:p>
    <w:p w14:paraId="522B0670" w14:textId="1E436557" w:rsidR="00012B38" w:rsidRDefault="00EC4B88" w:rsidP="00012B38">
      <w:pPr>
        <w:pStyle w:val="ListParagraph"/>
        <w:numPr>
          <w:ilvl w:val="0"/>
          <w:numId w:val="15"/>
        </w:numPr>
        <w:autoSpaceDE w:val="0"/>
        <w:autoSpaceDN w:val="0"/>
        <w:adjustRightInd w:val="0"/>
        <w:spacing w:line="480" w:lineRule="auto"/>
        <w:rPr>
          <w:rFonts w:eastAsiaTheme="minorHAnsi"/>
        </w:rPr>
      </w:pPr>
      <w:r w:rsidRPr="00012B38">
        <w:rPr>
          <w:rFonts w:eastAsiaTheme="minorHAnsi"/>
        </w:rPr>
        <w:t xml:space="preserve">“Your decision to be in the study is up to you.  Your participation is voluntary.  There is no penalty if you do not want to be in the study. We will not discuss your decision to participate or not participate in SEED with anyone outside the study.”  </w:t>
      </w:r>
    </w:p>
    <w:p w14:paraId="1A9385E9" w14:textId="647883FC" w:rsidR="00012B38" w:rsidRPr="00012B38" w:rsidRDefault="00012B38" w:rsidP="00012B38">
      <w:pPr>
        <w:pStyle w:val="ListParagraph"/>
        <w:numPr>
          <w:ilvl w:val="0"/>
          <w:numId w:val="15"/>
        </w:numPr>
        <w:autoSpaceDN w:val="0"/>
        <w:spacing w:line="480" w:lineRule="auto"/>
        <w:textAlignment w:val="baseline"/>
      </w:pPr>
      <w:r>
        <w:t>“</w:t>
      </w:r>
      <w:r w:rsidRPr="00012B38">
        <w:t xml:space="preserve">All answers that you give will be kept private. Because sensitive information is collected in this study, </w:t>
      </w:r>
      <w:r w:rsidRPr="00012B38">
        <w:rPr>
          <w:i/>
          <w:highlight w:val="yellow"/>
        </w:rPr>
        <w:t>&lt;site&gt;</w:t>
      </w:r>
      <w:r w:rsidRPr="00012B38">
        <w:t xml:space="preserve"> received a ‘Certificate of Confidentiality.’  This means that any information that </w:t>
      </w:r>
      <w:r w:rsidRPr="00012B38">
        <w:rPr>
          <w:i/>
          <w:highlight w:val="yellow"/>
        </w:rPr>
        <w:t>&lt;site&gt;</w:t>
      </w:r>
      <w:r w:rsidRPr="00012B38">
        <w:t xml:space="preserve"> has that identifies you or your child will be used only for this project.  It cannot be given to anyone else unless you give your written consent. But under law, we may report to the state if you tell us you are planning to cause serious harm to yourself or others.</w:t>
      </w:r>
      <w:r>
        <w:t>”</w:t>
      </w:r>
    </w:p>
    <w:p w14:paraId="43706226" w14:textId="3170DF15" w:rsidR="00765383" w:rsidRPr="00012B38" w:rsidRDefault="00EC4B88" w:rsidP="00012B38">
      <w:pPr>
        <w:autoSpaceDE w:val="0"/>
        <w:autoSpaceDN w:val="0"/>
        <w:adjustRightInd w:val="0"/>
        <w:spacing w:line="480" w:lineRule="auto"/>
        <w:ind w:left="360"/>
        <w:rPr>
          <w:rFonts w:eastAsiaTheme="minorHAnsi"/>
        </w:rPr>
      </w:pPr>
      <w:r w:rsidRPr="00012B38">
        <w:rPr>
          <w:rFonts w:eastAsiaTheme="minorHAnsi"/>
        </w:rPr>
        <w:t>Finally, the participant’s action to complete and return the data collection forms to the SEED site, or to request assistance to complete the study instruments over the phone with SEED staff, constitutes implied consent.</w:t>
      </w:r>
    </w:p>
    <w:p w14:paraId="497230F5" w14:textId="77777777" w:rsidR="00765383" w:rsidRDefault="00EC4B88" w:rsidP="00765383">
      <w:pPr>
        <w:autoSpaceDE w:val="0"/>
        <w:autoSpaceDN w:val="0"/>
        <w:adjustRightInd w:val="0"/>
        <w:spacing w:line="480" w:lineRule="auto"/>
        <w:ind w:firstLine="720"/>
        <w:rPr>
          <w:rFonts w:eastAsiaTheme="minorHAnsi"/>
          <w:b/>
        </w:rPr>
      </w:pPr>
      <w:r w:rsidRPr="009046CF">
        <w:rPr>
          <w:rFonts w:eastAsiaTheme="minorHAnsi"/>
        </w:rPr>
        <w:t>The consent forms for future contact (</w:t>
      </w:r>
      <w:r w:rsidR="00DC563E" w:rsidRPr="009046CF">
        <w:rPr>
          <w:rFonts w:eastAsiaTheme="minorHAnsi"/>
          <w:b/>
        </w:rPr>
        <w:t>Attachment</w:t>
      </w:r>
      <w:r w:rsidR="00FE7A1D">
        <w:rPr>
          <w:rFonts w:eastAsiaTheme="minorHAnsi"/>
          <w:b/>
        </w:rPr>
        <w:t xml:space="preserve"> 7</w:t>
      </w:r>
      <w:r w:rsidR="008C2E8E" w:rsidRPr="009046CF">
        <w:rPr>
          <w:rFonts w:eastAsiaTheme="minorHAnsi"/>
          <w:b/>
        </w:rPr>
        <w:t>.a</w:t>
      </w:r>
      <w:r w:rsidRPr="009046CF">
        <w:rPr>
          <w:rFonts w:eastAsiaTheme="minorHAnsi"/>
        </w:rPr>
        <w:t>) and genetic data sharing (</w:t>
      </w:r>
      <w:r w:rsidR="00DC563E" w:rsidRPr="009046CF">
        <w:rPr>
          <w:rFonts w:eastAsiaTheme="minorHAnsi"/>
          <w:b/>
        </w:rPr>
        <w:t>Attachment</w:t>
      </w:r>
      <w:r w:rsidR="00FE7A1D">
        <w:rPr>
          <w:rFonts w:eastAsiaTheme="minorHAnsi"/>
          <w:b/>
        </w:rPr>
        <w:t xml:space="preserve"> 7</w:t>
      </w:r>
      <w:r w:rsidR="008C2E8E" w:rsidRPr="009046CF">
        <w:rPr>
          <w:rFonts w:eastAsiaTheme="minorHAnsi"/>
          <w:b/>
        </w:rPr>
        <w:t>.b</w:t>
      </w:r>
      <w:r w:rsidRPr="009046CF">
        <w:rPr>
          <w:rFonts w:eastAsiaTheme="minorHAnsi"/>
        </w:rPr>
        <w:t xml:space="preserve">) will be included in the Data Collection packet; however, during the invitation call staff will make clear that these forms are supplemental rather than a core part of SEED Teen.  This messaging is also provided in the written information sheet </w:t>
      </w:r>
      <w:r w:rsidR="00062BD3" w:rsidRPr="009046CF">
        <w:rPr>
          <w:rFonts w:eastAsiaTheme="minorHAnsi"/>
        </w:rPr>
        <w:t>that is</w:t>
      </w:r>
      <w:r w:rsidRPr="009046CF">
        <w:rPr>
          <w:rFonts w:eastAsiaTheme="minorHAnsi"/>
        </w:rPr>
        <w:t xml:space="preserve"> provided in the data collection packet (</w:t>
      </w:r>
      <w:r w:rsidR="00DC563E" w:rsidRPr="009046CF">
        <w:rPr>
          <w:rFonts w:eastAsiaTheme="minorHAnsi"/>
          <w:b/>
        </w:rPr>
        <w:t>Attachment</w:t>
      </w:r>
      <w:r w:rsidR="00FE7A1D">
        <w:rPr>
          <w:rFonts w:eastAsiaTheme="minorHAnsi"/>
          <w:b/>
        </w:rPr>
        <w:t xml:space="preserve"> 6</w:t>
      </w:r>
      <w:r w:rsidR="008C2E8E" w:rsidRPr="009046CF">
        <w:rPr>
          <w:rFonts w:eastAsiaTheme="minorHAnsi"/>
          <w:b/>
        </w:rPr>
        <w:t>.b</w:t>
      </w:r>
      <w:r w:rsidRPr="009046CF">
        <w:rPr>
          <w:rFonts w:eastAsiaTheme="minorHAnsi"/>
          <w:b/>
        </w:rPr>
        <w:t>).</w:t>
      </w:r>
    </w:p>
    <w:p w14:paraId="3CCD0916" w14:textId="77777777" w:rsidR="009B5201" w:rsidRDefault="00EC4B88" w:rsidP="00153CC0">
      <w:pPr>
        <w:autoSpaceDE w:val="0"/>
        <w:autoSpaceDN w:val="0"/>
        <w:adjustRightInd w:val="0"/>
        <w:spacing w:line="480" w:lineRule="auto"/>
        <w:ind w:firstLine="720"/>
        <w:rPr>
          <w:rFonts w:eastAsiaTheme="minorHAnsi"/>
        </w:rPr>
      </w:pPr>
      <w:r w:rsidRPr="00EC4B88">
        <w:rPr>
          <w:rFonts w:eastAsiaTheme="minorHAnsi"/>
        </w:rPr>
        <w:t xml:space="preserve">While we will encourage participants to complete and return both consent forms, we </w:t>
      </w:r>
      <w:r w:rsidR="002B7390">
        <w:rPr>
          <w:rFonts w:eastAsiaTheme="minorHAnsi"/>
        </w:rPr>
        <w:t>have taken</w:t>
      </w:r>
      <w:r w:rsidRPr="00EC4B88">
        <w:rPr>
          <w:rFonts w:eastAsiaTheme="minorHAnsi"/>
        </w:rPr>
        <w:t xml:space="preserve"> steps to ensure participants understand that a decision to not consent to either future contact or genetic data sharing will in no way impact their eligibility </w:t>
      </w:r>
      <w:r w:rsidR="00ED24B0">
        <w:rPr>
          <w:rFonts w:eastAsiaTheme="minorHAnsi"/>
        </w:rPr>
        <w:t xml:space="preserve">or participation in SEED Teen.  </w:t>
      </w:r>
    </w:p>
    <w:p w14:paraId="20E261EB" w14:textId="4FB087B1" w:rsidR="00153CC0" w:rsidRDefault="00E166BC" w:rsidP="00153CC0">
      <w:pPr>
        <w:autoSpaceDE w:val="0"/>
        <w:autoSpaceDN w:val="0"/>
        <w:adjustRightInd w:val="0"/>
        <w:spacing w:line="480" w:lineRule="auto"/>
        <w:ind w:firstLine="720"/>
        <w:rPr>
          <w:rFonts w:eastAsiaTheme="minorHAnsi"/>
        </w:rPr>
      </w:pPr>
      <w:r w:rsidRPr="00E166BC">
        <w:rPr>
          <w:rFonts w:eastAsiaTheme="minorHAnsi"/>
        </w:rPr>
        <w:t>All data on individual</w:t>
      </w:r>
      <w:r w:rsidR="00062BD3">
        <w:rPr>
          <w:rFonts w:eastAsiaTheme="minorHAnsi"/>
        </w:rPr>
        <w:t>s</w:t>
      </w:r>
      <w:r w:rsidRPr="00E166BC">
        <w:rPr>
          <w:rFonts w:eastAsiaTheme="minorHAnsi"/>
        </w:rPr>
        <w:t xml:space="preserve"> participating in SEED Teen will remain confidential at all times. </w:t>
      </w:r>
      <w:r w:rsidR="00153CC0" w:rsidRPr="00C60BB2">
        <w:rPr>
          <w:rFonts w:eastAsiaTheme="minorHAnsi"/>
        </w:rPr>
        <w:t xml:space="preserve">Due to the sensitive nature of certain data collection components, </w:t>
      </w:r>
      <w:r w:rsidR="002B7390">
        <w:rPr>
          <w:rFonts w:eastAsiaTheme="minorHAnsi"/>
        </w:rPr>
        <w:t>a</w:t>
      </w:r>
      <w:r w:rsidR="00153CC0" w:rsidRPr="00E166BC">
        <w:rPr>
          <w:rFonts w:eastAsiaTheme="minorHAnsi"/>
        </w:rPr>
        <w:t xml:space="preserve"> consolidated application for 301(d) Certificates of Confidentiality for the two sites conducting SEED Teen</w:t>
      </w:r>
      <w:r w:rsidR="00153CC0">
        <w:rPr>
          <w:rFonts w:eastAsiaTheme="minorHAnsi"/>
        </w:rPr>
        <w:t xml:space="preserve"> </w:t>
      </w:r>
      <w:r w:rsidR="002B7390">
        <w:rPr>
          <w:rFonts w:eastAsiaTheme="minorHAnsi"/>
        </w:rPr>
        <w:t xml:space="preserve">(North Carolina SEED and Georgia SEED) </w:t>
      </w:r>
      <w:r w:rsidR="00D92AFD">
        <w:rPr>
          <w:rFonts w:eastAsiaTheme="minorHAnsi"/>
        </w:rPr>
        <w:t>was</w:t>
      </w:r>
      <w:r w:rsidR="00153CC0" w:rsidRPr="00E166BC">
        <w:rPr>
          <w:rFonts w:eastAsiaTheme="minorHAnsi"/>
        </w:rPr>
        <w:t xml:space="preserve"> requested</w:t>
      </w:r>
      <w:r w:rsidR="00D92AFD">
        <w:rPr>
          <w:rFonts w:eastAsiaTheme="minorHAnsi"/>
        </w:rPr>
        <w:t xml:space="preserve"> and has been awarded</w:t>
      </w:r>
      <w:r w:rsidR="00153CC0" w:rsidRPr="00E166BC">
        <w:rPr>
          <w:rFonts w:eastAsiaTheme="minorHAnsi"/>
        </w:rPr>
        <w:t xml:space="preserve">.  </w:t>
      </w:r>
      <w:r w:rsidR="00153CC0">
        <w:rPr>
          <w:rFonts w:eastAsiaTheme="minorHAnsi"/>
        </w:rPr>
        <w:t>T</w:t>
      </w:r>
      <w:r w:rsidR="00153CC0" w:rsidRPr="00E166BC">
        <w:rPr>
          <w:rFonts w:eastAsiaTheme="minorHAnsi"/>
        </w:rPr>
        <w:t>he SEED Teen instruments include sensitive information which parents might be reluctant to share without assurance that all available protections to maintain the privacy of their information are being taken.  Additionally, analytic data files for SEED Teen will eventually be linked to those from the SEED case-control study.</w:t>
      </w:r>
      <w:r w:rsidR="00153CC0">
        <w:rPr>
          <w:rFonts w:eastAsiaTheme="minorHAnsi"/>
        </w:rPr>
        <w:t xml:space="preserve"> </w:t>
      </w:r>
      <w:r w:rsidRPr="00E166BC">
        <w:rPr>
          <w:rFonts w:eastAsiaTheme="minorHAnsi"/>
        </w:rPr>
        <w:t>A Federal Certificate of Confidentiality affords the study and the participant additional protection from involuntary disclosure of information collected in the study.</w:t>
      </w:r>
      <w:r w:rsidR="00153CC0">
        <w:rPr>
          <w:rFonts w:eastAsiaTheme="minorHAnsi"/>
        </w:rPr>
        <w:t xml:space="preserve"> </w:t>
      </w:r>
      <w:r w:rsidRPr="00E166BC">
        <w:rPr>
          <w:rFonts w:eastAsiaTheme="minorHAnsi"/>
        </w:rPr>
        <w:t xml:space="preserve">The exposure of the identity of study participants will be avoided.  </w:t>
      </w:r>
    </w:p>
    <w:p w14:paraId="27D32E71" w14:textId="77777777" w:rsidR="00153CC0" w:rsidRDefault="00DF30CD" w:rsidP="00153CC0">
      <w:pPr>
        <w:autoSpaceDE w:val="0"/>
        <w:autoSpaceDN w:val="0"/>
        <w:adjustRightInd w:val="0"/>
        <w:spacing w:line="480" w:lineRule="auto"/>
        <w:ind w:firstLine="720"/>
        <w:rPr>
          <w:rFonts w:eastAsiaTheme="minorHAnsi"/>
        </w:rPr>
      </w:pPr>
      <w:r>
        <w:rPr>
          <w:rFonts w:eastAsiaTheme="minorHAnsi"/>
        </w:rPr>
        <w:t>A 12-</w:t>
      </w:r>
      <w:r w:rsidR="00E166BC" w:rsidRPr="00E166BC">
        <w:rPr>
          <w:rFonts w:eastAsiaTheme="minorHAnsi"/>
        </w:rPr>
        <w:t>digit identification number will be employed to encode the participant identity on data collection forms. The linkage of the identification number and the participant personal identifiers will be provided by the participant tracking system for this study (see below).  All efforts will be taken to ensure that all proposed research methods comply with human subjects’ requirements.</w:t>
      </w:r>
      <w:r w:rsidR="00153CC0">
        <w:rPr>
          <w:rFonts w:eastAsiaTheme="minorHAnsi"/>
        </w:rPr>
        <w:t xml:space="preserve"> </w:t>
      </w:r>
      <w:r w:rsidR="00E166BC" w:rsidRPr="00E166BC">
        <w:rPr>
          <w:rFonts w:eastAsiaTheme="minorHAnsi"/>
        </w:rPr>
        <w:t xml:space="preserve">The DCC will develop a participant tracking and data entry system for SEED Teen that complies with all current (and future) CDC security requirements for such web-based applications and is located in a HIPAA-compliant data-center with full redundant power and security measures. </w:t>
      </w:r>
    </w:p>
    <w:p w14:paraId="6BA9761F" w14:textId="77777777" w:rsidR="009B5201" w:rsidRDefault="00F162FB" w:rsidP="009B5201">
      <w:pPr>
        <w:autoSpaceDE w:val="0"/>
        <w:autoSpaceDN w:val="0"/>
        <w:adjustRightInd w:val="0"/>
        <w:spacing w:line="480" w:lineRule="auto"/>
        <w:ind w:firstLine="720"/>
        <w:rPr>
          <w:rFonts w:eastAsiaTheme="minorHAnsi"/>
        </w:rPr>
      </w:pPr>
      <w:r w:rsidRPr="00F162FB">
        <w:rPr>
          <w:rFonts w:eastAsiaTheme="minorHAnsi"/>
        </w:rPr>
        <w:t xml:space="preserve">The risks to study participants are expected to be minimal.  Provisions for protecting privacy and confidentiality of study subjects will be strictly maintained.  Study results will always be presented in aggregate form, thereby further preventing identification of individual subjects.  </w:t>
      </w:r>
    </w:p>
    <w:p w14:paraId="5F2571A1" w14:textId="77777777" w:rsidR="00CF1BED" w:rsidRPr="00CF1BED" w:rsidRDefault="00005B62" w:rsidP="00CF1BED">
      <w:pPr>
        <w:autoSpaceDE w:val="0"/>
        <w:autoSpaceDN w:val="0"/>
        <w:adjustRightInd w:val="0"/>
        <w:spacing w:line="480" w:lineRule="auto"/>
        <w:ind w:firstLine="720"/>
      </w:pPr>
      <w:r w:rsidRPr="007D2DCB">
        <w:rPr>
          <w:rFonts w:eastAsiaTheme="minorHAnsi"/>
        </w:rPr>
        <w:t>All analytic data files will be shared with SEED</w:t>
      </w:r>
      <w:r w:rsidR="007C03BD" w:rsidRPr="007D2DCB">
        <w:rPr>
          <w:rFonts w:eastAsiaTheme="minorHAnsi"/>
        </w:rPr>
        <w:t xml:space="preserve"> Teen</w:t>
      </w:r>
      <w:r w:rsidRPr="007D2DCB">
        <w:rPr>
          <w:rFonts w:eastAsiaTheme="minorHAnsi"/>
        </w:rPr>
        <w:t xml:space="preserve"> investigators through a </w:t>
      </w:r>
      <w:r w:rsidR="00952A55" w:rsidRPr="007D2DCB">
        <w:rPr>
          <w:rFonts w:eastAsiaTheme="minorHAnsi"/>
        </w:rPr>
        <w:t>RDA</w:t>
      </w:r>
      <w:r w:rsidRPr="007D2DCB">
        <w:rPr>
          <w:rFonts w:eastAsiaTheme="minorHAnsi"/>
        </w:rPr>
        <w:t xml:space="preserve"> </w:t>
      </w:r>
      <w:r w:rsidR="00952A55" w:rsidRPr="007D2DCB">
        <w:rPr>
          <w:rFonts w:eastAsiaTheme="minorHAnsi"/>
        </w:rPr>
        <w:t>p</w:t>
      </w:r>
      <w:r w:rsidRPr="007D2DCB">
        <w:rPr>
          <w:rFonts w:eastAsiaTheme="minorHAnsi"/>
        </w:rPr>
        <w:t xml:space="preserve">latform maintained by the DCC with oversight from CDC.  Specific personally identifiable information (PII) (such as names, address, phone numbers, etc.) </w:t>
      </w:r>
      <w:r w:rsidR="009B5201">
        <w:rPr>
          <w:rFonts w:eastAsiaTheme="minorHAnsi"/>
        </w:rPr>
        <w:t xml:space="preserve">collected as part of the SEED Teen tracking system </w:t>
      </w:r>
      <w:r w:rsidRPr="007D2DCB">
        <w:rPr>
          <w:rFonts w:eastAsiaTheme="minorHAnsi"/>
        </w:rPr>
        <w:t>will not be included in the data files on the RDA</w:t>
      </w:r>
      <w:r w:rsidR="009B5201">
        <w:rPr>
          <w:rFonts w:eastAsiaTheme="minorHAnsi"/>
        </w:rPr>
        <w:t xml:space="preserve">. </w:t>
      </w:r>
      <w:r w:rsidRPr="007D2DCB">
        <w:rPr>
          <w:rFonts w:eastAsiaTheme="minorHAnsi"/>
        </w:rPr>
        <w:t xml:space="preserve"> However, the analytic data files will not (and cannot) be considered completely de</w:t>
      </w:r>
      <w:r w:rsidR="00CF1BED">
        <w:rPr>
          <w:rFonts w:eastAsiaTheme="minorHAnsi"/>
        </w:rPr>
        <w:t xml:space="preserve">-identified.  SEED Teen data will be </w:t>
      </w:r>
      <w:r w:rsidR="002B7390">
        <w:rPr>
          <w:rFonts w:eastAsiaTheme="minorHAnsi"/>
        </w:rPr>
        <w:t>maintained in data tables</w:t>
      </w:r>
      <w:r w:rsidR="00CF1BED">
        <w:rPr>
          <w:rFonts w:eastAsiaTheme="minorHAnsi"/>
        </w:rPr>
        <w:t xml:space="preserve"> that can be linked to data from the SEED case-control study.  T</w:t>
      </w:r>
      <w:r w:rsidR="00CF1BED" w:rsidRPr="00CF1BED">
        <w:t xml:space="preserve">he composite SEED </w:t>
      </w:r>
      <w:r w:rsidR="002B7390">
        <w:t xml:space="preserve">and SEED Teen </w:t>
      </w:r>
      <w:r w:rsidR="002B7390" w:rsidRPr="00CF1BED">
        <w:t>data files</w:t>
      </w:r>
      <w:r w:rsidR="00CF1BED" w:rsidRPr="00CF1BED">
        <w:t xml:space="preserve"> will contain </w:t>
      </w:r>
      <w:r w:rsidR="002B7390">
        <w:t>more than</w:t>
      </w:r>
      <w:r w:rsidR="00CF1BED" w:rsidRPr="00CF1BED">
        <w:t xml:space="preserve"> 20,000 variables per participant. Although the major issues related to identifiability will be addressed, with this volume of data it is not possible to ensure that combination of data about a research participant will not result indirectly, by reference to other information to identification of study participants. </w:t>
      </w:r>
      <w:r w:rsidR="00CF1BED">
        <w:t xml:space="preserve"> </w:t>
      </w:r>
      <w:r w:rsidRPr="007D2DCB">
        <w:rPr>
          <w:rFonts w:eastAsiaTheme="minorHAnsi"/>
        </w:rPr>
        <w:t xml:space="preserve">Scientists, colleagues, and collaborators who are given access to data from SEED </w:t>
      </w:r>
      <w:r w:rsidR="007C03BD" w:rsidRPr="007D2DCB">
        <w:rPr>
          <w:rFonts w:eastAsiaTheme="minorHAnsi"/>
        </w:rPr>
        <w:t xml:space="preserve">Teen </w:t>
      </w:r>
      <w:r w:rsidRPr="007D2DCB">
        <w:rPr>
          <w:rFonts w:eastAsiaTheme="minorHAnsi"/>
        </w:rPr>
        <w:t xml:space="preserve">must sign a confidentiality and data use oath that describes how the data should be used and stored. The only </w:t>
      </w:r>
      <w:r w:rsidR="00CF1BED">
        <w:rPr>
          <w:rFonts w:eastAsiaTheme="minorHAnsi"/>
        </w:rPr>
        <w:t xml:space="preserve">currently </w:t>
      </w:r>
      <w:r w:rsidRPr="007D2DCB">
        <w:rPr>
          <w:rFonts w:eastAsiaTheme="minorHAnsi"/>
        </w:rPr>
        <w:t xml:space="preserve">approved mechanism for SEED </w:t>
      </w:r>
      <w:r w:rsidR="007C03BD" w:rsidRPr="007D2DCB">
        <w:rPr>
          <w:rFonts w:eastAsiaTheme="minorHAnsi"/>
        </w:rPr>
        <w:t xml:space="preserve">Teen </w:t>
      </w:r>
      <w:r w:rsidRPr="007D2DCB">
        <w:rPr>
          <w:rFonts w:eastAsiaTheme="minorHAnsi"/>
        </w:rPr>
        <w:t>data access is through the RDA maintained by the DCC. All analyses are conducted on the RDA and aggregate results are downloaded but individual-level data are not.  DCC actively monitors the RDA and ensures that data are not downloaded.</w:t>
      </w:r>
      <w:r w:rsidR="00CF1BED">
        <w:rPr>
          <w:rFonts w:eastAsiaTheme="minorHAnsi"/>
        </w:rPr>
        <w:t xml:space="preserve"> </w:t>
      </w:r>
      <w:r w:rsidRPr="00C60BB2">
        <w:rPr>
          <w:rFonts w:eastAsiaTheme="minorHAnsi"/>
        </w:rPr>
        <w:t xml:space="preserve">The Principal Investigator of each SEED </w:t>
      </w:r>
      <w:r w:rsidR="00F162FB">
        <w:rPr>
          <w:rFonts w:eastAsiaTheme="minorHAnsi"/>
        </w:rPr>
        <w:t xml:space="preserve">Teen </w:t>
      </w:r>
      <w:r w:rsidRPr="00C60BB2">
        <w:rPr>
          <w:rFonts w:eastAsiaTheme="minorHAnsi"/>
        </w:rPr>
        <w:t xml:space="preserve">site has full and direct responsibility for tracking the use of SEED </w:t>
      </w:r>
      <w:r w:rsidR="00F162FB">
        <w:rPr>
          <w:rFonts w:eastAsiaTheme="minorHAnsi"/>
        </w:rPr>
        <w:t xml:space="preserve">Teen </w:t>
      </w:r>
      <w:r w:rsidRPr="00C60BB2">
        <w:rPr>
          <w:rFonts w:eastAsiaTheme="minorHAnsi"/>
        </w:rPr>
        <w:t xml:space="preserve">data at their site and assuring that each person who has access to the data has read and signed the confidentiality and data use oath.  Each site maintains files of the signed confidentiality and data use oaths.  Signed statements will also be kept on file at the CDC. It will be left to the discretion of the individual sites to determine when the statements </w:t>
      </w:r>
      <w:r w:rsidRPr="00CF1BED">
        <w:rPr>
          <w:rFonts w:eastAsiaTheme="minorHAnsi"/>
        </w:rPr>
        <w:t>should be renewed for specific individuals or projects.</w:t>
      </w:r>
      <w:r w:rsidR="00CF1BED">
        <w:rPr>
          <w:rFonts w:eastAsiaTheme="minorHAnsi"/>
        </w:rPr>
        <w:t xml:space="preserve"> </w:t>
      </w:r>
      <w:r w:rsidR="00CF1BED" w:rsidRPr="00CF1BED">
        <w:t xml:space="preserve">In keeping with HHS policies for data management of federally-funded studies, NCBDDD will review SEED Teen data elements to determine whether and how </w:t>
      </w:r>
      <w:r w:rsidR="00851265">
        <w:t xml:space="preserve">select </w:t>
      </w:r>
      <w:r w:rsidR="00CF1BED" w:rsidRPr="00CF1BED">
        <w:t>SEED Teen</w:t>
      </w:r>
      <w:r w:rsidR="00CF1BED">
        <w:t xml:space="preserve"> </w:t>
      </w:r>
      <w:r w:rsidR="00CF1BED" w:rsidRPr="00CF1BED">
        <w:t>data</w:t>
      </w:r>
      <w:r w:rsidR="00851265">
        <w:t xml:space="preserve"> items</w:t>
      </w:r>
      <w:r w:rsidR="00CF1BED" w:rsidRPr="00CF1BED">
        <w:t xml:space="preserve"> may be made available to external researchers through a restricted access mechanism in which the privacy of SEED Teen participants is fully maintained. </w:t>
      </w:r>
    </w:p>
    <w:p w14:paraId="3A851CC2" w14:textId="77777777" w:rsidR="005D2268" w:rsidRPr="00C60BB2" w:rsidRDefault="005D2268"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4" w:name="_Toc429667316"/>
      <w:r w:rsidRPr="00C60BB2">
        <w:rPr>
          <w:rFonts w:ascii="Times New Roman" w:eastAsiaTheme="majorEastAsia" w:hAnsi="Times New Roman"/>
          <w:i w:val="0"/>
          <w:sz w:val="24"/>
          <w:szCs w:val="24"/>
          <w:u w:val="single"/>
        </w:rPr>
        <w:t>Section A. 11 Institutional Review Board Approval and Justification for Sensitive Questions</w:t>
      </w:r>
      <w:bookmarkEnd w:id="14"/>
    </w:p>
    <w:p w14:paraId="1FAD0E34" w14:textId="77777777" w:rsidR="00277D0D" w:rsidRDefault="00B5333A" w:rsidP="00277D0D">
      <w:pPr>
        <w:spacing w:line="480" w:lineRule="auto"/>
        <w:ind w:firstLine="720"/>
      </w:pPr>
      <w:r>
        <w:t>CD</w:t>
      </w:r>
      <w:r w:rsidR="00B21464">
        <w:t>C</w:t>
      </w:r>
      <w:r>
        <w:t xml:space="preserve"> </w:t>
      </w:r>
      <w:r w:rsidR="005D2268" w:rsidRPr="00C60BB2">
        <w:t xml:space="preserve">IRB approval </w:t>
      </w:r>
      <w:r w:rsidR="005D2268" w:rsidRPr="00A11EBA">
        <w:t xml:space="preserve">was granted on </w:t>
      </w:r>
      <w:r w:rsidR="00507860" w:rsidRPr="00A11EBA">
        <w:t>3</w:t>
      </w:r>
      <w:r w:rsidR="00A11EBA" w:rsidRPr="00A11EBA">
        <w:t>/16</w:t>
      </w:r>
      <w:r w:rsidR="00BD66D3" w:rsidRPr="00A11EBA">
        <w:t>/2017</w:t>
      </w:r>
      <w:r w:rsidR="005D2268" w:rsidRPr="00A11EBA">
        <w:t xml:space="preserve"> and will expire on </w:t>
      </w:r>
      <w:r w:rsidR="00507860" w:rsidRPr="00A11EBA">
        <w:t>3</w:t>
      </w:r>
      <w:r w:rsidR="00A11EBA" w:rsidRPr="00A11EBA">
        <w:t>/15</w:t>
      </w:r>
      <w:r w:rsidR="00BD66D3" w:rsidRPr="00A11EBA">
        <w:t>/2018</w:t>
      </w:r>
      <w:r w:rsidR="005D2268" w:rsidRPr="00A11EBA">
        <w:t>.</w:t>
      </w:r>
      <w:r w:rsidR="005D2268" w:rsidRPr="00C60BB2">
        <w:t xml:space="preserve"> The current IRB approval letter is included as </w:t>
      </w:r>
      <w:r w:rsidR="005D2268" w:rsidRPr="00C60BB2">
        <w:rPr>
          <w:b/>
        </w:rPr>
        <w:t xml:space="preserve">Attachment </w:t>
      </w:r>
      <w:r w:rsidR="00FE7A1D">
        <w:rPr>
          <w:b/>
        </w:rPr>
        <w:t>10</w:t>
      </w:r>
      <w:r w:rsidR="005D2268" w:rsidRPr="00C60BB2">
        <w:t>.</w:t>
      </w:r>
    </w:p>
    <w:p w14:paraId="4D069E8E" w14:textId="77777777" w:rsidR="00277D0D" w:rsidRPr="00C60BB2" w:rsidRDefault="00FC2567" w:rsidP="00277D0D">
      <w:pPr>
        <w:spacing w:line="480" w:lineRule="auto"/>
        <w:ind w:firstLine="720"/>
      </w:pPr>
      <w:r>
        <w:t xml:space="preserve">SEED Teen was </w:t>
      </w:r>
      <w:r w:rsidR="00BD66D3" w:rsidRPr="00C60BB2">
        <w:t xml:space="preserve">developed by study investigators to collect information </w:t>
      </w:r>
      <w:r w:rsidR="00277D0D">
        <w:t>to address the following research goals</w:t>
      </w:r>
      <w:r w:rsidR="00BD66D3" w:rsidRPr="00C60BB2">
        <w:t xml:space="preserve">: </w:t>
      </w:r>
      <w:r w:rsidR="00277D0D" w:rsidRPr="00C60BB2">
        <w:t>1)</w:t>
      </w:r>
      <w:r w:rsidR="00277D0D">
        <w:t xml:space="preserve"> understand</w:t>
      </w:r>
      <w:r w:rsidR="00277D0D" w:rsidRPr="00C60BB2">
        <w:t xml:space="preserve"> the developmental trajectory of children identified at young ages of having ASD in comparison to children with other non-ASD developmental disabilities (DDs) and children in the general population; 2) </w:t>
      </w:r>
      <w:r w:rsidR="00277D0D">
        <w:t xml:space="preserve">understand </w:t>
      </w:r>
      <w:r w:rsidR="00277D0D" w:rsidRPr="00C60BB2">
        <w:t>the health and functioning of adolescents with ASD and other DDs in comparison to adolescents in the general population; 3)</w:t>
      </w:r>
      <w:r w:rsidR="00277D0D" w:rsidRPr="00FE1DAD">
        <w:t xml:space="preserve"> </w:t>
      </w:r>
      <w:r w:rsidR="00277D0D">
        <w:t xml:space="preserve">understand </w:t>
      </w:r>
      <w:r w:rsidR="00277D0D" w:rsidRPr="00C60BB2">
        <w:t xml:space="preserve">the healthcare utilization and needs of adolescents with ASD and other DDs in comparison to adolescents in the general population; 4) </w:t>
      </w:r>
      <w:r w:rsidR="00277D0D">
        <w:t xml:space="preserve">understand </w:t>
      </w:r>
      <w:r w:rsidR="00277D0D" w:rsidRPr="00C60BB2">
        <w:t xml:space="preserve">the education attainment and needs of adolescents with ASD and other DDs in comparison to adolescents in the general population; and 5) </w:t>
      </w:r>
      <w:r w:rsidR="00277D0D">
        <w:t xml:space="preserve">understand </w:t>
      </w:r>
      <w:r w:rsidR="00277D0D" w:rsidRPr="00C60BB2">
        <w:t>family impacts associated with having a child with ASD or other DD with the goal of identifying strategies to help meet the unique needs of these families.</w:t>
      </w:r>
    </w:p>
    <w:p w14:paraId="11FD9A3C" w14:textId="77777777" w:rsidR="009B5201" w:rsidRDefault="00FC2567" w:rsidP="00FC2567">
      <w:pPr>
        <w:spacing w:line="480" w:lineRule="auto"/>
        <w:ind w:firstLine="720"/>
        <w:rPr>
          <w:rFonts w:eastAsiaTheme="minorHAnsi"/>
        </w:rPr>
      </w:pPr>
      <w:r>
        <w:rPr>
          <w:rFonts w:eastAsiaTheme="minorHAnsi"/>
        </w:rPr>
        <w:t>Given the</w:t>
      </w:r>
      <w:r w:rsidR="00277D0D">
        <w:rPr>
          <w:rFonts w:eastAsiaTheme="minorHAnsi"/>
        </w:rPr>
        <w:t>se</w:t>
      </w:r>
      <w:r>
        <w:rPr>
          <w:rFonts w:eastAsiaTheme="minorHAnsi"/>
        </w:rPr>
        <w:t xml:space="preserve"> research domains, </w:t>
      </w:r>
      <w:r w:rsidR="009B5201" w:rsidRPr="00F162FB">
        <w:rPr>
          <w:rFonts w:eastAsiaTheme="minorHAnsi"/>
        </w:rPr>
        <w:t xml:space="preserve">SEED Teen instruments include questions on sensitive topics including children’s </w:t>
      </w:r>
      <w:r>
        <w:rPr>
          <w:rFonts w:eastAsiaTheme="minorHAnsi"/>
        </w:rPr>
        <w:t xml:space="preserve">specific </w:t>
      </w:r>
      <w:r w:rsidR="009B5201" w:rsidRPr="00F162FB">
        <w:rPr>
          <w:rFonts w:eastAsiaTheme="minorHAnsi"/>
        </w:rPr>
        <w:t xml:space="preserve">health conditions, </w:t>
      </w:r>
      <w:r w:rsidR="00277D0D">
        <w:rPr>
          <w:rFonts w:eastAsiaTheme="minorHAnsi"/>
        </w:rPr>
        <w:t xml:space="preserve">details about </w:t>
      </w:r>
      <w:r w:rsidR="009B5201" w:rsidRPr="00F162FB">
        <w:rPr>
          <w:rFonts w:eastAsiaTheme="minorHAnsi"/>
        </w:rPr>
        <w:t xml:space="preserve">children’s current functioning and diagnosed disabilities, children’s need for special services, </w:t>
      </w:r>
      <w:r w:rsidR="00277D0D">
        <w:rPr>
          <w:rFonts w:eastAsiaTheme="minorHAnsi"/>
        </w:rPr>
        <w:t xml:space="preserve">adverse events in children’s lives such as </w:t>
      </w:r>
      <w:r w:rsidR="009B5201" w:rsidRPr="00F162FB">
        <w:rPr>
          <w:rFonts w:eastAsiaTheme="minorHAnsi"/>
        </w:rPr>
        <w:t>bullying, stressful life events experienced by the child and family, parental expectations for the child’s future (which might be a sensitive topic for children in the ASD and DD group particularly), parent’s health</w:t>
      </w:r>
      <w:r w:rsidR="00277D0D">
        <w:rPr>
          <w:rFonts w:eastAsiaTheme="minorHAnsi"/>
        </w:rPr>
        <w:t xml:space="preserve"> conditions includ</w:t>
      </w:r>
      <w:r w:rsidR="00090362">
        <w:rPr>
          <w:rFonts w:eastAsiaTheme="minorHAnsi"/>
        </w:rPr>
        <w:t>ing</w:t>
      </w:r>
      <w:r w:rsidR="00277D0D">
        <w:rPr>
          <w:rFonts w:eastAsiaTheme="minorHAnsi"/>
        </w:rPr>
        <w:t xml:space="preserve"> diagnosed mental health disorders</w:t>
      </w:r>
      <w:r w:rsidR="009B5201" w:rsidRPr="00F162FB">
        <w:rPr>
          <w:rFonts w:eastAsiaTheme="minorHAnsi"/>
        </w:rPr>
        <w:t>, parent’s relationship with the child, family use of social services such as food stamps, and household income.  Parents are told that they may choose to skip any question.  In addition, study staff are available to answer any questions and to accommodate participants who prefer to complete the instruments over the phone.  We will</w:t>
      </w:r>
      <w:r w:rsidR="00277D0D">
        <w:rPr>
          <w:rFonts w:eastAsiaTheme="minorHAnsi"/>
        </w:rPr>
        <w:t xml:space="preserve"> also</w:t>
      </w:r>
      <w:r w:rsidR="009B5201" w:rsidRPr="00F162FB">
        <w:rPr>
          <w:rFonts w:eastAsiaTheme="minorHAnsi"/>
        </w:rPr>
        <w:t xml:space="preserve"> hire staff who are sensitive to the well-being of participants who are emotionally vulnerable and also provide training to all staff on how to address sensitive situations that may arise during their contacts with participants.</w:t>
      </w:r>
    </w:p>
    <w:p w14:paraId="4912B1CF" w14:textId="77777777" w:rsidR="00DB6F88" w:rsidRPr="00C60BB2" w:rsidRDefault="00873BFC" w:rsidP="00DB6F88">
      <w:pPr>
        <w:spacing w:line="480" w:lineRule="auto"/>
        <w:rPr>
          <w:b/>
        </w:rPr>
      </w:pPr>
      <w:bookmarkStart w:id="15" w:name="_Toc429667317"/>
      <w:r w:rsidRPr="00C60BB2">
        <w:rPr>
          <w:rFonts w:eastAsiaTheme="majorEastAsia"/>
          <w:b/>
          <w:u w:val="single"/>
        </w:rPr>
        <w:t>Section A</w:t>
      </w:r>
      <w:r w:rsidR="00D217AF" w:rsidRPr="00C60BB2">
        <w:rPr>
          <w:rFonts w:eastAsiaTheme="majorEastAsia"/>
          <w:b/>
          <w:u w:val="single"/>
        </w:rPr>
        <w:t>.</w:t>
      </w:r>
      <w:r w:rsidRPr="00C60BB2">
        <w:rPr>
          <w:rFonts w:eastAsiaTheme="majorEastAsia"/>
          <w:b/>
          <w:u w:val="single"/>
        </w:rPr>
        <w:t>12. Estimates of Annualized Burden Hours and Costs</w:t>
      </w:r>
      <w:bookmarkEnd w:id="15"/>
    </w:p>
    <w:p w14:paraId="6D3C2D03" w14:textId="77777777" w:rsidR="00406DB2" w:rsidRPr="00D94FB1" w:rsidRDefault="00415632" w:rsidP="00D94FB1">
      <w:pPr>
        <w:autoSpaceDE w:val="0"/>
        <w:autoSpaceDN w:val="0"/>
        <w:adjustRightInd w:val="0"/>
        <w:spacing w:line="480" w:lineRule="auto"/>
        <w:ind w:firstLine="720"/>
        <w:rPr>
          <w:b/>
        </w:rPr>
      </w:pPr>
      <w:r>
        <w:t>We estimate</w:t>
      </w:r>
      <w:r w:rsidR="00873BFC" w:rsidRPr="00C60BB2">
        <w:t xml:space="preserve"> </w:t>
      </w:r>
      <w:r w:rsidR="00873BFC" w:rsidRPr="00AA2D17">
        <w:t xml:space="preserve">that </w:t>
      </w:r>
      <w:r w:rsidR="000D0113" w:rsidRPr="00AA2D17">
        <w:t>1</w:t>
      </w:r>
      <w:r w:rsidR="00406DB2" w:rsidRPr="00AA2D17">
        <w:t>,</w:t>
      </w:r>
      <w:r w:rsidR="00967CA2" w:rsidRPr="00AA2D17">
        <w:t>410</w:t>
      </w:r>
      <w:r w:rsidR="00873BFC" w:rsidRPr="00AA2D17">
        <w:t xml:space="preserve"> </w:t>
      </w:r>
      <w:r w:rsidR="001F2F54" w:rsidRPr="00AA2D17">
        <w:t>SEED</w:t>
      </w:r>
      <w:r w:rsidR="001F2F54">
        <w:t xml:space="preserve"> familie</w:t>
      </w:r>
      <w:r w:rsidR="00873BFC" w:rsidRPr="00C60BB2">
        <w:t>s</w:t>
      </w:r>
      <w:r>
        <w:t xml:space="preserve"> are potentially eligible to participate in SEED Teen.  The parent or other primary caregiver who acted as the main respondent for the SEED case-control study</w:t>
      </w:r>
      <w:r w:rsidR="00873BFC" w:rsidRPr="00C60BB2">
        <w:t xml:space="preserve"> will </w:t>
      </w:r>
      <w:r w:rsidR="00EE1689" w:rsidRPr="00C60BB2">
        <w:t>be mailed an in</w:t>
      </w:r>
      <w:r w:rsidR="00967CA2" w:rsidRPr="00C60BB2">
        <w:t xml:space="preserve">vitation </w:t>
      </w:r>
      <w:r w:rsidR="00967CA2" w:rsidRPr="00AA2D17">
        <w:t>packet</w:t>
      </w:r>
      <w:r w:rsidR="009046CF" w:rsidRPr="00AA2D17">
        <w:t xml:space="preserve"> </w:t>
      </w:r>
      <w:r w:rsidR="009046CF" w:rsidRPr="00AA2D17">
        <w:rPr>
          <w:b/>
        </w:rPr>
        <w:t>(Attachment 3)</w:t>
      </w:r>
      <w:r w:rsidR="00967CA2" w:rsidRPr="00AA2D17">
        <w:t xml:space="preserve"> that includes an invitation letter, response card, and </w:t>
      </w:r>
      <w:r w:rsidRPr="00AA2D17">
        <w:t>list of ways to contact the study site</w:t>
      </w:r>
      <w:r w:rsidR="00094482" w:rsidRPr="00AA2D17">
        <w:t>.</w:t>
      </w:r>
      <w:r w:rsidR="00094482" w:rsidRPr="00AA2D17">
        <w:rPr>
          <w:b/>
        </w:rPr>
        <w:t xml:space="preserve"> </w:t>
      </w:r>
      <w:r w:rsidR="00D94FB1" w:rsidRPr="00AA2D17">
        <w:rPr>
          <w:b/>
        </w:rPr>
        <w:t xml:space="preserve"> </w:t>
      </w:r>
      <w:r w:rsidR="00406DB2" w:rsidRPr="00AA2D17">
        <w:t>Upon agreement to participate in the study, a data collection packet that includes two questionnaires (</w:t>
      </w:r>
      <w:r w:rsidR="00FE7A1D">
        <w:rPr>
          <w:b/>
        </w:rPr>
        <w:t>Attachment 6.c and 6</w:t>
      </w:r>
      <w:r w:rsidR="008C2E8E" w:rsidRPr="00AA2D17">
        <w:rPr>
          <w:b/>
        </w:rPr>
        <w:t>.d</w:t>
      </w:r>
      <w:r w:rsidR="00FE7A1D">
        <w:rPr>
          <w:b/>
        </w:rPr>
        <w:t xml:space="preserve">) </w:t>
      </w:r>
      <w:r w:rsidR="00406DB2" w:rsidRPr="00AA2D17">
        <w:t xml:space="preserve">and two consent form </w:t>
      </w:r>
      <w:r w:rsidR="00406DB2" w:rsidRPr="00AA2D17">
        <w:rPr>
          <w:b/>
        </w:rPr>
        <w:t xml:space="preserve">(Attachment </w:t>
      </w:r>
      <w:r w:rsidR="00FE7A1D">
        <w:rPr>
          <w:b/>
        </w:rPr>
        <w:t>7.a and 7</w:t>
      </w:r>
      <w:r w:rsidR="008C2E8E" w:rsidRPr="00AA2D17">
        <w:rPr>
          <w:b/>
        </w:rPr>
        <w:t>.b</w:t>
      </w:r>
      <w:r w:rsidR="00406DB2" w:rsidRPr="00AA2D17">
        <w:rPr>
          <w:b/>
        </w:rPr>
        <w:t>)</w:t>
      </w:r>
      <w:r w:rsidR="00406DB2" w:rsidRPr="00AA2D17">
        <w:t xml:space="preserve"> will be mailed to the participants</w:t>
      </w:r>
      <w:r w:rsidR="00406DB2" w:rsidRPr="0071499C">
        <w:t>.</w:t>
      </w:r>
      <w:r w:rsidR="00406DB2" w:rsidRPr="00C60BB2">
        <w:t xml:space="preserve"> </w:t>
      </w:r>
      <w:r w:rsidR="00D94FB1">
        <w:t xml:space="preserve"> </w:t>
      </w:r>
      <w:r w:rsidR="00406DB2" w:rsidRPr="00C60BB2">
        <w:t xml:space="preserve">The </w:t>
      </w:r>
      <w:r w:rsidR="00406DB2">
        <w:t>questionnaires</w:t>
      </w:r>
      <w:r w:rsidR="00406DB2" w:rsidRPr="00C60BB2">
        <w:t xml:space="preserve"> </w:t>
      </w:r>
      <w:r w:rsidR="00406DB2">
        <w:t xml:space="preserve">and consent forms </w:t>
      </w:r>
      <w:r w:rsidR="00406DB2" w:rsidRPr="00C60BB2">
        <w:t xml:space="preserve">will be conducted </w:t>
      </w:r>
      <w:r w:rsidR="00406DB2">
        <w:t>one</w:t>
      </w:r>
      <w:r w:rsidR="00406DB2" w:rsidRPr="00C60BB2">
        <w:t xml:space="preserve"> time only</w:t>
      </w:r>
      <w:r w:rsidR="00406DB2">
        <w:t xml:space="preserve">. </w:t>
      </w:r>
    </w:p>
    <w:p w14:paraId="3897ABA0" w14:textId="77777777" w:rsidR="00094482" w:rsidRPr="005E146A" w:rsidRDefault="00094482" w:rsidP="00D94FB1">
      <w:pPr>
        <w:autoSpaceDE w:val="0"/>
        <w:autoSpaceDN w:val="0"/>
        <w:adjustRightInd w:val="0"/>
        <w:spacing w:line="480" w:lineRule="auto"/>
        <w:ind w:firstLine="720"/>
        <w:rPr>
          <w:lang w:bidi="bn-IN"/>
        </w:rPr>
      </w:pPr>
      <w:r w:rsidRPr="005E146A">
        <w:rPr>
          <w:lang w:bidi="bn-IN"/>
        </w:rPr>
        <w:t>The a priori SEED Teen study recruitment enrollment and co</w:t>
      </w:r>
      <w:r w:rsidR="00D94FB1">
        <w:rPr>
          <w:lang w:bidi="bn-IN"/>
        </w:rPr>
        <w:t xml:space="preserve">mpletion targets are as follows.  </w:t>
      </w:r>
      <w:r w:rsidRPr="005E146A">
        <w:rPr>
          <w:lang w:bidi="bn-IN"/>
        </w:rPr>
        <w:t>Each site is expected to:</w:t>
      </w:r>
    </w:p>
    <w:p w14:paraId="2D9FE361" w14:textId="77777777" w:rsidR="00094482" w:rsidRPr="005E146A" w:rsidRDefault="00094482" w:rsidP="00094482">
      <w:pPr>
        <w:pStyle w:val="ListParagraph"/>
        <w:numPr>
          <w:ilvl w:val="0"/>
          <w:numId w:val="11"/>
        </w:numPr>
        <w:autoSpaceDE w:val="0"/>
        <w:autoSpaceDN w:val="0"/>
        <w:adjustRightInd w:val="0"/>
        <w:spacing w:after="0" w:line="240" w:lineRule="auto"/>
        <w:contextualSpacing w:val="0"/>
        <w:rPr>
          <w:lang w:bidi="bn-IN"/>
        </w:rPr>
      </w:pPr>
      <w:r w:rsidRPr="005E146A">
        <w:rPr>
          <w:lang w:bidi="bn-IN"/>
        </w:rPr>
        <w:t xml:space="preserve">Successfully trace and contact a minimum of 60% of SEED </w:t>
      </w:r>
      <w:r w:rsidR="00415632">
        <w:rPr>
          <w:lang w:bidi="bn-IN"/>
        </w:rPr>
        <w:t xml:space="preserve">families who are potentially eligible to </w:t>
      </w:r>
      <w:r w:rsidRPr="005E146A">
        <w:rPr>
          <w:lang w:bidi="bn-IN"/>
        </w:rPr>
        <w:t>participa</w:t>
      </w:r>
      <w:r w:rsidR="00415632">
        <w:rPr>
          <w:lang w:bidi="bn-IN"/>
        </w:rPr>
        <w:t>te in SEED Te</w:t>
      </w:r>
      <w:r w:rsidRPr="005E146A">
        <w:rPr>
          <w:lang w:bidi="bn-IN"/>
        </w:rPr>
        <w:t>en.</w:t>
      </w:r>
    </w:p>
    <w:p w14:paraId="69E2DA4D" w14:textId="77777777" w:rsidR="00094482" w:rsidRPr="005E146A" w:rsidRDefault="00094482" w:rsidP="00094482">
      <w:pPr>
        <w:pStyle w:val="ListParagraph"/>
        <w:numPr>
          <w:ilvl w:val="0"/>
          <w:numId w:val="11"/>
        </w:numPr>
        <w:autoSpaceDE w:val="0"/>
        <w:autoSpaceDN w:val="0"/>
        <w:adjustRightInd w:val="0"/>
        <w:spacing w:after="0" w:line="240" w:lineRule="auto"/>
        <w:contextualSpacing w:val="0"/>
        <w:rPr>
          <w:lang w:bidi="bn-IN"/>
        </w:rPr>
      </w:pPr>
      <w:r w:rsidRPr="005E146A">
        <w:rPr>
          <w:lang w:bidi="bn-IN"/>
        </w:rPr>
        <w:t>Enroll a minimum of 70% of those participants who are successfully contacted and are determined to be eligible for inclusion in SEED Teen.</w:t>
      </w:r>
    </w:p>
    <w:p w14:paraId="3EDDA28D" w14:textId="77777777" w:rsidR="00094482" w:rsidRDefault="00094482" w:rsidP="00094482">
      <w:pPr>
        <w:pStyle w:val="ListParagraph"/>
        <w:numPr>
          <w:ilvl w:val="0"/>
          <w:numId w:val="11"/>
        </w:numPr>
        <w:autoSpaceDE w:val="0"/>
        <w:autoSpaceDN w:val="0"/>
        <w:adjustRightInd w:val="0"/>
        <w:spacing w:after="0" w:line="240" w:lineRule="auto"/>
        <w:contextualSpacing w:val="0"/>
        <w:rPr>
          <w:lang w:bidi="bn-IN"/>
        </w:rPr>
      </w:pPr>
      <w:r w:rsidRPr="005E146A">
        <w:rPr>
          <w:lang w:bidi="bn-IN"/>
        </w:rPr>
        <w:t>Complete data collection activities on 90% of enrolled participants.</w:t>
      </w:r>
    </w:p>
    <w:p w14:paraId="57B1C83F" w14:textId="3D7B460F" w:rsidR="00094482" w:rsidRPr="005E146A" w:rsidRDefault="00D357E0" w:rsidP="00BF1D25">
      <w:pPr>
        <w:pStyle w:val="ListParagraph"/>
        <w:tabs>
          <w:tab w:val="left" w:pos="2400"/>
        </w:tabs>
        <w:autoSpaceDE w:val="0"/>
        <w:autoSpaceDN w:val="0"/>
        <w:adjustRightInd w:val="0"/>
        <w:spacing w:line="240" w:lineRule="auto"/>
        <w:rPr>
          <w:lang w:bidi="bn-IN"/>
        </w:rPr>
      </w:pPr>
      <w:r>
        <w:rPr>
          <w:lang w:bidi="bn-IN"/>
        </w:rPr>
        <w:tab/>
      </w:r>
    </w:p>
    <w:p w14:paraId="5A5C0E99" w14:textId="4C4D4017" w:rsidR="00094482" w:rsidRDefault="008A356F" w:rsidP="00094482">
      <w:pPr>
        <w:spacing w:line="480" w:lineRule="auto"/>
        <w:rPr>
          <w:b/>
        </w:rPr>
      </w:pPr>
      <w:r>
        <w:rPr>
          <w:lang w:bidi="bn-IN"/>
        </w:rPr>
        <w:t xml:space="preserve">1,410 SEED families </w:t>
      </w:r>
      <w:r w:rsidR="00E94094">
        <w:rPr>
          <w:lang w:bidi="bn-IN"/>
        </w:rPr>
        <w:t xml:space="preserve">who </w:t>
      </w:r>
      <w:r>
        <w:rPr>
          <w:lang w:bidi="bn-IN"/>
        </w:rPr>
        <w:t>participated in SEED 1 are potentially eligible for contact and participation in SEED Teen</w:t>
      </w:r>
      <w:r w:rsidR="00E94094">
        <w:rPr>
          <w:lang w:bidi="bn-IN"/>
        </w:rPr>
        <w:t xml:space="preserve"> (see Supporting Statement Part B for a list of eligibility criteria in SEED Teen)</w:t>
      </w:r>
      <w:r>
        <w:rPr>
          <w:lang w:bidi="bn-IN"/>
        </w:rPr>
        <w:t xml:space="preserve">. </w:t>
      </w:r>
      <w:r>
        <w:t>W</w:t>
      </w:r>
      <w:r w:rsidRPr="00AA2D17">
        <w:t>e estimate that a minimum of 60% (n=846) of parents/caregivers sent the invitation mailing or will be successfully contacted and participate in the invitation call.  We estimate that 80%</w:t>
      </w:r>
      <w:r>
        <w:t xml:space="preserve"> (n=677)</w:t>
      </w:r>
      <w:r w:rsidRPr="00AA2D17">
        <w:t xml:space="preserve"> of the families</w:t>
      </w:r>
      <w:r>
        <w:t xml:space="preserve"> who participate in the invitation call will meet the eligibility criteria for SEED Teen and 70% of those will enroll in SEED Teen – that is 474 parents/caregivers will enroll. We estimate that 90% of en</w:t>
      </w:r>
      <w:r w:rsidR="00E14614">
        <w:t>rolled parents/caregivers (n=427</w:t>
      </w:r>
      <w:r>
        <w:t xml:space="preserve">) will complete the SEED Teen Health and Development Survey, SRS, and supplementary consent forms. </w:t>
      </w:r>
      <w:r w:rsidR="00685DB2">
        <w:rPr>
          <w:lang w:bidi="bn-IN"/>
        </w:rPr>
        <w:t>Therefore, the</w:t>
      </w:r>
      <w:r w:rsidR="00094482" w:rsidRPr="005E146A">
        <w:rPr>
          <w:lang w:bidi="bn-IN"/>
        </w:rPr>
        <w:t xml:space="preserve"> minimum final sample of SEED Teen participants is expected</w:t>
      </w:r>
      <w:r w:rsidR="00E14614">
        <w:rPr>
          <w:lang w:bidi="bn-IN"/>
        </w:rPr>
        <w:t xml:space="preserve"> to be: 115 ASD, 164 DD, and 148</w:t>
      </w:r>
      <w:r w:rsidR="00094482" w:rsidRPr="005E146A">
        <w:rPr>
          <w:lang w:bidi="bn-IN"/>
        </w:rPr>
        <w:t xml:space="preserve"> POP</w:t>
      </w:r>
      <w:r w:rsidR="00E14614">
        <w:rPr>
          <w:lang w:bidi="bn-IN"/>
        </w:rPr>
        <w:t xml:space="preserve"> (427</w:t>
      </w:r>
      <w:r w:rsidR="00094482">
        <w:rPr>
          <w:lang w:bidi="bn-IN"/>
        </w:rPr>
        <w:t xml:space="preserve"> total participants)</w:t>
      </w:r>
      <w:r w:rsidR="00094482" w:rsidRPr="005E146A">
        <w:rPr>
          <w:lang w:bidi="bn-IN"/>
        </w:rPr>
        <w:t>.</w:t>
      </w:r>
    </w:p>
    <w:p w14:paraId="18A8EB23" w14:textId="77777777" w:rsidR="00090362" w:rsidRPr="00090362" w:rsidRDefault="00D94FB1" w:rsidP="00090362">
      <w:pPr>
        <w:spacing w:line="480" w:lineRule="auto"/>
        <w:rPr>
          <w:b/>
          <w:i/>
          <w:u w:val="single"/>
        </w:rPr>
      </w:pPr>
      <w:r>
        <w:rPr>
          <w:b/>
          <w:i/>
          <w:u w:val="single"/>
        </w:rPr>
        <w:t>Burden Hours E</w:t>
      </w:r>
      <w:r w:rsidR="00090362" w:rsidRPr="00090362">
        <w:rPr>
          <w:b/>
          <w:i/>
          <w:u w:val="single"/>
        </w:rPr>
        <w:t>stimates</w:t>
      </w:r>
    </w:p>
    <w:p w14:paraId="2351523E" w14:textId="7081B0B9" w:rsidR="00145CFA" w:rsidRDefault="00EE1689" w:rsidP="00D94FB1">
      <w:pPr>
        <w:spacing w:line="480" w:lineRule="auto"/>
        <w:ind w:firstLine="720"/>
      </w:pPr>
      <w:r w:rsidRPr="00C60BB2">
        <w:t>Reading the letter</w:t>
      </w:r>
      <w:r w:rsidR="00415632">
        <w:t xml:space="preserve"> and other materials in the invitation mailing</w:t>
      </w:r>
      <w:r w:rsidR="00873BFC" w:rsidRPr="00C60BB2">
        <w:t xml:space="preserve"> will take approximately </w:t>
      </w:r>
      <w:r w:rsidR="009D0C8D">
        <w:t>5</w:t>
      </w:r>
      <w:r w:rsidR="004C48B0" w:rsidRPr="00C60BB2">
        <w:rPr>
          <w:highlight w:val="yellow"/>
        </w:rPr>
        <w:t xml:space="preserve"> </w:t>
      </w:r>
      <w:r w:rsidR="00873BFC" w:rsidRPr="00145CFA">
        <w:t>minutes.</w:t>
      </w:r>
      <w:r w:rsidR="00873BFC" w:rsidRPr="00C60BB2">
        <w:t xml:space="preserve"> </w:t>
      </w:r>
      <w:r w:rsidR="00415632">
        <w:t>Thus</w:t>
      </w:r>
      <w:r w:rsidR="00D94FB1">
        <w:t>,</w:t>
      </w:r>
      <w:r w:rsidR="00415632">
        <w:t xml:space="preserve"> the</w:t>
      </w:r>
      <w:r w:rsidR="00873BFC" w:rsidRPr="00C60BB2">
        <w:t xml:space="preserve"> estimated response burden for the </w:t>
      </w:r>
      <w:r w:rsidR="00415632">
        <w:t>1</w:t>
      </w:r>
      <w:r w:rsidR="00D94FB1">
        <w:t>,</w:t>
      </w:r>
      <w:r w:rsidR="00415632">
        <w:t xml:space="preserve">410 potentially-eligible SEED families sent the invitation </w:t>
      </w:r>
      <w:r w:rsidR="00415632" w:rsidRPr="00AA2D17">
        <w:t>mailing is 118</w:t>
      </w:r>
      <w:r w:rsidR="00873BFC" w:rsidRPr="00AA2D17">
        <w:t xml:space="preserve"> hours</w:t>
      </w:r>
      <w:r w:rsidR="00DB6F88" w:rsidRPr="00AA2D17">
        <w:t>.</w:t>
      </w:r>
      <w:r w:rsidR="00D94FB1" w:rsidRPr="00AA2D17">
        <w:t xml:space="preserve">  </w:t>
      </w:r>
      <w:r w:rsidR="00145CFA" w:rsidRPr="00AA2D17">
        <w:t>As stated above</w:t>
      </w:r>
      <w:r w:rsidR="00F806A1" w:rsidRPr="00AA2D17">
        <w:t>,</w:t>
      </w:r>
      <w:r w:rsidR="00145CFA" w:rsidRPr="00AA2D17">
        <w:t xml:space="preserve"> we estimate that a minimum of 60% (n=</w:t>
      </w:r>
      <w:r w:rsidR="0050557C" w:rsidRPr="00AA2D17">
        <w:t>846</w:t>
      </w:r>
      <w:r w:rsidR="00145CFA" w:rsidRPr="00AA2D17">
        <w:t xml:space="preserve">) of parents/caregivers sent the invitation mailing or will be successfully contacted and participate in the invitation call. </w:t>
      </w:r>
      <w:r w:rsidR="00D94FB1" w:rsidRPr="00AA2D17">
        <w:t xml:space="preserve"> </w:t>
      </w:r>
      <w:r w:rsidR="00145CFA" w:rsidRPr="00AA2D17">
        <w:t xml:space="preserve">The estimated response burden for the invitation call is thus </w:t>
      </w:r>
      <w:r w:rsidR="0050557C" w:rsidRPr="00AA2D17">
        <w:t>212</w:t>
      </w:r>
      <w:r w:rsidR="00145CFA" w:rsidRPr="00AA2D17">
        <w:t xml:space="preserve"> hours. </w:t>
      </w:r>
      <w:r w:rsidR="00D94FB1" w:rsidRPr="00AA2D17">
        <w:t xml:space="preserve"> </w:t>
      </w:r>
      <w:r w:rsidR="00145CFA" w:rsidRPr="00AA2D17">
        <w:t>We estimate that 80% of the families</w:t>
      </w:r>
      <w:r w:rsidR="00145CFA">
        <w:t xml:space="preserve"> who participate in the invitation call will meet the eligibility criteria for SEED Teen </w:t>
      </w:r>
      <w:r w:rsidR="00C76561">
        <w:t xml:space="preserve">(see Supporting Statement Part B for a list of </w:t>
      </w:r>
      <w:r w:rsidR="00BF56C7">
        <w:t>eligibility</w:t>
      </w:r>
      <w:r w:rsidR="00C76561">
        <w:t xml:space="preserve"> criteria) </w:t>
      </w:r>
      <w:r w:rsidR="00145CFA">
        <w:t>and 70% of those will enroll in SEED Teen – that is 474 parents/caregivers will enroll.  We assume all 474 enrolled families will complete the follow-up call to confirm data collection packet receipt and will review the materials in the data collection packet.  Thus, the</w:t>
      </w:r>
      <w:r w:rsidR="00145CFA" w:rsidRPr="00C60BB2">
        <w:t xml:space="preserve"> estimated response burden for </w:t>
      </w:r>
      <w:r w:rsidR="00145CFA">
        <w:t xml:space="preserve">follow-up call and data collection packet review </w:t>
      </w:r>
      <w:r w:rsidR="00145CFA" w:rsidRPr="00BE535D">
        <w:t>is 119 hours.  Finally</w:t>
      </w:r>
      <w:r w:rsidR="00145CFA">
        <w:t>, we estimate that 90% of enrolled parents/caregivers (n=</w:t>
      </w:r>
      <w:r w:rsidR="001D661E">
        <w:t>42</w:t>
      </w:r>
      <w:r w:rsidR="00CB1842">
        <w:t>7</w:t>
      </w:r>
      <w:r w:rsidR="00145CFA">
        <w:t>) will complete the SEED Teen Health and Development Survey, SRS, and supplementary consent forms.  Thus, the</w:t>
      </w:r>
      <w:r w:rsidR="00145CFA" w:rsidRPr="00C60BB2">
        <w:t xml:space="preserve"> estimated response burden </w:t>
      </w:r>
      <w:r w:rsidR="00145CFA" w:rsidRPr="00BE535D">
        <w:t>is 28</w:t>
      </w:r>
      <w:r w:rsidR="001D661E" w:rsidRPr="00BE535D">
        <w:t>4</w:t>
      </w:r>
      <w:r w:rsidR="00145CFA" w:rsidRPr="00BE535D">
        <w:t xml:space="preserve"> hours for the SEED Teen Health and Development Survey; 142 hours for the SRS and 36 hours for</w:t>
      </w:r>
      <w:r w:rsidR="00145CFA">
        <w:t xml:space="preserve"> the supplementary consent forms.</w:t>
      </w:r>
    </w:p>
    <w:p w14:paraId="01CCD4AB" w14:textId="77777777" w:rsidR="00896F49" w:rsidRDefault="003C7B28" w:rsidP="00896F49">
      <w:pPr>
        <w:spacing w:line="480" w:lineRule="auto"/>
      </w:pPr>
      <w:r>
        <w:tab/>
        <w:t xml:space="preserve">The total response </w:t>
      </w:r>
      <w:r w:rsidR="00FB790F">
        <w:t xml:space="preserve">annualized </w:t>
      </w:r>
      <w:r>
        <w:t xml:space="preserve">burden for all study steps – invitation mailing through completion of supplementary consent forms – is estimated </w:t>
      </w:r>
      <w:r w:rsidRPr="00EB70CC">
        <w:t xml:space="preserve">to be </w:t>
      </w:r>
      <w:r w:rsidR="00FB790F">
        <w:t xml:space="preserve">303 </w:t>
      </w:r>
      <w:r w:rsidRPr="00BE535D">
        <w:t>hours.</w:t>
      </w:r>
    </w:p>
    <w:p w14:paraId="2A0743D1" w14:textId="77777777" w:rsidR="00005B62" w:rsidRDefault="00D217AF" w:rsidP="00D94FB1">
      <w:pPr>
        <w:spacing w:line="480" w:lineRule="auto"/>
        <w:ind w:firstLine="720"/>
      </w:pPr>
      <w:r w:rsidRPr="00C60BB2">
        <w:t>There are no costs to respondents other than their time.</w:t>
      </w:r>
    </w:p>
    <w:p w14:paraId="73C17C65" w14:textId="77777777" w:rsidR="00D94FB1" w:rsidRPr="00D94FB1" w:rsidRDefault="00D94FB1" w:rsidP="00D94FB1">
      <w:pPr>
        <w:spacing w:line="480" w:lineRule="auto"/>
        <w:ind w:firstLine="720"/>
      </w:pPr>
    </w:p>
    <w:p w14:paraId="60CE2CDE" w14:textId="77777777" w:rsidR="00873BFC" w:rsidRPr="00C60BB2" w:rsidRDefault="00D94FB1" w:rsidP="00C13392">
      <w:pPr>
        <w:keepNext/>
        <w:keepLines/>
        <w:spacing w:line="480" w:lineRule="auto"/>
        <w:rPr>
          <w:b/>
        </w:rPr>
      </w:pPr>
      <w:r>
        <w:rPr>
          <w:b/>
        </w:rPr>
        <w:t>BURDEN TABLE:</w:t>
      </w:r>
    </w:p>
    <w:p w14:paraId="609C3C5A" w14:textId="77777777" w:rsidR="00873BFC" w:rsidRPr="00C60BB2" w:rsidRDefault="003E680F" w:rsidP="00C13392">
      <w:pPr>
        <w:keepNext/>
        <w:keepLines/>
        <w:spacing w:line="480" w:lineRule="auto"/>
        <w:ind w:left="720"/>
        <w:rPr>
          <w:b/>
        </w:rPr>
      </w:pPr>
      <w:r w:rsidRPr="00C60BB2">
        <w:rPr>
          <w:b/>
        </w:rPr>
        <w:t xml:space="preserve">A.12.A. </w:t>
      </w:r>
      <w:r w:rsidR="00873BFC" w:rsidRPr="00C60BB2">
        <w:rPr>
          <w:b/>
        </w:rPr>
        <w:t>Estimated Annualized Burden Hours</w:t>
      </w:r>
      <w:r w:rsidR="00E7400B" w:rsidRPr="00C60BB2">
        <w:rPr>
          <w:b/>
        </w:rPr>
        <w:t xml:space="preserve">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5"/>
        <w:gridCol w:w="1800"/>
        <w:gridCol w:w="1530"/>
        <w:gridCol w:w="1440"/>
        <w:gridCol w:w="1260"/>
        <w:gridCol w:w="1193"/>
      </w:tblGrid>
      <w:tr w:rsidR="00657855" w:rsidRPr="00FE1DAD" w14:paraId="430BA1A8" w14:textId="77777777" w:rsidTr="00342AA8">
        <w:tc>
          <w:tcPr>
            <w:tcW w:w="1885" w:type="dxa"/>
          </w:tcPr>
          <w:p w14:paraId="64C444A0" w14:textId="77777777" w:rsidR="00657855" w:rsidRPr="00C60BB2" w:rsidRDefault="00657855" w:rsidP="00C13392">
            <w:pPr>
              <w:pStyle w:val="ListBullet"/>
              <w:numPr>
                <w:ilvl w:val="0"/>
                <w:numId w:val="0"/>
              </w:numPr>
              <w:spacing w:line="480" w:lineRule="auto"/>
              <w:rPr>
                <w:b/>
                <w:bCs/>
                <w:sz w:val="24"/>
                <w:szCs w:val="24"/>
              </w:rPr>
            </w:pPr>
            <w:r w:rsidRPr="00C60BB2">
              <w:rPr>
                <w:b/>
                <w:bCs/>
                <w:sz w:val="24"/>
                <w:szCs w:val="24"/>
              </w:rPr>
              <w:t>Type of Respondents</w:t>
            </w:r>
          </w:p>
        </w:tc>
        <w:tc>
          <w:tcPr>
            <w:tcW w:w="1800" w:type="dxa"/>
          </w:tcPr>
          <w:p w14:paraId="58899899" w14:textId="77777777" w:rsidR="00657855" w:rsidRPr="00C60BB2" w:rsidRDefault="00657855" w:rsidP="00C13392">
            <w:pPr>
              <w:pStyle w:val="ListBullet"/>
              <w:numPr>
                <w:ilvl w:val="0"/>
                <w:numId w:val="0"/>
              </w:numPr>
              <w:spacing w:line="480" w:lineRule="auto"/>
              <w:rPr>
                <w:b/>
                <w:bCs/>
                <w:sz w:val="24"/>
                <w:szCs w:val="24"/>
              </w:rPr>
            </w:pPr>
            <w:r w:rsidRPr="00C60BB2">
              <w:rPr>
                <w:b/>
                <w:bCs/>
                <w:sz w:val="24"/>
                <w:szCs w:val="24"/>
              </w:rPr>
              <w:t>Form Name</w:t>
            </w:r>
          </w:p>
        </w:tc>
        <w:tc>
          <w:tcPr>
            <w:tcW w:w="1530" w:type="dxa"/>
          </w:tcPr>
          <w:p w14:paraId="31B003B1"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No. of Respondents</w:t>
            </w:r>
          </w:p>
        </w:tc>
        <w:tc>
          <w:tcPr>
            <w:tcW w:w="1440" w:type="dxa"/>
          </w:tcPr>
          <w:p w14:paraId="488A7C89"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No. Responses per Respondent</w:t>
            </w:r>
          </w:p>
        </w:tc>
        <w:tc>
          <w:tcPr>
            <w:tcW w:w="1260" w:type="dxa"/>
          </w:tcPr>
          <w:p w14:paraId="03D86871"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Average Burden per Response (in hours)</w:t>
            </w:r>
          </w:p>
        </w:tc>
        <w:tc>
          <w:tcPr>
            <w:tcW w:w="1193" w:type="dxa"/>
          </w:tcPr>
          <w:p w14:paraId="202B7445"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Total Burden</w:t>
            </w:r>
          </w:p>
          <w:p w14:paraId="3E183DE7"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Hours</w:t>
            </w:r>
          </w:p>
        </w:tc>
      </w:tr>
      <w:tr w:rsidR="00657855" w:rsidRPr="00FE1DAD" w14:paraId="5682D74A" w14:textId="77777777" w:rsidTr="00342AA8">
        <w:trPr>
          <w:trHeight w:val="2105"/>
        </w:trPr>
        <w:tc>
          <w:tcPr>
            <w:tcW w:w="1885" w:type="dxa"/>
          </w:tcPr>
          <w:p w14:paraId="30458299" w14:textId="77777777" w:rsidR="00657855" w:rsidRPr="009C28F2" w:rsidDel="00C805AF" w:rsidRDefault="00657855" w:rsidP="0071499C">
            <w:pPr>
              <w:pStyle w:val="ListBullet"/>
              <w:numPr>
                <w:ilvl w:val="0"/>
                <w:numId w:val="0"/>
              </w:numPr>
              <w:spacing w:line="480" w:lineRule="auto"/>
              <w:rPr>
                <w:bCs/>
                <w:sz w:val="24"/>
                <w:szCs w:val="24"/>
              </w:rPr>
            </w:pPr>
            <w:r w:rsidRPr="00250E80">
              <w:rPr>
                <w:bCs/>
                <w:sz w:val="24"/>
                <w:szCs w:val="24"/>
              </w:rPr>
              <w:t>Eligible families who were enrolled in SEED 1</w:t>
            </w:r>
          </w:p>
        </w:tc>
        <w:tc>
          <w:tcPr>
            <w:tcW w:w="1800" w:type="dxa"/>
            <w:vAlign w:val="center"/>
          </w:tcPr>
          <w:p w14:paraId="75AFF5E1" w14:textId="77777777" w:rsidR="00657855" w:rsidRPr="00C60BB2" w:rsidRDefault="00657855" w:rsidP="00A71655">
            <w:pPr>
              <w:pStyle w:val="ListBullet"/>
              <w:numPr>
                <w:ilvl w:val="0"/>
                <w:numId w:val="0"/>
              </w:numPr>
              <w:spacing w:line="480" w:lineRule="auto"/>
              <w:rPr>
                <w:bCs/>
                <w:sz w:val="24"/>
                <w:szCs w:val="24"/>
              </w:rPr>
            </w:pPr>
            <w:r>
              <w:rPr>
                <w:bCs/>
                <w:sz w:val="24"/>
                <w:szCs w:val="24"/>
              </w:rPr>
              <w:t xml:space="preserve">Invitation Packet </w:t>
            </w:r>
            <w:r w:rsidRPr="001546F5">
              <w:rPr>
                <w:b/>
                <w:bCs/>
                <w:sz w:val="24"/>
                <w:szCs w:val="24"/>
              </w:rPr>
              <w:t>(Attachment 3)</w:t>
            </w:r>
          </w:p>
        </w:tc>
        <w:tc>
          <w:tcPr>
            <w:tcW w:w="1530" w:type="dxa"/>
            <w:vAlign w:val="center"/>
          </w:tcPr>
          <w:p w14:paraId="7A78B1D2"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470</w:t>
            </w:r>
          </w:p>
        </w:tc>
        <w:tc>
          <w:tcPr>
            <w:tcW w:w="1440" w:type="dxa"/>
            <w:vAlign w:val="center"/>
          </w:tcPr>
          <w:p w14:paraId="034AB383" w14:textId="77777777" w:rsidR="00657855" w:rsidRDefault="00657855" w:rsidP="00967CA2">
            <w:pPr>
              <w:pStyle w:val="ListBullet"/>
              <w:numPr>
                <w:ilvl w:val="0"/>
                <w:numId w:val="0"/>
              </w:numPr>
              <w:spacing w:line="480" w:lineRule="auto"/>
              <w:jc w:val="center"/>
              <w:rPr>
                <w:bCs/>
                <w:sz w:val="24"/>
                <w:szCs w:val="24"/>
              </w:rPr>
            </w:pPr>
            <w:r>
              <w:rPr>
                <w:bCs/>
                <w:sz w:val="24"/>
                <w:szCs w:val="24"/>
              </w:rPr>
              <w:t>1</w:t>
            </w:r>
          </w:p>
        </w:tc>
        <w:tc>
          <w:tcPr>
            <w:tcW w:w="1260" w:type="dxa"/>
            <w:vAlign w:val="center"/>
          </w:tcPr>
          <w:p w14:paraId="63D5638E" w14:textId="77777777" w:rsidR="00657855" w:rsidRPr="00C60BB2" w:rsidRDefault="00657855" w:rsidP="00967CA2">
            <w:pPr>
              <w:pStyle w:val="ListBullet"/>
              <w:numPr>
                <w:ilvl w:val="0"/>
                <w:numId w:val="0"/>
              </w:numPr>
              <w:spacing w:line="480" w:lineRule="auto"/>
              <w:jc w:val="center"/>
              <w:rPr>
                <w:bCs/>
                <w:sz w:val="24"/>
                <w:szCs w:val="24"/>
              </w:rPr>
            </w:pPr>
            <w:r w:rsidRPr="00153769">
              <w:rPr>
                <w:bCs/>
                <w:sz w:val="24"/>
                <w:szCs w:val="24"/>
              </w:rPr>
              <w:t>5/60</w:t>
            </w:r>
          </w:p>
        </w:tc>
        <w:tc>
          <w:tcPr>
            <w:tcW w:w="1193" w:type="dxa"/>
            <w:vAlign w:val="center"/>
          </w:tcPr>
          <w:p w14:paraId="0C593CEC"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39</w:t>
            </w:r>
          </w:p>
        </w:tc>
      </w:tr>
      <w:tr w:rsidR="00657855" w:rsidRPr="00FE1DAD" w14:paraId="7CA79ED9" w14:textId="77777777" w:rsidTr="00342AA8">
        <w:trPr>
          <w:trHeight w:val="2105"/>
        </w:trPr>
        <w:tc>
          <w:tcPr>
            <w:tcW w:w="1885" w:type="dxa"/>
          </w:tcPr>
          <w:p w14:paraId="748A1C81" w14:textId="77777777" w:rsidR="00657855" w:rsidRPr="00C60BB2" w:rsidRDefault="00657855" w:rsidP="0071499C">
            <w:pPr>
              <w:pStyle w:val="ListBullet"/>
              <w:numPr>
                <w:ilvl w:val="0"/>
                <w:numId w:val="0"/>
              </w:numPr>
              <w:spacing w:line="480" w:lineRule="auto"/>
              <w:rPr>
                <w:bCs/>
                <w:sz w:val="24"/>
                <w:szCs w:val="24"/>
              </w:rPr>
            </w:pPr>
            <w:r w:rsidRPr="009C28F2">
              <w:rPr>
                <w:bCs/>
                <w:sz w:val="24"/>
                <w:szCs w:val="24"/>
              </w:rPr>
              <w:t>Eligible families who were enrolled in SEED 1</w:t>
            </w:r>
          </w:p>
        </w:tc>
        <w:tc>
          <w:tcPr>
            <w:tcW w:w="1800" w:type="dxa"/>
            <w:vAlign w:val="center"/>
          </w:tcPr>
          <w:p w14:paraId="71746CE8" w14:textId="77777777" w:rsidR="00657855" w:rsidRPr="00C60BB2" w:rsidRDefault="00657855" w:rsidP="00A71655">
            <w:pPr>
              <w:pStyle w:val="ListBullet"/>
              <w:numPr>
                <w:ilvl w:val="0"/>
                <w:numId w:val="0"/>
              </w:numPr>
              <w:spacing w:line="480" w:lineRule="auto"/>
              <w:rPr>
                <w:bCs/>
                <w:sz w:val="24"/>
                <w:szCs w:val="24"/>
              </w:rPr>
            </w:pPr>
            <w:r w:rsidRPr="00C60BB2">
              <w:rPr>
                <w:bCs/>
                <w:sz w:val="24"/>
                <w:szCs w:val="24"/>
              </w:rPr>
              <w:t>Invitation Call Script</w:t>
            </w:r>
            <w:r>
              <w:rPr>
                <w:bCs/>
                <w:sz w:val="24"/>
                <w:szCs w:val="24"/>
              </w:rPr>
              <w:t xml:space="preserve"> </w:t>
            </w:r>
            <w:r w:rsidRPr="001546F5">
              <w:rPr>
                <w:b/>
                <w:bCs/>
                <w:sz w:val="24"/>
                <w:szCs w:val="24"/>
              </w:rPr>
              <w:t>(Attachment 4)</w:t>
            </w:r>
          </w:p>
        </w:tc>
        <w:tc>
          <w:tcPr>
            <w:tcW w:w="1530" w:type="dxa"/>
            <w:vAlign w:val="center"/>
          </w:tcPr>
          <w:p w14:paraId="1A82FDCA"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282</w:t>
            </w:r>
          </w:p>
        </w:tc>
        <w:tc>
          <w:tcPr>
            <w:tcW w:w="1440" w:type="dxa"/>
            <w:vAlign w:val="center"/>
          </w:tcPr>
          <w:p w14:paraId="2E4EEB73"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w:t>
            </w:r>
          </w:p>
        </w:tc>
        <w:tc>
          <w:tcPr>
            <w:tcW w:w="1260" w:type="dxa"/>
            <w:vAlign w:val="center"/>
          </w:tcPr>
          <w:p w14:paraId="24AB760B" w14:textId="77777777" w:rsidR="00657855" w:rsidRPr="00C60BB2" w:rsidRDefault="00657855" w:rsidP="00967CA2">
            <w:pPr>
              <w:pStyle w:val="ListBullet"/>
              <w:numPr>
                <w:ilvl w:val="0"/>
                <w:numId w:val="0"/>
              </w:numPr>
              <w:spacing w:line="480" w:lineRule="auto"/>
              <w:jc w:val="center"/>
              <w:rPr>
                <w:bCs/>
                <w:sz w:val="24"/>
                <w:szCs w:val="24"/>
              </w:rPr>
            </w:pPr>
            <w:r w:rsidRPr="00C60BB2">
              <w:rPr>
                <w:bCs/>
                <w:sz w:val="24"/>
                <w:szCs w:val="24"/>
              </w:rPr>
              <w:t>15/60</w:t>
            </w:r>
          </w:p>
        </w:tc>
        <w:tc>
          <w:tcPr>
            <w:tcW w:w="1193" w:type="dxa"/>
            <w:vAlign w:val="center"/>
          </w:tcPr>
          <w:p w14:paraId="60DC409D"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71</w:t>
            </w:r>
          </w:p>
        </w:tc>
      </w:tr>
      <w:tr w:rsidR="00657855" w:rsidRPr="00FE1DAD" w14:paraId="3DA8C51E" w14:textId="77777777" w:rsidTr="00342AA8">
        <w:trPr>
          <w:trHeight w:val="2060"/>
        </w:trPr>
        <w:tc>
          <w:tcPr>
            <w:tcW w:w="1885" w:type="dxa"/>
          </w:tcPr>
          <w:p w14:paraId="4585E68A" w14:textId="77777777" w:rsidR="00657855" w:rsidRPr="003D271B" w:rsidRDefault="00657855" w:rsidP="00967CA2">
            <w:pPr>
              <w:pStyle w:val="ListBullet"/>
              <w:numPr>
                <w:ilvl w:val="0"/>
                <w:numId w:val="0"/>
              </w:numPr>
              <w:spacing w:line="480" w:lineRule="auto"/>
              <w:rPr>
                <w:bCs/>
                <w:sz w:val="24"/>
                <w:szCs w:val="24"/>
              </w:rPr>
            </w:pPr>
            <w:r w:rsidRPr="003D271B">
              <w:rPr>
                <w:bCs/>
                <w:sz w:val="24"/>
                <w:szCs w:val="24"/>
              </w:rPr>
              <w:t>Families who agreed to participate in SEED Teen</w:t>
            </w:r>
          </w:p>
        </w:tc>
        <w:tc>
          <w:tcPr>
            <w:tcW w:w="1800" w:type="dxa"/>
            <w:vAlign w:val="center"/>
          </w:tcPr>
          <w:p w14:paraId="3CEA11C7" w14:textId="77777777" w:rsidR="00657855" w:rsidRDefault="00657855" w:rsidP="00967CA2">
            <w:pPr>
              <w:pStyle w:val="ListBullet"/>
              <w:numPr>
                <w:ilvl w:val="0"/>
                <w:numId w:val="0"/>
              </w:numPr>
              <w:spacing w:line="480" w:lineRule="auto"/>
              <w:rPr>
                <w:bCs/>
                <w:sz w:val="24"/>
                <w:szCs w:val="24"/>
              </w:rPr>
            </w:pPr>
            <w:r>
              <w:rPr>
                <w:bCs/>
                <w:sz w:val="24"/>
                <w:szCs w:val="24"/>
              </w:rPr>
              <w:t>Follow-up Call Checklist</w:t>
            </w:r>
          </w:p>
          <w:p w14:paraId="7AB8CA5E" w14:textId="77777777" w:rsidR="00657855" w:rsidRPr="00C60BB2" w:rsidRDefault="00657855" w:rsidP="00967CA2">
            <w:pPr>
              <w:pStyle w:val="ListBullet"/>
              <w:numPr>
                <w:ilvl w:val="0"/>
                <w:numId w:val="0"/>
              </w:numPr>
              <w:spacing w:line="480" w:lineRule="auto"/>
              <w:rPr>
                <w:bCs/>
                <w:sz w:val="24"/>
                <w:szCs w:val="24"/>
              </w:rPr>
            </w:pPr>
            <w:r>
              <w:rPr>
                <w:b/>
                <w:bCs/>
                <w:sz w:val="24"/>
                <w:szCs w:val="24"/>
              </w:rPr>
              <w:t>(Attachment 5</w:t>
            </w:r>
            <w:r w:rsidRPr="001546F5">
              <w:rPr>
                <w:b/>
                <w:bCs/>
                <w:sz w:val="24"/>
                <w:szCs w:val="24"/>
              </w:rPr>
              <w:t>)</w:t>
            </w:r>
          </w:p>
        </w:tc>
        <w:tc>
          <w:tcPr>
            <w:tcW w:w="1530" w:type="dxa"/>
            <w:vAlign w:val="center"/>
          </w:tcPr>
          <w:p w14:paraId="1E387881"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158</w:t>
            </w:r>
          </w:p>
        </w:tc>
        <w:tc>
          <w:tcPr>
            <w:tcW w:w="1440" w:type="dxa"/>
            <w:vAlign w:val="center"/>
          </w:tcPr>
          <w:p w14:paraId="7773A62E" w14:textId="77777777" w:rsidR="00657855" w:rsidRDefault="00657855" w:rsidP="00967CA2">
            <w:pPr>
              <w:pStyle w:val="ListBullet"/>
              <w:numPr>
                <w:ilvl w:val="0"/>
                <w:numId w:val="0"/>
              </w:numPr>
              <w:spacing w:line="480" w:lineRule="auto"/>
              <w:jc w:val="center"/>
              <w:rPr>
                <w:bCs/>
                <w:sz w:val="24"/>
                <w:szCs w:val="24"/>
              </w:rPr>
            </w:pPr>
            <w:r>
              <w:rPr>
                <w:bCs/>
                <w:sz w:val="24"/>
                <w:szCs w:val="24"/>
              </w:rPr>
              <w:t>1</w:t>
            </w:r>
          </w:p>
        </w:tc>
        <w:tc>
          <w:tcPr>
            <w:tcW w:w="1260" w:type="dxa"/>
            <w:vAlign w:val="center"/>
          </w:tcPr>
          <w:p w14:paraId="2ABB3131"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10/60</w:t>
            </w:r>
          </w:p>
        </w:tc>
        <w:tc>
          <w:tcPr>
            <w:tcW w:w="1193" w:type="dxa"/>
            <w:vAlign w:val="center"/>
          </w:tcPr>
          <w:p w14:paraId="6A5AEFA7"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26</w:t>
            </w:r>
          </w:p>
        </w:tc>
      </w:tr>
      <w:tr w:rsidR="00657855" w:rsidRPr="00FE1DAD" w14:paraId="16B3230B" w14:textId="77777777" w:rsidTr="00342AA8">
        <w:trPr>
          <w:trHeight w:val="2060"/>
        </w:trPr>
        <w:tc>
          <w:tcPr>
            <w:tcW w:w="1885" w:type="dxa"/>
          </w:tcPr>
          <w:p w14:paraId="0E9ED583" w14:textId="77777777" w:rsidR="00657855" w:rsidRPr="003D271B" w:rsidRDefault="00657855" w:rsidP="00967CA2">
            <w:pPr>
              <w:pStyle w:val="ListBullet"/>
              <w:numPr>
                <w:ilvl w:val="0"/>
                <w:numId w:val="0"/>
              </w:numPr>
              <w:spacing w:line="480" w:lineRule="auto"/>
              <w:rPr>
                <w:bCs/>
                <w:sz w:val="24"/>
                <w:szCs w:val="24"/>
              </w:rPr>
            </w:pPr>
            <w:r w:rsidRPr="003D271B">
              <w:rPr>
                <w:bCs/>
                <w:sz w:val="24"/>
                <w:szCs w:val="24"/>
              </w:rPr>
              <w:t>Families who agreed to participate in SEED Teen</w:t>
            </w:r>
          </w:p>
        </w:tc>
        <w:tc>
          <w:tcPr>
            <w:tcW w:w="1800" w:type="dxa"/>
            <w:vAlign w:val="center"/>
          </w:tcPr>
          <w:p w14:paraId="7E71AC3F" w14:textId="77777777" w:rsidR="00657855" w:rsidRDefault="00657855" w:rsidP="00967CA2">
            <w:pPr>
              <w:pStyle w:val="ListBullet"/>
              <w:numPr>
                <w:ilvl w:val="0"/>
                <w:numId w:val="0"/>
              </w:numPr>
              <w:spacing w:line="480" w:lineRule="auto"/>
              <w:rPr>
                <w:bCs/>
                <w:sz w:val="24"/>
                <w:szCs w:val="24"/>
              </w:rPr>
            </w:pPr>
            <w:r>
              <w:rPr>
                <w:bCs/>
                <w:sz w:val="24"/>
                <w:szCs w:val="24"/>
              </w:rPr>
              <w:t>Data Collection P</w:t>
            </w:r>
            <w:r w:rsidRPr="00C60BB2">
              <w:rPr>
                <w:bCs/>
                <w:sz w:val="24"/>
                <w:szCs w:val="24"/>
              </w:rPr>
              <w:t>acket</w:t>
            </w:r>
          </w:p>
          <w:p w14:paraId="69E9ECC9" w14:textId="77777777" w:rsidR="00657855" w:rsidRPr="00C60BB2" w:rsidRDefault="00657855" w:rsidP="00967CA2">
            <w:pPr>
              <w:pStyle w:val="ListBullet"/>
              <w:numPr>
                <w:ilvl w:val="0"/>
                <w:numId w:val="0"/>
              </w:numPr>
              <w:spacing w:line="480" w:lineRule="auto"/>
              <w:rPr>
                <w:bCs/>
                <w:sz w:val="24"/>
                <w:szCs w:val="24"/>
              </w:rPr>
            </w:pPr>
            <w:r>
              <w:rPr>
                <w:b/>
                <w:bCs/>
                <w:sz w:val="24"/>
                <w:szCs w:val="24"/>
              </w:rPr>
              <w:t>(Attachment 6</w:t>
            </w:r>
            <w:r w:rsidRPr="001546F5">
              <w:rPr>
                <w:b/>
                <w:bCs/>
                <w:sz w:val="24"/>
                <w:szCs w:val="24"/>
              </w:rPr>
              <w:t>)</w:t>
            </w:r>
          </w:p>
        </w:tc>
        <w:tc>
          <w:tcPr>
            <w:tcW w:w="1530" w:type="dxa"/>
            <w:vAlign w:val="center"/>
          </w:tcPr>
          <w:p w14:paraId="4E2DDD9E"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158</w:t>
            </w:r>
          </w:p>
        </w:tc>
        <w:tc>
          <w:tcPr>
            <w:tcW w:w="1440" w:type="dxa"/>
            <w:vAlign w:val="center"/>
          </w:tcPr>
          <w:p w14:paraId="509BE73D"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w:t>
            </w:r>
          </w:p>
        </w:tc>
        <w:tc>
          <w:tcPr>
            <w:tcW w:w="1260" w:type="dxa"/>
            <w:vAlign w:val="center"/>
          </w:tcPr>
          <w:p w14:paraId="0802FE22"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5</w:t>
            </w:r>
            <w:r w:rsidRPr="00C60BB2">
              <w:rPr>
                <w:bCs/>
                <w:sz w:val="24"/>
                <w:szCs w:val="24"/>
              </w:rPr>
              <w:t>/60</w:t>
            </w:r>
          </w:p>
        </w:tc>
        <w:tc>
          <w:tcPr>
            <w:tcW w:w="1193" w:type="dxa"/>
            <w:vAlign w:val="center"/>
          </w:tcPr>
          <w:p w14:paraId="75DC1233"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13</w:t>
            </w:r>
          </w:p>
        </w:tc>
      </w:tr>
      <w:tr w:rsidR="00657855" w:rsidRPr="00FE1DAD" w14:paraId="404E0479" w14:textId="77777777" w:rsidTr="00342AA8">
        <w:trPr>
          <w:trHeight w:val="2195"/>
        </w:trPr>
        <w:tc>
          <w:tcPr>
            <w:tcW w:w="1885" w:type="dxa"/>
          </w:tcPr>
          <w:p w14:paraId="715421DA" w14:textId="77777777" w:rsidR="00657855" w:rsidRPr="003D271B" w:rsidRDefault="00657855" w:rsidP="00967CA2">
            <w:pPr>
              <w:pStyle w:val="ListBullet"/>
              <w:numPr>
                <w:ilvl w:val="0"/>
                <w:numId w:val="0"/>
              </w:numPr>
              <w:spacing w:line="480" w:lineRule="auto"/>
              <w:rPr>
                <w:bCs/>
                <w:sz w:val="24"/>
                <w:szCs w:val="24"/>
              </w:rPr>
            </w:pPr>
            <w:r w:rsidRPr="003D271B">
              <w:rPr>
                <w:bCs/>
                <w:sz w:val="24"/>
                <w:szCs w:val="24"/>
              </w:rPr>
              <w:t>Families who agreed to participate in SEED Teen</w:t>
            </w:r>
          </w:p>
        </w:tc>
        <w:tc>
          <w:tcPr>
            <w:tcW w:w="1800" w:type="dxa"/>
            <w:vAlign w:val="center"/>
          </w:tcPr>
          <w:p w14:paraId="43A3A5A0" w14:textId="77777777" w:rsidR="00657855" w:rsidRDefault="00657855" w:rsidP="0071499C">
            <w:pPr>
              <w:pStyle w:val="ListBullet"/>
              <w:numPr>
                <w:ilvl w:val="0"/>
                <w:numId w:val="0"/>
              </w:numPr>
              <w:spacing w:line="480" w:lineRule="auto"/>
              <w:rPr>
                <w:bCs/>
                <w:sz w:val="24"/>
                <w:szCs w:val="24"/>
              </w:rPr>
            </w:pPr>
            <w:r>
              <w:rPr>
                <w:bCs/>
                <w:sz w:val="24"/>
                <w:szCs w:val="24"/>
              </w:rPr>
              <w:t>SEED Teen Health and Development Survey</w:t>
            </w:r>
          </w:p>
          <w:p w14:paraId="7815C7A9" w14:textId="77777777" w:rsidR="00657855" w:rsidRPr="00C60BB2" w:rsidRDefault="00657855" w:rsidP="0071499C">
            <w:pPr>
              <w:pStyle w:val="ListBullet"/>
              <w:numPr>
                <w:ilvl w:val="0"/>
                <w:numId w:val="0"/>
              </w:numPr>
              <w:spacing w:line="480" w:lineRule="auto"/>
              <w:rPr>
                <w:bCs/>
                <w:sz w:val="24"/>
                <w:szCs w:val="24"/>
              </w:rPr>
            </w:pPr>
            <w:r>
              <w:rPr>
                <w:b/>
                <w:bCs/>
                <w:sz w:val="24"/>
                <w:szCs w:val="24"/>
              </w:rPr>
              <w:t>(Attachment 6.c</w:t>
            </w:r>
            <w:r w:rsidRPr="001546F5">
              <w:rPr>
                <w:b/>
                <w:bCs/>
                <w:sz w:val="24"/>
                <w:szCs w:val="24"/>
              </w:rPr>
              <w:t>)</w:t>
            </w:r>
          </w:p>
        </w:tc>
        <w:tc>
          <w:tcPr>
            <w:tcW w:w="1530" w:type="dxa"/>
            <w:vAlign w:val="center"/>
          </w:tcPr>
          <w:p w14:paraId="769984BE"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142</w:t>
            </w:r>
          </w:p>
        </w:tc>
        <w:tc>
          <w:tcPr>
            <w:tcW w:w="1440" w:type="dxa"/>
            <w:vAlign w:val="center"/>
          </w:tcPr>
          <w:p w14:paraId="7A867205" w14:textId="77777777" w:rsidR="00657855" w:rsidRPr="00C60BB2" w:rsidRDefault="00657855" w:rsidP="00967CA2">
            <w:pPr>
              <w:pStyle w:val="ListBullet"/>
              <w:numPr>
                <w:ilvl w:val="0"/>
                <w:numId w:val="0"/>
              </w:numPr>
              <w:spacing w:line="480" w:lineRule="auto"/>
              <w:jc w:val="center"/>
              <w:rPr>
                <w:bCs/>
                <w:sz w:val="24"/>
                <w:szCs w:val="24"/>
              </w:rPr>
            </w:pPr>
            <w:r w:rsidRPr="00C60BB2">
              <w:rPr>
                <w:bCs/>
                <w:sz w:val="24"/>
                <w:szCs w:val="24"/>
              </w:rPr>
              <w:t>1</w:t>
            </w:r>
          </w:p>
        </w:tc>
        <w:tc>
          <w:tcPr>
            <w:tcW w:w="1260" w:type="dxa"/>
            <w:vAlign w:val="center"/>
          </w:tcPr>
          <w:p w14:paraId="12D1138B"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40/60</w:t>
            </w:r>
          </w:p>
        </w:tc>
        <w:tc>
          <w:tcPr>
            <w:tcW w:w="1193" w:type="dxa"/>
            <w:vAlign w:val="center"/>
          </w:tcPr>
          <w:p w14:paraId="79E77A5C" w14:textId="77777777" w:rsidR="00657855" w:rsidRPr="00C60BB2" w:rsidRDefault="00657855" w:rsidP="00967CA2">
            <w:pPr>
              <w:pStyle w:val="ListBullet"/>
              <w:numPr>
                <w:ilvl w:val="0"/>
                <w:numId w:val="0"/>
              </w:numPr>
              <w:spacing w:line="480" w:lineRule="auto"/>
              <w:jc w:val="center"/>
              <w:rPr>
                <w:bCs/>
                <w:sz w:val="24"/>
                <w:szCs w:val="24"/>
              </w:rPr>
            </w:pPr>
            <w:r>
              <w:rPr>
                <w:bCs/>
                <w:sz w:val="24"/>
                <w:szCs w:val="24"/>
              </w:rPr>
              <w:t>95</w:t>
            </w:r>
          </w:p>
        </w:tc>
      </w:tr>
      <w:tr w:rsidR="00657855" w:rsidRPr="00FE1DAD" w14:paraId="6F171E5D" w14:textId="77777777" w:rsidTr="00342AA8">
        <w:trPr>
          <w:trHeight w:val="2060"/>
        </w:trPr>
        <w:tc>
          <w:tcPr>
            <w:tcW w:w="1885" w:type="dxa"/>
          </w:tcPr>
          <w:p w14:paraId="0C0E62E9" w14:textId="77777777" w:rsidR="00657855" w:rsidRPr="003D271B" w:rsidRDefault="00657855" w:rsidP="001F2F54">
            <w:pPr>
              <w:pStyle w:val="ListBullet"/>
              <w:numPr>
                <w:ilvl w:val="0"/>
                <w:numId w:val="0"/>
              </w:numPr>
              <w:spacing w:line="480" w:lineRule="auto"/>
              <w:rPr>
                <w:bCs/>
                <w:sz w:val="24"/>
                <w:szCs w:val="24"/>
              </w:rPr>
            </w:pPr>
            <w:r w:rsidRPr="003D271B">
              <w:rPr>
                <w:bCs/>
                <w:sz w:val="24"/>
                <w:szCs w:val="24"/>
              </w:rPr>
              <w:t>Families who agreed to participate in SEED Teen</w:t>
            </w:r>
          </w:p>
        </w:tc>
        <w:tc>
          <w:tcPr>
            <w:tcW w:w="1800" w:type="dxa"/>
            <w:vAlign w:val="center"/>
          </w:tcPr>
          <w:p w14:paraId="1EF54D07" w14:textId="77777777" w:rsidR="00657855" w:rsidRDefault="00657855" w:rsidP="001F2F54">
            <w:pPr>
              <w:pStyle w:val="ListBullet"/>
              <w:numPr>
                <w:ilvl w:val="0"/>
                <w:numId w:val="0"/>
              </w:numPr>
              <w:spacing w:line="480" w:lineRule="auto"/>
              <w:rPr>
                <w:bCs/>
                <w:sz w:val="24"/>
                <w:szCs w:val="24"/>
              </w:rPr>
            </w:pPr>
            <w:r>
              <w:rPr>
                <w:bCs/>
                <w:sz w:val="24"/>
                <w:szCs w:val="24"/>
              </w:rPr>
              <w:t>Social Responsiveness Scale</w:t>
            </w:r>
          </w:p>
          <w:p w14:paraId="4398CADA" w14:textId="77777777" w:rsidR="00657855" w:rsidRPr="00C60BB2" w:rsidRDefault="00657855" w:rsidP="001F2F54">
            <w:pPr>
              <w:pStyle w:val="ListBullet"/>
              <w:numPr>
                <w:ilvl w:val="0"/>
                <w:numId w:val="0"/>
              </w:numPr>
              <w:spacing w:line="480" w:lineRule="auto"/>
              <w:rPr>
                <w:bCs/>
                <w:sz w:val="24"/>
                <w:szCs w:val="24"/>
              </w:rPr>
            </w:pPr>
            <w:r>
              <w:rPr>
                <w:b/>
                <w:bCs/>
                <w:sz w:val="24"/>
                <w:szCs w:val="24"/>
              </w:rPr>
              <w:t>(Attachment 6.d</w:t>
            </w:r>
            <w:r w:rsidRPr="001546F5">
              <w:rPr>
                <w:b/>
                <w:bCs/>
                <w:sz w:val="24"/>
                <w:szCs w:val="24"/>
              </w:rPr>
              <w:t>)</w:t>
            </w:r>
          </w:p>
        </w:tc>
        <w:tc>
          <w:tcPr>
            <w:tcW w:w="1530" w:type="dxa"/>
            <w:vAlign w:val="center"/>
          </w:tcPr>
          <w:p w14:paraId="57AAE7B5" w14:textId="77777777" w:rsidR="00657855" w:rsidRPr="00C60BB2" w:rsidRDefault="00657855" w:rsidP="001F2F54">
            <w:pPr>
              <w:pStyle w:val="ListBullet"/>
              <w:numPr>
                <w:ilvl w:val="0"/>
                <w:numId w:val="0"/>
              </w:numPr>
              <w:spacing w:line="480" w:lineRule="auto"/>
              <w:jc w:val="center"/>
              <w:rPr>
                <w:bCs/>
                <w:sz w:val="24"/>
                <w:szCs w:val="24"/>
              </w:rPr>
            </w:pPr>
            <w:r>
              <w:rPr>
                <w:bCs/>
                <w:sz w:val="24"/>
                <w:szCs w:val="24"/>
              </w:rPr>
              <w:t>142</w:t>
            </w:r>
          </w:p>
        </w:tc>
        <w:tc>
          <w:tcPr>
            <w:tcW w:w="1440" w:type="dxa"/>
            <w:vAlign w:val="center"/>
          </w:tcPr>
          <w:p w14:paraId="5287F4C7" w14:textId="77777777" w:rsidR="00657855" w:rsidRPr="00C60BB2" w:rsidRDefault="00657855" w:rsidP="001F2F54">
            <w:pPr>
              <w:pStyle w:val="ListBullet"/>
              <w:numPr>
                <w:ilvl w:val="0"/>
                <w:numId w:val="0"/>
              </w:numPr>
              <w:spacing w:line="480" w:lineRule="auto"/>
              <w:jc w:val="center"/>
              <w:rPr>
                <w:bCs/>
                <w:sz w:val="24"/>
                <w:szCs w:val="24"/>
              </w:rPr>
            </w:pPr>
            <w:r w:rsidRPr="00C60BB2">
              <w:rPr>
                <w:bCs/>
                <w:sz w:val="24"/>
                <w:szCs w:val="24"/>
              </w:rPr>
              <w:t>1</w:t>
            </w:r>
          </w:p>
        </w:tc>
        <w:tc>
          <w:tcPr>
            <w:tcW w:w="1260" w:type="dxa"/>
            <w:vAlign w:val="center"/>
          </w:tcPr>
          <w:p w14:paraId="44C650F5" w14:textId="77777777" w:rsidR="00657855" w:rsidRPr="00C60BB2" w:rsidRDefault="00657855" w:rsidP="001F2F54">
            <w:pPr>
              <w:pStyle w:val="ListBullet"/>
              <w:numPr>
                <w:ilvl w:val="0"/>
                <w:numId w:val="0"/>
              </w:numPr>
              <w:spacing w:line="480" w:lineRule="auto"/>
              <w:jc w:val="center"/>
              <w:rPr>
                <w:bCs/>
                <w:sz w:val="24"/>
                <w:szCs w:val="24"/>
              </w:rPr>
            </w:pPr>
            <w:r>
              <w:rPr>
                <w:bCs/>
                <w:sz w:val="24"/>
                <w:szCs w:val="24"/>
              </w:rPr>
              <w:t>20/60</w:t>
            </w:r>
          </w:p>
        </w:tc>
        <w:tc>
          <w:tcPr>
            <w:tcW w:w="1193" w:type="dxa"/>
            <w:vAlign w:val="center"/>
          </w:tcPr>
          <w:p w14:paraId="071C989B" w14:textId="77777777" w:rsidR="00657855" w:rsidRPr="00C60BB2" w:rsidRDefault="00657855" w:rsidP="001F2F54">
            <w:pPr>
              <w:pStyle w:val="ListBullet"/>
              <w:numPr>
                <w:ilvl w:val="0"/>
                <w:numId w:val="0"/>
              </w:numPr>
              <w:spacing w:line="480" w:lineRule="auto"/>
              <w:jc w:val="center"/>
              <w:rPr>
                <w:bCs/>
                <w:sz w:val="24"/>
                <w:szCs w:val="24"/>
              </w:rPr>
            </w:pPr>
            <w:r>
              <w:rPr>
                <w:bCs/>
                <w:sz w:val="24"/>
                <w:szCs w:val="24"/>
              </w:rPr>
              <w:t>47</w:t>
            </w:r>
          </w:p>
        </w:tc>
      </w:tr>
      <w:tr w:rsidR="00657855" w:rsidRPr="00FE1DAD" w14:paraId="5C86E1E0" w14:textId="77777777" w:rsidTr="00342AA8">
        <w:trPr>
          <w:trHeight w:val="1160"/>
        </w:trPr>
        <w:tc>
          <w:tcPr>
            <w:tcW w:w="1885" w:type="dxa"/>
          </w:tcPr>
          <w:p w14:paraId="64F4CE7E" w14:textId="77777777" w:rsidR="00657855" w:rsidRPr="003D271B" w:rsidRDefault="00657855" w:rsidP="001F2F54">
            <w:pPr>
              <w:pStyle w:val="ListBullet"/>
              <w:numPr>
                <w:ilvl w:val="0"/>
                <w:numId w:val="0"/>
              </w:numPr>
              <w:spacing w:line="480" w:lineRule="auto"/>
              <w:rPr>
                <w:bCs/>
                <w:sz w:val="24"/>
                <w:szCs w:val="24"/>
              </w:rPr>
            </w:pPr>
            <w:r w:rsidRPr="003D271B">
              <w:rPr>
                <w:bCs/>
                <w:sz w:val="24"/>
                <w:szCs w:val="24"/>
              </w:rPr>
              <w:t>Families who agreed to</w:t>
            </w:r>
            <w:r>
              <w:rPr>
                <w:bCs/>
                <w:sz w:val="24"/>
                <w:szCs w:val="24"/>
              </w:rPr>
              <w:t xml:space="preserve"> </w:t>
            </w:r>
            <w:r w:rsidRPr="003D271B">
              <w:rPr>
                <w:bCs/>
                <w:sz w:val="24"/>
                <w:szCs w:val="24"/>
              </w:rPr>
              <w:t>participate in SEED Teen</w:t>
            </w:r>
          </w:p>
        </w:tc>
        <w:tc>
          <w:tcPr>
            <w:tcW w:w="1800" w:type="dxa"/>
            <w:vAlign w:val="center"/>
          </w:tcPr>
          <w:p w14:paraId="1EA2A998" w14:textId="77777777" w:rsidR="00657855" w:rsidRDefault="00657855" w:rsidP="001F2F54">
            <w:pPr>
              <w:pStyle w:val="ListBullet"/>
              <w:numPr>
                <w:ilvl w:val="0"/>
                <w:numId w:val="0"/>
              </w:numPr>
              <w:spacing w:line="480" w:lineRule="auto"/>
              <w:rPr>
                <w:bCs/>
                <w:sz w:val="24"/>
                <w:szCs w:val="24"/>
              </w:rPr>
            </w:pPr>
            <w:r>
              <w:rPr>
                <w:bCs/>
                <w:sz w:val="24"/>
                <w:szCs w:val="24"/>
              </w:rPr>
              <w:t>Supplemental Consent F</w:t>
            </w:r>
            <w:r w:rsidRPr="00C60BB2">
              <w:rPr>
                <w:bCs/>
                <w:sz w:val="24"/>
                <w:szCs w:val="24"/>
              </w:rPr>
              <w:t>orms</w:t>
            </w:r>
          </w:p>
          <w:p w14:paraId="6150DC52" w14:textId="77777777" w:rsidR="00657855" w:rsidRPr="00C60BB2" w:rsidRDefault="00657855" w:rsidP="001F2F54">
            <w:pPr>
              <w:pStyle w:val="ListBullet"/>
              <w:numPr>
                <w:ilvl w:val="0"/>
                <w:numId w:val="0"/>
              </w:numPr>
              <w:spacing w:line="480" w:lineRule="auto"/>
              <w:rPr>
                <w:bCs/>
                <w:sz w:val="24"/>
                <w:szCs w:val="24"/>
              </w:rPr>
            </w:pPr>
            <w:r>
              <w:rPr>
                <w:b/>
                <w:bCs/>
                <w:sz w:val="24"/>
                <w:szCs w:val="24"/>
              </w:rPr>
              <w:t>(Attachment 7</w:t>
            </w:r>
            <w:r w:rsidRPr="001546F5">
              <w:rPr>
                <w:b/>
                <w:bCs/>
                <w:sz w:val="24"/>
                <w:szCs w:val="24"/>
              </w:rPr>
              <w:t>)</w:t>
            </w:r>
          </w:p>
        </w:tc>
        <w:tc>
          <w:tcPr>
            <w:tcW w:w="1530" w:type="dxa"/>
            <w:vAlign w:val="center"/>
          </w:tcPr>
          <w:p w14:paraId="76212727" w14:textId="77777777" w:rsidR="00657855" w:rsidRPr="00C60BB2" w:rsidRDefault="00657855" w:rsidP="001F2F54">
            <w:pPr>
              <w:pStyle w:val="ListBullet"/>
              <w:numPr>
                <w:ilvl w:val="0"/>
                <w:numId w:val="0"/>
              </w:numPr>
              <w:spacing w:line="480" w:lineRule="auto"/>
              <w:jc w:val="center"/>
              <w:rPr>
                <w:bCs/>
                <w:sz w:val="24"/>
                <w:szCs w:val="24"/>
              </w:rPr>
            </w:pPr>
            <w:r>
              <w:rPr>
                <w:bCs/>
                <w:sz w:val="24"/>
                <w:szCs w:val="24"/>
              </w:rPr>
              <w:t>142</w:t>
            </w:r>
          </w:p>
        </w:tc>
        <w:tc>
          <w:tcPr>
            <w:tcW w:w="1440" w:type="dxa"/>
            <w:vAlign w:val="center"/>
          </w:tcPr>
          <w:p w14:paraId="70E7FC8D" w14:textId="77777777" w:rsidR="00657855" w:rsidRPr="00C60BB2" w:rsidRDefault="00657855" w:rsidP="001F2F54">
            <w:pPr>
              <w:pStyle w:val="ListBullet"/>
              <w:numPr>
                <w:ilvl w:val="0"/>
                <w:numId w:val="0"/>
              </w:numPr>
              <w:spacing w:line="480" w:lineRule="auto"/>
              <w:jc w:val="center"/>
              <w:rPr>
                <w:bCs/>
                <w:sz w:val="24"/>
                <w:szCs w:val="24"/>
              </w:rPr>
            </w:pPr>
            <w:r w:rsidRPr="00C60BB2">
              <w:rPr>
                <w:bCs/>
                <w:sz w:val="24"/>
                <w:szCs w:val="24"/>
              </w:rPr>
              <w:t>1</w:t>
            </w:r>
          </w:p>
        </w:tc>
        <w:tc>
          <w:tcPr>
            <w:tcW w:w="1260" w:type="dxa"/>
            <w:vAlign w:val="center"/>
          </w:tcPr>
          <w:p w14:paraId="0ED090F5" w14:textId="77777777" w:rsidR="00657855" w:rsidRPr="00C60BB2" w:rsidRDefault="00657855" w:rsidP="001F2F54">
            <w:pPr>
              <w:pStyle w:val="ListBullet"/>
              <w:numPr>
                <w:ilvl w:val="0"/>
                <w:numId w:val="0"/>
              </w:numPr>
              <w:spacing w:line="480" w:lineRule="auto"/>
              <w:jc w:val="center"/>
              <w:rPr>
                <w:bCs/>
                <w:sz w:val="24"/>
                <w:szCs w:val="24"/>
              </w:rPr>
            </w:pPr>
            <w:r>
              <w:rPr>
                <w:bCs/>
                <w:sz w:val="24"/>
                <w:szCs w:val="24"/>
              </w:rPr>
              <w:t>5/60</w:t>
            </w:r>
          </w:p>
        </w:tc>
        <w:tc>
          <w:tcPr>
            <w:tcW w:w="1193" w:type="dxa"/>
            <w:vAlign w:val="center"/>
          </w:tcPr>
          <w:p w14:paraId="7255B17C" w14:textId="77777777" w:rsidR="00657855" w:rsidRPr="00C60BB2" w:rsidRDefault="00657855" w:rsidP="001F2F54">
            <w:pPr>
              <w:pStyle w:val="ListBullet"/>
              <w:numPr>
                <w:ilvl w:val="0"/>
                <w:numId w:val="0"/>
              </w:numPr>
              <w:spacing w:line="480" w:lineRule="auto"/>
              <w:jc w:val="center"/>
              <w:rPr>
                <w:bCs/>
                <w:sz w:val="24"/>
                <w:szCs w:val="24"/>
              </w:rPr>
            </w:pPr>
            <w:r>
              <w:rPr>
                <w:bCs/>
                <w:sz w:val="24"/>
                <w:szCs w:val="24"/>
              </w:rPr>
              <w:t>12</w:t>
            </w:r>
          </w:p>
        </w:tc>
      </w:tr>
      <w:tr w:rsidR="00657855" w:rsidRPr="00FE1DAD" w14:paraId="72F9EC8D" w14:textId="77777777" w:rsidTr="00342AA8">
        <w:tc>
          <w:tcPr>
            <w:tcW w:w="1885" w:type="dxa"/>
          </w:tcPr>
          <w:p w14:paraId="3D9423B8" w14:textId="77777777" w:rsidR="00657855" w:rsidRPr="00C60BB2" w:rsidRDefault="00657855" w:rsidP="001F2F54">
            <w:pPr>
              <w:pStyle w:val="ListBullet"/>
              <w:numPr>
                <w:ilvl w:val="0"/>
                <w:numId w:val="0"/>
              </w:numPr>
              <w:spacing w:line="480" w:lineRule="auto"/>
              <w:jc w:val="center"/>
              <w:rPr>
                <w:b/>
                <w:bCs/>
                <w:sz w:val="24"/>
                <w:szCs w:val="24"/>
              </w:rPr>
            </w:pPr>
            <w:r w:rsidRPr="00C60BB2">
              <w:rPr>
                <w:b/>
                <w:bCs/>
                <w:sz w:val="24"/>
                <w:szCs w:val="24"/>
              </w:rPr>
              <w:t>TOTAL</w:t>
            </w:r>
          </w:p>
        </w:tc>
        <w:tc>
          <w:tcPr>
            <w:tcW w:w="1800" w:type="dxa"/>
            <w:vAlign w:val="center"/>
          </w:tcPr>
          <w:p w14:paraId="772B1F69" w14:textId="77777777" w:rsidR="00657855" w:rsidRPr="00C60BB2" w:rsidRDefault="00657855" w:rsidP="001F2F54">
            <w:pPr>
              <w:pStyle w:val="ListBullet"/>
              <w:numPr>
                <w:ilvl w:val="0"/>
                <w:numId w:val="0"/>
              </w:numPr>
              <w:spacing w:line="480" w:lineRule="auto"/>
              <w:jc w:val="center"/>
              <w:rPr>
                <w:b/>
                <w:bCs/>
                <w:sz w:val="24"/>
                <w:szCs w:val="24"/>
              </w:rPr>
            </w:pPr>
          </w:p>
        </w:tc>
        <w:tc>
          <w:tcPr>
            <w:tcW w:w="1530" w:type="dxa"/>
            <w:vAlign w:val="center"/>
          </w:tcPr>
          <w:p w14:paraId="4C60E99E" w14:textId="77777777" w:rsidR="00657855" w:rsidRPr="00C60BB2" w:rsidRDefault="00657855" w:rsidP="001F2F54">
            <w:pPr>
              <w:pStyle w:val="ListBullet"/>
              <w:numPr>
                <w:ilvl w:val="0"/>
                <w:numId w:val="0"/>
              </w:numPr>
              <w:spacing w:line="480" w:lineRule="auto"/>
              <w:jc w:val="center"/>
              <w:rPr>
                <w:b/>
                <w:bCs/>
                <w:sz w:val="24"/>
                <w:szCs w:val="24"/>
              </w:rPr>
            </w:pPr>
            <w:r>
              <w:rPr>
                <w:b/>
                <w:bCs/>
                <w:sz w:val="24"/>
                <w:szCs w:val="24"/>
              </w:rPr>
              <w:t>1,494</w:t>
            </w:r>
          </w:p>
        </w:tc>
        <w:tc>
          <w:tcPr>
            <w:tcW w:w="1440" w:type="dxa"/>
            <w:vAlign w:val="center"/>
          </w:tcPr>
          <w:p w14:paraId="3CEF3095" w14:textId="77777777" w:rsidR="00657855" w:rsidRPr="00C60BB2" w:rsidRDefault="00657855" w:rsidP="0050557C">
            <w:pPr>
              <w:pStyle w:val="ListBullet"/>
              <w:numPr>
                <w:ilvl w:val="0"/>
                <w:numId w:val="0"/>
              </w:numPr>
              <w:spacing w:line="480" w:lineRule="auto"/>
              <w:rPr>
                <w:b/>
                <w:bCs/>
                <w:sz w:val="24"/>
                <w:szCs w:val="24"/>
              </w:rPr>
            </w:pPr>
          </w:p>
        </w:tc>
        <w:tc>
          <w:tcPr>
            <w:tcW w:w="1260" w:type="dxa"/>
            <w:vAlign w:val="center"/>
          </w:tcPr>
          <w:p w14:paraId="3F27AA55" w14:textId="77777777" w:rsidR="00657855" w:rsidRPr="00C60BB2" w:rsidRDefault="00657855" w:rsidP="009C28F2">
            <w:pPr>
              <w:pStyle w:val="ListBullet"/>
              <w:numPr>
                <w:ilvl w:val="0"/>
                <w:numId w:val="0"/>
              </w:numPr>
              <w:spacing w:line="480" w:lineRule="auto"/>
              <w:jc w:val="center"/>
              <w:rPr>
                <w:b/>
                <w:bCs/>
                <w:sz w:val="24"/>
                <w:szCs w:val="24"/>
              </w:rPr>
            </w:pPr>
            <w:r>
              <w:rPr>
                <w:b/>
                <w:bCs/>
                <w:sz w:val="24"/>
                <w:szCs w:val="24"/>
              </w:rPr>
              <w:t>100/60</w:t>
            </w:r>
          </w:p>
        </w:tc>
        <w:tc>
          <w:tcPr>
            <w:tcW w:w="1193" w:type="dxa"/>
            <w:vAlign w:val="center"/>
          </w:tcPr>
          <w:p w14:paraId="6FBE4F6D" w14:textId="77777777" w:rsidR="00657855" w:rsidRPr="00C60BB2" w:rsidRDefault="00657855" w:rsidP="001F2F54">
            <w:pPr>
              <w:pStyle w:val="ListBullet"/>
              <w:numPr>
                <w:ilvl w:val="0"/>
                <w:numId w:val="0"/>
              </w:numPr>
              <w:spacing w:line="480" w:lineRule="auto"/>
              <w:jc w:val="center"/>
              <w:rPr>
                <w:b/>
                <w:bCs/>
                <w:sz w:val="24"/>
                <w:szCs w:val="24"/>
              </w:rPr>
            </w:pPr>
            <w:r>
              <w:rPr>
                <w:b/>
                <w:bCs/>
                <w:sz w:val="24"/>
                <w:szCs w:val="24"/>
              </w:rPr>
              <w:t>303</w:t>
            </w:r>
          </w:p>
        </w:tc>
      </w:tr>
    </w:tbl>
    <w:p w14:paraId="78F4C30C" w14:textId="77777777" w:rsidR="00D217AF" w:rsidRPr="00C60BB2" w:rsidRDefault="00873BFC" w:rsidP="00C13392">
      <w:pPr>
        <w:pStyle w:val="ListBullet"/>
        <w:numPr>
          <w:ilvl w:val="0"/>
          <w:numId w:val="0"/>
        </w:numPr>
        <w:spacing w:line="480" w:lineRule="auto"/>
        <w:rPr>
          <w:b/>
          <w:sz w:val="24"/>
          <w:szCs w:val="24"/>
        </w:rPr>
      </w:pPr>
      <w:r w:rsidRPr="00C60BB2">
        <w:rPr>
          <w:bCs/>
          <w:sz w:val="24"/>
          <w:szCs w:val="24"/>
        </w:rPr>
        <w:t xml:space="preserve"> </w:t>
      </w:r>
    </w:p>
    <w:p w14:paraId="60EB9DDE" w14:textId="77777777" w:rsidR="00C13392" w:rsidRPr="00C60BB2" w:rsidRDefault="00D217AF" w:rsidP="00DB6F88">
      <w:pPr>
        <w:spacing w:after="200" w:line="480" w:lineRule="auto"/>
      </w:pPr>
      <w:r w:rsidRPr="00C60BB2">
        <w:t xml:space="preserve">The annualized </w:t>
      </w:r>
      <w:r w:rsidRPr="0093143B">
        <w:t>cost burden is shown in Table A.12.B. The me</w:t>
      </w:r>
      <w:r w:rsidR="00255582" w:rsidRPr="0093143B">
        <w:t>dian</w:t>
      </w:r>
      <w:r w:rsidRPr="0093143B">
        <w:t xml:space="preserve"> hourly wage rate is based on the most recent (May </w:t>
      </w:r>
      <w:r w:rsidR="00B56FB9" w:rsidRPr="0093143B">
        <w:t>2015</w:t>
      </w:r>
      <w:r w:rsidRPr="0093143B">
        <w:t>) National Occupational Employment and Wage Estimates for all occupations, published on the Bureau of Labor Statistics website which is $</w:t>
      </w:r>
      <w:r w:rsidR="00B56FB9" w:rsidRPr="0093143B">
        <w:t>17.40</w:t>
      </w:r>
      <w:r w:rsidRPr="0093143B">
        <w:t>.</w:t>
      </w:r>
      <w:r w:rsidRPr="00C60BB2">
        <w:t xml:space="preserve"> See </w:t>
      </w:r>
      <w:hyperlink r:id="rId20" w:history="1">
        <w:r w:rsidRPr="00C60BB2">
          <w:rPr>
            <w:color w:val="0000FF" w:themeColor="hyperlink"/>
            <w:u w:val="single"/>
          </w:rPr>
          <w:t>http://www.bls.gov/oes/current/oes_nat.htm</w:t>
        </w:r>
      </w:hyperlink>
      <w:r w:rsidRPr="00C60BB2">
        <w:t>.</w:t>
      </w:r>
    </w:p>
    <w:p w14:paraId="4A1426E3" w14:textId="77777777" w:rsidR="00C13392" w:rsidRPr="00C60BB2" w:rsidRDefault="00C13392" w:rsidP="00C13392">
      <w:pPr>
        <w:pStyle w:val="ListBullet"/>
        <w:numPr>
          <w:ilvl w:val="0"/>
          <w:numId w:val="0"/>
        </w:numPr>
        <w:spacing w:line="480" w:lineRule="auto"/>
        <w:ind w:left="720" w:firstLine="720"/>
        <w:rPr>
          <w:b/>
          <w:sz w:val="24"/>
          <w:szCs w:val="24"/>
        </w:rPr>
      </w:pPr>
    </w:p>
    <w:p w14:paraId="0224B91F" w14:textId="77777777" w:rsidR="00873BFC" w:rsidRPr="00C60BB2" w:rsidRDefault="003E680F" w:rsidP="00C13392">
      <w:pPr>
        <w:pStyle w:val="ListBullet"/>
        <w:numPr>
          <w:ilvl w:val="0"/>
          <w:numId w:val="0"/>
        </w:numPr>
        <w:spacing w:line="480" w:lineRule="auto"/>
        <w:ind w:left="720" w:firstLine="720"/>
        <w:rPr>
          <w:sz w:val="24"/>
          <w:szCs w:val="24"/>
          <w:highlight w:val="yellow"/>
        </w:rPr>
      </w:pPr>
      <w:r w:rsidRPr="00C60BB2">
        <w:rPr>
          <w:b/>
          <w:sz w:val="24"/>
          <w:szCs w:val="24"/>
        </w:rPr>
        <w:t xml:space="preserve">A.12.B. </w:t>
      </w:r>
      <w:r w:rsidR="00873BFC" w:rsidRPr="00C60BB2">
        <w:rPr>
          <w:b/>
          <w:sz w:val="24"/>
          <w:szCs w:val="24"/>
        </w:rPr>
        <w:t>Estimated Annualized Burden Costs</w:t>
      </w:r>
      <w:r w:rsidR="00E7400B" w:rsidRPr="00C60BB2">
        <w:rPr>
          <w:b/>
          <w:sz w:val="24"/>
          <w:szCs w:val="24"/>
        </w:rPr>
        <w:t xml:space="preserve"> </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2250"/>
        <w:gridCol w:w="1325"/>
        <w:gridCol w:w="1465"/>
        <w:gridCol w:w="1710"/>
      </w:tblGrid>
      <w:tr w:rsidR="00657855" w:rsidRPr="00FE1DAD" w14:paraId="2A4AAD30" w14:textId="77777777" w:rsidTr="00342AA8">
        <w:trPr>
          <w:jc w:val="center"/>
        </w:trPr>
        <w:tc>
          <w:tcPr>
            <w:tcW w:w="2065" w:type="dxa"/>
          </w:tcPr>
          <w:p w14:paraId="55DE87E4" w14:textId="77777777" w:rsidR="00657855" w:rsidRPr="00C60BB2" w:rsidRDefault="00657855" w:rsidP="00C13392">
            <w:pPr>
              <w:pStyle w:val="ListBullet"/>
              <w:numPr>
                <w:ilvl w:val="0"/>
                <w:numId w:val="0"/>
              </w:numPr>
              <w:spacing w:line="480" w:lineRule="auto"/>
              <w:rPr>
                <w:b/>
                <w:bCs/>
                <w:sz w:val="24"/>
                <w:szCs w:val="24"/>
              </w:rPr>
            </w:pPr>
            <w:r w:rsidRPr="00C60BB2">
              <w:rPr>
                <w:b/>
                <w:bCs/>
                <w:sz w:val="24"/>
                <w:szCs w:val="24"/>
              </w:rPr>
              <w:t>Type of Respondents</w:t>
            </w:r>
          </w:p>
        </w:tc>
        <w:tc>
          <w:tcPr>
            <w:tcW w:w="2250" w:type="dxa"/>
          </w:tcPr>
          <w:p w14:paraId="5510276C" w14:textId="77777777" w:rsidR="00657855" w:rsidRPr="00C60BB2" w:rsidRDefault="00657855" w:rsidP="00C13392">
            <w:pPr>
              <w:pStyle w:val="ListBullet"/>
              <w:numPr>
                <w:ilvl w:val="0"/>
                <w:numId w:val="0"/>
              </w:numPr>
              <w:spacing w:line="480" w:lineRule="auto"/>
              <w:rPr>
                <w:b/>
                <w:bCs/>
                <w:sz w:val="24"/>
                <w:szCs w:val="24"/>
              </w:rPr>
            </w:pPr>
            <w:r w:rsidRPr="00C60BB2">
              <w:rPr>
                <w:b/>
                <w:bCs/>
                <w:sz w:val="24"/>
                <w:szCs w:val="24"/>
              </w:rPr>
              <w:t>Form Name</w:t>
            </w:r>
          </w:p>
        </w:tc>
        <w:tc>
          <w:tcPr>
            <w:tcW w:w="1325" w:type="dxa"/>
          </w:tcPr>
          <w:p w14:paraId="67C532CC"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Total Burden</w:t>
            </w:r>
          </w:p>
          <w:p w14:paraId="133AB0C7"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Hours</w:t>
            </w:r>
          </w:p>
        </w:tc>
        <w:tc>
          <w:tcPr>
            <w:tcW w:w="1465" w:type="dxa"/>
          </w:tcPr>
          <w:p w14:paraId="4D9C6EA6"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Hourly Wage Rate ($)</w:t>
            </w:r>
          </w:p>
        </w:tc>
        <w:tc>
          <w:tcPr>
            <w:tcW w:w="1710" w:type="dxa"/>
          </w:tcPr>
          <w:p w14:paraId="054DC487"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Total Respondent</w:t>
            </w:r>
          </w:p>
          <w:p w14:paraId="137929F1" w14:textId="77777777" w:rsidR="00657855" w:rsidRPr="00C60BB2" w:rsidRDefault="00657855" w:rsidP="00C13392">
            <w:pPr>
              <w:pStyle w:val="ListBullet"/>
              <w:numPr>
                <w:ilvl w:val="0"/>
                <w:numId w:val="0"/>
              </w:numPr>
              <w:spacing w:line="480" w:lineRule="auto"/>
              <w:jc w:val="center"/>
              <w:rPr>
                <w:b/>
                <w:bCs/>
                <w:sz w:val="24"/>
                <w:szCs w:val="24"/>
              </w:rPr>
            </w:pPr>
            <w:r w:rsidRPr="00C60BB2">
              <w:rPr>
                <w:b/>
                <w:bCs/>
                <w:sz w:val="24"/>
                <w:szCs w:val="24"/>
              </w:rPr>
              <w:t>Costs ($)</w:t>
            </w:r>
          </w:p>
        </w:tc>
      </w:tr>
      <w:tr w:rsidR="00657855" w:rsidRPr="00FE1DAD" w14:paraId="6983900E" w14:textId="77777777" w:rsidTr="00342AA8">
        <w:trPr>
          <w:trHeight w:val="458"/>
          <w:jc w:val="center"/>
        </w:trPr>
        <w:tc>
          <w:tcPr>
            <w:tcW w:w="2065" w:type="dxa"/>
          </w:tcPr>
          <w:p w14:paraId="0DE2CB7B" w14:textId="77777777" w:rsidR="00657855" w:rsidRPr="00C60BB2" w:rsidRDefault="00657855" w:rsidP="003D271B">
            <w:pPr>
              <w:pStyle w:val="ListBullet"/>
              <w:numPr>
                <w:ilvl w:val="0"/>
                <w:numId w:val="0"/>
              </w:numPr>
              <w:spacing w:line="480" w:lineRule="auto"/>
              <w:rPr>
                <w:bCs/>
                <w:sz w:val="24"/>
                <w:szCs w:val="24"/>
                <w:highlight w:val="yellow"/>
              </w:rPr>
            </w:pPr>
            <w:r w:rsidRPr="00250E80">
              <w:rPr>
                <w:bCs/>
                <w:sz w:val="24"/>
                <w:szCs w:val="24"/>
              </w:rPr>
              <w:t>Eligible families who were enrolled in SEED 1</w:t>
            </w:r>
          </w:p>
        </w:tc>
        <w:tc>
          <w:tcPr>
            <w:tcW w:w="2250" w:type="dxa"/>
            <w:vAlign w:val="center"/>
          </w:tcPr>
          <w:p w14:paraId="50A4D445" w14:textId="77777777" w:rsidR="00657855" w:rsidRDefault="00657855" w:rsidP="003D271B">
            <w:pPr>
              <w:pStyle w:val="ListBullet"/>
              <w:numPr>
                <w:ilvl w:val="0"/>
                <w:numId w:val="0"/>
              </w:numPr>
              <w:spacing w:line="480" w:lineRule="auto"/>
              <w:rPr>
                <w:bCs/>
                <w:sz w:val="24"/>
                <w:szCs w:val="24"/>
              </w:rPr>
            </w:pPr>
            <w:r>
              <w:rPr>
                <w:bCs/>
                <w:sz w:val="24"/>
                <w:szCs w:val="24"/>
              </w:rPr>
              <w:t>Invitation Packet</w:t>
            </w:r>
          </w:p>
          <w:p w14:paraId="5E7049CF" w14:textId="77777777" w:rsidR="00657855" w:rsidRPr="00C60BB2" w:rsidRDefault="00657855" w:rsidP="003D271B">
            <w:pPr>
              <w:pStyle w:val="ListBullet"/>
              <w:numPr>
                <w:ilvl w:val="0"/>
                <w:numId w:val="0"/>
              </w:numPr>
              <w:spacing w:line="480" w:lineRule="auto"/>
              <w:rPr>
                <w:bCs/>
                <w:sz w:val="24"/>
                <w:szCs w:val="24"/>
              </w:rPr>
            </w:pPr>
            <w:r w:rsidRPr="001546F5">
              <w:rPr>
                <w:b/>
                <w:bCs/>
                <w:sz w:val="24"/>
                <w:szCs w:val="24"/>
              </w:rPr>
              <w:t>(Attachment 3)</w:t>
            </w:r>
          </w:p>
        </w:tc>
        <w:tc>
          <w:tcPr>
            <w:tcW w:w="1325" w:type="dxa"/>
            <w:vAlign w:val="center"/>
          </w:tcPr>
          <w:p w14:paraId="14CC75E0"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39</w:t>
            </w:r>
          </w:p>
        </w:tc>
        <w:tc>
          <w:tcPr>
            <w:tcW w:w="1465" w:type="dxa"/>
            <w:vAlign w:val="center"/>
          </w:tcPr>
          <w:p w14:paraId="02D2C687"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6B16ECB3"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$678.60</w:t>
            </w:r>
          </w:p>
        </w:tc>
      </w:tr>
      <w:tr w:rsidR="00657855" w:rsidRPr="00FE1DAD" w14:paraId="7A11CB79" w14:textId="77777777" w:rsidTr="00342AA8">
        <w:trPr>
          <w:trHeight w:val="458"/>
          <w:jc w:val="center"/>
        </w:trPr>
        <w:tc>
          <w:tcPr>
            <w:tcW w:w="2065" w:type="dxa"/>
          </w:tcPr>
          <w:p w14:paraId="773A51C2" w14:textId="77777777" w:rsidR="00657855" w:rsidRPr="00C60BB2" w:rsidRDefault="00657855" w:rsidP="003D271B">
            <w:pPr>
              <w:pStyle w:val="ListBullet"/>
              <w:numPr>
                <w:ilvl w:val="0"/>
                <w:numId w:val="0"/>
              </w:numPr>
              <w:spacing w:line="480" w:lineRule="auto"/>
              <w:rPr>
                <w:bCs/>
                <w:sz w:val="24"/>
                <w:szCs w:val="24"/>
                <w:highlight w:val="yellow"/>
              </w:rPr>
            </w:pPr>
            <w:r w:rsidRPr="009C28F2">
              <w:rPr>
                <w:bCs/>
                <w:sz w:val="24"/>
                <w:szCs w:val="24"/>
              </w:rPr>
              <w:t>Eligible families who were enrolled in SEED 1</w:t>
            </w:r>
          </w:p>
        </w:tc>
        <w:tc>
          <w:tcPr>
            <w:tcW w:w="2250" w:type="dxa"/>
            <w:vAlign w:val="center"/>
          </w:tcPr>
          <w:p w14:paraId="135F762B" w14:textId="77777777" w:rsidR="00657855" w:rsidRDefault="00657855" w:rsidP="003D271B">
            <w:pPr>
              <w:pStyle w:val="ListBullet"/>
              <w:numPr>
                <w:ilvl w:val="0"/>
                <w:numId w:val="0"/>
              </w:numPr>
              <w:spacing w:line="480" w:lineRule="auto"/>
              <w:rPr>
                <w:bCs/>
                <w:sz w:val="24"/>
                <w:szCs w:val="24"/>
              </w:rPr>
            </w:pPr>
            <w:r w:rsidRPr="00C60BB2">
              <w:rPr>
                <w:bCs/>
                <w:sz w:val="24"/>
                <w:szCs w:val="24"/>
              </w:rPr>
              <w:t>Invitation Call Script</w:t>
            </w:r>
          </w:p>
          <w:p w14:paraId="5044F84E" w14:textId="77777777" w:rsidR="00657855" w:rsidRPr="00C60BB2" w:rsidRDefault="00657855" w:rsidP="003D271B">
            <w:pPr>
              <w:pStyle w:val="ListBullet"/>
              <w:numPr>
                <w:ilvl w:val="0"/>
                <w:numId w:val="0"/>
              </w:numPr>
              <w:spacing w:line="480" w:lineRule="auto"/>
              <w:rPr>
                <w:bCs/>
                <w:sz w:val="24"/>
                <w:szCs w:val="24"/>
              </w:rPr>
            </w:pPr>
            <w:r w:rsidRPr="001546F5">
              <w:rPr>
                <w:b/>
                <w:bCs/>
                <w:sz w:val="24"/>
                <w:szCs w:val="24"/>
              </w:rPr>
              <w:t>(Attachment 4)</w:t>
            </w:r>
          </w:p>
        </w:tc>
        <w:tc>
          <w:tcPr>
            <w:tcW w:w="1325" w:type="dxa"/>
            <w:vAlign w:val="center"/>
          </w:tcPr>
          <w:p w14:paraId="00F6BA62" w14:textId="77777777" w:rsidR="00657855" w:rsidRPr="00C60BB2" w:rsidRDefault="00A51608" w:rsidP="003D271B">
            <w:pPr>
              <w:pStyle w:val="ListBullet"/>
              <w:numPr>
                <w:ilvl w:val="0"/>
                <w:numId w:val="0"/>
              </w:numPr>
              <w:spacing w:line="480" w:lineRule="auto"/>
              <w:jc w:val="center"/>
              <w:rPr>
                <w:bCs/>
                <w:sz w:val="24"/>
                <w:szCs w:val="24"/>
              </w:rPr>
            </w:pPr>
            <w:r>
              <w:rPr>
                <w:bCs/>
                <w:sz w:val="24"/>
                <w:szCs w:val="24"/>
              </w:rPr>
              <w:t>71</w:t>
            </w:r>
          </w:p>
        </w:tc>
        <w:tc>
          <w:tcPr>
            <w:tcW w:w="1465" w:type="dxa"/>
            <w:vAlign w:val="center"/>
          </w:tcPr>
          <w:p w14:paraId="1458E040"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309FB5E4"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1,235.40</w:t>
            </w:r>
          </w:p>
        </w:tc>
      </w:tr>
      <w:tr w:rsidR="00657855" w:rsidRPr="00FE1DAD" w14:paraId="176C6DB3" w14:textId="77777777" w:rsidTr="00342AA8">
        <w:trPr>
          <w:trHeight w:val="458"/>
          <w:jc w:val="center"/>
        </w:trPr>
        <w:tc>
          <w:tcPr>
            <w:tcW w:w="2065" w:type="dxa"/>
          </w:tcPr>
          <w:p w14:paraId="17B7C8C6" w14:textId="77777777" w:rsidR="00657855" w:rsidRPr="00C60BB2" w:rsidRDefault="00657855" w:rsidP="003D271B">
            <w:pPr>
              <w:pStyle w:val="ListBullet"/>
              <w:numPr>
                <w:ilvl w:val="0"/>
                <w:numId w:val="0"/>
              </w:numPr>
              <w:spacing w:line="480" w:lineRule="auto"/>
              <w:rPr>
                <w:bCs/>
                <w:sz w:val="24"/>
                <w:szCs w:val="24"/>
                <w:highlight w:val="yellow"/>
              </w:rPr>
            </w:pPr>
            <w:r w:rsidRPr="003D271B">
              <w:rPr>
                <w:bCs/>
                <w:sz w:val="24"/>
                <w:szCs w:val="24"/>
              </w:rPr>
              <w:t>Families who agreed to participate in SEED Teen</w:t>
            </w:r>
          </w:p>
        </w:tc>
        <w:tc>
          <w:tcPr>
            <w:tcW w:w="2250" w:type="dxa"/>
            <w:vAlign w:val="center"/>
          </w:tcPr>
          <w:p w14:paraId="009E0DB4" w14:textId="77777777" w:rsidR="00657855" w:rsidRDefault="00657855" w:rsidP="003D271B">
            <w:pPr>
              <w:pStyle w:val="ListBullet"/>
              <w:numPr>
                <w:ilvl w:val="0"/>
                <w:numId w:val="0"/>
              </w:numPr>
              <w:spacing w:line="480" w:lineRule="auto"/>
              <w:rPr>
                <w:bCs/>
                <w:sz w:val="24"/>
                <w:szCs w:val="24"/>
              </w:rPr>
            </w:pPr>
            <w:r>
              <w:rPr>
                <w:bCs/>
                <w:sz w:val="24"/>
                <w:szCs w:val="24"/>
              </w:rPr>
              <w:t>Follow-up Call Checklist</w:t>
            </w:r>
          </w:p>
          <w:p w14:paraId="4A806797" w14:textId="77777777" w:rsidR="00657855" w:rsidRPr="00C60BB2" w:rsidRDefault="00657855" w:rsidP="003D271B">
            <w:pPr>
              <w:pStyle w:val="ListBullet"/>
              <w:numPr>
                <w:ilvl w:val="0"/>
                <w:numId w:val="0"/>
              </w:numPr>
              <w:spacing w:line="480" w:lineRule="auto"/>
              <w:rPr>
                <w:bCs/>
                <w:sz w:val="24"/>
                <w:szCs w:val="24"/>
              </w:rPr>
            </w:pPr>
            <w:r>
              <w:rPr>
                <w:b/>
                <w:bCs/>
                <w:sz w:val="24"/>
                <w:szCs w:val="24"/>
              </w:rPr>
              <w:t>(Attachment 5</w:t>
            </w:r>
            <w:r w:rsidRPr="001546F5">
              <w:rPr>
                <w:b/>
                <w:bCs/>
                <w:sz w:val="24"/>
                <w:szCs w:val="24"/>
              </w:rPr>
              <w:t>)</w:t>
            </w:r>
          </w:p>
        </w:tc>
        <w:tc>
          <w:tcPr>
            <w:tcW w:w="1325" w:type="dxa"/>
            <w:vAlign w:val="center"/>
          </w:tcPr>
          <w:p w14:paraId="3B12E459" w14:textId="77777777" w:rsidR="00657855" w:rsidRPr="00C60BB2" w:rsidRDefault="00A51608" w:rsidP="003D271B">
            <w:pPr>
              <w:pStyle w:val="ListBullet"/>
              <w:numPr>
                <w:ilvl w:val="0"/>
                <w:numId w:val="0"/>
              </w:numPr>
              <w:spacing w:line="480" w:lineRule="auto"/>
              <w:jc w:val="center"/>
              <w:rPr>
                <w:bCs/>
                <w:sz w:val="24"/>
                <w:szCs w:val="24"/>
              </w:rPr>
            </w:pPr>
            <w:r>
              <w:rPr>
                <w:bCs/>
                <w:sz w:val="24"/>
                <w:szCs w:val="24"/>
              </w:rPr>
              <w:t>26</w:t>
            </w:r>
          </w:p>
        </w:tc>
        <w:tc>
          <w:tcPr>
            <w:tcW w:w="1465" w:type="dxa"/>
            <w:vAlign w:val="center"/>
          </w:tcPr>
          <w:p w14:paraId="5ECEFD20"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45D1A9D0"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$452.40</w:t>
            </w:r>
          </w:p>
        </w:tc>
      </w:tr>
      <w:tr w:rsidR="00657855" w:rsidRPr="00FE1DAD" w14:paraId="53DC6979" w14:textId="77777777" w:rsidTr="00342AA8">
        <w:trPr>
          <w:trHeight w:val="458"/>
          <w:jc w:val="center"/>
        </w:trPr>
        <w:tc>
          <w:tcPr>
            <w:tcW w:w="2065" w:type="dxa"/>
          </w:tcPr>
          <w:p w14:paraId="35B93D67" w14:textId="77777777" w:rsidR="00657855" w:rsidRPr="00C60BB2" w:rsidRDefault="00657855" w:rsidP="003D271B">
            <w:pPr>
              <w:pStyle w:val="ListBullet"/>
              <w:numPr>
                <w:ilvl w:val="0"/>
                <w:numId w:val="0"/>
              </w:numPr>
              <w:spacing w:line="480" w:lineRule="auto"/>
              <w:rPr>
                <w:bCs/>
                <w:sz w:val="24"/>
                <w:szCs w:val="24"/>
                <w:highlight w:val="yellow"/>
              </w:rPr>
            </w:pPr>
            <w:r w:rsidRPr="003D271B">
              <w:rPr>
                <w:bCs/>
                <w:sz w:val="24"/>
                <w:szCs w:val="24"/>
              </w:rPr>
              <w:t>Families who agreed to participate in SEED Teen</w:t>
            </w:r>
          </w:p>
        </w:tc>
        <w:tc>
          <w:tcPr>
            <w:tcW w:w="2250" w:type="dxa"/>
            <w:vAlign w:val="center"/>
          </w:tcPr>
          <w:p w14:paraId="1E7555F0" w14:textId="77777777" w:rsidR="00657855" w:rsidRDefault="00657855" w:rsidP="003D271B">
            <w:pPr>
              <w:pStyle w:val="ListBullet"/>
              <w:numPr>
                <w:ilvl w:val="0"/>
                <w:numId w:val="0"/>
              </w:numPr>
              <w:spacing w:line="480" w:lineRule="auto"/>
              <w:rPr>
                <w:bCs/>
                <w:sz w:val="24"/>
                <w:szCs w:val="24"/>
              </w:rPr>
            </w:pPr>
            <w:r>
              <w:rPr>
                <w:bCs/>
                <w:sz w:val="24"/>
                <w:szCs w:val="24"/>
              </w:rPr>
              <w:t>Data Collection P</w:t>
            </w:r>
            <w:r w:rsidRPr="00C60BB2">
              <w:rPr>
                <w:bCs/>
                <w:sz w:val="24"/>
                <w:szCs w:val="24"/>
              </w:rPr>
              <w:t>acket</w:t>
            </w:r>
          </w:p>
          <w:p w14:paraId="166E9089" w14:textId="77777777" w:rsidR="00657855" w:rsidRPr="00C60BB2" w:rsidRDefault="00657855" w:rsidP="003D271B">
            <w:pPr>
              <w:pStyle w:val="ListBullet"/>
              <w:numPr>
                <w:ilvl w:val="0"/>
                <w:numId w:val="0"/>
              </w:numPr>
              <w:spacing w:line="480" w:lineRule="auto"/>
              <w:rPr>
                <w:bCs/>
                <w:sz w:val="24"/>
                <w:szCs w:val="24"/>
              </w:rPr>
            </w:pPr>
            <w:r>
              <w:rPr>
                <w:b/>
                <w:bCs/>
                <w:sz w:val="24"/>
                <w:szCs w:val="24"/>
              </w:rPr>
              <w:t>(Attachment 6</w:t>
            </w:r>
            <w:r w:rsidRPr="001546F5">
              <w:rPr>
                <w:b/>
                <w:bCs/>
                <w:sz w:val="24"/>
                <w:szCs w:val="24"/>
              </w:rPr>
              <w:t>)</w:t>
            </w:r>
          </w:p>
        </w:tc>
        <w:tc>
          <w:tcPr>
            <w:tcW w:w="1325" w:type="dxa"/>
            <w:vAlign w:val="center"/>
          </w:tcPr>
          <w:p w14:paraId="2AABA206" w14:textId="77777777" w:rsidR="00657855" w:rsidRPr="00C60BB2" w:rsidRDefault="00A51608" w:rsidP="003D271B">
            <w:pPr>
              <w:pStyle w:val="ListBullet"/>
              <w:numPr>
                <w:ilvl w:val="0"/>
                <w:numId w:val="0"/>
              </w:numPr>
              <w:spacing w:line="480" w:lineRule="auto"/>
              <w:jc w:val="center"/>
              <w:rPr>
                <w:bCs/>
                <w:sz w:val="24"/>
                <w:szCs w:val="24"/>
              </w:rPr>
            </w:pPr>
            <w:r>
              <w:rPr>
                <w:bCs/>
                <w:sz w:val="24"/>
                <w:szCs w:val="24"/>
              </w:rPr>
              <w:t>13</w:t>
            </w:r>
          </w:p>
        </w:tc>
        <w:tc>
          <w:tcPr>
            <w:tcW w:w="1465" w:type="dxa"/>
            <w:vAlign w:val="center"/>
          </w:tcPr>
          <w:p w14:paraId="15739A3F"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0EF1231B" w14:textId="77777777" w:rsidR="00657855" w:rsidRPr="00C60BB2" w:rsidRDefault="00657855">
            <w:pPr>
              <w:pStyle w:val="ListBullet"/>
              <w:numPr>
                <w:ilvl w:val="0"/>
                <w:numId w:val="0"/>
              </w:numPr>
              <w:spacing w:line="480" w:lineRule="auto"/>
              <w:jc w:val="center"/>
              <w:rPr>
                <w:bCs/>
                <w:sz w:val="24"/>
                <w:szCs w:val="24"/>
              </w:rPr>
            </w:pPr>
            <w:r>
              <w:rPr>
                <w:bCs/>
                <w:sz w:val="24"/>
                <w:szCs w:val="24"/>
              </w:rPr>
              <w:t>$226.20</w:t>
            </w:r>
          </w:p>
        </w:tc>
      </w:tr>
      <w:tr w:rsidR="00657855" w:rsidRPr="00FE1DAD" w14:paraId="6720A0A3" w14:textId="77777777" w:rsidTr="00342AA8">
        <w:trPr>
          <w:trHeight w:val="458"/>
          <w:jc w:val="center"/>
        </w:trPr>
        <w:tc>
          <w:tcPr>
            <w:tcW w:w="2065" w:type="dxa"/>
          </w:tcPr>
          <w:p w14:paraId="49C7164E" w14:textId="77777777" w:rsidR="00657855" w:rsidRPr="00C60BB2" w:rsidRDefault="00657855" w:rsidP="003D271B">
            <w:pPr>
              <w:pStyle w:val="ListBullet"/>
              <w:numPr>
                <w:ilvl w:val="0"/>
                <w:numId w:val="0"/>
              </w:numPr>
              <w:spacing w:line="480" w:lineRule="auto"/>
              <w:rPr>
                <w:bCs/>
                <w:sz w:val="24"/>
                <w:szCs w:val="24"/>
                <w:highlight w:val="yellow"/>
              </w:rPr>
            </w:pPr>
            <w:r w:rsidRPr="003D271B">
              <w:rPr>
                <w:bCs/>
                <w:sz w:val="24"/>
                <w:szCs w:val="24"/>
              </w:rPr>
              <w:t>Families who agreed to participate in SEED Teen</w:t>
            </w:r>
          </w:p>
        </w:tc>
        <w:tc>
          <w:tcPr>
            <w:tcW w:w="2250" w:type="dxa"/>
            <w:vAlign w:val="center"/>
          </w:tcPr>
          <w:p w14:paraId="75AF95E2" w14:textId="77777777" w:rsidR="00657855" w:rsidRDefault="00657855" w:rsidP="003D271B">
            <w:pPr>
              <w:pStyle w:val="ListBullet"/>
              <w:numPr>
                <w:ilvl w:val="0"/>
                <w:numId w:val="0"/>
              </w:numPr>
              <w:spacing w:line="480" w:lineRule="auto"/>
              <w:rPr>
                <w:bCs/>
                <w:sz w:val="24"/>
                <w:szCs w:val="24"/>
              </w:rPr>
            </w:pPr>
            <w:r>
              <w:rPr>
                <w:bCs/>
                <w:sz w:val="24"/>
                <w:szCs w:val="24"/>
              </w:rPr>
              <w:t>SEED Teen Health and Development Survey</w:t>
            </w:r>
          </w:p>
          <w:p w14:paraId="6C16005A" w14:textId="77777777" w:rsidR="00657855" w:rsidRPr="00C60BB2" w:rsidRDefault="00657855" w:rsidP="003D271B">
            <w:pPr>
              <w:pStyle w:val="ListBullet"/>
              <w:numPr>
                <w:ilvl w:val="0"/>
                <w:numId w:val="0"/>
              </w:numPr>
              <w:spacing w:line="480" w:lineRule="auto"/>
              <w:rPr>
                <w:bCs/>
                <w:sz w:val="24"/>
                <w:szCs w:val="24"/>
              </w:rPr>
            </w:pPr>
            <w:r>
              <w:rPr>
                <w:b/>
                <w:bCs/>
                <w:sz w:val="24"/>
                <w:szCs w:val="24"/>
              </w:rPr>
              <w:t>(Attachment 6.c</w:t>
            </w:r>
            <w:r w:rsidRPr="001546F5">
              <w:rPr>
                <w:b/>
                <w:bCs/>
                <w:sz w:val="24"/>
                <w:szCs w:val="24"/>
              </w:rPr>
              <w:t>)</w:t>
            </w:r>
          </w:p>
        </w:tc>
        <w:tc>
          <w:tcPr>
            <w:tcW w:w="1325" w:type="dxa"/>
            <w:vAlign w:val="center"/>
          </w:tcPr>
          <w:p w14:paraId="23186346" w14:textId="77777777" w:rsidR="00657855" w:rsidRPr="00C60BB2" w:rsidRDefault="00A51608" w:rsidP="003D271B">
            <w:pPr>
              <w:pStyle w:val="ListBullet"/>
              <w:numPr>
                <w:ilvl w:val="0"/>
                <w:numId w:val="0"/>
              </w:numPr>
              <w:spacing w:line="480" w:lineRule="auto"/>
              <w:jc w:val="center"/>
              <w:rPr>
                <w:bCs/>
                <w:sz w:val="24"/>
                <w:szCs w:val="24"/>
              </w:rPr>
            </w:pPr>
            <w:r>
              <w:rPr>
                <w:bCs/>
                <w:sz w:val="24"/>
                <w:szCs w:val="24"/>
              </w:rPr>
              <w:t>95</w:t>
            </w:r>
          </w:p>
        </w:tc>
        <w:tc>
          <w:tcPr>
            <w:tcW w:w="1465" w:type="dxa"/>
            <w:vAlign w:val="center"/>
          </w:tcPr>
          <w:p w14:paraId="79A54187"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53CFD4B9"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$1,653.00</w:t>
            </w:r>
          </w:p>
        </w:tc>
      </w:tr>
      <w:tr w:rsidR="00657855" w:rsidRPr="00FE1DAD" w14:paraId="580FBB8C" w14:textId="77777777" w:rsidTr="00342AA8">
        <w:trPr>
          <w:trHeight w:val="458"/>
          <w:jc w:val="center"/>
        </w:trPr>
        <w:tc>
          <w:tcPr>
            <w:tcW w:w="2065" w:type="dxa"/>
          </w:tcPr>
          <w:p w14:paraId="69BF687A" w14:textId="77777777" w:rsidR="00657855" w:rsidRPr="00C60BB2" w:rsidRDefault="00657855" w:rsidP="003D271B">
            <w:pPr>
              <w:pStyle w:val="ListBullet"/>
              <w:numPr>
                <w:ilvl w:val="0"/>
                <w:numId w:val="0"/>
              </w:numPr>
              <w:spacing w:line="480" w:lineRule="auto"/>
              <w:rPr>
                <w:bCs/>
                <w:sz w:val="24"/>
                <w:szCs w:val="24"/>
                <w:highlight w:val="yellow"/>
              </w:rPr>
            </w:pPr>
            <w:r w:rsidRPr="003D271B">
              <w:rPr>
                <w:bCs/>
                <w:sz w:val="24"/>
                <w:szCs w:val="24"/>
              </w:rPr>
              <w:t>Families who agreed to participate in SEED Teen</w:t>
            </w:r>
          </w:p>
        </w:tc>
        <w:tc>
          <w:tcPr>
            <w:tcW w:w="2250" w:type="dxa"/>
            <w:vAlign w:val="center"/>
          </w:tcPr>
          <w:p w14:paraId="6F17F34C" w14:textId="77777777" w:rsidR="00657855" w:rsidRDefault="00657855" w:rsidP="003D271B">
            <w:pPr>
              <w:pStyle w:val="ListBullet"/>
              <w:numPr>
                <w:ilvl w:val="0"/>
                <w:numId w:val="0"/>
              </w:numPr>
              <w:spacing w:line="480" w:lineRule="auto"/>
              <w:rPr>
                <w:bCs/>
                <w:sz w:val="24"/>
                <w:szCs w:val="24"/>
              </w:rPr>
            </w:pPr>
            <w:r>
              <w:rPr>
                <w:bCs/>
                <w:sz w:val="24"/>
                <w:szCs w:val="24"/>
              </w:rPr>
              <w:t>Social Responsiveness Scale</w:t>
            </w:r>
          </w:p>
          <w:p w14:paraId="04DDA8CB" w14:textId="77777777" w:rsidR="00657855" w:rsidRPr="00C60BB2" w:rsidRDefault="00657855" w:rsidP="003D271B">
            <w:pPr>
              <w:pStyle w:val="ListBullet"/>
              <w:numPr>
                <w:ilvl w:val="0"/>
                <w:numId w:val="0"/>
              </w:numPr>
              <w:spacing w:line="480" w:lineRule="auto"/>
              <w:rPr>
                <w:bCs/>
                <w:sz w:val="24"/>
                <w:szCs w:val="24"/>
              </w:rPr>
            </w:pPr>
            <w:r>
              <w:rPr>
                <w:b/>
                <w:bCs/>
                <w:sz w:val="24"/>
                <w:szCs w:val="24"/>
              </w:rPr>
              <w:t>(Attachment 6.d</w:t>
            </w:r>
            <w:r w:rsidRPr="001546F5">
              <w:rPr>
                <w:b/>
                <w:bCs/>
                <w:sz w:val="24"/>
                <w:szCs w:val="24"/>
              </w:rPr>
              <w:t>)</w:t>
            </w:r>
          </w:p>
        </w:tc>
        <w:tc>
          <w:tcPr>
            <w:tcW w:w="1325" w:type="dxa"/>
            <w:vAlign w:val="center"/>
          </w:tcPr>
          <w:p w14:paraId="46A122BA" w14:textId="77777777" w:rsidR="00657855" w:rsidRPr="00C60BB2" w:rsidRDefault="00A51608" w:rsidP="003D271B">
            <w:pPr>
              <w:pStyle w:val="ListBullet"/>
              <w:numPr>
                <w:ilvl w:val="0"/>
                <w:numId w:val="0"/>
              </w:numPr>
              <w:spacing w:line="480" w:lineRule="auto"/>
              <w:jc w:val="center"/>
              <w:rPr>
                <w:bCs/>
                <w:sz w:val="24"/>
                <w:szCs w:val="24"/>
              </w:rPr>
            </w:pPr>
            <w:r>
              <w:rPr>
                <w:bCs/>
                <w:sz w:val="24"/>
                <w:szCs w:val="24"/>
              </w:rPr>
              <w:t>47</w:t>
            </w:r>
          </w:p>
        </w:tc>
        <w:tc>
          <w:tcPr>
            <w:tcW w:w="1465" w:type="dxa"/>
            <w:vAlign w:val="center"/>
          </w:tcPr>
          <w:p w14:paraId="2EBE0F24"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4C579C30"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$817.80</w:t>
            </w:r>
          </w:p>
        </w:tc>
      </w:tr>
      <w:tr w:rsidR="00657855" w:rsidRPr="00FE1DAD" w14:paraId="0F95225F" w14:textId="77777777" w:rsidTr="00342AA8">
        <w:trPr>
          <w:trHeight w:val="458"/>
          <w:jc w:val="center"/>
        </w:trPr>
        <w:tc>
          <w:tcPr>
            <w:tcW w:w="2065" w:type="dxa"/>
          </w:tcPr>
          <w:p w14:paraId="6E9AC917" w14:textId="77777777" w:rsidR="00657855" w:rsidRPr="00C60BB2" w:rsidRDefault="00657855" w:rsidP="003D271B">
            <w:pPr>
              <w:pStyle w:val="ListBullet"/>
              <w:numPr>
                <w:ilvl w:val="0"/>
                <w:numId w:val="0"/>
              </w:numPr>
              <w:spacing w:line="480" w:lineRule="auto"/>
              <w:rPr>
                <w:bCs/>
                <w:sz w:val="24"/>
                <w:szCs w:val="24"/>
                <w:highlight w:val="yellow"/>
              </w:rPr>
            </w:pPr>
            <w:r w:rsidRPr="003D271B">
              <w:rPr>
                <w:bCs/>
                <w:sz w:val="24"/>
                <w:szCs w:val="24"/>
              </w:rPr>
              <w:t>Families who agreed to participate in SEED Teen</w:t>
            </w:r>
          </w:p>
        </w:tc>
        <w:tc>
          <w:tcPr>
            <w:tcW w:w="2250" w:type="dxa"/>
            <w:vAlign w:val="center"/>
          </w:tcPr>
          <w:p w14:paraId="43217263" w14:textId="77777777" w:rsidR="00657855" w:rsidRDefault="00657855" w:rsidP="003D271B">
            <w:pPr>
              <w:pStyle w:val="ListBullet"/>
              <w:numPr>
                <w:ilvl w:val="0"/>
                <w:numId w:val="0"/>
              </w:numPr>
              <w:spacing w:line="480" w:lineRule="auto"/>
              <w:rPr>
                <w:bCs/>
                <w:sz w:val="24"/>
                <w:szCs w:val="24"/>
              </w:rPr>
            </w:pPr>
            <w:r>
              <w:rPr>
                <w:bCs/>
                <w:sz w:val="24"/>
                <w:szCs w:val="24"/>
              </w:rPr>
              <w:t>Supplemental Consent F</w:t>
            </w:r>
            <w:r w:rsidRPr="00C60BB2">
              <w:rPr>
                <w:bCs/>
                <w:sz w:val="24"/>
                <w:szCs w:val="24"/>
              </w:rPr>
              <w:t>orms</w:t>
            </w:r>
          </w:p>
          <w:p w14:paraId="752E23B1" w14:textId="77777777" w:rsidR="00657855" w:rsidRPr="00C60BB2" w:rsidRDefault="00657855" w:rsidP="003D271B">
            <w:pPr>
              <w:pStyle w:val="ListBullet"/>
              <w:numPr>
                <w:ilvl w:val="0"/>
                <w:numId w:val="0"/>
              </w:numPr>
              <w:spacing w:line="480" w:lineRule="auto"/>
              <w:rPr>
                <w:bCs/>
                <w:sz w:val="24"/>
                <w:szCs w:val="24"/>
              </w:rPr>
            </w:pPr>
            <w:r>
              <w:rPr>
                <w:b/>
                <w:bCs/>
                <w:sz w:val="24"/>
                <w:szCs w:val="24"/>
              </w:rPr>
              <w:t>(Attachment 7</w:t>
            </w:r>
            <w:r w:rsidRPr="001546F5">
              <w:rPr>
                <w:b/>
                <w:bCs/>
                <w:sz w:val="24"/>
                <w:szCs w:val="24"/>
              </w:rPr>
              <w:t>)</w:t>
            </w:r>
          </w:p>
        </w:tc>
        <w:tc>
          <w:tcPr>
            <w:tcW w:w="1325" w:type="dxa"/>
            <w:vAlign w:val="center"/>
          </w:tcPr>
          <w:p w14:paraId="061C3471" w14:textId="77777777" w:rsidR="00657855" w:rsidRPr="00C60BB2" w:rsidRDefault="00A51608" w:rsidP="003D271B">
            <w:pPr>
              <w:pStyle w:val="ListBullet"/>
              <w:numPr>
                <w:ilvl w:val="0"/>
                <w:numId w:val="0"/>
              </w:numPr>
              <w:spacing w:line="480" w:lineRule="auto"/>
              <w:jc w:val="center"/>
              <w:rPr>
                <w:bCs/>
                <w:sz w:val="24"/>
                <w:szCs w:val="24"/>
              </w:rPr>
            </w:pPr>
            <w:r>
              <w:rPr>
                <w:bCs/>
                <w:sz w:val="24"/>
                <w:szCs w:val="24"/>
              </w:rPr>
              <w:t>12</w:t>
            </w:r>
          </w:p>
        </w:tc>
        <w:tc>
          <w:tcPr>
            <w:tcW w:w="1465" w:type="dxa"/>
            <w:vAlign w:val="center"/>
          </w:tcPr>
          <w:p w14:paraId="03147F56" w14:textId="77777777" w:rsidR="00657855" w:rsidRPr="00C60BB2" w:rsidRDefault="00657855" w:rsidP="003D271B">
            <w:pPr>
              <w:pStyle w:val="ListBullet"/>
              <w:numPr>
                <w:ilvl w:val="0"/>
                <w:numId w:val="0"/>
              </w:numPr>
              <w:spacing w:line="480" w:lineRule="auto"/>
              <w:jc w:val="center"/>
              <w:rPr>
                <w:bCs/>
                <w:sz w:val="24"/>
                <w:szCs w:val="24"/>
              </w:rPr>
            </w:pPr>
            <w:r>
              <w:rPr>
                <w:bCs/>
                <w:sz w:val="24"/>
                <w:szCs w:val="24"/>
              </w:rPr>
              <w:t>$17.40</w:t>
            </w:r>
          </w:p>
        </w:tc>
        <w:tc>
          <w:tcPr>
            <w:tcW w:w="1710" w:type="dxa"/>
            <w:vAlign w:val="center"/>
          </w:tcPr>
          <w:p w14:paraId="4465C721" w14:textId="77777777" w:rsidR="00657855" w:rsidRPr="00C60BB2" w:rsidRDefault="00657855">
            <w:pPr>
              <w:pStyle w:val="ListBullet"/>
              <w:numPr>
                <w:ilvl w:val="0"/>
                <w:numId w:val="0"/>
              </w:numPr>
              <w:spacing w:line="480" w:lineRule="auto"/>
              <w:jc w:val="center"/>
              <w:rPr>
                <w:bCs/>
                <w:sz w:val="24"/>
                <w:szCs w:val="24"/>
              </w:rPr>
            </w:pPr>
            <w:r>
              <w:rPr>
                <w:bCs/>
                <w:sz w:val="24"/>
                <w:szCs w:val="24"/>
              </w:rPr>
              <w:t>$208.80</w:t>
            </w:r>
          </w:p>
        </w:tc>
      </w:tr>
      <w:tr w:rsidR="00657855" w:rsidRPr="00FE1DAD" w14:paraId="7D305715" w14:textId="77777777" w:rsidTr="00342AA8">
        <w:trPr>
          <w:jc w:val="center"/>
        </w:trPr>
        <w:tc>
          <w:tcPr>
            <w:tcW w:w="2065" w:type="dxa"/>
            <w:vAlign w:val="center"/>
          </w:tcPr>
          <w:p w14:paraId="675457C6" w14:textId="77777777" w:rsidR="00657855" w:rsidRPr="00C60BB2" w:rsidRDefault="00657855" w:rsidP="003D271B">
            <w:pPr>
              <w:pStyle w:val="ListBullet"/>
              <w:numPr>
                <w:ilvl w:val="0"/>
                <w:numId w:val="0"/>
              </w:numPr>
              <w:spacing w:line="480" w:lineRule="auto"/>
              <w:rPr>
                <w:b/>
                <w:bCs/>
                <w:sz w:val="24"/>
                <w:szCs w:val="24"/>
              </w:rPr>
            </w:pPr>
            <w:r w:rsidRPr="00C60BB2">
              <w:rPr>
                <w:b/>
                <w:bCs/>
                <w:sz w:val="24"/>
                <w:szCs w:val="24"/>
              </w:rPr>
              <w:t>TOTAL</w:t>
            </w:r>
          </w:p>
        </w:tc>
        <w:tc>
          <w:tcPr>
            <w:tcW w:w="2250" w:type="dxa"/>
            <w:vAlign w:val="center"/>
          </w:tcPr>
          <w:p w14:paraId="29B828CA" w14:textId="77777777" w:rsidR="00657855" w:rsidRPr="00C60BB2" w:rsidRDefault="00657855" w:rsidP="003D271B">
            <w:pPr>
              <w:pStyle w:val="ListBullet"/>
              <w:numPr>
                <w:ilvl w:val="0"/>
                <w:numId w:val="0"/>
              </w:numPr>
              <w:spacing w:line="480" w:lineRule="auto"/>
              <w:jc w:val="center"/>
              <w:rPr>
                <w:b/>
                <w:bCs/>
                <w:sz w:val="24"/>
                <w:szCs w:val="24"/>
              </w:rPr>
            </w:pPr>
          </w:p>
        </w:tc>
        <w:tc>
          <w:tcPr>
            <w:tcW w:w="1325" w:type="dxa"/>
            <w:vAlign w:val="center"/>
          </w:tcPr>
          <w:p w14:paraId="19018967" w14:textId="77777777" w:rsidR="00657855" w:rsidRPr="00C60BB2" w:rsidRDefault="00A51608" w:rsidP="003D271B">
            <w:pPr>
              <w:pStyle w:val="ListBullet"/>
              <w:numPr>
                <w:ilvl w:val="0"/>
                <w:numId w:val="0"/>
              </w:numPr>
              <w:spacing w:line="480" w:lineRule="auto"/>
              <w:jc w:val="center"/>
              <w:rPr>
                <w:b/>
                <w:bCs/>
                <w:sz w:val="24"/>
                <w:szCs w:val="24"/>
              </w:rPr>
            </w:pPr>
            <w:r>
              <w:rPr>
                <w:b/>
                <w:bCs/>
                <w:sz w:val="24"/>
                <w:szCs w:val="24"/>
              </w:rPr>
              <w:t>303</w:t>
            </w:r>
          </w:p>
        </w:tc>
        <w:tc>
          <w:tcPr>
            <w:tcW w:w="1465" w:type="dxa"/>
            <w:vAlign w:val="center"/>
          </w:tcPr>
          <w:p w14:paraId="6B00FAD9" w14:textId="77777777" w:rsidR="00657855" w:rsidRPr="00C60BB2" w:rsidRDefault="00657855" w:rsidP="003D271B">
            <w:pPr>
              <w:pStyle w:val="ListBullet"/>
              <w:numPr>
                <w:ilvl w:val="0"/>
                <w:numId w:val="0"/>
              </w:numPr>
              <w:spacing w:line="480" w:lineRule="auto"/>
              <w:jc w:val="center"/>
              <w:rPr>
                <w:b/>
                <w:bCs/>
                <w:sz w:val="24"/>
                <w:szCs w:val="24"/>
              </w:rPr>
            </w:pPr>
          </w:p>
        </w:tc>
        <w:tc>
          <w:tcPr>
            <w:tcW w:w="1710" w:type="dxa"/>
            <w:vAlign w:val="center"/>
          </w:tcPr>
          <w:p w14:paraId="1FA44D25" w14:textId="77777777" w:rsidR="00657855" w:rsidRPr="00C60BB2" w:rsidRDefault="00657855">
            <w:pPr>
              <w:pStyle w:val="ListBullet"/>
              <w:numPr>
                <w:ilvl w:val="0"/>
                <w:numId w:val="0"/>
              </w:numPr>
              <w:spacing w:line="480" w:lineRule="auto"/>
              <w:jc w:val="center"/>
              <w:rPr>
                <w:b/>
                <w:bCs/>
                <w:sz w:val="24"/>
                <w:szCs w:val="24"/>
              </w:rPr>
            </w:pPr>
            <w:r>
              <w:rPr>
                <w:b/>
                <w:bCs/>
                <w:sz w:val="24"/>
                <w:szCs w:val="24"/>
              </w:rPr>
              <w:t>$5,272.20</w:t>
            </w:r>
          </w:p>
        </w:tc>
      </w:tr>
    </w:tbl>
    <w:p w14:paraId="4289CE3E" w14:textId="77777777" w:rsidR="003D271B" w:rsidRPr="00C60BB2" w:rsidRDefault="003D271B" w:rsidP="00C13392">
      <w:pPr>
        <w:pStyle w:val="ListBullet"/>
        <w:numPr>
          <w:ilvl w:val="0"/>
          <w:numId w:val="0"/>
        </w:numPr>
        <w:spacing w:line="480" w:lineRule="auto"/>
        <w:ind w:left="1440" w:hanging="360"/>
        <w:rPr>
          <w:sz w:val="24"/>
          <w:szCs w:val="24"/>
        </w:rPr>
      </w:pPr>
    </w:p>
    <w:p w14:paraId="3BBA060D"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6" w:name="_Toc429667318"/>
      <w:r w:rsidRPr="00C60BB2">
        <w:rPr>
          <w:rFonts w:ascii="Times New Roman" w:eastAsiaTheme="majorEastAsia" w:hAnsi="Times New Roman"/>
          <w:i w:val="0"/>
          <w:sz w:val="24"/>
          <w:szCs w:val="24"/>
          <w:u w:val="single"/>
        </w:rPr>
        <w:t>Section A.13. Estimates of Other Total Annual Cost Burden to Respondents or Record Keepers</w:t>
      </w:r>
      <w:bookmarkEnd w:id="16"/>
    </w:p>
    <w:p w14:paraId="6A86FF48" w14:textId="77777777" w:rsidR="00873BFC" w:rsidRPr="00C60BB2" w:rsidRDefault="004C48B0" w:rsidP="00896F49">
      <w:pPr>
        <w:spacing w:line="480" w:lineRule="auto"/>
        <w:ind w:firstLine="720"/>
      </w:pPr>
      <w:r w:rsidRPr="00C60BB2">
        <w:t xml:space="preserve">There are </w:t>
      </w:r>
      <w:r w:rsidR="00865DC2" w:rsidRPr="00C60BB2">
        <w:t>no</w:t>
      </w:r>
      <w:r w:rsidR="00873BFC" w:rsidRPr="00C60BB2">
        <w:t xml:space="preserve"> costs to respondents associated with either capital and startup efforts or operation and maintenance of services for this project.</w:t>
      </w:r>
    </w:p>
    <w:p w14:paraId="57FC4FD6" w14:textId="77777777" w:rsidR="008B3963" w:rsidRPr="00C60BB2" w:rsidRDefault="008B3963" w:rsidP="00C13392">
      <w:pPr>
        <w:spacing w:line="480" w:lineRule="auto"/>
      </w:pPr>
    </w:p>
    <w:p w14:paraId="058FA70D" w14:textId="77777777" w:rsidR="00873BFC" w:rsidRPr="00C60BB2" w:rsidRDefault="00CE66A2" w:rsidP="00C13392">
      <w:pPr>
        <w:spacing w:line="480" w:lineRule="auto"/>
        <w:rPr>
          <w:b/>
          <w:u w:val="single"/>
        </w:rPr>
      </w:pPr>
      <w:r w:rsidRPr="00C60BB2">
        <w:rPr>
          <w:b/>
          <w:u w:val="single"/>
        </w:rPr>
        <w:t>Section A.14. Annualized Cost to the Government</w:t>
      </w:r>
    </w:p>
    <w:p w14:paraId="73085D2F" w14:textId="77777777" w:rsidR="00873BFC" w:rsidRDefault="00873BFC" w:rsidP="00896F49">
      <w:pPr>
        <w:spacing w:line="480" w:lineRule="auto"/>
        <w:ind w:firstLine="720"/>
      </w:pPr>
      <w:r w:rsidRPr="00C60BB2">
        <w:t xml:space="preserve">The average annualized cost to the Government to collect this information </w:t>
      </w:r>
      <w:r w:rsidRPr="00657855">
        <w:t>is $</w:t>
      </w:r>
      <w:r w:rsidR="00892575" w:rsidRPr="00657855">
        <w:t>697,632.</w:t>
      </w:r>
      <w:r w:rsidRPr="00C60BB2">
        <w:t xml:space="preserve"> </w:t>
      </w:r>
    </w:p>
    <w:p w14:paraId="22EBCE82" w14:textId="77777777" w:rsidR="00892575" w:rsidRPr="00C60BB2" w:rsidRDefault="00892575" w:rsidP="00896F49">
      <w:pPr>
        <w:spacing w:line="480" w:lineRule="auto"/>
        <w:ind w:firstLine="720"/>
      </w:pPr>
    </w:p>
    <w:p w14:paraId="4B5E2393" w14:textId="77777777" w:rsidR="004C48B0" w:rsidRPr="00C60BB2" w:rsidRDefault="004C48B0" w:rsidP="00C13392">
      <w:pPr>
        <w:spacing w:line="480" w:lineRule="auto"/>
        <w:rPr>
          <w:b/>
        </w:rPr>
      </w:pPr>
    </w:p>
    <w:tbl>
      <w:tblPr>
        <w:tblW w:w="88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3396"/>
        <w:gridCol w:w="2957"/>
      </w:tblGrid>
      <w:tr w:rsidR="00873BFC" w:rsidRPr="00FE1DAD" w14:paraId="61DD06BB" w14:textId="77777777" w:rsidTr="00342AA8">
        <w:tc>
          <w:tcPr>
            <w:tcW w:w="5863" w:type="dxa"/>
            <w:gridSpan w:val="2"/>
          </w:tcPr>
          <w:p w14:paraId="758789C7" w14:textId="77777777" w:rsidR="00873BFC" w:rsidRPr="00C60BB2" w:rsidRDefault="00873BFC" w:rsidP="00C13392">
            <w:pPr>
              <w:spacing w:line="480" w:lineRule="auto"/>
            </w:pPr>
          </w:p>
        </w:tc>
        <w:tc>
          <w:tcPr>
            <w:tcW w:w="2957" w:type="dxa"/>
          </w:tcPr>
          <w:p w14:paraId="6BBD8D27" w14:textId="77777777" w:rsidR="00873BFC" w:rsidRPr="00C60BB2" w:rsidRDefault="00873BFC" w:rsidP="00C13392">
            <w:pPr>
              <w:spacing w:line="480" w:lineRule="auto"/>
              <w:jc w:val="center"/>
              <w:rPr>
                <w:b/>
              </w:rPr>
            </w:pPr>
            <w:r w:rsidRPr="00C60BB2">
              <w:rPr>
                <w:b/>
              </w:rPr>
              <w:t>Total ($)</w:t>
            </w:r>
          </w:p>
        </w:tc>
      </w:tr>
      <w:tr w:rsidR="00873BFC" w:rsidRPr="00FE1DAD" w14:paraId="1B40889C" w14:textId="77777777" w:rsidTr="00342AA8">
        <w:trPr>
          <w:trHeight w:val="255"/>
        </w:trPr>
        <w:tc>
          <w:tcPr>
            <w:tcW w:w="2467" w:type="dxa"/>
            <w:vMerge w:val="restart"/>
          </w:tcPr>
          <w:p w14:paraId="77580D9F" w14:textId="77777777" w:rsidR="00873BFC" w:rsidRPr="00C60BB2" w:rsidRDefault="00873BFC" w:rsidP="00C13392">
            <w:pPr>
              <w:spacing w:line="480" w:lineRule="auto"/>
              <w:rPr>
                <w:b/>
              </w:rPr>
            </w:pPr>
            <w:r w:rsidRPr="00C60BB2">
              <w:rPr>
                <w:b/>
              </w:rPr>
              <w:t>Federal Government</w:t>
            </w:r>
          </w:p>
          <w:p w14:paraId="080F76DD" w14:textId="77777777" w:rsidR="00873BFC" w:rsidRPr="00C60BB2" w:rsidRDefault="00873BFC" w:rsidP="00C13392">
            <w:pPr>
              <w:spacing w:line="480" w:lineRule="auto"/>
              <w:rPr>
                <w:b/>
              </w:rPr>
            </w:pPr>
            <w:r w:rsidRPr="00C60BB2">
              <w:rPr>
                <w:b/>
              </w:rPr>
              <w:t>Personnel costs</w:t>
            </w:r>
          </w:p>
        </w:tc>
        <w:tc>
          <w:tcPr>
            <w:tcW w:w="3396" w:type="dxa"/>
          </w:tcPr>
          <w:p w14:paraId="544FB78D" w14:textId="77777777" w:rsidR="00873BFC" w:rsidRPr="00C60BB2" w:rsidRDefault="00DF30CD" w:rsidP="007D0352">
            <w:pPr>
              <w:spacing w:line="480" w:lineRule="auto"/>
            </w:pPr>
            <w:r>
              <w:t>SEED Teen Principal Investigator</w:t>
            </w:r>
          </w:p>
        </w:tc>
        <w:tc>
          <w:tcPr>
            <w:tcW w:w="2957" w:type="dxa"/>
          </w:tcPr>
          <w:p w14:paraId="11419011" w14:textId="77777777" w:rsidR="00873BFC" w:rsidRPr="00C60BB2" w:rsidRDefault="003B40D8" w:rsidP="00C13392">
            <w:pPr>
              <w:spacing w:line="480" w:lineRule="auto"/>
              <w:jc w:val="center"/>
              <w:rPr>
                <w:highlight w:val="yellow"/>
              </w:rPr>
            </w:pPr>
            <w:r>
              <w:t>$</w:t>
            </w:r>
            <w:r w:rsidR="0093143B">
              <w:t>4</w:t>
            </w:r>
            <w:r>
              <w:t>0,</w:t>
            </w:r>
            <w:r w:rsidR="0093143B">
              <w:t>444</w:t>
            </w:r>
          </w:p>
        </w:tc>
      </w:tr>
      <w:tr w:rsidR="00873BFC" w:rsidRPr="00FE1DAD" w14:paraId="5B26B25A" w14:textId="77777777" w:rsidTr="00342AA8">
        <w:trPr>
          <w:trHeight w:val="255"/>
        </w:trPr>
        <w:tc>
          <w:tcPr>
            <w:tcW w:w="2467" w:type="dxa"/>
            <w:vMerge/>
          </w:tcPr>
          <w:p w14:paraId="15C59780" w14:textId="77777777" w:rsidR="00873BFC" w:rsidRPr="00642A37" w:rsidRDefault="00873BFC" w:rsidP="00C13392">
            <w:pPr>
              <w:spacing w:line="480" w:lineRule="auto"/>
              <w:rPr>
                <w:b/>
              </w:rPr>
            </w:pPr>
          </w:p>
        </w:tc>
        <w:tc>
          <w:tcPr>
            <w:tcW w:w="3396" w:type="dxa"/>
          </w:tcPr>
          <w:p w14:paraId="5851C045" w14:textId="77777777" w:rsidR="00873BFC" w:rsidRPr="009C28F2" w:rsidRDefault="00DF30CD" w:rsidP="007D0352">
            <w:pPr>
              <w:spacing w:line="480" w:lineRule="auto"/>
            </w:pPr>
            <w:r>
              <w:t xml:space="preserve">SEED Teen </w:t>
            </w:r>
            <w:r w:rsidR="007D0352" w:rsidRPr="003B40D8">
              <w:t>Project Officer</w:t>
            </w:r>
            <w:r w:rsidR="00873BFC" w:rsidRPr="003B40D8">
              <w:t xml:space="preserve"> </w:t>
            </w:r>
          </w:p>
        </w:tc>
        <w:tc>
          <w:tcPr>
            <w:tcW w:w="2957" w:type="dxa"/>
          </w:tcPr>
          <w:p w14:paraId="534A0ECD" w14:textId="77777777" w:rsidR="00873BFC" w:rsidRPr="009C28F2" w:rsidRDefault="003B40D8" w:rsidP="00C13392">
            <w:pPr>
              <w:spacing w:line="480" w:lineRule="auto"/>
              <w:jc w:val="center"/>
              <w:rPr>
                <w:highlight w:val="yellow"/>
              </w:rPr>
            </w:pPr>
            <w:r>
              <w:t>$</w:t>
            </w:r>
            <w:r w:rsidR="0093143B">
              <w:t>28,350</w:t>
            </w:r>
          </w:p>
        </w:tc>
      </w:tr>
      <w:tr w:rsidR="00DF30CD" w:rsidRPr="00FE1DAD" w14:paraId="42CF8354" w14:textId="77777777" w:rsidTr="00342AA8">
        <w:trPr>
          <w:trHeight w:val="255"/>
        </w:trPr>
        <w:tc>
          <w:tcPr>
            <w:tcW w:w="2467" w:type="dxa"/>
          </w:tcPr>
          <w:p w14:paraId="76950567" w14:textId="77777777" w:rsidR="00DF30CD" w:rsidRPr="00C60BB2" w:rsidRDefault="00DF30CD" w:rsidP="00C13392">
            <w:pPr>
              <w:spacing w:line="480" w:lineRule="auto"/>
              <w:rPr>
                <w:b/>
              </w:rPr>
            </w:pPr>
          </w:p>
        </w:tc>
        <w:tc>
          <w:tcPr>
            <w:tcW w:w="3396" w:type="dxa"/>
          </w:tcPr>
          <w:p w14:paraId="4DFD3109" w14:textId="77777777" w:rsidR="00DF30CD" w:rsidRPr="00C60BB2" w:rsidRDefault="00DF30CD" w:rsidP="007D0352">
            <w:pPr>
              <w:spacing w:line="480" w:lineRule="auto"/>
            </w:pPr>
            <w:r>
              <w:t>SEED Teen Data Coordinator</w:t>
            </w:r>
          </w:p>
        </w:tc>
        <w:tc>
          <w:tcPr>
            <w:tcW w:w="2957" w:type="dxa"/>
          </w:tcPr>
          <w:p w14:paraId="054F006A" w14:textId="77777777" w:rsidR="00DF30CD" w:rsidRDefault="0093143B" w:rsidP="00C13392">
            <w:pPr>
              <w:spacing w:line="480" w:lineRule="auto"/>
              <w:jc w:val="center"/>
            </w:pPr>
            <w:r>
              <w:t>$14,553</w:t>
            </w:r>
          </w:p>
        </w:tc>
      </w:tr>
      <w:tr w:rsidR="00DF30CD" w:rsidRPr="00FE1DAD" w14:paraId="1C34AA8E" w14:textId="77777777" w:rsidTr="00342AA8">
        <w:trPr>
          <w:trHeight w:val="255"/>
        </w:trPr>
        <w:tc>
          <w:tcPr>
            <w:tcW w:w="2467" w:type="dxa"/>
          </w:tcPr>
          <w:p w14:paraId="2DEDF66C" w14:textId="77777777" w:rsidR="00DF30CD" w:rsidRPr="00C60BB2" w:rsidRDefault="00DF30CD" w:rsidP="00C13392">
            <w:pPr>
              <w:spacing w:line="480" w:lineRule="auto"/>
              <w:rPr>
                <w:b/>
              </w:rPr>
            </w:pPr>
          </w:p>
        </w:tc>
        <w:tc>
          <w:tcPr>
            <w:tcW w:w="3396" w:type="dxa"/>
          </w:tcPr>
          <w:p w14:paraId="1D135CF6" w14:textId="77777777" w:rsidR="00DF30CD" w:rsidRPr="00C60BB2" w:rsidRDefault="00DF30CD" w:rsidP="007D0352">
            <w:pPr>
              <w:spacing w:line="480" w:lineRule="auto"/>
            </w:pPr>
            <w:r>
              <w:t>SEED Teen Collaborator</w:t>
            </w:r>
          </w:p>
        </w:tc>
        <w:tc>
          <w:tcPr>
            <w:tcW w:w="2957" w:type="dxa"/>
          </w:tcPr>
          <w:p w14:paraId="0AE20709" w14:textId="77777777" w:rsidR="00DF30CD" w:rsidRDefault="0093143B" w:rsidP="00C13392">
            <w:pPr>
              <w:spacing w:line="480" w:lineRule="auto"/>
              <w:jc w:val="center"/>
            </w:pPr>
            <w:r>
              <w:t>$16,636</w:t>
            </w:r>
          </w:p>
        </w:tc>
      </w:tr>
      <w:tr w:rsidR="002A2C43" w:rsidRPr="00FE1DAD" w14:paraId="0F653441" w14:textId="77777777" w:rsidTr="00342AA8">
        <w:trPr>
          <w:trHeight w:val="255"/>
        </w:trPr>
        <w:tc>
          <w:tcPr>
            <w:tcW w:w="2467" w:type="dxa"/>
          </w:tcPr>
          <w:p w14:paraId="2B7FCB99" w14:textId="77777777" w:rsidR="002A2C43" w:rsidRPr="00C60BB2" w:rsidRDefault="002A2C43" w:rsidP="00C13392">
            <w:pPr>
              <w:spacing w:line="480" w:lineRule="auto"/>
              <w:rPr>
                <w:b/>
              </w:rPr>
            </w:pPr>
          </w:p>
        </w:tc>
        <w:tc>
          <w:tcPr>
            <w:tcW w:w="3396" w:type="dxa"/>
          </w:tcPr>
          <w:p w14:paraId="60B28765" w14:textId="77777777" w:rsidR="002A2C43" w:rsidRPr="00C60BB2" w:rsidRDefault="00DF30CD" w:rsidP="007D0352">
            <w:pPr>
              <w:spacing w:line="480" w:lineRule="auto"/>
            </w:pPr>
            <w:r>
              <w:t xml:space="preserve">SEED Teen – GA </w:t>
            </w:r>
            <w:r w:rsidR="007D0352" w:rsidRPr="00C60BB2">
              <w:t>S</w:t>
            </w:r>
            <w:r>
              <w:t xml:space="preserve">ite </w:t>
            </w:r>
            <w:r w:rsidR="007D0352" w:rsidRPr="00C60BB2">
              <w:t>Principal Investigator</w:t>
            </w:r>
          </w:p>
        </w:tc>
        <w:tc>
          <w:tcPr>
            <w:tcW w:w="2957" w:type="dxa"/>
          </w:tcPr>
          <w:p w14:paraId="3C010D3A" w14:textId="77777777" w:rsidR="002A2C43" w:rsidRPr="00C60BB2" w:rsidRDefault="003B40D8" w:rsidP="00C13392">
            <w:pPr>
              <w:spacing w:line="480" w:lineRule="auto"/>
              <w:jc w:val="center"/>
              <w:rPr>
                <w:highlight w:val="yellow"/>
              </w:rPr>
            </w:pPr>
            <w:r>
              <w:t>$29,614</w:t>
            </w:r>
          </w:p>
        </w:tc>
      </w:tr>
      <w:tr w:rsidR="002A2C43" w:rsidRPr="00FE1DAD" w14:paraId="50A3AACD" w14:textId="77777777" w:rsidTr="00342AA8">
        <w:trPr>
          <w:trHeight w:val="255"/>
        </w:trPr>
        <w:tc>
          <w:tcPr>
            <w:tcW w:w="2467" w:type="dxa"/>
          </w:tcPr>
          <w:p w14:paraId="38924E59" w14:textId="77777777" w:rsidR="002A2C43" w:rsidRPr="00C60BB2" w:rsidRDefault="002A2C43" w:rsidP="00C13392">
            <w:pPr>
              <w:spacing w:line="480" w:lineRule="auto"/>
              <w:rPr>
                <w:b/>
              </w:rPr>
            </w:pPr>
          </w:p>
        </w:tc>
        <w:tc>
          <w:tcPr>
            <w:tcW w:w="3396" w:type="dxa"/>
          </w:tcPr>
          <w:p w14:paraId="5FD470AA" w14:textId="77777777" w:rsidR="002A2C43" w:rsidRPr="00C60BB2" w:rsidRDefault="00DF30CD" w:rsidP="00C13392">
            <w:pPr>
              <w:spacing w:line="480" w:lineRule="auto"/>
            </w:pPr>
            <w:r>
              <w:t>SEED Teen – GA Site Project Coordinator</w:t>
            </w:r>
          </w:p>
        </w:tc>
        <w:tc>
          <w:tcPr>
            <w:tcW w:w="2957" w:type="dxa"/>
          </w:tcPr>
          <w:p w14:paraId="73F31CC5" w14:textId="77777777" w:rsidR="002A2C43" w:rsidRPr="00C60BB2" w:rsidRDefault="003B40D8" w:rsidP="00C13392">
            <w:pPr>
              <w:spacing w:line="480" w:lineRule="auto"/>
              <w:jc w:val="center"/>
              <w:rPr>
                <w:highlight w:val="yellow"/>
              </w:rPr>
            </w:pPr>
            <w:r>
              <w:t>$</w:t>
            </w:r>
            <w:r w:rsidR="0093143B">
              <w:t>11,975</w:t>
            </w:r>
          </w:p>
        </w:tc>
      </w:tr>
      <w:tr w:rsidR="007D0352" w:rsidRPr="00FE1DAD" w14:paraId="1F7D8C3B" w14:textId="77777777" w:rsidTr="00342AA8">
        <w:trPr>
          <w:trHeight w:val="1635"/>
        </w:trPr>
        <w:tc>
          <w:tcPr>
            <w:tcW w:w="2467" w:type="dxa"/>
            <w:vMerge w:val="restart"/>
          </w:tcPr>
          <w:p w14:paraId="31DC506B" w14:textId="77777777" w:rsidR="007D0352" w:rsidRPr="00C60BB2" w:rsidRDefault="007D0352" w:rsidP="00C13392">
            <w:pPr>
              <w:spacing w:line="480" w:lineRule="auto"/>
              <w:rPr>
                <w:b/>
              </w:rPr>
            </w:pPr>
            <w:r w:rsidRPr="00C60BB2">
              <w:rPr>
                <w:b/>
              </w:rPr>
              <w:t>Contractor and Grantee Costs</w:t>
            </w:r>
          </w:p>
          <w:p w14:paraId="6C05D975" w14:textId="77777777" w:rsidR="007D0352" w:rsidRPr="00C60BB2" w:rsidRDefault="007D0352" w:rsidP="00C13392">
            <w:pPr>
              <w:spacing w:line="480" w:lineRule="auto"/>
              <w:rPr>
                <w:b/>
              </w:rPr>
            </w:pPr>
          </w:p>
        </w:tc>
        <w:tc>
          <w:tcPr>
            <w:tcW w:w="3396" w:type="dxa"/>
          </w:tcPr>
          <w:p w14:paraId="37744D5F" w14:textId="77777777" w:rsidR="007D0352" w:rsidRPr="00C60BB2" w:rsidRDefault="008D51AD" w:rsidP="00C13392">
            <w:pPr>
              <w:spacing w:line="480" w:lineRule="auto"/>
            </w:pPr>
            <w:r>
              <w:t xml:space="preserve">Development and maintenance of </w:t>
            </w:r>
            <w:r w:rsidRPr="00623464">
              <w:rPr>
                <w:bCs/>
              </w:rPr>
              <w:t>web-based</w:t>
            </w:r>
            <w:r>
              <w:rPr>
                <w:bCs/>
              </w:rPr>
              <w:t>,</w:t>
            </w:r>
            <w:r w:rsidRPr="00623464">
              <w:rPr>
                <w:bCs/>
              </w:rPr>
              <w:t xml:space="preserve"> centralized participant tracking and data </w:t>
            </w:r>
            <w:r>
              <w:rPr>
                <w:bCs/>
              </w:rPr>
              <w:t>entry</w:t>
            </w:r>
            <w:r w:rsidRPr="00623464">
              <w:rPr>
                <w:bCs/>
              </w:rPr>
              <w:t xml:space="preserve"> system</w:t>
            </w:r>
            <w:r w:rsidRPr="00C60BB2" w:rsidDel="008D51AD">
              <w:t xml:space="preserve"> </w:t>
            </w:r>
            <w:r>
              <w:t>for SEED Teen</w:t>
            </w:r>
          </w:p>
          <w:p w14:paraId="03C916B3" w14:textId="77777777" w:rsidR="007D0352" w:rsidRPr="00C60BB2" w:rsidRDefault="008D51AD" w:rsidP="00C13392">
            <w:pPr>
              <w:spacing w:line="480" w:lineRule="auto"/>
            </w:pPr>
            <w:r>
              <w:t>(DCC contract)</w:t>
            </w:r>
          </w:p>
          <w:p w14:paraId="547874B1" w14:textId="77777777" w:rsidR="007D0352" w:rsidRPr="00C60BB2" w:rsidRDefault="007D0352" w:rsidP="00C13392">
            <w:pPr>
              <w:spacing w:line="480" w:lineRule="auto"/>
            </w:pPr>
          </w:p>
        </w:tc>
        <w:tc>
          <w:tcPr>
            <w:tcW w:w="2957" w:type="dxa"/>
          </w:tcPr>
          <w:p w14:paraId="2C2195D3" w14:textId="77777777" w:rsidR="007D0352" w:rsidRPr="00C60BB2" w:rsidRDefault="00F516D2" w:rsidP="00C13392">
            <w:pPr>
              <w:spacing w:line="480" w:lineRule="auto"/>
              <w:jc w:val="center"/>
              <w:rPr>
                <w:highlight w:val="yellow"/>
              </w:rPr>
            </w:pPr>
            <w:r>
              <w:t>$</w:t>
            </w:r>
            <w:r w:rsidR="00BB69DB" w:rsidRPr="00892575">
              <w:t>306,060</w:t>
            </w:r>
          </w:p>
        </w:tc>
      </w:tr>
      <w:tr w:rsidR="007D0352" w:rsidRPr="00FE1DAD" w14:paraId="044B5438" w14:textId="77777777" w:rsidTr="00342AA8">
        <w:trPr>
          <w:trHeight w:val="1635"/>
        </w:trPr>
        <w:tc>
          <w:tcPr>
            <w:tcW w:w="2467" w:type="dxa"/>
            <w:vMerge/>
          </w:tcPr>
          <w:p w14:paraId="2E797F56" w14:textId="77777777" w:rsidR="007D0352" w:rsidRPr="00642A37" w:rsidRDefault="007D0352" w:rsidP="00C13392">
            <w:pPr>
              <w:spacing w:line="480" w:lineRule="auto"/>
              <w:rPr>
                <w:b/>
              </w:rPr>
            </w:pPr>
          </w:p>
        </w:tc>
        <w:tc>
          <w:tcPr>
            <w:tcW w:w="3396" w:type="dxa"/>
          </w:tcPr>
          <w:p w14:paraId="0616E029" w14:textId="77777777" w:rsidR="00642A37" w:rsidRDefault="00892575" w:rsidP="00892575">
            <w:pPr>
              <w:spacing w:line="480" w:lineRule="auto"/>
            </w:pPr>
            <w:r>
              <w:t>Contractor costs for GA SEED</w:t>
            </w:r>
            <w:r w:rsidR="00642A37">
              <w:t xml:space="preserve"> (salaries for recruiter/</w:t>
            </w:r>
          </w:p>
          <w:p w14:paraId="36A2372C" w14:textId="77777777" w:rsidR="007D0352" w:rsidRPr="00BB69DB" w:rsidRDefault="00642A37" w:rsidP="00892575">
            <w:pPr>
              <w:spacing w:line="480" w:lineRule="auto"/>
            </w:pPr>
            <w:r>
              <w:t>interviewer, clinical coordinator, and data analyst; incentives)</w:t>
            </w:r>
            <w:r w:rsidR="009C28F2">
              <w:t xml:space="preserve"> </w:t>
            </w:r>
          </w:p>
        </w:tc>
        <w:tc>
          <w:tcPr>
            <w:tcW w:w="2957" w:type="dxa"/>
          </w:tcPr>
          <w:p w14:paraId="082B6842" w14:textId="77777777" w:rsidR="007D0352" w:rsidRPr="00BB69DB" w:rsidRDefault="00F516D2" w:rsidP="00C13392">
            <w:pPr>
              <w:spacing w:line="480" w:lineRule="auto"/>
              <w:jc w:val="center"/>
              <w:rPr>
                <w:highlight w:val="yellow"/>
              </w:rPr>
            </w:pPr>
            <w:r w:rsidRPr="00F516D2">
              <w:t>$</w:t>
            </w:r>
            <w:r w:rsidR="00892575" w:rsidRPr="00642A37">
              <w:t>52,742</w:t>
            </w:r>
          </w:p>
        </w:tc>
      </w:tr>
      <w:tr w:rsidR="009C28F2" w:rsidRPr="00FE1DAD" w14:paraId="1B86B70E" w14:textId="77777777" w:rsidTr="00342AA8">
        <w:trPr>
          <w:trHeight w:val="1635"/>
        </w:trPr>
        <w:tc>
          <w:tcPr>
            <w:tcW w:w="2467" w:type="dxa"/>
          </w:tcPr>
          <w:p w14:paraId="58EA8A36" w14:textId="77777777" w:rsidR="009C28F2" w:rsidRPr="009C28F2" w:rsidRDefault="009C28F2" w:rsidP="009C28F2">
            <w:pPr>
              <w:spacing w:line="480" w:lineRule="auto"/>
              <w:rPr>
                <w:b/>
              </w:rPr>
            </w:pPr>
          </w:p>
        </w:tc>
        <w:tc>
          <w:tcPr>
            <w:tcW w:w="3396" w:type="dxa"/>
          </w:tcPr>
          <w:p w14:paraId="38C5175A" w14:textId="77777777" w:rsidR="009C28F2" w:rsidRPr="009C28F2" w:rsidDel="008D51AD" w:rsidRDefault="009C28F2" w:rsidP="009C28F2">
            <w:pPr>
              <w:spacing w:line="480" w:lineRule="auto"/>
            </w:pPr>
            <w:r>
              <w:t>Grantee</w:t>
            </w:r>
            <w:r w:rsidRPr="00BB69DB">
              <w:t xml:space="preserve"> </w:t>
            </w:r>
            <w:r>
              <w:t>(University of North Carolina at Chapel Hill)</w:t>
            </w:r>
          </w:p>
        </w:tc>
        <w:tc>
          <w:tcPr>
            <w:tcW w:w="2957" w:type="dxa"/>
          </w:tcPr>
          <w:p w14:paraId="7C1DBA73" w14:textId="77777777" w:rsidR="009C28F2" w:rsidRPr="00BB69DB" w:rsidRDefault="009C28F2" w:rsidP="009C28F2">
            <w:pPr>
              <w:spacing w:line="480" w:lineRule="auto"/>
              <w:jc w:val="center"/>
            </w:pPr>
            <w:r w:rsidRPr="00BB69DB">
              <w:t>250,000</w:t>
            </w:r>
          </w:p>
        </w:tc>
      </w:tr>
      <w:tr w:rsidR="009C28F2" w:rsidRPr="00FE1DAD" w14:paraId="322D56E8" w14:textId="77777777" w:rsidTr="00342AA8">
        <w:tc>
          <w:tcPr>
            <w:tcW w:w="2467" w:type="dxa"/>
          </w:tcPr>
          <w:p w14:paraId="1A294F82" w14:textId="77777777" w:rsidR="009C28F2" w:rsidRPr="00C60BB2" w:rsidRDefault="009C28F2" w:rsidP="009C28F2">
            <w:pPr>
              <w:spacing w:line="480" w:lineRule="auto"/>
              <w:rPr>
                <w:b/>
              </w:rPr>
            </w:pPr>
            <w:r w:rsidRPr="00C60BB2">
              <w:rPr>
                <w:b/>
              </w:rPr>
              <w:t>Total</w:t>
            </w:r>
          </w:p>
        </w:tc>
        <w:tc>
          <w:tcPr>
            <w:tcW w:w="3396" w:type="dxa"/>
          </w:tcPr>
          <w:p w14:paraId="3DDBE347" w14:textId="77777777" w:rsidR="009C28F2" w:rsidRPr="00C60BB2" w:rsidRDefault="009C28F2" w:rsidP="009C28F2">
            <w:pPr>
              <w:spacing w:line="480" w:lineRule="auto"/>
            </w:pPr>
          </w:p>
        </w:tc>
        <w:tc>
          <w:tcPr>
            <w:tcW w:w="2957" w:type="dxa"/>
          </w:tcPr>
          <w:p w14:paraId="37AAE559" w14:textId="77777777" w:rsidR="009C28F2" w:rsidRPr="00C60BB2" w:rsidRDefault="00892575" w:rsidP="009C28F2">
            <w:pPr>
              <w:spacing w:line="480" w:lineRule="auto"/>
              <w:jc w:val="center"/>
              <w:rPr>
                <w:highlight w:val="yellow"/>
              </w:rPr>
            </w:pPr>
            <w:r w:rsidRPr="00892575">
              <w:t>$697,632</w:t>
            </w:r>
          </w:p>
        </w:tc>
      </w:tr>
    </w:tbl>
    <w:p w14:paraId="106BD861" w14:textId="77777777" w:rsidR="003B40D8" w:rsidRPr="003B40D8" w:rsidRDefault="003B40D8" w:rsidP="003B40D8"/>
    <w:p w14:paraId="1458A967" w14:textId="77777777" w:rsidR="00406DB2" w:rsidRDefault="00406DB2"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7" w:name="_Toc429667320"/>
    </w:p>
    <w:p w14:paraId="286795AF"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r w:rsidRPr="00C60BB2">
        <w:rPr>
          <w:rFonts w:ascii="Times New Roman" w:eastAsiaTheme="majorEastAsia" w:hAnsi="Times New Roman"/>
          <w:i w:val="0"/>
          <w:sz w:val="24"/>
          <w:szCs w:val="24"/>
          <w:u w:val="single"/>
        </w:rPr>
        <w:t>Section A.15. Explanation for Program Changes or Adjustments</w:t>
      </w:r>
      <w:bookmarkEnd w:id="17"/>
    </w:p>
    <w:p w14:paraId="28E61612" w14:textId="77777777" w:rsidR="00873BFC" w:rsidRPr="00C60BB2" w:rsidRDefault="00873BFC" w:rsidP="00E17562">
      <w:pPr>
        <w:spacing w:line="480" w:lineRule="auto"/>
        <w:ind w:firstLine="720"/>
      </w:pPr>
      <w:r w:rsidRPr="00C60BB2">
        <w:t>This is a new data collection.</w:t>
      </w:r>
      <w:r w:rsidR="004C48B0" w:rsidRPr="00C60BB2">
        <w:t xml:space="preserve">  </w:t>
      </w:r>
    </w:p>
    <w:p w14:paraId="1DE96C8F" w14:textId="77777777" w:rsidR="00873BFC" w:rsidRPr="00C60BB2"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8" w:name="_Toc429667321"/>
      <w:r w:rsidRPr="00C60BB2">
        <w:rPr>
          <w:rFonts w:ascii="Times New Roman" w:eastAsiaTheme="majorEastAsia" w:hAnsi="Times New Roman"/>
          <w:i w:val="0"/>
          <w:sz w:val="24"/>
          <w:szCs w:val="24"/>
          <w:u w:val="single"/>
        </w:rPr>
        <w:t>Section A.16. Plans for Tabulation and Publication and Project Time Schedule</w:t>
      </w:r>
      <w:bookmarkEnd w:id="18"/>
    </w:p>
    <w:p w14:paraId="1EF67062" w14:textId="77777777" w:rsidR="00873BFC" w:rsidRPr="00C60BB2" w:rsidRDefault="00EE5645" w:rsidP="00E17562">
      <w:pPr>
        <w:spacing w:line="480" w:lineRule="auto"/>
        <w:ind w:firstLine="720"/>
      </w:pPr>
      <w:r w:rsidRPr="00C60BB2">
        <w:t xml:space="preserve">One to two months after OMB approval, </w:t>
      </w:r>
      <w:r w:rsidR="00510A24">
        <w:t xml:space="preserve">invitation and data collection </w:t>
      </w:r>
      <w:r w:rsidRPr="00C60BB2">
        <w:t>materials</w:t>
      </w:r>
      <w:r w:rsidR="00510A24">
        <w:t xml:space="preserve"> </w:t>
      </w:r>
      <w:r w:rsidR="007D0352" w:rsidRPr="00C60BB2">
        <w:t>will be mailed by the two</w:t>
      </w:r>
      <w:r w:rsidRPr="00C60BB2">
        <w:t xml:space="preserve"> </w:t>
      </w:r>
      <w:r w:rsidR="007D0352" w:rsidRPr="00C60BB2">
        <w:t>SEED</w:t>
      </w:r>
      <w:r w:rsidRPr="00C60BB2">
        <w:t xml:space="preserve"> </w:t>
      </w:r>
      <w:r w:rsidR="00510A24">
        <w:t xml:space="preserve">Teen </w:t>
      </w:r>
      <w:r w:rsidRPr="00C60BB2">
        <w:t xml:space="preserve">sites to eligible individuals. </w:t>
      </w:r>
    </w:p>
    <w:tbl>
      <w:tblPr>
        <w:tblStyle w:val="TableGrid"/>
        <w:tblW w:w="0" w:type="auto"/>
        <w:tblLook w:val="04A0" w:firstRow="1" w:lastRow="0" w:firstColumn="1" w:lastColumn="0" w:noHBand="0" w:noVBand="1"/>
      </w:tblPr>
      <w:tblGrid>
        <w:gridCol w:w="4440"/>
        <w:gridCol w:w="4910"/>
      </w:tblGrid>
      <w:tr w:rsidR="00CE66A2" w:rsidRPr="00FE1DAD" w14:paraId="592706CB" w14:textId="77777777" w:rsidTr="00342AA8">
        <w:tc>
          <w:tcPr>
            <w:tcW w:w="9350" w:type="dxa"/>
            <w:gridSpan w:val="2"/>
          </w:tcPr>
          <w:p w14:paraId="6F422F8C" w14:textId="77777777" w:rsidR="00CE66A2" w:rsidRPr="00C60BB2" w:rsidRDefault="00CE66A2" w:rsidP="00D83040">
            <w:pPr>
              <w:pStyle w:val="ListParagraph"/>
              <w:numPr>
                <w:ilvl w:val="0"/>
                <w:numId w:val="6"/>
              </w:numPr>
              <w:spacing w:line="480" w:lineRule="auto"/>
              <w:rPr>
                <w:b/>
                <w:sz w:val="24"/>
                <w:szCs w:val="24"/>
              </w:rPr>
            </w:pPr>
            <w:r w:rsidRPr="00C60BB2">
              <w:rPr>
                <w:b/>
                <w:sz w:val="24"/>
                <w:szCs w:val="24"/>
              </w:rPr>
              <w:t>16. Project Time Schedule</w:t>
            </w:r>
          </w:p>
        </w:tc>
      </w:tr>
      <w:tr w:rsidR="00CE66A2" w:rsidRPr="00FE1DAD" w14:paraId="0ABF7207" w14:textId="77777777" w:rsidTr="00342AA8">
        <w:tc>
          <w:tcPr>
            <w:tcW w:w="4440" w:type="dxa"/>
            <w:tcBorders>
              <w:right w:val="single" w:sz="4" w:space="0" w:color="auto"/>
            </w:tcBorders>
          </w:tcPr>
          <w:p w14:paraId="493C7A2E" w14:textId="77777777" w:rsidR="00CE66A2" w:rsidRPr="00DF5D8D" w:rsidRDefault="00CE66A2" w:rsidP="00CE66A2">
            <w:pPr>
              <w:spacing w:line="480" w:lineRule="auto"/>
              <w:rPr>
                <w:b/>
              </w:rPr>
            </w:pPr>
            <w:r w:rsidRPr="00DF5D8D">
              <w:rPr>
                <w:b/>
              </w:rPr>
              <w:t>Activity</w:t>
            </w:r>
          </w:p>
        </w:tc>
        <w:tc>
          <w:tcPr>
            <w:tcW w:w="4910" w:type="dxa"/>
            <w:tcBorders>
              <w:left w:val="single" w:sz="4" w:space="0" w:color="auto"/>
            </w:tcBorders>
          </w:tcPr>
          <w:p w14:paraId="302807C9" w14:textId="77777777" w:rsidR="00CE66A2" w:rsidRPr="00DF5D8D" w:rsidRDefault="00CE66A2" w:rsidP="00CE66A2">
            <w:pPr>
              <w:spacing w:line="480" w:lineRule="auto"/>
              <w:rPr>
                <w:b/>
              </w:rPr>
            </w:pPr>
            <w:r w:rsidRPr="00DF5D8D">
              <w:rPr>
                <w:b/>
              </w:rPr>
              <w:t>Time Schedule*</w:t>
            </w:r>
          </w:p>
        </w:tc>
      </w:tr>
      <w:tr w:rsidR="00CE66A2" w:rsidRPr="00FE1DAD" w14:paraId="18501EB7" w14:textId="77777777" w:rsidTr="00342AA8">
        <w:trPr>
          <w:trHeight w:val="804"/>
        </w:trPr>
        <w:tc>
          <w:tcPr>
            <w:tcW w:w="4440" w:type="dxa"/>
            <w:tcBorders>
              <w:right w:val="single" w:sz="4" w:space="0" w:color="auto"/>
            </w:tcBorders>
          </w:tcPr>
          <w:p w14:paraId="6D863F5F" w14:textId="77777777" w:rsidR="00CE66A2" w:rsidRPr="00DF5D8D" w:rsidRDefault="0071499C" w:rsidP="00510A24">
            <w:pPr>
              <w:spacing w:line="480" w:lineRule="auto"/>
            </w:pPr>
            <w:r>
              <w:t xml:space="preserve">Print SEED Teen </w:t>
            </w:r>
            <w:r w:rsidR="00CE66A2" w:rsidRPr="00DF5D8D">
              <w:t>materials (</w:t>
            </w:r>
            <w:r w:rsidR="00510A24" w:rsidRPr="00DF5D8D">
              <w:t>i</w:t>
            </w:r>
            <w:r w:rsidR="00510A24">
              <w:t xml:space="preserve">nvitation </w:t>
            </w:r>
            <w:r>
              <w:t>packet, data collection packet,</w:t>
            </w:r>
            <w:r w:rsidR="00510A24">
              <w:t xml:space="preserve"> sup</w:t>
            </w:r>
            <w:r w:rsidR="00AF7EC2">
              <w:t>plemental consent forms, thank y</w:t>
            </w:r>
            <w:r>
              <w:t>ou</w:t>
            </w:r>
            <w:r w:rsidR="00CE66A2" w:rsidRPr="00DF5D8D">
              <w:t xml:space="preserve"> letter, pre-addressed, stamped envelope</w:t>
            </w:r>
            <w:r>
              <w:t>s, etc.</w:t>
            </w:r>
            <w:r w:rsidR="00CE66A2" w:rsidRPr="00DF5D8D">
              <w:t>)</w:t>
            </w:r>
          </w:p>
        </w:tc>
        <w:tc>
          <w:tcPr>
            <w:tcW w:w="4910" w:type="dxa"/>
            <w:tcBorders>
              <w:left w:val="single" w:sz="4" w:space="0" w:color="auto"/>
            </w:tcBorders>
          </w:tcPr>
          <w:p w14:paraId="523A0EA1" w14:textId="77777777" w:rsidR="00CE66A2" w:rsidRPr="00DF5D8D" w:rsidRDefault="00CE66A2" w:rsidP="00CE66A2">
            <w:pPr>
              <w:spacing w:line="480" w:lineRule="auto"/>
            </w:pPr>
            <w:r w:rsidRPr="00DF5D8D">
              <w:t>Immediately after OMB approval</w:t>
            </w:r>
          </w:p>
        </w:tc>
      </w:tr>
      <w:tr w:rsidR="0071499C" w:rsidRPr="00FE1DAD" w14:paraId="3AF7542C" w14:textId="77777777" w:rsidTr="00342AA8">
        <w:trPr>
          <w:trHeight w:val="804"/>
        </w:trPr>
        <w:tc>
          <w:tcPr>
            <w:tcW w:w="4440" w:type="dxa"/>
            <w:tcBorders>
              <w:right w:val="single" w:sz="4" w:space="0" w:color="auto"/>
            </w:tcBorders>
          </w:tcPr>
          <w:p w14:paraId="54B71F5B" w14:textId="77777777" w:rsidR="0071499C" w:rsidRPr="00DF5D8D" w:rsidRDefault="0071499C" w:rsidP="00510A24">
            <w:pPr>
              <w:spacing w:line="480" w:lineRule="auto"/>
            </w:pPr>
            <w:r>
              <w:t>Identify and recruit participants – send in</w:t>
            </w:r>
            <w:r w:rsidR="00510A24">
              <w:t>vitation</w:t>
            </w:r>
            <w:r>
              <w:t xml:space="preserve"> packet to participants</w:t>
            </w:r>
          </w:p>
        </w:tc>
        <w:tc>
          <w:tcPr>
            <w:tcW w:w="4910" w:type="dxa"/>
            <w:tcBorders>
              <w:left w:val="single" w:sz="4" w:space="0" w:color="auto"/>
            </w:tcBorders>
          </w:tcPr>
          <w:p w14:paraId="103ACDD6" w14:textId="77777777" w:rsidR="0071499C" w:rsidRPr="00DF5D8D" w:rsidRDefault="0071499C" w:rsidP="00CE66A2">
            <w:pPr>
              <w:spacing w:line="480" w:lineRule="auto"/>
            </w:pPr>
            <w:r>
              <w:t>1-2 months</w:t>
            </w:r>
            <w:r w:rsidRPr="00DF5D8D">
              <w:t xml:space="preserve"> after OMB approval</w:t>
            </w:r>
          </w:p>
        </w:tc>
      </w:tr>
      <w:tr w:rsidR="00CE66A2" w:rsidRPr="00FE1DAD" w14:paraId="541CFE1B" w14:textId="77777777" w:rsidTr="00342AA8">
        <w:tc>
          <w:tcPr>
            <w:tcW w:w="4440" w:type="dxa"/>
            <w:tcBorders>
              <w:right w:val="single" w:sz="4" w:space="0" w:color="auto"/>
            </w:tcBorders>
          </w:tcPr>
          <w:p w14:paraId="3D64F620" w14:textId="77777777" w:rsidR="00CE66A2" w:rsidRPr="00DF5D8D" w:rsidRDefault="00CE66A2" w:rsidP="00CE66A2">
            <w:pPr>
              <w:spacing w:line="480" w:lineRule="auto"/>
            </w:pPr>
            <w:r w:rsidRPr="00DF5D8D">
              <w:t xml:space="preserve">Data collection begins </w:t>
            </w:r>
            <w:r w:rsidR="0071499C">
              <w:t>– send data collection packet to participants</w:t>
            </w:r>
          </w:p>
        </w:tc>
        <w:tc>
          <w:tcPr>
            <w:tcW w:w="4910" w:type="dxa"/>
            <w:tcBorders>
              <w:left w:val="single" w:sz="4" w:space="0" w:color="auto"/>
            </w:tcBorders>
          </w:tcPr>
          <w:p w14:paraId="6542F0CE" w14:textId="77777777" w:rsidR="00CE66A2" w:rsidRPr="00DF5D8D" w:rsidRDefault="00CE66A2" w:rsidP="00CE66A2">
            <w:pPr>
              <w:spacing w:line="480" w:lineRule="auto"/>
            </w:pPr>
            <w:r w:rsidRPr="00DF5D8D">
              <w:t>1</w:t>
            </w:r>
            <w:r w:rsidR="0071499C">
              <w:t>-2</w:t>
            </w:r>
            <w:r w:rsidRPr="00DF5D8D">
              <w:t xml:space="preserve"> month after OMB approval</w:t>
            </w:r>
          </w:p>
        </w:tc>
      </w:tr>
      <w:tr w:rsidR="00CE66A2" w:rsidRPr="00FE1DAD" w14:paraId="225D890C" w14:textId="77777777" w:rsidTr="00342AA8">
        <w:tc>
          <w:tcPr>
            <w:tcW w:w="4440" w:type="dxa"/>
            <w:tcBorders>
              <w:right w:val="single" w:sz="4" w:space="0" w:color="auto"/>
            </w:tcBorders>
          </w:tcPr>
          <w:p w14:paraId="774D2187" w14:textId="77777777" w:rsidR="00CE66A2" w:rsidRPr="00DF5D8D" w:rsidRDefault="00CE66A2" w:rsidP="00CE66A2">
            <w:pPr>
              <w:spacing w:line="480" w:lineRule="auto"/>
            </w:pPr>
            <w:r w:rsidRPr="00DF5D8D">
              <w:t>Complete data collection</w:t>
            </w:r>
          </w:p>
        </w:tc>
        <w:tc>
          <w:tcPr>
            <w:tcW w:w="4910" w:type="dxa"/>
            <w:tcBorders>
              <w:left w:val="single" w:sz="4" w:space="0" w:color="auto"/>
            </w:tcBorders>
          </w:tcPr>
          <w:p w14:paraId="650C426F" w14:textId="77777777" w:rsidR="00CE66A2" w:rsidRPr="00DF5D8D" w:rsidRDefault="00CE66A2" w:rsidP="00CE66A2">
            <w:pPr>
              <w:spacing w:line="480" w:lineRule="auto"/>
            </w:pPr>
            <w:r w:rsidRPr="00DF5D8D">
              <w:t xml:space="preserve">3 years after OMB approval </w:t>
            </w:r>
          </w:p>
        </w:tc>
      </w:tr>
      <w:tr w:rsidR="00CE66A2" w:rsidRPr="00FE1DAD" w14:paraId="220E4D98" w14:textId="77777777" w:rsidTr="00342AA8">
        <w:tc>
          <w:tcPr>
            <w:tcW w:w="4440" w:type="dxa"/>
            <w:tcBorders>
              <w:right w:val="single" w:sz="4" w:space="0" w:color="auto"/>
            </w:tcBorders>
          </w:tcPr>
          <w:p w14:paraId="795F5A56" w14:textId="77777777" w:rsidR="00CE66A2" w:rsidRPr="00DF5D8D" w:rsidRDefault="00CE66A2" w:rsidP="00CE66A2">
            <w:pPr>
              <w:spacing w:line="480" w:lineRule="auto"/>
            </w:pPr>
            <w:r w:rsidRPr="00DF5D8D">
              <w:t xml:space="preserve">Finalize data cleaning and entry </w:t>
            </w:r>
          </w:p>
        </w:tc>
        <w:tc>
          <w:tcPr>
            <w:tcW w:w="4910" w:type="dxa"/>
            <w:tcBorders>
              <w:left w:val="single" w:sz="4" w:space="0" w:color="auto"/>
            </w:tcBorders>
          </w:tcPr>
          <w:p w14:paraId="5A19924C" w14:textId="77777777" w:rsidR="00CE66A2" w:rsidRPr="00DF5D8D" w:rsidRDefault="00CE66A2" w:rsidP="00CE66A2">
            <w:pPr>
              <w:spacing w:line="480" w:lineRule="auto"/>
            </w:pPr>
            <w:r w:rsidRPr="00DF5D8D">
              <w:t>3.5 years after OMB approval</w:t>
            </w:r>
          </w:p>
        </w:tc>
      </w:tr>
      <w:tr w:rsidR="00CE66A2" w:rsidRPr="00FE1DAD" w14:paraId="7E812978" w14:textId="77777777" w:rsidTr="00342AA8">
        <w:tc>
          <w:tcPr>
            <w:tcW w:w="4440" w:type="dxa"/>
            <w:tcBorders>
              <w:right w:val="single" w:sz="4" w:space="0" w:color="auto"/>
            </w:tcBorders>
          </w:tcPr>
          <w:p w14:paraId="19C38DD9" w14:textId="77777777" w:rsidR="00CE66A2" w:rsidRPr="00DF5D8D" w:rsidRDefault="00CE66A2" w:rsidP="00CE66A2">
            <w:pPr>
              <w:spacing w:line="480" w:lineRule="auto"/>
            </w:pPr>
            <w:r w:rsidRPr="00DF5D8D">
              <w:t xml:space="preserve">Prepare analytic data files </w:t>
            </w:r>
            <w:r w:rsidR="0071499C">
              <w:t>and link data to SEED 1</w:t>
            </w:r>
          </w:p>
        </w:tc>
        <w:tc>
          <w:tcPr>
            <w:tcW w:w="4910" w:type="dxa"/>
            <w:tcBorders>
              <w:left w:val="single" w:sz="4" w:space="0" w:color="auto"/>
            </w:tcBorders>
          </w:tcPr>
          <w:p w14:paraId="7E257833" w14:textId="77777777" w:rsidR="00CE66A2" w:rsidRPr="00DF5D8D" w:rsidRDefault="00CE66A2" w:rsidP="00CE66A2">
            <w:pPr>
              <w:spacing w:line="480" w:lineRule="auto"/>
            </w:pPr>
            <w:r w:rsidRPr="00DF5D8D">
              <w:t>4 years after OMB approval</w:t>
            </w:r>
          </w:p>
        </w:tc>
      </w:tr>
      <w:tr w:rsidR="00CE66A2" w:rsidRPr="00FE1DAD" w14:paraId="2539B2CC" w14:textId="77777777" w:rsidTr="00342AA8">
        <w:tc>
          <w:tcPr>
            <w:tcW w:w="4440" w:type="dxa"/>
            <w:tcBorders>
              <w:right w:val="single" w:sz="4" w:space="0" w:color="auto"/>
            </w:tcBorders>
          </w:tcPr>
          <w:p w14:paraId="3C20E4FE" w14:textId="77777777" w:rsidR="00CE66A2" w:rsidRPr="00DF5D8D" w:rsidRDefault="0071499C" w:rsidP="00CE66A2">
            <w:pPr>
              <w:spacing w:line="480" w:lineRule="auto"/>
            </w:pPr>
            <w:r>
              <w:t>A</w:t>
            </w:r>
            <w:r w:rsidR="00CE66A2" w:rsidRPr="00DF5D8D">
              <w:t>nalyze data</w:t>
            </w:r>
            <w:r>
              <w:t>, draft reports, and present findings</w:t>
            </w:r>
            <w:r w:rsidR="00CE66A2" w:rsidRPr="00DF5D8D">
              <w:t xml:space="preserve"> </w:t>
            </w:r>
          </w:p>
        </w:tc>
        <w:tc>
          <w:tcPr>
            <w:tcW w:w="4910" w:type="dxa"/>
            <w:tcBorders>
              <w:left w:val="single" w:sz="4" w:space="0" w:color="auto"/>
            </w:tcBorders>
          </w:tcPr>
          <w:p w14:paraId="54FDBC9D" w14:textId="77777777" w:rsidR="00CE66A2" w:rsidRPr="00DF5D8D" w:rsidRDefault="00CE66A2" w:rsidP="00CE66A2">
            <w:pPr>
              <w:spacing w:line="480" w:lineRule="auto"/>
            </w:pPr>
            <w:r w:rsidRPr="00DF5D8D">
              <w:t>4</w:t>
            </w:r>
            <w:r w:rsidR="0071499C">
              <w:t>-5</w:t>
            </w:r>
            <w:r w:rsidRPr="00DF5D8D">
              <w:t xml:space="preserve"> years after OMB approval</w:t>
            </w:r>
          </w:p>
        </w:tc>
      </w:tr>
    </w:tbl>
    <w:p w14:paraId="318CF4D5" w14:textId="77777777" w:rsidR="00873BFC" w:rsidRPr="00DF5D8D" w:rsidRDefault="00873BFC" w:rsidP="00C13392">
      <w:pPr>
        <w:spacing w:line="480" w:lineRule="auto"/>
      </w:pPr>
    </w:p>
    <w:p w14:paraId="0799561D" w14:textId="77777777" w:rsidR="00873BFC" w:rsidRPr="00DF5D8D" w:rsidRDefault="00873BFC" w:rsidP="00C13392">
      <w:pPr>
        <w:pStyle w:val="Heading2"/>
        <w:keepNext/>
        <w:keepLines/>
        <w:widowControl w:val="0"/>
        <w:autoSpaceDE w:val="0"/>
        <w:autoSpaceDN w:val="0"/>
        <w:adjustRightInd w:val="0"/>
        <w:spacing w:before="40" w:after="0" w:line="480" w:lineRule="auto"/>
        <w:contextualSpacing w:val="0"/>
        <w:rPr>
          <w:rFonts w:ascii="Times New Roman" w:eastAsiaTheme="majorEastAsia" w:hAnsi="Times New Roman"/>
          <w:i w:val="0"/>
          <w:sz w:val="24"/>
          <w:szCs w:val="24"/>
          <w:u w:val="single"/>
        </w:rPr>
      </w:pPr>
      <w:bookmarkStart w:id="19" w:name="_Toc429667322"/>
      <w:r w:rsidRPr="00DF5D8D">
        <w:rPr>
          <w:rFonts w:ascii="Times New Roman" w:eastAsiaTheme="majorEastAsia" w:hAnsi="Times New Roman"/>
          <w:i w:val="0"/>
          <w:sz w:val="24"/>
          <w:szCs w:val="24"/>
          <w:u w:val="single"/>
        </w:rPr>
        <w:t>Section A.17. Reason(s) Display of OMB Expiration Date Is Inappropriate</w:t>
      </w:r>
      <w:bookmarkEnd w:id="19"/>
    </w:p>
    <w:p w14:paraId="20895BFF" w14:textId="77777777" w:rsidR="00873BFC" w:rsidRPr="00DF5D8D" w:rsidRDefault="00A765EC" w:rsidP="00896F49">
      <w:pPr>
        <w:spacing w:line="480" w:lineRule="auto"/>
        <w:ind w:firstLine="720"/>
      </w:pPr>
      <w:r w:rsidRPr="00DF5D8D">
        <w:t>The display of the OMB expiration date is appropriate</w:t>
      </w:r>
      <w:r w:rsidR="00CF761B" w:rsidRPr="00DF5D8D">
        <w:t>, no exception is sought</w:t>
      </w:r>
      <w:r w:rsidRPr="00DF5D8D">
        <w:t xml:space="preserve">. </w:t>
      </w:r>
    </w:p>
    <w:p w14:paraId="509B07B9" w14:textId="77777777" w:rsidR="00873BFC" w:rsidRPr="00DF5D8D"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b w:val="0"/>
          <w:sz w:val="24"/>
          <w:szCs w:val="24"/>
          <w:u w:val="single"/>
        </w:rPr>
      </w:pPr>
      <w:bookmarkStart w:id="20" w:name="_Toc429667323"/>
      <w:r w:rsidRPr="00DF5D8D">
        <w:rPr>
          <w:rFonts w:ascii="Times New Roman" w:eastAsiaTheme="majorEastAsia" w:hAnsi="Times New Roman"/>
          <w:i w:val="0"/>
          <w:sz w:val="24"/>
          <w:szCs w:val="24"/>
          <w:u w:val="single"/>
        </w:rPr>
        <w:t>Section A.18. Exceptions to Certification for Paperwork Reduction Act Submissions</w:t>
      </w:r>
      <w:bookmarkEnd w:id="20"/>
    </w:p>
    <w:p w14:paraId="668425FD" w14:textId="77777777" w:rsidR="0084792A" w:rsidRPr="00DF5D8D" w:rsidRDefault="00873BFC" w:rsidP="00896F49">
      <w:pPr>
        <w:spacing w:line="480" w:lineRule="auto"/>
        <w:ind w:firstLine="720"/>
      </w:pPr>
      <w:r w:rsidRPr="00DF5D8D">
        <w:t>There are no exceptions to the certification.</w:t>
      </w:r>
    </w:p>
    <w:sectPr w:rsidR="0084792A" w:rsidRPr="00DF5D8D" w:rsidSect="00C13392">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FAC6A" w14:textId="77777777" w:rsidR="00DA61DC" w:rsidRDefault="00DA61DC" w:rsidP="00873BFC">
      <w:r>
        <w:separator/>
      </w:r>
    </w:p>
  </w:endnote>
  <w:endnote w:type="continuationSeparator" w:id="0">
    <w:p w14:paraId="3BC2F20A" w14:textId="77777777" w:rsidR="00DA61DC" w:rsidRDefault="00DA61DC" w:rsidP="00873BFC">
      <w:r>
        <w:continuationSeparator/>
      </w:r>
    </w:p>
  </w:endnote>
  <w:endnote w:type="continuationNotice" w:id="1">
    <w:p w14:paraId="73BEB33C" w14:textId="77777777" w:rsidR="00DA61DC" w:rsidRDefault="00DA6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89404"/>
      <w:docPartObj>
        <w:docPartGallery w:val="Page Numbers (Bottom of Page)"/>
        <w:docPartUnique/>
      </w:docPartObj>
    </w:sdtPr>
    <w:sdtEndPr>
      <w:rPr>
        <w:noProof/>
      </w:rPr>
    </w:sdtEndPr>
    <w:sdtContent>
      <w:p w14:paraId="08A03DC9" w14:textId="377EB614" w:rsidR="00143599" w:rsidRDefault="00143599">
        <w:pPr>
          <w:pStyle w:val="Footer"/>
          <w:jc w:val="right"/>
        </w:pPr>
        <w:r>
          <w:fldChar w:fldCharType="begin"/>
        </w:r>
        <w:r>
          <w:instrText xml:space="preserve"> PAGE   \* MERGEFORMAT </w:instrText>
        </w:r>
        <w:r>
          <w:fldChar w:fldCharType="separate"/>
        </w:r>
        <w:r w:rsidR="00A80F48">
          <w:rPr>
            <w:noProof/>
          </w:rPr>
          <w:t>32</w:t>
        </w:r>
        <w:r>
          <w:rPr>
            <w:noProof/>
          </w:rPr>
          <w:fldChar w:fldCharType="end"/>
        </w:r>
      </w:p>
    </w:sdtContent>
  </w:sdt>
  <w:p w14:paraId="066EFEA5" w14:textId="77777777" w:rsidR="00143599" w:rsidRDefault="00143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C5AF8" w14:textId="77777777" w:rsidR="00DA61DC" w:rsidRDefault="00DA61DC" w:rsidP="00873BFC">
      <w:r>
        <w:separator/>
      </w:r>
    </w:p>
  </w:footnote>
  <w:footnote w:type="continuationSeparator" w:id="0">
    <w:p w14:paraId="630D3CFD" w14:textId="77777777" w:rsidR="00DA61DC" w:rsidRDefault="00DA61DC" w:rsidP="00873BFC">
      <w:r>
        <w:continuationSeparator/>
      </w:r>
    </w:p>
  </w:footnote>
  <w:footnote w:type="continuationNotice" w:id="1">
    <w:p w14:paraId="561F74B2" w14:textId="77777777" w:rsidR="00DA61DC" w:rsidRDefault="00DA61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A48"/>
    <w:multiLevelType w:val="hybridMultilevel"/>
    <w:tmpl w:val="4940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646AF"/>
    <w:multiLevelType w:val="hybridMultilevel"/>
    <w:tmpl w:val="514E7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07A2ED4"/>
    <w:multiLevelType w:val="hybridMultilevel"/>
    <w:tmpl w:val="C1D6C92A"/>
    <w:lvl w:ilvl="0" w:tplc="2C925B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3159B4"/>
    <w:multiLevelType w:val="hybridMultilevel"/>
    <w:tmpl w:val="266A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16565E34"/>
    <w:lvl w:ilvl="0" w:tplc="8E9C9696">
      <w:start w:val="1"/>
      <w:numFmt w:val="bullet"/>
      <w:pStyle w:val="Style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
    <w:nsid w:val="3B1549A5"/>
    <w:multiLevelType w:val="hybridMultilevel"/>
    <w:tmpl w:val="F1C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13C80"/>
    <w:multiLevelType w:val="hybridMultilevel"/>
    <w:tmpl w:val="9530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476E0"/>
    <w:multiLevelType w:val="hybridMultilevel"/>
    <w:tmpl w:val="86085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02CCC"/>
    <w:multiLevelType w:val="hybridMultilevel"/>
    <w:tmpl w:val="A816C0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8955FD9"/>
    <w:multiLevelType w:val="hybridMultilevel"/>
    <w:tmpl w:val="C4021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604B87"/>
    <w:multiLevelType w:val="hybridMultilevel"/>
    <w:tmpl w:val="5D6A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B39EB"/>
    <w:multiLevelType w:val="hybridMultilevel"/>
    <w:tmpl w:val="55B21F88"/>
    <w:lvl w:ilvl="0" w:tplc="08A64DB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49683B"/>
    <w:multiLevelType w:val="hybridMultilevel"/>
    <w:tmpl w:val="A9F82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11"/>
  </w:num>
  <w:num w:numId="7">
    <w:abstractNumId w:val="12"/>
  </w:num>
  <w:num w:numId="8">
    <w:abstractNumId w:val="8"/>
  </w:num>
  <w:num w:numId="9">
    <w:abstractNumId w:val="10"/>
  </w:num>
  <w:num w:numId="10">
    <w:abstractNumId w:val="4"/>
  </w:num>
  <w:num w:numId="11">
    <w:abstractNumId w:val="9"/>
  </w:num>
  <w:num w:numId="12">
    <w:abstractNumId w:val="14"/>
  </w:num>
  <w:num w:numId="13">
    <w:abstractNumId w:val="13"/>
  </w:num>
  <w:num w:numId="14">
    <w:abstractNumId w:val="1"/>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a90ts5bsvd9ner25bvw9tlatpfpw2swv0t&quot;&gt;CHSTRONG&lt;record-ids&gt;&lt;item&gt;1&lt;/item&gt;&lt;item&gt;2&lt;/item&gt;&lt;item&gt;3&lt;/item&gt;&lt;item&gt;4&lt;/item&gt;&lt;item&gt;5&lt;/item&gt;&lt;item&gt;6&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873BFC"/>
    <w:rsid w:val="000000ED"/>
    <w:rsid w:val="000005BE"/>
    <w:rsid w:val="00002653"/>
    <w:rsid w:val="0000328E"/>
    <w:rsid w:val="00003A54"/>
    <w:rsid w:val="00005B62"/>
    <w:rsid w:val="00007CE8"/>
    <w:rsid w:val="00012B38"/>
    <w:rsid w:val="0001619E"/>
    <w:rsid w:val="000171E0"/>
    <w:rsid w:val="00017E0C"/>
    <w:rsid w:val="00017EFB"/>
    <w:rsid w:val="00024022"/>
    <w:rsid w:val="00025452"/>
    <w:rsid w:val="00025595"/>
    <w:rsid w:val="00025AF1"/>
    <w:rsid w:val="00033231"/>
    <w:rsid w:val="00033E3C"/>
    <w:rsid w:val="00034D88"/>
    <w:rsid w:val="00037052"/>
    <w:rsid w:val="00042E1D"/>
    <w:rsid w:val="00045793"/>
    <w:rsid w:val="00045AB8"/>
    <w:rsid w:val="0005129C"/>
    <w:rsid w:val="000532F5"/>
    <w:rsid w:val="00055731"/>
    <w:rsid w:val="00057F13"/>
    <w:rsid w:val="00062BD3"/>
    <w:rsid w:val="000639FD"/>
    <w:rsid w:val="000675F5"/>
    <w:rsid w:val="00071D0A"/>
    <w:rsid w:val="00071D61"/>
    <w:rsid w:val="0007497C"/>
    <w:rsid w:val="00074F25"/>
    <w:rsid w:val="00076789"/>
    <w:rsid w:val="00077E28"/>
    <w:rsid w:val="00081D38"/>
    <w:rsid w:val="00081FDD"/>
    <w:rsid w:val="00090362"/>
    <w:rsid w:val="00090AE1"/>
    <w:rsid w:val="00090BAE"/>
    <w:rsid w:val="00092F3A"/>
    <w:rsid w:val="00094482"/>
    <w:rsid w:val="00096EC1"/>
    <w:rsid w:val="0009731F"/>
    <w:rsid w:val="000A6779"/>
    <w:rsid w:val="000A6FCE"/>
    <w:rsid w:val="000A79F1"/>
    <w:rsid w:val="000B7003"/>
    <w:rsid w:val="000B7354"/>
    <w:rsid w:val="000C0955"/>
    <w:rsid w:val="000C1329"/>
    <w:rsid w:val="000C318F"/>
    <w:rsid w:val="000C4402"/>
    <w:rsid w:val="000C5A46"/>
    <w:rsid w:val="000C62C2"/>
    <w:rsid w:val="000C6BEC"/>
    <w:rsid w:val="000C6D57"/>
    <w:rsid w:val="000C7384"/>
    <w:rsid w:val="000D0113"/>
    <w:rsid w:val="000D1A91"/>
    <w:rsid w:val="000D281A"/>
    <w:rsid w:val="000D40C9"/>
    <w:rsid w:val="000D7371"/>
    <w:rsid w:val="000E1FBB"/>
    <w:rsid w:val="000E5254"/>
    <w:rsid w:val="000F0484"/>
    <w:rsid w:val="000F098F"/>
    <w:rsid w:val="000F301E"/>
    <w:rsid w:val="000F7A4B"/>
    <w:rsid w:val="001003E9"/>
    <w:rsid w:val="001055D3"/>
    <w:rsid w:val="001060D8"/>
    <w:rsid w:val="00110781"/>
    <w:rsid w:val="0011148C"/>
    <w:rsid w:val="00114E9E"/>
    <w:rsid w:val="0011507C"/>
    <w:rsid w:val="00116539"/>
    <w:rsid w:val="001218BB"/>
    <w:rsid w:val="00124B21"/>
    <w:rsid w:val="001309CA"/>
    <w:rsid w:val="00131D1E"/>
    <w:rsid w:val="00133658"/>
    <w:rsid w:val="00134D7D"/>
    <w:rsid w:val="00135548"/>
    <w:rsid w:val="00135B12"/>
    <w:rsid w:val="00140D7A"/>
    <w:rsid w:val="00143599"/>
    <w:rsid w:val="0014377B"/>
    <w:rsid w:val="00145CFA"/>
    <w:rsid w:val="00151958"/>
    <w:rsid w:val="00152477"/>
    <w:rsid w:val="00153769"/>
    <w:rsid w:val="00153CC0"/>
    <w:rsid w:val="001546F5"/>
    <w:rsid w:val="00155830"/>
    <w:rsid w:val="0016256C"/>
    <w:rsid w:val="00164EA8"/>
    <w:rsid w:val="00167B2C"/>
    <w:rsid w:val="00173EA7"/>
    <w:rsid w:val="00181086"/>
    <w:rsid w:val="00185D04"/>
    <w:rsid w:val="00185F08"/>
    <w:rsid w:val="00191DC4"/>
    <w:rsid w:val="00194805"/>
    <w:rsid w:val="00194C38"/>
    <w:rsid w:val="00197264"/>
    <w:rsid w:val="001A22D2"/>
    <w:rsid w:val="001A24CB"/>
    <w:rsid w:val="001B5DAD"/>
    <w:rsid w:val="001B7258"/>
    <w:rsid w:val="001B74FD"/>
    <w:rsid w:val="001B7F4E"/>
    <w:rsid w:val="001C1739"/>
    <w:rsid w:val="001C17FD"/>
    <w:rsid w:val="001C1FFA"/>
    <w:rsid w:val="001C76BF"/>
    <w:rsid w:val="001D2222"/>
    <w:rsid w:val="001D3F9C"/>
    <w:rsid w:val="001D661E"/>
    <w:rsid w:val="001D6DEB"/>
    <w:rsid w:val="001D7444"/>
    <w:rsid w:val="001E06DA"/>
    <w:rsid w:val="001E2035"/>
    <w:rsid w:val="001E455B"/>
    <w:rsid w:val="001E534D"/>
    <w:rsid w:val="001E6C9A"/>
    <w:rsid w:val="001F2F54"/>
    <w:rsid w:val="001F4AE3"/>
    <w:rsid w:val="001F5941"/>
    <w:rsid w:val="001F6F11"/>
    <w:rsid w:val="001F7E01"/>
    <w:rsid w:val="0020105A"/>
    <w:rsid w:val="00207CF1"/>
    <w:rsid w:val="00214A20"/>
    <w:rsid w:val="002169D0"/>
    <w:rsid w:val="00217A10"/>
    <w:rsid w:val="00220EFE"/>
    <w:rsid w:val="00221F01"/>
    <w:rsid w:val="0022439D"/>
    <w:rsid w:val="00226D76"/>
    <w:rsid w:val="00237ABF"/>
    <w:rsid w:val="00241A4A"/>
    <w:rsid w:val="00241D0E"/>
    <w:rsid w:val="0024577E"/>
    <w:rsid w:val="002473AF"/>
    <w:rsid w:val="00255582"/>
    <w:rsid w:val="00256C07"/>
    <w:rsid w:val="002639F1"/>
    <w:rsid w:val="00265238"/>
    <w:rsid w:val="002665A4"/>
    <w:rsid w:val="00267516"/>
    <w:rsid w:val="002710B0"/>
    <w:rsid w:val="0027131E"/>
    <w:rsid w:val="00271BB1"/>
    <w:rsid w:val="00276595"/>
    <w:rsid w:val="00277D0D"/>
    <w:rsid w:val="00285744"/>
    <w:rsid w:val="00286C8A"/>
    <w:rsid w:val="00297E20"/>
    <w:rsid w:val="002A135F"/>
    <w:rsid w:val="002A2634"/>
    <w:rsid w:val="002A2C43"/>
    <w:rsid w:val="002A4718"/>
    <w:rsid w:val="002A6933"/>
    <w:rsid w:val="002A7CE3"/>
    <w:rsid w:val="002B0214"/>
    <w:rsid w:val="002B0DAC"/>
    <w:rsid w:val="002B128E"/>
    <w:rsid w:val="002B15CC"/>
    <w:rsid w:val="002B1956"/>
    <w:rsid w:val="002B4501"/>
    <w:rsid w:val="002B7390"/>
    <w:rsid w:val="002C08C8"/>
    <w:rsid w:val="002C7AB6"/>
    <w:rsid w:val="002C7EF4"/>
    <w:rsid w:val="002D7F41"/>
    <w:rsid w:val="002E154D"/>
    <w:rsid w:val="002E77CA"/>
    <w:rsid w:val="002F3841"/>
    <w:rsid w:val="0030369C"/>
    <w:rsid w:val="003072D6"/>
    <w:rsid w:val="003107C5"/>
    <w:rsid w:val="003150E0"/>
    <w:rsid w:val="00320930"/>
    <w:rsid w:val="003254C3"/>
    <w:rsid w:val="00330275"/>
    <w:rsid w:val="0033147F"/>
    <w:rsid w:val="00332626"/>
    <w:rsid w:val="00333089"/>
    <w:rsid w:val="003337C2"/>
    <w:rsid w:val="00333AFE"/>
    <w:rsid w:val="0034257D"/>
    <w:rsid w:val="00342AA8"/>
    <w:rsid w:val="0034699D"/>
    <w:rsid w:val="00346A46"/>
    <w:rsid w:val="00353210"/>
    <w:rsid w:val="0036338C"/>
    <w:rsid w:val="00364C6B"/>
    <w:rsid w:val="00365104"/>
    <w:rsid w:val="00370056"/>
    <w:rsid w:val="00370F70"/>
    <w:rsid w:val="00374145"/>
    <w:rsid w:val="00376C73"/>
    <w:rsid w:val="00380AEC"/>
    <w:rsid w:val="003912BF"/>
    <w:rsid w:val="00396266"/>
    <w:rsid w:val="00396BD2"/>
    <w:rsid w:val="003A0D91"/>
    <w:rsid w:val="003A3C1F"/>
    <w:rsid w:val="003B0007"/>
    <w:rsid w:val="003B2D3A"/>
    <w:rsid w:val="003B2FA5"/>
    <w:rsid w:val="003B40D8"/>
    <w:rsid w:val="003B5CD4"/>
    <w:rsid w:val="003B5E01"/>
    <w:rsid w:val="003B6934"/>
    <w:rsid w:val="003C0EC5"/>
    <w:rsid w:val="003C14E8"/>
    <w:rsid w:val="003C1BDE"/>
    <w:rsid w:val="003C51CA"/>
    <w:rsid w:val="003C6542"/>
    <w:rsid w:val="003C7B28"/>
    <w:rsid w:val="003D0CBF"/>
    <w:rsid w:val="003D271B"/>
    <w:rsid w:val="003D2AF9"/>
    <w:rsid w:val="003D37FD"/>
    <w:rsid w:val="003D75DE"/>
    <w:rsid w:val="003D76F5"/>
    <w:rsid w:val="003E16B4"/>
    <w:rsid w:val="003E680F"/>
    <w:rsid w:val="003F3E54"/>
    <w:rsid w:val="004012EA"/>
    <w:rsid w:val="004053EF"/>
    <w:rsid w:val="00406DB2"/>
    <w:rsid w:val="00410113"/>
    <w:rsid w:val="004104F0"/>
    <w:rsid w:val="00414044"/>
    <w:rsid w:val="00415632"/>
    <w:rsid w:val="004164BB"/>
    <w:rsid w:val="00417B86"/>
    <w:rsid w:val="0042248C"/>
    <w:rsid w:val="0042458D"/>
    <w:rsid w:val="0043195E"/>
    <w:rsid w:val="004345EA"/>
    <w:rsid w:val="00436F75"/>
    <w:rsid w:val="0044329A"/>
    <w:rsid w:val="00443500"/>
    <w:rsid w:val="00443615"/>
    <w:rsid w:val="004436B9"/>
    <w:rsid w:val="00444877"/>
    <w:rsid w:val="00447BB3"/>
    <w:rsid w:val="00447CF9"/>
    <w:rsid w:val="00450777"/>
    <w:rsid w:val="0045148A"/>
    <w:rsid w:val="004515EA"/>
    <w:rsid w:val="00454F8E"/>
    <w:rsid w:val="004558C8"/>
    <w:rsid w:val="00460361"/>
    <w:rsid w:val="00460664"/>
    <w:rsid w:val="0046652E"/>
    <w:rsid w:val="004709C4"/>
    <w:rsid w:val="0047279A"/>
    <w:rsid w:val="004767AD"/>
    <w:rsid w:val="00476F91"/>
    <w:rsid w:val="00482C87"/>
    <w:rsid w:val="00483804"/>
    <w:rsid w:val="00485F47"/>
    <w:rsid w:val="00487508"/>
    <w:rsid w:val="0049163C"/>
    <w:rsid w:val="004965F1"/>
    <w:rsid w:val="004A1BA6"/>
    <w:rsid w:val="004A2436"/>
    <w:rsid w:val="004A3DB0"/>
    <w:rsid w:val="004A6B37"/>
    <w:rsid w:val="004B1167"/>
    <w:rsid w:val="004B168B"/>
    <w:rsid w:val="004B5D58"/>
    <w:rsid w:val="004B74BA"/>
    <w:rsid w:val="004C48B0"/>
    <w:rsid w:val="004C79E3"/>
    <w:rsid w:val="004D7AAE"/>
    <w:rsid w:val="004E2E5C"/>
    <w:rsid w:val="004E3A00"/>
    <w:rsid w:val="004E3AB4"/>
    <w:rsid w:val="004E4587"/>
    <w:rsid w:val="004F3EE1"/>
    <w:rsid w:val="004F4438"/>
    <w:rsid w:val="0050283C"/>
    <w:rsid w:val="0050557C"/>
    <w:rsid w:val="00507860"/>
    <w:rsid w:val="00510A24"/>
    <w:rsid w:val="00511AF4"/>
    <w:rsid w:val="00514EB7"/>
    <w:rsid w:val="0053496E"/>
    <w:rsid w:val="00537A78"/>
    <w:rsid w:val="00541353"/>
    <w:rsid w:val="00542614"/>
    <w:rsid w:val="00542EF7"/>
    <w:rsid w:val="005453D3"/>
    <w:rsid w:val="00552993"/>
    <w:rsid w:val="00553C1E"/>
    <w:rsid w:val="00554FA8"/>
    <w:rsid w:val="00560F35"/>
    <w:rsid w:val="00562EF2"/>
    <w:rsid w:val="005632F1"/>
    <w:rsid w:val="0056337C"/>
    <w:rsid w:val="00563C41"/>
    <w:rsid w:val="00564F12"/>
    <w:rsid w:val="00567BC6"/>
    <w:rsid w:val="005714DB"/>
    <w:rsid w:val="005717B6"/>
    <w:rsid w:val="005727C4"/>
    <w:rsid w:val="00577015"/>
    <w:rsid w:val="00577BDE"/>
    <w:rsid w:val="005807CE"/>
    <w:rsid w:val="00581567"/>
    <w:rsid w:val="005843EE"/>
    <w:rsid w:val="005868C1"/>
    <w:rsid w:val="00591437"/>
    <w:rsid w:val="005A0B4B"/>
    <w:rsid w:val="005A37F7"/>
    <w:rsid w:val="005B348B"/>
    <w:rsid w:val="005B4CEA"/>
    <w:rsid w:val="005B7DB0"/>
    <w:rsid w:val="005C4138"/>
    <w:rsid w:val="005C4D72"/>
    <w:rsid w:val="005C60E9"/>
    <w:rsid w:val="005D2268"/>
    <w:rsid w:val="005E4428"/>
    <w:rsid w:val="005E4C61"/>
    <w:rsid w:val="005E6561"/>
    <w:rsid w:val="005E7453"/>
    <w:rsid w:val="005F112D"/>
    <w:rsid w:val="006002C8"/>
    <w:rsid w:val="00601AF5"/>
    <w:rsid w:val="00601C18"/>
    <w:rsid w:val="00604B6C"/>
    <w:rsid w:val="006075B2"/>
    <w:rsid w:val="00612A06"/>
    <w:rsid w:val="00614883"/>
    <w:rsid w:val="006211D3"/>
    <w:rsid w:val="00623464"/>
    <w:rsid w:val="006237DE"/>
    <w:rsid w:val="00623F9C"/>
    <w:rsid w:val="00626679"/>
    <w:rsid w:val="00627153"/>
    <w:rsid w:val="00627E9F"/>
    <w:rsid w:val="006312B3"/>
    <w:rsid w:val="0063274E"/>
    <w:rsid w:val="00632C76"/>
    <w:rsid w:val="00633179"/>
    <w:rsid w:val="006334CE"/>
    <w:rsid w:val="00637C91"/>
    <w:rsid w:val="0064285F"/>
    <w:rsid w:val="00642A37"/>
    <w:rsid w:val="006433FB"/>
    <w:rsid w:val="006458C0"/>
    <w:rsid w:val="0064738D"/>
    <w:rsid w:val="00647CFB"/>
    <w:rsid w:val="00650279"/>
    <w:rsid w:val="00653049"/>
    <w:rsid w:val="00656E1D"/>
    <w:rsid w:val="00657855"/>
    <w:rsid w:val="0066569B"/>
    <w:rsid w:val="00666C83"/>
    <w:rsid w:val="006678FB"/>
    <w:rsid w:val="0067574C"/>
    <w:rsid w:val="006811B0"/>
    <w:rsid w:val="006815BE"/>
    <w:rsid w:val="006842F9"/>
    <w:rsid w:val="00685DB2"/>
    <w:rsid w:val="006879BD"/>
    <w:rsid w:val="00690069"/>
    <w:rsid w:val="006934D3"/>
    <w:rsid w:val="006941BF"/>
    <w:rsid w:val="00694C20"/>
    <w:rsid w:val="00696B23"/>
    <w:rsid w:val="00696BBC"/>
    <w:rsid w:val="00697D35"/>
    <w:rsid w:val="006A0F45"/>
    <w:rsid w:val="006A1601"/>
    <w:rsid w:val="006A60DD"/>
    <w:rsid w:val="006B063C"/>
    <w:rsid w:val="006B1404"/>
    <w:rsid w:val="006B1A41"/>
    <w:rsid w:val="006B6026"/>
    <w:rsid w:val="006B6F96"/>
    <w:rsid w:val="006B792C"/>
    <w:rsid w:val="006B7D90"/>
    <w:rsid w:val="006C0355"/>
    <w:rsid w:val="006C18A8"/>
    <w:rsid w:val="006C341A"/>
    <w:rsid w:val="006C3E25"/>
    <w:rsid w:val="006C7F4C"/>
    <w:rsid w:val="006E32B3"/>
    <w:rsid w:val="006E593E"/>
    <w:rsid w:val="006E702D"/>
    <w:rsid w:val="006F7F91"/>
    <w:rsid w:val="00707231"/>
    <w:rsid w:val="00710A2A"/>
    <w:rsid w:val="00710A9A"/>
    <w:rsid w:val="0071499C"/>
    <w:rsid w:val="007322C1"/>
    <w:rsid w:val="00732560"/>
    <w:rsid w:val="00740CC2"/>
    <w:rsid w:val="0075522D"/>
    <w:rsid w:val="0075581C"/>
    <w:rsid w:val="007562B5"/>
    <w:rsid w:val="00761203"/>
    <w:rsid w:val="0076162E"/>
    <w:rsid w:val="00762DBA"/>
    <w:rsid w:val="0076335C"/>
    <w:rsid w:val="007639A9"/>
    <w:rsid w:val="00765383"/>
    <w:rsid w:val="0077012B"/>
    <w:rsid w:val="00775009"/>
    <w:rsid w:val="007777BA"/>
    <w:rsid w:val="00777AF9"/>
    <w:rsid w:val="00780BBA"/>
    <w:rsid w:val="0078226E"/>
    <w:rsid w:val="007A044A"/>
    <w:rsid w:val="007A1AD5"/>
    <w:rsid w:val="007A2C7F"/>
    <w:rsid w:val="007A6C8D"/>
    <w:rsid w:val="007B14D4"/>
    <w:rsid w:val="007B3360"/>
    <w:rsid w:val="007C03BD"/>
    <w:rsid w:val="007C369D"/>
    <w:rsid w:val="007C4FA6"/>
    <w:rsid w:val="007C563B"/>
    <w:rsid w:val="007C62A8"/>
    <w:rsid w:val="007C7E2E"/>
    <w:rsid w:val="007D0352"/>
    <w:rsid w:val="007D0397"/>
    <w:rsid w:val="007D0EEE"/>
    <w:rsid w:val="007D2DCB"/>
    <w:rsid w:val="007D3C7E"/>
    <w:rsid w:val="007D44EB"/>
    <w:rsid w:val="007E252C"/>
    <w:rsid w:val="007E4534"/>
    <w:rsid w:val="007F63D6"/>
    <w:rsid w:val="007F7279"/>
    <w:rsid w:val="00802D3C"/>
    <w:rsid w:val="0080319B"/>
    <w:rsid w:val="00803275"/>
    <w:rsid w:val="008032F9"/>
    <w:rsid w:val="00805E36"/>
    <w:rsid w:val="008108C7"/>
    <w:rsid w:val="008144A0"/>
    <w:rsid w:val="00817DB5"/>
    <w:rsid w:val="00820DA7"/>
    <w:rsid w:val="00827316"/>
    <w:rsid w:val="008309E2"/>
    <w:rsid w:val="00830A4B"/>
    <w:rsid w:val="00831923"/>
    <w:rsid w:val="008357E6"/>
    <w:rsid w:val="0083632F"/>
    <w:rsid w:val="008454CF"/>
    <w:rsid w:val="008471E8"/>
    <w:rsid w:val="0084792A"/>
    <w:rsid w:val="00851265"/>
    <w:rsid w:val="00863E4B"/>
    <w:rsid w:val="00864BFF"/>
    <w:rsid w:val="008652F6"/>
    <w:rsid w:val="00865DC2"/>
    <w:rsid w:val="0086627D"/>
    <w:rsid w:val="00870F34"/>
    <w:rsid w:val="008714D5"/>
    <w:rsid w:val="008719D4"/>
    <w:rsid w:val="00873BFC"/>
    <w:rsid w:val="00882139"/>
    <w:rsid w:val="00891AA2"/>
    <w:rsid w:val="00892575"/>
    <w:rsid w:val="00896F49"/>
    <w:rsid w:val="008A203B"/>
    <w:rsid w:val="008A356F"/>
    <w:rsid w:val="008A3E7B"/>
    <w:rsid w:val="008A47DD"/>
    <w:rsid w:val="008B02D7"/>
    <w:rsid w:val="008B3963"/>
    <w:rsid w:val="008B39BB"/>
    <w:rsid w:val="008B53AE"/>
    <w:rsid w:val="008B5A94"/>
    <w:rsid w:val="008B5C3A"/>
    <w:rsid w:val="008B7870"/>
    <w:rsid w:val="008C285E"/>
    <w:rsid w:val="008C2E8E"/>
    <w:rsid w:val="008C492C"/>
    <w:rsid w:val="008C6E57"/>
    <w:rsid w:val="008C7DD5"/>
    <w:rsid w:val="008D1EB8"/>
    <w:rsid w:val="008D20CE"/>
    <w:rsid w:val="008D338C"/>
    <w:rsid w:val="008D51AD"/>
    <w:rsid w:val="008D6CF8"/>
    <w:rsid w:val="008E0072"/>
    <w:rsid w:val="008E3472"/>
    <w:rsid w:val="008E3B93"/>
    <w:rsid w:val="008F1866"/>
    <w:rsid w:val="008F25A4"/>
    <w:rsid w:val="008F404B"/>
    <w:rsid w:val="008F6A91"/>
    <w:rsid w:val="008F7964"/>
    <w:rsid w:val="0090023B"/>
    <w:rsid w:val="00902F11"/>
    <w:rsid w:val="00903EF8"/>
    <w:rsid w:val="009046CF"/>
    <w:rsid w:val="009072A2"/>
    <w:rsid w:val="00912A73"/>
    <w:rsid w:val="009133BD"/>
    <w:rsid w:val="009222F5"/>
    <w:rsid w:val="00926402"/>
    <w:rsid w:val="00927E69"/>
    <w:rsid w:val="00930477"/>
    <w:rsid w:val="0093143B"/>
    <w:rsid w:val="009317AC"/>
    <w:rsid w:val="00933061"/>
    <w:rsid w:val="00934951"/>
    <w:rsid w:val="00935A46"/>
    <w:rsid w:val="009378EB"/>
    <w:rsid w:val="00944569"/>
    <w:rsid w:val="00945B29"/>
    <w:rsid w:val="0094731B"/>
    <w:rsid w:val="0095158A"/>
    <w:rsid w:val="00952A55"/>
    <w:rsid w:val="00952F84"/>
    <w:rsid w:val="00955A96"/>
    <w:rsid w:val="0095637A"/>
    <w:rsid w:val="00960464"/>
    <w:rsid w:val="009637BC"/>
    <w:rsid w:val="00965CD0"/>
    <w:rsid w:val="00966894"/>
    <w:rsid w:val="00966D1C"/>
    <w:rsid w:val="00967687"/>
    <w:rsid w:val="00967CA2"/>
    <w:rsid w:val="00972636"/>
    <w:rsid w:val="00972971"/>
    <w:rsid w:val="009735BF"/>
    <w:rsid w:val="009737E2"/>
    <w:rsid w:val="009751BC"/>
    <w:rsid w:val="00975F89"/>
    <w:rsid w:val="00977B5C"/>
    <w:rsid w:val="00984923"/>
    <w:rsid w:val="00990B75"/>
    <w:rsid w:val="00991CEF"/>
    <w:rsid w:val="009933A7"/>
    <w:rsid w:val="00993887"/>
    <w:rsid w:val="00994210"/>
    <w:rsid w:val="00996262"/>
    <w:rsid w:val="00997693"/>
    <w:rsid w:val="00997DF8"/>
    <w:rsid w:val="009A356A"/>
    <w:rsid w:val="009A38CB"/>
    <w:rsid w:val="009A3D61"/>
    <w:rsid w:val="009A6E5E"/>
    <w:rsid w:val="009B11CB"/>
    <w:rsid w:val="009B351A"/>
    <w:rsid w:val="009B5201"/>
    <w:rsid w:val="009B5917"/>
    <w:rsid w:val="009C28F2"/>
    <w:rsid w:val="009C322E"/>
    <w:rsid w:val="009C45AE"/>
    <w:rsid w:val="009C4887"/>
    <w:rsid w:val="009C4896"/>
    <w:rsid w:val="009C5E2F"/>
    <w:rsid w:val="009D0C8D"/>
    <w:rsid w:val="009D137B"/>
    <w:rsid w:val="009D3D3D"/>
    <w:rsid w:val="009D4067"/>
    <w:rsid w:val="009E5E3B"/>
    <w:rsid w:val="009E750E"/>
    <w:rsid w:val="00A01048"/>
    <w:rsid w:val="00A0411C"/>
    <w:rsid w:val="00A05B6A"/>
    <w:rsid w:val="00A06F92"/>
    <w:rsid w:val="00A11962"/>
    <w:rsid w:val="00A11EBA"/>
    <w:rsid w:val="00A17F57"/>
    <w:rsid w:val="00A202F8"/>
    <w:rsid w:val="00A2295B"/>
    <w:rsid w:val="00A22EE9"/>
    <w:rsid w:val="00A24DE3"/>
    <w:rsid w:val="00A24EEE"/>
    <w:rsid w:val="00A26B87"/>
    <w:rsid w:val="00A275DE"/>
    <w:rsid w:val="00A27B29"/>
    <w:rsid w:val="00A27CD1"/>
    <w:rsid w:val="00A30B2A"/>
    <w:rsid w:val="00A32608"/>
    <w:rsid w:val="00A334F3"/>
    <w:rsid w:val="00A40A9A"/>
    <w:rsid w:val="00A40C1D"/>
    <w:rsid w:val="00A4299F"/>
    <w:rsid w:val="00A42EB5"/>
    <w:rsid w:val="00A4776B"/>
    <w:rsid w:val="00A51106"/>
    <w:rsid w:val="00A51608"/>
    <w:rsid w:val="00A55425"/>
    <w:rsid w:val="00A61353"/>
    <w:rsid w:val="00A6782A"/>
    <w:rsid w:val="00A703D8"/>
    <w:rsid w:val="00A71655"/>
    <w:rsid w:val="00A73B4D"/>
    <w:rsid w:val="00A74530"/>
    <w:rsid w:val="00A765EC"/>
    <w:rsid w:val="00A80559"/>
    <w:rsid w:val="00A80AA6"/>
    <w:rsid w:val="00A80B55"/>
    <w:rsid w:val="00A80F48"/>
    <w:rsid w:val="00A82129"/>
    <w:rsid w:val="00A857F2"/>
    <w:rsid w:val="00A85E63"/>
    <w:rsid w:val="00A90799"/>
    <w:rsid w:val="00A91B8D"/>
    <w:rsid w:val="00A9361E"/>
    <w:rsid w:val="00A93A2D"/>
    <w:rsid w:val="00A96370"/>
    <w:rsid w:val="00AA0FD3"/>
    <w:rsid w:val="00AA2A46"/>
    <w:rsid w:val="00AA2D17"/>
    <w:rsid w:val="00AA33A7"/>
    <w:rsid w:val="00AA67B5"/>
    <w:rsid w:val="00AB0319"/>
    <w:rsid w:val="00AB0460"/>
    <w:rsid w:val="00AB2461"/>
    <w:rsid w:val="00AB6105"/>
    <w:rsid w:val="00AC26C4"/>
    <w:rsid w:val="00AD006C"/>
    <w:rsid w:val="00AD03A0"/>
    <w:rsid w:val="00AD23C0"/>
    <w:rsid w:val="00AD2519"/>
    <w:rsid w:val="00AD26B2"/>
    <w:rsid w:val="00AE3267"/>
    <w:rsid w:val="00AE5E71"/>
    <w:rsid w:val="00AE5F79"/>
    <w:rsid w:val="00AE7923"/>
    <w:rsid w:val="00AF4E54"/>
    <w:rsid w:val="00AF7EC2"/>
    <w:rsid w:val="00B02AB0"/>
    <w:rsid w:val="00B05880"/>
    <w:rsid w:val="00B05B2E"/>
    <w:rsid w:val="00B05F34"/>
    <w:rsid w:val="00B125EB"/>
    <w:rsid w:val="00B15DFD"/>
    <w:rsid w:val="00B171E2"/>
    <w:rsid w:val="00B17CE6"/>
    <w:rsid w:val="00B21186"/>
    <w:rsid w:val="00B21464"/>
    <w:rsid w:val="00B24291"/>
    <w:rsid w:val="00B2472E"/>
    <w:rsid w:val="00B33B1E"/>
    <w:rsid w:val="00B35B1D"/>
    <w:rsid w:val="00B37E75"/>
    <w:rsid w:val="00B4357C"/>
    <w:rsid w:val="00B43B27"/>
    <w:rsid w:val="00B4605F"/>
    <w:rsid w:val="00B46679"/>
    <w:rsid w:val="00B51F44"/>
    <w:rsid w:val="00B5333A"/>
    <w:rsid w:val="00B55845"/>
    <w:rsid w:val="00B56FB9"/>
    <w:rsid w:val="00B61911"/>
    <w:rsid w:val="00B66B5D"/>
    <w:rsid w:val="00B7136B"/>
    <w:rsid w:val="00B72196"/>
    <w:rsid w:val="00B72AE8"/>
    <w:rsid w:val="00B87E27"/>
    <w:rsid w:val="00B9125E"/>
    <w:rsid w:val="00B938A1"/>
    <w:rsid w:val="00BA2AF3"/>
    <w:rsid w:val="00BA3531"/>
    <w:rsid w:val="00BA762B"/>
    <w:rsid w:val="00BB33DA"/>
    <w:rsid w:val="00BB4382"/>
    <w:rsid w:val="00BB4611"/>
    <w:rsid w:val="00BB662C"/>
    <w:rsid w:val="00BB69DB"/>
    <w:rsid w:val="00BB6DDA"/>
    <w:rsid w:val="00BC2BA4"/>
    <w:rsid w:val="00BC46B7"/>
    <w:rsid w:val="00BC6C83"/>
    <w:rsid w:val="00BD5A6F"/>
    <w:rsid w:val="00BD66D3"/>
    <w:rsid w:val="00BE535D"/>
    <w:rsid w:val="00BF1D25"/>
    <w:rsid w:val="00BF41B5"/>
    <w:rsid w:val="00BF46C1"/>
    <w:rsid w:val="00BF4F70"/>
    <w:rsid w:val="00BF56C7"/>
    <w:rsid w:val="00BF6B5C"/>
    <w:rsid w:val="00C05C74"/>
    <w:rsid w:val="00C071DD"/>
    <w:rsid w:val="00C10E8C"/>
    <w:rsid w:val="00C10FDF"/>
    <w:rsid w:val="00C13392"/>
    <w:rsid w:val="00C15A4D"/>
    <w:rsid w:val="00C20853"/>
    <w:rsid w:val="00C21D3F"/>
    <w:rsid w:val="00C23A0E"/>
    <w:rsid w:val="00C23EFB"/>
    <w:rsid w:val="00C26C83"/>
    <w:rsid w:val="00C31A48"/>
    <w:rsid w:val="00C32093"/>
    <w:rsid w:val="00C34581"/>
    <w:rsid w:val="00C34A3C"/>
    <w:rsid w:val="00C34A50"/>
    <w:rsid w:val="00C41EED"/>
    <w:rsid w:val="00C42277"/>
    <w:rsid w:val="00C42DD3"/>
    <w:rsid w:val="00C459B8"/>
    <w:rsid w:val="00C50E1C"/>
    <w:rsid w:val="00C52A9E"/>
    <w:rsid w:val="00C5496E"/>
    <w:rsid w:val="00C560A6"/>
    <w:rsid w:val="00C60BB2"/>
    <w:rsid w:val="00C61B7B"/>
    <w:rsid w:val="00C65875"/>
    <w:rsid w:val="00C701E1"/>
    <w:rsid w:val="00C709B9"/>
    <w:rsid w:val="00C70A50"/>
    <w:rsid w:val="00C71102"/>
    <w:rsid w:val="00C725F3"/>
    <w:rsid w:val="00C750F9"/>
    <w:rsid w:val="00C76561"/>
    <w:rsid w:val="00C77C81"/>
    <w:rsid w:val="00C805AF"/>
    <w:rsid w:val="00C84766"/>
    <w:rsid w:val="00C84BCD"/>
    <w:rsid w:val="00C84E70"/>
    <w:rsid w:val="00CA79E4"/>
    <w:rsid w:val="00CB1842"/>
    <w:rsid w:val="00CB2370"/>
    <w:rsid w:val="00CB3353"/>
    <w:rsid w:val="00CB624E"/>
    <w:rsid w:val="00CD15C9"/>
    <w:rsid w:val="00CD3ABB"/>
    <w:rsid w:val="00CD6AF9"/>
    <w:rsid w:val="00CE3788"/>
    <w:rsid w:val="00CE53C3"/>
    <w:rsid w:val="00CE5D55"/>
    <w:rsid w:val="00CE66A2"/>
    <w:rsid w:val="00CF1BED"/>
    <w:rsid w:val="00CF48F9"/>
    <w:rsid w:val="00CF4BBF"/>
    <w:rsid w:val="00CF667C"/>
    <w:rsid w:val="00CF761B"/>
    <w:rsid w:val="00D01429"/>
    <w:rsid w:val="00D0677D"/>
    <w:rsid w:val="00D107BA"/>
    <w:rsid w:val="00D135BA"/>
    <w:rsid w:val="00D151E6"/>
    <w:rsid w:val="00D217AF"/>
    <w:rsid w:val="00D22489"/>
    <w:rsid w:val="00D22C07"/>
    <w:rsid w:val="00D34661"/>
    <w:rsid w:val="00D357E0"/>
    <w:rsid w:val="00D360E0"/>
    <w:rsid w:val="00D43A11"/>
    <w:rsid w:val="00D442D2"/>
    <w:rsid w:val="00D46A18"/>
    <w:rsid w:val="00D47EBE"/>
    <w:rsid w:val="00D51360"/>
    <w:rsid w:val="00D52ABB"/>
    <w:rsid w:val="00D55FCE"/>
    <w:rsid w:val="00D64515"/>
    <w:rsid w:val="00D6547A"/>
    <w:rsid w:val="00D663FE"/>
    <w:rsid w:val="00D673AC"/>
    <w:rsid w:val="00D70DED"/>
    <w:rsid w:val="00D76BF6"/>
    <w:rsid w:val="00D83040"/>
    <w:rsid w:val="00D835B3"/>
    <w:rsid w:val="00D90132"/>
    <w:rsid w:val="00D90D1F"/>
    <w:rsid w:val="00D9240F"/>
    <w:rsid w:val="00D926C9"/>
    <w:rsid w:val="00D92AFD"/>
    <w:rsid w:val="00D94FB1"/>
    <w:rsid w:val="00D97340"/>
    <w:rsid w:val="00DA018E"/>
    <w:rsid w:val="00DA4552"/>
    <w:rsid w:val="00DA565E"/>
    <w:rsid w:val="00DA61DC"/>
    <w:rsid w:val="00DA785A"/>
    <w:rsid w:val="00DB2E6F"/>
    <w:rsid w:val="00DB6F88"/>
    <w:rsid w:val="00DC3B6D"/>
    <w:rsid w:val="00DC563E"/>
    <w:rsid w:val="00DC7CF9"/>
    <w:rsid w:val="00DD1CFE"/>
    <w:rsid w:val="00DD4D97"/>
    <w:rsid w:val="00DD658B"/>
    <w:rsid w:val="00DE5DB6"/>
    <w:rsid w:val="00DF06E6"/>
    <w:rsid w:val="00DF30CD"/>
    <w:rsid w:val="00DF44FC"/>
    <w:rsid w:val="00DF5A40"/>
    <w:rsid w:val="00DF5D8D"/>
    <w:rsid w:val="00DF600E"/>
    <w:rsid w:val="00DF657F"/>
    <w:rsid w:val="00E0076D"/>
    <w:rsid w:val="00E014E2"/>
    <w:rsid w:val="00E03084"/>
    <w:rsid w:val="00E043BE"/>
    <w:rsid w:val="00E063E7"/>
    <w:rsid w:val="00E14614"/>
    <w:rsid w:val="00E15B11"/>
    <w:rsid w:val="00E16115"/>
    <w:rsid w:val="00E166BC"/>
    <w:rsid w:val="00E17562"/>
    <w:rsid w:val="00E243F8"/>
    <w:rsid w:val="00E24E4B"/>
    <w:rsid w:val="00E2640B"/>
    <w:rsid w:val="00E31298"/>
    <w:rsid w:val="00E321A9"/>
    <w:rsid w:val="00E32EFC"/>
    <w:rsid w:val="00E35D79"/>
    <w:rsid w:val="00E40AB1"/>
    <w:rsid w:val="00E44D61"/>
    <w:rsid w:val="00E46198"/>
    <w:rsid w:val="00E50775"/>
    <w:rsid w:val="00E522D1"/>
    <w:rsid w:val="00E535DA"/>
    <w:rsid w:val="00E55389"/>
    <w:rsid w:val="00E5576C"/>
    <w:rsid w:val="00E55D91"/>
    <w:rsid w:val="00E57665"/>
    <w:rsid w:val="00E61580"/>
    <w:rsid w:val="00E61634"/>
    <w:rsid w:val="00E61F98"/>
    <w:rsid w:val="00E635C5"/>
    <w:rsid w:val="00E6540E"/>
    <w:rsid w:val="00E711E7"/>
    <w:rsid w:val="00E73A51"/>
    <w:rsid w:val="00E7400B"/>
    <w:rsid w:val="00E77A45"/>
    <w:rsid w:val="00E81965"/>
    <w:rsid w:val="00E85A7D"/>
    <w:rsid w:val="00E934E5"/>
    <w:rsid w:val="00E94094"/>
    <w:rsid w:val="00E94AF6"/>
    <w:rsid w:val="00E9700A"/>
    <w:rsid w:val="00EA0143"/>
    <w:rsid w:val="00EA06D5"/>
    <w:rsid w:val="00EA40F6"/>
    <w:rsid w:val="00EA4B6A"/>
    <w:rsid w:val="00EB298F"/>
    <w:rsid w:val="00EB46D6"/>
    <w:rsid w:val="00EB6D73"/>
    <w:rsid w:val="00EB70CC"/>
    <w:rsid w:val="00EC03CF"/>
    <w:rsid w:val="00EC11CD"/>
    <w:rsid w:val="00EC4B88"/>
    <w:rsid w:val="00EC7206"/>
    <w:rsid w:val="00ED0765"/>
    <w:rsid w:val="00ED09DD"/>
    <w:rsid w:val="00ED145B"/>
    <w:rsid w:val="00ED24B0"/>
    <w:rsid w:val="00ED3F65"/>
    <w:rsid w:val="00ED7A36"/>
    <w:rsid w:val="00EE1689"/>
    <w:rsid w:val="00EE41FC"/>
    <w:rsid w:val="00EE47A4"/>
    <w:rsid w:val="00EE525E"/>
    <w:rsid w:val="00EE5645"/>
    <w:rsid w:val="00EE64DE"/>
    <w:rsid w:val="00EF1289"/>
    <w:rsid w:val="00EF484D"/>
    <w:rsid w:val="00EF4929"/>
    <w:rsid w:val="00EF5B7E"/>
    <w:rsid w:val="00F0026D"/>
    <w:rsid w:val="00F0523B"/>
    <w:rsid w:val="00F162FB"/>
    <w:rsid w:val="00F220CD"/>
    <w:rsid w:val="00F232D7"/>
    <w:rsid w:val="00F233AC"/>
    <w:rsid w:val="00F2430C"/>
    <w:rsid w:val="00F262E1"/>
    <w:rsid w:val="00F2657A"/>
    <w:rsid w:val="00F279C2"/>
    <w:rsid w:val="00F30809"/>
    <w:rsid w:val="00F311F1"/>
    <w:rsid w:val="00F32E72"/>
    <w:rsid w:val="00F32F2D"/>
    <w:rsid w:val="00F33ED3"/>
    <w:rsid w:val="00F352A1"/>
    <w:rsid w:val="00F365D5"/>
    <w:rsid w:val="00F373F3"/>
    <w:rsid w:val="00F45A5D"/>
    <w:rsid w:val="00F50727"/>
    <w:rsid w:val="00F516D2"/>
    <w:rsid w:val="00F54362"/>
    <w:rsid w:val="00F54F02"/>
    <w:rsid w:val="00F55432"/>
    <w:rsid w:val="00F556CA"/>
    <w:rsid w:val="00F55AD9"/>
    <w:rsid w:val="00F576F5"/>
    <w:rsid w:val="00F605E7"/>
    <w:rsid w:val="00F644C0"/>
    <w:rsid w:val="00F6467D"/>
    <w:rsid w:val="00F65D0A"/>
    <w:rsid w:val="00F71EDD"/>
    <w:rsid w:val="00F73A68"/>
    <w:rsid w:val="00F76901"/>
    <w:rsid w:val="00F806A1"/>
    <w:rsid w:val="00F86F80"/>
    <w:rsid w:val="00F90C92"/>
    <w:rsid w:val="00F95FAA"/>
    <w:rsid w:val="00FA48E6"/>
    <w:rsid w:val="00FB27DC"/>
    <w:rsid w:val="00FB3490"/>
    <w:rsid w:val="00FB7197"/>
    <w:rsid w:val="00FB790F"/>
    <w:rsid w:val="00FC0A52"/>
    <w:rsid w:val="00FC213A"/>
    <w:rsid w:val="00FC2567"/>
    <w:rsid w:val="00FC40BE"/>
    <w:rsid w:val="00FC4BAD"/>
    <w:rsid w:val="00FC6922"/>
    <w:rsid w:val="00FD0FEA"/>
    <w:rsid w:val="00FD1735"/>
    <w:rsid w:val="00FD3AC3"/>
    <w:rsid w:val="00FE1DAD"/>
    <w:rsid w:val="00FE7A1D"/>
    <w:rsid w:val="00FF444F"/>
    <w:rsid w:val="00FF52A4"/>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1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basedOn w:val="DefaultParagraphFont"/>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3B2D3A"/>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12EA"/>
    <w:rPr>
      <w:rFonts w:asciiTheme="majorHAnsi" w:eastAsiaTheme="majorEastAsia" w:hAnsiTheme="majorHAnsi"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basedOn w:val="DefaultParagraphFont"/>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basedOn w:val="DefaultParagraphFont"/>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basedOn w:val="DefaultParagraphFont"/>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1218BB"/>
    <w:pPr>
      <w:spacing w:after="100"/>
    </w:pPr>
  </w:style>
  <w:style w:type="paragraph" w:styleId="TOC2">
    <w:name w:val="toc 2"/>
    <w:basedOn w:val="Normal"/>
    <w:next w:val="Normal"/>
    <w:autoRedefine/>
    <w:uiPriority w:val="39"/>
    <w:unhideWhenUsed/>
    <w:rsid w:val="00FD3AC3"/>
    <w:pPr>
      <w:tabs>
        <w:tab w:val="right" w:leader="dot" w:pos="9350"/>
      </w:tabs>
      <w:spacing w:after="100"/>
      <w:ind w:left="245"/>
    </w:pPr>
  </w:style>
  <w:style w:type="paragraph" w:customStyle="1" w:styleId="Style1">
    <w:name w:val="Style1"/>
    <w:basedOn w:val="ListParagraph"/>
    <w:link w:val="Style1Char"/>
    <w:qFormat/>
    <w:rsid w:val="00A90799"/>
    <w:pPr>
      <w:numPr>
        <w:numId w:val="3"/>
      </w:numPr>
    </w:pPr>
  </w:style>
  <w:style w:type="character" w:customStyle="1" w:styleId="Style1Char">
    <w:name w:val="Style1 Char"/>
    <w:basedOn w:val="ListParagraph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basedOn w:val="DefaultParagraphFont"/>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3B2D3A"/>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012EA"/>
    <w:rPr>
      <w:rFonts w:asciiTheme="majorHAnsi" w:eastAsiaTheme="majorEastAsia" w:hAnsiTheme="majorHAnsi"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basedOn w:val="DefaultParagraphFont"/>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basedOn w:val="DefaultParagraphFont"/>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basedOn w:val="DefaultParagraphFont"/>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1218BB"/>
    <w:pPr>
      <w:spacing w:after="100"/>
    </w:pPr>
  </w:style>
  <w:style w:type="paragraph" w:styleId="TOC2">
    <w:name w:val="toc 2"/>
    <w:basedOn w:val="Normal"/>
    <w:next w:val="Normal"/>
    <w:autoRedefine/>
    <w:uiPriority w:val="39"/>
    <w:unhideWhenUsed/>
    <w:rsid w:val="00FD3AC3"/>
    <w:pPr>
      <w:tabs>
        <w:tab w:val="right" w:leader="dot" w:pos="9350"/>
      </w:tabs>
      <w:spacing w:after="100"/>
      <w:ind w:left="245"/>
    </w:pPr>
  </w:style>
  <w:style w:type="paragraph" w:customStyle="1" w:styleId="Style1">
    <w:name w:val="Style1"/>
    <w:basedOn w:val="ListParagraph"/>
    <w:link w:val="Style1Char"/>
    <w:qFormat/>
    <w:rsid w:val="00A90799"/>
    <w:pPr>
      <w:numPr>
        <w:numId w:val="3"/>
      </w:numPr>
    </w:pPr>
  </w:style>
  <w:style w:type="character" w:customStyle="1" w:styleId="Style1Char">
    <w:name w:val="Style1 Char"/>
    <w:basedOn w:val="ListParagraph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719">
      <w:bodyDiv w:val="1"/>
      <w:marLeft w:val="0"/>
      <w:marRight w:val="0"/>
      <w:marTop w:val="0"/>
      <w:marBottom w:val="0"/>
      <w:divBdr>
        <w:top w:val="none" w:sz="0" w:space="0" w:color="auto"/>
        <w:left w:val="none" w:sz="0" w:space="0" w:color="auto"/>
        <w:bottom w:val="none" w:sz="0" w:space="0" w:color="auto"/>
        <w:right w:val="none" w:sz="0" w:space="0" w:color="auto"/>
      </w:divBdr>
    </w:div>
    <w:div w:id="35738105">
      <w:bodyDiv w:val="1"/>
      <w:marLeft w:val="0"/>
      <w:marRight w:val="0"/>
      <w:marTop w:val="0"/>
      <w:marBottom w:val="0"/>
      <w:divBdr>
        <w:top w:val="none" w:sz="0" w:space="0" w:color="auto"/>
        <w:left w:val="none" w:sz="0" w:space="0" w:color="auto"/>
        <w:bottom w:val="none" w:sz="0" w:space="0" w:color="auto"/>
        <w:right w:val="none" w:sz="0" w:space="0" w:color="auto"/>
      </w:divBdr>
    </w:div>
    <w:div w:id="39087567">
      <w:bodyDiv w:val="1"/>
      <w:marLeft w:val="0"/>
      <w:marRight w:val="0"/>
      <w:marTop w:val="0"/>
      <w:marBottom w:val="0"/>
      <w:divBdr>
        <w:top w:val="none" w:sz="0" w:space="0" w:color="auto"/>
        <w:left w:val="none" w:sz="0" w:space="0" w:color="auto"/>
        <w:bottom w:val="none" w:sz="0" w:space="0" w:color="auto"/>
        <w:right w:val="none" w:sz="0" w:space="0" w:color="auto"/>
      </w:divBdr>
    </w:div>
    <w:div w:id="212238183">
      <w:bodyDiv w:val="1"/>
      <w:marLeft w:val="0"/>
      <w:marRight w:val="0"/>
      <w:marTop w:val="0"/>
      <w:marBottom w:val="0"/>
      <w:divBdr>
        <w:top w:val="none" w:sz="0" w:space="0" w:color="auto"/>
        <w:left w:val="none" w:sz="0" w:space="0" w:color="auto"/>
        <w:bottom w:val="none" w:sz="0" w:space="0" w:color="auto"/>
        <w:right w:val="none" w:sz="0" w:space="0" w:color="auto"/>
      </w:divBdr>
    </w:div>
    <w:div w:id="313336772">
      <w:bodyDiv w:val="1"/>
      <w:marLeft w:val="0"/>
      <w:marRight w:val="0"/>
      <w:marTop w:val="0"/>
      <w:marBottom w:val="0"/>
      <w:divBdr>
        <w:top w:val="none" w:sz="0" w:space="0" w:color="auto"/>
        <w:left w:val="none" w:sz="0" w:space="0" w:color="auto"/>
        <w:bottom w:val="none" w:sz="0" w:space="0" w:color="auto"/>
        <w:right w:val="none" w:sz="0" w:space="0" w:color="auto"/>
      </w:divBdr>
    </w:div>
    <w:div w:id="511143388">
      <w:bodyDiv w:val="1"/>
      <w:marLeft w:val="0"/>
      <w:marRight w:val="0"/>
      <w:marTop w:val="0"/>
      <w:marBottom w:val="0"/>
      <w:divBdr>
        <w:top w:val="none" w:sz="0" w:space="0" w:color="auto"/>
        <w:left w:val="none" w:sz="0" w:space="0" w:color="auto"/>
        <w:bottom w:val="none" w:sz="0" w:space="0" w:color="auto"/>
        <w:right w:val="none" w:sz="0" w:space="0" w:color="auto"/>
      </w:divBdr>
    </w:div>
    <w:div w:id="598290747">
      <w:bodyDiv w:val="1"/>
      <w:marLeft w:val="0"/>
      <w:marRight w:val="0"/>
      <w:marTop w:val="0"/>
      <w:marBottom w:val="0"/>
      <w:divBdr>
        <w:top w:val="none" w:sz="0" w:space="0" w:color="auto"/>
        <w:left w:val="none" w:sz="0" w:space="0" w:color="auto"/>
        <w:bottom w:val="none" w:sz="0" w:space="0" w:color="auto"/>
        <w:right w:val="none" w:sz="0" w:space="0" w:color="auto"/>
      </w:divBdr>
    </w:div>
    <w:div w:id="603804730">
      <w:bodyDiv w:val="1"/>
      <w:marLeft w:val="0"/>
      <w:marRight w:val="0"/>
      <w:marTop w:val="0"/>
      <w:marBottom w:val="0"/>
      <w:divBdr>
        <w:top w:val="none" w:sz="0" w:space="0" w:color="auto"/>
        <w:left w:val="none" w:sz="0" w:space="0" w:color="auto"/>
        <w:bottom w:val="none" w:sz="0" w:space="0" w:color="auto"/>
        <w:right w:val="none" w:sz="0" w:space="0" w:color="auto"/>
      </w:divBdr>
    </w:div>
    <w:div w:id="681279313">
      <w:bodyDiv w:val="1"/>
      <w:marLeft w:val="0"/>
      <w:marRight w:val="0"/>
      <w:marTop w:val="0"/>
      <w:marBottom w:val="0"/>
      <w:divBdr>
        <w:top w:val="none" w:sz="0" w:space="0" w:color="auto"/>
        <w:left w:val="none" w:sz="0" w:space="0" w:color="auto"/>
        <w:bottom w:val="none" w:sz="0" w:space="0" w:color="auto"/>
        <w:right w:val="none" w:sz="0" w:space="0" w:color="auto"/>
      </w:divBdr>
    </w:div>
    <w:div w:id="774446672">
      <w:bodyDiv w:val="1"/>
      <w:marLeft w:val="0"/>
      <w:marRight w:val="0"/>
      <w:marTop w:val="0"/>
      <w:marBottom w:val="0"/>
      <w:divBdr>
        <w:top w:val="none" w:sz="0" w:space="0" w:color="auto"/>
        <w:left w:val="none" w:sz="0" w:space="0" w:color="auto"/>
        <w:bottom w:val="none" w:sz="0" w:space="0" w:color="auto"/>
        <w:right w:val="none" w:sz="0" w:space="0" w:color="auto"/>
      </w:divBdr>
    </w:div>
    <w:div w:id="839084188">
      <w:bodyDiv w:val="1"/>
      <w:marLeft w:val="0"/>
      <w:marRight w:val="0"/>
      <w:marTop w:val="0"/>
      <w:marBottom w:val="0"/>
      <w:divBdr>
        <w:top w:val="none" w:sz="0" w:space="0" w:color="auto"/>
        <w:left w:val="none" w:sz="0" w:space="0" w:color="auto"/>
        <w:bottom w:val="none" w:sz="0" w:space="0" w:color="auto"/>
        <w:right w:val="none" w:sz="0" w:space="0" w:color="auto"/>
      </w:divBdr>
    </w:div>
    <w:div w:id="847713815">
      <w:bodyDiv w:val="1"/>
      <w:marLeft w:val="0"/>
      <w:marRight w:val="0"/>
      <w:marTop w:val="0"/>
      <w:marBottom w:val="0"/>
      <w:divBdr>
        <w:top w:val="none" w:sz="0" w:space="0" w:color="auto"/>
        <w:left w:val="none" w:sz="0" w:space="0" w:color="auto"/>
        <w:bottom w:val="none" w:sz="0" w:space="0" w:color="auto"/>
        <w:right w:val="none" w:sz="0" w:space="0" w:color="auto"/>
      </w:divBdr>
    </w:div>
    <w:div w:id="1160929414">
      <w:bodyDiv w:val="1"/>
      <w:marLeft w:val="0"/>
      <w:marRight w:val="0"/>
      <w:marTop w:val="0"/>
      <w:marBottom w:val="0"/>
      <w:divBdr>
        <w:top w:val="none" w:sz="0" w:space="0" w:color="auto"/>
        <w:left w:val="none" w:sz="0" w:space="0" w:color="auto"/>
        <w:bottom w:val="none" w:sz="0" w:space="0" w:color="auto"/>
        <w:right w:val="none" w:sz="0" w:space="0" w:color="auto"/>
      </w:divBdr>
    </w:div>
    <w:div w:id="1163276941">
      <w:bodyDiv w:val="1"/>
      <w:marLeft w:val="0"/>
      <w:marRight w:val="0"/>
      <w:marTop w:val="0"/>
      <w:marBottom w:val="0"/>
      <w:divBdr>
        <w:top w:val="none" w:sz="0" w:space="0" w:color="auto"/>
        <w:left w:val="none" w:sz="0" w:space="0" w:color="auto"/>
        <w:bottom w:val="none" w:sz="0" w:space="0" w:color="auto"/>
        <w:right w:val="none" w:sz="0" w:space="0" w:color="auto"/>
      </w:divBdr>
    </w:div>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 w:id="1385913867">
      <w:bodyDiv w:val="1"/>
      <w:marLeft w:val="0"/>
      <w:marRight w:val="0"/>
      <w:marTop w:val="0"/>
      <w:marBottom w:val="0"/>
      <w:divBdr>
        <w:top w:val="none" w:sz="0" w:space="0" w:color="auto"/>
        <w:left w:val="none" w:sz="0" w:space="0" w:color="auto"/>
        <w:bottom w:val="none" w:sz="0" w:space="0" w:color="auto"/>
        <w:right w:val="none" w:sz="0" w:space="0" w:color="auto"/>
      </w:divBdr>
    </w:div>
    <w:div w:id="1725325703">
      <w:bodyDiv w:val="1"/>
      <w:marLeft w:val="0"/>
      <w:marRight w:val="0"/>
      <w:marTop w:val="0"/>
      <w:marBottom w:val="0"/>
      <w:divBdr>
        <w:top w:val="none" w:sz="0" w:space="0" w:color="auto"/>
        <w:left w:val="none" w:sz="0" w:space="0" w:color="auto"/>
        <w:bottom w:val="none" w:sz="0" w:space="0" w:color="auto"/>
        <w:right w:val="none" w:sz="0" w:space="0" w:color="auto"/>
      </w:divBdr>
    </w:div>
    <w:div w:id="1751654384">
      <w:bodyDiv w:val="1"/>
      <w:marLeft w:val="0"/>
      <w:marRight w:val="0"/>
      <w:marTop w:val="0"/>
      <w:marBottom w:val="0"/>
      <w:divBdr>
        <w:top w:val="none" w:sz="0" w:space="0" w:color="auto"/>
        <w:left w:val="none" w:sz="0" w:space="0" w:color="auto"/>
        <w:bottom w:val="none" w:sz="0" w:space="0" w:color="auto"/>
        <w:right w:val="none" w:sz="0" w:space="0" w:color="auto"/>
      </w:divBdr>
    </w:div>
    <w:div w:id="1825509499">
      <w:bodyDiv w:val="1"/>
      <w:marLeft w:val="0"/>
      <w:marRight w:val="0"/>
      <w:marTop w:val="0"/>
      <w:marBottom w:val="0"/>
      <w:divBdr>
        <w:top w:val="none" w:sz="0" w:space="0" w:color="auto"/>
        <w:left w:val="none" w:sz="0" w:space="0" w:color="auto"/>
        <w:bottom w:val="none" w:sz="0" w:space="0" w:color="auto"/>
        <w:right w:val="none" w:sz="0" w:space="0" w:color="auto"/>
      </w:divBdr>
    </w:div>
    <w:div w:id="21454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ancommunity.org/" TargetMode="External"/><Relationship Id="rId18" Type="http://schemas.openxmlformats.org/officeDocument/2006/relationships/hyperlink" Target="https://projectreporter.nih.gov/project_info_description.cfm?aid=9131788&amp;icde=3288079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hildhealthdata.org/learn/NSCH" TargetMode="External"/><Relationship Id="rId17" Type="http://schemas.openxmlformats.org/officeDocument/2006/relationships/hyperlink" Target="http://vkc.mc.vanderbilt.edu/notables/2015/03/improving-transition-for-youth-with-autism/" TargetMode="External"/><Relationship Id="rId2" Type="http://schemas.openxmlformats.org/officeDocument/2006/relationships/numbering" Target="numbering.xml"/><Relationship Id="rId16" Type="http://schemas.openxmlformats.org/officeDocument/2006/relationships/hyperlink" Target="https://www.teacch.com/research/understanding-autism-in-adulthood-research-study"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nhis/" TargetMode="External"/><Relationship Id="rId5" Type="http://schemas.openxmlformats.org/officeDocument/2006/relationships/settings" Target="settings.xml"/><Relationship Id="rId15" Type="http://schemas.openxmlformats.org/officeDocument/2006/relationships/hyperlink" Target="http://www.waisman.wisc.edu/family/study_autism.html" TargetMode="External"/><Relationship Id="rId10" Type="http://schemas.openxmlformats.org/officeDocument/2006/relationships/hyperlink" Target="https://iacc.hhs.gov/publications/strategic-plan/2009/" TargetMode="External"/><Relationship Id="rId19" Type="http://schemas.openxmlformats.org/officeDocument/2006/relationships/hyperlink" Target="https://projectreporter.nih.gov/project_info_description.cfm?aid=8268499&amp;icde=666291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es.ed.gov/ncser/projects/nlts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D209-79B4-4A14-9643-5B14AA86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8474</Words>
  <Characters>48306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Shapira, Stuart (CDC/ONDIEH/NCBDDD)</dc:creator>
  <cp:lastModifiedBy>SYSTEM</cp:lastModifiedBy>
  <cp:revision>2</cp:revision>
  <dcterms:created xsi:type="dcterms:W3CDTF">2018-02-28T17:33:00Z</dcterms:created>
  <dcterms:modified xsi:type="dcterms:W3CDTF">2018-02-28T17:33:00Z</dcterms:modified>
</cp:coreProperties>
</file>