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1770" w14:textId="77777777" w:rsidR="00304BBB" w:rsidRDefault="00304BBB" w:rsidP="009A79E1">
      <w:bookmarkStart w:id="0" w:name="_Toc473880015"/>
      <w:bookmarkStart w:id="1" w:name="_GoBack"/>
      <w:bookmarkEnd w:id="1"/>
    </w:p>
    <w:p w14:paraId="55FE1771" w14:textId="77777777" w:rsidR="00304BBB" w:rsidRDefault="00304BBB" w:rsidP="009A79E1"/>
    <w:bookmarkEnd w:id="0"/>
    <w:p w14:paraId="55FE1773" w14:textId="53570717" w:rsidR="004A13E8" w:rsidRDefault="00AE5536" w:rsidP="004A13E8">
      <w:pPr>
        <w:spacing w:after="0" w:line="240" w:lineRule="auto"/>
        <w:jc w:val="center"/>
        <w:rPr>
          <w:b/>
        </w:rPr>
      </w:pPr>
      <w:r w:rsidRPr="00AE5536">
        <w:rPr>
          <w:b/>
          <w:sz w:val="40"/>
          <w:szCs w:val="40"/>
        </w:rPr>
        <w:t xml:space="preserve">Backyard Integrated Tick Management </w:t>
      </w:r>
      <w:r w:rsidR="00F82F7A">
        <w:rPr>
          <w:b/>
          <w:sz w:val="40"/>
          <w:szCs w:val="40"/>
        </w:rPr>
        <w:t>P</w:t>
      </w:r>
      <w:r w:rsidRPr="00AE5536">
        <w:rPr>
          <w:b/>
          <w:sz w:val="40"/>
          <w:szCs w:val="40"/>
        </w:rPr>
        <w:t>roject</w:t>
      </w:r>
    </w:p>
    <w:p w14:paraId="6DC3848E" w14:textId="77777777" w:rsidR="00AE5536" w:rsidRDefault="00AE5536" w:rsidP="004A13E8">
      <w:pPr>
        <w:pStyle w:val="Heading3"/>
      </w:pPr>
      <w:bookmarkStart w:id="2" w:name="_Toc473880016"/>
    </w:p>
    <w:p w14:paraId="55FE1774" w14:textId="719EA241" w:rsidR="004A13E8" w:rsidRPr="004A13E8" w:rsidRDefault="004A13E8" w:rsidP="004A13E8">
      <w:pPr>
        <w:pStyle w:val="Heading3"/>
      </w:pPr>
      <w:r w:rsidRPr="004A13E8">
        <w:t xml:space="preserve">Request for OMB approval of </w:t>
      </w:r>
      <w:bookmarkEnd w:id="2"/>
      <w:r w:rsidR="00DC74EE">
        <w:t xml:space="preserve">an Existing Collection in Use </w:t>
      </w:r>
      <w:r w:rsidR="00D952DF">
        <w:t>without</w:t>
      </w:r>
      <w:r w:rsidR="00AE5536">
        <w:t xml:space="preserve"> an OMB Control Number</w:t>
      </w:r>
    </w:p>
    <w:p w14:paraId="55FE1775" w14:textId="77777777" w:rsidR="004A13E8" w:rsidRDefault="004A13E8" w:rsidP="004A13E8">
      <w:pPr>
        <w:spacing w:after="0" w:line="240" w:lineRule="auto"/>
        <w:jc w:val="center"/>
        <w:rPr>
          <w:b/>
        </w:rPr>
      </w:pPr>
    </w:p>
    <w:p w14:paraId="27933B81" w14:textId="77777777" w:rsidR="00DC65B2" w:rsidRDefault="00DC65B2" w:rsidP="004A13E8">
      <w:pPr>
        <w:spacing w:after="0" w:line="240" w:lineRule="auto"/>
        <w:jc w:val="center"/>
        <w:rPr>
          <w:b/>
        </w:rPr>
      </w:pPr>
    </w:p>
    <w:p w14:paraId="55FE1777" w14:textId="2E492D9D" w:rsidR="004A13E8" w:rsidRDefault="00720C5E" w:rsidP="004A13E8">
      <w:pPr>
        <w:spacing w:after="0" w:line="240" w:lineRule="auto"/>
        <w:jc w:val="center"/>
        <w:rPr>
          <w:b/>
        </w:rPr>
      </w:pPr>
      <w:r>
        <w:rPr>
          <w:b/>
        </w:rPr>
        <w:t>August 1</w:t>
      </w:r>
      <w:r w:rsidR="00F82F7A">
        <w:rPr>
          <w:b/>
        </w:rPr>
        <w:t>, 2017</w:t>
      </w:r>
    </w:p>
    <w:p w14:paraId="55FE1778" w14:textId="77777777" w:rsidR="004A13E8" w:rsidRDefault="004A13E8" w:rsidP="009A79E1"/>
    <w:p w14:paraId="55FE1779" w14:textId="77777777" w:rsidR="004A13E8" w:rsidRDefault="004A13E8" w:rsidP="009A79E1"/>
    <w:p w14:paraId="55FE177A" w14:textId="77777777" w:rsidR="004A13E8" w:rsidRDefault="004A13E8" w:rsidP="009A79E1"/>
    <w:p w14:paraId="55FE177E" w14:textId="77777777" w:rsidR="004A13E8" w:rsidRDefault="004A13E8" w:rsidP="004A13E8">
      <w:pPr>
        <w:spacing w:after="0" w:line="240" w:lineRule="auto"/>
        <w:jc w:val="center"/>
        <w:rPr>
          <w:b/>
        </w:rPr>
      </w:pPr>
    </w:p>
    <w:p w14:paraId="55FE177F" w14:textId="31B7DCC2" w:rsidR="004A13E8" w:rsidRDefault="004A13E8" w:rsidP="004A13E8">
      <w:pPr>
        <w:pStyle w:val="Heading4"/>
      </w:pPr>
      <w:r>
        <w:t>Supporting Statement A</w:t>
      </w:r>
    </w:p>
    <w:p w14:paraId="55FE1780" w14:textId="77777777" w:rsidR="004A13E8" w:rsidRDefault="004A13E8" w:rsidP="004A13E8">
      <w:pPr>
        <w:spacing w:after="0" w:line="240" w:lineRule="auto"/>
        <w:rPr>
          <w:b/>
        </w:rPr>
      </w:pPr>
    </w:p>
    <w:p w14:paraId="55FE1781" w14:textId="77777777" w:rsidR="004A13E8" w:rsidRDefault="004A13E8" w:rsidP="004A13E8">
      <w:pPr>
        <w:spacing w:after="0" w:line="240" w:lineRule="auto"/>
        <w:rPr>
          <w:b/>
        </w:rPr>
      </w:pPr>
    </w:p>
    <w:p w14:paraId="55FE1782" w14:textId="77777777" w:rsidR="004A13E8" w:rsidRDefault="004A13E8" w:rsidP="004A13E8">
      <w:pPr>
        <w:spacing w:after="0" w:line="240" w:lineRule="auto"/>
        <w:rPr>
          <w:b/>
        </w:rPr>
      </w:pPr>
    </w:p>
    <w:p w14:paraId="55FE1783" w14:textId="77777777" w:rsidR="004A13E8" w:rsidRDefault="004A13E8" w:rsidP="004A13E8">
      <w:pPr>
        <w:spacing w:after="0" w:line="240" w:lineRule="auto"/>
        <w:rPr>
          <w:b/>
        </w:rPr>
      </w:pPr>
    </w:p>
    <w:p w14:paraId="55FE1784" w14:textId="77777777" w:rsidR="004A13E8" w:rsidRDefault="004A13E8" w:rsidP="004A13E8">
      <w:pPr>
        <w:spacing w:after="0" w:line="240" w:lineRule="auto"/>
        <w:rPr>
          <w:b/>
        </w:rPr>
      </w:pPr>
    </w:p>
    <w:p w14:paraId="55FE1785" w14:textId="77777777" w:rsidR="004A13E8" w:rsidRDefault="004A13E8" w:rsidP="004A13E8">
      <w:pPr>
        <w:spacing w:after="0" w:line="240" w:lineRule="auto"/>
        <w:rPr>
          <w:b/>
        </w:rPr>
      </w:pPr>
    </w:p>
    <w:p w14:paraId="55FE178D" w14:textId="77777777" w:rsidR="004A13E8" w:rsidRDefault="004A13E8" w:rsidP="004A13E8">
      <w:pPr>
        <w:spacing w:after="0" w:line="240" w:lineRule="auto"/>
        <w:rPr>
          <w:b/>
        </w:rPr>
      </w:pPr>
    </w:p>
    <w:p w14:paraId="55FE178E" w14:textId="77777777" w:rsidR="004A13E8" w:rsidRDefault="004A13E8" w:rsidP="004A13E8">
      <w:pPr>
        <w:spacing w:after="0" w:line="240" w:lineRule="auto"/>
        <w:rPr>
          <w:b/>
        </w:rPr>
      </w:pPr>
    </w:p>
    <w:p w14:paraId="55FE178F" w14:textId="77777777" w:rsidR="004A13E8" w:rsidRDefault="004A13E8" w:rsidP="004A13E8">
      <w:pPr>
        <w:spacing w:after="0" w:line="240" w:lineRule="auto"/>
        <w:rPr>
          <w:b/>
        </w:rPr>
      </w:pPr>
    </w:p>
    <w:p w14:paraId="55FE1790" w14:textId="77777777" w:rsidR="004A13E8" w:rsidRDefault="004A13E8" w:rsidP="004A13E8">
      <w:pPr>
        <w:spacing w:after="0" w:line="240" w:lineRule="auto"/>
        <w:rPr>
          <w:b/>
        </w:rPr>
      </w:pPr>
    </w:p>
    <w:p w14:paraId="55FE1791" w14:textId="77777777" w:rsidR="004A13E8" w:rsidRDefault="004A13E8" w:rsidP="004A13E8">
      <w:pPr>
        <w:spacing w:after="0" w:line="240" w:lineRule="auto"/>
        <w:rPr>
          <w:b/>
        </w:rPr>
      </w:pPr>
    </w:p>
    <w:p w14:paraId="55FE1792" w14:textId="77777777" w:rsidR="004A13E8" w:rsidRDefault="004A13E8" w:rsidP="004A13E8">
      <w:pPr>
        <w:spacing w:after="0" w:line="240" w:lineRule="auto"/>
        <w:rPr>
          <w:b/>
        </w:rPr>
      </w:pPr>
    </w:p>
    <w:p w14:paraId="55FE1793" w14:textId="77777777" w:rsidR="004A13E8" w:rsidRPr="009A79E1" w:rsidRDefault="004A13E8" w:rsidP="009A79E1">
      <w:pPr>
        <w:pStyle w:val="NoSpacing"/>
        <w:rPr>
          <w:b/>
        </w:rPr>
      </w:pPr>
      <w:r w:rsidRPr="009A79E1">
        <w:rPr>
          <w:b/>
        </w:rPr>
        <w:t xml:space="preserve">Contact: </w:t>
      </w:r>
    </w:p>
    <w:p w14:paraId="55FE1794" w14:textId="77777777" w:rsidR="004A13E8" w:rsidRPr="004A13E8" w:rsidRDefault="004A13E8" w:rsidP="009A79E1">
      <w:pPr>
        <w:pStyle w:val="NoSpacing"/>
      </w:pPr>
      <w:r w:rsidRPr="004A13E8">
        <w:t>Lee Samuel</w:t>
      </w:r>
    </w:p>
    <w:p w14:paraId="55FE1795" w14:textId="77777777" w:rsidR="004A13E8" w:rsidRPr="004A13E8" w:rsidRDefault="004A13E8" w:rsidP="009A79E1">
      <w:pPr>
        <w:pStyle w:val="NoSpacing"/>
      </w:pPr>
      <w:r w:rsidRPr="004A13E8">
        <w:t xml:space="preserve">National Center for Emerging and Zoonotic Infectious Diseases </w:t>
      </w:r>
    </w:p>
    <w:p w14:paraId="55FE1796" w14:textId="77777777" w:rsidR="004A13E8" w:rsidRPr="004A13E8" w:rsidRDefault="004A13E8" w:rsidP="009A79E1">
      <w:pPr>
        <w:pStyle w:val="NoSpacing"/>
      </w:pPr>
      <w:r w:rsidRPr="004A13E8">
        <w:t xml:space="preserve">Centers for Disease Control and Prevention </w:t>
      </w:r>
    </w:p>
    <w:p w14:paraId="55FE1797" w14:textId="77777777" w:rsidR="004A13E8" w:rsidRPr="004A13E8" w:rsidRDefault="004A13E8" w:rsidP="009A79E1">
      <w:pPr>
        <w:pStyle w:val="NoSpacing"/>
      </w:pPr>
      <w:r w:rsidRPr="004A13E8">
        <w:t xml:space="preserve">1600 Clifton Road, NE </w:t>
      </w:r>
    </w:p>
    <w:p w14:paraId="55FE1798" w14:textId="77777777" w:rsidR="004A13E8" w:rsidRPr="004A13E8" w:rsidRDefault="004A13E8" w:rsidP="009A79E1">
      <w:pPr>
        <w:pStyle w:val="NoSpacing"/>
      </w:pPr>
      <w:r w:rsidRPr="004A13E8">
        <w:t xml:space="preserve">Atlanta, Georgia 30333 </w:t>
      </w:r>
    </w:p>
    <w:p w14:paraId="55FE1799" w14:textId="77777777" w:rsidR="004A13E8" w:rsidRPr="004A13E8" w:rsidRDefault="004A13E8" w:rsidP="009A79E1">
      <w:pPr>
        <w:pStyle w:val="NoSpacing"/>
      </w:pPr>
      <w:r w:rsidRPr="004A13E8">
        <w:t xml:space="preserve">Phone: (404) 718-1616 </w:t>
      </w:r>
    </w:p>
    <w:p w14:paraId="55FE179A" w14:textId="77777777" w:rsidR="004A13E8" w:rsidRDefault="004A13E8" w:rsidP="009A79E1">
      <w:pPr>
        <w:pStyle w:val="NoSpacing"/>
      </w:pPr>
      <w:r w:rsidRPr="004A6DE8">
        <w:t xml:space="preserve">Email: </w:t>
      </w:r>
      <w:hyperlink r:id="rId13"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55FE179B" w14:textId="77777777" w:rsidR="004A13E8" w:rsidRPr="00D13EA1"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55FE179C" w14:textId="77777777" w:rsidR="00C90B13" w:rsidRDefault="004A13E8" w:rsidP="00C90B13">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14:paraId="55FE179D" w14:textId="13AA952F" w:rsidR="00C90B13" w:rsidRDefault="00816042">
          <w:pPr>
            <w:pStyle w:val="TOC1"/>
            <w:tabs>
              <w:tab w:val="left" w:pos="480"/>
              <w:tab w:val="right" w:leader="dot" w:pos="10070"/>
            </w:tabs>
            <w:rPr>
              <w:rFonts w:asciiTheme="minorHAnsi" w:eastAsiaTheme="minorEastAsia" w:hAnsiTheme="minorHAnsi"/>
              <w:noProof/>
              <w:sz w:val="22"/>
            </w:rPr>
          </w:pPr>
          <w:hyperlink w:anchor="_Toc473880017" w:history="1">
            <w:r w:rsidR="00C90B13" w:rsidRPr="00804687">
              <w:rPr>
                <w:rStyle w:val="Hyperlink"/>
                <w:noProof/>
              </w:rPr>
              <w:t>1.</w:t>
            </w:r>
            <w:r w:rsidR="00C90B13">
              <w:rPr>
                <w:rFonts w:asciiTheme="minorHAnsi" w:eastAsiaTheme="minorEastAsia" w:hAnsiTheme="minorHAnsi"/>
                <w:noProof/>
                <w:sz w:val="22"/>
              </w:rPr>
              <w:tab/>
            </w:r>
            <w:r w:rsidR="00C90B13" w:rsidRPr="00804687">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80741F">
              <w:rPr>
                <w:noProof/>
                <w:webHidden/>
              </w:rPr>
              <w:t>3</w:t>
            </w:r>
            <w:r w:rsidR="00C90B13">
              <w:rPr>
                <w:noProof/>
                <w:webHidden/>
              </w:rPr>
              <w:fldChar w:fldCharType="end"/>
            </w:r>
          </w:hyperlink>
        </w:p>
        <w:p w14:paraId="55FE179E" w14:textId="23B8C409" w:rsidR="00C90B13" w:rsidRDefault="00816042">
          <w:pPr>
            <w:pStyle w:val="TOC1"/>
            <w:tabs>
              <w:tab w:val="left" w:pos="480"/>
              <w:tab w:val="right" w:leader="dot" w:pos="10070"/>
            </w:tabs>
            <w:rPr>
              <w:rFonts w:asciiTheme="minorHAnsi" w:eastAsiaTheme="minorEastAsia" w:hAnsiTheme="minorHAnsi"/>
              <w:noProof/>
              <w:sz w:val="22"/>
            </w:rPr>
          </w:pPr>
          <w:hyperlink w:anchor="_Toc473880018" w:history="1">
            <w:r w:rsidR="00C90B13" w:rsidRPr="00804687">
              <w:rPr>
                <w:rStyle w:val="Hyperlink"/>
                <w:noProof/>
              </w:rPr>
              <w:t>2.</w:t>
            </w:r>
            <w:r w:rsidR="00C90B13">
              <w:rPr>
                <w:rFonts w:asciiTheme="minorHAnsi" w:eastAsiaTheme="minorEastAsia" w:hAnsiTheme="minorHAnsi"/>
                <w:noProof/>
                <w:sz w:val="22"/>
              </w:rPr>
              <w:tab/>
            </w:r>
            <w:r w:rsidR="00C90B13" w:rsidRPr="00804687">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80741F">
              <w:rPr>
                <w:noProof/>
                <w:webHidden/>
              </w:rPr>
              <w:t>4</w:t>
            </w:r>
            <w:r w:rsidR="00C90B13">
              <w:rPr>
                <w:noProof/>
                <w:webHidden/>
              </w:rPr>
              <w:fldChar w:fldCharType="end"/>
            </w:r>
          </w:hyperlink>
        </w:p>
        <w:p w14:paraId="55FE179F" w14:textId="5A1CDED8" w:rsidR="00C90B13" w:rsidRDefault="00816042">
          <w:pPr>
            <w:pStyle w:val="TOC1"/>
            <w:tabs>
              <w:tab w:val="left" w:pos="480"/>
              <w:tab w:val="right" w:leader="dot" w:pos="10070"/>
            </w:tabs>
            <w:rPr>
              <w:rFonts w:asciiTheme="minorHAnsi" w:eastAsiaTheme="minorEastAsia" w:hAnsiTheme="minorHAnsi"/>
              <w:noProof/>
              <w:sz w:val="22"/>
            </w:rPr>
          </w:pPr>
          <w:hyperlink w:anchor="_Toc473880019" w:history="1">
            <w:r w:rsidR="00C90B13" w:rsidRPr="00804687">
              <w:rPr>
                <w:rStyle w:val="Hyperlink"/>
                <w:noProof/>
              </w:rPr>
              <w:t>3.</w:t>
            </w:r>
            <w:r w:rsidR="00C90B13">
              <w:rPr>
                <w:rFonts w:asciiTheme="minorHAnsi" w:eastAsiaTheme="minorEastAsia" w:hAnsiTheme="minorHAnsi"/>
                <w:noProof/>
                <w:sz w:val="22"/>
              </w:rPr>
              <w:tab/>
            </w:r>
            <w:r w:rsidR="00C90B13" w:rsidRPr="00804687">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80741F">
              <w:rPr>
                <w:noProof/>
                <w:webHidden/>
              </w:rPr>
              <w:t>5</w:t>
            </w:r>
            <w:r w:rsidR="00C90B13">
              <w:rPr>
                <w:noProof/>
                <w:webHidden/>
              </w:rPr>
              <w:fldChar w:fldCharType="end"/>
            </w:r>
          </w:hyperlink>
        </w:p>
        <w:p w14:paraId="55FE17A0" w14:textId="2BD8E047" w:rsidR="00C90B13" w:rsidRDefault="00816042">
          <w:pPr>
            <w:pStyle w:val="TOC1"/>
            <w:tabs>
              <w:tab w:val="left" w:pos="480"/>
              <w:tab w:val="right" w:leader="dot" w:pos="10070"/>
            </w:tabs>
            <w:rPr>
              <w:rFonts w:asciiTheme="minorHAnsi" w:eastAsiaTheme="minorEastAsia" w:hAnsiTheme="minorHAnsi"/>
              <w:noProof/>
              <w:sz w:val="22"/>
            </w:rPr>
          </w:pPr>
          <w:hyperlink w:anchor="_Toc473880020" w:history="1">
            <w:r w:rsidR="00C90B13" w:rsidRPr="00804687">
              <w:rPr>
                <w:rStyle w:val="Hyperlink"/>
                <w:noProof/>
              </w:rPr>
              <w:t>4.</w:t>
            </w:r>
            <w:r w:rsidR="00C90B13">
              <w:rPr>
                <w:rFonts w:asciiTheme="minorHAnsi" w:eastAsiaTheme="minorEastAsia" w:hAnsiTheme="minorHAnsi"/>
                <w:noProof/>
                <w:sz w:val="22"/>
              </w:rPr>
              <w:tab/>
            </w:r>
            <w:r w:rsidR="00C90B13" w:rsidRPr="00804687">
              <w:rPr>
                <w:rStyle w:val="Hyperlink"/>
                <w:noProof/>
              </w:rPr>
              <w:t>Efforts to Identify Duplication and Use of Similar Information</w:t>
            </w:r>
            <w:r w:rsidR="00C90B13">
              <w:rPr>
                <w:noProof/>
                <w:webHidden/>
              </w:rPr>
              <w:tab/>
            </w:r>
            <w:r w:rsidR="00C90B13">
              <w:rPr>
                <w:noProof/>
                <w:webHidden/>
              </w:rPr>
              <w:fldChar w:fldCharType="begin"/>
            </w:r>
            <w:r w:rsidR="00C90B13">
              <w:rPr>
                <w:noProof/>
                <w:webHidden/>
              </w:rPr>
              <w:instrText xml:space="preserve"> PAGEREF _Toc473880020 \h </w:instrText>
            </w:r>
            <w:r w:rsidR="00C90B13">
              <w:rPr>
                <w:noProof/>
                <w:webHidden/>
              </w:rPr>
            </w:r>
            <w:r w:rsidR="00C90B13">
              <w:rPr>
                <w:noProof/>
                <w:webHidden/>
              </w:rPr>
              <w:fldChar w:fldCharType="separate"/>
            </w:r>
            <w:r w:rsidR="0080741F">
              <w:rPr>
                <w:noProof/>
                <w:webHidden/>
              </w:rPr>
              <w:t>5</w:t>
            </w:r>
            <w:r w:rsidR="00C90B13">
              <w:rPr>
                <w:noProof/>
                <w:webHidden/>
              </w:rPr>
              <w:fldChar w:fldCharType="end"/>
            </w:r>
          </w:hyperlink>
        </w:p>
        <w:p w14:paraId="55FE17A1" w14:textId="577C53E2" w:rsidR="00C90B13" w:rsidRDefault="00816042">
          <w:pPr>
            <w:pStyle w:val="TOC1"/>
            <w:tabs>
              <w:tab w:val="left" w:pos="480"/>
              <w:tab w:val="right" w:leader="dot" w:pos="10070"/>
            </w:tabs>
            <w:rPr>
              <w:rFonts w:asciiTheme="minorHAnsi" w:eastAsiaTheme="minorEastAsia" w:hAnsiTheme="minorHAnsi"/>
              <w:noProof/>
              <w:sz w:val="22"/>
            </w:rPr>
          </w:pPr>
          <w:hyperlink w:anchor="_Toc473880021" w:history="1">
            <w:r w:rsidR="00C90B13" w:rsidRPr="00804687">
              <w:rPr>
                <w:rStyle w:val="Hyperlink"/>
                <w:noProof/>
              </w:rPr>
              <w:t>5.</w:t>
            </w:r>
            <w:r w:rsidR="00C90B13">
              <w:rPr>
                <w:rFonts w:asciiTheme="minorHAnsi" w:eastAsiaTheme="minorEastAsia" w:hAnsiTheme="minorHAnsi"/>
                <w:noProof/>
                <w:sz w:val="22"/>
              </w:rPr>
              <w:tab/>
            </w:r>
            <w:r w:rsidR="00C90B13" w:rsidRPr="00804687">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80741F">
              <w:rPr>
                <w:noProof/>
                <w:webHidden/>
              </w:rPr>
              <w:t>5</w:t>
            </w:r>
            <w:r w:rsidR="00C90B13">
              <w:rPr>
                <w:noProof/>
                <w:webHidden/>
              </w:rPr>
              <w:fldChar w:fldCharType="end"/>
            </w:r>
          </w:hyperlink>
        </w:p>
        <w:p w14:paraId="55FE17A2" w14:textId="30D95432" w:rsidR="00C90B13" w:rsidRDefault="00816042">
          <w:pPr>
            <w:pStyle w:val="TOC1"/>
            <w:tabs>
              <w:tab w:val="left" w:pos="480"/>
              <w:tab w:val="right" w:leader="dot" w:pos="10070"/>
            </w:tabs>
            <w:rPr>
              <w:rFonts w:asciiTheme="minorHAnsi" w:eastAsiaTheme="minorEastAsia" w:hAnsiTheme="minorHAnsi"/>
              <w:noProof/>
              <w:sz w:val="22"/>
            </w:rPr>
          </w:pPr>
          <w:hyperlink w:anchor="_Toc473880022" w:history="1">
            <w:r w:rsidR="00C90B13" w:rsidRPr="00804687">
              <w:rPr>
                <w:rStyle w:val="Hyperlink"/>
                <w:noProof/>
              </w:rPr>
              <w:t>6.</w:t>
            </w:r>
            <w:r w:rsidR="00C90B13">
              <w:rPr>
                <w:rFonts w:asciiTheme="minorHAnsi" w:eastAsiaTheme="minorEastAsia" w:hAnsiTheme="minorHAnsi"/>
                <w:noProof/>
                <w:sz w:val="22"/>
              </w:rPr>
              <w:tab/>
            </w:r>
            <w:r w:rsidR="00C90B13" w:rsidRPr="00804687">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80741F">
              <w:rPr>
                <w:noProof/>
                <w:webHidden/>
              </w:rPr>
              <w:t>5</w:t>
            </w:r>
            <w:r w:rsidR="00C90B13">
              <w:rPr>
                <w:noProof/>
                <w:webHidden/>
              </w:rPr>
              <w:fldChar w:fldCharType="end"/>
            </w:r>
          </w:hyperlink>
        </w:p>
        <w:p w14:paraId="55FE17A3" w14:textId="1A362D15" w:rsidR="00C90B13" w:rsidRDefault="00816042">
          <w:pPr>
            <w:pStyle w:val="TOC1"/>
            <w:tabs>
              <w:tab w:val="left" w:pos="480"/>
              <w:tab w:val="right" w:leader="dot" w:pos="10070"/>
            </w:tabs>
            <w:rPr>
              <w:rFonts w:asciiTheme="minorHAnsi" w:eastAsiaTheme="minorEastAsia" w:hAnsiTheme="minorHAnsi"/>
              <w:noProof/>
              <w:sz w:val="22"/>
            </w:rPr>
          </w:pPr>
          <w:hyperlink w:anchor="_Toc473880023" w:history="1">
            <w:r w:rsidR="00C90B13" w:rsidRPr="00804687">
              <w:rPr>
                <w:rStyle w:val="Hyperlink"/>
                <w:noProof/>
              </w:rPr>
              <w:t>7.</w:t>
            </w:r>
            <w:r w:rsidR="00C90B13">
              <w:rPr>
                <w:rFonts w:asciiTheme="minorHAnsi" w:eastAsiaTheme="minorEastAsia" w:hAnsiTheme="minorHAnsi"/>
                <w:noProof/>
                <w:sz w:val="22"/>
              </w:rPr>
              <w:tab/>
            </w:r>
            <w:r w:rsidR="00C90B13" w:rsidRPr="00804687">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80741F">
              <w:rPr>
                <w:noProof/>
                <w:webHidden/>
              </w:rPr>
              <w:t>5</w:t>
            </w:r>
            <w:r w:rsidR="00C90B13">
              <w:rPr>
                <w:noProof/>
                <w:webHidden/>
              </w:rPr>
              <w:fldChar w:fldCharType="end"/>
            </w:r>
          </w:hyperlink>
        </w:p>
        <w:p w14:paraId="55FE17A4" w14:textId="2B6C3002" w:rsidR="00C90B13" w:rsidRDefault="00816042">
          <w:pPr>
            <w:pStyle w:val="TOC1"/>
            <w:tabs>
              <w:tab w:val="left" w:pos="480"/>
              <w:tab w:val="right" w:leader="dot" w:pos="10070"/>
            </w:tabs>
            <w:rPr>
              <w:rFonts w:asciiTheme="minorHAnsi" w:eastAsiaTheme="minorEastAsia" w:hAnsiTheme="minorHAnsi"/>
              <w:noProof/>
              <w:sz w:val="22"/>
            </w:rPr>
          </w:pPr>
          <w:hyperlink w:anchor="_Toc473880024" w:history="1">
            <w:r w:rsidR="000234BB" w:rsidRPr="00804687">
              <w:rPr>
                <w:rStyle w:val="Hyperlink"/>
                <w:noProof/>
              </w:rPr>
              <w:t>8.</w:t>
            </w:r>
            <w:r w:rsidR="000234BB">
              <w:rPr>
                <w:rFonts w:asciiTheme="minorHAnsi" w:eastAsiaTheme="minorEastAsia" w:hAnsiTheme="minorHAnsi"/>
                <w:noProof/>
                <w:sz w:val="22"/>
              </w:rPr>
              <w:tab/>
            </w:r>
            <w:r w:rsidR="000234BB" w:rsidRPr="00804687">
              <w:rPr>
                <w:rStyle w:val="Hyperlink"/>
                <w:noProof/>
              </w:rPr>
              <w:t>Comments in Response to the Federal Register Notice and Efforts to Consult Outside the Agency</w:t>
            </w:r>
            <w:r w:rsidR="000234BB">
              <w:rPr>
                <w:noProof/>
                <w:webHidden/>
              </w:rPr>
              <w:tab/>
              <w:t>6</w:t>
            </w:r>
          </w:hyperlink>
        </w:p>
        <w:p w14:paraId="55FE17A5" w14:textId="6A578886" w:rsidR="00C90B13" w:rsidRDefault="00816042">
          <w:pPr>
            <w:pStyle w:val="TOC1"/>
            <w:tabs>
              <w:tab w:val="left" w:pos="480"/>
              <w:tab w:val="right" w:leader="dot" w:pos="10070"/>
            </w:tabs>
            <w:rPr>
              <w:rFonts w:asciiTheme="minorHAnsi" w:eastAsiaTheme="minorEastAsia" w:hAnsiTheme="minorHAnsi"/>
              <w:noProof/>
              <w:sz w:val="22"/>
            </w:rPr>
          </w:pPr>
          <w:hyperlink w:anchor="_Toc473880025" w:history="1">
            <w:r w:rsidR="00C90B13" w:rsidRPr="00804687">
              <w:rPr>
                <w:rStyle w:val="Hyperlink"/>
                <w:noProof/>
              </w:rPr>
              <w:t>9.</w:t>
            </w:r>
            <w:r w:rsidR="00C90B13">
              <w:rPr>
                <w:rFonts w:asciiTheme="minorHAnsi" w:eastAsiaTheme="minorEastAsia" w:hAnsiTheme="minorHAnsi"/>
                <w:noProof/>
                <w:sz w:val="22"/>
              </w:rPr>
              <w:tab/>
            </w:r>
            <w:r w:rsidR="00C90B13" w:rsidRPr="00804687">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80741F">
              <w:rPr>
                <w:noProof/>
                <w:webHidden/>
              </w:rPr>
              <w:t>6</w:t>
            </w:r>
            <w:r w:rsidR="00C90B13">
              <w:rPr>
                <w:noProof/>
                <w:webHidden/>
              </w:rPr>
              <w:fldChar w:fldCharType="end"/>
            </w:r>
          </w:hyperlink>
        </w:p>
        <w:p w14:paraId="55FE17A6" w14:textId="6B2828C2" w:rsidR="00C90B13" w:rsidRDefault="00816042">
          <w:pPr>
            <w:pStyle w:val="TOC1"/>
            <w:tabs>
              <w:tab w:val="left" w:pos="660"/>
              <w:tab w:val="right" w:leader="dot" w:pos="10070"/>
            </w:tabs>
            <w:rPr>
              <w:rFonts w:asciiTheme="minorHAnsi" w:eastAsiaTheme="minorEastAsia" w:hAnsiTheme="minorHAnsi"/>
              <w:noProof/>
              <w:sz w:val="22"/>
            </w:rPr>
          </w:pPr>
          <w:hyperlink w:anchor="_Toc473880026" w:history="1">
            <w:r w:rsidR="00C90B13" w:rsidRPr="00804687">
              <w:rPr>
                <w:rStyle w:val="Hyperlink"/>
                <w:noProof/>
              </w:rPr>
              <w:t>10.</w:t>
            </w:r>
            <w:r w:rsidR="00C90B13">
              <w:rPr>
                <w:rFonts w:asciiTheme="minorHAnsi" w:eastAsiaTheme="minorEastAsia" w:hAnsiTheme="minorHAnsi"/>
                <w:noProof/>
                <w:sz w:val="22"/>
              </w:rPr>
              <w:tab/>
            </w:r>
            <w:r w:rsidR="00C90B13" w:rsidRPr="00804687">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80741F">
              <w:rPr>
                <w:noProof/>
                <w:webHidden/>
              </w:rPr>
              <w:t>6</w:t>
            </w:r>
            <w:r w:rsidR="00C90B13">
              <w:rPr>
                <w:noProof/>
                <w:webHidden/>
              </w:rPr>
              <w:fldChar w:fldCharType="end"/>
            </w:r>
          </w:hyperlink>
        </w:p>
        <w:p w14:paraId="55FE17A7" w14:textId="49B5EA6E" w:rsidR="00C90B13" w:rsidRDefault="00816042">
          <w:pPr>
            <w:pStyle w:val="TOC1"/>
            <w:tabs>
              <w:tab w:val="left" w:pos="660"/>
              <w:tab w:val="right" w:leader="dot" w:pos="10070"/>
            </w:tabs>
            <w:rPr>
              <w:rFonts w:asciiTheme="minorHAnsi" w:eastAsiaTheme="minorEastAsia" w:hAnsiTheme="minorHAnsi"/>
              <w:noProof/>
              <w:sz w:val="22"/>
            </w:rPr>
          </w:pPr>
          <w:hyperlink w:anchor="_Toc473880027" w:history="1">
            <w:r w:rsidR="00C90B13" w:rsidRPr="00804687">
              <w:rPr>
                <w:rStyle w:val="Hyperlink"/>
                <w:noProof/>
              </w:rPr>
              <w:t>11.</w:t>
            </w:r>
            <w:r w:rsidR="00C90B13">
              <w:rPr>
                <w:rFonts w:asciiTheme="minorHAnsi" w:eastAsiaTheme="minorEastAsia" w:hAnsiTheme="minorHAnsi"/>
                <w:noProof/>
                <w:sz w:val="22"/>
              </w:rPr>
              <w:tab/>
            </w:r>
            <w:r w:rsidR="00C90B13" w:rsidRPr="00804687">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80741F">
              <w:rPr>
                <w:noProof/>
                <w:webHidden/>
              </w:rPr>
              <w:t>7</w:t>
            </w:r>
            <w:r w:rsidR="00C90B13">
              <w:rPr>
                <w:noProof/>
                <w:webHidden/>
              </w:rPr>
              <w:fldChar w:fldCharType="end"/>
            </w:r>
          </w:hyperlink>
        </w:p>
        <w:p w14:paraId="55FE17A8" w14:textId="65F1E9A0" w:rsidR="00C90B13" w:rsidRDefault="00816042">
          <w:pPr>
            <w:pStyle w:val="TOC1"/>
            <w:tabs>
              <w:tab w:val="left" w:pos="660"/>
              <w:tab w:val="right" w:leader="dot" w:pos="10070"/>
            </w:tabs>
            <w:rPr>
              <w:rFonts w:asciiTheme="minorHAnsi" w:eastAsiaTheme="minorEastAsia" w:hAnsiTheme="minorHAnsi"/>
              <w:noProof/>
              <w:sz w:val="22"/>
            </w:rPr>
          </w:pPr>
          <w:hyperlink w:anchor="_Toc473880028" w:history="1">
            <w:r w:rsidR="00C90B13" w:rsidRPr="00804687">
              <w:rPr>
                <w:rStyle w:val="Hyperlink"/>
                <w:noProof/>
              </w:rPr>
              <w:t>12.</w:t>
            </w:r>
            <w:r w:rsidR="00C90B13">
              <w:rPr>
                <w:rFonts w:asciiTheme="minorHAnsi" w:eastAsiaTheme="minorEastAsia" w:hAnsiTheme="minorHAnsi"/>
                <w:noProof/>
                <w:sz w:val="22"/>
              </w:rPr>
              <w:tab/>
            </w:r>
            <w:r w:rsidR="00C90B13" w:rsidRPr="00804687">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80741F">
              <w:rPr>
                <w:noProof/>
                <w:webHidden/>
              </w:rPr>
              <w:t>7</w:t>
            </w:r>
            <w:r w:rsidR="00C90B13">
              <w:rPr>
                <w:noProof/>
                <w:webHidden/>
              </w:rPr>
              <w:fldChar w:fldCharType="end"/>
            </w:r>
          </w:hyperlink>
        </w:p>
        <w:p w14:paraId="55FE17A9" w14:textId="7694EFBF" w:rsidR="00C90B13" w:rsidRDefault="00816042">
          <w:pPr>
            <w:pStyle w:val="TOC1"/>
            <w:tabs>
              <w:tab w:val="left" w:pos="660"/>
              <w:tab w:val="right" w:leader="dot" w:pos="10070"/>
            </w:tabs>
            <w:rPr>
              <w:rFonts w:asciiTheme="minorHAnsi" w:eastAsiaTheme="minorEastAsia" w:hAnsiTheme="minorHAnsi"/>
              <w:noProof/>
              <w:sz w:val="22"/>
            </w:rPr>
          </w:pPr>
          <w:hyperlink w:anchor="_Toc473880029" w:history="1">
            <w:r w:rsidR="00C90B13" w:rsidRPr="00804687">
              <w:rPr>
                <w:rStyle w:val="Hyperlink"/>
                <w:noProof/>
              </w:rPr>
              <w:t>13.</w:t>
            </w:r>
            <w:r w:rsidR="00C90B13">
              <w:rPr>
                <w:rFonts w:asciiTheme="minorHAnsi" w:eastAsiaTheme="minorEastAsia" w:hAnsiTheme="minorHAnsi"/>
                <w:noProof/>
                <w:sz w:val="22"/>
              </w:rPr>
              <w:tab/>
            </w:r>
            <w:r w:rsidR="00C90B13" w:rsidRPr="00804687">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80741F">
              <w:rPr>
                <w:noProof/>
                <w:webHidden/>
              </w:rPr>
              <w:t>9</w:t>
            </w:r>
            <w:r w:rsidR="00C90B13">
              <w:rPr>
                <w:noProof/>
                <w:webHidden/>
              </w:rPr>
              <w:fldChar w:fldCharType="end"/>
            </w:r>
          </w:hyperlink>
        </w:p>
        <w:p w14:paraId="55FE17AA" w14:textId="54F8AAD3" w:rsidR="00C90B13" w:rsidRDefault="00816042">
          <w:pPr>
            <w:pStyle w:val="TOC1"/>
            <w:tabs>
              <w:tab w:val="left" w:pos="660"/>
              <w:tab w:val="right" w:leader="dot" w:pos="10070"/>
            </w:tabs>
            <w:rPr>
              <w:rFonts w:asciiTheme="minorHAnsi" w:eastAsiaTheme="minorEastAsia" w:hAnsiTheme="minorHAnsi"/>
              <w:noProof/>
              <w:sz w:val="22"/>
            </w:rPr>
          </w:pPr>
          <w:hyperlink w:anchor="_Toc473880030" w:history="1">
            <w:r w:rsidR="00C90B13" w:rsidRPr="00804687">
              <w:rPr>
                <w:rStyle w:val="Hyperlink"/>
                <w:noProof/>
              </w:rPr>
              <w:t>14.</w:t>
            </w:r>
            <w:r w:rsidR="00C90B13">
              <w:rPr>
                <w:rFonts w:asciiTheme="minorHAnsi" w:eastAsiaTheme="minorEastAsia" w:hAnsiTheme="minorHAnsi"/>
                <w:noProof/>
                <w:sz w:val="22"/>
              </w:rPr>
              <w:tab/>
            </w:r>
            <w:r w:rsidR="00C90B13" w:rsidRPr="00804687">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80741F">
              <w:rPr>
                <w:noProof/>
                <w:webHidden/>
              </w:rPr>
              <w:t>9</w:t>
            </w:r>
            <w:r w:rsidR="00C90B13">
              <w:rPr>
                <w:noProof/>
                <w:webHidden/>
              </w:rPr>
              <w:fldChar w:fldCharType="end"/>
            </w:r>
          </w:hyperlink>
        </w:p>
        <w:p w14:paraId="55FE17AB" w14:textId="69CBEF70" w:rsidR="00C90B13" w:rsidRDefault="00816042">
          <w:pPr>
            <w:pStyle w:val="TOC1"/>
            <w:tabs>
              <w:tab w:val="left" w:pos="660"/>
              <w:tab w:val="right" w:leader="dot" w:pos="10070"/>
            </w:tabs>
            <w:rPr>
              <w:rFonts w:asciiTheme="minorHAnsi" w:eastAsiaTheme="minorEastAsia" w:hAnsiTheme="minorHAnsi"/>
              <w:noProof/>
              <w:sz w:val="22"/>
            </w:rPr>
          </w:pPr>
          <w:hyperlink w:anchor="_Toc473880031" w:history="1">
            <w:r w:rsidR="00C90B13" w:rsidRPr="00804687">
              <w:rPr>
                <w:rStyle w:val="Hyperlink"/>
                <w:noProof/>
              </w:rPr>
              <w:t>15.</w:t>
            </w:r>
            <w:r w:rsidR="00C90B13">
              <w:rPr>
                <w:rFonts w:asciiTheme="minorHAnsi" w:eastAsiaTheme="minorEastAsia" w:hAnsiTheme="minorHAnsi"/>
                <w:noProof/>
                <w:sz w:val="22"/>
              </w:rPr>
              <w:tab/>
            </w:r>
            <w:r w:rsidR="00C90B13" w:rsidRPr="00804687">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80741F">
              <w:rPr>
                <w:noProof/>
                <w:webHidden/>
              </w:rPr>
              <w:t>9</w:t>
            </w:r>
            <w:r w:rsidR="00C90B13">
              <w:rPr>
                <w:noProof/>
                <w:webHidden/>
              </w:rPr>
              <w:fldChar w:fldCharType="end"/>
            </w:r>
          </w:hyperlink>
        </w:p>
        <w:p w14:paraId="55FE17AC" w14:textId="704DFFF5" w:rsidR="00C90B13" w:rsidRDefault="00816042">
          <w:pPr>
            <w:pStyle w:val="TOC1"/>
            <w:tabs>
              <w:tab w:val="left" w:pos="660"/>
              <w:tab w:val="right" w:leader="dot" w:pos="10070"/>
            </w:tabs>
            <w:rPr>
              <w:rFonts w:asciiTheme="minorHAnsi" w:eastAsiaTheme="minorEastAsia" w:hAnsiTheme="minorHAnsi"/>
              <w:noProof/>
              <w:sz w:val="22"/>
            </w:rPr>
          </w:pPr>
          <w:hyperlink w:anchor="_Toc473880032" w:history="1">
            <w:r w:rsidR="00C90B13" w:rsidRPr="00804687">
              <w:rPr>
                <w:rStyle w:val="Hyperlink"/>
                <w:noProof/>
              </w:rPr>
              <w:t>16.</w:t>
            </w:r>
            <w:r w:rsidR="00C90B13">
              <w:rPr>
                <w:rFonts w:asciiTheme="minorHAnsi" w:eastAsiaTheme="minorEastAsia" w:hAnsiTheme="minorHAnsi"/>
                <w:noProof/>
                <w:sz w:val="22"/>
              </w:rPr>
              <w:tab/>
            </w:r>
            <w:r w:rsidR="00C90B13" w:rsidRPr="00804687">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80741F">
              <w:rPr>
                <w:noProof/>
                <w:webHidden/>
              </w:rPr>
              <w:t>9</w:t>
            </w:r>
            <w:r w:rsidR="00C90B13">
              <w:rPr>
                <w:noProof/>
                <w:webHidden/>
              </w:rPr>
              <w:fldChar w:fldCharType="end"/>
            </w:r>
          </w:hyperlink>
        </w:p>
        <w:p w14:paraId="55FE17AD" w14:textId="4C4271C5" w:rsidR="00C90B13" w:rsidRDefault="00816042">
          <w:pPr>
            <w:pStyle w:val="TOC1"/>
            <w:tabs>
              <w:tab w:val="left" w:pos="660"/>
              <w:tab w:val="right" w:leader="dot" w:pos="10070"/>
            </w:tabs>
            <w:rPr>
              <w:rFonts w:asciiTheme="minorHAnsi" w:eastAsiaTheme="minorEastAsia" w:hAnsiTheme="minorHAnsi"/>
              <w:noProof/>
              <w:sz w:val="22"/>
            </w:rPr>
          </w:pPr>
          <w:hyperlink w:anchor="_Toc473880033" w:history="1">
            <w:r w:rsidR="00C90B13" w:rsidRPr="00804687">
              <w:rPr>
                <w:rStyle w:val="Hyperlink"/>
                <w:noProof/>
              </w:rPr>
              <w:t>17.</w:t>
            </w:r>
            <w:r w:rsidR="00C90B13">
              <w:rPr>
                <w:rFonts w:asciiTheme="minorHAnsi" w:eastAsiaTheme="minorEastAsia" w:hAnsiTheme="minorHAnsi"/>
                <w:noProof/>
                <w:sz w:val="22"/>
              </w:rPr>
              <w:tab/>
            </w:r>
            <w:r w:rsidR="00C90B13" w:rsidRPr="00804687">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80741F">
              <w:rPr>
                <w:noProof/>
                <w:webHidden/>
              </w:rPr>
              <w:t>10</w:t>
            </w:r>
            <w:r w:rsidR="00C90B13">
              <w:rPr>
                <w:noProof/>
                <w:webHidden/>
              </w:rPr>
              <w:fldChar w:fldCharType="end"/>
            </w:r>
          </w:hyperlink>
        </w:p>
        <w:p w14:paraId="55FE17AE" w14:textId="4961EF0B" w:rsidR="00C90B13" w:rsidRDefault="00816042">
          <w:pPr>
            <w:pStyle w:val="TOC1"/>
            <w:tabs>
              <w:tab w:val="left" w:pos="660"/>
              <w:tab w:val="right" w:leader="dot" w:pos="10070"/>
            </w:tabs>
            <w:rPr>
              <w:rFonts w:asciiTheme="minorHAnsi" w:eastAsiaTheme="minorEastAsia" w:hAnsiTheme="minorHAnsi"/>
              <w:noProof/>
              <w:sz w:val="22"/>
            </w:rPr>
          </w:pPr>
          <w:hyperlink w:anchor="_Toc473880034" w:history="1">
            <w:r w:rsidR="00C90B13" w:rsidRPr="00804687">
              <w:rPr>
                <w:rStyle w:val="Hyperlink"/>
                <w:noProof/>
              </w:rPr>
              <w:t>18.</w:t>
            </w:r>
            <w:r w:rsidR="00C90B13">
              <w:rPr>
                <w:rFonts w:asciiTheme="minorHAnsi" w:eastAsiaTheme="minorEastAsia" w:hAnsiTheme="minorHAnsi"/>
                <w:noProof/>
                <w:sz w:val="22"/>
              </w:rPr>
              <w:tab/>
            </w:r>
            <w:r w:rsidR="00C90B13" w:rsidRPr="00804687">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80741F">
              <w:rPr>
                <w:noProof/>
                <w:webHidden/>
              </w:rPr>
              <w:t>10</w:t>
            </w:r>
            <w:r w:rsidR="00C90B13">
              <w:rPr>
                <w:noProof/>
                <w:webHidden/>
              </w:rPr>
              <w:fldChar w:fldCharType="end"/>
            </w:r>
          </w:hyperlink>
        </w:p>
        <w:p w14:paraId="55FE17AF" w14:textId="61008238" w:rsidR="00C90B13" w:rsidRDefault="00816042">
          <w:pPr>
            <w:pStyle w:val="TOC1"/>
            <w:tabs>
              <w:tab w:val="right" w:leader="dot" w:pos="10070"/>
            </w:tabs>
            <w:rPr>
              <w:rFonts w:asciiTheme="minorHAnsi" w:eastAsiaTheme="minorEastAsia" w:hAnsiTheme="minorHAnsi"/>
              <w:noProof/>
              <w:sz w:val="22"/>
            </w:rPr>
          </w:pPr>
          <w:hyperlink w:anchor="_Toc473880035" w:history="1">
            <w:r w:rsidR="00C90B13" w:rsidRPr="00804687">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80741F">
              <w:rPr>
                <w:noProof/>
                <w:webHidden/>
              </w:rPr>
              <w:t>10</w:t>
            </w:r>
            <w:r w:rsidR="00C90B13">
              <w:rPr>
                <w:noProof/>
                <w:webHidden/>
              </w:rPr>
              <w:fldChar w:fldCharType="end"/>
            </w:r>
          </w:hyperlink>
        </w:p>
        <w:p w14:paraId="55FE17B0" w14:textId="1916604D" w:rsidR="004A13E8" w:rsidRDefault="004A13E8">
          <w:r>
            <w:rPr>
              <w:b/>
              <w:bCs/>
              <w:noProof/>
            </w:rPr>
            <w:fldChar w:fldCharType="end"/>
          </w:r>
        </w:p>
      </w:sdtContent>
    </w:sdt>
    <w:p w14:paraId="55FE17B1" w14:textId="77777777" w:rsidR="004A13E8" w:rsidRDefault="004A13E8">
      <w:r>
        <w:br w:type="page"/>
      </w:r>
    </w:p>
    <w:p w14:paraId="55FE17B2" w14:textId="50F69BDF" w:rsidR="004A13E8" w:rsidRDefault="00F548DB" w:rsidP="004A13E8">
      <w:pPr>
        <w:pStyle w:val="Subtitle"/>
      </w:pPr>
      <w:r w:rsidRPr="006E7652">
        <w:rPr>
          <w:b/>
          <w:noProof/>
        </w:rPr>
        <w:lastRenderedPageBreak/>
        <mc:AlternateContent>
          <mc:Choice Requires="wps">
            <w:drawing>
              <wp:anchor distT="0" distB="0" distL="114300" distR="114300" simplePos="0" relativeHeight="251658240" behindDoc="1" locked="0" layoutInCell="1" allowOverlap="1" wp14:anchorId="55FE182F" wp14:editId="1DE8F536">
                <wp:simplePos x="0" y="0"/>
                <wp:positionH relativeFrom="margin">
                  <wp:align>left</wp:align>
                </wp:positionH>
                <wp:positionV relativeFrom="page">
                  <wp:posOffset>683260</wp:posOffset>
                </wp:positionV>
                <wp:extent cx="6477000" cy="2783840"/>
                <wp:effectExtent l="0" t="0" r="19050" b="16510"/>
                <wp:wrapTight wrapText="bothSides">
                  <wp:wrapPolygon edited="0">
                    <wp:start x="0" y="0"/>
                    <wp:lineTo x="0" y="21580"/>
                    <wp:lineTo x="21600" y="2158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784143"/>
                        </a:xfrm>
                        <a:prstGeom prst="rect">
                          <a:avLst/>
                        </a:prstGeom>
                        <a:solidFill>
                          <a:srgbClr val="FFFFFF"/>
                        </a:solidFill>
                        <a:ln w="9525">
                          <a:solidFill>
                            <a:srgbClr val="000000"/>
                          </a:solidFill>
                          <a:miter lim="800000"/>
                          <a:headEnd/>
                          <a:tailEnd/>
                        </a:ln>
                      </wps:spPr>
                      <wps:txbx>
                        <w:txbxContent>
                          <w:p w14:paraId="55FE1837" w14:textId="3F84E673" w:rsidR="00136D39" w:rsidRPr="00B955BC" w:rsidRDefault="00136D39" w:rsidP="004A13E8">
                            <w:pPr>
                              <w:pStyle w:val="Bullets"/>
                              <w:rPr>
                                <w:rFonts w:cs="Times New Roman"/>
                                <w:b/>
                              </w:rPr>
                            </w:pPr>
                            <w:r w:rsidRPr="00B955BC">
                              <w:rPr>
                                <w:rFonts w:cs="Times New Roman"/>
                                <w:b/>
                              </w:rPr>
                              <w:t xml:space="preserve">Goal of the study: </w:t>
                            </w:r>
                            <w:r w:rsidRPr="00B955BC">
                              <w:rPr>
                                <w:rFonts w:cs="Times New Roman"/>
                                <w:szCs w:val="24"/>
                              </w:rPr>
                              <w:t xml:space="preserve">To </w:t>
                            </w:r>
                            <w:r>
                              <w:rPr>
                                <w:rFonts w:cs="Times New Roman"/>
                                <w:szCs w:val="24"/>
                              </w:rPr>
                              <w:t>(i) evaluate the effectiveness</w:t>
                            </w:r>
                            <w:r w:rsidRPr="00B955BC">
                              <w:rPr>
                                <w:rFonts w:cs="Times New Roman"/>
                                <w:szCs w:val="24"/>
                              </w:rPr>
                              <w:t xml:space="preserve"> of </w:t>
                            </w:r>
                            <w:r>
                              <w:rPr>
                                <w:rFonts w:cs="Times New Roman"/>
                                <w:szCs w:val="24"/>
                              </w:rPr>
                              <w:t xml:space="preserve">specific </w:t>
                            </w:r>
                            <w:r w:rsidRPr="00B955BC">
                              <w:rPr>
                                <w:rFonts w:cs="Times New Roman"/>
                                <w:szCs w:val="24"/>
                              </w:rPr>
                              <w:t>tick</w:t>
                            </w:r>
                            <w:r>
                              <w:rPr>
                                <w:rFonts w:cs="Times New Roman"/>
                                <w:szCs w:val="24"/>
                              </w:rPr>
                              <w:t xml:space="preserve"> </w:t>
                            </w:r>
                            <w:r w:rsidRPr="00B955BC">
                              <w:rPr>
                                <w:rFonts w:cs="Times New Roman"/>
                                <w:szCs w:val="24"/>
                              </w:rPr>
                              <w:t>control</w:t>
                            </w:r>
                            <w:r>
                              <w:rPr>
                                <w:rFonts w:cs="Times New Roman"/>
                                <w:szCs w:val="24"/>
                              </w:rPr>
                              <w:t xml:space="preserve"> methods</w:t>
                            </w:r>
                            <w:r w:rsidRPr="00B955BC">
                              <w:rPr>
                                <w:rFonts w:cs="Times New Roman"/>
                                <w:szCs w:val="24"/>
                              </w:rPr>
                              <w:t xml:space="preserve"> </w:t>
                            </w:r>
                            <w:r>
                              <w:rPr>
                                <w:rFonts w:cs="Times New Roman"/>
                                <w:szCs w:val="24"/>
                              </w:rPr>
                              <w:t>used</w:t>
                            </w:r>
                            <w:r w:rsidRPr="00B955BC">
                              <w:rPr>
                                <w:rFonts w:cs="Times New Roman"/>
                                <w:szCs w:val="24"/>
                              </w:rPr>
                              <w:t xml:space="preserve"> on single</w:t>
                            </w:r>
                            <w:r>
                              <w:rPr>
                                <w:rFonts w:cs="Times New Roman"/>
                                <w:szCs w:val="24"/>
                              </w:rPr>
                              <w:t xml:space="preserve"> </w:t>
                            </w:r>
                            <w:r w:rsidRPr="00B955BC">
                              <w:rPr>
                                <w:rFonts w:cs="Times New Roman"/>
                                <w:szCs w:val="24"/>
                              </w:rPr>
                              <w:t>versus multiple adjacent properties</w:t>
                            </w:r>
                            <w:r>
                              <w:rPr>
                                <w:rFonts w:cs="Times New Roman"/>
                                <w:szCs w:val="24"/>
                              </w:rPr>
                              <w:t xml:space="preserve"> to suppress host-seeking ticks infected with Lyme disease spirochetes and to reduce human tick bites, and (ii) to better understand human landscape use patterns and tick exposure locations</w:t>
                            </w:r>
                            <w:r w:rsidRPr="00B955BC">
                              <w:rPr>
                                <w:rFonts w:cs="Times New Roman"/>
                                <w:szCs w:val="24"/>
                              </w:rPr>
                              <w:t>.</w:t>
                            </w:r>
                          </w:p>
                          <w:p w14:paraId="55FE1838" w14:textId="4D934321" w:rsidR="00136D39" w:rsidRPr="001A58BE" w:rsidRDefault="00136D39" w:rsidP="004A13E8">
                            <w:pPr>
                              <w:pStyle w:val="Bullets"/>
                              <w:rPr>
                                <w:b/>
                              </w:rPr>
                            </w:pPr>
                            <w:r w:rsidRPr="001A58BE">
                              <w:rPr>
                                <w:b/>
                              </w:rPr>
                              <w:t>Intended use of the resulting data:</w:t>
                            </w:r>
                            <w:r>
                              <w:rPr>
                                <w:b/>
                              </w:rPr>
                              <w:t xml:space="preserve"> </w:t>
                            </w:r>
                            <w:r>
                              <w:t xml:space="preserve">Provide suggestions for improving </w:t>
                            </w:r>
                            <w:r w:rsidRPr="00B955BC">
                              <w:rPr>
                                <w:rFonts w:cs="Times New Roman"/>
                                <w:szCs w:val="24"/>
                              </w:rPr>
                              <w:t>tick/pathogen control</w:t>
                            </w:r>
                            <w:r>
                              <w:rPr>
                                <w:rFonts w:cs="Times New Roman"/>
                                <w:szCs w:val="24"/>
                              </w:rPr>
                              <w:t xml:space="preserve"> methods used in the environment. </w:t>
                            </w:r>
                          </w:p>
                          <w:p w14:paraId="55FE1839" w14:textId="3550340E" w:rsidR="00136D39" w:rsidRPr="001A58BE" w:rsidRDefault="00136D39" w:rsidP="004A13E8">
                            <w:pPr>
                              <w:pStyle w:val="Bullets"/>
                              <w:rPr>
                                <w:b/>
                              </w:rPr>
                            </w:pPr>
                            <w:r w:rsidRPr="001A58BE">
                              <w:rPr>
                                <w:b/>
                              </w:rPr>
                              <w:t>Methods to be used to collect:</w:t>
                            </w:r>
                            <w:r>
                              <w:rPr>
                                <w:b/>
                              </w:rPr>
                              <w:t xml:space="preserve"> </w:t>
                            </w:r>
                            <w:r>
                              <w:t xml:space="preserve">The study </w:t>
                            </w:r>
                            <w:r w:rsidRPr="00B00125">
                              <w:t>will utilize a single-blinded, placebo-controlled design</w:t>
                            </w:r>
                            <w:r>
                              <w:t>.</w:t>
                            </w:r>
                          </w:p>
                          <w:p w14:paraId="55FE183A" w14:textId="4941A1FC" w:rsidR="00136D39" w:rsidRPr="001A58BE" w:rsidRDefault="00136D39" w:rsidP="004A13E8">
                            <w:pPr>
                              <w:pStyle w:val="Bullets"/>
                              <w:rPr>
                                <w:b/>
                              </w:rPr>
                            </w:pPr>
                            <w:r w:rsidRPr="001A58BE">
                              <w:rPr>
                                <w:b/>
                              </w:rPr>
                              <w:t>The subpopulation to be studied:</w:t>
                            </w:r>
                            <w:r>
                              <w:rPr>
                                <w:b/>
                              </w:rPr>
                              <w:t xml:space="preserve"> </w:t>
                            </w:r>
                            <w:r w:rsidRPr="001D1E29">
                              <w:t>The study population will consist of all persons (adults and children) living in a freestanding home with tick habitat (i.e., brushy or wooded area on property)</w:t>
                            </w:r>
                            <w:r>
                              <w:t xml:space="preserve"> in</w:t>
                            </w:r>
                            <w:r w:rsidRPr="001D1E29">
                              <w:t xml:space="preserve"> </w:t>
                            </w:r>
                            <w:r>
                              <w:t>the study catchment area towns of</w:t>
                            </w:r>
                            <w:r w:rsidRPr="001D1E29">
                              <w:t xml:space="preserve"> </w:t>
                            </w:r>
                            <w:r>
                              <w:t xml:space="preserve">CT and RI. </w:t>
                            </w:r>
                          </w:p>
                          <w:p w14:paraId="55FE183C" w14:textId="02F138B4" w:rsidR="00136D39" w:rsidRPr="001A58BE" w:rsidRDefault="00136D39" w:rsidP="004A13E8">
                            <w:pPr>
                              <w:pStyle w:val="Bullets"/>
                              <w:rPr>
                                <w:b/>
                              </w:rPr>
                            </w:pPr>
                            <w:r w:rsidRPr="001A58BE">
                              <w:rPr>
                                <w:b/>
                              </w:rPr>
                              <w:t>How data will be analyzed:</w:t>
                            </w:r>
                            <w:r>
                              <w:rPr>
                                <w:b/>
                              </w:rPr>
                              <w:t xml:space="preserve"> </w:t>
                            </w:r>
                            <w:r>
                              <w:t>Odds ratios for human tick bites; Parametric or non-parametric statistical tests to compare the abundance of ticks infected with Lyme disease spirochetes on treated vs. untreated properties.</w:t>
                            </w:r>
                          </w:p>
                          <w:p w14:paraId="55FE183D" w14:textId="77777777" w:rsidR="00136D39" w:rsidRDefault="00136D39" w:rsidP="004A13E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3.8pt;width:510pt;height:219.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">
                <v:textbox>
                  <w:txbxContent>
                    <w:p w14:paraId="55FE1837" w14:textId="3F84E673" w:rsidR="00136D39" w:rsidRPr="00B955BC" w:rsidRDefault="00136D39" w:rsidP="004A13E8">
                      <w:pPr>
                        <w:pStyle w:val="Bullets"/>
                        <w:rPr>
                          <w:rFonts w:cs="Times New Roman"/>
                          <w:b/>
                        </w:rPr>
                      </w:pPr>
                      <w:r w:rsidRPr="00B955BC">
                        <w:rPr>
                          <w:rFonts w:cs="Times New Roman"/>
                          <w:b/>
                        </w:rPr>
                        <w:t xml:space="preserve">Goal of the study: </w:t>
                      </w:r>
                      <w:r w:rsidRPr="00B955BC">
                        <w:rPr>
                          <w:rFonts w:cs="Times New Roman"/>
                          <w:szCs w:val="24"/>
                        </w:rPr>
                        <w:t xml:space="preserve">To </w:t>
                      </w:r>
                      <w:r>
                        <w:rPr>
                          <w:rFonts w:cs="Times New Roman"/>
                          <w:szCs w:val="24"/>
                        </w:rPr>
                        <w:t>(i) evaluate the effectiveness</w:t>
                      </w:r>
                      <w:r w:rsidRPr="00B955BC">
                        <w:rPr>
                          <w:rFonts w:cs="Times New Roman"/>
                          <w:szCs w:val="24"/>
                        </w:rPr>
                        <w:t xml:space="preserve"> of </w:t>
                      </w:r>
                      <w:r>
                        <w:rPr>
                          <w:rFonts w:cs="Times New Roman"/>
                          <w:szCs w:val="24"/>
                        </w:rPr>
                        <w:t xml:space="preserve">specific </w:t>
                      </w:r>
                      <w:r w:rsidRPr="00B955BC">
                        <w:rPr>
                          <w:rFonts w:cs="Times New Roman"/>
                          <w:szCs w:val="24"/>
                        </w:rPr>
                        <w:t>tick</w:t>
                      </w:r>
                      <w:r>
                        <w:rPr>
                          <w:rFonts w:cs="Times New Roman"/>
                          <w:szCs w:val="24"/>
                        </w:rPr>
                        <w:t xml:space="preserve"> </w:t>
                      </w:r>
                      <w:r w:rsidRPr="00B955BC">
                        <w:rPr>
                          <w:rFonts w:cs="Times New Roman"/>
                          <w:szCs w:val="24"/>
                        </w:rPr>
                        <w:t>control</w:t>
                      </w:r>
                      <w:r>
                        <w:rPr>
                          <w:rFonts w:cs="Times New Roman"/>
                          <w:szCs w:val="24"/>
                        </w:rPr>
                        <w:t xml:space="preserve"> methods</w:t>
                      </w:r>
                      <w:r w:rsidRPr="00B955BC">
                        <w:rPr>
                          <w:rFonts w:cs="Times New Roman"/>
                          <w:szCs w:val="24"/>
                        </w:rPr>
                        <w:t xml:space="preserve"> </w:t>
                      </w:r>
                      <w:r>
                        <w:rPr>
                          <w:rFonts w:cs="Times New Roman"/>
                          <w:szCs w:val="24"/>
                        </w:rPr>
                        <w:t>used</w:t>
                      </w:r>
                      <w:r w:rsidRPr="00B955BC">
                        <w:rPr>
                          <w:rFonts w:cs="Times New Roman"/>
                          <w:szCs w:val="24"/>
                        </w:rPr>
                        <w:t xml:space="preserve"> on single</w:t>
                      </w:r>
                      <w:r>
                        <w:rPr>
                          <w:rFonts w:cs="Times New Roman"/>
                          <w:szCs w:val="24"/>
                        </w:rPr>
                        <w:t xml:space="preserve"> </w:t>
                      </w:r>
                      <w:r w:rsidRPr="00B955BC">
                        <w:rPr>
                          <w:rFonts w:cs="Times New Roman"/>
                          <w:szCs w:val="24"/>
                        </w:rPr>
                        <w:t>versus multiple adjacent properties</w:t>
                      </w:r>
                      <w:r>
                        <w:rPr>
                          <w:rFonts w:cs="Times New Roman"/>
                          <w:szCs w:val="24"/>
                        </w:rPr>
                        <w:t xml:space="preserve"> to suppress host-seeking ticks infected with Lyme disease spirochetes and to reduce human tick bites, and (ii) to better understand human landscape use patterns and tick exposure locations</w:t>
                      </w:r>
                      <w:r w:rsidRPr="00B955BC">
                        <w:rPr>
                          <w:rFonts w:cs="Times New Roman"/>
                          <w:szCs w:val="24"/>
                        </w:rPr>
                        <w:t>.</w:t>
                      </w:r>
                    </w:p>
                    <w:p w14:paraId="55FE1838" w14:textId="4D934321" w:rsidR="00136D39" w:rsidRPr="001A58BE" w:rsidRDefault="00136D39" w:rsidP="004A13E8">
                      <w:pPr>
                        <w:pStyle w:val="Bullets"/>
                        <w:rPr>
                          <w:b/>
                        </w:rPr>
                      </w:pPr>
                      <w:r w:rsidRPr="001A58BE">
                        <w:rPr>
                          <w:b/>
                        </w:rPr>
                        <w:t>Intended use of the resulting data:</w:t>
                      </w:r>
                      <w:r>
                        <w:rPr>
                          <w:b/>
                        </w:rPr>
                        <w:t xml:space="preserve"> </w:t>
                      </w:r>
                      <w:r>
                        <w:t xml:space="preserve">Provide suggestions for improving </w:t>
                      </w:r>
                      <w:r w:rsidRPr="00B955BC">
                        <w:rPr>
                          <w:rFonts w:cs="Times New Roman"/>
                          <w:szCs w:val="24"/>
                        </w:rPr>
                        <w:t>tick/pathogen control</w:t>
                      </w:r>
                      <w:r>
                        <w:rPr>
                          <w:rFonts w:cs="Times New Roman"/>
                          <w:szCs w:val="24"/>
                        </w:rPr>
                        <w:t xml:space="preserve"> methods used in the environment. </w:t>
                      </w:r>
                    </w:p>
                    <w:p w14:paraId="55FE1839" w14:textId="3550340E" w:rsidR="00136D39" w:rsidRPr="001A58BE" w:rsidRDefault="00136D39" w:rsidP="004A13E8">
                      <w:pPr>
                        <w:pStyle w:val="Bullets"/>
                        <w:rPr>
                          <w:b/>
                        </w:rPr>
                      </w:pPr>
                      <w:r w:rsidRPr="001A58BE">
                        <w:rPr>
                          <w:b/>
                        </w:rPr>
                        <w:t>Methods to be used to collect:</w:t>
                      </w:r>
                      <w:r>
                        <w:rPr>
                          <w:b/>
                        </w:rPr>
                        <w:t xml:space="preserve"> </w:t>
                      </w:r>
                      <w:r>
                        <w:t xml:space="preserve">The study </w:t>
                      </w:r>
                      <w:r w:rsidRPr="00B00125">
                        <w:t>will utilize a single-blinded, placebo-controlled design</w:t>
                      </w:r>
                      <w:r>
                        <w:t>.</w:t>
                      </w:r>
                    </w:p>
                    <w:p w14:paraId="55FE183A" w14:textId="4941A1FC" w:rsidR="00136D39" w:rsidRPr="001A58BE" w:rsidRDefault="00136D39" w:rsidP="004A13E8">
                      <w:pPr>
                        <w:pStyle w:val="Bullets"/>
                        <w:rPr>
                          <w:b/>
                        </w:rPr>
                      </w:pPr>
                      <w:r w:rsidRPr="001A58BE">
                        <w:rPr>
                          <w:b/>
                        </w:rPr>
                        <w:t>The subpopulation to be studied:</w:t>
                      </w:r>
                      <w:r>
                        <w:rPr>
                          <w:b/>
                        </w:rPr>
                        <w:t xml:space="preserve"> </w:t>
                      </w:r>
                      <w:r w:rsidRPr="001D1E29">
                        <w:t>The study population will consist of all persons (adults and children) living in a freestanding home with tick habitat (i.e., brushy or wooded area on property)</w:t>
                      </w:r>
                      <w:r>
                        <w:t xml:space="preserve"> in</w:t>
                      </w:r>
                      <w:r w:rsidRPr="001D1E29">
                        <w:t xml:space="preserve"> </w:t>
                      </w:r>
                      <w:r>
                        <w:t>the study catchment area towns of</w:t>
                      </w:r>
                      <w:r w:rsidRPr="001D1E29">
                        <w:t xml:space="preserve"> </w:t>
                      </w:r>
                      <w:r>
                        <w:t xml:space="preserve">CT and RI. </w:t>
                      </w:r>
                    </w:p>
                    <w:p w14:paraId="55FE183C" w14:textId="02F138B4" w:rsidR="00136D39" w:rsidRPr="001A58BE" w:rsidRDefault="00136D39" w:rsidP="004A13E8">
                      <w:pPr>
                        <w:pStyle w:val="Bullets"/>
                        <w:rPr>
                          <w:b/>
                        </w:rPr>
                      </w:pPr>
                      <w:r w:rsidRPr="001A58BE">
                        <w:rPr>
                          <w:b/>
                        </w:rPr>
                        <w:t>How data will be analyzed:</w:t>
                      </w:r>
                      <w:r>
                        <w:rPr>
                          <w:b/>
                        </w:rPr>
                        <w:t xml:space="preserve"> </w:t>
                      </w:r>
                      <w:r>
                        <w:t>Odds ratios for human tick bites; Parametric or non-parametric statistical tests to compare the abundance of ticks infected with Lyme disease spirochetes on treated vs. untreated properties.</w:t>
                      </w:r>
                    </w:p>
                    <w:p w14:paraId="55FE183D" w14:textId="77777777" w:rsidR="00136D39" w:rsidRDefault="00136D39" w:rsidP="004A13E8"/>
                  </w:txbxContent>
                </v:textbox>
                <w10:wrap type="tight" anchorx="margin" anchory="page"/>
              </v:shape>
            </w:pict>
          </mc:Fallback>
        </mc:AlternateContent>
      </w:r>
    </w:p>
    <w:p w14:paraId="1A68982C" w14:textId="77777777" w:rsidR="004A1B26" w:rsidRDefault="004A1B26" w:rsidP="004A1B26">
      <w:bookmarkStart w:id="3" w:name="_Toc473880017"/>
      <w:r w:rsidRPr="0026371D">
        <w:t xml:space="preserve">Clearance for an Existing Collection in Use without an OMB Control Number is requested for a period of </w:t>
      </w:r>
      <w:r>
        <w:t>3</w:t>
      </w:r>
      <w:r w:rsidRPr="0026371D">
        <w:t xml:space="preserve"> years. </w:t>
      </w:r>
    </w:p>
    <w:p w14:paraId="04737696" w14:textId="7C481FE6" w:rsidR="00287115" w:rsidRPr="0026371D" w:rsidRDefault="00287115" w:rsidP="004A1B26">
      <w:r>
        <w:t xml:space="preserve">When initially reviewed for PRA applicability, this study was deemed PRA not applicable.  For that reason, </w:t>
      </w:r>
      <w:r w:rsidR="004D5FAF">
        <w:t>the study</w:t>
      </w:r>
      <w:r>
        <w:t xml:space="preserve"> </w:t>
      </w:r>
      <w:r w:rsidR="004D5FAF">
        <w:t>started</w:t>
      </w:r>
      <w:r>
        <w:t xml:space="preserve"> </w:t>
      </w:r>
      <w:r w:rsidR="005F09EF">
        <w:t>(</w:t>
      </w:r>
      <w:r w:rsidR="0060764F">
        <w:t xml:space="preserve">i.e., </w:t>
      </w:r>
      <w:r w:rsidR="005F09EF">
        <w:t xml:space="preserve">funding was awarded to </w:t>
      </w:r>
      <w:r w:rsidR="005F09EF" w:rsidRPr="0026371D">
        <w:t>Western Connecticut State University</w:t>
      </w:r>
      <w:r w:rsidR="005F09EF">
        <w:t xml:space="preserve">) </w:t>
      </w:r>
      <w:r>
        <w:t xml:space="preserve">in </w:t>
      </w:r>
      <w:r w:rsidR="005F09EF">
        <w:t>September</w:t>
      </w:r>
      <w:r>
        <w:t>, 201</w:t>
      </w:r>
      <w:r w:rsidR="005F09EF">
        <w:t>6</w:t>
      </w:r>
      <w:r>
        <w:t xml:space="preserve">.  However, </w:t>
      </w:r>
      <w:r w:rsidR="004D5FAF">
        <w:t xml:space="preserve">after being </w:t>
      </w:r>
      <w:r>
        <w:t xml:space="preserve">re-evaluated, it was determined that PRA was applicable.  At that point, this ICR was developed to bring the study into compliance. </w:t>
      </w:r>
    </w:p>
    <w:p w14:paraId="55FE17B3" w14:textId="77777777" w:rsidR="004A13E8" w:rsidRPr="0026371D" w:rsidRDefault="004A13E8" w:rsidP="004A13E8">
      <w:pPr>
        <w:pStyle w:val="Heading1"/>
      </w:pPr>
      <w:r w:rsidRPr="0026371D">
        <w:t>Circumstances Making the Collection of Information Necessary</w:t>
      </w:r>
      <w:bookmarkEnd w:id="3"/>
    </w:p>
    <w:p w14:paraId="250B10FA" w14:textId="77777777" w:rsidR="004A1B26" w:rsidRDefault="003B25D2" w:rsidP="0060764F">
      <w:pPr>
        <w:autoSpaceDE w:val="0"/>
        <w:autoSpaceDN w:val="0"/>
        <w:adjustRightInd w:val="0"/>
        <w:spacing w:after="0"/>
      </w:pPr>
      <w:r w:rsidRPr="0026371D">
        <w:t xml:space="preserve">The collection of </w:t>
      </w:r>
      <w:r w:rsidR="007F46E9" w:rsidRPr="0026371D">
        <w:t>information</w:t>
      </w:r>
      <w:r w:rsidRPr="0026371D">
        <w:t xml:space="preserve"> is conducted by Western Connecticut State University </w:t>
      </w:r>
      <w:r w:rsidR="00605838" w:rsidRPr="0026371D">
        <w:t>(</w:t>
      </w:r>
      <w:r w:rsidRPr="0026371D">
        <w:t>WCS</w:t>
      </w:r>
      <w:r w:rsidR="00BE171D" w:rsidRPr="0026371D">
        <w:t>U), and its subcontractor</w:t>
      </w:r>
      <w:r w:rsidR="00591113">
        <w:t>,</w:t>
      </w:r>
      <w:r w:rsidR="00BE171D" w:rsidRPr="0026371D">
        <w:t xml:space="preserve"> the University of Rhode Island (URI), </w:t>
      </w:r>
      <w:r w:rsidRPr="0026371D">
        <w:t xml:space="preserve">as part of a Cooperative Agreement with the Centers for Disease Control and </w:t>
      </w:r>
      <w:r w:rsidRPr="0026371D">
        <w:rPr>
          <w:szCs w:val="24"/>
        </w:rPr>
        <w:t>Prevention</w:t>
      </w:r>
      <w:r w:rsidR="00DF28F9" w:rsidRPr="0026371D">
        <w:rPr>
          <w:szCs w:val="24"/>
        </w:rPr>
        <w:t xml:space="preserve"> (CDC)</w:t>
      </w:r>
      <w:r w:rsidRPr="0026371D">
        <w:rPr>
          <w:szCs w:val="24"/>
        </w:rPr>
        <w:t xml:space="preserve"> (</w:t>
      </w:r>
      <w:r w:rsidRPr="0026371D">
        <w:rPr>
          <w:bCs/>
          <w:szCs w:val="24"/>
        </w:rPr>
        <w:t>1U01CK0004912-01</w:t>
      </w:r>
      <w:r w:rsidRPr="0026371D">
        <w:rPr>
          <w:szCs w:val="24"/>
        </w:rPr>
        <w:t>)</w:t>
      </w:r>
      <w:r w:rsidR="007F46E9" w:rsidRPr="0026371D">
        <w:rPr>
          <w:szCs w:val="24"/>
        </w:rPr>
        <w:t>.</w:t>
      </w:r>
      <w:r w:rsidRPr="0026371D">
        <w:t xml:space="preserve"> </w:t>
      </w:r>
      <w:r w:rsidRPr="0026371D">
        <w:rPr>
          <w:rFonts w:cs="Times New Roman"/>
        </w:rPr>
        <w:t xml:space="preserve">The Cooperative Agreement was established based on </w:t>
      </w:r>
      <w:r w:rsidR="00E64AD3" w:rsidRPr="0026371D">
        <w:rPr>
          <w:rFonts w:cs="Times New Roman"/>
        </w:rPr>
        <w:t xml:space="preserve">WCSU competing successfully for CDC </w:t>
      </w:r>
      <w:r w:rsidR="00E64AD3" w:rsidRPr="0026371D">
        <w:rPr>
          <w:rFonts w:cs="Times New Roman"/>
          <w:szCs w:val="24"/>
        </w:rPr>
        <w:t>RFA-CK-16-002</w:t>
      </w:r>
      <w:r w:rsidR="00E64AD3" w:rsidRPr="0026371D">
        <w:rPr>
          <w:rFonts w:cs="Times New Roman"/>
        </w:rPr>
        <w:t xml:space="preserve"> (</w:t>
      </w:r>
      <w:r w:rsidR="00E64AD3" w:rsidRPr="0026371D">
        <w:rPr>
          <w:rFonts w:cs="Times New Roman"/>
          <w:szCs w:val="24"/>
        </w:rPr>
        <w:t xml:space="preserve">Spatially Scalable Integrated Tick Vector/Rodent Reservoir Management to Reduce Human Risk of Exposure to </w:t>
      </w:r>
      <w:r w:rsidR="00E64AD3" w:rsidRPr="0026371D">
        <w:rPr>
          <w:rFonts w:cs="Times New Roman"/>
          <w:i/>
          <w:szCs w:val="24"/>
        </w:rPr>
        <w:t>Ixodes scapularis</w:t>
      </w:r>
      <w:r w:rsidR="00E64AD3" w:rsidRPr="0026371D">
        <w:rPr>
          <w:rFonts w:cs="Times New Roman"/>
          <w:szCs w:val="24"/>
        </w:rPr>
        <w:t xml:space="preserve"> Ticks Infected with Lyme Disease Spirochetes</w:t>
      </w:r>
      <w:r w:rsidR="00E64AD3" w:rsidRPr="0026371D">
        <w:rPr>
          <w:rFonts w:cs="Times New Roman"/>
        </w:rPr>
        <w:t>)</w:t>
      </w:r>
      <w:r w:rsidR="00BE171D" w:rsidRPr="0026371D">
        <w:t>.</w:t>
      </w:r>
    </w:p>
    <w:p w14:paraId="4E76D0AB" w14:textId="75FCAD44" w:rsidR="00411B1E" w:rsidRDefault="00D57839" w:rsidP="0060764F">
      <w:pPr>
        <w:autoSpaceDE w:val="0"/>
        <w:autoSpaceDN w:val="0"/>
        <w:adjustRightInd w:val="0"/>
        <w:spacing w:before="240" w:after="0"/>
        <w:rPr>
          <w:rFonts w:cs="Times New Roman"/>
          <w:szCs w:val="24"/>
        </w:rPr>
      </w:pPr>
      <w:r w:rsidRPr="0026371D">
        <w:t xml:space="preserve">The combined number of </w:t>
      </w:r>
      <w:r w:rsidRPr="0026371D">
        <w:rPr>
          <w:rFonts w:cs="Times New Roman"/>
          <w:color w:val="000000"/>
          <w:szCs w:val="24"/>
          <w:lang w:val="en"/>
        </w:rPr>
        <w:t>confirmed and probable Lyme disease cases have exceeded 30,000 in all years</w:t>
      </w:r>
      <w:r w:rsidR="00142F22" w:rsidRPr="0026371D">
        <w:rPr>
          <w:rFonts w:cs="Times New Roman"/>
          <w:color w:val="000000"/>
          <w:szCs w:val="24"/>
          <w:lang w:val="en"/>
        </w:rPr>
        <w:t xml:space="preserve"> since 2008</w:t>
      </w:r>
      <w:r w:rsidR="001E0F02" w:rsidRPr="0026371D">
        <w:rPr>
          <w:rFonts w:cs="Times New Roman"/>
          <w:color w:val="000000"/>
          <w:szCs w:val="24"/>
          <w:lang w:val="en"/>
        </w:rPr>
        <w:t>,</w:t>
      </w:r>
      <w:r w:rsidR="00142F22" w:rsidRPr="0026371D">
        <w:rPr>
          <w:rFonts w:cs="Times New Roman"/>
          <w:color w:val="000000"/>
          <w:szCs w:val="24"/>
          <w:lang w:val="en"/>
        </w:rPr>
        <w:t xml:space="preserve"> and recent </w:t>
      </w:r>
      <w:r w:rsidR="00591113">
        <w:rPr>
          <w:rFonts w:cs="Times New Roman"/>
          <w:color w:val="000000"/>
          <w:szCs w:val="24"/>
          <w:lang w:val="en"/>
        </w:rPr>
        <w:t>estimates suggest</w:t>
      </w:r>
      <w:r w:rsidR="00142F22" w:rsidRPr="0026371D">
        <w:rPr>
          <w:rFonts w:cs="Times New Roman"/>
          <w:color w:val="000000"/>
          <w:szCs w:val="24"/>
          <w:lang w:val="en"/>
        </w:rPr>
        <w:t xml:space="preserve"> that the true number of Lyme </w:t>
      </w:r>
      <w:r w:rsidR="001E0F02" w:rsidRPr="0026371D">
        <w:rPr>
          <w:rFonts w:cs="Times New Roman"/>
          <w:color w:val="000000"/>
          <w:szCs w:val="24"/>
          <w:lang w:val="en"/>
        </w:rPr>
        <w:t>disease</w:t>
      </w:r>
      <w:r w:rsidR="00142F22" w:rsidRPr="0026371D">
        <w:rPr>
          <w:rFonts w:cs="Times New Roman"/>
          <w:color w:val="000000"/>
          <w:szCs w:val="24"/>
          <w:lang w:val="en"/>
        </w:rPr>
        <w:t xml:space="preserve"> cases </w:t>
      </w:r>
      <w:r w:rsidR="00591113">
        <w:rPr>
          <w:rFonts w:cs="Times New Roman"/>
          <w:color w:val="000000"/>
          <w:szCs w:val="24"/>
          <w:lang w:val="en"/>
        </w:rPr>
        <w:t>may be 10-fold higher</w:t>
      </w:r>
      <w:r w:rsidR="002E51A2" w:rsidRPr="0026371D">
        <w:rPr>
          <w:rFonts w:cs="Times New Roman"/>
          <w:color w:val="000000"/>
          <w:szCs w:val="24"/>
          <w:lang w:val="en"/>
        </w:rPr>
        <w:t xml:space="preserve">. There is no Lyme disease vaccine for use in humans and prevention of infection is therefore completely reliant on personal protective measures </w:t>
      </w:r>
      <w:r w:rsidR="00085636" w:rsidRPr="0026371D">
        <w:rPr>
          <w:rFonts w:cs="Times New Roman"/>
          <w:color w:val="000000"/>
          <w:szCs w:val="24"/>
          <w:lang w:val="en"/>
        </w:rPr>
        <w:t xml:space="preserve">(avoiding tick habitat, use of repellent, tick checks or prompt tick removal, etc.) </w:t>
      </w:r>
      <w:r w:rsidR="00C463E5" w:rsidRPr="0026371D">
        <w:rPr>
          <w:rFonts w:cs="Times New Roman"/>
          <w:color w:val="000000"/>
          <w:szCs w:val="24"/>
          <w:lang w:val="en"/>
        </w:rPr>
        <w:t xml:space="preserve">and </w:t>
      </w:r>
      <w:r w:rsidR="00C463E5" w:rsidRPr="0026371D">
        <w:rPr>
          <w:rFonts w:cs="Times New Roman"/>
          <w:szCs w:val="24"/>
        </w:rPr>
        <w:t>met</w:t>
      </w:r>
      <w:r w:rsidR="00B17696" w:rsidRPr="0026371D">
        <w:rPr>
          <w:rFonts w:cs="Times New Roman"/>
          <w:szCs w:val="24"/>
        </w:rPr>
        <w:t>hods to suppress vector ticks</w:t>
      </w:r>
      <w:r w:rsidR="00591113">
        <w:rPr>
          <w:rFonts w:cs="Times New Roman"/>
          <w:szCs w:val="24"/>
        </w:rPr>
        <w:t xml:space="preserve"> in the environment</w:t>
      </w:r>
      <w:r w:rsidR="00B17696" w:rsidRPr="0026371D">
        <w:rPr>
          <w:rFonts w:cs="Times New Roman"/>
          <w:szCs w:val="24"/>
        </w:rPr>
        <w:t xml:space="preserve">. </w:t>
      </w:r>
    </w:p>
    <w:p w14:paraId="6D3C1420" w14:textId="334AAFA8" w:rsidR="004B69EC" w:rsidRPr="0026371D" w:rsidRDefault="00BE171D" w:rsidP="0060764F">
      <w:pPr>
        <w:autoSpaceDE w:val="0"/>
        <w:autoSpaceDN w:val="0"/>
        <w:adjustRightInd w:val="0"/>
        <w:spacing w:before="240" w:after="0"/>
      </w:pPr>
      <w:r w:rsidRPr="0026371D">
        <w:rPr>
          <w:rFonts w:cs="Times New Roman"/>
        </w:rPr>
        <w:t xml:space="preserve">The </w:t>
      </w:r>
      <w:r w:rsidR="00591113">
        <w:rPr>
          <w:rFonts w:cs="Times New Roman"/>
        </w:rPr>
        <w:t>primary goal</w:t>
      </w:r>
      <w:r w:rsidR="00591113" w:rsidRPr="0026371D">
        <w:rPr>
          <w:rFonts w:cs="Times New Roman"/>
        </w:rPr>
        <w:t xml:space="preserve"> </w:t>
      </w:r>
      <w:r w:rsidRPr="0026371D">
        <w:rPr>
          <w:rFonts w:cs="Times New Roman"/>
        </w:rPr>
        <w:t>of th</w:t>
      </w:r>
      <w:r w:rsidR="00B17696" w:rsidRPr="0026371D">
        <w:rPr>
          <w:rFonts w:cs="Times New Roman"/>
        </w:rPr>
        <w:t>is</w:t>
      </w:r>
      <w:r w:rsidRPr="0026371D">
        <w:rPr>
          <w:rFonts w:cs="Times New Roman"/>
        </w:rPr>
        <w:t xml:space="preserve"> project is to </w:t>
      </w:r>
      <w:r w:rsidR="00591113">
        <w:rPr>
          <w:rFonts w:cs="Times New Roman"/>
          <w:szCs w:val="24"/>
        </w:rPr>
        <w:t>evaluate the effectiveness</w:t>
      </w:r>
      <w:r w:rsidR="00591113" w:rsidRPr="00B955BC">
        <w:rPr>
          <w:rFonts w:cs="Times New Roman"/>
          <w:szCs w:val="24"/>
        </w:rPr>
        <w:t xml:space="preserve"> of </w:t>
      </w:r>
      <w:r w:rsidR="00591113">
        <w:rPr>
          <w:rFonts w:cs="Times New Roman"/>
          <w:szCs w:val="24"/>
        </w:rPr>
        <w:t xml:space="preserve">specific </w:t>
      </w:r>
      <w:r w:rsidR="00591113" w:rsidRPr="00B955BC">
        <w:rPr>
          <w:rFonts w:cs="Times New Roman"/>
          <w:szCs w:val="24"/>
        </w:rPr>
        <w:t>tick/pathogen control</w:t>
      </w:r>
      <w:r w:rsidR="001447DF">
        <w:rPr>
          <w:rFonts w:cs="Times New Roman"/>
          <w:szCs w:val="24"/>
        </w:rPr>
        <w:t xml:space="preserve"> methods</w:t>
      </w:r>
      <w:r w:rsidR="00591113" w:rsidRPr="00B955BC">
        <w:rPr>
          <w:rFonts w:cs="Times New Roman"/>
          <w:szCs w:val="24"/>
        </w:rPr>
        <w:t xml:space="preserve"> </w:t>
      </w:r>
      <w:r w:rsidR="00591113">
        <w:rPr>
          <w:rFonts w:cs="Times New Roman"/>
          <w:szCs w:val="24"/>
        </w:rPr>
        <w:t>used</w:t>
      </w:r>
      <w:r w:rsidR="00591113" w:rsidRPr="00B955BC">
        <w:rPr>
          <w:rFonts w:cs="Times New Roman"/>
          <w:szCs w:val="24"/>
        </w:rPr>
        <w:t xml:space="preserve"> on single</w:t>
      </w:r>
      <w:r w:rsidR="00591113">
        <w:rPr>
          <w:rFonts w:cs="Times New Roman"/>
          <w:szCs w:val="24"/>
        </w:rPr>
        <w:t xml:space="preserve"> </w:t>
      </w:r>
      <w:r w:rsidR="00591113" w:rsidRPr="00B955BC">
        <w:rPr>
          <w:rFonts w:cs="Times New Roman"/>
          <w:szCs w:val="24"/>
        </w:rPr>
        <w:t>versus multiple adjacent properties</w:t>
      </w:r>
      <w:r w:rsidR="00591113" w:rsidRPr="00B955BC">
        <w:rPr>
          <w:rFonts w:cs="Times New Roman"/>
        </w:rPr>
        <w:t xml:space="preserve"> </w:t>
      </w:r>
      <w:r w:rsidR="00591113" w:rsidRPr="00B955BC">
        <w:rPr>
          <w:rFonts w:cs="Times New Roman"/>
          <w:szCs w:val="24"/>
        </w:rPr>
        <w:t>on the risk of human exposure to ticks</w:t>
      </w:r>
      <w:r w:rsidRPr="0026371D">
        <w:rPr>
          <w:rFonts w:cs="Times New Roman"/>
          <w:szCs w:val="24"/>
        </w:rPr>
        <w:t>.</w:t>
      </w:r>
      <w:r w:rsidR="00591113">
        <w:rPr>
          <w:rFonts w:cs="Times New Roman"/>
          <w:szCs w:val="24"/>
        </w:rPr>
        <w:t xml:space="preserve"> The secondary goal is to better understand human landscape use patterns and tick exposure locations. </w:t>
      </w:r>
      <w:r w:rsidR="00BF6B66" w:rsidRPr="0026371D">
        <w:rPr>
          <w:rFonts w:cs="Times New Roman"/>
        </w:rPr>
        <w:t>The project was initiated in di</w:t>
      </w:r>
      <w:r w:rsidR="008C2743" w:rsidRPr="0026371D">
        <w:rPr>
          <w:rFonts w:cs="Times New Roman"/>
        </w:rPr>
        <w:t>rect response to knowledge gaps</w:t>
      </w:r>
      <w:r w:rsidR="00411B1E">
        <w:rPr>
          <w:rFonts w:cs="Times New Roman"/>
        </w:rPr>
        <w:t>,</w:t>
      </w:r>
      <w:r w:rsidR="008C2743" w:rsidRPr="0026371D">
        <w:rPr>
          <w:rFonts w:cs="Times New Roman"/>
        </w:rPr>
        <w:t xml:space="preserve"> identified by CDC Subject Matter Experts</w:t>
      </w:r>
      <w:r w:rsidR="006A107C" w:rsidRPr="0026371D">
        <w:rPr>
          <w:rFonts w:cs="Times New Roman"/>
        </w:rPr>
        <w:t xml:space="preserve"> (SMEs)</w:t>
      </w:r>
      <w:r w:rsidR="008C2743" w:rsidRPr="0026371D">
        <w:rPr>
          <w:rFonts w:cs="Times New Roman"/>
        </w:rPr>
        <w:t xml:space="preserve">, </w:t>
      </w:r>
      <w:r w:rsidR="00BF6B66" w:rsidRPr="0026371D">
        <w:rPr>
          <w:rFonts w:cs="Times New Roman"/>
        </w:rPr>
        <w:t xml:space="preserve">for the use of </w:t>
      </w:r>
      <w:r w:rsidR="00BF6B66" w:rsidRPr="0026371D">
        <w:rPr>
          <w:rFonts w:cs="Times New Roman"/>
          <w:szCs w:val="24"/>
        </w:rPr>
        <w:t>i</w:t>
      </w:r>
      <w:r w:rsidR="00222BE0" w:rsidRPr="0026371D">
        <w:rPr>
          <w:rFonts w:cs="Times New Roman"/>
          <w:szCs w:val="24"/>
        </w:rPr>
        <w:t>ntegrated tick vector/rodent reservoir m</w:t>
      </w:r>
      <w:r w:rsidR="00BF6B66" w:rsidRPr="0026371D">
        <w:rPr>
          <w:rFonts w:cs="Times New Roman"/>
          <w:szCs w:val="24"/>
        </w:rPr>
        <w:t>anagement t</w:t>
      </w:r>
      <w:r w:rsidR="00222BE0" w:rsidRPr="0026371D">
        <w:rPr>
          <w:rFonts w:cs="Times New Roman"/>
          <w:szCs w:val="24"/>
        </w:rPr>
        <w:t>o reduce human risk of e</w:t>
      </w:r>
      <w:r w:rsidR="00BF6B66" w:rsidRPr="0026371D">
        <w:rPr>
          <w:rFonts w:cs="Times New Roman"/>
          <w:szCs w:val="24"/>
        </w:rPr>
        <w:t xml:space="preserve">xposure to </w:t>
      </w:r>
      <w:r w:rsidR="00BF6B66" w:rsidRPr="0026371D">
        <w:rPr>
          <w:rFonts w:cs="Times New Roman"/>
          <w:i/>
          <w:szCs w:val="24"/>
        </w:rPr>
        <w:t>Ixodes scapularis</w:t>
      </w:r>
      <w:r w:rsidR="00222BE0" w:rsidRPr="0026371D">
        <w:rPr>
          <w:rFonts w:cs="Times New Roman"/>
          <w:szCs w:val="24"/>
        </w:rPr>
        <w:t xml:space="preserve"> ticks,</w:t>
      </w:r>
      <w:r w:rsidR="00591113">
        <w:rPr>
          <w:rFonts w:cs="Times New Roman"/>
          <w:szCs w:val="24"/>
        </w:rPr>
        <w:t xml:space="preserve"> the sole vector of Lyme disease in the Northeast.</w:t>
      </w:r>
      <w:r w:rsidR="00D92037" w:rsidRPr="0026371D">
        <w:rPr>
          <w:rFonts w:cs="Times New Roman"/>
          <w:szCs w:val="24"/>
        </w:rPr>
        <w:t xml:space="preserve"> These </w:t>
      </w:r>
      <w:r w:rsidR="00EF1885" w:rsidRPr="0026371D">
        <w:rPr>
          <w:rFonts w:cs="Times New Roman"/>
          <w:szCs w:val="24"/>
        </w:rPr>
        <w:t xml:space="preserve">subject areas and </w:t>
      </w:r>
      <w:r w:rsidR="00D92037" w:rsidRPr="0026371D">
        <w:rPr>
          <w:rFonts w:cs="Times New Roman"/>
          <w:szCs w:val="24"/>
        </w:rPr>
        <w:t xml:space="preserve">knowledge gaps </w:t>
      </w:r>
      <w:r w:rsidR="00595E85" w:rsidRPr="0026371D">
        <w:rPr>
          <w:rFonts w:cs="Times New Roman"/>
          <w:szCs w:val="24"/>
        </w:rPr>
        <w:t>were</w:t>
      </w:r>
      <w:r w:rsidR="00D92037" w:rsidRPr="0026371D">
        <w:rPr>
          <w:rFonts w:cs="Times New Roman"/>
          <w:szCs w:val="24"/>
        </w:rPr>
        <w:t xml:space="preserve"> addressed in two</w:t>
      </w:r>
      <w:r w:rsidR="00F6309C" w:rsidRPr="0026371D">
        <w:rPr>
          <w:rFonts w:cs="Times New Roman"/>
          <w:szCs w:val="24"/>
        </w:rPr>
        <w:t xml:space="preserve"> recently publish</w:t>
      </w:r>
      <w:r w:rsidR="00E53CD9">
        <w:rPr>
          <w:rFonts w:cs="Times New Roman"/>
          <w:szCs w:val="24"/>
        </w:rPr>
        <w:t>ed</w:t>
      </w:r>
      <w:r w:rsidR="00F6309C" w:rsidRPr="0026371D">
        <w:rPr>
          <w:rFonts w:cs="Times New Roman"/>
          <w:szCs w:val="24"/>
        </w:rPr>
        <w:t xml:space="preserve"> review papers</w:t>
      </w:r>
      <w:r w:rsidR="004F5544" w:rsidRPr="0026371D">
        <w:rPr>
          <w:rFonts w:cs="Times New Roman"/>
          <w:szCs w:val="24"/>
        </w:rPr>
        <w:t xml:space="preserve"> authored by CDC S</w:t>
      </w:r>
      <w:r w:rsidR="006A107C" w:rsidRPr="0026371D">
        <w:rPr>
          <w:rFonts w:cs="Times New Roman"/>
          <w:szCs w:val="24"/>
        </w:rPr>
        <w:t>ME</w:t>
      </w:r>
      <w:r w:rsidR="004F5544" w:rsidRPr="0026371D">
        <w:rPr>
          <w:rFonts w:cs="Times New Roman"/>
          <w:szCs w:val="24"/>
        </w:rPr>
        <w:t>s</w:t>
      </w:r>
      <w:r w:rsidR="00F6309C" w:rsidRPr="0026371D">
        <w:rPr>
          <w:rFonts w:cs="Times New Roman"/>
          <w:szCs w:val="24"/>
        </w:rPr>
        <w:t>:</w:t>
      </w:r>
    </w:p>
    <w:p w14:paraId="67BC6297" w14:textId="77777777" w:rsidR="004B69EC" w:rsidRPr="00160D54" w:rsidRDefault="004B69EC" w:rsidP="00361D38">
      <w:pPr>
        <w:pStyle w:val="ListParagraph"/>
        <w:numPr>
          <w:ilvl w:val="0"/>
          <w:numId w:val="6"/>
        </w:numPr>
        <w:autoSpaceDE w:val="0"/>
        <w:autoSpaceDN w:val="0"/>
        <w:adjustRightInd w:val="0"/>
        <w:spacing w:before="240" w:after="0"/>
        <w:rPr>
          <w:rFonts w:cs="Times New Roman"/>
          <w:bCs/>
          <w:kern w:val="36"/>
          <w:szCs w:val="24"/>
        </w:rPr>
      </w:pPr>
      <w:r w:rsidRPr="00160D54">
        <w:rPr>
          <w:rFonts w:cs="Times New Roman"/>
          <w:b/>
          <w:bCs/>
          <w:kern w:val="36"/>
          <w:szCs w:val="24"/>
        </w:rPr>
        <w:t>Eisen, L.</w:t>
      </w:r>
      <w:r w:rsidRPr="00160D54">
        <w:rPr>
          <w:rFonts w:cs="Times New Roman"/>
          <w:bCs/>
          <w:kern w:val="36"/>
          <w:szCs w:val="24"/>
        </w:rPr>
        <w:t>, and R.J. Eisen</w:t>
      </w:r>
      <w:r w:rsidRPr="00160D54">
        <w:rPr>
          <w:rFonts w:cs="Times New Roman"/>
          <w:szCs w:val="24"/>
        </w:rPr>
        <w:t xml:space="preserve">. 2016. Critical evaluation of the linkage between tick-based risk measures to the occurrence of Lyme disease cases. </w:t>
      </w:r>
      <w:r w:rsidRPr="00160D54">
        <w:rPr>
          <w:rFonts w:cs="Times New Roman"/>
          <w:bCs/>
          <w:kern w:val="36"/>
          <w:szCs w:val="24"/>
        </w:rPr>
        <w:t>Journal of Medical Entomology 53: 1050-1062.</w:t>
      </w:r>
    </w:p>
    <w:p w14:paraId="62408CCF" w14:textId="411F3AD5" w:rsidR="004B69EC" w:rsidRPr="00160D54" w:rsidRDefault="004B69EC" w:rsidP="00361D38">
      <w:pPr>
        <w:pStyle w:val="ListParagraph"/>
        <w:numPr>
          <w:ilvl w:val="0"/>
          <w:numId w:val="6"/>
        </w:numPr>
        <w:autoSpaceDE w:val="0"/>
        <w:autoSpaceDN w:val="0"/>
        <w:adjustRightInd w:val="0"/>
        <w:spacing w:after="0"/>
        <w:rPr>
          <w:rFonts w:cs="Times New Roman"/>
        </w:rPr>
      </w:pPr>
      <w:r w:rsidRPr="00160D54">
        <w:rPr>
          <w:rFonts w:cs="Times New Roman"/>
          <w:b/>
          <w:bCs/>
          <w:kern w:val="36"/>
          <w:szCs w:val="24"/>
        </w:rPr>
        <w:t>Eisen, L.</w:t>
      </w:r>
      <w:r w:rsidRPr="00160D54">
        <w:rPr>
          <w:rFonts w:cs="Times New Roman"/>
          <w:bCs/>
          <w:kern w:val="36"/>
          <w:szCs w:val="24"/>
        </w:rPr>
        <w:t xml:space="preserve">, and </w:t>
      </w:r>
      <w:r w:rsidRPr="00160D54">
        <w:rPr>
          <w:rFonts w:cs="Times New Roman"/>
          <w:b/>
          <w:bCs/>
          <w:kern w:val="36"/>
          <w:szCs w:val="24"/>
        </w:rPr>
        <w:t>M.C. Dolan</w:t>
      </w:r>
      <w:r w:rsidRPr="00160D54">
        <w:rPr>
          <w:rFonts w:cs="Times New Roman"/>
          <w:bCs/>
          <w:kern w:val="36"/>
          <w:szCs w:val="24"/>
        </w:rPr>
        <w:t xml:space="preserve">. 2016. </w:t>
      </w:r>
      <w:r w:rsidRPr="00160D54">
        <w:rPr>
          <w:rFonts w:cs="Times New Roman"/>
          <w:szCs w:val="24"/>
        </w:rPr>
        <w:t>Evidence for personal protective measures to reduce human contact with blacklegged ticks</w:t>
      </w:r>
      <w:r w:rsidRPr="00160D54">
        <w:rPr>
          <w:rFonts w:cs="Times New Roman"/>
          <w:i/>
          <w:szCs w:val="24"/>
        </w:rPr>
        <w:t xml:space="preserve"> </w:t>
      </w:r>
      <w:r w:rsidRPr="00160D54">
        <w:rPr>
          <w:rFonts w:cs="Times New Roman"/>
          <w:szCs w:val="24"/>
        </w:rPr>
        <w:t xml:space="preserve">and for environmentally based control methods to suppress host-seeking blacklegged ticks and reduce infection with Lyme disease spirochetes in tick vectors and rodent reservoirs. </w:t>
      </w:r>
      <w:r w:rsidRPr="00160D54">
        <w:rPr>
          <w:rFonts w:cs="Times New Roman"/>
          <w:bCs/>
          <w:kern w:val="36"/>
          <w:szCs w:val="24"/>
        </w:rPr>
        <w:t xml:space="preserve">Journal of Medical Entomology 53: 1063-1092. </w:t>
      </w:r>
    </w:p>
    <w:p w14:paraId="776CBDB5" w14:textId="5341862A" w:rsidR="00DF28F9" w:rsidRPr="0026371D" w:rsidRDefault="00DF28F9" w:rsidP="00361D38">
      <w:pPr>
        <w:spacing w:before="240"/>
      </w:pPr>
      <w:r w:rsidRPr="0026371D">
        <w:t xml:space="preserve">Section 301 of the Public Health Service (PHS) Act (42 USC 241) (Attachment A) authorizes the Secretary of Health and Human Services (HHS) to conduct studies relating to the control and prevention of physical diseases of man, such as </w:t>
      </w:r>
      <w:r w:rsidR="009F2DE4" w:rsidRPr="0026371D">
        <w:t>Lyme disease</w:t>
      </w:r>
      <w:r w:rsidRPr="0026371D">
        <w:t>, and collect and make available through publications and other appropriate means, information as to, and the practical application of, such research and other activities. These regulations are codified in 42 Code of Federal Regulations (CFR) Part A.</w:t>
      </w:r>
    </w:p>
    <w:p w14:paraId="55FE17B7" w14:textId="77777777" w:rsidR="004A13E8" w:rsidRPr="0026371D" w:rsidRDefault="004A13E8" w:rsidP="004A13E8">
      <w:pPr>
        <w:pStyle w:val="Heading1"/>
      </w:pPr>
      <w:bookmarkStart w:id="4" w:name="_Toc473880018"/>
      <w:r w:rsidRPr="0026371D">
        <w:t>Purpose and Use of Information Collection</w:t>
      </w:r>
      <w:bookmarkEnd w:id="4"/>
    </w:p>
    <w:p w14:paraId="4999211A" w14:textId="77777777" w:rsidR="00411B1E" w:rsidRDefault="003419B3" w:rsidP="004D7958">
      <w:r w:rsidRPr="0026371D">
        <w:t>I</w:t>
      </w:r>
      <w:r w:rsidR="00C63413" w:rsidRPr="0026371D">
        <w:t>nformation is collected</w:t>
      </w:r>
      <w:r w:rsidR="00F00CD4" w:rsidRPr="0026371D">
        <w:t xml:space="preserve">, under protocols approved by </w:t>
      </w:r>
      <w:r w:rsidR="005201A1" w:rsidRPr="0026371D">
        <w:t xml:space="preserve">the IRBs at </w:t>
      </w:r>
      <w:r w:rsidR="00F00CD4" w:rsidRPr="0026371D">
        <w:t>WCSU and URI,</w:t>
      </w:r>
      <w:r w:rsidR="00C63413" w:rsidRPr="0026371D">
        <w:t xml:space="preserve"> from inhabitants of residential properties to </w:t>
      </w:r>
      <w:r w:rsidR="00A12D97" w:rsidRPr="0026371D">
        <w:t xml:space="preserve">(i) compare the effectiveness of an integrated tick management approach at single-treated residential properties vs. contiguously-treated residential properties to reduce human tick bites and (ii) </w:t>
      </w:r>
      <w:r w:rsidR="00C63413" w:rsidRPr="0026371D">
        <w:t xml:space="preserve">increase </w:t>
      </w:r>
      <w:r w:rsidR="00A12D97" w:rsidRPr="0026371D">
        <w:t xml:space="preserve">the </w:t>
      </w:r>
      <w:r w:rsidR="00C63413" w:rsidRPr="0026371D">
        <w:t>understanding of where people encounter ticks, both near their homes and in other outdoor settings.</w:t>
      </w:r>
      <w:r w:rsidR="004A756E" w:rsidRPr="0026371D">
        <w:t xml:space="preserve"> </w:t>
      </w:r>
    </w:p>
    <w:p w14:paraId="04A996B9" w14:textId="1297CA86" w:rsidR="00C63413" w:rsidRPr="0026371D" w:rsidRDefault="004D7958" w:rsidP="004D7958">
      <w:r w:rsidRPr="0026371D">
        <w:t>Another potential positive outcome</w:t>
      </w:r>
      <w:r w:rsidR="002428DE" w:rsidRPr="0026371D">
        <w:t xml:space="preserve"> </w:t>
      </w:r>
      <w:r w:rsidR="006C6A15" w:rsidRPr="0026371D">
        <w:t xml:space="preserve">of the information </w:t>
      </w:r>
      <w:r w:rsidR="00AC0107" w:rsidRPr="0026371D">
        <w:t xml:space="preserve">collection </w:t>
      </w:r>
      <w:r w:rsidR="009032D9" w:rsidRPr="0026371D">
        <w:t>is more effective</w:t>
      </w:r>
      <w:r w:rsidR="009969DD" w:rsidRPr="0026371D">
        <w:t xml:space="preserve"> </w:t>
      </w:r>
      <w:r w:rsidR="00A15E88" w:rsidRPr="0026371D">
        <w:t>target</w:t>
      </w:r>
      <w:r w:rsidR="009032D9" w:rsidRPr="0026371D">
        <w:t>ing</w:t>
      </w:r>
      <w:r w:rsidR="00A15E88" w:rsidRPr="0026371D">
        <w:t xml:space="preserve"> </w:t>
      </w:r>
      <w:r w:rsidR="00AC0107" w:rsidRPr="0026371D">
        <w:t xml:space="preserve">of </w:t>
      </w:r>
      <w:r w:rsidR="00A15E88" w:rsidRPr="0026371D">
        <w:t xml:space="preserve">tick control efforts </w:t>
      </w:r>
      <w:r w:rsidR="00C849FF" w:rsidRPr="0026371D">
        <w:t xml:space="preserve">to high risk </w:t>
      </w:r>
      <w:r w:rsidR="00044390">
        <w:t>area</w:t>
      </w:r>
      <w:r w:rsidR="00044390" w:rsidRPr="0026371D">
        <w:t>s</w:t>
      </w:r>
      <w:r w:rsidR="002E7913" w:rsidRPr="0026371D">
        <w:t xml:space="preserve">, </w:t>
      </w:r>
      <w:r w:rsidR="008C53E6" w:rsidRPr="0026371D">
        <w:t xml:space="preserve">minimizing pesticide use. </w:t>
      </w:r>
      <w:r w:rsidR="00397B50" w:rsidRPr="0026371D">
        <w:t xml:space="preserve">Not collecting the </w:t>
      </w:r>
      <w:r w:rsidR="00BF26E7" w:rsidRPr="0026371D">
        <w:t xml:space="preserve">information would </w:t>
      </w:r>
      <w:r w:rsidR="00D52EF1" w:rsidRPr="0026371D">
        <w:t xml:space="preserve">lead to inadequate evaluation </w:t>
      </w:r>
      <w:r w:rsidR="009E7258" w:rsidRPr="0026371D">
        <w:t xml:space="preserve">of the implemented integrated tick management program </w:t>
      </w:r>
      <w:r w:rsidR="006A4298" w:rsidRPr="0026371D">
        <w:t>(solely focusing on host-seeking ticks c</w:t>
      </w:r>
      <w:r w:rsidR="00992D87" w:rsidRPr="0026371D">
        <w:t xml:space="preserve">ollected from the vegetation) as well as the unacceptable status quo for detailed knowledge of where people encounter ticks </w:t>
      </w:r>
      <w:r w:rsidR="005D47FD" w:rsidRPr="0026371D">
        <w:t xml:space="preserve">within their residential properties and on the residential properties versus elsewhere. </w:t>
      </w:r>
    </w:p>
    <w:p w14:paraId="4BF63D67" w14:textId="2DF829CD" w:rsidR="00411B1E" w:rsidRDefault="005D47FD" w:rsidP="00181538">
      <w:pPr>
        <w:rPr>
          <w:color w:val="000000"/>
        </w:rPr>
      </w:pPr>
      <w:r w:rsidRPr="0026371D">
        <w:t xml:space="preserve">Information will be collected by WCSU and URI researchers </w:t>
      </w:r>
      <w:r w:rsidR="007D4BAD" w:rsidRPr="0026371D">
        <w:t xml:space="preserve">from inhabitants (adults and children) of participating residential properties </w:t>
      </w:r>
      <w:r w:rsidR="000E5BF9" w:rsidRPr="0026371D">
        <w:t>(freestanding home</w:t>
      </w:r>
      <w:r w:rsidR="004D2D89" w:rsidRPr="0026371D">
        <w:t>s</w:t>
      </w:r>
      <w:r w:rsidR="000E5BF9" w:rsidRPr="0026371D">
        <w:t xml:space="preserve"> with tick habitat on the property) </w:t>
      </w:r>
      <w:r w:rsidR="007D4BAD" w:rsidRPr="0026371D">
        <w:t xml:space="preserve">located in Connecticut and Rhode Island. </w:t>
      </w:r>
      <w:r w:rsidR="005078BC" w:rsidRPr="0026371D">
        <w:rPr>
          <w:color w:val="000000"/>
        </w:rPr>
        <w:t>C</w:t>
      </w:r>
      <w:r w:rsidR="002C6363" w:rsidRPr="0026371D">
        <w:rPr>
          <w:color w:val="000000"/>
        </w:rPr>
        <w:t xml:space="preserve">onsenting </w:t>
      </w:r>
      <w:r w:rsidR="00181538" w:rsidRPr="0026371D">
        <w:rPr>
          <w:color w:val="000000"/>
        </w:rPr>
        <w:t>participants will complete one introductory survey</w:t>
      </w:r>
      <w:r w:rsidR="005078BC" w:rsidRPr="0026371D">
        <w:rPr>
          <w:color w:val="000000"/>
        </w:rPr>
        <w:t xml:space="preserve"> </w:t>
      </w:r>
      <w:r w:rsidR="00C055C6" w:rsidRPr="0026371D">
        <w:rPr>
          <w:color w:val="000000"/>
        </w:rPr>
        <w:t>by telephone</w:t>
      </w:r>
      <w:r w:rsidR="00725376" w:rsidRPr="0026371D">
        <w:rPr>
          <w:color w:val="000000"/>
        </w:rPr>
        <w:t>, projected to last no more than 15 minutes</w:t>
      </w:r>
      <w:r w:rsidR="00411B1E">
        <w:rPr>
          <w:color w:val="000000"/>
        </w:rPr>
        <w:t xml:space="preserve"> (Attachment </w:t>
      </w:r>
      <w:r w:rsidR="00DA06A6">
        <w:rPr>
          <w:color w:val="000000"/>
        </w:rPr>
        <w:t>E</w:t>
      </w:r>
      <w:r w:rsidR="00411B1E">
        <w:rPr>
          <w:color w:val="000000"/>
        </w:rPr>
        <w:t>)</w:t>
      </w:r>
      <w:r w:rsidR="00C055C6" w:rsidRPr="0026371D">
        <w:rPr>
          <w:color w:val="000000"/>
        </w:rPr>
        <w:t xml:space="preserve">. </w:t>
      </w:r>
      <w:r w:rsidR="00B57551" w:rsidRPr="0026371D">
        <w:rPr>
          <w:color w:val="000000"/>
        </w:rPr>
        <w:t>In May–August of Years 1–4</w:t>
      </w:r>
      <w:r w:rsidR="00C4623D" w:rsidRPr="0026371D">
        <w:rPr>
          <w:color w:val="000000"/>
        </w:rPr>
        <w:t>, p</w:t>
      </w:r>
      <w:r w:rsidR="00181538" w:rsidRPr="0026371D">
        <w:rPr>
          <w:color w:val="000000"/>
        </w:rPr>
        <w:t xml:space="preserve">articipants will also complete an emailed (SurveyMonkey link) </w:t>
      </w:r>
      <w:r w:rsidR="00C17F32" w:rsidRPr="0026371D">
        <w:rPr>
          <w:color w:val="000000"/>
        </w:rPr>
        <w:t>monthly tick encounter survey</w:t>
      </w:r>
      <w:r w:rsidR="00181538" w:rsidRPr="0026371D">
        <w:rPr>
          <w:color w:val="000000"/>
        </w:rPr>
        <w:t xml:space="preserve"> about the number of ticks found on each member of the household and each household member’s tick</w:t>
      </w:r>
      <w:r w:rsidR="00061D5E" w:rsidRPr="0026371D">
        <w:rPr>
          <w:color w:val="000000"/>
        </w:rPr>
        <w:t>-</w:t>
      </w:r>
      <w:r w:rsidR="00181538" w:rsidRPr="0026371D">
        <w:rPr>
          <w:color w:val="000000"/>
        </w:rPr>
        <w:t>bo</w:t>
      </w:r>
      <w:r w:rsidR="009139F3" w:rsidRPr="0026371D">
        <w:rPr>
          <w:color w:val="000000"/>
        </w:rPr>
        <w:t>rne disease status</w:t>
      </w:r>
      <w:r w:rsidR="00820AA5" w:rsidRPr="0026371D">
        <w:rPr>
          <w:color w:val="000000"/>
        </w:rPr>
        <w:t>, projected to take no</w:t>
      </w:r>
      <w:r w:rsidR="00924042" w:rsidRPr="0026371D">
        <w:rPr>
          <w:color w:val="000000"/>
        </w:rPr>
        <w:t xml:space="preserve"> more than 10 minutes per month</w:t>
      </w:r>
      <w:r w:rsidR="000D4097" w:rsidRPr="0026371D">
        <w:rPr>
          <w:color w:val="000000"/>
        </w:rPr>
        <w:t xml:space="preserve"> to complete</w:t>
      </w:r>
      <w:r w:rsidR="00411B1E">
        <w:rPr>
          <w:color w:val="000000"/>
        </w:rPr>
        <w:t xml:space="preserve"> (Attachment </w:t>
      </w:r>
      <w:r w:rsidR="00DA06A6">
        <w:rPr>
          <w:color w:val="000000"/>
        </w:rPr>
        <w:t>F</w:t>
      </w:r>
      <w:r w:rsidR="00411B1E">
        <w:rPr>
          <w:color w:val="000000"/>
        </w:rPr>
        <w:t>)</w:t>
      </w:r>
      <w:r w:rsidR="009139F3" w:rsidRPr="0026371D">
        <w:rPr>
          <w:color w:val="000000"/>
        </w:rPr>
        <w:t xml:space="preserve">. </w:t>
      </w:r>
      <w:r w:rsidR="00181538" w:rsidRPr="0026371D">
        <w:rPr>
          <w:color w:val="000000"/>
        </w:rPr>
        <w:t xml:space="preserve">An end-of-season survey will also be administered in March/April each </w:t>
      </w:r>
      <w:r w:rsidR="008F46FC" w:rsidRPr="0026371D">
        <w:rPr>
          <w:color w:val="000000"/>
        </w:rPr>
        <w:t>year</w:t>
      </w:r>
      <w:r w:rsidR="000D4097" w:rsidRPr="0026371D">
        <w:rPr>
          <w:color w:val="000000"/>
        </w:rPr>
        <w:t xml:space="preserve">, </w:t>
      </w:r>
      <w:r w:rsidR="00820AA5" w:rsidRPr="0026371D">
        <w:rPr>
          <w:color w:val="000000"/>
        </w:rPr>
        <w:t>projected to take no</w:t>
      </w:r>
      <w:r w:rsidR="000D4097" w:rsidRPr="0026371D">
        <w:rPr>
          <w:color w:val="000000"/>
        </w:rPr>
        <w:t xml:space="preserve"> more than 10 minutes</w:t>
      </w:r>
      <w:r w:rsidR="00820AA5" w:rsidRPr="0026371D">
        <w:rPr>
          <w:color w:val="000000"/>
        </w:rPr>
        <w:t xml:space="preserve"> to complete</w:t>
      </w:r>
      <w:r w:rsidR="00411B1E">
        <w:rPr>
          <w:color w:val="000000"/>
        </w:rPr>
        <w:t xml:space="preserve"> (Attachment </w:t>
      </w:r>
      <w:r w:rsidR="00DA06A6">
        <w:rPr>
          <w:color w:val="000000"/>
        </w:rPr>
        <w:t>H</w:t>
      </w:r>
      <w:r w:rsidR="00411B1E">
        <w:rPr>
          <w:color w:val="000000"/>
        </w:rPr>
        <w:t>)</w:t>
      </w:r>
      <w:r w:rsidR="00181538" w:rsidRPr="0026371D">
        <w:rPr>
          <w:color w:val="000000"/>
        </w:rPr>
        <w:t xml:space="preserve">. </w:t>
      </w:r>
    </w:p>
    <w:p w14:paraId="5CAD8FAE" w14:textId="7AE6FD00" w:rsidR="00181538" w:rsidRDefault="00181538" w:rsidP="00181538">
      <w:r w:rsidRPr="0026371D">
        <w:rPr>
          <w:color w:val="000000"/>
        </w:rPr>
        <w:t xml:space="preserve">In addition, </w:t>
      </w:r>
      <w:r w:rsidRPr="0026371D">
        <w:t xml:space="preserve">participants will be asked to record location of daily activity on behalf of themselves and household members each day over the first week of June in </w:t>
      </w:r>
      <w:r w:rsidR="00606607" w:rsidRPr="0026371D">
        <w:t>a single year</w:t>
      </w:r>
      <w:r w:rsidRPr="0026371D">
        <w:t xml:space="preserve"> via emailed daily surveys</w:t>
      </w:r>
      <w:r w:rsidR="00FB2E37" w:rsidRPr="0026371D">
        <w:t xml:space="preserve">, projected to take </w:t>
      </w:r>
      <w:r w:rsidR="00FB2E37" w:rsidRPr="0026371D">
        <w:rPr>
          <w:color w:val="000000"/>
        </w:rPr>
        <w:t>70 minutes over the week of participation</w:t>
      </w:r>
      <w:r w:rsidR="00411B1E">
        <w:rPr>
          <w:color w:val="000000"/>
        </w:rPr>
        <w:t xml:space="preserve"> (Attachment </w:t>
      </w:r>
      <w:r w:rsidR="00DA06A6">
        <w:rPr>
          <w:color w:val="000000"/>
        </w:rPr>
        <w:t>G</w:t>
      </w:r>
      <w:r w:rsidR="00411B1E">
        <w:rPr>
          <w:color w:val="000000"/>
        </w:rPr>
        <w:t>)</w:t>
      </w:r>
      <w:r w:rsidR="0017776B" w:rsidRPr="0026371D">
        <w:t xml:space="preserve">. </w:t>
      </w:r>
      <w:r w:rsidRPr="0026371D">
        <w:rPr>
          <w:color w:val="000000"/>
        </w:rPr>
        <w:t xml:space="preserve">Lastly, an end-of-study </w:t>
      </w:r>
      <w:r w:rsidRPr="00160D54">
        <w:rPr>
          <w:color w:val="000000"/>
        </w:rPr>
        <w:t>survey will be administer</w:t>
      </w:r>
      <w:r w:rsidR="0017776B" w:rsidRPr="00160D54">
        <w:rPr>
          <w:color w:val="000000"/>
        </w:rPr>
        <w:t>ed in September 2020</w:t>
      </w:r>
      <w:r w:rsidR="00FB2E37" w:rsidRPr="00160D54">
        <w:rPr>
          <w:color w:val="000000"/>
        </w:rPr>
        <w:t>, projected to take no more than 15 minutes</w:t>
      </w:r>
      <w:r w:rsidR="00411B1E" w:rsidRPr="00160D54">
        <w:rPr>
          <w:color w:val="000000"/>
        </w:rPr>
        <w:t xml:space="preserve"> (Attachment </w:t>
      </w:r>
      <w:r w:rsidR="00DA06A6">
        <w:rPr>
          <w:color w:val="000000"/>
        </w:rPr>
        <w:t>I</w:t>
      </w:r>
      <w:r w:rsidR="00411B1E" w:rsidRPr="00160D54">
        <w:rPr>
          <w:color w:val="000000"/>
        </w:rPr>
        <w:t>)</w:t>
      </w:r>
      <w:r w:rsidRPr="00160D54">
        <w:rPr>
          <w:color w:val="000000"/>
        </w:rPr>
        <w:t>.</w:t>
      </w:r>
      <w:r w:rsidR="00654D35" w:rsidRPr="00160D54">
        <w:rPr>
          <w:color w:val="000000"/>
        </w:rPr>
        <w:t xml:space="preserve"> </w:t>
      </w:r>
      <w:r w:rsidR="00074E10" w:rsidRPr="00F67A41">
        <w:rPr>
          <w:color w:val="000000"/>
        </w:rPr>
        <w:t xml:space="preserve">In total, we expect approximately 2 hours or less of total time spent on surveys by </w:t>
      </w:r>
      <w:r w:rsidR="00371CE7" w:rsidRPr="00F67A41">
        <w:rPr>
          <w:color w:val="000000"/>
        </w:rPr>
        <w:t xml:space="preserve">consented </w:t>
      </w:r>
      <w:r w:rsidR="00074E10" w:rsidRPr="00F67A41">
        <w:rPr>
          <w:color w:val="000000"/>
        </w:rPr>
        <w:t>participants in each year of the study.</w:t>
      </w:r>
      <w:r w:rsidR="00074E10" w:rsidRPr="00160D54">
        <w:rPr>
          <w:color w:val="000000"/>
        </w:rPr>
        <w:t xml:space="preserve"> </w:t>
      </w:r>
      <w:r w:rsidR="00654D35" w:rsidRPr="00160D54">
        <w:rPr>
          <w:color w:val="000000"/>
        </w:rPr>
        <w:t xml:space="preserve">All survey instruments </w:t>
      </w:r>
      <w:r w:rsidR="002F67F1" w:rsidRPr="00160D54">
        <w:rPr>
          <w:color w:val="000000"/>
        </w:rPr>
        <w:t xml:space="preserve">have been approved by </w:t>
      </w:r>
      <w:r w:rsidR="002A207E" w:rsidRPr="00160D54">
        <w:t>the IRBs at WCSU and URI.</w:t>
      </w:r>
      <w:r w:rsidR="002A207E" w:rsidRPr="0026371D">
        <w:t xml:space="preserve"> </w:t>
      </w:r>
    </w:p>
    <w:p w14:paraId="07A953ED" w14:textId="06055EA7" w:rsidR="00411B1E" w:rsidRPr="0026371D" w:rsidRDefault="00411B1E" w:rsidP="00181538">
      <w:r>
        <w:t>Because this study is scheduled to last four years, an extension ICR will be submitted for OMB review in 2020.</w:t>
      </w:r>
    </w:p>
    <w:p w14:paraId="55FE17B9" w14:textId="77777777" w:rsidR="004A13E8" w:rsidRPr="0026371D" w:rsidRDefault="004A13E8" w:rsidP="004A13E8">
      <w:pPr>
        <w:pStyle w:val="Heading1"/>
      </w:pPr>
      <w:bookmarkStart w:id="5" w:name="_Toc473880019"/>
      <w:r w:rsidRPr="0026371D">
        <w:t>Use of Improved Information Technology and Burden Reduction</w:t>
      </w:r>
      <w:bookmarkEnd w:id="5"/>
    </w:p>
    <w:p w14:paraId="16D81CC0" w14:textId="77777777" w:rsidR="00390FDF" w:rsidRDefault="00D343F0" w:rsidP="008D5AEA">
      <w:r w:rsidRPr="0026371D">
        <w:t xml:space="preserve">Per the Government Paperwork Elimination Act (GPEA), Public Law 105-277, title XVII, information collection will be conducted using the most current modes of survey data collection, including web-based surveys and applications used on participants’ mobile devices (e.g., smart phones and tablets) or computers.  </w:t>
      </w:r>
    </w:p>
    <w:p w14:paraId="324484DC" w14:textId="7BD3AE4A" w:rsidR="00A57FB4" w:rsidRPr="0026371D" w:rsidRDefault="00D343F0" w:rsidP="008D5AEA">
      <w:r w:rsidRPr="0026371D">
        <w:t>P</w:t>
      </w:r>
      <w:r w:rsidR="00A57FB4" w:rsidRPr="0026371D">
        <w:t>otential participants may be excluded based on a lack of email address since use of email is critical for</w:t>
      </w:r>
      <w:r w:rsidR="00DA3E73" w:rsidRPr="0026371D">
        <w:t xml:space="preserve"> the</w:t>
      </w:r>
      <w:r w:rsidR="00A57FB4" w:rsidRPr="0026371D">
        <w:t xml:space="preserve"> electronic information collection techniques. In addition, these electronic information collection techniques typically reduce burden because participants can submit responses at any time of day that is convenient for them rather than having to schedule phone interviews with project staff.</w:t>
      </w:r>
    </w:p>
    <w:p w14:paraId="55FE17BC" w14:textId="77777777" w:rsidR="004A13E8" w:rsidRPr="0026371D" w:rsidRDefault="004A13E8" w:rsidP="004A13E8">
      <w:pPr>
        <w:pStyle w:val="Heading1"/>
      </w:pPr>
      <w:bookmarkStart w:id="6" w:name="_Toc473880020"/>
      <w:r w:rsidRPr="0026371D">
        <w:t>Efforts to Identify Duplication and Use of Similar Information</w:t>
      </w:r>
      <w:bookmarkEnd w:id="6"/>
    </w:p>
    <w:p w14:paraId="55FE17BE" w14:textId="682D6B93" w:rsidR="003B2FB4" w:rsidRPr="0026371D" w:rsidRDefault="00500340" w:rsidP="003B2FB4">
      <w:r w:rsidRPr="0026371D">
        <w:t xml:space="preserve">CDC SMEs maintain regular contact with other federal agencies that fund research on Lyme disease. No other federal agency supports the applied type of research </w:t>
      </w:r>
      <w:r w:rsidR="00F945F2" w:rsidRPr="0026371D">
        <w:t xml:space="preserve">being conducted in this project. </w:t>
      </w:r>
      <w:r w:rsidR="003B2FB4" w:rsidRPr="0026371D">
        <w:t>CDC is not aware of the availabili</w:t>
      </w:r>
      <w:r w:rsidR="001453B8" w:rsidRPr="0026371D">
        <w:t>ty of any similar information.</w:t>
      </w:r>
    </w:p>
    <w:p w14:paraId="55FE17BF" w14:textId="77777777" w:rsidR="00DC57CC" w:rsidRPr="0026371D" w:rsidRDefault="004A13E8" w:rsidP="004A13E8">
      <w:pPr>
        <w:pStyle w:val="Heading1"/>
      </w:pPr>
      <w:bookmarkStart w:id="7" w:name="_Toc473880021"/>
      <w:r w:rsidRPr="0026371D">
        <w:t>Impact on Small Businesses or Other Small Entities</w:t>
      </w:r>
      <w:bookmarkEnd w:id="7"/>
    </w:p>
    <w:p w14:paraId="55FE17C0" w14:textId="77777777" w:rsidR="004A13E8" w:rsidRPr="0026371D" w:rsidRDefault="004A13E8" w:rsidP="004A13E8">
      <w:r w:rsidRPr="0026371D">
        <w:t>This data collection wi</w:t>
      </w:r>
      <w:r w:rsidR="001523DF" w:rsidRPr="0026371D">
        <w:t>ll not involve small businesses.</w:t>
      </w:r>
    </w:p>
    <w:p w14:paraId="55FE17C3" w14:textId="77777777" w:rsidR="004A13E8" w:rsidRPr="0026371D" w:rsidRDefault="004A13E8" w:rsidP="004A13E8">
      <w:pPr>
        <w:pStyle w:val="Heading1"/>
      </w:pPr>
      <w:bookmarkStart w:id="8" w:name="_Toc473880022"/>
      <w:r w:rsidRPr="0026371D">
        <w:t>Consequences of Collecting the Information Less Frequently</w:t>
      </w:r>
      <w:bookmarkEnd w:id="8"/>
    </w:p>
    <w:p w14:paraId="55FE17C4" w14:textId="3C5F22EB" w:rsidR="001523DF" w:rsidRPr="0026371D" w:rsidRDefault="009C26E8" w:rsidP="001523DF">
      <w:r w:rsidRPr="0026371D">
        <w:t>Collecting information less frequently would lead to reduced data quality due to recall issues.</w:t>
      </w:r>
    </w:p>
    <w:p w14:paraId="55FE17C6" w14:textId="39EA8543" w:rsidR="004A13E8" w:rsidRPr="0026371D" w:rsidRDefault="004A13E8" w:rsidP="004A13E8">
      <w:pPr>
        <w:pStyle w:val="Heading1"/>
      </w:pPr>
      <w:bookmarkStart w:id="9" w:name="_Toc473880023"/>
      <w:r w:rsidRPr="0026371D">
        <w:t>Special Circumstances Relating to the Guidelines of 5 CFR 1320.5</w:t>
      </w:r>
      <w:bookmarkEnd w:id="9"/>
    </w:p>
    <w:p w14:paraId="7BE87DA3" w14:textId="51BC587E" w:rsidR="00392934" w:rsidRDefault="00EC4087" w:rsidP="00282CF0">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pPr>
      <w:bookmarkStart w:id="10" w:name="_Toc473880024"/>
      <w:r w:rsidRPr="00CE571B">
        <w:t xml:space="preserve">This information </w:t>
      </w:r>
      <w:r>
        <w:t xml:space="preserve">collection request </w:t>
      </w:r>
      <w:r w:rsidRPr="00CE571B">
        <w:t>require</w:t>
      </w:r>
      <w:r>
        <w:t>s</w:t>
      </w:r>
      <w:r w:rsidRPr="00CE571B">
        <w:t xml:space="preserve"> re</w:t>
      </w:r>
      <w:r>
        <w:t>spondents to report information</w:t>
      </w:r>
      <w:r w:rsidRPr="00CE571B">
        <w:t xml:space="preserve"> </w:t>
      </w:r>
      <w:r>
        <w:t>more often than quarterly</w:t>
      </w:r>
      <w:r w:rsidRPr="00CE571B">
        <w:t xml:space="preserve"> </w:t>
      </w:r>
      <w:r>
        <w:t>during defined periods of the year (i.e., the peak May-August tick season).</w:t>
      </w:r>
      <w:r w:rsidR="002D5457">
        <w:t xml:space="preserve">  </w:t>
      </w:r>
      <w:r w:rsidR="002D5457" w:rsidRPr="002D5457">
        <w:t>Part of the study involves understanding how people use specific habitats, with variable perceived risk of encountering ticks, on their own properties on a daily basis during the peak tick activity period.  For accurate recall, this information needs to be documented daily during the relevant time period.</w:t>
      </w:r>
    </w:p>
    <w:p w14:paraId="630F5197" w14:textId="77777777" w:rsidR="00A5408B" w:rsidRPr="00CE571B" w:rsidRDefault="00A5408B" w:rsidP="00A5408B">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1080"/>
      </w:pPr>
    </w:p>
    <w:p w14:paraId="55FE17C8" w14:textId="77777777" w:rsidR="004A13E8" w:rsidRPr="0026371D" w:rsidRDefault="004A13E8" w:rsidP="004A13E8">
      <w:pPr>
        <w:pStyle w:val="Heading1"/>
      </w:pPr>
      <w:r w:rsidRPr="0026371D">
        <w:t>Comments in Response to the Federal Register Notice and Efforts to Consult Outside the Agency</w:t>
      </w:r>
      <w:bookmarkEnd w:id="10"/>
    </w:p>
    <w:p w14:paraId="664995B8" w14:textId="6BCFFFE0" w:rsidR="00390FDF" w:rsidRPr="00390FDF" w:rsidRDefault="00390FDF" w:rsidP="00390FDF">
      <w:r>
        <w:t xml:space="preserve">A.  </w:t>
      </w:r>
      <w:r w:rsidRPr="00390FDF">
        <w:t>A 60 day Federal Register Notice was published on</w:t>
      </w:r>
      <w:r w:rsidR="00DC65B2">
        <w:t xml:space="preserve"> May 30, 2017, Vol. 82, No. 102, pp. 24707-24709.  </w:t>
      </w:r>
      <w:r w:rsidR="002112F4">
        <w:t>Three</w:t>
      </w:r>
      <w:r w:rsidR="009E420F">
        <w:t xml:space="preserve"> </w:t>
      </w:r>
      <w:r w:rsidR="00560C89">
        <w:t xml:space="preserve">non-substantive </w:t>
      </w:r>
      <w:r w:rsidR="009E420F">
        <w:t>public comment</w:t>
      </w:r>
      <w:r w:rsidR="002112F4">
        <w:t>s</w:t>
      </w:r>
      <w:r w:rsidR="009E420F">
        <w:t xml:space="preserve"> w</w:t>
      </w:r>
      <w:r w:rsidR="002112F4">
        <w:t>ere</w:t>
      </w:r>
      <w:r w:rsidR="009E420F">
        <w:t xml:space="preserve"> received</w:t>
      </w:r>
      <w:r w:rsidR="009C2962">
        <w:t xml:space="preserve"> (Attachment</w:t>
      </w:r>
      <w:r w:rsidR="002112F4">
        <w:t>s</w:t>
      </w:r>
      <w:r w:rsidR="009C2962">
        <w:t xml:space="preserve"> B1</w:t>
      </w:r>
      <w:r w:rsidR="002112F4">
        <w:t>-B3</w:t>
      </w:r>
      <w:r w:rsidR="009C2962">
        <w:t>)</w:t>
      </w:r>
      <w:r w:rsidR="009E420F">
        <w:t>.  A standard response was sent</w:t>
      </w:r>
      <w:r w:rsidR="002112F4">
        <w:t xml:space="preserve"> to the one comment with a return address</w:t>
      </w:r>
      <w:r w:rsidR="009E420F">
        <w:t>.</w:t>
      </w:r>
    </w:p>
    <w:p w14:paraId="55FE17CA" w14:textId="2027F39E" w:rsidR="004A13E8" w:rsidRPr="004A13E8" w:rsidRDefault="00390FDF" w:rsidP="004A13E8">
      <w:r>
        <w:t xml:space="preserve">B.  </w:t>
      </w:r>
      <w:r w:rsidR="004A13E8" w:rsidRPr="0026371D">
        <w:t>No consult</w:t>
      </w:r>
      <w:r w:rsidR="00500340" w:rsidRPr="0026371D">
        <w:t xml:space="preserve">ations outside of CDC occurred. </w:t>
      </w:r>
      <w:r w:rsidR="00500340" w:rsidRPr="0026371D">
        <w:rPr>
          <w:rFonts w:cs="Times New Roman"/>
        </w:rPr>
        <w:t xml:space="preserve">The Cooperative Agreement was established based on WCSU competing successfully for CDC </w:t>
      </w:r>
      <w:r w:rsidR="00500340" w:rsidRPr="0026371D">
        <w:rPr>
          <w:rFonts w:cs="Times New Roman"/>
          <w:szCs w:val="24"/>
        </w:rPr>
        <w:t>RFA-CK-16-002</w:t>
      </w:r>
      <w:r w:rsidR="00500340" w:rsidRPr="0026371D">
        <w:rPr>
          <w:rFonts w:cs="Times New Roman"/>
        </w:rPr>
        <w:t xml:space="preserve"> (</w:t>
      </w:r>
      <w:r w:rsidR="00500340" w:rsidRPr="0026371D">
        <w:rPr>
          <w:rFonts w:cs="Times New Roman"/>
          <w:szCs w:val="24"/>
        </w:rPr>
        <w:t xml:space="preserve">Spatially Scalable Integrated Tick Vector/Rodent Reservoir Management to Reduce Human Risk of Exposure to </w:t>
      </w:r>
      <w:r w:rsidR="00500340" w:rsidRPr="0026371D">
        <w:rPr>
          <w:rFonts w:cs="Times New Roman"/>
          <w:i/>
          <w:szCs w:val="24"/>
        </w:rPr>
        <w:t>Ixodes scapularis</w:t>
      </w:r>
      <w:r w:rsidR="00500340" w:rsidRPr="0026371D">
        <w:rPr>
          <w:rFonts w:cs="Times New Roman"/>
          <w:szCs w:val="24"/>
        </w:rPr>
        <w:t xml:space="preserve"> Ticks Infected with Lyme Disease Spirochetes</w:t>
      </w:r>
      <w:r w:rsidR="00500340" w:rsidRPr="0026371D">
        <w:rPr>
          <w:rFonts w:cs="Times New Roman"/>
        </w:rPr>
        <w:t>)</w:t>
      </w:r>
      <w:r w:rsidR="00500340" w:rsidRPr="0026371D">
        <w:t>.</w:t>
      </w:r>
    </w:p>
    <w:p w14:paraId="55FE17CB" w14:textId="77777777" w:rsidR="004A13E8" w:rsidRPr="00520507" w:rsidRDefault="004A13E8" w:rsidP="004A13E8">
      <w:pPr>
        <w:pStyle w:val="Heading1"/>
      </w:pPr>
      <w:bookmarkStart w:id="11" w:name="_Toc473880025"/>
      <w:r w:rsidRPr="00520507">
        <w:t>Explanation of Any Payment or Gift to Respondents</w:t>
      </w:r>
      <w:bookmarkEnd w:id="11"/>
    </w:p>
    <w:p w14:paraId="0E73BE2E" w14:textId="4E700C0F" w:rsidR="006901FF" w:rsidRPr="00A12818" w:rsidRDefault="006901FF" w:rsidP="00A12818">
      <w:pPr>
        <w:pStyle w:val="a"/>
        <w:widowControl/>
        <w:tabs>
          <w:tab w:val="left" w:pos="0"/>
        </w:tabs>
        <w:spacing w:line="276" w:lineRule="auto"/>
        <w:ind w:left="0" w:firstLine="0"/>
      </w:pPr>
      <w:r w:rsidRPr="00520507">
        <w:t xml:space="preserve">Participants will receive $45 in Target gift cards as </w:t>
      </w:r>
      <w:r w:rsidR="007308C3">
        <w:t>a token of appreciation for th</w:t>
      </w:r>
      <w:r w:rsidRPr="00520507">
        <w:t>e</w:t>
      </w:r>
      <w:r w:rsidR="007308C3">
        <w:t xml:space="preserve"> time taken to complete the s</w:t>
      </w:r>
      <w:r w:rsidRPr="00520507">
        <w:t xml:space="preserve">tudy surveys for each year of participation in the study. </w:t>
      </w:r>
      <w:r w:rsidR="002864AB">
        <w:t xml:space="preserve">For the </w:t>
      </w:r>
      <w:r w:rsidR="001613E6">
        <w:t>proposed information collection</w:t>
      </w:r>
      <w:r w:rsidR="002864AB">
        <w:t xml:space="preserve">, </w:t>
      </w:r>
      <w:r w:rsidR="002864AB" w:rsidRPr="00CF3FCE">
        <w:t xml:space="preserve">respondents </w:t>
      </w:r>
      <w:r w:rsidR="002864AB">
        <w:t>will be</w:t>
      </w:r>
      <w:r w:rsidR="002864AB" w:rsidRPr="00CF3FCE">
        <w:t xml:space="preserve"> recruited for specific characteristics</w:t>
      </w:r>
      <w:r w:rsidR="00B322C0">
        <w:t>, including</w:t>
      </w:r>
      <w:r w:rsidR="002864AB" w:rsidRPr="00CF3FCE">
        <w:t xml:space="preserve"> </w:t>
      </w:r>
      <w:r w:rsidR="002864AB">
        <w:t xml:space="preserve">living in certain areas </w:t>
      </w:r>
      <w:r w:rsidR="00B322C0">
        <w:t xml:space="preserve">and with </w:t>
      </w:r>
      <w:r w:rsidR="002864AB" w:rsidRPr="00CF3FCE">
        <w:t xml:space="preserve">certain </w:t>
      </w:r>
      <w:r w:rsidR="002864AB">
        <w:t xml:space="preserve">yard </w:t>
      </w:r>
      <w:r w:rsidR="00E53CD9">
        <w:t>attributes</w:t>
      </w:r>
      <w:r w:rsidR="00737913">
        <w:t xml:space="preserve">. </w:t>
      </w:r>
      <w:r w:rsidR="002864AB" w:rsidRPr="00CF3FCE">
        <w:t xml:space="preserve">The more specific the </w:t>
      </w:r>
      <w:r w:rsidR="002864AB">
        <w:t>target population</w:t>
      </w:r>
      <w:r w:rsidR="002864AB" w:rsidRPr="00CF3FCE">
        <w:t>, the more difficult it is to recruit eligible respondents</w:t>
      </w:r>
      <w:r w:rsidR="00903354">
        <w:t xml:space="preserve">. </w:t>
      </w:r>
      <w:r w:rsidR="002864AB" w:rsidRPr="00CF3FCE">
        <w:t xml:space="preserve">Remuneration </w:t>
      </w:r>
      <w:r w:rsidR="002864AB">
        <w:t xml:space="preserve">for participants’ time </w:t>
      </w:r>
      <w:r w:rsidR="002864AB" w:rsidRPr="00CF3FCE">
        <w:t xml:space="preserve">helps to attract a greater number of </w:t>
      </w:r>
      <w:r w:rsidR="000D228B">
        <w:t xml:space="preserve">potential </w:t>
      </w:r>
      <w:r w:rsidR="000D228B" w:rsidRPr="00A12818">
        <w:t>respondents and also will help retain participants ove</w:t>
      </w:r>
      <w:r w:rsidR="000A3472" w:rsidRPr="00A12818">
        <w:t>r the course of the multi-year project.</w:t>
      </w:r>
      <w:r w:rsidR="000D228B" w:rsidRPr="00A12818">
        <w:t xml:space="preserve"> </w:t>
      </w:r>
    </w:p>
    <w:p w14:paraId="355CC6C1" w14:textId="77777777" w:rsidR="00A12818" w:rsidRPr="00A12818" w:rsidRDefault="00A12818" w:rsidP="00A12818">
      <w:pPr>
        <w:pStyle w:val="a"/>
        <w:widowControl/>
        <w:tabs>
          <w:tab w:val="left" w:pos="0"/>
        </w:tabs>
        <w:spacing w:line="276" w:lineRule="auto"/>
        <w:ind w:left="0" w:firstLine="0"/>
      </w:pPr>
    </w:p>
    <w:p w14:paraId="55FE17CD" w14:textId="77777777" w:rsidR="004A13E8" w:rsidRPr="00A12818" w:rsidRDefault="004A13E8" w:rsidP="004A13E8">
      <w:pPr>
        <w:pStyle w:val="Heading1"/>
      </w:pPr>
      <w:bookmarkStart w:id="12" w:name="_Toc473880026"/>
      <w:r w:rsidRPr="00A12818">
        <w:t>Protection of the Privacy and Confidentiality of Information Provided by Respondents</w:t>
      </w:r>
      <w:bookmarkEnd w:id="12"/>
    </w:p>
    <w:p w14:paraId="40859F71" w14:textId="6694DB1A" w:rsidR="00240B90" w:rsidRDefault="00240B90" w:rsidP="00240B90">
      <w:pPr>
        <w:pStyle w:val="Default"/>
        <w:spacing w:line="276" w:lineRule="auto"/>
        <w:rPr>
          <w:color w:val="auto"/>
        </w:rPr>
      </w:pPr>
      <w:r w:rsidRPr="00240B90">
        <w:rPr>
          <w:color w:val="auto"/>
        </w:rPr>
        <w:t>This information collection request has been reviewed by CDC</w:t>
      </w:r>
      <w:r>
        <w:rPr>
          <w:color w:val="auto"/>
        </w:rPr>
        <w:t>’s</w:t>
      </w:r>
      <w:r w:rsidRPr="00240B90">
        <w:rPr>
          <w:color w:val="auto"/>
        </w:rPr>
        <w:t xml:space="preserve"> National Center for Emerging and Zoonotic </w:t>
      </w:r>
      <w:r>
        <w:rPr>
          <w:color w:val="auto"/>
        </w:rPr>
        <w:t xml:space="preserve">Infectious </w:t>
      </w:r>
      <w:r w:rsidRPr="00240B90">
        <w:rPr>
          <w:color w:val="auto"/>
        </w:rPr>
        <w:t>Diseases (NCEZID)</w:t>
      </w:r>
      <w:r w:rsidR="00C37F78">
        <w:rPr>
          <w:color w:val="auto"/>
        </w:rPr>
        <w:t>’s human subjects advisor</w:t>
      </w:r>
      <w:r w:rsidRPr="00240B90">
        <w:rPr>
          <w:color w:val="auto"/>
        </w:rPr>
        <w:t xml:space="preserve">. NCEZID has determined that the Privacy Act does </w:t>
      </w:r>
      <w:r>
        <w:rPr>
          <w:color w:val="auto"/>
        </w:rPr>
        <w:t>not apply</w:t>
      </w:r>
      <w:r w:rsidRPr="00240B90">
        <w:rPr>
          <w:color w:val="auto"/>
        </w:rPr>
        <w:t xml:space="preserve"> to this information collection request.</w:t>
      </w:r>
    </w:p>
    <w:p w14:paraId="1710EBFC" w14:textId="6A954DDC" w:rsidR="001C159F" w:rsidRPr="00240B90" w:rsidRDefault="00877726" w:rsidP="00B64BAD">
      <w:pPr>
        <w:pStyle w:val="Default"/>
        <w:spacing w:before="240" w:line="276" w:lineRule="auto"/>
      </w:pPr>
      <w:r w:rsidRPr="00C94217">
        <w:rPr>
          <w:color w:val="auto"/>
        </w:rPr>
        <w:t>There are no plans for CDC to receive any individual-level human data pertaining to this study.  Because CDC will not interact or intervene with subjects, and because CDC will not obtain identifiable private information, CDC's role in this study does not constitute engagement in the conduct of human subjects research.</w:t>
      </w:r>
      <w:r w:rsidR="00CF009D">
        <w:rPr>
          <w:color w:val="auto"/>
        </w:rPr>
        <w:t xml:space="preserve">  For that reason, the Privacy Act is not applicable. </w:t>
      </w:r>
    </w:p>
    <w:p w14:paraId="55FE17CF" w14:textId="6C24B556" w:rsidR="00F56C86" w:rsidRPr="000211E0" w:rsidRDefault="00A12818" w:rsidP="00B64BAD">
      <w:pPr>
        <w:spacing w:before="240"/>
      </w:pPr>
      <w:r w:rsidRPr="00A12818">
        <w:t>Protection of privacy and confidentiality of information provided by respondents</w:t>
      </w:r>
      <w:r w:rsidR="00D42C2E">
        <w:t xml:space="preserve"> to the primary information collection entities (WCSU and URI) </w:t>
      </w:r>
      <w:r w:rsidR="007B6E96">
        <w:t>is outlined in the approved WCSU and URI IRB protocols</w:t>
      </w:r>
      <w:r w:rsidR="00240B90">
        <w:t xml:space="preserve"> (Attachments </w:t>
      </w:r>
      <w:r w:rsidR="00DA06A6">
        <w:t>K</w:t>
      </w:r>
      <w:r w:rsidR="00240B90">
        <w:t xml:space="preserve"> and </w:t>
      </w:r>
      <w:r w:rsidR="00DA06A6">
        <w:t>L</w:t>
      </w:r>
      <w:r w:rsidR="00240B90">
        <w:t>)</w:t>
      </w:r>
      <w:r w:rsidR="007B6E96">
        <w:t xml:space="preserve">: </w:t>
      </w:r>
      <w:r w:rsidR="00641621">
        <w:t>“</w:t>
      </w:r>
      <w:r w:rsidR="00641621" w:rsidRPr="005823C0">
        <w:t xml:space="preserve">Data will be collected and stored in an electronic database on secure computers with limited user access.  All forms and files will be kept </w:t>
      </w:r>
      <w:r w:rsidR="005F7360">
        <w:t>[private]</w:t>
      </w:r>
      <w:r w:rsidR="005F7360" w:rsidRPr="005823C0">
        <w:t xml:space="preserve"> </w:t>
      </w:r>
      <w:r w:rsidR="00641621" w:rsidRPr="005823C0">
        <w:t>to the extent allowed by local, state, and federal law. All data will be coded by study ID number with the ID number linked to the individual</w:t>
      </w:r>
      <w:r w:rsidR="00641621">
        <w:t xml:space="preserve"> participant</w:t>
      </w:r>
      <w:r w:rsidR="00641621" w:rsidRPr="005823C0">
        <w:t>. Only WCSU and URI investigators will have links to the identifiable data.  Any data that may be shared with CDC will be de-identified</w:t>
      </w:r>
      <w:r w:rsidR="00641621">
        <w:t xml:space="preserve"> prior to sharing</w:t>
      </w:r>
      <w:r w:rsidR="00641621" w:rsidRPr="005823C0">
        <w:t xml:space="preserve">.  To maintain </w:t>
      </w:r>
      <w:r w:rsidR="005F7360">
        <w:t>[privacy]</w:t>
      </w:r>
      <w:r w:rsidR="00641621" w:rsidRPr="005823C0">
        <w:t xml:space="preserve">, all data, forms, reports, and other records will be identified by the study ID number only. </w:t>
      </w:r>
      <w:r w:rsidR="00641621">
        <w:t>After the introductory survey is completed, a</w:t>
      </w:r>
      <w:r w:rsidR="00641621" w:rsidRPr="005823C0">
        <w:t xml:space="preserve">ll computer entry and surveys will utilize only </w:t>
      </w:r>
      <w:r w:rsidR="00641621">
        <w:t>Study</w:t>
      </w:r>
      <w:r w:rsidR="00641621" w:rsidRPr="005823C0">
        <w:t xml:space="preserve"> </w:t>
      </w:r>
      <w:r w:rsidR="00641621">
        <w:t xml:space="preserve">ID </w:t>
      </w:r>
      <w:r w:rsidR="00641621" w:rsidRPr="005823C0">
        <w:t>numbers</w:t>
      </w:r>
      <w:bookmarkStart w:id="13" w:name="_Toc187738018"/>
      <w:bookmarkStart w:id="14" w:name="_Toc223854353"/>
      <w:r w:rsidR="00641621" w:rsidRPr="005823C0">
        <w:t>. Study documentation (e.g., consent forms, hardcopy surveys, etc.) will be mainta</w:t>
      </w:r>
      <w:bookmarkEnd w:id="13"/>
      <w:bookmarkEnd w:id="14"/>
      <w:r w:rsidR="00641621" w:rsidRPr="005823C0">
        <w:t>ined according to WCSU’s IRB file management and retention policy. Links to personally identifiable information will be destroyed following the study, once all necessary communication with study participants has been completed.</w:t>
      </w:r>
      <w:r w:rsidR="00641621">
        <w:t xml:space="preserve"> </w:t>
      </w:r>
      <w:r w:rsidR="00641621" w:rsidRPr="005823C0">
        <w:t xml:space="preserve">Data management and storage related to recruitment, participation, and study organization will be maintained at WCSU and URI. Responsibility for maintaining </w:t>
      </w:r>
      <w:r w:rsidR="005F7360">
        <w:t>[privacy]</w:t>
      </w:r>
      <w:r w:rsidR="005F7360" w:rsidRPr="005823C0">
        <w:t xml:space="preserve"> </w:t>
      </w:r>
      <w:r w:rsidR="00641621" w:rsidRPr="005823C0">
        <w:t xml:space="preserve">with regards to participant information, treatment group, and survey data lies with the PIs at WCSU and URI. Only coded data without direct personal identifiers will be shared with CDC for additional data analysis. The study data collected </w:t>
      </w:r>
      <w:r w:rsidR="00641621">
        <w:t>during</w:t>
      </w:r>
      <w:r w:rsidR="00641621" w:rsidRPr="005823C0">
        <w:t xml:space="preserve"> phone </w:t>
      </w:r>
      <w:r w:rsidR="00641621">
        <w:t xml:space="preserve">interviews </w:t>
      </w:r>
      <w:r w:rsidR="00641621" w:rsidRPr="005823C0">
        <w:t>will be maintained at WCSU and URI in a secured MS Access database on a password protected computer in a locked office space.</w:t>
      </w:r>
      <w:bookmarkStart w:id="15" w:name="_Toc187738017"/>
      <w:bookmarkStart w:id="16" w:name="_Toc223854352"/>
      <w:r w:rsidR="00641621" w:rsidRPr="005823C0">
        <w:t xml:space="preserve">  Copies of electronic</w:t>
      </w:r>
      <w:bookmarkEnd w:id="15"/>
      <w:bookmarkEnd w:id="16"/>
      <w:r w:rsidR="00641621" w:rsidRPr="005823C0">
        <w:t xml:space="preserve"> and paper files will be kept at WCSU</w:t>
      </w:r>
      <w:r w:rsidR="00641621">
        <w:t xml:space="preserve"> in locked filed cabinets within locked office spaces</w:t>
      </w:r>
      <w:r w:rsidR="00641621" w:rsidRPr="005823C0">
        <w:t xml:space="preserve">.  All participant tracking and follow-up (phone calls, emails, mailings, etc.) will be </w:t>
      </w:r>
      <w:r w:rsidR="00641621" w:rsidRPr="000211E0">
        <w:t>completed at WCSU and URI.”</w:t>
      </w:r>
    </w:p>
    <w:p w14:paraId="55FE17D0" w14:textId="77777777" w:rsidR="004A13E8" w:rsidRPr="000211E0" w:rsidRDefault="004A13E8" w:rsidP="004A13E8">
      <w:pPr>
        <w:pStyle w:val="Heading1"/>
      </w:pPr>
      <w:bookmarkStart w:id="17" w:name="_Toc473880027"/>
      <w:r w:rsidRPr="000211E0">
        <w:t>Institutional Review Board (IRB) and Justification for Sensitive Questions</w:t>
      </w:r>
      <w:bookmarkEnd w:id="17"/>
    </w:p>
    <w:p w14:paraId="61149163" w14:textId="614469EA" w:rsidR="00240B90" w:rsidRPr="00B64BAD" w:rsidRDefault="00240B90" w:rsidP="00C25ABA">
      <w:pPr>
        <w:pStyle w:val="Default"/>
        <w:spacing w:line="276" w:lineRule="auto"/>
        <w:rPr>
          <w:color w:val="auto"/>
          <w:u w:val="single"/>
        </w:rPr>
      </w:pPr>
      <w:r>
        <w:rPr>
          <w:color w:val="auto"/>
          <w:u w:val="single"/>
        </w:rPr>
        <w:t>Institutional Review Board</w:t>
      </w:r>
    </w:p>
    <w:p w14:paraId="087E45B8" w14:textId="18D07B1B" w:rsidR="00C25ABA" w:rsidRDefault="00C25ABA" w:rsidP="00B64BAD">
      <w:pPr>
        <w:pStyle w:val="Default"/>
        <w:spacing w:before="240" w:line="276" w:lineRule="auto"/>
        <w:rPr>
          <w:color w:val="auto"/>
        </w:rPr>
      </w:pPr>
      <w:r w:rsidRPr="00C94217">
        <w:rPr>
          <w:color w:val="auto"/>
        </w:rPr>
        <w:t>The Backyard Integrated Tick Management study</w:t>
      </w:r>
      <w:r w:rsidRPr="00C94217">
        <w:t xml:space="preserve"> received the determination </w:t>
      </w:r>
      <w:r w:rsidR="00EF65DB">
        <w:t xml:space="preserve">on 1/25/2017 </w:t>
      </w:r>
      <w:r w:rsidRPr="00C94217">
        <w:t>of: CDC is not engaged in the conduct of human subjects research per 2008 OHRP engagement guidance. CDC IRB review is not required</w:t>
      </w:r>
      <w:r w:rsidR="008F7F20">
        <w:t xml:space="preserve"> (Attachment </w:t>
      </w:r>
      <w:r w:rsidR="00DA06A6">
        <w:t>J</w:t>
      </w:r>
      <w:r w:rsidR="008F7F20">
        <w:t>)</w:t>
      </w:r>
      <w:r w:rsidRPr="00C94217">
        <w:t xml:space="preserve">. </w:t>
      </w:r>
      <w:r w:rsidRPr="00C94217">
        <w:rPr>
          <w:iCs/>
        </w:rPr>
        <w:t xml:space="preserve">Investigator has provided documentation of appropriate local review (012517AH-a). The rationale was as follows:  </w:t>
      </w:r>
      <w:r w:rsidRPr="00C94217">
        <w:rPr>
          <w:iCs/>
          <w:color w:val="auto"/>
        </w:rPr>
        <w:t>“</w:t>
      </w:r>
      <w:r w:rsidRPr="00C94217">
        <w:rPr>
          <w:color w:val="auto"/>
        </w:rPr>
        <w:t>The above-referenced study has been reviewed and approved by an appropriately constituted IRB, in accordance with the requirements of 45 CFR 46.  CDC's role in this study is limited to laboratory testing of ticks collected on the outdoor property of consenting households.  There are no plans for CDC to receive any individual-level human data pertaining to this study.  Because CDC will not interact or intervene with subjects, and because CDC will not obtain identifiable private information, CDC's role in this study does not constitute engagement in the conduct of human subjects research.”</w:t>
      </w:r>
    </w:p>
    <w:p w14:paraId="2FA11620" w14:textId="44BCE8A0" w:rsidR="00E5766A" w:rsidRDefault="00E5766A" w:rsidP="00B64BAD">
      <w:pPr>
        <w:pStyle w:val="Default"/>
        <w:spacing w:before="240" w:line="276" w:lineRule="auto"/>
        <w:rPr>
          <w:color w:val="auto"/>
        </w:rPr>
      </w:pPr>
      <w:r>
        <w:rPr>
          <w:color w:val="auto"/>
        </w:rPr>
        <w:t xml:space="preserve">The study has been approved </w:t>
      </w:r>
      <w:r w:rsidRPr="00160D54">
        <w:t>by the IRBs at WCSU and URI</w:t>
      </w:r>
      <w:r w:rsidR="00C37F78">
        <w:t xml:space="preserve"> (Attachments K and L)</w:t>
      </w:r>
      <w:r w:rsidRPr="00160D54">
        <w:t>.</w:t>
      </w:r>
    </w:p>
    <w:p w14:paraId="6F45493B" w14:textId="77777777" w:rsidR="00C25ABA" w:rsidRPr="001945B0" w:rsidRDefault="00C25ABA" w:rsidP="00C25ABA">
      <w:pPr>
        <w:pStyle w:val="Default"/>
        <w:rPr>
          <w:rFonts w:ascii="Arial" w:hAnsi="Arial" w:cs="Arial"/>
        </w:rPr>
      </w:pPr>
    </w:p>
    <w:p w14:paraId="32252EAA" w14:textId="7BF626CE" w:rsidR="00240B90" w:rsidRPr="00B64BAD" w:rsidRDefault="00240B90" w:rsidP="005239BE">
      <w:pPr>
        <w:rPr>
          <w:u w:val="single"/>
        </w:rPr>
      </w:pPr>
      <w:r>
        <w:rPr>
          <w:u w:val="single"/>
        </w:rPr>
        <w:t>Justification for Sensitive Questions</w:t>
      </w:r>
    </w:p>
    <w:p w14:paraId="057C5D0D" w14:textId="77777777" w:rsidR="00136D39" w:rsidRDefault="005239BE" w:rsidP="005239BE">
      <w:r w:rsidRPr="000211E0">
        <w:t xml:space="preserve">No sensitive questions are anticipated for the topics planned in this information collection request. The possibility exists that </w:t>
      </w:r>
      <w:r w:rsidR="00701681" w:rsidRPr="000211E0">
        <w:t xml:space="preserve">some </w:t>
      </w:r>
      <w:r w:rsidRPr="000211E0">
        <w:t xml:space="preserve">respondents </w:t>
      </w:r>
      <w:r w:rsidR="00D94DDA" w:rsidRPr="000211E0">
        <w:t xml:space="preserve">nevertheless </w:t>
      </w:r>
      <w:r w:rsidRPr="000211E0">
        <w:t>may find certain questions from the surveys to be</w:t>
      </w:r>
      <w:r>
        <w:t xml:space="preserve"> sensitive in nature</w:t>
      </w:r>
      <w:r w:rsidR="00701681">
        <w:t xml:space="preserve">. </w:t>
      </w:r>
      <w:r w:rsidRPr="00B00125">
        <w:t xml:space="preserve">However, </w:t>
      </w:r>
      <w:r>
        <w:t>q</w:t>
      </w:r>
      <w:r w:rsidRPr="00B00125">
        <w:t>ue</w:t>
      </w:r>
      <w:r w:rsidR="00701681">
        <w:t xml:space="preserve">stions covering such topics as </w:t>
      </w:r>
      <w:r>
        <w:t>activity locations,</w:t>
      </w:r>
      <w:r w:rsidRPr="00B00125">
        <w:t xml:space="preserve"> </w:t>
      </w:r>
      <w:r w:rsidR="004C447D">
        <w:t>tick bites</w:t>
      </w:r>
      <w:r w:rsidR="000B2ACC">
        <w:t>,</w:t>
      </w:r>
      <w:r w:rsidR="004C447D">
        <w:t xml:space="preserve"> </w:t>
      </w:r>
      <w:r w:rsidR="00C278B1">
        <w:t>and</w:t>
      </w:r>
      <w:r w:rsidRPr="00B00125">
        <w:t xml:space="preserve"> history</w:t>
      </w:r>
      <w:r w:rsidR="00C278B1">
        <w:t xml:space="preserve"> of tick-borne disease</w:t>
      </w:r>
      <w:r w:rsidRPr="00B00125">
        <w:t xml:space="preserve"> are typical components of medical examinations.</w:t>
      </w:r>
      <w:r>
        <w:t xml:space="preserve"> These questions</w:t>
      </w:r>
      <w:r w:rsidRPr="00B00125">
        <w:t xml:space="preserve"> </w:t>
      </w:r>
      <w:r>
        <w:t>are necessary in order to assess th</w:t>
      </w:r>
      <w:r w:rsidR="00701681">
        <w:t xml:space="preserve">e efficacy of the integrated tick management intervention </w:t>
      </w:r>
      <w:r>
        <w:t>being tested as well as to identify potential risk factor</w:t>
      </w:r>
      <w:r w:rsidR="007459CC">
        <w:t>s for exposure to ticks</w:t>
      </w:r>
      <w:r>
        <w:t xml:space="preserve">. </w:t>
      </w:r>
    </w:p>
    <w:p w14:paraId="11B0B1BE" w14:textId="0F0A7D4A" w:rsidR="005239BE" w:rsidRPr="00B00125" w:rsidRDefault="005239BE" w:rsidP="005239BE">
      <w:r>
        <w:t>During the consent process, s</w:t>
      </w:r>
      <w:r w:rsidRPr="00B00125">
        <w:t>ubjects will be told that they may choose to skip any quest</w:t>
      </w:r>
      <w:r w:rsidR="00884537">
        <w:t xml:space="preserve">ion they wish, for any reason. </w:t>
      </w:r>
      <w:r w:rsidRPr="00B00125">
        <w:t xml:space="preserve">They will also be told that they may terminate participation at any time. If a subject asks to be withdrawn from the study, the link between the subject’s name and the study data will be destroyed. </w:t>
      </w:r>
    </w:p>
    <w:p w14:paraId="55FE17D7" w14:textId="77777777" w:rsidR="004A13E8" w:rsidRPr="009F2896" w:rsidRDefault="004A13E8" w:rsidP="004A13E8">
      <w:pPr>
        <w:pStyle w:val="Heading1"/>
      </w:pPr>
      <w:bookmarkStart w:id="18" w:name="_Toc473880028"/>
      <w:r w:rsidRPr="009F2896">
        <w:t>Estimates of Annualized Burden Hours and Costs</w:t>
      </w:r>
      <w:bookmarkEnd w:id="18"/>
    </w:p>
    <w:p w14:paraId="093B700D" w14:textId="77777777" w:rsidR="00C553B7" w:rsidRPr="009F2896" w:rsidRDefault="009B0947" w:rsidP="009B0947">
      <w:r w:rsidRPr="009F2896">
        <w:t xml:space="preserve">A. </w:t>
      </w:r>
      <w:r w:rsidR="00C553B7" w:rsidRPr="009F2896">
        <w:t>Estimated Annualized Burden Hours</w:t>
      </w:r>
    </w:p>
    <w:p w14:paraId="4E2205C9" w14:textId="45C82520" w:rsidR="00516204" w:rsidRPr="00CF45D4" w:rsidRDefault="00516204" w:rsidP="00516204">
      <w:pPr>
        <w:tabs>
          <w:tab w:val="left" w:pos="-1440"/>
        </w:tabs>
        <w:rPr>
          <w:szCs w:val="24"/>
        </w:rPr>
      </w:pPr>
      <w:r w:rsidRPr="00CF45D4">
        <w:rPr>
          <w:szCs w:val="24"/>
        </w:rPr>
        <w:t xml:space="preserve">The estimates of burden hours are based on knowledge of similar studies. The maximum estimated burden hours are </w:t>
      </w:r>
      <w:r w:rsidR="00515818" w:rsidRPr="00CF45D4">
        <w:rPr>
          <w:bCs/>
          <w:szCs w:val="24"/>
        </w:rPr>
        <w:t>1,</w:t>
      </w:r>
      <w:r w:rsidR="004C6283" w:rsidRPr="00CF45D4">
        <w:rPr>
          <w:bCs/>
          <w:szCs w:val="24"/>
        </w:rPr>
        <w:t>473</w:t>
      </w:r>
      <w:r w:rsidR="005E5DD0" w:rsidRPr="00CF45D4">
        <w:rPr>
          <w:b/>
          <w:bCs/>
          <w:szCs w:val="24"/>
        </w:rPr>
        <w:t xml:space="preserve"> </w:t>
      </w:r>
      <w:r w:rsidRPr="00CF45D4">
        <w:rPr>
          <w:szCs w:val="24"/>
        </w:rPr>
        <w:t>hours</w:t>
      </w:r>
      <w:r w:rsidR="005E5DD0" w:rsidRPr="00CF45D4">
        <w:rPr>
          <w:szCs w:val="24"/>
        </w:rPr>
        <w:t xml:space="preserve"> over the full study in Years 1-4</w:t>
      </w:r>
      <w:r w:rsidRPr="00CF45D4">
        <w:rPr>
          <w:szCs w:val="24"/>
        </w:rPr>
        <w:t xml:space="preserve">. </w:t>
      </w:r>
      <w:r w:rsidR="00F9683A" w:rsidRPr="00CF45D4">
        <w:rPr>
          <w:szCs w:val="24"/>
        </w:rPr>
        <w:t xml:space="preserve">The burden hours will differ across study years, with the greatest number of </w:t>
      </w:r>
      <w:r w:rsidR="00FC0BC7" w:rsidRPr="00CF45D4">
        <w:rPr>
          <w:szCs w:val="24"/>
        </w:rPr>
        <w:t>burden hours in Year 1 (</w:t>
      </w:r>
      <w:r w:rsidR="00C65298" w:rsidRPr="00CF45D4">
        <w:rPr>
          <w:szCs w:val="24"/>
        </w:rPr>
        <w:t>779</w:t>
      </w:r>
      <w:r w:rsidR="00FC0BC7" w:rsidRPr="00CF45D4">
        <w:rPr>
          <w:szCs w:val="24"/>
        </w:rPr>
        <w:t xml:space="preserve"> hours)</w:t>
      </w:r>
      <w:r w:rsidR="001063C3" w:rsidRPr="00CF45D4">
        <w:rPr>
          <w:szCs w:val="24"/>
        </w:rPr>
        <w:t xml:space="preserve"> and smaller</w:t>
      </w:r>
      <w:r w:rsidR="00FC0BC7" w:rsidRPr="00CF45D4">
        <w:rPr>
          <w:szCs w:val="24"/>
        </w:rPr>
        <w:t xml:space="preserve"> number of burden hours in Year</w:t>
      </w:r>
      <w:r w:rsidR="001063C3" w:rsidRPr="00CF45D4">
        <w:rPr>
          <w:szCs w:val="24"/>
        </w:rPr>
        <w:t xml:space="preserve"> 2</w:t>
      </w:r>
      <w:r w:rsidR="00AF217B" w:rsidRPr="00CF45D4">
        <w:rPr>
          <w:szCs w:val="24"/>
        </w:rPr>
        <w:t xml:space="preserve"> (</w:t>
      </w:r>
      <w:r w:rsidR="00515818" w:rsidRPr="00CF45D4">
        <w:rPr>
          <w:szCs w:val="24"/>
        </w:rPr>
        <w:t>21</w:t>
      </w:r>
      <w:r w:rsidR="00C65298" w:rsidRPr="00CF45D4">
        <w:rPr>
          <w:szCs w:val="24"/>
        </w:rPr>
        <w:t>2</w:t>
      </w:r>
      <w:r w:rsidR="00515818" w:rsidRPr="00CF45D4">
        <w:rPr>
          <w:szCs w:val="24"/>
        </w:rPr>
        <w:t xml:space="preserve"> </w:t>
      </w:r>
      <w:r w:rsidR="001063C3" w:rsidRPr="00CF45D4">
        <w:rPr>
          <w:szCs w:val="24"/>
        </w:rPr>
        <w:t xml:space="preserve">hours), Year 3 </w:t>
      </w:r>
      <w:r w:rsidR="00AF217B" w:rsidRPr="00CF45D4">
        <w:rPr>
          <w:szCs w:val="24"/>
        </w:rPr>
        <w:t>(</w:t>
      </w:r>
      <w:r w:rsidR="00515818" w:rsidRPr="00CF45D4">
        <w:rPr>
          <w:szCs w:val="24"/>
        </w:rPr>
        <w:t>21</w:t>
      </w:r>
      <w:r w:rsidR="00C65298" w:rsidRPr="00CF45D4">
        <w:rPr>
          <w:szCs w:val="24"/>
        </w:rPr>
        <w:t>2</w:t>
      </w:r>
      <w:r w:rsidR="00515818" w:rsidRPr="00CF45D4">
        <w:rPr>
          <w:szCs w:val="24"/>
        </w:rPr>
        <w:t xml:space="preserve"> </w:t>
      </w:r>
      <w:r w:rsidR="001063C3" w:rsidRPr="00CF45D4">
        <w:rPr>
          <w:szCs w:val="24"/>
        </w:rPr>
        <w:t xml:space="preserve">hours) and Year 4 </w:t>
      </w:r>
      <w:r w:rsidR="00FC0BC7" w:rsidRPr="00CF45D4">
        <w:rPr>
          <w:szCs w:val="24"/>
        </w:rPr>
        <w:t>(</w:t>
      </w:r>
      <w:r w:rsidR="00515818" w:rsidRPr="00CF45D4">
        <w:rPr>
          <w:szCs w:val="24"/>
        </w:rPr>
        <w:t>2</w:t>
      </w:r>
      <w:r w:rsidR="00C65298" w:rsidRPr="00CF45D4">
        <w:rPr>
          <w:szCs w:val="24"/>
        </w:rPr>
        <w:t>70</w:t>
      </w:r>
      <w:r w:rsidR="00515818" w:rsidRPr="00CF45D4">
        <w:rPr>
          <w:szCs w:val="24"/>
        </w:rPr>
        <w:t xml:space="preserve"> </w:t>
      </w:r>
      <w:r w:rsidR="001063C3" w:rsidRPr="00CF45D4">
        <w:rPr>
          <w:szCs w:val="24"/>
        </w:rPr>
        <w:t>hours</w:t>
      </w:r>
      <w:r w:rsidR="00FC0BC7" w:rsidRPr="00CF45D4">
        <w:rPr>
          <w:szCs w:val="24"/>
        </w:rPr>
        <w:t>).</w:t>
      </w:r>
      <w:r w:rsidR="002E4913" w:rsidRPr="00CF45D4">
        <w:rPr>
          <w:szCs w:val="24"/>
        </w:rPr>
        <w:t xml:space="preserve"> </w:t>
      </w:r>
      <w:r w:rsidRPr="00CF45D4">
        <w:rPr>
          <w:szCs w:val="24"/>
        </w:rPr>
        <w:t>There is no cost to respondents other than their time.</w:t>
      </w:r>
    </w:p>
    <w:p w14:paraId="0C4CD547" w14:textId="5706CE0B" w:rsidR="00D462E3" w:rsidRPr="00C13726" w:rsidRDefault="00D462E3" w:rsidP="00516204">
      <w:pPr>
        <w:tabs>
          <w:tab w:val="left" w:pos="-1440"/>
        </w:tabs>
        <w:rPr>
          <w:szCs w:val="24"/>
        </w:rPr>
      </w:pPr>
      <w:r w:rsidRPr="00CF45D4">
        <w:rPr>
          <w:szCs w:val="24"/>
        </w:rPr>
        <w:t xml:space="preserve">The estimated number of annualized burden hours is </w:t>
      </w:r>
      <w:r w:rsidR="00247056">
        <w:rPr>
          <w:szCs w:val="24"/>
        </w:rPr>
        <w:t>557</w:t>
      </w:r>
      <w:r w:rsidRPr="00CF45D4">
        <w:rPr>
          <w:szCs w:val="24"/>
        </w:rPr>
        <w:t xml:space="preserve">.  </w:t>
      </w:r>
      <w:r w:rsidR="00247056">
        <w:rPr>
          <w:szCs w:val="24"/>
        </w:rPr>
        <w:t xml:space="preserve">This represents the average number of burden hours in the four years of the study.  For example, the eligibility survey will be completed a total of 500 times, an average of 125 times/year.  </w:t>
      </w:r>
      <w:r w:rsidR="00247056" w:rsidRPr="00CF45D4">
        <w:rPr>
          <w:szCs w:val="24"/>
        </w:rPr>
        <w:t>Th</w:t>
      </w:r>
      <w:r w:rsidR="00247056">
        <w:rPr>
          <w:szCs w:val="24"/>
        </w:rPr>
        <w:t>e</w:t>
      </w:r>
      <w:r w:rsidR="00247056" w:rsidRPr="00CF45D4">
        <w:rPr>
          <w:szCs w:val="24"/>
        </w:rPr>
        <w:t xml:space="preserve"> </w:t>
      </w:r>
      <w:r w:rsidRPr="00CF45D4">
        <w:rPr>
          <w:szCs w:val="24"/>
        </w:rPr>
        <w:t>estimate is broken out in the table below.</w:t>
      </w:r>
    </w:p>
    <w:p w14:paraId="446F43B6" w14:textId="77777777" w:rsidR="00136D39" w:rsidRDefault="00294A82" w:rsidP="004A13E8">
      <w:pPr>
        <w:rPr>
          <w:color w:val="000000"/>
        </w:rPr>
      </w:pPr>
      <w:r>
        <w:rPr>
          <w:color w:val="000000"/>
        </w:rPr>
        <w:t xml:space="preserve">Initial surveys will include an eligibility survey </w:t>
      </w:r>
      <w:r w:rsidR="001D0009">
        <w:rPr>
          <w:color w:val="000000"/>
        </w:rPr>
        <w:t xml:space="preserve">and the consent form to recruit study participants. </w:t>
      </w:r>
      <w:r w:rsidR="00FA3B7A" w:rsidRPr="0026371D">
        <w:rPr>
          <w:color w:val="000000"/>
        </w:rPr>
        <w:t>Consent</w:t>
      </w:r>
      <w:r w:rsidR="001D0009">
        <w:rPr>
          <w:color w:val="000000"/>
        </w:rPr>
        <w:t>ed</w:t>
      </w:r>
      <w:r w:rsidR="00FA3B7A" w:rsidRPr="0026371D">
        <w:rPr>
          <w:color w:val="000000"/>
        </w:rPr>
        <w:t xml:space="preserve"> participants will complete one introductory survey by telephone, projected to last no more than 15 minutes. In May–August of Years 1–4, participants will also complete an emailed monthly tick encounter survey about the number of ticks found on each member of the household and each household member’s tick-borne disease status, projected to take no more than 10 minutes per month to complete.</w:t>
      </w:r>
    </w:p>
    <w:p w14:paraId="7AAB7314" w14:textId="22EE62E6" w:rsidR="00136D39" w:rsidRPr="00136D39" w:rsidRDefault="00FA3B7A" w:rsidP="004A13E8">
      <w:r w:rsidRPr="0026371D">
        <w:rPr>
          <w:color w:val="000000"/>
        </w:rPr>
        <w:t xml:space="preserve">An end-of-season survey will also be administered in March/April each year, projected to take no more than 10 minutes to complete. In addition, </w:t>
      </w:r>
      <w:r w:rsidRPr="0026371D">
        <w:t xml:space="preserve">participants will be asked to record location of daily activity on behalf of themselves and household members each day over the first week of June in a single year via emailed </w:t>
      </w:r>
      <w:r w:rsidRPr="00136D39">
        <w:t xml:space="preserve">daily surveys, projected to take </w:t>
      </w:r>
      <w:r w:rsidRPr="00136D39">
        <w:rPr>
          <w:color w:val="000000"/>
        </w:rPr>
        <w:t>70 minutes over the week of participation</w:t>
      </w:r>
      <w:r w:rsidRPr="00136D39">
        <w:t xml:space="preserve">. </w:t>
      </w:r>
    </w:p>
    <w:p w14:paraId="3A0F9EAA" w14:textId="1E6AC5F2" w:rsidR="00FA3B7A" w:rsidRPr="00136D39" w:rsidRDefault="00FA3B7A" w:rsidP="004A13E8">
      <w:pPr>
        <w:rPr>
          <w:color w:val="000000"/>
        </w:rPr>
      </w:pPr>
      <w:r w:rsidRPr="00136D39">
        <w:rPr>
          <w:color w:val="000000"/>
        </w:rPr>
        <w:t xml:space="preserve">Lastly, an end-of-study survey will be administered in September 2020, projected to take no more than 15 minutes. </w:t>
      </w:r>
      <w:r w:rsidRPr="00B64BAD">
        <w:rPr>
          <w:color w:val="000000"/>
        </w:rPr>
        <w:t xml:space="preserve">In total, we expect approximately 2 hours or less of total time spent on surveys by </w:t>
      </w:r>
      <w:r w:rsidR="00294A82" w:rsidRPr="00B64BAD">
        <w:rPr>
          <w:color w:val="000000"/>
        </w:rPr>
        <w:t xml:space="preserve">consented </w:t>
      </w:r>
      <w:r w:rsidRPr="00B64BAD">
        <w:rPr>
          <w:color w:val="000000"/>
        </w:rPr>
        <w:t>participants in each year of the study.</w:t>
      </w:r>
      <w:r w:rsidRPr="00136D39">
        <w:rPr>
          <w:color w:val="000000"/>
        </w:rPr>
        <w:t xml:space="preserve"> </w:t>
      </w:r>
    </w:p>
    <w:tbl>
      <w:tblPr>
        <w:tblStyle w:val="TableGrid"/>
        <w:tblW w:w="10070" w:type="dxa"/>
        <w:tblLayout w:type="fixed"/>
        <w:tblLook w:val="04A0" w:firstRow="1" w:lastRow="0" w:firstColumn="1" w:lastColumn="0" w:noHBand="0" w:noVBand="1"/>
      </w:tblPr>
      <w:tblGrid>
        <w:gridCol w:w="1435"/>
        <w:gridCol w:w="2790"/>
        <w:gridCol w:w="1350"/>
        <w:gridCol w:w="1530"/>
        <w:gridCol w:w="1800"/>
        <w:gridCol w:w="1165"/>
      </w:tblGrid>
      <w:tr w:rsidR="00FA3B7A" w:rsidRPr="00BD25A9" w14:paraId="37CF2326" w14:textId="77777777" w:rsidTr="00CD43EE">
        <w:trPr>
          <w:trHeight w:val="827"/>
        </w:trPr>
        <w:tc>
          <w:tcPr>
            <w:tcW w:w="1435" w:type="dxa"/>
          </w:tcPr>
          <w:p w14:paraId="17EC35BE" w14:textId="77777777" w:rsidR="009D6571" w:rsidRPr="00436D08" w:rsidRDefault="009D6571" w:rsidP="00136D39">
            <w:pPr>
              <w:spacing w:after="58"/>
              <w:jc w:val="center"/>
              <w:rPr>
                <w:bCs/>
                <w:sz w:val="22"/>
              </w:rPr>
            </w:pPr>
          </w:p>
          <w:p w14:paraId="27BB3AB9" w14:textId="77777777" w:rsidR="00FA3B7A" w:rsidRPr="00436D08" w:rsidRDefault="00FA3B7A" w:rsidP="00136D39">
            <w:pPr>
              <w:spacing w:after="58"/>
              <w:jc w:val="center"/>
              <w:rPr>
                <w:bCs/>
                <w:sz w:val="22"/>
              </w:rPr>
            </w:pPr>
            <w:r w:rsidRPr="00436D08">
              <w:rPr>
                <w:bCs/>
                <w:sz w:val="22"/>
              </w:rPr>
              <w:t>Type of Respondent</w:t>
            </w:r>
          </w:p>
        </w:tc>
        <w:tc>
          <w:tcPr>
            <w:tcW w:w="2790" w:type="dxa"/>
          </w:tcPr>
          <w:p w14:paraId="54C88C78" w14:textId="77777777" w:rsidR="00FA3B7A" w:rsidRPr="00436D08" w:rsidRDefault="00FA3B7A" w:rsidP="00136D39">
            <w:pPr>
              <w:jc w:val="center"/>
              <w:rPr>
                <w:bCs/>
                <w:sz w:val="22"/>
              </w:rPr>
            </w:pPr>
          </w:p>
          <w:p w14:paraId="2CC1B974" w14:textId="77777777" w:rsidR="00FA3B7A" w:rsidRPr="00436D08" w:rsidRDefault="00FA3B7A" w:rsidP="00136D39">
            <w:pPr>
              <w:jc w:val="center"/>
              <w:rPr>
                <w:bCs/>
                <w:sz w:val="22"/>
              </w:rPr>
            </w:pPr>
          </w:p>
          <w:p w14:paraId="1EF45329" w14:textId="77777777" w:rsidR="00FA3B7A" w:rsidRPr="00436D08" w:rsidRDefault="00FA3B7A" w:rsidP="00136D39">
            <w:pPr>
              <w:jc w:val="center"/>
              <w:rPr>
                <w:bCs/>
                <w:sz w:val="22"/>
              </w:rPr>
            </w:pPr>
            <w:r w:rsidRPr="00436D08">
              <w:rPr>
                <w:bCs/>
                <w:sz w:val="22"/>
              </w:rPr>
              <w:t>Form Name</w:t>
            </w:r>
          </w:p>
        </w:tc>
        <w:tc>
          <w:tcPr>
            <w:tcW w:w="1350" w:type="dxa"/>
          </w:tcPr>
          <w:p w14:paraId="1E271254" w14:textId="77777777" w:rsidR="00FA3B7A" w:rsidRPr="00436D08" w:rsidRDefault="00FA3B7A" w:rsidP="00136D39">
            <w:pPr>
              <w:jc w:val="center"/>
              <w:rPr>
                <w:bCs/>
                <w:sz w:val="22"/>
              </w:rPr>
            </w:pPr>
            <w:r w:rsidRPr="00436D08">
              <w:rPr>
                <w:bCs/>
                <w:sz w:val="22"/>
              </w:rPr>
              <w:t xml:space="preserve">Number </w:t>
            </w:r>
          </w:p>
          <w:p w14:paraId="5BF6F076" w14:textId="77777777" w:rsidR="00FA3B7A" w:rsidRPr="00436D08" w:rsidRDefault="00FA3B7A" w:rsidP="00136D39">
            <w:pPr>
              <w:jc w:val="center"/>
              <w:rPr>
                <w:bCs/>
                <w:sz w:val="22"/>
              </w:rPr>
            </w:pPr>
            <w:r w:rsidRPr="00436D08">
              <w:rPr>
                <w:bCs/>
                <w:sz w:val="22"/>
              </w:rPr>
              <w:t>of</w:t>
            </w:r>
          </w:p>
          <w:p w14:paraId="2B73D7CE" w14:textId="39CF4DAD" w:rsidR="00FA3B7A" w:rsidRPr="00436D08" w:rsidRDefault="004A6DE9" w:rsidP="00136D39">
            <w:pPr>
              <w:spacing w:after="58"/>
              <w:jc w:val="center"/>
              <w:rPr>
                <w:bCs/>
                <w:sz w:val="22"/>
              </w:rPr>
            </w:pPr>
            <w:r w:rsidRPr="00436D08">
              <w:rPr>
                <w:bCs/>
                <w:sz w:val="22"/>
              </w:rPr>
              <w:t>Respondents</w:t>
            </w:r>
          </w:p>
        </w:tc>
        <w:tc>
          <w:tcPr>
            <w:tcW w:w="1530" w:type="dxa"/>
          </w:tcPr>
          <w:p w14:paraId="162AB3C2" w14:textId="77777777" w:rsidR="00FA3B7A" w:rsidRPr="00436D08" w:rsidRDefault="00FA3B7A" w:rsidP="00136D39">
            <w:pPr>
              <w:jc w:val="center"/>
              <w:rPr>
                <w:bCs/>
                <w:sz w:val="22"/>
              </w:rPr>
            </w:pPr>
            <w:r w:rsidRPr="00436D08">
              <w:rPr>
                <w:bCs/>
                <w:sz w:val="22"/>
              </w:rPr>
              <w:t>Number of</w:t>
            </w:r>
          </w:p>
          <w:p w14:paraId="7F3EDC9C" w14:textId="77777777" w:rsidR="00FA3B7A" w:rsidRPr="00436D08" w:rsidRDefault="00FA3B7A" w:rsidP="00136D39">
            <w:pPr>
              <w:jc w:val="center"/>
              <w:rPr>
                <w:bCs/>
                <w:sz w:val="22"/>
              </w:rPr>
            </w:pPr>
            <w:r w:rsidRPr="00436D08">
              <w:rPr>
                <w:bCs/>
                <w:sz w:val="22"/>
              </w:rPr>
              <w:t>Responses per</w:t>
            </w:r>
          </w:p>
          <w:p w14:paraId="29A24349" w14:textId="428B3A53" w:rsidR="00FA3B7A" w:rsidRPr="00436D08" w:rsidRDefault="004A6DE9" w:rsidP="00136D39">
            <w:pPr>
              <w:spacing w:after="58"/>
              <w:jc w:val="center"/>
              <w:rPr>
                <w:bCs/>
                <w:sz w:val="22"/>
              </w:rPr>
            </w:pPr>
            <w:r w:rsidRPr="00436D08">
              <w:rPr>
                <w:bCs/>
                <w:sz w:val="22"/>
              </w:rPr>
              <w:t>Respondent</w:t>
            </w:r>
          </w:p>
        </w:tc>
        <w:tc>
          <w:tcPr>
            <w:tcW w:w="1800" w:type="dxa"/>
          </w:tcPr>
          <w:p w14:paraId="50FC0FAD" w14:textId="77777777" w:rsidR="00FA3B7A" w:rsidRPr="00436D08" w:rsidRDefault="00FA3B7A" w:rsidP="00136D39">
            <w:pPr>
              <w:jc w:val="center"/>
              <w:rPr>
                <w:bCs/>
                <w:sz w:val="22"/>
              </w:rPr>
            </w:pPr>
            <w:r w:rsidRPr="00436D08">
              <w:rPr>
                <w:bCs/>
                <w:sz w:val="22"/>
              </w:rPr>
              <w:t>Average Burden per Response</w:t>
            </w:r>
          </w:p>
          <w:p w14:paraId="70F2369D" w14:textId="747169EE" w:rsidR="00FA3B7A" w:rsidRPr="00436D08" w:rsidRDefault="00FA3B7A" w:rsidP="00136D39">
            <w:pPr>
              <w:spacing w:after="58"/>
              <w:jc w:val="center"/>
              <w:rPr>
                <w:bCs/>
                <w:sz w:val="22"/>
              </w:rPr>
            </w:pPr>
            <w:r w:rsidRPr="00436D08">
              <w:rPr>
                <w:bCs/>
                <w:sz w:val="22"/>
              </w:rPr>
              <w:t>(in hours)</w:t>
            </w:r>
          </w:p>
        </w:tc>
        <w:tc>
          <w:tcPr>
            <w:tcW w:w="1165" w:type="dxa"/>
          </w:tcPr>
          <w:p w14:paraId="17260BEA" w14:textId="77777777" w:rsidR="00FA3B7A" w:rsidRPr="00436D08" w:rsidRDefault="00FA3B7A" w:rsidP="00136D39">
            <w:pPr>
              <w:tabs>
                <w:tab w:val="left" w:pos="1498"/>
              </w:tabs>
              <w:jc w:val="center"/>
              <w:rPr>
                <w:bCs/>
                <w:sz w:val="22"/>
              </w:rPr>
            </w:pPr>
            <w:r w:rsidRPr="00436D08">
              <w:rPr>
                <w:bCs/>
                <w:sz w:val="22"/>
              </w:rPr>
              <w:t>Total</w:t>
            </w:r>
          </w:p>
          <w:p w14:paraId="29A3D29F" w14:textId="77777777" w:rsidR="00FA3B7A" w:rsidRPr="00436D08" w:rsidRDefault="00FA3B7A" w:rsidP="00136D39">
            <w:pPr>
              <w:tabs>
                <w:tab w:val="left" w:pos="1498"/>
              </w:tabs>
              <w:jc w:val="center"/>
              <w:rPr>
                <w:bCs/>
                <w:sz w:val="22"/>
              </w:rPr>
            </w:pPr>
            <w:r w:rsidRPr="00436D08">
              <w:rPr>
                <w:bCs/>
                <w:sz w:val="22"/>
              </w:rPr>
              <w:t>Burden</w:t>
            </w:r>
          </w:p>
          <w:p w14:paraId="0CD3E399" w14:textId="77777777" w:rsidR="00FA3B7A" w:rsidRPr="00436D08" w:rsidRDefault="00FA3B7A" w:rsidP="00136D39">
            <w:pPr>
              <w:tabs>
                <w:tab w:val="left" w:pos="1498"/>
              </w:tabs>
              <w:jc w:val="center"/>
              <w:rPr>
                <w:bCs/>
                <w:sz w:val="22"/>
              </w:rPr>
            </w:pPr>
            <w:r w:rsidRPr="00436D08">
              <w:rPr>
                <w:bCs/>
                <w:sz w:val="22"/>
              </w:rPr>
              <w:t>Hours</w:t>
            </w:r>
          </w:p>
        </w:tc>
      </w:tr>
      <w:tr w:rsidR="00136D39" w:rsidRPr="00BD25A9" w14:paraId="078167F1" w14:textId="77777777" w:rsidTr="00CD43EE">
        <w:trPr>
          <w:trHeight w:val="70"/>
        </w:trPr>
        <w:tc>
          <w:tcPr>
            <w:tcW w:w="1435" w:type="dxa"/>
            <w:vMerge w:val="restart"/>
            <w:vAlign w:val="center"/>
          </w:tcPr>
          <w:p w14:paraId="208435FC" w14:textId="7058A2C5" w:rsidR="00136D39" w:rsidRPr="00436D08" w:rsidRDefault="00136D39" w:rsidP="00136D39">
            <w:pPr>
              <w:rPr>
                <w:sz w:val="22"/>
              </w:rPr>
            </w:pPr>
            <w:r w:rsidRPr="00436D08">
              <w:rPr>
                <w:sz w:val="22"/>
              </w:rPr>
              <w:t>Households or Individuals</w:t>
            </w:r>
          </w:p>
          <w:p w14:paraId="0B17BB79" w14:textId="77777777" w:rsidR="00136D39" w:rsidRPr="00436D08" w:rsidRDefault="00136D39" w:rsidP="00136D39">
            <w:pPr>
              <w:rPr>
                <w:sz w:val="22"/>
              </w:rPr>
            </w:pPr>
          </w:p>
        </w:tc>
        <w:tc>
          <w:tcPr>
            <w:tcW w:w="2790" w:type="dxa"/>
          </w:tcPr>
          <w:p w14:paraId="287FC9E8" w14:textId="0E65869A" w:rsidR="00136D39" w:rsidRPr="00436D08" w:rsidRDefault="00136D39" w:rsidP="00136D39">
            <w:pPr>
              <w:jc w:val="center"/>
              <w:rPr>
                <w:color w:val="000000"/>
                <w:sz w:val="22"/>
              </w:rPr>
            </w:pPr>
            <w:r w:rsidRPr="00436D08">
              <w:rPr>
                <w:color w:val="000000"/>
                <w:sz w:val="22"/>
              </w:rPr>
              <w:t>Eligibility Survey</w:t>
            </w:r>
          </w:p>
        </w:tc>
        <w:tc>
          <w:tcPr>
            <w:tcW w:w="1350" w:type="dxa"/>
          </w:tcPr>
          <w:p w14:paraId="49717E8E" w14:textId="3B1B5037" w:rsidR="00136D39" w:rsidRPr="00436D08" w:rsidDel="00D17D1D" w:rsidRDefault="00247056" w:rsidP="00136D39">
            <w:pPr>
              <w:jc w:val="center"/>
              <w:rPr>
                <w:sz w:val="22"/>
              </w:rPr>
            </w:pPr>
            <w:r>
              <w:rPr>
                <w:sz w:val="22"/>
              </w:rPr>
              <w:t>125</w:t>
            </w:r>
          </w:p>
        </w:tc>
        <w:tc>
          <w:tcPr>
            <w:tcW w:w="1530" w:type="dxa"/>
          </w:tcPr>
          <w:p w14:paraId="2210ED0C" w14:textId="35A4CD52" w:rsidR="00136D39" w:rsidRPr="00436D08" w:rsidRDefault="00136D39" w:rsidP="00136D39">
            <w:pPr>
              <w:jc w:val="center"/>
              <w:rPr>
                <w:sz w:val="22"/>
              </w:rPr>
            </w:pPr>
            <w:r w:rsidRPr="00436D08">
              <w:rPr>
                <w:sz w:val="22"/>
              </w:rPr>
              <w:t>1</w:t>
            </w:r>
          </w:p>
        </w:tc>
        <w:tc>
          <w:tcPr>
            <w:tcW w:w="1800" w:type="dxa"/>
          </w:tcPr>
          <w:p w14:paraId="7E62A891" w14:textId="0FCADC48" w:rsidR="00136D39" w:rsidRPr="00436D08" w:rsidRDefault="00136D39" w:rsidP="00136D39">
            <w:pPr>
              <w:jc w:val="center"/>
              <w:rPr>
                <w:sz w:val="22"/>
              </w:rPr>
            </w:pPr>
            <w:r w:rsidRPr="00436D08">
              <w:rPr>
                <w:sz w:val="22"/>
              </w:rPr>
              <w:t>15/60</w:t>
            </w:r>
          </w:p>
        </w:tc>
        <w:tc>
          <w:tcPr>
            <w:tcW w:w="1165" w:type="dxa"/>
          </w:tcPr>
          <w:p w14:paraId="29E9C042" w14:textId="21E12E1E" w:rsidR="00136D39" w:rsidRPr="00436D08" w:rsidDel="00A157B8" w:rsidRDefault="00247056" w:rsidP="00136D39">
            <w:pPr>
              <w:tabs>
                <w:tab w:val="left" w:pos="1498"/>
              </w:tabs>
              <w:jc w:val="center"/>
              <w:rPr>
                <w:sz w:val="22"/>
              </w:rPr>
            </w:pPr>
            <w:r>
              <w:rPr>
                <w:sz w:val="22"/>
              </w:rPr>
              <w:t>32</w:t>
            </w:r>
          </w:p>
        </w:tc>
      </w:tr>
      <w:tr w:rsidR="00436D08" w:rsidRPr="00BD25A9" w14:paraId="61E446C6" w14:textId="77777777" w:rsidTr="00CD43EE">
        <w:trPr>
          <w:trHeight w:val="70"/>
        </w:trPr>
        <w:tc>
          <w:tcPr>
            <w:tcW w:w="1435" w:type="dxa"/>
            <w:vMerge/>
          </w:tcPr>
          <w:p w14:paraId="0A7D325D" w14:textId="77777777" w:rsidR="00436D08" w:rsidRPr="009B39DF" w:rsidRDefault="00436D08" w:rsidP="00136D39">
            <w:pPr>
              <w:rPr>
                <w:sz w:val="22"/>
              </w:rPr>
            </w:pPr>
          </w:p>
        </w:tc>
        <w:tc>
          <w:tcPr>
            <w:tcW w:w="2790" w:type="dxa"/>
          </w:tcPr>
          <w:p w14:paraId="0001DAE7" w14:textId="699B699E" w:rsidR="00436D08" w:rsidRPr="00436D08" w:rsidRDefault="00436D08" w:rsidP="00136D39">
            <w:pPr>
              <w:jc w:val="center"/>
              <w:rPr>
                <w:color w:val="000000"/>
                <w:sz w:val="22"/>
              </w:rPr>
            </w:pPr>
            <w:r w:rsidRPr="009B39DF">
              <w:rPr>
                <w:color w:val="000000"/>
                <w:sz w:val="22"/>
              </w:rPr>
              <w:t>Introductory Survey</w:t>
            </w:r>
            <w:r w:rsidRPr="00436D08">
              <w:rPr>
                <w:color w:val="000000"/>
                <w:sz w:val="22"/>
              </w:rPr>
              <w:t xml:space="preserve"> (including Consent Form)</w:t>
            </w:r>
          </w:p>
        </w:tc>
        <w:tc>
          <w:tcPr>
            <w:tcW w:w="1350" w:type="dxa"/>
          </w:tcPr>
          <w:p w14:paraId="62377D79" w14:textId="56B2EA19" w:rsidR="00436D08" w:rsidRPr="00436D08" w:rsidRDefault="00247056" w:rsidP="00136D39">
            <w:pPr>
              <w:jc w:val="center"/>
              <w:rPr>
                <w:sz w:val="22"/>
              </w:rPr>
            </w:pPr>
            <w:r>
              <w:rPr>
                <w:sz w:val="22"/>
              </w:rPr>
              <w:t>58</w:t>
            </w:r>
          </w:p>
        </w:tc>
        <w:tc>
          <w:tcPr>
            <w:tcW w:w="1530" w:type="dxa"/>
          </w:tcPr>
          <w:p w14:paraId="05D57596" w14:textId="0CBEDAD7" w:rsidR="00436D08" w:rsidRPr="00436D08" w:rsidRDefault="00436D08" w:rsidP="00136D39">
            <w:pPr>
              <w:jc w:val="center"/>
              <w:rPr>
                <w:sz w:val="22"/>
              </w:rPr>
            </w:pPr>
            <w:r w:rsidRPr="00436D08">
              <w:rPr>
                <w:sz w:val="22"/>
              </w:rPr>
              <w:t>1</w:t>
            </w:r>
          </w:p>
        </w:tc>
        <w:tc>
          <w:tcPr>
            <w:tcW w:w="1800" w:type="dxa"/>
          </w:tcPr>
          <w:p w14:paraId="690CA8AC" w14:textId="3B432672" w:rsidR="00436D08" w:rsidRPr="00436D08" w:rsidRDefault="00436D08" w:rsidP="00136D39">
            <w:pPr>
              <w:jc w:val="center"/>
              <w:rPr>
                <w:sz w:val="22"/>
              </w:rPr>
            </w:pPr>
            <w:r w:rsidRPr="00436D08">
              <w:rPr>
                <w:sz w:val="22"/>
              </w:rPr>
              <w:t>30/60</w:t>
            </w:r>
          </w:p>
        </w:tc>
        <w:tc>
          <w:tcPr>
            <w:tcW w:w="1165" w:type="dxa"/>
          </w:tcPr>
          <w:p w14:paraId="25AFBCA2" w14:textId="28CB9993" w:rsidR="00436D08" w:rsidRPr="00436D08" w:rsidRDefault="00247056" w:rsidP="00136D39">
            <w:pPr>
              <w:tabs>
                <w:tab w:val="left" w:pos="1498"/>
              </w:tabs>
              <w:jc w:val="center"/>
              <w:rPr>
                <w:sz w:val="22"/>
              </w:rPr>
            </w:pPr>
            <w:r>
              <w:rPr>
                <w:sz w:val="22"/>
              </w:rPr>
              <w:t>29</w:t>
            </w:r>
          </w:p>
        </w:tc>
      </w:tr>
      <w:tr w:rsidR="00436D08" w:rsidRPr="00BD25A9" w14:paraId="3A548C51" w14:textId="77777777" w:rsidTr="00CD43EE">
        <w:trPr>
          <w:trHeight w:val="70"/>
        </w:trPr>
        <w:tc>
          <w:tcPr>
            <w:tcW w:w="1435" w:type="dxa"/>
            <w:vMerge/>
          </w:tcPr>
          <w:p w14:paraId="0D7C156A" w14:textId="77777777" w:rsidR="00436D08" w:rsidRPr="009B39DF" w:rsidRDefault="00436D08" w:rsidP="005A1E65">
            <w:pPr>
              <w:rPr>
                <w:sz w:val="22"/>
              </w:rPr>
            </w:pPr>
          </w:p>
        </w:tc>
        <w:tc>
          <w:tcPr>
            <w:tcW w:w="2790" w:type="dxa"/>
          </w:tcPr>
          <w:p w14:paraId="6C4E442B" w14:textId="10DE22FB" w:rsidR="00436D08" w:rsidRPr="009B39DF" w:rsidRDefault="00436D08" w:rsidP="00136D39">
            <w:pPr>
              <w:jc w:val="center"/>
              <w:rPr>
                <w:color w:val="000000"/>
                <w:sz w:val="22"/>
              </w:rPr>
            </w:pPr>
            <w:r w:rsidRPr="009B39DF">
              <w:rPr>
                <w:color w:val="000000"/>
                <w:sz w:val="22"/>
              </w:rPr>
              <w:t>Monthly Surveys</w:t>
            </w:r>
          </w:p>
        </w:tc>
        <w:tc>
          <w:tcPr>
            <w:tcW w:w="1350" w:type="dxa"/>
          </w:tcPr>
          <w:p w14:paraId="119A1C76" w14:textId="4A942423" w:rsidR="00436D08" w:rsidRPr="009B39DF" w:rsidRDefault="00436D08" w:rsidP="005A1E65">
            <w:pPr>
              <w:jc w:val="center"/>
              <w:rPr>
                <w:sz w:val="22"/>
              </w:rPr>
            </w:pPr>
            <w:r w:rsidRPr="009B39DF">
              <w:rPr>
                <w:sz w:val="22"/>
              </w:rPr>
              <w:t>230</w:t>
            </w:r>
          </w:p>
        </w:tc>
        <w:tc>
          <w:tcPr>
            <w:tcW w:w="1530" w:type="dxa"/>
          </w:tcPr>
          <w:p w14:paraId="604291A3" w14:textId="303B34F2" w:rsidR="00436D08" w:rsidRPr="009B39DF" w:rsidRDefault="00436D08" w:rsidP="00136D39">
            <w:pPr>
              <w:jc w:val="center"/>
              <w:rPr>
                <w:sz w:val="22"/>
              </w:rPr>
            </w:pPr>
            <w:r w:rsidRPr="009B39DF">
              <w:rPr>
                <w:sz w:val="22"/>
              </w:rPr>
              <w:t>4</w:t>
            </w:r>
          </w:p>
        </w:tc>
        <w:tc>
          <w:tcPr>
            <w:tcW w:w="1800" w:type="dxa"/>
          </w:tcPr>
          <w:p w14:paraId="74DA11F3" w14:textId="26EFB21F" w:rsidR="00436D08" w:rsidRPr="00436D08" w:rsidRDefault="00436D08" w:rsidP="00136D39">
            <w:pPr>
              <w:jc w:val="center"/>
              <w:rPr>
                <w:sz w:val="22"/>
              </w:rPr>
            </w:pPr>
            <w:r w:rsidRPr="009B39DF">
              <w:rPr>
                <w:sz w:val="22"/>
              </w:rPr>
              <w:t>10/60</w:t>
            </w:r>
          </w:p>
        </w:tc>
        <w:tc>
          <w:tcPr>
            <w:tcW w:w="1165" w:type="dxa"/>
          </w:tcPr>
          <w:p w14:paraId="6CEF7B28" w14:textId="25CF63BC" w:rsidR="00436D08" w:rsidRPr="00436D08" w:rsidRDefault="00247056" w:rsidP="005A1E65">
            <w:pPr>
              <w:tabs>
                <w:tab w:val="left" w:pos="1498"/>
              </w:tabs>
              <w:jc w:val="center"/>
              <w:rPr>
                <w:sz w:val="22"/>
              </w:rPr>
            </w:pPr>
            <w:r>
              <w:rPr>
                <w:sz w:val="22"/>
              </w:rPr>
              <w:t>154</w:t>
            </w:r>
          </w:p>
        </w:tc>
      </w:tr>
      <w:tr w:rsidR="00436D08" w:rsidRPr="00BD25A9" w14:paraId="7447CE25" w14:textId="77777777" w:rsidTr="00CD43EE">
        <w:trPr>
          <w:trHeight w:val="70"/>
        </w:trPr>
        <w:tc>
          <w:tcPr>
            <w:tcW w:w="1435" w:type="dxa"/>
            <w:vMerge/>
          </w:tcPr>
          <w:p w14:paraId="5897D0B9" w14:textId="77777777" w:rsidR="00436D08" w:rsidRPr="009B39DF" w:rsidRDefault="00436D08" w:rsidP="005A1E65">
            <w:pPr>
              <w:rPr>
                <w:sz w:val="22"/>
              </w:rPr>
            </w:pPr>
          </w:p>
        </w:tc>
        <w:tc>
          <w:tcPr>
            <w:tcW w:w="2790" w:type="dxa"/>
          </w:tcPr>
          <w:p w14:paraId="532F261E" w14:textId="0A2FB41C" w:rsidR="00436D08" w:rsidRPr="00436D08" w:rsidRDefault="00436D08" w:rsidP="00136D39">
            <w:pPr>
              <w:jc w:val="center"/>
              <w:rPr>
                <w:color w:val="000000"/>
                <w:sz w:val="22"/>
              </w:rPr>
            </w:pPr>
            <w:r w:rsidRPr="009B39DF">
              <w:rPr>
                <w:color w:val="000000"/>
                <w:sz w:val="22"/>
              </w:rPr>
              <w:t>Daily Surveys</w:t>
            </w:r>
          </w:p>
        </w:tc>
        <w:tc>
          <w:tcPr>
            <w:tcW w:w="1350" w:type="dxa"/>
          </w:tcPr>
          <w:p w14:paraId="52D62FBA" w14:textId="08DF02F6" w:rsidR="00436D08" w:rsidRPr="00436D08" w:rsidRDefault="00436D08" w:rsidP="005A1E65">
            <w:pPr>
              <w:jc w:val="center"/>
              <w:rPr>
                <w:sz w:val="22"/>
              </w:rPr>
            </w:pPr>
            <w:r w:rsidRPr="00436D08">
              <w:rPr>
                <w:sz w:val="22"/>
              </w:rPr>
              <w:t>230</w:t>
            </w:r>
          </w:p>
        </w:tc>
        <w:tc>
          <w:tcPr>
            <w:tcW w:w="1530" w:type="dxa"/>
          </w:tcPr>
          <w:p w14:paraId="7DF1E2CF" w14:textId="631D4440" w:rsidR="00436D08" w:rsidRPr="00436D08" w:rsidRDefault="00436D08" w:rsidP="00136D39">
            <w:pPr>
              <w:jc w:val="center"/>
              <w:rPr>
                <w:sz w:val="22"/>
              </w:rPr>
            </w:pPr>
            <w:r w:rsidRPr="009B39DF">
              <w:rPr>
                <w:sz w:val="22"/>
              </w:rPr>
              <w:t>7</w:t>
            </w:r>
          </w:p>
        </w:tc>
        <w:tc>
          <w:tcPr>
            <w:tcW w:w="1800" w:type="dxa"/>
          </w:tcPr>
          <w:p w14:paraId="43972326" w14:textId="56926239" w:rsidR="00436D08" w:rsidRPr="009B39DF" w:rsidRDefault="00436D08" w:rsidP="00136D39">
            <w:pPr>
              <w:jc w:val="center"/>
              <w:rPr>
                <w:sz w:val="22"/>
              </w:rPr>
            </w:pPr>
            <w:r w:rsidRPr="009B39DF">
              <w:rPr>
                <w:sz w:val="22"/>
              </w:rPr>
              <w:t>10/60</w:t>
            </w:r>
          </w:p>
        </w:tc>
        <w:tc>
          <w:tcPr>
            <w:tcW w:w="1165" w:type="dxa"/>
          </w:tcPr>
          <w:p w14:paraId="182C3DB4" w14:textId="4B580C61" w:rsidR="00436D08" w:rsidRPr="00436D08" w:rsidRDefault="00436D08" w:rsidP="005A1E65">
            <w:pPr>
              <w:tabs>
                <w:tab w:val="left" w:pos="1498"/>
              </w:tabs>
              <w:jc w:val="center"/>
              <w:rPr>
                <w:sz w:val="22"/>
              </w:rPr>
            </w:pPr>
            <w:r w:rsidRPr="00436D08">
              <w:rPr>
                <w:sz w:val="22"/>
              </w:rPr>
              <w:t>269</w:t>
            </w:r>
          </w:p>
        </w:tc>
      </w:tr>
      <w:tr w:rsidR="00436D08" w:rsidRPr="00BD25A9" w14:paraId="157018B2" w14:textId="77777777" w:rsidTr="00CD43EE">
        <w:trPr>
          <w:trHeight w:val="70"/>
        </w:trPr>
        <w:tc>
          <w:tcPr>
            <w:tcW w:w="1435" w:type="dxa"/>
            <w:vMerge/>
          </w:tcPr>
          <w:p w14:paraId="01BC64A5" w14:textId="77777777" w:rsidR="00436D08" w:rsidRPr="009B39DF" w:rsidRDefault="00436D08" w:rsidP="005A1E65">
            <w:pPr>
              <w:rPr>
                <w:sz w:val="22"/>
              </w:rPr>
            </w:pPr>
          </w:p>
        </w:tc>
        <w:tc>
          <w:tcPr>
            <w:tcW w:w="2790" w:type="dxa"/>
          </w:tcPr>
          <w:p w14:paraId="336DC384" w14:textId="74D04049" w:rsidR="00436D08" w:rsidRPr="00436D08" w:rsidRDefault="00436D08" w:rsidP="00136D39">
            <w:pPr>
              <w:jc w:val="center"/>
              <w:rPr>
                <w:color w:val="000000"/>
                <w:sz w:val="22"/>
              </w:rPr>
            </w:pPr>
            <w:r w:rsidRPr="009B39DF">
              <w:rPr>
                <w:color w:val="000000"/>
                <w:sz w:val="22"/>
              </w:rPr>
              <w:t>Annual End of Year Survey</w:t>
            </w:r>
          </w:p>
        </w:tc>
        <w:tc>
          <w:tcPr>
            <w:tcW w:w="1350" w:type="dxa"/>
          </w:tcPr>
          <w:p w14:paraId="14F273ED" w14:textId="3494A0D9" w:rsidR="00436D08" w:rsidRPr="009B39DF" w:rsidRDefault="00436D08" w:rsidP="005A1E65">
            <w:pPr>
              <w:jc w:val="center"/>
              <w:rPr>
                <w:sz w:val="22"/>
              </w:rPr>
            </w:pPr>
            <w:r w:rsidRPr="009B39DF">
              <w:rPr>
                <w:sz w:val="22"/>
              </w:rPr>
              <w:t>230</w:t>
            </w:r>
          </w:p>
        </w:tc>
        <w:tc>
          <w:tcPr>
            <w:tcW w:w="1530" w:type="dxa"/>
          </w:tcPr>
          <w:p w14:paraId="345614D4" w14:textId="44EB8604" w:rsidR="00436D08" w:rsidRPr="009B39DF" w:rsidRDefault="00436D08" w:rsidP="00136D39">
            <w:pPr>
              <w:jc w:val="center"/>
              <w:rPr>
                <w:sz w:val="22"/>
              </w:rPr>
            </w:pPr>
            <w:r w:rsidRPr="009B39DF">
              <w:rPr>
                <w:sz w:val="22"/>
              </w:rPr>
              <w:t>1</w:t>
            </w:r>
          </w:p>
        </w:tc>
        <w:tc>
          <w:tcPr>
            <w:tcW w:w="1800" w:type="dxa"/>
          </w:tcPr>
          <w:p w14:paraId="6569D8AA" w14:textId="64888734" w:rsidR="00436D08" w:rsidRPr="009B39DF" w:rsidRDefault="00436D08" w:rsidP="00136D39">
            <w:pPr>
              <w:jc w:val="center"/>
              <w:rPr>
                <w:sz w:val="22"/>
              </w:rPr>
            </w:pPr>
            <w:r w:rsidRPr="009B39DF">
              <w:rPr>
                <w:sz w:val="22"/>
              </w:rPr>
              <w:t>15/60</w:t>
            </w:r>
          </w:p>
        </w:tc>
        <w:tc>
          <w:tcPr>
            <w:tcW w:w="1165" w:type="dxa"/>
          </w:tcPr>
          <w:p w14:paraId="28A9CED2" w14:textId="79A05F47" w:rsidR="00436D08" w:rsidRPr="00436D08" w:rsidRDefault="00436D08" w:rsidP="00136D39">
            <w:pPr>
              <w:tabs>
                <w:tab w:val="left" w:pos="1498"/>
              </w:tabs>
              <w:jc w:val="center"/>
              <w:rPr>
                <w:sz w:val="22"/>
              </w:rPr>
            </w:pPr>
            <w:r w:rsidRPr="009B39DF">
              <w:rPr>
                <w:sz w:val="22"/>
              </w:rPr>
              <w:t>58</w:t>
            </w:r>
          </w:p>
        </w:tc>
      </w:tr>
      <w:tr w:rsidR="00CD43EE" w:rsidRPr="00BD25A9" w14:paraId="2B688108" w14:textId="77777777" w:rsidTr="00CD43EE">
        <w:trPr>
          <w:trHeight w:val="278"/>
        </w:trPr>
        <w:tc>
          <w:tcPr>
            <w:tcW w:w="1435" w:type="dxa"/>
            <w:vMerge/>
          </w:tcPr>
          <w:p w14:paraId="0870264E" w14:textId="77777777" w:rsidR="00CD43EE" w:rsidRPr="009B39DF" w:rsidRDefault="00CD43EE" w:rsidP="005A1E65">
            <w:pPr>
              <w:rPr>
                <w:sz w:val="22"/>
              </w:rPr>
            </w:pPr>
          </w:p>
        </w:tc>
        <w:tc>
          <w:tcPr>
            <w:tcW w:w="2790" w:type="dxa"/>
          </w:tcPr>
          <w:p w14:paraId="517A364E" w14:textId="34F0A57E" w:rsidR="00CD43EE" w:rsidRPr="009B39DF" w:rsidRDefault="00CD43EE" w:rsidP="00136D39">
            <w:pPr>
              <w:jc w:val="center"/>
              <w:rPr>
                <w:color w:val="000000"/>
                <w:sz w:val="22"/>
              </w:rPr>
            </w:pPr>
            <w:r w:rsidRPr="009B39DF">
              <w:rPr>
                <w:color w:val="000000"/>
                <w:sz w:val="22"/>
              </w:rPr>
              <w:t>Final Survey</w:t>
            </w:r>
          </w:p>
        </w:tc>
        <w:tc>
          <w:tcPr>
            <w:tcW w:w="1350" w:type="dxa"/>
          </w:tcPr>
          <w:p w14:paraId="58824279" w14:textId="2031FA24" w:rsidR="00CD43EE" w:rsidRPr="009B39DF" w:rsidRDefault="00247056" w:rsidP="005A1E65">
            <w:pPr>
              <w:jc w:val="center"/>
              <w:rPr>
                <w:sz w:val="22"/>
              </w:rPr>
            </w:pPr>
            <w:r>
              <w:rPr>
                <w:sz w:val="22"/>
              </w:rPr>
              <w:t>58</w:t>
            </w:r>
          </w:p>
        </w:tc>
        <w:tc>
          <w:tcPr>
            <w:tcW w:w="1530" w:type="dxa"/>
          </w:tcPr>
          <w:p w14:paraId="183D0AA1" w14:textId="743F2614" w:rsidR="00CD43EE" w:rsidRPr="00436D08" w:rsidRDefault="00CD43EE" w:rsidP="00136D39">
            <w:pPr>
              <w:jc w:val="center"/>
              <w:rPr>
                <w:sz w:val="22"/>
              </w:rPr>
            </w:pPr>
            <w:r w:rsidRPr="009B39DF">
              <w:rPr>
                <w:sz w:val="22"/>
              </w:rPr>
              <w:t>1</w:t>
            </w:r>
          </w:p>
        </w:tc>
        <w:tc>
          <w:tcPr>
            <w:tcW w:w="1800" w:type="dxa"/>
          </w:tcPr>
          <w:p w14:paraId="78CD80D3" w14:textId="6069C74D" w:rsidR="00CD43EE" w:rsidRPr="009B39DF" w:rsidRDefault="00CD43EE" w:rsidP="00136D39">
            <w:pPr>
              <w:jc w:val="center"/>
              <w:rPr>
                <w:sz w:val="22"/>
              </w:rPr>
            </w:pPr>
            <w:r w:rsidRPr="009B39DF">
              <w:rPr>
                <w:sz w:val="22"/>
              </w:rPr>
              <w:t>15/60</w:t>
            </w:r>
          </w:p>
        </w:tc>
        <w:tc>
          <w:tcPr>
            <w:tcW w:w="1165" w:type="dxa"/>
          </w:tcPr>
          <w:p w14:paraId="7ED423A6" w14:textId="3855FE8F" w:rsidR="00CD43EE" w:rsidRPr="009B39DF" w:rsidRDefault="00247056" w:rsidP="005A1E65">
            <w:pPr>
              <w:tabs>
                <w:tab w:val="left" w:pos="1498"/>
              </w:tabs>
              <w:jc w:val="center"/>
              <w:rPr>
                <w:sz w:val="22"/>
              </w:rPr>
            </w:pPr>
            <w:r>
              <w:rPr>
                <w:sz w:val="22"/>
              </w:rPr>
              <w:t>15</w:t>
            </w:r>
          </w:p>
        </w:tc>
      </w:tr>
      <w:tr w:rsidR="00436D08" w:rsidRPr="00BD25A9" w14:paraId="3CB719C1" w14:textId="77777777" w:rsidTr="00B64BAD">
        <w:trPr>
          <w:trHeight w:val="98"/>
        </w:trPr>
        <w:tc>
          <w:tcPr>
            <w:tcW w:w="1435" w:type="dxa"/>
          </w:tcPr>
          <w:p w14:paraId="455C82C2" w14:textId="44DF98C3" w:rsidR="00436D08" w:rsidRPr="00436D08" w:rsidRDefault="00436D08" w:rsidP="00136D39">
            <w:pPr>
              <w:rPr>
                <w:b/>
                <w:bCs/>
                <w:sz w:val="22"/>
              </w:rPr>
            </w:pPr>
            <w:r w:rsidRPr="00436D08">
              <w:rPr>
                <w:b/>
                <w:bCs/>
                <w:sz w:val="22"/>
              </w:rPr>
              <w:t>Total</w:t>
            </w:r>
          </w:p>
        </w:tc>
        <w:tc>
          <w:tcPr>
            <w:tcW w:w="7470" w:type="dxa"/>
            <w:gridSpan w:val="4"/>
          </w:tcPr>
          <w:p w14:paraId="083EFF35" w14:textId="77777777" w:rsidR="00436D08" w:rsidRPr="00436D08" w:rsidRDefault="00436D08" w:rsidP="00136D39">
            <w:pPr>
              <w:jc w:val="center"/>
              <w:rPr>
                <w:b/>
                <w:sz w:val="22"/>
              </w:rPr>
            </w:pPr>
          </w:p>
        </w:tc>
        <w:tc>
          <w:tcPr>
            <w:tcW w:w="1165" w:type="dxa"/>
          </w:tcPr>
          <w:p w14:paraId="73D13A51" w14:textId="561398BA" w:rsidR="00436D08" w:rsidRPr="00436D08" w:rsidRDefault="00247056" w:rsidP="0098528F">
            <w:pPr>
              <w:tabs>
                <w:tab w:val="left" w:pos="1498"/>
              </w:tabs>
              <w:jc w:val="center"/>
              <w:rPr>
                <w:b/>
                <w:bCs/>
                <w:sz w:val="22"/>
              </w:rPr>
            </w:pPr>
            <w:r>
              <w:rPr>
                <w:b/>
                <w:bCs/>
                <w:sz w:val="22"/>
              </w:rPr>
              <w:t>557</w:t>
            </w:r>
          </w:p>
        </w:tc>
      </w:tr>
    </w:tbl>
    <w:p w14:paraId="36B3EA47" w14:textId="0802A1F6" w:rsidR="00233B2E" w:rsidRPr="00A21003" w:rsidRDefault="004A13E8" w:rsidP="004A13E8">
      <w:pPr>
        <w:spacing w:before="240"/>
      </w:pPr>
      <w:r w:rsidRPr="00A21003">
        <w:t>B.</w:t>
      </w:r>
      <w:r w:rsidR="00C553B7" w:rsidRPr="00A21003">
        <w:t xml:space="preserve"> Estimated Annualized Burden Costs</w:t>
      </w:r>
      <w:r w:rsidR="009B0947" w:rsidRPr="00A21003">
        <w:t xml:space="preserve"> </w:t>
      </w:r>
    </w:p>
    <w:p w14:paraId="0B0AF3F2" w14:textId="7E52C4A5" w:rsidR="00A21003" w:rsidRPr="004864CA" w:rsidRDefault="00A21003" w:rsidP="00E67F53">
      <w:pPr>
        <w:rPr>
          <w:rFonts w:ascii="Calibri" w:eastAsia="Times New Roman" w:hAnsi="Calibri" w:cs="Times New Roman"/>
          <w:color w:val="000000"/>
          <w:sz w:val="22"/>
        </w:rPr>
      </w:pPr>
      <w:r w:rsidRPr="00A21003">
        <w:t xml:space="preserve">The hourly wage estimate is based on the Bureau of Labor Statistics May </w:t>
      </w:r>
      <w:r w:rsidR="008A0FCB" w:rsidRPr="00A21003">
        <w:t>201</w:t>
      </w:r>
      <w:r w:rsidR="008A0FCB">
        <w:t>6</w:t>
      </w:r>
      <w:r w:rsidR="008A0FCB" w:rsidRPr="00A21003">
        <w:t xml:space="preserve"> </w:t>
      </w:r>
      <w:r w:rsidRPr="00A21003">
        <w:t>National Occupational</w:t>
      </w:r>
      <w:r w:rsidRPr="006E45C2">
        <w:t xml:space="preserve"> Employment and Wage Estimates (</w:t>
      </w:r>
      <w:hyperlink r:id="rId14" w:history="1">
        <w:r w:rsidRPr="00157BFC">
          <w:rPr>
            <w:rStyle w:val="Hyperlink"/>
          </w:rPr>
          <w:t>http://www.bls.gov/oes/current/oes_nat.htm</w:t>
        </w:r>
      </w:hyperlink>
      <w:r>
        <w:t xml:space="preserve">). </w:t>
      </w:r>
      <w:r w:rsidRPr="00180C82">
        <w:rPr>
          <w:rFonts w:cs="Times New Roman"/>
          <w:szCs w:val="24"/>
        </w:rPr>
        <w:t>The burden costs will differ across study years, with the greatest burden costs in Year 1 (</w:t>
      </w:r>
      <w:r w:rsidRPr="00180C82">
        <w:rPr>
          <w:rFonts w:eastAsia="Times New Roman" w:cs="Times New Roman"/>
          <w:color w:val="000000"/>
          <w:szCs w:val="24"/>
        </w:rPr>
        <w:t>$</w:t>
      </w:r>
      <w:r w:rsidR="004864CA" w:rsidRPr="00180C82">
        <w:rPr>
          <w:rFonts w:cs="Times New Roman"/>
          <w:color w:val="000000"/>
          <w:szCs w:val="24"/>
        </w:rPr>
        <w:t>1</w:t>
      </w:r>
      <w:r w:rsidR="00807BDB">
        <w:rPr>
          <w:rFonts w:cs="Times New Roman"/>
          <w:color w:val="000000"/>
          <w:szCs w:val="24"/>
        </w:rPr>
        <w:t>8,586.94</w:t>
      </w:r>
      <w:r w:rsidRPr="00180C82">
        <w:rPr>
          <w:rFonts w:cs="Times New Roman"/>
          <w:szCs w:val="24"/>
        </w:rPr>
        <w:t>) and smaller burden costs in Year 2 (</w:t>
      </w:r>
      <w:r w:rsidRPr="00180C82">
        <w:rPr>
          <w:rFonts w:eastAsia="Times New Roman" w:cs="Times New Roman"/>
          <w:color w:val="000000"/>
          <w:szCs w:val="24"/>
        </w:rPr>
        <w:t>$</w:t>
      </w:r>
      <w:r w:rsidR="004864CA" w:rsidRPr="00180C82">
        <w:rPr>
          <w:rFonts w:eastAsia="Times New Roman" w:cs="Times New Roman"/>
          <w:color w:val="000000"/>
          <w:szCs w:val="24"/>
        </w:rPr>
        <w:t>4,815</w:t>
      </w:r>
      <w:r w:rsidRPr="00180C82">
        <w:rPr>
          <w:rFonts w:cs="Times New Roman"/>
          <w:szCs w:val="24"/>
        </w:rPr>
        <w:t>), Year 3 (</w:t>
      </w:r>
      <w:r w:rsidRPr="00180C82">
        <w:rPr>
          <w:rFonts w:eastAsia="Times New Roman" w:cs="Times New Roman"/>
          <w:color w:val="000000"/>
          <w:szCs w:val="24"/>
        </w:rPr>
        <w:t>$</w:t>
      </w:r>
      <w:r w:rsidR="004864CA" w:rsidRPr="00180C82">
        <w:rPr>
          <w:rFonts w:eastAsia="Times New Roman" w:cs="Times New Roman"/>
          <w:color w:val="000000"/>
          <w:szCs w:val="24"/>
        </w:rPr>
        <w:t>4,815</w:t>
      </w:r>
      <w:r w:rsidRPr="00180C82">
        <w:rPr>
          <w:rFonts w:cs="Times New Roman"/>
          <w:szCs w:val="24"/>
        </w:rPr>
        <w:t>) and Year 4 (</w:t>
      </w:r>
      <w:r w:rsidRPr="00180C82">
        <w:rPr>
          <w:rFonts w:eastAsia="Times New Roman" w:cs="Times New Roman"/>
          <w:color w:val="000000"/>
          <w:szCs w:val="24"/>
        </w:rPr>
        <w:t>$</w:t>
      </w:r>
      <w:r w:rsidR="005E069B" w:rsidRPr="00180C82">
        <w:rPr>
          <w:rFonts w:eastAsia="Times New Roman" w:cs="Times New Roman"/>
          <w:color w:val="000000"/>
          <w:szCs w:val="24"/>
        </w:rPr>
        <w:t>6,</w:t>
      </w:r>
      <w:r w:rsidR="004864CA" w:rsidRPr="00180C82">
        <w:rPr>
          <w:rFonts w:eastAsia="Times New Roman" w:cs="Times New Roman"/>
          <w:color w:val="000000"/>
          <w:szCs w:val="24"/>
        </w:rPr>
        <w:t>131</w:t>
      </w:r>
      <w:r w:rsidRPr="00180C82">
        <w:rPr>
          <w:rFonts w:cs="Times New Roman"/>
          <w:szCs w:val="24"/>
        </w:rPr>
        <w:t>).</w:t>
      </w:r>
    </w:p>
    <w:p w14:paraId="5D770F8C" w14:textId="61CD3980" w:rsidR="00C15B31" w:rsidRPr="00E33D2B" w:rsidRDefault="00C15B31" w:rsidP="00E67F53">
      <w:pPr>
        <w:rPr>
          <w:rFonts w:eastAsia="Times New Roman" w:cs="Times New Roman"/>
          <w:color w:val="000000"/>
          <w:szCs w:val="24"/>
        </w:rPr>
      </w:pPr>
      <w:r w:rsidRPr="00E33D2B">
        <w:rPr>
          <w:rFonts w:cs="Times New Roman"/>
          <w:szCs w:val="24"/>
        </w:rPr>
        <w:t>The estimated annualized burden cost is $</w:t>
      </w:r>
      <w:r w:rsidR="00630BB1">
        <w:rPr>
          <w:rFonts w:cs="Times New Roman"/>
          <w:color w:val="000000"/>
          <w:szCs w:val="24"/>
        </w:rPr>
        <w:t>13</w:t>
      </w:r>
      <w:r w:rsidR="00807BDB">
        <w:rPr>
          <w:rFonts w:cs="Times New Roman"/>
          <w:color w:val="000000"/>
          <w:szCs w:val="24"/>
        </w:rPr>
        <w:t>,</w:t>
      </w:r>
      <w:r w:rsidR="00630BB1">
        <w:rPr>
          <w:rFonts w:cs="Times New Roman"/>
          <w:color w:val="000000"/>
          <w:szCs w:val="24"/>
        </w:rPr>
        <w:t>290</w:t>
      </w:r>
      <w:r w:rsidR="00807BDB">
        <w:rPr>
          <w:rFonts w:cs="Times New Roman"/>
          <w:color w:val="000000"/>
          <w:szCs w:val="24"/>
        </w:rPr>
        <w:t>.</w:t>
      </w:r>
      <w:r w:rsidR="00630BB1">
        <w:rPr>
          <w:rFonts w:cs="Times New Roman"/>
          <w:color w:val="000000"/>
          <w:szCs w:val="24"/>
        </w:rPr>
        <w:t>02</w:t>
      </w:r>
      <w:r w:rsidRPr="00E33D2B">
        <w:rPr>
          <w:rFonts w:cs="Times New Roman"/>
          <w:szCs w:val="24"/>
        </w:rPr>
        <w:t>.</w:t>
      </w:r>
    </w:p>
    <w:tbl>
      <w:tblPr>
        <w:tblStyle w:val="TableGrid"/>
        <w:tblW w:w="0" w:type="auto"/>
        <w:tblLook w:val="04A0" w:firstRow="1" w:lastRow="0" w:firstColumn="1" w:lastColumn="0" w:noHBand="0" w:noVBand="1"/>
      </w:tblPr>
      <w:tblGrid>
        <w:gridCol w:w="2335"/>
        <w:gridCol w:w="2790"/>
        <w:gridCol w:w="1080"/>
        <w:gridCol w:w="1536"/>
        <w:gridCol w:w="1980"/>
      </w:tblGrid>
      <w:tr w:rsidR="00233B2E" w:rsidRPr="002407E0" w14:paraId="0DE23F42" w14:textId="77777777" w:rsidTr="008A0FCB">
        <w:tc>
          <w:tcPr>
            <w:tcW w:w="2335" w:type="dxa"/>
          </w:tcPr>
          <w:p w14:paraId="19257609" w14:textId="77777777" w:rsidR="00E33D2B" w:rsidRDefault="00E33D2B" w:rsidP="00825A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p>
          <w:p w14:paraId="4D2DF456" w14:textId="77777777" w:rsidR="00E33D2B" w:rsidRDefault="00E33D2B" w:rsidP="00825A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p>
          <w:p w14:paraId="2F2F7033" w14:textId="77777777" w:rsidR="00233B2E" w:rsidRPr="002407E0" w:rsidRDefault="00233B2E" w:rsidP="00825A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2407E0">
              <w:rPr>
                <w:rFonts w:cs="Times New Roman"/>
                <w:szCs w:val="24"/>
              </w:rPr>
              <w:t>Type of Respondent</w:t>
            </w:r>
          </w:p>
        </w:tc>
        <w:tc>
          <w:tcPr>
            <w:tcW w:w="2790" w:type="dxa"/>
          </w:tcPr>
          <w:p w14:paraId="244C759D" w14:textId="77777777" w:rsidR="00E33D2B" w:rsidRDefault="00E33D2B" w:rsidP="00825A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p>
          <w:p w14:paraId="2448D523" w14:textId="77777777" w:rsidR="00E33D2B" w:rsidRDefault="00E33D2B" w:rsidP="00825A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p>
          <w:p w14:paraId="49F0162A" w14:textId="77777777" w:rsidR="00233B2E" w:rsidRPr="002407E0" w:rsidRDefault="00233B2E" w:rsidP="00825A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2407E0">
              <w:rPr>
                <w:rFonts w:cs="Times New Roman"/>
                <w:szCs w:val="24"/>
              </w:rPr>
              <w:t>Form Name</w:t>
            </w:r>
          </w:p>
        </w:tc>
        <w:tc>
          <w:tcPr>
            <w:tcW w:w="1080" w:type="dxa"/>
          </w:tcPr>
          <w:p w14:paraId="1A8F2798" w14:textId="77777777" w:rsidR="00233B2E" w:rsidRPr="002407E0" w:rsidRDefault="00233B2E" w:rsidP="00825A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2407E0">
              <w:rPr>
                <w:rFonts w:cs="Times New Roman"/>
                <w:szCs w:val="24"/>
              </w:rPr>
              <w:t>Total Burden Hours</w:t>
            </w:r>
          </w:p>
        </w:tc>
        <w:tc>
          <w:tcPr>
            <w:tcW w:w="1536" w:type="dxa"/>
          </w:tcPr>
          <w:p w14:paraId="00EEC000" w14:textId="77777777" w:rsidR="00233B2E" w:rsidRPr="002407E0" w:rsidRDefault="00233B2E" w:rsidP="00825A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2407E0">
              <w:rPr>
                <w:rFonts w:cs="Times New Roman"/>
                <w:szCs w:val="24"/>
              </w:rPr>
              <w:t>Hourly Wage Rate</w:t>
            </w:r>
          </w:p>
        </w:tc>
        <w:tc>
          <w:tcPr>
            <w:tcW w:w="1980" w:type="dxa"/>
          </w:tcPr>
          <w:p w14:paraId="624861F1" w14:textId="42207921" w:rsidR="00233B2E" w:rsidRPr="00C13726" w:rsidRDefault="00233B2E" w:rsidP="0095700B">
            <w:pPr>
              <w:spacing w:after="58"/>
              <w:jc w:val="center"/>
              <w:rPr>
                <w:rFonts w:cs="Times New Roman"/>
                <w:b/>
                <w:bCs/>
                <w:szCs w:val="24"/>
              </w:rPr>
            </w:pPr>
            <w:r w:rsidRPr="002407E0">
              <w:rPr>
                <w:rFonts w:cs="Times New Roman"/>
                <w:szCs w:val="24"/>
              </w:rPr>
              <w:t>Total Respondent Costs</w:t>
            </w:r>
            <w:r w:rsidR="003869EF" w:rsidRPr="00C13726">
              <w:rPr>
                <w:rFonts w:cs="Times New Roman"/>
                <w:b/>
                <w:bCs/>
                <w:szCs w:val="24"/>
              </w:rPr>
              <w:t xml:space="preserve"> </w:t>
            </w:r>
          </w:p>
        </w:tc>
      </w:tr>
      <w:tr w:rsidR="00E33D2B" w:rsidRPr="00E33D2B" w14:paraId="355118F7" w14:textId="77777777" w:rsidTr="00195F9F">
        <w:trPr>
          <w:trHeight w:val="404"/>
        </w:trPr>
        <w:tc>
          <w:tcPr>
            <w:tcW w:w="2335" w:type="dxa"/>
            <w:vMerge w:val="restart"/>
            <w:vAlign w:val="center"/>
          </w:tcPr>
          <w:p w14:paraId="2B3D0AC0" w14:textId="77777777" w:rsidR="00E33D2B" w:rsidRPr="00E33D2B" w:rsidRDefault="00E33D2B" w:rsidP="00E33D2B">
            <w:pPr>
              <w:rPr>
                <w:rFonts w:cs="Times New Roman"/>
                <w:szCs w:val="24"/>
              </w:rPr>
            </w:pPr>
            <w:r w:rsidRPr="00E33D2B">
              <w:rPr>
                <w:rFonts w:cs="Times New Roman"/>
                <w:szCs w:val="24"/>
              </w:rPr>
              <w:t>Households or Individuals</w:t>
            </w:r>
          </w:p>
          <w:p w14:paraId="3BA18AB6" w14:textId="7D3D1434" w:rsidR="00E33D2B" w:rsidRPr="00E33D2B" w:rsidRDefault="00E33D2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Times New Roman"/>
                <w:szCs w:val="24"/>
              </w:rPr>
            </w:pPr>
          </w:p>
        </w:tc>
        <w:tc>
          <w:tcPr>
            <w:tcW w:w="2790" w:type="dxa"/>
            <w:vAlign w:val="center"/>
          </w:tcPr>
          <w:p w14:paraId="3F5349C0" w14:textId="301BCE18" w:rsidR="00E33D2B" w:rsidRPr="00E33D2B" w:rsidRDefault="00E33D2B" w:rsidP="00E33D2B">
            <w:pPr>
              <w:jc w:val="center"/>
              <w:rPr>
                <w:rFonts w:cs="Times New Roman"/>
                <w:color w:val="000000"/>
                <w:szCs w:val="24"/>
              </w:rPr>
            </w:pPr>
            <w:r w:rsidRPr="00E33D2B">
              <w:rPr>
                <w:rFonts w:cs="Times New Roman"/>
                <w:color w:val="000000"/>
                <w:szCs w:val="24"/>
              </w:rPr>
              <w:t>Eligibility Survey</w:t>
            </w:r>
          </w:p>
        </w:tc>
        <w:tc>
          <w:tcPr>
            <w:tcW w:w="1080" w:type="dxa"/>
            <w:vAlign w:val="center"/>
          </w:tcPr>
          <w:p w14:paraId="79411839" w14:textId="1923DCF6" w:rsidR="00E33D2B" w:rsidRPr="00E33D2B" w:rsidRDefault="00630BB1" w:rsidP="00E33D2B">
            <w:pPr>
              <w:jc w:val="center"/>
              <w:rPr>
                <w:rFonts w:cs="Times New Roman"/>
                <w:szCs w:val="24"/>
              </w:rPr>
            </w:pPr>
            <w:r>
              <w:rPr>
                <w:color w:val="000000"/>
                <w:szCs w:val="24"/>
              </w:rPr>
              <w:t>32</w:t>
            </w:r>
          </w:p>
        </w:tc>
        <w:tc>
          <w:tcPr>
            <w:tcW w:w="1260" w:type="dxa"/>
            <w:vAlign w:val="center"/>
          </w:tcPr>
          <w:p w14:paraId="514B3BDE" w14:textId="6451DCFA" w:rsidR="00E33D2B" w:rsidRPr="00E33D2B" w:rsidRDefault="00E33D2B" w:rsidP="008A0F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rFonts w:cs="Times New Roman"/>
                <w:szCs w:val="24"/>
              </w:rPr>
              <w:t>$</w:t>
            </w:r>
            <w:r w:rsidR="008A0FCB" w:rsidRPr="00E33D2B">
              <w:rPr>
                <w:rFonts w:cs="Times New Roman"/>
                <w:szCs w:val="24"/>
              </w:rPr>
              <w:t>2</w:t>
            </w:r>
            <w:r w:rsidR="008A0FCB">
              <w:rPr>
                <w:rFonts w:cs="Times New Roman"/>
                <w:szCs w:val="24"/>
              </w:rPr>
              <w:t>3</w:t>
            </w:r>
            <w:r w:rsidRPr="00E33D2B">
              <w:rPr>
                <w:rFonts w:cs="Times New Roman"/>
                <w:szCs w:val="24"/>
              </w:rPr>
              <w:t>.</w:t>
            </w:r>
            <w:r w:rsidR="008A0FCB">
              <w:rPr>
                <w:rFonts w:cs="Times New Roman"/>
                <w:szCs w:val="24"/>
              </w:rPr>
              <w:t>86</w:t>
            </w:r>
          </w:p>
        </w:tc>
        <w:tc>
          <w:tcPr>
            <w:tcW w:w="1980" w:type="dxa"/>
            <w:vAlign w:val="bottom"/>
          </w:tcPr>
          <w:p w14:paraId="4E44828C" w14:textId="0FE08DB4" w:rsidR="00E33D2B" w:rsidRPr="00E33D2B" w:rsidRDefault="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rFonts w:cs="Times New Roman"/>
                <w:color w:val="000000"/>
                <w:szCs w:val="24"/>
              </w:rPr>
              <w:t>$</w:t>
            </w:r>
            <w:r w:rsidR="00630BB1">
              <w:rPr>
                <w:rFonts w:cs="Times New Roman"/>
                <w:color w:val="000000"/>
                <w:szCs w:val="24"/>
              </w:rPr>
              <w:t>763.52</w:t>
            </w:r>
          </w:p>
        </w:tc>
      </w:tr>
      <w:tr w:rsidR="00E33D2B" w:rsidRPr="00E33D2B" w14:paraId="1272B802" w14:textId="77777777" w:rsidTr="00195F9F">
        <w:trPr>
          <w:trHeight w:val="359"/>
        </w:trPr>
        <w:tc>
          <w:tcPr>
            <w:tcW w:w="2335" w:type="dxa"/>
            <w:vMerge/>
            <w:vAlign w:val="center"/>
          </w:tcPr>
          <w:p w14:paraId="033788FC" w14:textId="77777777" w:rsidR="00E33D2B" w:rsidRPr="00E33D2B" w:rsidRDefault="00E33D2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Times New Roman"/>
                <w:szCs w:val="24"/>
              </w:rPr>
            </w:pPr>
          </w:p>
        </w:tc>
        <w:tc>
          <w:tcPr>
            <w:tcW w:w="2790" w:type="dxa"/>
            <w:vAlign w:val="center"/>
          </w:tcPr>
          <w:p w14:paraId="5716A93D" w14:textId="77777777" w:rsidR="00E33D2B" w:rsidRPr="00E33D2B" w:rsidRDefault="00E33D2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color w:val="000000"/>
                <w:szCs w:val="24"/>
              </w:rPr>
            </w:pPr>
            <w:r w:rsidRPr="00E33D2B">
              <w:rPr>
                <w:rFonts w:cs="Times New Roman"/>
                <w:color w:val="000000"/>
                <w:szCs w:val="24"/>
              </w:rPr>
              <w:t>Introductory Survey</w:t>
            </w:r>
          </w:p>
          <w:p w14:paraId="048EE971" w14:textId="1B676254" w:rsidR="00E33D2B" w:rsidRPr="00E33D2B" w:rsidRDefault="00E33D2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rFonts w:cs="Times New Roman"/>
                <w:color w:val="000000"/>
                <w:szCs w:val="24"/>
              </w:rPr>
              <w:t>(including Consent Form)</w:t>
            </w:r>
          </w:p>
        </w:tc>
        <w:tc>
          <w:tcPr>
            <w:tcW w:w="1080" w:type="dxa"/>
            <w:vAlign w:val="center"/>
          </w:tcPr>
          <w:p w14:paraId="799E48E0" w14:textId="34A8FF0B" w:rsidR="00E33D2B" w:rsidRPr="00E33D2B" w:rsidRDefault="00630BB1"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Pr>
                <w:color w:val="000000"/>
                <w:szCs w:val="24"/>
              </w:rPr>
              <w:t>29</w:t>
            </w:r>
          </w:p>
        </w:tc>
        <w:tc>
          <w:tcPr>
            <w:tcW w:w="1260" w:type="dxa"/>
            <w:vAlign w:val="center"/>
          </w:tcPr>
          <w:p w14:paraId="485EAC61" w14:textId="37355B42" w:rsidR="00E33D2B" w:rsidRPr="00E33D2B" w:rsidRDefault="008A0FC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rFonts w:cs="Times New Roman"/>
                <w:szCs w:val="24"/>
              </w:rPr>
              <w:t>$2</w:t>
            </w:r>
            <w:r>
              <w:rPr>
                <w:rFonts w:cs="Times New Roman"/>
                <w:szCs w:val="24"/>
              </w:rPr>
              <w:t>3</w:t>
            </w:r>
            <w:r w:rsidRPr="00E33D2B">
              <w:rPr>
                <w:rFonts w:cs="Times New Roman"/>
                <w:szCs w:val="24"/>
              </w:rPr>
              <w:t>.</w:t>
            </w:r>
            <w:r>
              <w:rPr>
                <w:rFonts w:cs="Times New Roman"/>
                <w:szCs w:val="24"/>
              </w:rPr>
              <w:t>86</w:t>
            </w:r>
          </w:p>
        </w:tc>
        <w:tc>
          <w:tcPr>
            <w:tcW w:w="1980" w:type="dxa"/>
            <w:vAlign w:val="bottom"/>
          </w:tcPr>
          <w:p w14:paraId="7307EF42" w14:textId="524D1BDE" w:rsidR="00E33D2B" w:rsidRPr="00E33D2B" w:rsidRDefault="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rFonts w:cs="Times New Roman"/>
                <w:color w:val="000000"/>
                <w:szCs w:val="24"/>
              </w:rPr>
              <w:t>$</w:t>
            </w:r>
            <w:r w:rsidR="00630BB1">
              <w:rPr>
                <w:rFonts w:cs="Times New Roman"/>
                <w:color w:val="000000"/>
                <w:szCs w:val="24"/>
              </w:rPr>
              <w:t>691.94</w:t>
            </w:r>
          </w:p>
        </w:tc>
      </w:tr>
      <w:tr w:rsidR="00E33D2B" w:rsidRPr="00E33D2B" w14:paraId="5B731353" w14:textId="77777777" w:rsidTr="00195F9F">
        <w:trPr>
          <w:trHeight w:val="350"/>
        </w:trPr>
        <w:tc>
          <w:tcPr>
            <w:tcW w:w="2335" w:type="dxa"/>
            <w:vMerge/>
            <w:vAlign w:val="center"/>
          </w:tcPr>
          <w:p w14:paraId="5609D01C" w14:textId="77777777" w:rsidR="00E33D2B" w:rsidRPr="00E33D2B" w:rsidRDefault="00E33D2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Times New Roman"/>
                <w:szCs w:val="24"/>
              </w:rPr>
            </w:pPr>
          </w:p>
        </w:tc>
        <w:tc>
          <w:tcPr>
            <w:tcW w:w="2790" w:type="dxa"/>
            <w:vAlign w:val="center"/>
          </w:tcPr>
          <w:p w14:paraId="5181A287" w14:textId="425723BC" w:rsidR="00E33D2B" w:rsidRPr="00E33D2B" w:rsidRDefault="00E33D2B" w:rsidP="00E33D2B">
            <w:pPr>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rFonts w:cs="Times New Roman"/>
                <w:color w:val="000000"/>
                <w:szCs w:val="24"/>
              </w:rPr>
              <w:t>Monthly Surveys</w:t>
            </w:r>
          </w:p>
        </w:tc>
        <w:tc>
          <w:tcPr>
            <w:tcW w:w="1080" w:type="dxa"/>
            <w:vAlign w:val="center"/>
          </w:tcPr>
          <w:p w14:paraId="75450582" w14:textId="51E50E18" w:rsidR="00E33D2B" w:rsidRPr="00E33D2B" w:rsidRDefault="00E33D2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color w:val="000000"/>
                <w:szCs w:val="24"/>
              </w:rPr>
              <w:t>154</w:t>
            </w:r>
          </w:p>
        </w:tc>
        <w:tc>
          <w:tcPr>
            <w:tcW w:w="1260" w:type="dxa"/>
            <w:vAlign w:val="center"/>
          </w:tcPr>
          <w:p w14:paraId="73F13EB7" w14:textId="44207C33" w:rsidR="00E33D2B" w:rsidRPr="00E33D2B" w:rsidRDefault="008A0FC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rFonts w:cs="Times New Roman"/>
                <w:szCs w:val="24"/>
              </w:rPr>
              <w:t>$2</w:t>
            </w:r>
            <w:r>
              <w:rPr>
                <w:rFonts w:cs="Times New Roman"/>
                <w:szCs w:val="24"/>
              </w:rPr>
              <w:t>3</w:t>
            </w:r>
            <w:r w:rsidRPr="00E33D2B">
              <w:rPr>
                <w:rFonts w:cs="Times New Roman"/>
                <w:szCs w:val="24"/>
              </w:rPr>
              <w:t>.</w:t>
            </w:r>
            <w:r>
              <w:rPr>
                <w:rFonts w:cs="Times New Roman"/>
                <w:szCs w:val="24"/>
              </w:rPr>
              <w:t>86</w:t>
            </w:r>
          </w:p>
        </w:tc>
        <w:tc>
          <w:tcPr>
            <w:tcW w:w="1980" w:type="dxa"/>
            <w:vAlign w:val="bottom"/>
          </w:tcPr>
          <w:p w14:paraId="08FFE14E" w14:textId="08A52EDA" w:rsidR="00E33D2B" w:rsidRPr="00E33D2B" w:rsidRDefault="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rFonts w:cs="Times New Roman"/>
                <w:color w:val="000000"/>
                <w:szCs w:val="24"/>
              </w:rPr>
              <w:t>$</w:t>
            </w:r>
            <w:r w:rsidR="00807BDB">
              <w:rPr>
                <w:rFonts w:cs="Times New Roman"/>
                <w:color w:val="000000"/>
                <w:szCs w:val="24"/>
              </w:rPr>
              <w:t>3,674.44</w:t>
            </w:r>
          </w:p>
        </w:tc>
      </w:tr>
      <w:tr w:rsidR="00E33D2B" w:rsidRPr="00E33D2B" w14:paraId="663320E7" w14:textId="77777777" w:rsidTr="00195F9F">
        <w:trPr>
          <w:trHeight w:val="350"/>
        </w:trPr>
        <w:tc>
          <w:tcPr>
            <w:tcW w:w="2335" w:type="dxa"/>
            <w:vMerge/>
            <w:vAlign w:val="center"/>
          </w:tcPr>
          <w:p w14:paraId="68B93483" w14:textId="77777777" w:rsidR="00E33D2B" w:rsidRPr="00E33D2B" w:rsidRDefault="00E33D2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Times New Roman"/>
                <w:szCs w:val="24"/>
              </w:rPr>
            </w:pPr>
          </w:p>
        </w:tc>
        <w:tc>
          <w:tcPr>
            <w:tcW w:w="2790" w:type="dxa"/>
            <w:vAlign w:val="center"/>
          </w:tcPr>
          <w:p w14:paraId="24206BDE" w14:textId="2A3CAA75" w:rsidR="00E33D2B" w:rsidRPr="00E33D2B" w:rsidRDefault="00E33D2B" w:rsidP="00E33D2B">
            <w:pPr>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color w:val="000000"/>
                <w:szCs w:val="24"/>
              </w:rPr>
            </w:pPr>
            <w:r w:rsidRPr="00E33D2B">
              <w:rPr>
                <w:rFonts w:cs="Times New Roman"/>
                <w:color w:val="000000"/>
                <w:szCs w:val="24"/>
              </w:rPr>
              <w:t>Daily Surveys</w:t>
            </w:r>
          </w:p>
        </w:tc>
        <w:tc>
          <w:tcPr>
            <w:tcW w:w="1080" w:type="dxa"/>
            <w:vAlign w:val="center"/>
          </w:tcPr>
          <w:p w14:paraId="0AD6FB2B" w14:textId="5B5A809D" w:rsidR="00E33D2B" w:rsidRPr="00E33D2B" w:rsidRDefault="00E33D2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color w:val="000000"/>
                <w:szCs w:val="24"/>
              </w:rPr>
              <w:t>269</w:t>
            </w:r>
          </w:p>
        </w:tc>
        <w:tc>
          <w:tcPr>
            <w:tcW w:w="1260" w:type="dxa"/>
            <w:vAlign w:val="center"/>
          </w:tcPr>
          <w:p w14:paraId="746E5A17" w14:textId="44030EC0" w:rsidR="00E33D2B" w:rsidRPr="00E33D2B" w:rsidRDefault="008A0FC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rFonts w:cs="Times New Roman"/>
                <w:szCs w:val="24"/>
              </w:rPr>
              <w:t>$2</w:t>
            </w:r>
            <w:r>
              <w:rPr>
                <w:rFonts w:cs="Times New Roman"/>
                <w:szCs w:val="24"/>
              </w:rPr>
              <w:t>3</w:t>
            </w:r>
            <w:r w:rsidRPr="00E33D2B">
              <w:rPr>
                <w:rFonts w:cs="Times New Roman"/>
                <w:szCs w:val="24"/>
              </w:rPr>
              <w:t>.</w:t>
            </w:r>
            <w:r>
              <w:rPr>
                <w:rFonts w:cs="Times New Roman"/>
                <w:szCs w:val="24"/>
              </w:rPr>
              <w:t>86</w:t>
            </w:r>
          </w:p>
        </w:tc>
        <w:tc>
          <w:tcPr>
            <w:tcW w:w="1980" w:type="dxa"/>
            <w:vAlign w:val="bottom"/>
          </w:tcPr>
          <w:p w14:paraId="48830A68" w14:textId="6406ECF8" w:rsidR="00E33D2B" w:rsidRPr="00E33D2B" w:rsidRDefault="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rFonts w:cs="Times New Roman"/>
                <w:color w:val="000000"/>
                <w:szCs w:val="24"/>
              </w:rPr>
              <w:t>$</w:t>
            </w:r>
            <w:r w:rsidR="00807BDB">
              <w:rPr>
                <w:rFonts w:cs="Times New Roman"/>
                <w:color w:val="000000"/>
                <w:szCs w:val="24"/>
              </w:rPr>
              <w:t>6,418.34</w:t>
            </w:r>
          </w:p>
        </w:tc>
      </w:tr>
      <w:tr w:rsidR="00E33D2B" w:rsidRPr="00E33D2B" w14:paraId="15451049" w14:textId="77777777" w:rsidTr="00195F9F">
        <w:trPr>
          <w:trHeight w:val="350"/>
        </w:trPr>
        <w:tc>
          <w:tcPr>
            <w:tcW w:w="2335" w:type="dxa"/>
            <w:vMerge/>
            <w:vAlign w:val="center"/>
          </w:tcPr>
          <w:p w14:paraId="5282380D" w14:textId="77777777" w:rsidR="00E33D2B" w:rsidRPr="00E33D2B" w:rsidRDefault="00E33D2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Times New Roman"/>
                <w:szCs w:val="24"/>
              </w:rPr>
            </w:pPr>
          </w:p>
        </w:tc>
        <w:tc>
          <w:tcPr>
            <w:tcW w:w="2790" w:type="dxa"/>
            <w:vAlign w:val="center"/>
          </w:tcPr>
          <w:p w14:paraId="68AD2768" w14:textId="18203852" w:rsidR="00E33D2B" w:rsidRPr="00E33D2B" w:rsidRDefault="00E33D2B" w:rsidP="00E33D2B">
            <w:pPr>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rFonts w:cs="Times New Roman"/>
                <w:szCs w:val="24"/>
              </w:rPr>
              <w:t>Annual Surveys</w:t>
            </w:r>
          </w:p>
        </w:tc>
        <w:tc>
          <w:tcPr>
            <w:tcW w:w="1080" w:type="dxa"/>
            <w:vAlign w:val="center"/>
          </w:tcPr>
          <w:p w14:paraId="55CDB512" w14:textId="3A04F555" w:rsidR="00E33D2B" w:rsidRPr="00E33D2B" w:rsidRDefault="00E33D2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color w:val="000000"/>
                <w:szCs w:val="24"/>
              </w:rPr>
              <w:t>58</w:t>
            </w:r>
          </w:p>
        </w:tc>
        <w:tc>
          <w:tcPr>
            <w:tcW w:w="1260" w:type="dxa"/>
            <w:vAlign w:val="center"/>
          </w:tcPr>
          <w:p w14:paraId="4FA849C8" w14:textId="78BDC2A1" w:rsidR="00E33D2B" w:rsidRPr="00E33D2B" w:rsidRDefault="008A0FC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rFonts w:cs="Times New Roman"/>
                <w:szCs w:val="24"/>
              </w:rPr>
              <w:t>$2</w:t>
            </w:r>
            <w:r>
              <w:rPr>
                <w:rFonts w:cs="Times New Roman"/>
                <w:szCs w:val="24"/>
              </w:rPr>
              <w:t>3</w:t>
            </w:r>
            <w:r w:rsidRPr="00E33D2B">
              <w:rPr>
                <w:rFonts w:cs="Times New Roman"/>
                <w:szCs w:val="24"/>
              </w:rPr>
              <w:t>.</w:t>
            </w:r>
            <w:r>
              <w:rPr>
                <w:rFonts w:cs="Times New Roman"/>
                <w:szCs w:val="24"/>
              </w:rPr>
              <w:t>86</w:t>
            </w:r>
          </w:p>
        </w:tc>
        <w:tc>
          <w:tcPr>
            <w:tcW w:w="1980" w:type="dxa"/>
            <w:vAlign w:val="bottom"/>
          </w:tcPr>
          <w:p w14:paraId="06235A1F" w14:textId="5666324D" w:rsidR="00E33D2B" w:rsidRPr="00E33D2B" w:rsidRDefault="00807B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Pr>
                <w:rFonts w:cs="Times New Roman"/>
                <w:color w:val="000000"/>
                <w:szCs w:val="24"/>
              </w:rPr>
              <w:t>$1,383.88</w:t>
            </w:r>
            <w:r w:rsidR="008A0FCB" w:rsidRPr="00E33D2B">
              <w:rPr>
                <w:rFonts w:cs="Times New Roman"/>
                <w:color w:val="000000"/>
                <w:szCs w:val="24"/>
              </w:rPr>
              <w:t xml:space="preserve"> </w:t>
            </w:r>
          </w:p>
        </w:tc>
      </w:tr>
      <w:tr w:rsidR="00807BDB" w:rsidRPr="00E33D2B" w14:paraId="1C7B3023" w14:textId="77777777" w:rsidTr="008A0FCB">
        <w:trPr>
          <w:trHeight w:val="215"/>
        </w:trPr>
        <w:tc>
          <w:tcPr>
            <w:tcW w:w="2335" w:type="dxa"/>
            <w:vMerge/>
            <w:tcBorders>
              <w:bottom w:val="double" w:sz="4" w:space="0" w:color="auto"/>
            </w:tcBorders>
            <w:vAlign w:val="center"/>
          </w:tcPr>
          <w:p w14:paraId="158E7CC4" w14:textId="77777777" w:rsidR="00E33D2B" w:rsidRPr="00E33D2B" w:rsidRDefault="00E33D2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Times New Roman"/>
                <w:szCs w:val="24"/>
              </w:rPr>
            </w:pPr>
          </w:p>
        </w:tc>
        <w:tc>
          <w:tcPr>
            <w:tcW w:w="2790" w:type="dxa"/>
            <w:tcBorders>
              <w:bottom w:val="double" w:sz="4" w:space="0" w:color="auto"/>
            </w:tcBorders>
            <w:vAlign w:val="center"/>
          </w:tcPr>
          <w:p w14:paraId="1655202E" w14:textId="05D57A83" w:rsidR="00E33D2B" w:rsidRPr="00E33D2B" w:rsidRDefault="00E33D2B" w:rsidP="00E33D2B">
            <w:pPr>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rFonts w:cs="Times New Roman"/>
                <w:color w:val="000000"/>
                <w:szCs w:val="24"/>
              </w:rPr>
              <w:t>Final survey</w:t>
            </w:r>
          </w:p>
        </w:tc>
        <w:tc>
          <w:tcPr>
            <w:tcW w:w="1080" w:type="dxa"/>
            <w:tcBorders>
              <w:bottom w:val="double" w:sz="4" w:space="0" w:color="auto"/>
            </w:tcBorders>
            <w:vAlign w:val="center"/>
          </w:tcPr>
          <w:p w14:paraId="5AC0484C" w14:textId="7332E970" w:rsidR="00E33D2B" w:rsidRPr="00E33D2B" w:rsidRDefault="00630BB1"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Pr>
                <w:color w:val="000000"/>
                <w:szCs w:val="24"/>
              </w:rPr>
              <w:t>15</w:t>
            </w:r>
          </w:p>
        </w:tc>
        <w:tc>
          <w:tcPr>
            <w:tcW w:w="1260" w:type="dxa"/>
            <w:tcBorders>
              <w:bottom w:val="double" w:sz="4" w:space="0" w:color="auto"/>
            </w:tcBorders>
            <w:vAlign w:val="center"/>
          </w:tcPr>
          <w:p w14:paraId="1DA25F4F" w14:textId="29A4AAE3" w:rsidR="00E33D2B" w:rsidRPr="00E33D2B" w:rsidRDefault="008A0FC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sidRPr="00E33D2B">
              <w:rPr>
                <w:rFonts w:cs="Times New Roman"/>
                <w:szCs w:val="24"/>
              </w:rPr>
              <w:t>$2</w:t>
            </w:r>
            <w:r>
              <w:rPr>
                <w:rFonts w:cs="Times New Roman"/>
                <w:szCs w:val="24"/>
              </w:rPr>
              <w:t>3</w:t>
            </w:r>
            <w:r w:rsidRPr="00E33D2B">
              <w:rPr>
                <w:rFonts w:cs="Times New Roman"/>
                <w:szCs w:val="24"/>
              </w:rPr>
              <w:t>.</w:t>
            </w:r>
            <w:r>
              <w:rPr>
                <w:rFonts w:cs="Times New Roman"/>
                <w:szCs w:val="24"/>
              </w:rPr>
              <w:t>86</w:t>
            </w:r>
          </w:p>
        </w:tc>
        <w:tc>
          <w:tcPr>
            <w:tcW w:w="1980" w:type="dxa"/>
            <w:shd w:val="clear" w:color="auto" w:fill="auto"/>
            <w:vAlign w:val="bottom"/>
          </w:tcPr>
          <w:p w14:paraId="792F090D" w14:textId="6AA825D3" w:rsidR="00E33D2B" w:rsidRPr="00E33D2B" w:rsidRDefault="00807B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r>
              <w:rPr>
                <w:rFonts w:cs="Times New Roman"/>
                <w:color w:val="000000"/>
                <w:szCs w:val="24"/>
              </w:rPr>
              <w:t>$3</w:t>
            </w:r>
            <w:r w:rsidR="00630BB1">
              <w:rPr>
                <w:rFonts w:cs="Times New Roman"/>
                <w:color w:val="000000"/>
                <w:szCs w:val="24"/>
              </w:rPr>
              <w:t>57</w:t>
            </w:r>
            <w:r>
              <w:rPr>
                <w:rFonts w:cs="Times New Roman"/>
                <w:color w:val="000000"/>
                <w:szCs w:val="24"/>
              </w:rPr>
              <w:t>.</w:t>
            </w:r>
            <w:r w:rsidR="00630BB1">
              <w:rPr>
                <w:rFonts w:cs="Times New Roman"/>
                <w:color w:val="000000"/>
                <w:szCs w:val="24"/>
              </w:rPr>
              <w:t>90</w:t>
            </w:r>
            <w:r w:rsidR="00630BB1" w:rsidRPr="00E33D2B">
              <w:rPr>
                <w:rFonts w:cs="Times New Roman"/>
                <w:color w:val="000000"/>
                <w:szCs w:val="24"/>
              </w:rPr>
              <w:t xml:space="preserve"> </w:t>
            </w:r>
          </w:p>
        </w:tc>
      </w:tr>
      <w:tr w:rsidR="008A0FCB" w:rsidRPr="00E33D2B" w14:paraId="36A53AE8" w14:textId="77777777" w:rsidTr="008A0FCB">
        <w:trPr>
          <w:trHeight w:val="215"/>
        </w:trPr>
        <w:tc>
          <w:tcPr>
            <w:tcW w:w="2335" w:type="dxa"/>
            <w:tcBorders>
              <w:top w:val="double" w:sz="4" w:space="0" w:color="auto"/>
            </w:tcBorders>
            <w:vAlign w:val="center"/>
          </w:tcPr>
          <w:p w14:paraId="10F0E68A" w14:textId="188580F4" w:rsidR="008A0FCB" w:rsidRPr="00F82F7A" w:rsidRDefault="008A0FC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Times New Roman"/>
                <w:b/>
                <w:szCs w:val="24"/>
              </w:rPr>
            </w:pPr>
            <w:r>
              <w:rPr>
                <w:rFonts w:cs="Times New Roman"/>
                <w:b/>
                <w:szCs w:val="24"/>
              </w:rPr>
              <w:t>Total</w:t>
            </w:r>
          </w:p>
        </w:tc>
        <w:tc>
          <w:tcPr>
            <w:tcW w:w="5406" w:type="dxa"/>
            <w:gridSpan w:val="3"/>
            <w:vAlign w:val="center"/>
          </w:tcPr>
          <w:p w14:paraId="3A282CFF" w14:textId="77777777" w:rsidR="008A0FCB" w:rsidRPr="00E33D2B" w:rsidRDefault="008A0FCB" w:rsidP="00E33D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szCs w:val="24"/>
              </w:rPr>
            </w:pPr>
          </w:p>
        </w:tc>
        <w:tc>
          <w:tcPr>
            <w:tcW w:w="1980" w:type="dxa"/>
            <w:tcBorders>
              <w:top w:val="double" w:sz="4" w:space="0" w:color="auto"/>
            </w:tcBorders>
            <w:vAlign w:val="bottom"/>
          </w:tcPr>
          <w:p w14:paraId="325309A1" w14:textId="671CF00F" w:rsidR="008A0FCB" w:rsidRPr="00E33D2B" w:rsidRDefault="008A0F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Times New Roman"/>
                <w:color w:val="000000"/>
                <w:szCs w:val="24"/>
              </w:rPr>
            </w:pPr>
            <w:r>
              <w:rPr>
                <w:rFonts w:cs="Times New Roman"/>
                <w:color w:val="000000"/>
                <w:szCs w:val="24"/>
              </w:rPr>
              <w:t>$</w:t>
            </w:r>
            <w:r w:rsidR="00630BB1">
              <w:rPr>
                <w:rFonts w:cs="Times New Roman"/>
                <w:color w:val="000000"/>
                <w:szCs w:val="24"/>
              </w:rPr>
              <w:t>13</w:t>
            </w:r>
            <w:r>
              <w:rPr>
                <w:rFonts w:cs="Times New Roman"/>
                <w:color w:val="000000"/>
                <w:szCs w:val="24"/>
              </w:rPr>
              <w:t>,</w:t>
            </w:r>
            <w:r w:rsidR="00630BB1">
              <w:rPr>
                <w:rFonts w:cs="Times New Roman"/>
                <w:color w:val="000000"/>
                <w:szCs w:val="24"/>
              </w:rPr>
              <w:t>290</w:t>
            </w:r>
            <w:r>
              <w:rPr>
                <w:rFonts w:cs="Times New Roman"/>
                <w:color w:val="000000"/>
                <w:szCs w:val="24"/>
              </w:rPr>
              <w:t>.</w:t>
            </w:r>
            <w:r w:rsidR="00630BB1">
              <w:rPr>
                <w:rFonts w:cs="Times New Roman"/>
                <w:color w:val="000000"/>
                <w:szCs w:val="24"/>
              </w:rPr>
              <w:t>02</w:t>
            </w:r>
          </w:p>
        </w:tc>
      </w:tr>
    </w:tbl>
    <w:p w14:paraId="55FE17FE" w14:textId="77777777" w:rsidR="004A13E8" w:rsidRPr="00392934" w:rsidRDefault="004A13E8" w:rsidP="0025156B">
      <w:pPr>
        <w:pStyle w:val="Heading1"/>
        <w:spacing w:before="240"/>
      </w:pPr>
      <w:bookmarkStart w:id="19" w:name="_Toc473880029"/>
      <w:r w:rsidRPr="00392934">
        <w:t>Estimates of Other Total Annual Cost Burden to Respondents or Record Keepers</w:t>
      </w:r>
      <w:bookmarkEnd w:id="19"/>
    </w:p>
    <w:p w14:paraId="55FE1800" w14:textId="51C8690B" w:rsidR="004A13E8" w:rsidRPr="0002508B" w:rsidRDefault="004A13E8" w:rsidP="004A13E8">
      <w:r w:rsidRPr="0002508B">
        <w:t>There are no costs to respondents other than their time to participate.</w:t>
      </w:r>
    </w:p>
    <w:p w14:paraId="55FE1801" w14:textId="77777777" w:rsidR="004A13E8" w:rsidRPr="0002508B" w:rsidRDefault="004A13E8" w:rsidP="004A13E8">
      <w:pPr>
        <w:pStyle w:val="Heading1"/>
      </w:pPr>
      <w:bookmarkStart w:id="20" w:name="_Toc473880030"/>
      <w:r w:rsidRPr="0002508B">
        <w:t>Annualized Cost to the Government</w:t>
      </w:r>
      <w:bookmarkEnd w:id="20"/>
    </w:p>
    <w:p w14:paraId="1C3F1919" w14:textId="00F7F9C7" w:rsidR="00063591" w:rsidRDefault="006A0BEC" w:rsidP="00063591">
      <w:pPr>
        <w:tabs>
          <w:tab w:val="left" w:pos="0"/>
        </w:tabs>
      </w:pPr>
      <w:r>
        <w:t>The project is funded via a Cooperativ</w:t>
      </w:r>
      <w:r w:rsidR="005C7F02">
        <w:t>e Agreement from CDC to WCSU</w:t>
      </w:r>
      <w:r w:rsidR="005F7883">
        <w:t xml:space="preserve"> (</w:t>
      </w:r>
      <w:r w:rsidR="005F7883" w:rsidRPr="002054AE">
        <w:rPr>
          <w:rFonts w:cs="Times New Roman"/>
          <w:szCs w:val="24"/>
        </w:rPr>
        <w:t>Projected cost for full 4-year project</w:t>
      </w:r>
      <w:r w:rsidR="005F7883">
        <w:rPr>
          <w:rFonts w:cs="Times New Roman"/>
          <w:szCs w:val="24"/>
        </w:rPr>
        <w:t xml:space="preserve"> of </w:t>
      </w:r>
      <w:r w:rsidR="005F7883" w:rsidRPr="002054AE">
        <w:rPr>
          <w:rFonts w:cs="Times New Roman"/>
          <w:szCs w:val="24"/>
        </w:rPr>
        <w:t>$1,600,000</w:t>
      </w:r>
      <w:r w:rsidR="005F7883">
        <w:t>)</w:t>
      </w:r>
      <w:r w:rsidR="005C7F02">
        <w:t xml:space="preserve">. </w:t>
      </w:r>
      <w:r w:rsidR="001A5020">
        <w:t xml:space="preserve">Three </w:t>
      </w:r>
      <w:r w:rsidR="005C7F02">
        <w:t>CDC Subject Matter Experts (Dr. Alison Hinckley, Dr. Lars Eisen</w:t>
      </w:r>
      <w:r w:rsidR="00EF3C96">
        <w:t>,</w:t>
      </w:r>
      <w:r w:rsidR="005C7F02">
        <w:t xml:space="preserve"> and Dr. Rebecca Eisen) assist with scientific oversight of the project</w:t>
      </w:r>
      <w:r w:rsidR="004748E7">
        <w:t xml:space="preserve"> and regulatory compliance</w:t>
      </w:r>
      <w:r w:rsidR="005F7883">
        <w:t xml:space="preserve"> (</w:t>
      </w:r>
      <w:r w:rsidR="00172543">
        <w:t>Projected t</w:t>
      </w:r>
      <w:r w:rsidR="005F7883">
        <w:t xml:space="preserve">otal of 400 hours </w:t>
      </w:r>
      <w:r w:rsidR="005F7883" w:rsidRPr="002054AE">
        <w:rPr>
          <w:rFonts w:cs="Times New Roman"/>
          <w:szCs w:val="24"/>
        </w:rPr>
        <w:t>for full 4-year project</w:t>
      </w:r>
      <w:r w:rsidR="005F7883">
        <w:rPr>
          <w:rFonts w:cs="Times New Roman"/>
          <w:szCs w:val="24"/>
        </w:rPr>
        <w:t xml:space="preserve"> for a total cost of </w:t>
      </w:r>
      <w:r w:rsidR="005F7883" w:rsidRPr="00284F29">
        <w:rPr>
          <w:sz w:val="22"/>
        </w:rPr>
        <w:t>$</w:t>
      </w:r>
      <w:r w:rsidR="005F7883">
        <w:rPr>
          <w:sz w:val="22"/>
        </w:rPr>
        <w:t>26,000</w:t>
      </w:r>
      <w:r w:rsidR="005F7883">
        <w:t>)</w:t>
      </w:r>
      <w:r w:rsidR="004748E7">
        <w:t>.</w:t>
      </w:r>
      <w:r w:rsidR="0022747C">
        <w:t xml:space="preserve"> CDC travel</w:t>
      </w:r>
      <w:r w:rsidR="001A2493">
        <w:t xml:space="preserve"> </w:t>
      </w:r>
      <w:r w:rsidR="00894F75">
        <w:t xml:space="preserve">(site visits) also is expected </w:t>
      </w:r>
      <w:r w:rsidR="00E53CD9">
        <w:t xml:space="preserve">at a </w:t>
      </w:r>
      <w:r w:rsidR="001A2493">
        <w:t>total of $7,500 over the full 4-year project period.</w:t>
      </w:r>
    </w:p>
    <w:p w14:paraId="2D2D6951" w14:textId="7DAC0A78" w:rsidR="00EF3C96" w:rsidRPr="00063591" w:rsidRDefault="00EF3C96" w:rsidP="00063591">
      <w:pPr>
        <w:tabs>
          <w:tab w:val="left" w:pos="0"/>
        </w:tabs>
      </w:pPr>
      <w:r>
        <w:t>The annualized cost to the government is estimated to be $408,375.</w:t>
      </w:r>
    </w:p>
    <w:tbl>
      <w:tblPr>
        <w:tblW w:w="8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4957"/>
        <w:gridCol w:w="2160"/>
      </w:tblGrid>
      <w:tr w:rsidR="00F608D1" w:rsidRPr="00284F29" w14:paraId="58BA874F" w14:textId="77777777" w:rsidTr="00F82F7A">
        <w:trPr>
          <w:trHeight w:val="602"/>
        </w:trPr>
        <w:tc>
          <w:tcPr>
            <w:tcW w:w="1793" w:type="dxa"/>
            <w:vMerge w:val="restart"/>
          </w:tcPr>
          <w:p w14:paraId="362BAF4A" w14:textId="77777777" w:rsidR="00F608D1" w:rsidRPr="00C13726" w:rsidRDefault="00F608D1" w:rsidP="00136D39">
            <w:pPr>
              <w:rPr>
                <w:b/>
                <w:szCs w:val="24"/>
              </w:rPr>
            </w:pPr>
            <w:r w:rsidRPr="00C13726">
              <w:rPr>
                <w:b/>
                <w:szCs w:val="24"/>
              </w:rPr>
              <w:t>Federal Government</w:t>
            </w:r>
          </w:p>
          <w:p w14:paraId="44F06839" w14:textId="4C17A42B" w:rsidR="00F608D1" w:rsidRPr="00C13726" w:rsidRDefault="00F608D1" w:rsidP="00136D39">
            <w:pPr>
              <w:rPr>
                <w:b/>
                <w:szCs w:val="24"/>
              </w:rPr>
            </w:pPr>
            <w:r w:rsidRPr="00C13726">
              <w:rPr>
                <w:b/>
                <w:szCs w:val="24"/>
              </w:rPr>
              <w:t>Personnel and Travel Costs</w:t>
            </w:r>
          </w:p>
        </w:tc>
        <w:tc>
          <w:tcPr>
            <w:tcW w:w="4957" w:type="dxa"/>
          </w:tcPr>
          <w:p w14:paraId="55DB3157" w14:textId="03A17DF7" w:rsidR="00F608D1" w:rsidRPr="00C13726" w:rsidRDefault="00F608D1" w:rsidP="00483345">
            <w:pPr>
              <w:rPr>
                <w:szCs w:val="24"/>
              </w:rPr>
            </w:pPr>
            <w:r w:rsidRPr="00C13726">
              <w:rPr>
                <w:szCs w:val="24"/>
              </w:rPr>
              <w:t xml:space="preserve">CDC </w:t>
            </w:r>
            <w:r w:rsidRPr="005B652C">
              <w:rPr>
                <w:szCs w:val="24"/>
              </w:rPr>
              <w:t>Subject Matter Experts</w:t>
            </w:r>
            <w:r w:rsidR="00172543" w:rsidRPr="005B652C">
              <w:rPr>
                <w:szCs w:val="24"/>
              </w:rPr>
              <w:t>: Projected t</w:t>
            </w:r>
            <w:r w:rsidRPr="00C13726">
              <w:rPr>
                <w:szCs w:val="24"/>
              </w:rPr>
              <w:t xml:space="preserve">otal of 400 hours </w:t>
            </w:r>
            <w:r w:rsidRPr="00F22F8D">
              <w:rPr>
                <w:rFonts w:cs="Times New Roman"/>
                <w:szCs w:val="24"/>
              </w:rPr>
              <w:t>for full 4-year project ($6</w:t>
            </w:r>
            <w:r w:rsidR="00483345" w:rsidRPr="00F22F8D">
              <w:rPr>
                <w:rFonts w:cs="Times New Roman"/>
                <w:szCs w:val="24"/>
              </w:rPr>
              <w:t>5</w:t>
            </w:r>
            <w:r w:rsidRPr="00F22F8D">
              <w:rPr>
                <w:rFonts w:cs="Times New Roman"/>
                <w:szCs w:val="24"/>
              </w:rPr>
              <w:t xml:space="preserve"> per hour)</w:t>
            </w:r>
          </w:p>
        </w:tc>
        <w:tc>
          <w:tcPr>
            <w:tcW w:w="2160" w:type="dxa"/>
          </w:tcPr>
          <w:p w14:paraId="18DC5BCD" w14:textId="16A020E9" w:rsidR="00F608D1" w:rsidRPr="00C13726" w:rsidRDefault="00F608D1" w:rsidP="00483345">
            <w:pPr>
              <w:jc w:val="center"/>
              <w:rPr>
                <w:szCs w:val="24"/>
              </w:rPr>
            </w:pPr>
            <w:r w:rsidRPr="00C13726">
              <w:rPr>
                <w:szCs w:val="24"/>
              </w:rPr>
              <w:t>$</w:t>
            </w:r>
            <w:r w:rsidR="00483345" w:rsidRPr="00C13726">
              <w:rPr>
                <w:szCs w:val="24"/>
              </w:rPr>
              <w:t>26,000</w:t>
            </w:r>
          </w:p>
        </w:tc>
      </w:tr>
      <w:tr w:rsidR="006E2E71" w:rsidRPr="00284F29" w14:paraId="73D4C00C" w14:textId="77777777" w:rsidTr="003367C3">
        <w:trPr>
          <w:trHeight w:val="206"/>
        </w:trPr>
        <w:tc>
          <w:tcPr>
            <w:tcW w:w="1793" w:type="dxa"/>
            <w:vMerge/>
          </w:tcPr>
          <w:p w14:paraId="328D538A" w14:textId="77777777" w:rsidR="006E2E71" w:rsidRPr="00C13726" w:rsidRDefault="006E2E71" w:rsidP="006E2E71">
            <w:pPr>
              <w:rPr>
                <w:b/>
                <w:szCs w:val="24"/>
              </w:rPr>
            </w:pPr>
          </w:p>
        </w:tc>
        <w:tc>
          <w:tcPr>
            <w:tcW w:w="4957" w:type="dxa"/>
          </w:tcPr>
          <w:p w14:paraId="72CA9485" w14:textId="62276FDA" w:rsidR="006E2E71" w:rsidRPr="00C13726" w:rsidRDefault="006E2E71" w:rsidP="006E2E71">
            <w:pPr>
              <w:rPr>
                <w:szCs w:val="24"/>
              </w:rPr>
            </w:pPr>
            <w:r w:rsidRPr="00C13726">
              <w:rPr>
                <w:szCs w:val="24"/>
              </w:rPr>
              <w:t>CDC Travel (4 trips)</w:t>
            </w:r>
          </w:p>
        </w:tc>
        <w:tc>
          <w:tcPr>
            <w:tcW w:w="2160" w:type="dxa"/>
          </w:tcPr>
          <w:p w14:paraId="60B0A5C7" w14:textId="0255D4F6" w:rsidR="006E2E71" w:rsidRPr="00C13726" w:rsidRDefault="006E2E71" w:rsidP="006E2E71">
            <w:pPr>
              <w:jc w:val="center"/>
              <w:rPr>
                <w:szCs w:val="24"/>
              </w:rPr>
            </w:pPr>
            <w:r w:rsidRPr="00C13726">
              <w:rPr>
                <w:szCs w:val="24"/>
              </w:rPr>
              <w:t>$7,500</w:t>
            </w:r>
          </w:p>
        </w:tc>
      </w:tr>
      <w:tr w:rsidR="006E2E71" w:rsidRPr="00284F29" w14:paraId="5006DBC1" w14:textId="77777777" w:rsidTr="003367C3">
        <w:trPr>
          <w:trHeight w:val="404"/>
        </w:trPr>
        <w:tc>
          <w:tcPr>
            <w:tcW w:w="6750" w:type="dxa"/>
            <w:gridSpan w:val="2"/>
            <w:vAlign w:val="center"/>
          </w:tcPr>
          <w:p w14:paraId="43D876C2" w14:textId="77777777" w:rsidR="006E2E71" w:rsidRPr="00C13726" w:rsidRDefault="006E2E71" w:rsidP="006E2E71">
            <w:pPr>
              <w:rPr>
                <w:szCs w:val="24"/>
              </w:rPr>
            </w:pPr>
            <w:r w:rsidRPr="00C13726">
              <w:rPr>
                <w:szCs w:val="24"/>
              </w:rPr>
              <w:t>Subtotal, Federal Direct Costs</w:t>
            </w:r>
          </w:p>
        </w:tc>
        <w:tc>
          <w:tcPr>
            <w:tcW w:w="2160" w:type="dxa"/>
            <w:vAlign w:val="center"/>
          </w:tcPr>
          <w:p w14:paraId="6250C79E" w14:textId="5DF6E4BF" w:rsidR="006E2E71" w:rsidRPr="00C13726" w:rsidRDefault="006E2E71" w:rsidP="00483345">
            <w:pPr>
              <w:jc w:val="center"/>
              <w:rPr>
                <w:szCs w:val="24"/>
              </w:rPr>
            </w:pPr>
            <w:r w:rsidRPr="00C13726">
              <w:rPr>
                <w:szCs w:val="24"/>
              </w:rPr>
              <w:t>$</w:t>
            </w:r>
            <w:r w:rsidR="00483345" w:rsidRPr="00C13726">
              <w:rPr>
                <w:szCs w:val="24"/>
              </w:rPr>
              <w:t>33,500</w:t>
            </w:r>
          </w:p>
        </w:tc>
      </w:tr>
      <w:tr w:rsidR="006E2E71" w:rsidRPr="00284F29" w14:paraId="43457478" w14:textId="77777777" w:rsidTr="00F82F7A">
        <w:trPr>
          <w:trHeight w:val="377"/>
        </w:trPr>
        <w:tc>
          <w:tcPr>
            <w:tcW w:w="1793" w:type="dxa"/>
          </w:tcPr>
          <w:p w14:paraId="32294F69" w14:textId="40554579" w:rsidR="006E2E71" w:rsidRPr="00F22F8D" w:rsidRDefault="006E2E71">
            <w:pPr>
              <w:rPr>
                <w:rFonts w:cs="Times New Roman"/>
                <w:b/>
                <w:szCs w:val="24"/>
              </w:rPr>
            </w:pPr>
            <w:r w:rsidRPr="00F22F8D">
              <w:rPr>
                <w:rFonts w:cs="Times New Roman"/>
                <w:b/>
                <w:szCs w:val="24"/>
              </w:rPr>
              <w:t>Cooperative Agreement</w:t>
            </w:r>
          </w:p>
        </w:tc>
        <w:tc>
          <w:tcPr>
            <w:tcW w:w="4957" w:type="dxa"/>
          </w:tcPr>
          <w:p w14:paraId="75D82FE1" w14:textId="00EABC6A" w:rsidR="006E2E71" w:rsidRPr="00F22F8D" w:rsidRDefault="006E2E71" w:rsidP="006E2E71">
            <w:pPr>
              <w:rPr>
                <w:rFonts w:cs="Times New Roman"/>
                <w:szCs w:val="24"/>
              </w:rPr>
            </w:pPr>
            <w:r w:rsidRPr="00F22F8D">
              <w:rPr>
                <w:rFonts w:cs="Times New Roman"/>
                <w:szCs w:val="24"/>
              </w:rPr>
              <w:t>Projected cost for full 4-year project</w:t>
            </w:r>
          </w:p>
        </w:tc>
        <w:tc>
          <w:tcPr>
            <w:tcW w:w="2160" w:type="dxa"/>
          </w:tcPr>
          <w:p w14:paraId="1C675570" w14:textId="2575AFDE" w:rsidR="006E2E71" w:rsidRPr="00F22F8D" w:rsidRDefault="006E2E71" w:rsidP="006E2E71">
            <w:pPr>
              <w:jc w:val="center"/>
              <w:rPr>
                <w:rFonts w:cs="Times New Roman"/>
                <w:szCs w:val="24"/>
              </w:rPr>
            </w:pPr>
            <w:r w:rsidRPr="00F22F8D">
              <w:rPr>
                <w:rFonts w:cs="Times New Roman"/>
                <w:szCs w:val="24"/>
              </w:rPr>
              <w:t>$1,600,000</w:t>
            </w:r>
          </w:p>
        </w:tc>
      </w:tr>
      <w:tr w:rsidR="006E2E71" w:rsidRPr="00284F29" w14:paraId="78A79B12" w14:textId="77777777" w:rsidTr="003367C3">
        <w:trPr>
          <w:trHeight w:val="629"/>
        </w:trPr>
        <w:tc>
          <w:tcPr>
            <w:tcW w:w="1793" w:type="dxa"/>
          </w:tcPr>
          <w:p w14:paraId="5A91F4B6" w14:textId="2EE88F06" w:rsidR="006E2E71" w:rsidRPr="00C13726" w:rsidRDefault="006E2E71" w:rsidP="006E2E71">
            <w:pPr>
              <w:rPr>
                <w:b/>
                <w:szCs w:val="24"/>
              </w:rPr>
            </w:pPr>
            <w:r w:rsidRPr="00C13726">
              <w:rPr>
                <w:b/>
                <w:szCs w:val="24"/>
              </w:rPr>
              <w:t>Total Cost to Government</w:t>
            </w:r>
          </w:p>
        </w:tc>
        <w:tc>
          <w:tcPr>
            <w:tcW w:w="4957" w:type="dxa"/>
          </w:tcPr>
          <w:p w14:paraId="2C65D125" w14:textId="77777777" w:rsidR="006E2E71" w:rsidRPr="00C13726" w:rsidRDefault="006E2E71" w:rsidP="006E2E71">
            <w:pPr>
              <w:rPr>
                <w:szCs w:val="24"/>
              </w:rPr>
            </w:pPr>
          </w:p>
        </w:tc>
        <w:tc>
          <w:tcPr>
            <w:tcW w:w="2160" w:type="dxa"/>
          </w:tcPr>
          <w:p w14:paraId="209B15FF" w14:textId="5C32653C" w:rsidR="006E2E71" w:rsidRPr="00C13726" w:rsidRDefault="00E61F90" w:rsidP="006E2E71">
            <w:pPr>
              <w:jc w:val="center"/>
              <w:rPr>
                <w:szCs w:val="24"/>
              </w:rPr>
            </w:pPr>
            <w:r w:rsidRPr="00F22F8D">
              <w:rPr>
                <w:rFonts w:cs="Times New Roman"/>
                <w:szCs w:val="24"/>
              </w:rPr>
              <w:t>$1,</w:t>
            </w:r>
            <w:r w:rsidRPr="00C13726">
              <w:rPr>
                <w:szCs w:val="24"/>
              </w:rPr>
              <w:t>633,500</w:t>
            </w:r>
          </w:p>
        </w:tc>
      </w:tr>
      <w:tr w:rsidR="00EF3C96" w:rsidRPr="00284F29" w14:paraId="1BAF1C05" w14:textId="77777777" w:rsidTr="003367C3">
        <w:trPr>
          <w:trHeight w:val="629"/>
        </w:trPr>
        <w:tc>
          <w:tcPr>
            <w:tcW w:w="1793" w:type="dxa"/>
          </w:tcPr>
          <w:p w14:paraId="2A0DE378" w14:textId="27D2AF41" w:rsidR="00EF3C96" w:rsidRPr="00C13726" w:rsidRDefault="00EF3C96" w:rsidP="006E2E71">
            <w:pPr>
              <w:rPr>
                <w:b/>
                <w:szCs w:val="24"/>
              </w:rPr>
            </w:pPr>
            <w:r>
              <w:rPr>
                <w:b/>
                <w:szCs w:val="24"/>
              </w:rPr>
              <w:t>Annualized Cost to the Government</w:t>
            </w:r>
          </w:p>
        </w:tc>
        <w:tc>
          <w:tcPr>
            <w:tcW w:w="4957" w:type="dxa"/>
          </w:tcPr>
          <w:p w14:paraId="71DC410B" w14:textId="77777777" w:rsidR="00EF3C96" w:rsidRPr="00C13726" w:rsidRDefault="00EF3C96" w:rsidP="006E2E71">
            <w:pPr>
              <w:rPr>
                <w:szCs w:val="24"/>
              </w:rPr>
            </w:pPr>
          </w:p>
        </w:tc>
        <w:tc>
          <w:tcPr>
            <w:tcW w:w="2160" w:type="dxa"/>
          </w:tcPr>
          <w:p w14:paraId="29B83AA9" w14:textId="589A165F" w:rsidR="00EF3C96" w:rsidRPr="00F22F8D" w:rsidRDefault="00EF3C96" w:rsidP="006E2E71">
            <w:pPr>
              <w:jc w:val="center"/>
              <w:rPr>
                <w:rFonts w:cs="Times New Roman"/>
                <w:szCs w:val="24"/>
              </w:rPr>
            </w:pPr>
            <w:r>
              <w:rPr>
                <w:rFonts w:cs="Times New Roman"/>
                <w:szCs w:val="24"/>
              </w:rPr>
              <w:t>$408,375</w:t>
            </w:r>
          </w:p>
        </w:tc>
      </w:tr>
    </w:tbl>
    <w:p w14:paraId="55FE1810" w14:textId="77777777" w:rsidR="004A13E8" w:rsidRPr="002A313C" w:rsidRDefault="004A13E8" w:rsidP="0025156B">
      <w:pPr>
        <w:pStyle w:val="Heading1"/>
        <w:spacing w:before="240"/>
      </w:pPr>
      <w:bookmarkStart w:id="21" w:name="_Toc473880031"/>
      <w:r w:rsidRPr="002A313C">
        <w:t>Explanation for Program Changes or Adjustments</w:t>
      </w:r>
      <w:bookmarkEnd w:id="21"/>
    </w:p>
    <w:p w14:paraId="55FE1811" w14:textId="7BEA4C4B" w:rsidR="004A13E8" w:rsidRPr="002A313C" w:rsidRDefault="004A13E8" w:rsidP="004A13E8">
      <w:r w:rsidRPr="002A313C">
        <w:t>This is a new information collection</w:t>
      </w:r>
      <w:r w:rsidR="008205B7">
        <w:t xml:space="preserve"> request for an e</w:t>
      </w:r>
      <w:r w:rsidR="008205B7" w:rsidRPr="008205B7">
        <w:t xml:space="preserve">xisting </w:t>
      </w:r>
      <w:r w:rsidR="008205B7">
        <w:t>c</w:t>
      </w:r>
      <w:r w:rsidR="008205B7" w:rsidRPr="008205B7">
        <w:t xml:space="preserve">ollection in </w:t>
      </w:r>
      <w:r w:rsidR="008205B7">
        <w:t>u</w:t>
      </w:r>
      <w:r w:rsidR="008205B7" w:rsidRPr="008205B7">
        <w:t xml:space="preserve">se without an OMB </w:t>
      </w:r>
      <w:r w:rsidR="008205B7">
        <w:t>c</w:t>
      </w:r>
      <w:r w:rsidR="008205B7" w:rsidRPr="008205B7">
        <w:t xml:space="preserve">ontrol </w:t>
      </w:r>
      <w:r w:rsidR="008205B7">
        <w:t>n</w:t>
      </w:r>
      <w:r w:rsidR="008205B7" w:rsidRPr="008205B7">
        <w:t>umber</w:t>
      </w:r>
      <w:r w:rsidRPr="002A313C">
        <w:t>.</w:t>
      </w:r>
    </w:p>
    <w:p w14:paraId="55FE1812" w14:textId="77777777" w:rsidR="004A13E8" w:rsidRPr="008A0DF6" w:rsidRDefault="004A13E8" w:rsidP="004A13E8">
      <w:pPr>
        <w:pStyle w:val="Heading1"/>
      </w:pPr>
      <w:bookmarkStart w:id="22" w:name="_Toc473880032"/>
      <w:r w:rsidRPr="008A0DF6">
        <w:t>Plans for Tabulation and Publication and Project Time Schedule</w:t>
      </w:r>
      <w:bookmarkEnd w:id="22"/>
    </w:p>
    <w:p w14:paraId="55FE1813" w14:textId="57C9D6FD" w:rsidR="008F1415" w:rsidRPr="00B81CE6" w:rsidRDefault="008A0DF6" w:rsidP="008F1415">
      <w:r w:rsidRPr="00B81CE6">
        <w:t xml:space="preserve">The responsibility for data tabulation and </w:t>
      </w:r>
      <w:r w:rsidR="00B15E37" w:rsidRPr="00B81CE6">
        <w:t>publication, as well as the project timeline,</w:t>
      </w:r>
      <w:r w:rsidRPr="00B81CE6">
        <w:t xml:space="preserve"> resides with WCSU. CDC SMEs will participate as appropriate in those activities</w:t>
      </w:r>
      <w:r w:rsidR="00B15E37" w:rsidRPr="00B81CE6">
        <w:t xml:space="preserve"> and monitor project progress.</w:t>
      </w:r>
      <w:r w:rsidR="008A13D9" w:rsidRPr="00B81CE6">
        <w:t xml:space="preserve"> Projected timelines for key activit</w:t>
      </w:r>
      <w:r w:rsidR="00B81CE6" w:rsidRPr="00B81CE6">
        <w:t>i</w:t>
      </w:r>
      <w:r w:rsidR="008A13D9" w:rsidRPr="00B81CE6">
        <w:t xml:space="preserve">es </w:t>
      </w:r>
      <w:r w:rsidR="002575CF">
        <w:t xml:space="preserve">in this multi-year study </w:t>
      </w:r>
      <w:r w:rsidR="008A13D9" w:rsidRPr="00B81CE6">
        <w:t>are outlined below.</w:t>
      </w:r>
    </w:p>
    <w:tbl>
      <w:tblPr>
        <w:tblW w:w="0" w:type="auto"/>
        <w:tblInd w:w="-37" w:type="dxa"/>
        <w:tblBorders>
          <w:top w:val="single" w:sz="15" w:space="0" w:color="000000" w:shadow="1"/>
          <w:left w:val="single" w:sz="15" w:space="0" w:color="000000" w:shadow="1"/>
          <w:bottom w:val="single" w:sz="15" w:space="0" w:color="000000" w:shadow="1"/>
          <w:right w:val="single" w:sz="15" w:space="0" w:color="000000" w:shadow="1"/>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433"/>
        <w:gridCol w:w="3397"/>
      </w:tblGrid>
      <w:tr w:rsidR="00B15E37" w:rsidRPr="00AB7836" w14:paraId="5DD5CF1D" w14:textId="77777777" w:rsidTr="00B34E7F">
        <w:trPr>
          <w:tblHeader/>
        </w:trPr>
        <w:tc>
          <w:tcPr>
            <w:tcW w:w="7830" w:type="dxa"/>
            <w:gridSpan w:val="2"/>
            <w:tcBorders>
              <w:top w:val="single" w:sz="15" w:space="0" w:color="000000" w:shadow="1"/>
              <w:left w:val="single" w:sz="15" w:space="0" w:color="000000" w:shadow="1"/>
              <w:bottom w:val="single" w:sz="7" w:space="0" w:color="000000"/>
              <w:right w:val="single" w:sz="15" w:space="0" w:color="000000" w:shadow="1"/>
            </w:tcBorders>
          </w:tcPr>
          <w:p w14:paraId="202F9E3A" w14:textId="5F4186A5" w:rsidR="00B15E37" w:rsidRPr="00AB7836" w:rsidRDefault="00B15E37" w:rsidP="00136D3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Project Time Schedule</w:t>
            </w:r>
          </w:p>
        </w:tc>
      </w:tr>
      <w:tr w:rsidR="00B15E37" w:rsidRPr="00AB7836" w14:paraId="111CEDA3" w14:textId="77777777" w:rsidTr="00B34E7F">
        <w:tc>
          <w:tcPr>
            <w:tcW w:w="4433" w:type="dxa"/>
            <w:tcBorders>
              <w:top w:val="single" w:sz="7" w:space="0" w:color="000000"/>
              <w:left w:val="single" w:sz="15" w:space="0" w:color="000000" w:shadow="1"/>
              <w:bottom w:val="single" w:sz="7" w:space="0" w:color="000000"/>
              <w:right w:val="single" w:sz="7" w:space="0" w:color="000000"/>
            </w:tcBorders>
          </w:tcPr>
          <w:p w14:paraId="7A752C1F" w14:textId="77777777" w:rsidR="00B15E37" w:rsidRPr="00AB7836" w:rsidRDefault="00B15E37" w:rsidP="00136D3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rPr>
            </w:pPr>
            <w:r w:rsidRPr="00AB7836">
              <w:rPr>
                <w:b/>
                <w:bCs/>
              </w:rPr>
              <w:t>Activity</w:t>
            </w:r>
          </w:p>
        </w:tc>
        <w:tc>
          <w:tcPr>
            <w:tcW w:w="3397" w:type="dxa"/>
            <w:tcBorders>
              <w:top w:val="single" w:sz="7" w:space="0" w:color="000000"/>
              <w:left w:val="single" w:sz="7" w:space="0" w:color="000000"/>
              <w:bottom w:val="single" w:sz="7" w:space="0" w:color="000000"/>
              <w:right w:val="single" w:sz="15" w:space="0" w:color="000000" w:shadow="1"/>
            </w:tcBorders>
          </w:tcPr>
          <w:p w14:paraId="0C361053" w14:textId="5C3F5E32" w:rsidR="00B15E37" w:rsidRPr="00AB7836" w:rsidRDefault="00B15E37" w:rsidP="00136D3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rPr>
                <w:b/>
                <w:bCs/>
              </w:rPr>
              <w:t xml:space="preserve"> Time Schedule</w:t>
            </w:r>
          </w:p>
        </w:tc>
      </w:tr>
      <w:tr w:rsidR="00B15E37" w:rsidRPr="00AB7836" w14:paraId="508CD48A" w14:textId="77777777" w:rsidTr="00B34E7F">
        <w:tc>
          <w:tcPr>
            <w:tcW w:w="4433" w:type="dxa"/>
            <w:tcBorders>
              <w:top w:val="single" w:sz="7" w:space="0" w:color="000000"/>
              <w:left w:val="single" w:sz="15" w:space="0" w:color="000000" w:shadow="1"/>
              <w:bottom w:val="single" w:sz="7" w:space="0" w:color="000000"/>
              <w:right w:val="single" w:sz="7" w:space="0" w:color="000000"/>
            </w:tcBorders>
          </w:tcPr>
          <w:p w14:paraId="198B9C09" w14:textId="68DDF847" w:rsidR="00B15E37" w:rsidRPr="00AB7836" w:rsidRDefault="00B15E37" w:rsidP="00B81CE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Recruitment</w:t>
            </w:r>
            <w:r w:rsidR="00B81CE6">
              <w:t xml:space="preserve"> of study participants</w:t>
            </w:r>
          </w:p>
        </w:tc>
        <w:tc>
          <w:tcPr>
            <w:tcW w:w="3397" w:type="dxa"/>
            <w:tcBorders>
              <w:top w:val="single" w:sz="7" w:space="0" w:color="000000"/>
              <w:left w:val="single" w:sz="7" w:space="0" w:color="000000"/>
              <w:bottom w:val="single" w:sz="7" w:space="0" w:color="000000"/>
              <w:right w:val="single" w:sz="15" w:space="0" w:color="000000" w:shadow="1"/>
            </w:tcBorders>
          </w:tcPr>
          <w:p w14:paraId="0959AEA0" w14:textId="7977A1D7" w:rsidR="00B15E37" w:rsidRPr="00AB7836" w:rsidRDefault="00B81CE6" w:rsidP="00136D3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Year 1</w:t>
            </w:r>
          </w:p>
        </w:tc>
      </w:tr>
      <w:tr w:rsidR="00B15E37" w:rsidRPr="00AB7836" w14:paraId="149CB083" w14:textId="77777777" w:rsidTr="00B34E7F">
        <w:tc>
          <w:tcPr>
            <w:tcW w:w="4433" w:type="dxa"/>
            <w:tcBorders>
              <w:top w:val="single" w:sz="7" w:space="0" w:color="000000"/>
              <w:left w:val="single" w:sz="15" w:space="0" w:color="000000" w:shadow="1"/>
              <w:bottom w:val="single" w:sz="7" w:space="0" w:color="000000"/>
              <w:right w:val="single" w:sz="7" w:space="0" w:color="000000"/>
            </w:tcBorders>
          </w:tcPr>
          <w:p w14:paraId="776C997E" w14:textId="77777777" w:rsidR="00B15E37" w:rsidRPr="00AB7836" w:rsidRDefault="00B15E37" w:rsidP="00136D3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Intervention implemented</w:t>
            </w:r>
          </w:p>
        </w:tc>
        <w:tc>
          <w:tcPr>
            <w:tcW w:w="3397" w:type="dxa"/>
            <w:tcBorders>
              <w:top w:val="single" w:sz="7" w:space="0" w:color="000000"/>
              <w:left w:val="single" w:sz="7" w:space="0" w:color="000000"/>
              <w:bottom w:val="single" w:sz="7" w:space="0" w:color="000000"/>
              <w:right w:val="single" w:sz="15" w:space="0" w:color="000000" w:shadow="1"/>
            </w:tcBorders>
          </w:tcPr>
          <w:p w14:paraId="47975B77" w14:textId="51C4E125" w:rsidR="00B15E37" w:rsidRPr="00AB7836" w:rsidRDefault="00207C62" w:rsidP="00207C6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Years 1-3</w:t>
            </w:r>
          </w:p>
        </w:tc>
      </w:tr>
      <w:tr w:rsidR="00B15E37" w:rsidRPr="00AB7836" w14:paraId="1FFEB57A" w14:textId="77777777" w:rsidTr="00B34E7F">
        <w:tc>
          <w:tcPr>
            <w:tcW w:w="4433" w:type="dxa"/>
            <w:tcBorders>
              <w:top w:val="single" w:sz="7" w:space="0" w:color="000000"/>
              <w:left w:val="single" w:sz="15" w:space="0" w:color="000000" w:shadow="1"/>
              <w:bottom w:val="single" w:sz="7" w:space="0" w:color="000000"/>
              <w:right w:val="single" w:sz="7" w:space="0" w:color="000000"/>
            </w:tcBorders>
          </w:tcPr>
          <w:p w14:paraId="6EDE34CB" w14:textId="72110354" w:rsidR="00B15E37" w:rsidRPr="00AB7836" w:rsidRDefault="00611553" w:rsidP="00136D3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Study</w:t>
            </w:r>
            <w:r w:rsidR="00B15E37">
              <w:t xml:space="preserve"> surveys administered</w:t>
            </w:r>
          </w:p>
        </w:tc>
        <w:tc>
          <w:tcPr>
            <w:tcW w:w="3397" w:type="dxa"/>
            <w:tcBorders>
              <w:top w:val="single" w:sz="7" w:space="0" w:color="000000"/>
              <w:left w:val="single" w:sz="7" w:space="0" w:color="000000"/>
              <w:bottom w:val="single" w:sz="7" w:space="0" w:color="000000"/>
              <w:right w:val="single" w:sz="15" w:space="0" w:color="000000" w:shadow="1"/>
            </w:tcBorders>
          </w:tcPr>
          <w:p w14:paraId="504C73AE" w14:textId="3186DBCC" w:rsidR="00B15E37" w:rsidRPr="00AB7836" w:rsidRDefault="00611553" w:rsidP="00136D3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Years 1-4</w:t>
            </w:r>
          </w:p>
        </w:tc>
      </w:tr>
      <w:tr w:rsidR="00B15E37" w:rsidRPr="00AB7836" w14:paraId="632BEDA7" w14:textId="77777777" w:rsidTr="00B34E7F">
        <w:tc>
          <w:tcPr>
            <w:tcW w:w="4433" w:type="dxa"/>
            <w:tcBorders>
              <w:top w:val="single" w:sz="7" w:space="0" w:color="000000"/>
              <w:left w:val="single" w:sz="15" w:space="0" w:color="000000" w:shadow="1"/>
              <w:bottom w:val="single" w:sz="7" w:space="0" w:color="000000"/>
              <w:right w:val="single" w:sz="7" w:space="0" w:color="000000"/>
            </w:tcBorders>
          </w:tcPr>
          <w:p w14:paraId="4111AAE2" w14:textId="77777777" w:rsidR="00B15E37" w:rsidRPr="00AB7836" w:rsidRDefault="00B15E37" w:rsidP="00136D3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Data cleaning and validation</w:t>
            </w:r>
          </w:p>
        </w:tc>
        <w:tc>
          <w:tcPr>
            <w:tcW w:w="3397" w:type="dxa"/>
            <w:tcBorders>
              <w:top w:val="single" w:sz="7" w:space="0" w:color="000000"/>
              <w:left w:val="single" w:sz="7" w:space="0" w:color="000000"/>
              <w:bottom w:val="single" w:sz="7" w:space="0" w:color="000000"/>
              <w:right w:val="single" w:sz="15" w:space="0" w:color="000000" w:shadow="1"/>
            </w:tcBorders>
          </w:tcPr>
          <w:p w14:paraId="604F7442" w14:textId="4B4975F7" w:rsidR="00B15E37" w:rsidRPr="00AB7836" w:rsidRDefault="00B34E7F" w:rsidP="00136D3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Years 1-4</w:t>
            </w:r>
          </w:p>
        </w:tc>
      </w:tr>
      <w:tr w:rsidR="00B15E37" w:rsidRPr="00AB7836" w14:paraId="22FCCAB7" w14:textId="77777777" w:rsidTr="00B34E7F">
        <w:tc>
          <w:tcPr>
            <w:tcW w:w="4433" w:type="dxa"/>
            <w:tcBorders>
              <w:top w:val="single" w:sz="7" w:space="0" w:color="000000"/>
              <w:left w:val="single" w:sz="15" w:space="0" w:color="000000" w:shadow="1"/>
              <w:bottom w:val="single" w:sz="7" w:space="0" w:color="000000"/>
              <w:right w:val="single" w:sz="7" w:space="0" w:color="000000"/>
            </w:tcBorders>
          </w:tcPr>
          <w:p w14:paraId="386481B2" w14:textId="19E895E2" w:rsidR="00B15E37" w:rsidRPr="00AB7836" w:rsidRDefault="00B34E7F" w:rsidP="00136D3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Data a</w:t>
            </w:r>
            <w:r w:rsidR="00B15E37" w:rsidRPr="00AB7836">
              <w:t>nalyses</w:t>
            </w:r>
            <w:r w:rsidR="003325FD">
              <w:t xml:space="preserve"> and Publication</w:t>
            </w:r>
          </w:p>
        </w:tc>
        <w:tc>
          <w:tcPr>
            <w:tcW w:w="3397" w:type="dxa"/>
            <w:tcBorders>
              <w:top w:val="single" w:sz="7" w:space="0" w:color="000000"/>
              <w:left w:val="single" w:sz="7" w:space="0" w:color="000000"/>
              <w:bottom w:val="single" w:sz="7" w:space="0" w:color="000000"/>
              <w:right w:val="single" w:sz="15" w:space="0" w:color="000000" w:shadow="1"/>
            </w:tcBorders>
          </w:tcPr>
          <w:p w14:paraId="10E7ADA2" w14:textId="25B13397" w:rsidR="00B15E37" w:rsidRPr="00AB7836" w:rsidRDefault="00B34E7F" w:rsidP="00B34E7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Years 3-4</w:t>
            </w:r>
          </w:p>
        </w:tc>
      </w:tr>
    </w:tbl>
    <w:p w14:paraId="55FE1826" w14:textId="77777777" w:rsidR="004A13E8" w:rsidRPr="0026371D" w:rsidRDefault="004A13E8" w:rsidP="0025156B">
      <w:pPr>
        <w:pStyle w:val="Heading1"/>
        <w:spacing w:before="240"/>
      </w:pPr>
      <w:bookmarkStart w:id="23" w:name="_Toc473880033"/>
      <w:r w:rsidRPr="0026371D">
        <w:t>Reason(s) Display of OMB Expiration Date is Inappropriate</w:t>
      </w:r>
      <w:bookmarkEnd w:id="23"/>
    </w:p>
    <w:p w14:paraId="55FE1827" w14:textId="161F1CDE" w:rsidR="004A13E8" w:rsidRPr="008B448F" w:rsidRDefault="00CA70D0" w:rsidP="004A13E8">
      <w:pPr>
        <w:rPr>
          <w:color w:val="000000" w:themeColor="text1"/>
        </w:rPr>
      </w:pPr>
      <w:r w:rsidRPr="008B448F">
        <w:rPr>
          <w:color w:val="000000" w:themeColor="text1"/>
        </w:rPr>
        <w:t>Because this project is being designed and carried out by WCSU, instruments were finalized and IRB-approved before the burden statement was included</w:t>
      </w:r>
      <w:r w:rsidR="008B448F" w:rsidRPr="008B448F">
        <w:rPr>
          <w:color w:val="000000" w:themeColor="text1"/>
        </w:rPr>
        <w:t>. Adding the burden statement and OMB control number after-the-fact would require an IRB amendment and unnecessarily delay the study.</w:t>
      </w:r>
    </w:p>
    <w:p w14:paraId="55FE1828" w14:textId="77777777" w:rsidR="004A13E8" w:rsidRPr="0026371D" w:rsidRDefault="004A13E8" w:rsidP="004A13E8">
      <w:pPr>
        <w:pStyle w:val="Heading1"/>
      </w:pPr>
      <w:bookmarkStart w:id="24" w:name="_Toc473880034"/>
      <w:r w:rsidRPr="0026371D">
        <w:t>Exceptions to Certification for Paperwork Reduction Act Submissions</w:t>
      </w:r>
      <w:bookmarkEnd w:id="24"/>
    </w:p>
    <w:p w14:paraId="55FE1829" w14:textId="77777777" w:rsidR="004A13E8" w:rsidRPr="0026371D" w:rsidRDefault="004A13E8" w:rsidP="004A13E8">
      <w:r w:rsidRPr="0026371D">
        <w:t>There are no exceptions to the certification.</w:t>
      </w:r>
    </w:p>
    <w:p w14:paraId="55FE182A" w14:textId="77777777" w:rsidR="004A13E8" w:rsidRPr="0026371D" w:rsidRDefault="004A13E8" w:rsidP="004A13E8">
      <w:pPr>
        <w:pStyle w:val="Heading1"/>
        <w:numPr>
          <w:ilvl w:val="0"/>
          <w:numId w:val="0"/>
        </w:numPr>
      </w:pPr>
      <w:bookmarkStart w:id="25" w:name="_Toc473880035"/>
      <w:r w:rsidRPr="0026371D">
        <w:t>Attachments</w:t>
      </w:r>
      <w:bookmarkEnd w:id="25"/>
    </w:p>
    <w:p w14:paraId="55FE182B" w14:textId="77777777" w:rsidR="004A13E8" w:rsidRPr="0026371D" w:rsidRDefault="00AD2F36" w:rsidP="00DC7BDF">
      <w:pPr>
        <w:pStyle w:val="ListParagraph"/>
        <w:numPr>
          <w:ilvl w:val="0"/>
          <w:numId w:val="7"/>
        </w:numPr>
      </w:pPr>
      <w:r w:rsidRPr="0026371D">
        <w:t>Authorizing Legislation</w:t>
      </w:r>
    </w:p>
    <w:p w14:paraId="55FE182C" w14:textId="77777777" w:rsidR="00AD2F36" w:rsidRDefault="00AD2F36" w:rsidP="00DC7BDF">
      <w:pPr>
        <w:pStyle w:val="ListParagraph"/>
        <w:numPr>
          <w:ilvl w:val="0"/>
          <w:numId w:val="7"/>
        </w:numPr>
      </w:pPr>
      <w:r>
        <w:t>60-Day FRN</w:t>
      </w:r>
    </w:p>
    <w:p w14:paraId="35A5CD7F" w14:textId="1CAF3E18" w:rsidR="009C2962" w:rsidRDefault="009C2962" w:rsidP="00E635C3">
      <w:pPr>
        <w:pStyle w:val="ListParagraph"/>
        <w:numPr>
          <w:ilvl w:val="0"/>
          <w:numId w:val="10"/>
        </w:numPr>
      </w:pPr>
      <w:r>
        <w:t>Public comment</w:t>
      </w:r>
    </w:p>
    <w:p w14:paraId="35EB12C7" w14:textId="5DB62CDF" w:rsidR="00E635C3" w:rsidRDefault="00E635C3" w:rsidP="00E635C3">
      <w:pPr>
        <w:pStyle w:val="ListParagraph"/>
        <w:numPr>
          <w:ilvl w:val="0"/>
          <w:numId w:val="10"/>
        </w:numPr>
      </w:pPr>
      <w:r>
        <w:t>Public comment</w:t>
      </w:r>
    </w:p>
    <w:p w14:paraId="30E44280" w14:textId="779AEE08" w:rsidR="00E635C3" w:rsidRDefault="00E635C3" w:rsidP="00E635C3">
      <w:pPr>
        <w:pStyle w:val="ListParagraph"/>
        <w:numPr>
          <w:ilvl w:val="0"/>
          <w:numId w:val="10"/>
        </w:numPr>
      </w:pPr>
      <w:r>
        <w:t>Public comment</w:t>
      </w:r>
    </w:p>
    <w:p w14:paraId="55FE182D" w14:textId="140A340F" w:rsidR="00AD2F36" w:rsidRDefault="00302EFA" w:rsidP="00DC7BDF">
      <w:pPr>
        <w:pStyle w:val="ListParagraph"/>
        <w:numPr>
          <w:ilvl w:val="0"/>
          <w:numId w:val="7"/>
        </w:numPr>
      </w:pPr>
      <w:r>
        <w:t>Eligibility survey</w:t>
      </w:r>
    </w:p>
    <w:p w14:paraId="7B43D7A9" w14:textId="717518C1" w:rsidR="00302EFA" w:rsidRDefault="00302EFA" w:rsidP="00DC7BDF">
      <w:pPr>
        <w:pStyle w:val="ListParagraph"/>
        <w:numPr>
          <w:ilvl w:val="0"/>
          <w:numId w:val="7"/>
        </w:numPr>
      </w:pPr>
      <w:r>
        <w:t>Consent form</w:t>
      </w:r>
    </w:p>
    <w:p w14:paraId="31B90AFF" w14:textId="0BE2233F" w:rsidR="00302EFA" w:rsidRDefault="00DA06A6" w:rsidP="00DC7BDF">
      <w:pPr>
        <w:pStyle w:val="ListParagraph"/>
        <w:numPr>
          <w:ilvl w:val="0"/>
          <w:numId w:val="7"/>
        </w:numPr>
      </w:pPr>
      <w:r>
        <w:t>Introductory survey</w:t>
      </w:r>
    </w:p>
    <w:p w14:paraId="2EB2DA11" w14:textId="6BBA0BC9" w:rsidR="00DA06A6" w:rsidRDefault="00DA06A6" w:rsidP="00DC7BDF">
      <w:pPr>
        <w:pStyle w:val="ListParagraph"/>
        <w:numPr>
          <w:ilvl w:val="0"/>
          <w:numId w:val="7"/>
        </w:numPr>
      </w:pPr>
      <w:r>
        <w:t>Monthly survey</w:t>
      </w:r>
    </w:p>
    <w:p w14:paraId="1ED5C0DE" w14:textId="770BAD7F" w:rsidR="00DA06A6" w:rsidRDefault="00DA06A6" w:rsidP="00DC7BDF">
      <w:pPr>
        <w:pStyle w:val="ListParagraph"/>
        <w:numPr>
          <w:ilvl w:val="0"/>
          <w:numId w:val="7"/>
        </w:numPr>
      </w:pPr>
      <w:r>
        <w:t>Daily survey</w:t>
      </w:r>
    </w:p>
    <w:p w14:paraId="11BDB370" w14:textId="394A7963" w:rsidR="00DA06A6" w:rsidRDefault="00DA06A6" w:rsidP="00DC7BDF">
      <w:pPr>
        <w:pStyle w:val="ListParagraph"/>
        <w:numPr>
          <w:ilvl w:val="0"/>
          <w:numId w:val="7"/>
        </w:numPr>
      </w:pPr>
      <w:r>
        <w:t>Annual survey</w:t>
      </w:r>
    </w:p>
    <w:p w14:paraId="73814D46" w14:textId="73D79C4E" w:rsidR="00DA06A6" w:rsidRDefault="00DA06A6" w:rsidP="00DC7BDF">
      <w:pPr>
        <w:pStyle w:val="ListParagraph"/>
        <w:numPr>
          <w:ilvl w:val="0"/>
          <w:numId w:val="7"/>
        </w:numPr>
      </w:pPr>
      <w:r>
        <w:t>Final survey</w:t>
      </w:r>
    </w:p>
    <w:p w14:paraId="242C9B48" w14:textId="1B0418BC" w:rsidR="00DA06A6" w:rsidRDefault="00DA06A6" w:rsidP="00DC7BDF">
      <w:pPr>
        <w:pStyle w:val="ListParagraph"/>
        <w:numPr>
          <w:ilvl w:val="0"/>
          <w:numId w:val="7"/>
        </w:numPr>
      </w:pPr>
      <w:r>
        <w:t>CDC IRB</w:t>
      </w:r>
    </w:p>
    <w:p w14:paraId="051E043C" w14:textId="71663288" w:rsidR="00DA06A6" w:rsidRDefault="00DA06A6" w:rsidP="00DC7BDF">
      <w:pPr>
        <w:pStyle w:val="ListParagraph"/>
        <w:numPr>
          <w:ilvl w:val="0"/>
          <w:numId w:val="7"/>
        </w:numPr>
      </w:pPr>
      <w:r>
        <w:t>WCSU IRB</w:t>
      </w:r>
    </w:p>
    <w:p w14:paraId="63058A7E" w14:textId="3EED09F5" w:rsidR="00302EFA" w:rsidRDefault="00DA06A6" w:rsidP="00DC7BDF">
      <w:pPr>
        <w:pStyle w:val="ListParagraph"/>
        <w:numPr>
          <w:ilvl w:val="0"/>
          <w:numId w:val="7"/>
        </w:numPr>
      </w:pPr>
      <w:r>
        <w:t>URI IRB</w:t>
      </w:r>
    </w:p>
    <w:p w14:paraId="7A5BAABE" w14:textId="6CC16126" w:rsidR="005A4FA1" w:rsidRDefault="005A4FA1" w:rsidP="00DC7BDF">
      <w:pPr>
        <w:pStyle w:val="ListParagraph"/>
        <w:numPr>
          <w:ilvl w:val="0"/>
          <w:numId w:val="7"/>
        </w:numPr>
      </w:pPr>
      <w:r>
        <w:t>Recruitment postcard</w:t>
      </w:r>
    </w:p>
    <w:p w14:paraId="5870718F" w14:textId="5DB200F2" w:rsidR="005A4FA1" w:rsidRDefault="005A4FA1" w:rsidP="00DC7BDF">
      <w:pPr>
        <w:pStyle w:val="ListParagraph"/>
        <w:numPr>
          <w:ilvl w:val="0"/>
          <w:numId w:val="7"/>
        </w:numPr>
      </w:pPr>
      <w:r>
        <w:t>Recruitment door hanger for RI</w:t>
      </w:r>
    </w:p>
    <w:p w14:paraId="55790763" w14:textId="22EB1D0B" w:rsidR="005A4FA1" w:rsidRPr="004A13E8" w:rsidRDefault="005A4FA1" w:rsidP="00DC7BDF">
      <w:pPr>
        <w:pStyle w:val="ListParagraph"/>
        <w:numPr>
          <w:ilvl w:val="0"/>
          <w:numId w:val="7"/>
        </w:numPr>
      </w:pPr>
      <w:r>
        <w:t>Recruitment door hanger for CT</w:t>
      </w:r>
    </w:p>
    <w:sectPr w:rsidR="005A4FA1" w:rsidRPr="004A13E8" w:rsidSect="006C6578">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50C50" w14:textId="77777777" w:rsidR="00DF16A5" w:rsidRDefault="00DF16A5" w:rsidP="008B5D54">
      <w:pPr>
        <w:spacing w:after="0" w:line="240" w:lineRule="auto"/>
      </w:pPr>
      <w:r>
        <w:separator/>
      </w:r>
    </w:p>
  </w:endnote>
  <w:endnote w:type="continuationSeparator" w:id="0">
    <w:p w14:paraId="7EF29267" w14:textId="77777777" w:rsidR="00DF16A5" w:rsidRDefault="00DF16A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55FE1835" w14:textId="38B6CF56" w:rsidR="00136D39" w:rsidRDefault="00136D39">
        <w:pPr>
          <w:pStyle w:val="Footer"/>
          <w:jc w:val="center"/>
        </w:pPr>
        <w:r>
          <w:fldChar w:fldCharType="begin"/>
        </w:r>
        <w:r>
          <w:instrText xml:space="preserve"> PAGE   \* MERGEFORMAT </w:instrText>
        </w:r>
        <w:r>
          <w:fldChar w:fldCharType="separate"/>
        </w:r>
        <w:r w:rsidR="00816042">
          <w:rPr>
            <w:noProof/>
          </w:rPr>
          <w:t>1</w:t>
        </w:r>
        <w:r>
          <w:rPr>
            <w:noProof/>
          </w:rPr>
          <w:fldChar w:fldCharType="end"/>
        </w:r>
      </w:p>
    </w:sdtContent>
  </w:sdt>
  <w:p w14:paraId="55FE1836" w14:textId="77777777" w:rsidR="00136D39" w:rsidRDefault="00136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73080" w14:textId="77777777" w:rsidR="00DF16A5" w:rsidRDefault="00DF16A5" w:rsidP="008B5D54">
      <w:pPr>
        <w:spacing w:after="0" w:line="240" w:lineRule="auto"/>
      </w:pPr>
      <w:r>
        <w:separator/>
      </w:r>
    </w:p>
  </w:footnote>
  <w:footnote w:type="continuationSeparator" w:id="0">
    <w:p w14:paraId="74A29177" w14:textId="77777777" w:rsidR="00DF16A5" w:rsidRDefault="00DF16A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12BF"/>
    <w:multiLevelType w:val="hybridMultilevel"/>
    <w:tmpl w:val="D53034AC"/>
    <w:lvl w:ilvl="0" w:tplc="FB6AC3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D0790"/>
    <w:multiLevelType w:val="hybridMultilevel"/>
    <w:tmpl w:val="6C30FB5A"/>
    <w:lvl w:ilvl="0" w:tplc="0728F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F003F5"/>
    <w:multiLevelType w:val="hybridMultilevel"/>
    <w:tmpl w:val="C03653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FB45610"/>
    <w:multiLevelType w:val="hybridMultilevel"/>
    <w:tmpl w:val="B624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75BF6"/>
    <w:multiLevelType w:val="hybridMultilevel"/>
    <w:tmpl w:val="807EE6BC"/>
    <w:lvl w:ilvl="0" w:tplc="62A00B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1510B6"/>
    <w:multiLevelType w:val="hybridMultilevel"/>
    <w:tmpl w:val="0442A5EC"/>
    <w:lvl w:ilvl="0" w:tplc="04090015">
      <w:start w:val="1"/>
      <w:numFmt w:val="upperLetter"/>
      <w:lvlText w:val="%1."/>
      <w:lvlJc w:val="left"/>
      <w:pPr>
        <w:ind w:left="720" w:hanging="360"/>
      </w:pPr>
    </w:lvl>
    <w:lvl w:ilvl="1" w:tplc="FB6AC3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7A0D45"/>
    <w:multiLevelType w:val="hybridMultilevel"/>
    <w:tmpl w:val="9D4CF604"/>
    <w:lvl w:ilvl="0" w:tplc="38AED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4"/>
  </w:num>
  <w:num w:numId="5">
    <w:abstractNumId w:val="2"/>
  </w:num>
  <w:num w:numId="6">
    <w:abstractNumId w:val="3"/>
  </w:num>
  <w:num w:numId="7">
    <w:abstractNumId w:val="7"/>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42EA"/>
    <w:rsid w:val="0000590B"/>
    <w:rsid w:val="00007399"/>
    <w:rsid w:val="00012A87"/>
    <w:rsid w:val="00015C1E"/>
    <w:rsid w:val="000211E0"/>
    <w:rsid w:val="000220D3"/>
    <w:rsid w:val="000234BB"/>
    <w:rsid w:val="000237DC"/>
    <w:rsid w:val="0002508B"/>
    <w:rsid w:val="00027237"/>
    <w:rsid w:val="00032EF9"/>
    <w:rsid w:val="00044390"/>
    <w:rsid w:val="00054E01"/>
    <w:rsid w:val="00056065"/>
    <w:rsid w:val="0005699B"/>
    <w:rsid w:val="000617B1"/>
    <w:rsid w:val="00061D5E"/>
    <w:rsid w:val="00063591"/>
    <w:rsid w:val="00070DDE"/>
    <w:rsid w:val="00073B37"/>
    <w:rsid w:val="00074E10"/>
    <w:rsid w:val="00077A77"/>
    <w:rsid w:val="00085636"/>
    <w:rsid w:val="000866E6"/>
    <w:rsid w:val="0009293B"/>
    <w:rsid w:val="00094CA3"/>
    <w:rsid w:val="000A3472"/>
    <w:rsid w:val="000A566D"/>
    <w:rsid w:val="000B04AF"/>
    <w:rsid w:val="000B1620"/>
    <w:rsid w:val="000B2ACC"/>
    <w:rsid w:val="000B30E5"/>
    <w:rsid w:val="000B34C7"/>
    <w:rsid w:val="000B454E"/>
    <w:rsid w:val="000C1760"/>
    <w:rsid w:val="000C270E"/>
    <w:rsid w:val="000C66D1"/>
    <w:rsid w:val="000D228B"/>
    <w:rsid w:val="000D4097"/>
    <w:rsid w:val="000D5BED"/>
    <w:rsid w:val="000D643A"/>
    <w:rsid w:val="000E10F7"/>
    <w:rsid w:val="000E5BF9"/>
    <w:rsid w:val="000E6448"/>
    <w:rsid w:val="000F24C8"/>
    <w:rsid w:val="000F376D"/>
    <w:rsid w:val="000F6C56"/>
    <w:rsid w:val="001000E0"/>
    <w:rsid w:val="001032B8"/>
    <w:rsid w:val="0010488C"/>
    <w:rsid w:val="0010492A"/>
    <w:rsid w:val="001063C3"/>
    <w:rsid w:val="00112E2E"/>
    <w:rsid w:val="00124128"/>
    <w:rsid w:val="0012454B"/>
    <w:rsid w:val="00131292"/>
    <w:rsid w:val="00133DF6"/>
    <w:rsid w:val="001350BE"/>
    <w:rsid w:val="00136D39"/>
    <w:rsid w:val="00142F22"/>
    <w:rsid w:val="001447DF"/>
    <w:rsid w:val="001453B8"/>
    <w:rsid w:val="001523DF"/>
    <w:rsid w:val="00155683"/>
    <w:rsid w:val="00155CC6"/>
    <w:rsid w:val="00160D54"/>
    <w:rsid w:val="001613E6"/>
    <w:rsid w:val="00165287"/>
    <w:rsid w:val="00167410"/>
    <w:rsid w:val="00172543"/>
    <w:rsid w:val="00173B2C"/>
    <w:rsid w:val="0017776B"/>
    <w:rsid w:val="0018045D"/>
    <w:rsid w:val="00180C82"/>
    <w:rsid w:val="00181538"/>
    <w:rsid w:val="00181DB5"/>
    <w:rsid w:val="00184645"/>
    <w:rsid w:val="00185BC7"/>
    <w:rsid w:val="00191472"/>
    <w:rsid w:val="001945B0"/>
    <w:rsid w:val="00195560"/>
    <w:rsid w:val="001A2493"/>
    <w:rsid w:val="001A5020"/>
    <w:rsid w:val="001A58BE"/>
    <w:rsid w:val="001B350F"/>
    <w:rsid w:val="001B6C1E"/>
    <w:rsid w:val="001C159F"/>
    <w:rsid w:val="001C737E"/>
    <w:rsid w:val="001D0009"/>
    <w:rsid w:val="001D53BF"/>
    <w:rsid w:val="001D798C"/>
    <w:rsid w:val="001E0F02"/>
    <w:rsid w:val="001E21F4"/>
    <w:rsid w:val="001E5416"/>
    <w:rsid w:val="001F7769"/>
    <w:rsid w:val="0020244C"/>
    <w:rsid w:val="002054AE"/>
    <w:rsid w:val="00207C62"/>
    <w:rsid w:val="002112F4"/>
    <w:rsid w:val="002113AE"/>
    <w:rsid w:val="00212130"/>
    <w:rsid w:val="002221EA"/>
    <w:rsid w:val="00222BE0"/>
    <w:rsid w:val="00222CA2"/>
    <w:rsid w:val="00224C02"/>
    <w:rsid w:val="002266F7"/>
    <w:rsid w:val="0022747C"/>
    <w:rsid w:val="0023111F"/>
    <w:rsid w:val="00232D70"/>
    <w:rsid w:val="00233B2E"/>
    <w:rsid w:val="0023460F"/>
    <w:rsid w:val="00237BB7"/>
    <w:rsid w:val="002407E0"/>
    <w:rsid w:val="00240B90"/>
    <w:rsid w:val="002428DE"/>
    <w:rsid w:val="002441B9"/>
    <w:rsid w:val="00247056"/>
    <w:rsid w:val="0025156B"/>
    <w:rsid w:val="002528F0"/>
    <w:rsid w:val="00252E6F"/>
    <w:rsid w:val="00256C9C"/>
    <w:rsid w:val="002575CF"/>
    <w:rsid w:val="00257DA3"/>
    <w:rsid w:val="002604CE"/>
    <w:rsid w:val="002617D7"/>
    <w:rsid w:val="0026371D"/>
    <w:rsid w:val="00264616"/>
    <w:rsid w:val="00266D2D"/>
    <w:rsid w:val="00267E95"/>
    <w:rsid w:val="00275C9F"/>
    <w:rsid w:val="0027631B"/>
    <w:rsid w:val="002770CC"/>
    <w:rsid w:val="00282CF0"/>
    <w:rsid w:val="002864AB"/>
    <w:rsid w:val="00287115"/>
    <w:rsid w:val="002873C5"/>
    <w:rsid w:val="00291D69"/>
    <w:rsid w:val="00292ED0"/>
    <w:rsid w:val="00294799"/>
    <w:rsid w:val="00294A82"/>
    <w:rsid w:val="00296C82"/>
    <w:rsid w:val="002A15BE"/>
    <w:rsid w:val="002A207E"/>
    <w:rsid w:val="002A313C"/>
    <w:rsid w:val="002A43A4"/>
    <w:rsid w:val="002A608B"/>
    <w:rsid w:val="002B373D"/>
    <w:rsid w:val="002B39D0"/>
    <w:rsid w:val="002C5004"/>
    <w:rsid w:val="002C58AE"/>
    <w:rsid w:val="002C6363"/>
    <w:rsid w:val="002D5457"/>
    <w:rsid w:val="002D7D87"/>
    <w:rsid w:val="002E2A04"/>
    <w:rsid w:val="002E2DD4"/>
    <w:rsid w:val="002E4913"/>
    <w:rsid w:val="002E4A4D"/>
    <w:rsid w:val="002E51A2"/>
    <w:rsid w:val="002E7913"/>
    <w:rsid w:val="002F08A7"/>
    <w:rsid w:val="002F1B39"/>
    <w:rsid w:val="002F1CFB"/>
    <w:rsid w:val="002F64CE"/>
    <w:rsid w:val="002F67F1"/>
    <w:rsid w:val="002F6A1B"/>
    <w:rsid w:val="00301BB4"/>
    <w:rsid w:val="00302EFA"/>
    <w:rsid w:val="00304BBB"/>
    <w:rsid w:val="00310937"/>
    <w:rsid w:val="00311AF1"/>
    <w:rsid w:val="00315D31"/>
    <w:rsid w:val="00320EAF"/>
    <w:rsid w:val="00330575"/>
    <w:rsid w:val="003325FD"/>
    <w:rsid w:val="0033352D"/>
    <w:rsid w:val="00334A5A"/>
    <w:rsid w:val="003367C3"/>
    <w:rsid w:val="00337331"/>
    <w:rsid w:val="003419B3"/>
    <w:rsid w:val="00345BD3"/>
    <w:rsid w:val="003603D4"/>
    <w:rsid w:val="00361D38"/>
    <w:rsid w:val="00361E27"/>
    <w:rsid w:val="00363222"/>
    <w:rsid w:val="00365C95"/>
    <w:rsid w:val="00371CE7"/>
    <w:rsid w:val="00373D2D"/>
    <w:rsid w:val="00381418"/>
    <w:rsid w:val="0038144A"/>
    <w:rsid w:val="003869EF"/>
    <w:rsid w:val="00390FDF"/>
    <w:rsid w:val="00392934"/>
    <w:rsid w:val="00394EB2"/>
    <w:rsid w:val="003968A0"/>
    <w:rsid w:val="00397B50"/>
    <w:rsid w:val="003A0C67"/>
    <w:rsid w:val="003A2859"/>
    <w:rsid w:val="003A66DA"/>
    <w:rsid w:val="003A70A9"/>
    <w:rsid w:val="003A7489"/>
    <w:rsid w:val="003B025D"/>
    <w:rsid w:val="003B09F1"/>
    <w:rsid w:val="003B1E52"/>
    <w:rsid w:val="003B25D2"/>
    <w:rsid w:val="003B2FB4"/>
    <w:rsid w:val="003B593A"/>
    <w:rsid w:val="003B6411"/>
    <w:rsid w:val="003C1671"/>
    <w:rsid w:val="003C2A6E"/>
    <w:rsid w:val="003D444E"/>
    <w:rsid w:val="003D632B"/>
    <w:rsid w:val="003E251D"/>
    <w:rsid w:val="003F60CF"/>
    <w:rsid w:val="004058E4"/>
    <w:rsid w:val="00411B1E"/>
    <w:rsid w:val="00415FC2"/>
    <w:rsid w:val="0041795D"/>
    <w:rsid w:val="00426BC3"/>
    <w:rsid w:val="00430CB6"/>
    <w:rsid w:val="0043440D"/>
    <w:rsid w:val="00434B6C"/>
    <w:rsid w:val="00436D08"/>
    <w:rsid w:val="0044072F"/>
    <w:rsid w:val="004442CB"/>
    <w:rsid w:val="00444EF4"/>
    <w:rsid w:val="00445494"/>
    <w:rsid w:val="00446027"/>
    <w:rsid w:val="00446A7C"/>
    <w:rsid w:val="00460D71"/>
    <w:rsid w:val="00464608"/>
    <w:rsid w:val="00466D19"/>
    <w:rsid w:val="00470EC1"/>
    <w:rsid w:val="00473E22"/>
    <w:rsid w:val="00473F38"/>
    <w:rsid w:val="004748E7"/>
    <w:rsid w:val="00476957"/>
    <w:rsid w:val="00476D49"/>
    <w:rsid w:val="004803E4"/>
    <w:rsid w:val="004807D1"/>
    <w:rsid w:val="004828BF"/>
    <w:rsid w:val="00483345"/>
    <w:rsid w:val="004841D1"/>
    <w:rsid w:val="004848B7"/>
    <w:rsid w:val="004864CA"/>
    <w:rsid w:val="004955C6"/>
    <w:rsid w:val="004A0034"/>
    <w:rsid w:val="004A055E"/>
    <w:rsid w:val="004A13E8"/>
    <w:rsid w:val="004A1B26"/>
    <w:rsid w:val="004A3C4A"/>
    <w:rsid w:val="004A3F73"/>
    <w:rsid w:val="004A6DE9"/>
    <w:rsid w:val="004A756E"/>
    <w:rsid w:val="004B06C4"/>
    <w:rsid w:val="004B69EC"/>
    <w:rsid w:val="004C24FD"/>
    <w:rsid w:val="004C447D"/>
    <w:rsid w:val="004C4A0E"/>
    <w:rsid w:val="004C6094"/>
    <w:rsid w:val="004C6283"/>
    <w:rsid w:val="004D0BAB"/>
    <w:rsid w:val="004D0CD2"/>
    <w:rsid w:val="004D2D89"/>
    <w:rsid w:val="004D3ABC"/>
    <w:rsid w:val="004D5FAF"/>
    <w:rsid w:val="004D60F6"/>
    <w:rsid w:val="004D74DE"/>
    <w:rsid w:val="004D7958"/>
    <w:rsid w:val="004E1C98"/>
    <w:rsid w:val="004E439D"/>
    <w:rsid w:val="004F5544"/>
    <w:rsid w:val="004F56D1"/>
    <w:rsid w:val="00500340"/>
    <w:rsid w:val="005016AA"/>
    <w:rsid w:val="00504848"/>
    <w:rsid w:val="005052B6"/>
    <w:rsid w:val="00506753"/>
    <w:rsid w:val="005078BC"/>
    <w:rsid w:val="00507A52"/>
    <w:rsid w:val="00515818"/>
    <w:rsid w:val="005158E9"/>
    <w:rsid w:val="00516204"/>
    <w:rsid w:val="005201A1"/>
    <w:rsid w:val="00520507"/>
    <w:rsid w:val="005230EE"/>
    <w:rsid w:val="005232DC"/>
    <w:rsid w:val="005239BE"/>
    <w:rsid w:val="005258FE"/>
    <w:rsid w:val="00525DB7"/>
    <w:rsid w:val="005271D3"/>
    <w:rsid w:val="00533753"/>
    <w:rsid w:val="00536C23"/>
    <w:rsid w:val="00537686"/>
    <w:rsid w:val="0054083A"/>
    <w:rsid w:val="00545048"/>
    <w:rsid w:val="0054526F"/>
    <w:rsid w:val="0054603D"/>
    <w:rsid w:val="00557F1E"/>
    <w:rsid w:val="005608A3"/>
    <w:rsid w:val="00560C89"/>
    <w:rsid w:val="00561FE4"/>
    <w:rsid w:val="00573A2E"/>
    <w:rsid w:val="0057622C"/>
    <w:rsid w:val="00576F6C"/>
    <w:rsid w:val="005776D9"/>
    <w:rsid w:val="00580728"/>
    <w:rsid w:val="005874FD"/>
    <w:rsid w:val="00591113"/>
    <w:rsid w:val="00595E85"/>
    <w:rsid w:val="005A0004"/>
    <w:rsid w:val="005A1E65"/>
    <w:rsid w:val="005A4FA1"/>
    <w:rsid w:val="005B0838"/>
    <w:rsid w:val="005B3825"/>
    <w:rsid w:val="005B52C1"/>
    <w:rsid w:val="005B652C"/>
    <w:rsid w:val="005C0995"/>
    <w:rsid w:val="005C1203"/>
    <w:rsid w:val="005C1921"/>
    <w:rsid w:val="005C7F02"/>
    <w:rsid w:val="005D19AA"/>
    <w:rsid w:val="005D47FD"/>
    <w:rsid w:val="005D4CBD"/>
    <w:rsid w:val="005D7155"/>
    <w:rsid w:val="005E069B"/>
    <w:rsid w:val="005E5DD0"/>
    <w:rsid w:val="005F02D9"/>
    <w:rsid w:val="005F09EF"/>
    <w:rsid w:val="005F7360"/>
    <w:rsid w:val="005F7883"/>
    <w:rsid w:val="0060303A"/>
    <w:rsid w:val="00605838"/>
    <w:rsid w:val="00606607"/>
    <w:rsid w:val="006074E6"/>
    <w:rsid w:val="0060764F"/>
    <w:rsid w:val="00610AB9"/>
    <w:rsid w:val="00610B56"/>
    <w:rsid w:val="00611553"/>
    <w:rsid w:val="00616AA9"/>
    <w:rsid w:val="00617317"/>
    <w:rsid w:val="00621944"/>
    <w:rsid w:val="0062383A"/>
    <w:rsid w:val="00630BB1"/>
    <w:rsid w:val="00630F68"/>
    <w:rsid w:val="00635721"/>
    <w:rsid w:val="00641621"/>
    <w:rsid w:val="006432B0"/>
    <w:rsid w:val="00646915"/>
    <w:rsid w:val="00646DF9"/>
    <w:rsid w:val="006526CF"/>
    <w:rsid w:val="00654874"/>
    <w:rsid w:val="00654D35"/>
    <w:rsid w:val="00656C04"/>
    <w:rsid w:val="00657EAA"/>
    <w:rsid w:val="0066227C"/>
    <w:rsid w:val="00663634"/>
    <w:rsid w:val="00665808"/>
    <w:rsid w:val="00667B1E"/>
    <w:rsid w:val="00670244"/>
    <w:rsid w:val="00671FCE"/>
    <w:rsid w:val="00674E27"/>
    <w:rsid w:val="00680268"/>
    <w:rsid w:val="006816A2"/>
    <w:rsid w:val="006816D6"/>
    <w:rsid w:val="0068516D"/>
    <w:rsid w:val="00685681"/>
    <w:rsid w:val="006869E7"/>
    <w:rsid w:val="006901FF"/>
    <w:rsid w:val="00695449"/>
    <w:rsid w:val="006A0BEC"/>
    <w:rsid w:val="006A107C"/>
    <w:rsid w:val="006A328B"/>
    <w:rsid w:val="006A4007"/>
    <w:rsid w:val="006A4298"/>
    <w:rsid w:val="006A6214"/>
    <w:rsid w:val="006B0567"/>
    <w:rsid w:val="006C0DA2"/>
    <w:rsid w:val="006C3606"/>
    <w:rsid w:val="006C3FE8"/>
    <w:rsid w:val="006C57C8"/>
    <w:rsid w:val="006C6578"/>
    <w:rsid w:val="006C6A15"/>
    <w:rsid w:val="006C7547"/>
    <w:rsid w:val="006D0C97"/>
    <w:rsid w:val="006D0FB6"/>
    <w:rsid w:val="006E2E71"/>
    <w:rsid w:val="006E401C"/>
    <w:rsid w:val="006F2576"/>
    <w:rsid w:val="006F412C"/>
    <w:rsid w:val="006F4642"/>
    <w:rsid w:val="006F5EEC"/>
    <w:rsid w:val="006F6CB3"/>
    <w:rsid w:val="006F7512"/>
    <w:rsid w:val="00700972"/>
    <w:rsid w:val="00701681"/>
    <w:rsid w:val="0070536E"/>
    <w:rsid w:val="00713860"/>
    <w:rsid w:val="00713C81"/>
    <w:rsid w:val="00715B3F"/>
    <w:rsid w:val="00717ED5"/>
    <w:rsid w:val="00720C5E"/>
    <w:rsid w:val="00723E6A"/>
    <w:rsid w:val="00725376"/>
    <w:rsid w:val="007308C3"/>
    <w:rsid w:val="00737913"/>
    <w:rsid w:val="00742125"/>
    <w:rsid w:val="0074467A"/>
    <w:rsid w:val="007459CC"/>
    <w:rsid w:val="00746E89"/>
    <w:rsid w:val="007554FC"/>
    <w:rsid w:val="00756CB4"/>
    <w:rsid w:val="00763CE7"/>
    <w:rsid w:val="00766B83"/>
    <w:rsid w:val="00771CD8"/>
    <w:rsid w:val="007802C2"/>
    <w:rsid w:val="00780DC1"/>
    <w:rsid w:val="00782192"/>
    <w:rsid w:val="00792F57"/>
    <w:rsid w:val="007A0E0F"/>
    <w:rsid w:val="007A1534"/>
    <w:rsid w:val="007A3465"/>
    <w:rsid w:val="007A42DD"/>
    <w:rsid w:val="007B059F"/>
    <w:rsid w:val="007B20D3"/>
    <w:rsid w:val="007B5F9F"/>
    <w:rsid w:val="007B6E96"/>
    <w:rsid w:val="007C151A"/>
    <w:rsid w:val="007C4F1F"/>
    <w:rsid w:val="007C7421"/>
    <w:rsid w:val="007C7B75"/>
    <w:rsid w:val="007D2798"/>
    <w:rsid w:val="007D4BAD"/>
    <w:rsid w:val="007D58CE"/>
    <w:rsid w:val="007D5982"/>
    <w:rsid w:val="007E0A03"/>
    <w:rsid w:val="007E2668"/>
    <w:rsid w:val="007E2678"/>
    <w:rsid w:val="007F074A"/>
    <w:rsid w:val="007F0A95"/>
    <w:rsid w:val="007F1538"/>
    <w:rsid w:val="007F46E9"/>
    <w:rsid w:val="007F5BEA"/>
    <w:rsid w:val="00802DCC"/>
    <w:rsid w:val="0080741F"/>
    <w:rsid w:val="00807BDB"/>
    <w:rsid w:val="0081536B"/>
    <w:rsid w:val="00816042"/>
    <w:rsid w:val="0081786E"/>
    <w:rsid w:val="008205B7"/>
    <w:rsid w:val="00820AA5"/>
    <w:rsid w:val="00821376"/>
    <w:rsid w:val="008213BE"/>
    <w:rsid w:val="00825A17"/>
    <w:rsid w:val="00827F0C"/>
    <w:rsid w:val="00834A0A"/>
    <w:rsid w:val="008409DB"/>
    <w:rsid w:val="00841C45"/>
    <w:rsid w:val="00850B02"/>
    <w:rsid w:val="00851683"/>
    <w:rsid w:val="00860D6D"/>
    <w:rsid w:val="00867190"/>
    <w:rsid w:val="0087578E"/>
    <w:rsid w:val="00877726"/>
    <w:rsid w:val="00884537"/>
    <w:rsid w:val="008879A6"/>
    <w:rsid w:val="00894F75"/>
    <w:rsid w:val="00895B2D"/>
    <w:rsid w:val="008A0DF6"/>
    <w:rsid w:val="008A0FCB"/>
    <w:rsid w:val="008A13D9"/>
    <w:rsid w:val="008A29E7"/>
    <w:rsid w:val="008A553A"/>
    <w:rsid w:val="008A6691"/>
    <w:rsid w:val="008B3C8E"/>
    <w:rsid w:val="008B4247"/>
    <w:rsid w:val="008B448F"/>
    <w:rsid w:val="008B5D54"/>
    <w:rsid w:val="008C2743"/>
    <w:rsid w:val="008C2A1E"/>
    <w:rsid w:val="008C2FAB"/>
    <w:rsid w:val="008C3E01"/>
    <w:rsid w:val="008C53E6"/>
    <w:rsid w:val="008D5AEA"/>
    <w:rsid w:val="008D67A2"/>
    <w:rsid w:val="008D6DA2"/>
    <w:rsid w:val="008E3B7A"/>
    <w:rsid w:val="008F1415"/>
    <w:rsid w:val="008F46FC"/>
    <w:rsid w:val="008F7F20"/>
    <w:rsid w:val="009032D9"/>
    <w:rsid w:val="00903354"/>
    <w:rsid w:val="00911627"/>
    <w:rsid w:val="00912B82"/>
    <w:rsid w:val="009139F3"/>
    <w:rsid w:val="00921242"/>
    <w:rsid w:val="00924042"/>
    <w:rsid w:val="00934726"/>
    <w:rsid w:val="00937D6B"/>
    <w:rsid w:val="00950942"/>
    <w:rsid w:val="009549A1"/>
    <w:rsid w:val="0095700B"/>
    <w:rsid w:val="0096158C"/>
    <w:rsid w:val="00963E7C"/>
    <w:rsid w:val="00963FA4"/>
    <w:rsid w:val="0096439E"/>
    <w:rsid w:val="009726B1"/>
    <w:rsid w:val="00973EB1"/>
    <w:rsid w:val="00976757"/>
    <w:rsid w:val="00977307"/>
    <w:rsid w:val="00982298"/>
    <w:rsid w:val="00983D3F"/>
    <w:rsid w:val="00984ED3"/>
    <w:rsid w:val="00984FE5"/>
    <w:rsid w:val="0098528F"/>
    <w:rsid w:val="00986D22"/>
    <w:rsid w:val="00992D87"/>
    <w:rsid w:val="009969DD"/>
    <w:rsid w:val="0099740E"/>
    <w:rsid w:val="00997D0E"/>
    <w:rsid w:val="009A05D5"/>
    <w:rsid w:val="009A264B"/>
    <w:rsid w:val="009A393A"/>
    <w:rsid w:val="009A79E1"/>
    <w:rsid w:val="009B0947"/>
    <w:rsid w:val="009B39DF"/>
    <w:rsid w:val="009C26E8"/>
    <w:rsid w:val="009C2962"/>
    <w:rsid w:val="009D0FD2"/>
    <w:rsid w:val="009D6571"/>
    <w:rsid w:val="009D68D3"/>
    <w:rsid w:val="009E420F"/>
    <w:rsid w:val="009E4B8C"/>
    <w:rsid w:val="009E5A47"/>
    <w:rsid w:val="009E7258"/>
    <w:rsid w:val="009F2896"/>
    <w:rsid w:val="009F2DE4"/>
    <w:rsid w:val="009F7903"/>
    <w:rsid w:val="00A02D6E"/>
    <w:rsid w:val="00A03ED4"/>
    <w:rsid w:val="00A04C21"/>
    <w:rsid w:val="00A12441"/>
    <w:rsid w:val="00A12818"/>
    <w:rsid w:val="00A12D97"/>
    <w:rsid w:val="00A15E88"/>
    <w:rsid w:val="00A21003"/>
    <w:rsid w:val="00A229A4"/>
    <w:rsid w:val="00A23871"/>
    <w:rsid w:val="00A307C0"/>
    <w:rsid w:val="00A42390"/>
    <w:rsid w:val="00A44340"/>
    <w:rsid w:val="00A4629A"/>
    <w:rsid w:val="00A466BD"/>
    <w:rsid w:val="00A50C3E"/>
    <w:rsid w:val="00A5408B"/>
    <w:rsid w:val="00A5762B"/>
    <w:rsid w:val="00A57835"/>
    <w:rsid w:val="00A57FB4"/>
    <w:rsid w:val="00A605A8"/>
    <w:rsid w:val="00A645F7"/>
    <w:rsid w:val="00A67086"/>
    <w:rsid w:val="00A738BD"/>
    <w:rsid w:val="00A748CB"/>
    <w:rsid w:val="00A74D12"/>
    <w:rsid w:val="00A77C9C"/>
    <w:rsid w:val="00A812CD"/>
    <w:rsid w:val="00A84429"/>
    <w:rsid w:val="00A85640"/>
    <w:rsid w:val="00A87FAB"/>
    <w:rsid w:val="00A90313"/>
    <w:rsid w:val="00A9149F"/>
    <w:rsid w:val="00A95066"/>
    <w:rsid w:val="00A9615A"/>
    <w:rsid w:val="00AA08E4"/>
    <w:rsid w:val="00AA1E2C"/>
    <w:rsid w:val="00AA3121"/>
    <w:rsid w:val="00AA32F5"/>
    <w:rsid w:val="00AA48B2"/>
    <w:rsid w:val="00AA6FB7"/>
    <w:rsid w:val="00AA7A45"/>
    <w:rsid w:val="00AB5813"/>
    <w:rsid w:val="00AB7E10"/>
    <w:rsid w:val="00AC0107"/>
    <w:rsid w:val="00AC1B4F"/>
    <w:rsid w:val="00AC3909"/>
    <w:rsid w:val="00AD04AF"/>
    <w:rsid w:val="00AD2F36"/>
    <w:rsid w:val="00AD4F34"/>
    <w:rsid w:val="00AD651D"/>
    <w:rsid w:val="00AE5536"/>
    <w:rsid w:val="00AF13FC"/>
    <w:rsid w:val="00AF217B"/>
    <w:rsid w:val="00AF31F9"/>
    <w:rsid w:val="00AF40B9"/>
    <w:rsid w:val="00AF70B3"/>
    <w:rsid w:val="00B003B6"/>
    <w:rsid w:val="00B00978"/>
    <w:rsid w:val="00B0378C"/>
    <w:rsid w:val="00B04D7B"/>
    <w:rsid w:val="00B13FD5"/>
    <w:rsid w:val="00B142DE"/>
    <w:rsid w:val="00B15E37"/>
    <w:rsid w:val="00B17696"/>
    <w:rsid w:val="00B207C4"/>
    <w:rsid w:val="00B24883"/>
    <w:rsid w:val="00B26657"/>
    <w:rsid w:val="00B26B46"/>
    <w:rsid w:val="00B322C0"/>
    <w:rsid w:val="00B34E7F"/>
    <w:rsid w:val="00B36804"/>
    <w:rsid w:val="00B44226"/>
    <w:rsid w:val="00B45347"/>
    <w:rsid w:val="00B53521"/>
    <w:rsid w:val="00B545A8"/>
    <w:rsid w:val="00B55735"/>
    <w:rsid w:val="00B57551"/>
    <w:rsid w:val="00B608AC"/>
    <w:rsid w:val="00B6283C"/>
    <w:rsid w:val="00B63F59"/>
    <w:rsid w:val="00B64BAD"/>
    <w:rsid w:val="00B673B8"/>
    <w:rsid w:val="00B708C3"/>
    <w:rsid w:val="00B80919"/>
    <w:rsid w:val="00B80F2E"/>
    <w:rsid w:val="00B81769"/>
    <w:rsid w:val="00B81CE6"/>
    <w:rsid w:val="00B90054"/>
    <w:rsid w:val="00B91400"/>
    <w:rsid w:val="00B929EF"/>
    <w:rsid w:val="00B92CB3"/>
    <w:rsid w:val="00B955BC"/>
    <w:rsid w:val="00BA6FD7"/>
    <w:rsid w:val="00BB1CC7"/>
    <w:rsid w:val="00BB2D83"/>
    <w:rsid w:val="00BB67D7"/>
    <w:rsid w:val="00BC06FE"/>
    <w:rsid w:val="00BC2D51"/>
    <w:rsid w:val="00BC31DB"/>
    <w:rsid w:val="00BC7BBC"/>
    <w:rsid w:val="00BD0B00"/>
    <w:rsid w:val="00BD40B8"/>
    <w:rsid w:val="00BE02E5"/>
    <w:rsid w:val="00BE171D"/>
    <w:rsid w:val="00BE29DD"/>
    <w:rsid w:val="00BE6499"/>
    <w:rsid w:val="00BE6BFC"/>
    <w:rsid w:val="00BE78E7"/>
    <w:rsid w:val="00BF26E7"/>
    <w:rsid w:val="00BF361D"/>
    <w:rsid w:val="00BF5588"/>
    <w:rsid w:val="00BF6B66"/>
    <w:rsid w:val="00BF6D53"/>
    <w:rsid w:val="00C02D0B"/>
    <w:rsid w:val="00C055C6"/>
    <w:rsid w:val="00C10091"/>
    <w:rsid w:val="00C11085"/>
    <w:rsid w:val="00C13726"/>
    <w:rsid w:val="00C15B31"/>
    <w:rsid w:val="00C17F32"/>
    <w:rsid w:val="00C21440"/>
    <w:rsid w:val="00C25ABA"/>
    <w:rsid w:val="00C278B1"/>
    <w:rsid w:val="00C30A98"/>
    <w:rsid w:val="00C32380"/>
    <w:rsid w:val="00C3745D"/>
    <w:rsid w:val="00C37605"/>
    <w:rsid w:val="00C37F78"/>
    <w:rsid w:val="00C450E6"/>
    <w:rsid w:val="00C4623D"/>
    <w:rsid w:val="00C463E5"/>
    <w:rsid w:val="00C532A8"/>
    <w:rsid w:val="00C553B7"/>
    <w:rsid w:val="00C60167"/>
    <w:rsid w:val="00C606E7"/>
    <w:rsid w:val="00C631B3"/>
    <w:rsid w:val="00C63413"/>
    <w:rsid w:val="00C64E10"/>
    <w:rsid w:val="00C65298"/>
    <w:rsid w:val="00C670D0"/>
    <w:rsid w:val="00C74F20"/>
    <w:rsid w:val="00C77A6F"/>
    <w:rsid w:val="00C82486"/>
    <w:rsid w:val="00C83A8E"/>
    <w:rsid w:val="00C8497B"/>
    <w:rsid w:val="00C849FF"/>
    <w:rsid w:val="00C90B13"/>
    <w:rsid w:val="00C930E6"/>
    <w:rsid w:val="00C94217"/>
    <w:rsid w:val="00CA32DA"/>
    <w:rsid w:val="00CA4D1D"/>
    <w:rsid w:val="00CA70D0"/>
    <w:rsid w:val="00CB21BB"/>
    <w:rsid w:val="00CB506F"/>
    <w:rsid w:val="00CB6923"/>
    <w:rsid w:val="00CB6FF3"/>
    <w:rsid w:val="00CC29CF"/>
    <w:rsid w:val="00CC585E"/>
    <w:rsid w:val="00CC7E2E"/>
    <w:rsid w:val="00CD2107"/>
    <w:rsid w:val="00CD43EE"/>
    <w:rsid w:val="00CD562B"/>
    <w:rsid w:val="00CE04C0"/>
    <w:rsid w:val="00CE144F"/>
    <w:rsid w:val="00CF009D"/>
    <w:rsid w:val="00CF0797"/>
    <w:rsid w:val="00CF4412"/>
    <w:rsid w:val="00CF45D4"/>
    <w:rsid w:val="00D022CE"/>
    <w:rsid w:val="00D03E58"/>
    <w:rsid w:val="00D04A52"/>
    <w:rsid w:val="00D060B7"/>
    <w:rsid w:val="00D10F4E"/>
    <w:rsid w:val="00D13EA1"/>
    <w:rsid w:val="00D14274"/>
    <w:rsid w:val="00D1485D"/>
    <w:rsid w:val="00D21285"/>
    <w:rsid w:val="00D25F92"/>
    <w:rsid w:val="00D26C46"/>
    <w:rsid w:val="00D32FF2"/>
    <w:rsid w:val="00D343F0"/>
    <w:rsid w:val="00D4238C"/>
    <w:rsid w:val="00D42969"/>
    <w:rsid w:val="00D42C2E"/>
    <w:rsid w:val="00D462E3"/>
    <w:rsid w:val="00D476B9"/>
    <w:rsid w:val="00D47801"/>
    <w:rsid w:val="00D52EF1"/>
    <w:rsid w:val="00D56C51"/>
    <w:rsid w:val="00D57839"/>
    <w:rsid w:val="00D627CB"/>
    <w:rsid w:val="00D73ED6"/>
    <w:rsid w:val="00D741AC"/>
    <w:rsid w:val="00D74265"/>
    <w:rsid w:val="00D75CD4"/>
    <w:rsid w:val="00D85003"/>
    <w:rsid w:val="00D92037"/>
    <w:rsid w:val="00D94DDA"/>
    <w:rsid w:val="00D952DF"/>
    <w:rsid w:val="00D96F02"/>
    <w:rsid w:val="00D96F98"/>
    <w:rsid w:val="00DA06A6"/>
    <w:rsid w:val="00DA3E73"/>
    <w:rsid w:val="00DB0A70"/>
    <w:rsid w:val="00DB45C6"/>
    <w:rsid w:val="00DB6890"/>
    <w:rsid w:val="00DB7F11"/>
    <w:rsid w:val="00DC57CC"/>
    <w:rsid w:val="00DC5CCF"/>
    <w:rsid w:val="00DC65B2"/>
    <w:rsid w:val="00DC74EE"/>
    <w:rsid w:val="00DC7BDF"/>
    <w:rsid w:val="00DD305B"/>
    <w:rsid w:val="00DF16A5"/>
    <w:rsid w:val="00DF28F9"/>
    <w:rsid w:val="00DF5B2D"/>
    <w:rsid w:val="00DF724A"/>
    <w:rsid w:val="00DF7877"/>
    <w:rsid w:val="00E005CC"/>
    <w:rsid w:val="00E0292C"/>
    <w:rsid w:val="00E042CC"/>
    <w:rsid w:val="00E0434B"/>
    <w:rsid w:val="00E16111"/>
    <w:rsid w:val="00E165FD"/>
    <w:rsid w:val="00E2286E"/>
    <w:rsid w:val="00E250B5"/>
    <w:rsid w:val="00E33B74"/>
    <w:rsid w:val="00E33D2B"/>
    <w:rsid w:val="00E34C78"/>
    <w:rsid w:val="00E36608"/>
    <w:rsid w:val="00E37E41"/>
    <w:rsid w:val="00E40FB8"/>
    <w:rsid w:val="00E423FF"/>
    <w:rsid w:val="00E474F5"/>
    <w:rsid w:val="00E51CAC"/>
    <w:rsid w:val="00E5266F"/>
    <w:rsid w:val="00E53CD9"/>
    <w:rsid w:val="00E55F19"/>
    <w:rsid w:val="00E5766A"/>
    <w:rsid w:val="00E61F90"/>
    <w:rsid w:val="00E623BA"/>
    <w:rsid w:val="00E62E66"/>
    <w:rsid w:val="00E635C3"/>
    <w:rsid w:val="00E63CE9"/>
    <w:rsid w:val="00E64AD3"/>
    <w:rsid w:val="00E67F53"/>
    <w:rsid w:val="00E80D2C"/>
    <w:rsid w:val="00E822FC"/>
    <w:rsid w:val="00E8248E"/>
    <w:rsid w:val="00E83BE7"/>
    <w:rsid w:val="00E87F44"/>
    <w:rsid w:val="00E9181D"/>
    <w:rsid w:val="00E9360E"/>
    <w:rsid w:val="00EA0ABC"/>
    <w:rsid w:val="00EB2339"/>
    <w:rsid w:val="00EB4CFC"/>
    <w:rsid w:val="00EC05BC"/>
    <w:rsid w:val="00EC309D"/>
    <w:rsid w:val="00EC4087"/>
    <w:rsid w:val="00EC4B26"/>
    <w:rsid w:val="00EC6976"/>
    <w:rsid w:val="00EC6A2A"/>
    <w:rsid w:val="00ED4105"/>
    <w:rsid w:val="00ED5B21"/>
    <w:rsid w:val="00EE0D5D"/>
    <w:rsid w:val="00EF1885"/>
    <w:rsid w:val="00EF1AB3"/>
    <w:rsid w:val="00EF3C96"/>
    <w:rsid w:val="00EF4455"/>
    <w:rsid w:val="00EF65DB"/>
    <w:rsid w:val="00EF7254"/>
    <w:rsid w:val="00EF784F"/>
    <w:rsid w:val="00F00226"/>
    <w:rsid w:val="00F00B3E"/>
    <w:rsid w:val="00F00CD4"/>
    <w:rsid w:val="00F012F6"/>
    <w:rsid w:val="00F01786"/>
    <w:rsid w:val="00F022CC"/>
    <w:rsid w:val="00F03F84"/>
    <w:rsid w:val="00F0608D"/>
    <w:rsid w:val="00F078D4"/>
    <w:rsid w:val="00F07DB0"/>
    <w:rsid w:val="00F133AA"/>
    <w:rsid w:val="00F13B9D"/>
    <w:rsid w:val="00F22F8D"/>
    <w:rsid w:val="00F2438F"/>
    <w:rsid w:val="00F320AA"/>
    <w:rsid w:val="00F3293B"/>
    <w:rsid w:val="00F3369A"/>
    <w:rsid w:val="00F34FE7"/>
    <w:rsid w:val="00F35EDA"/>
    <w:rsid w:val="00F37195"/>
    <w:rsid w:val="00F40CDE"/>
    <w:rsid w:val="00F47286"/>
    <w:rsid w:val="00F5084E"/>
    <w:rsid w:val="00F51597"/>
    <w:rsid w:val="00F548DB"/>
    <w:rsid w:val="00F56C86"/>
    <w:rsid w:val="00F608D1"/>
    <w:rsid w:val="00F62488"/>
    <w:rsid w:val="00F6309C"/>
    <w:rsid w:val="00F67432"/>
    <w:rsid w:val="00F67A41"/>
    <w:rsid w:val="00F82F7A"/>
    <w:rsid w:val="00F84593"/>
    <w:rsid w:val="00F877D8"/>
    <w:rsid w:val="00F90AF1"/>
    <w:rsid w:val="00F91FAB"/>
    <w:rsid w:val="00F92192"/>
    <w:rsid w:val="00F93175"/>
    <w:rsid w:val="00F941CB"/>
    <w:rsid w:val="00F945F2"/>
    <w:rsid w:val="00F9531E"/>
    <w:rsid w:val="00F9683A"/>
    <w:rsid w:val="00F9759B"/>
    <w:rsid w:val="00FA3A2A"/>
    <w:rsid w:val="00FA3B7A"/>
    <w:rsid w:val="00FA4503"/>
    <w:rsid w:val="00FB2E37"/>
    <w:rsid w:val="00FB43AC"/>
    <w:rsid w:val="00FC0BC7"/>
    <w:rsid w:val="00FC55DD"/>
    <w:rsid w:val="00FC5750"/>
    <w:rsid w:val="00FC679E"/>
    <w:rsid w:val="00FD4376"/>
    <w:rsid w:val="00FE0398"/>
    <w:rsid w:val="00FF40BC"/>
    <w:rsid w:val="00FF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customStyle="1" w:styleId="Default">
    <w:name w:val="Default"/>
    <w:rsid w:val="003B25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name w:val="_"/>
    <w:basedOn w:val="Normal"/>
    <w:rsid w:val="002864AB"/>
    <w:pPr>
      <w:widowControl w:val="0"/>
      <w:autoSpaceDE w:val="0"/>
      <w:autoSpaceDN w:val="0"/>
      <w:adjustRightInd w:val="0"/>
      <w:spacing w:after="0" w:line="240" w:lineRule="auto"/>
      <w:ind w:left="720" w:hanging="720"/>
    </w:pPr>
    <w:rPr>
      <w:rFonts w:eastAsia="Times New Roman" w:cs="Times New Roman"/>
      <w:szCs w:val="24"/>
    </w:rPr>
  </w:style>
  <w:style w:type="character" w:styleId="CommentReference">
    <w:name w:val="annotation reference"/>
    <w:basedOn w:val="DefaultParagraphFont"/>
    <w:uiPriority w:val="99"/>
    <w:semiHidden/>
    <w:unhideWhenUsed/>
    <w:rsid w:val="00591113"/>
    <w:rPr>
      <w:sz w:val="16"/>
      <w:szCs w:val="16"/>
    </w:rPr>
  </w:style>
  <w:style w:type="paragraph" w:styleId="CommentText">
    <w:name w:val="annotation text"/>
    <w:basedOn w:val="Normal"/>
    <w:link w:val="CommentTextChar"/>
    <w:uiPriority w:val="99"/>
    <w:semiHidden/>
    <w:unhideWhenUsed/>
    <w:rsid w:val="00591113"/>
    <w:pPr>
      <w:spacing w:line="240" w:lineRule="auto"/>
    </w:pPr>
    <w:rPr>
      <w:sz w:val="20"/>
      <w:szCs w:val="20"/>
    </w:rPr>
  </w:style>
  <w:style w:type="character" w:customStyle="1" w:styleId="CommentTextChar">
    <w:name w:val="Comment Text Char"/>
    <w:basedOn w:val="DefaultParagraphFont"/>
    <w:link w:val="CommentText"/>
    <w:uiPriority w:val="99"/>
    <w:semiHidden/>
    <w:rsid w:val="005911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1113"/>
    <w:rPr>
      <w:b/>
      <w:bCs/>
    </w:rPr>
  </w:style>
  <w:style w:type="character" w:customStyle="1" w:styleId="CommentSubjectChar">
    <w:name w:val="Comment Subject Char"/>
    <w:basedOn w:val="CommentTextChar"/>
    <w:link w:val="CommentSubject"/>
    <w:uiPriority w:val="99"/>
    <w:semiHidden/>
    <w:rsid w:val="00591113"/>
    <w:rPr>
      <w:rFonts w:ascii="Times New Roman" w:hAnsi="Times New Roman"/>
      <w:b/>
      <w:bCs/>
      <w:sz w:val="20"/>
      <w:szCs w:val="20"/>
    </w:rPr>
  </w:style>
  <w:style w:type="paragraph" w:styleId="BalloonText">
    <w:name w:val="Balloon Text"/>
    <w:basedOn w:val="Normal"/>
    <w:link w:val="BalloonTextChar"/>
    <w:uiPriority w:val="99"/>
    <w:semiHidden/>
    <w:unhideWhenUsed/>
    <w:rsid w:val="00591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113"/>
    <w:rPr>
      <w:rFonts w:ascii="Segoe UI" w:hAnsi="Segoe UI" w:cs="Segoe UI"/>
      <w:sz w:val="18"/>
      <w:szCs w:val="18"/>
    </w:rPr>
  </w:style>
  <w:style w:type="paragraph" w:styleId="Revision">
    <w:name w:val="Revision"/>
    <w:hidden/>
    <w:uiPriority w:val="99"/>
    <w:semiHidden/>
    <w:rsid w:val="00160D54"/>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customStyle="1" w:styleId="Default">
    <w:name w:val="Default"/>
    <w:rsid w:val="003B25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name w:val="_"/>
    <w:basedOn w:val="Normal"/>
    <w:rsid w:val="002864AB"/>
    <w:pPr>
      <w:widowControl w:val="0"/>
      <w:autoSpaceDE w:val="0"/>
      <w:autoSpaceDN w:val="0"/>
      <w:adjustRightInd w:val="0"/>
      <w:spacing w:after="0" w:line="240" w:lineRule="auto"/>
      <w:ind w:left="720" w:hanging="720"/>
    </w:pPr>
    <w:rPr>
      <w:rFonts w:eastAsia="Times New Roman" w:cs="Times New Roman"/>
      <w:szCs w:val="24"/>
    </w:rPr>
  </w:style>
  <w:style w:type="character" w:styleId="CommentReference">
    <w:name w:val="annotation reference"/>
    <w:basedOn w:val="DefaultParagraphFont"/>
    <w:uiPriority w:val="99"/>
    <w:semiHidden/>
    <w:unhideWhenUsed/>
    <w:rsid w:val="00591113"/>
    <w:rPr>
      <w:sz w:val="16"/>
      <w:szCs w:val="16"/>
    </w:rPr>
  </w:style>
  <w:style w:type="paragraph" w:styleId="CommentText">
    <w:name w:val="annotation text"/>
    <w:basedOn w:val="Normal"/>
    <w:link w:val="CommentTextChar"/>
    <w:uiPriority w:val="99"/>
    <w:semiHidden/>
    <w:unhideWhenUsed/>
    <w:rsid w:val="00591113"/>
    <w:pPr>
      <w:spacing w:line="240" w:lineRule="auto"/>
    </w:pPr>
    <w:rPr>
      <w:sz w:val="20"/>
      <w:szCs w:val="20"/>
    </w:rPr>
  </w:style>
  <w:style w:type="character" w:customStyle="1" w:styleId="CommentTextChar">
    <w:name w:val="Comment Text Char"/>
    <w:basedOn w:val="DefaultParagraphFont"/>
    <w:link w:val="CommentText"/>
    <w:uiPriority w:val="99"/>
    <w:semiHidden/>
    <w:rsid w:val="005911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1113"/>
    <w:rPr>
      <w:b/>
      <w:bCs/>
    </w:rPr>
  </w:style>
  <w:style w:type="character" w:customStyle="1" w:styleId="CommentSubjectChar">
    <w:name w:val="Comment Subject Char"/>
    <w:basedOn w:val="CommentTextChar"/>
    <w:link w:val="CommentSubject"/>
    <w:uiPriority w:val="99"/>
    <w:semiHidden/>
    <w:rsid w:val="00591113"/>
    <w:rPr>
      <w:rFonts w:ascii="Times New Roman" w:hAnsi="Times New Roman"/>
      <w:b/>
      <w:bCs/>
      <w:sz w:val="20"/>
      <w:szCs w:val="20"/>
    </w:rPr>
  </w:style>
  <w:style w:type="paragraph" w:styleId="BalloonText">
    <w:name w:val="Balloon Text"/>
    <w:basedOn w:val="Normal"/>
    <w:link w:val="BalloonTextChar"/>
    <w:uiPriority w:val="99"/>
    <w:semiHidden/>
    <w:unhideWhenUsed/>
    <w:rsid w:val="00591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113"/>
    <w:rPr>
      <w:rFonts w:ascii="Segoe UI" w:hAnsi="Segoe UI" w:cs="Segoe UI"/>
      <w:sz w:val="18"/>
      <w:szCs w:val="18"/>
    </w:rPr>
  </w:style>
  <w:style w:type="paragraph" w:styleId="Revision">
    <w:name w:val="Revision"/>
    <w:hidden/>
    <w:uiPriority w:val="99"/>
    <w:semiHidden/>
    <w:rsid w:val="00160D5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0435">
      <w:bodyDiv w:val="1"/>
      <w:marLeft w:val="0"/>
      <w:marRight w:val="0"/>
      <w:marTop w:val="0"/>
      <w:marBottom w:val="0"/>
      <w:divBdr>
        <w:top w:val="none" w:sz="0" w:space="0" w:color="auto"/>
        <w:left w:val="none" w:sz="0" w:space="0" w:color="auto"/>
        <w:bottom w:val="none" w:sz="0" w:space="0" w:color="auto"/>
        <w:right w:val="none" w:sz="0" w:space="0" w:color="auto"/>
      </w:divBdr>
    </w:div>
    <w:div w:id="142696271">
      <w:bodyDiv w:val="1"/>
      <w:marLeft w:val="0"/>
      <w:marRight w:val="0"/>
      <w:marTop w:val="0"/>
      <w:marBottom w:val="0"/>
      <w:divBdr>
        <w:top w:val="none" w:sz="0" w:space="0" w:color="auto"/>
        <w:left w:val="none" w:sz="0" w:space="0" w:color="auto"/>
        <w:bottom w:val="none" w:sz="0" w:space="0" w:color="auto"/>
        <w:right w:val="none" w:sz="0" w:space="0" w:color="auto"/>
      </w:divBdr>
    </w:div>
    <w:div w:id="274872820">
      <w:bodyDiv w:val="1"/>
      <w:marLeft w:val="0"/>
      <w:marRight w:val="0"/>
      <w:marTop w:val="0"/>
      <w:marBottom w:val="0"/>
      <w:divBdr>
        <w:top w:val="none" w:sz="0" w:space="0" w:color="auto"/>
        <w:left w:val="none" w:sz="0" w:space="0" w:color="auto"/>
        <w:bottom w:val="none" w:sz="0" w:space="0" w:color="auto"/>
        <w:right w:val="none" w:sz="0" w:space="0" w:color="auto"/>
      </w:divBdr>
    </w:div>
    <w:div w:id="313225446">
      <w:bodyDiv w:val="1"/>
      <w:marLeft w:val="0"/>
      <w:marRight w:val="0"/>
      <w:marTop w:val="0"/>
      <w:marBottom w:val="0"/>
      <w:divBdr>
        <w:top w:val="none" w:sz="0" w:space="0" w:color="auto"/>
        <w:left w:val="none" w:sz="0" w:space="0" w:color="auto"/>
        <w:bottom w:val="none" w:sz="0" w:space="0" w:color="auto"/>
        <w:right w:val="none" w:sz="0" w:space="0" w:color="auto"/>
      </w:divBdr>
    </w:div>
    <w:div w:id="499349321">
      <w:bodyDiv w:val="1"/>
      <w:marLeft w:val="0"/>
      <w:marRight w:val="0"/>
      <w:marTop w:val="0"/>
      <w:marBottom w:val="0"/>
      <w:divBdr>
        <w:top w:val="none" w:sz="0" w:space="0" w:color="auto"/>
        <w:left w:val="none" w:sz="0" w:space="0" w:color="auto"/>
        <w:bottom w:val="none" w:sz="0" w:space="0" w:color="auto"/>
        <w:right w:val="none" w:sz="0" w:space="0" w:color="auto"/>
      </w:divBdr>
    </w:div>
    <w:div w:id="558975739">
      <w:bodyDiv w:val="1"/>
      <w:marLeft w:val="0"/>
      <w:marRight w:val="0"/>
      <w:marTop w:val="0"/>
      <w:marBottom w:val="0"/>
      <w:divBdr>
        <w:top w:val="none" w:sz="0" w:space="0" w:color="auto"/>
        <w:left w:val="none" w:sz="0" w:space="0" w:color="auto"/>
        <w:bottom w:val="none" w:sz="0" w:space="0" w:color="auto"/>
        <w:right w:val="none" w:sz="0" w:space="0" w:color="auto"/>
      </w:divBdr>
    </w:div>
    <w:div w:id="654258658">
      <w:bodyDiv w:val="1"/>
      <w:marLeft w:val="0"/>
      <w:marRight w:val="0"/>
      <w:marTop w:val="0"/>
      <w:marBottom w:val="0"/>
      <w:divBdr>
        <w:top w:val="none" w:sz="0" w:space="0" w:color="auto"/>
        <w:left w:val="none" w:sz="0" w:space="0" w:color="auto"/>
        <w:bottom w:val="none" w:sz="0" w:space="0" w:color="auto"/>
        <w:right w:val="none" w:sz="0" w:space="0" w:color="auto"/>
      </w:divBdr>
    </w:div>
    <w:div w:id="709651947">
      <w:bodyDiv w:val="1"/>
      <w:marLeft w:val="0"/>
      <w:marRight w:val="0"/>
      <w:marTop w:val="0"/>
      <w:marBottom w:val="0"/>
      <w:divBdr>
        <w:top w:val="none" w:sz="0" w:space="0" w:color="auto"/>
        <w:left w:val="none" w:sz="0" w:space="0" w:color="auto"/>
        <w:bottom w:val="none" w:sz="0" w:space="0" w:color="auto"/>
        <w:right w:val="none" w:sz="0" w:space="0" w:color="auto"/>
      </w:divBdr>
    </w:div>
    <w:div w:id="735321334">
      <w:bodyDiv w:val="1"/>
      <w:marLeft w:val="0"/>
      <w:marRight w:val="0"/>
      <w:marTop w:val="0"/>
      <w:marBottom w:val="0"/>
      <w:divBdr>
        <w:top w:val="none" w:sz="0" w:space="0" w:color="auto"/>
        <w:left w:val="none" w:sz="0" w:space="0" w:color="auto"/>
        <w:bottom w:val="none" w:sz="0" w:space="0" w:color="auto"/>
        <w:right w:val="none" w:sz="0" w:space="0" w:color="auto"/>
      </w:divBdr>
    </w:div>
    <w:div w:id="1141456782">
      <w:bodyDiv w:val="1"/>
      <w:marLeft w:val="0"/>
      <w:marRight w:val="0"/>
      <w:marTop w:val="0"/>
      <w:marBottom w:val="0"/>
      <w:divBdr>
        <w:top w:val="none" w:sz="0" w:space="0" w:color="auto"/>
        <w:left w:val="none" w:sz="0" w:space="0" w:color="auto"/>
        <w:bottom w:val="none" w:sz="0" w:space="0" w:color="auto"/>
        <w:right w:val="none" w:sz="0" w:space="0" w:color="auto"/>
      </w:divBdr>
    </w:div>
    <w:div w:id="1701200371">
      <w:bodyDiv w:val="1"/>
      <w:marLeft w:val="0"/>
      <w:marRight w:val="0"/>
      <w:marTop w:val="0"/>
      <w:marBottom w:val="0"/>
      <w:divBdr>
        <w:top w:val="none" w:sz="0" w:space="0" w:color="auto"/>
        <w:left w:val="none" w:sz="0" w:space="0" w:color="auto"/>
        <w:bottom w:val="none" w:sz="0" w:space="0" w:color="auto"/>
        <w:right w:val="none" w:sz="0" w:space="0" w:color="auto"/>
      </w:divBdr>
    </w:div>
    <w:div w:id="180330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PFY6PPX2AYTS-2589-1920</_dlc_DocId>
    <_dlc_DocIdUrl xmlns="81daf041-c113-401c-bf82-107f5d396711">
      <Url>https://esp.cdc.gov/sites/ncezid/OD/policy/PRA/_layouts/15/DocIdRedir.aspx?ID=PFY6PPX2AYTS-2589-1920</Url>
      <Description>PFY6PPX2AYTS-2589-1920</Description>
    </_dlc_DocIdUrl>
    <ydlv xmlns="d335559b-c20a-4874-978e-77d2be77e0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4.xml><?xml version="1.0" encoding="utf-8"?>
<ds:datastoreItem xmlns:ds="http://schemas.openxmlformats.org/officeDocument/2006/customXml" ds:itemID="{CA3FD58A-CD06-4772-8CC1-04EB8CA61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EF950E-6775-467B-97C5-955210AB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3384</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cp:lastPrinted>2017-03-10T21:19:00Z</cp:lastPrinted>
  <dcterms:created xsi:type="dcterms:W3CDTF">2017-08-03T14:51:00Z</dcterms:created>
  <dcterms:modified xsi:type="dcterms:W3CDTF">2017-08-03T14:51:00Z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cb670a2d-0b15-41c3-a7b8-e3c8acf46d0a</vt:lpwstr>
  </property>
</Properties>
</file>