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D778B" w14:textId="77777777" w:rsidR="00D71778" w:rsidRPr="001C34C8" w:rsidRDefault="00D71778" w:rsidP="00D7177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jc w:val="center"/>
        <w:rPr>
          <w:rFonts w:ascii="Times New Roman" w:hAnsi="Times New Roman" w:cs="Times New Roman"/>
          <w:b/>
          <w:bCs/>
          <w:sz w:val="24"/>
          <w:szCs w:val="24"/>
        </w:rPr>
      </w:pPr>
      <w:bookmarkStart w:id="0" w:name="_GoBack"/>
      <w:bookmarkEnd w:id="0"/>
      <w:r w:rsidRPr="001C34C8">
        <w:rPr>
          <w:rFonts w:ascii="Times New Roman" w:hAnsi="Times New Roman" w:cs="Times New Roman"/>
          <w:b/>
          <w:bCs/>
          <w:sz w:val="24"/>
          <w:szCs w:val="24"/>
        </w:rPr>
        <w:t>Supporting Statement</w:t>
      </w:r>
    </w:p>
    <w:p w14:paraId="1180153F" w14:textId="59FD629B" w:rsidR="00D71778" w:rsidRPr="001C34C8" w:rsidRDefault="00FB4FA6" w:rsidP="00D7177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jc w:val="center"/>
        <w:rPr>
          <w:rFonts w:ascii="Times New Roman" w:hAnsi="Times New Roman" w:cs="Times New Roman"/>
          <w:b/>
          <w:bCs/>
          <w:sz w:val="24"/>
          <w:szCs w:val="24"/>
        </w:rPr>
      </w:pPr>
      <w:r>
        <w:rPr>
          <w:rFonts w:ascii="Times New Roman" w:hAnsi="Times New Roman" w:cs="Times New Roman"/>
          <w:b/>
          <w:bCs/>
          <w:sz w:val="24"/>
          <w:szCs w:val="24"/>
        </w:rPr>
        <w:t>AIDS Drug Assistance Program (</w:t>
      </w:r>
      <w:r w:rsidR="00D71778" w:rsidRPr="001C34C8">
        <w:rPr>
          <w:rFonts w:ascii="Times New Roman" w:hAnsi="Times New Roman" w:cs="Times New Roman"/>
          <w:b/>
          <w:bCs/>
          <w:sz w:val="24"/>
          <w:szCs w:val="24"/>
        </w:rPr>
        <w:t>ADAP</w:t>
      </w:r>
      <w:r>
        <w:rPr>
          <w:rFonts w:ascii="Times New Roman" w:hAnsi="Times New Roman" w:cs="Times New Roman"/>
          <w:b/>
          <w:bCs/>
          <w:sz w:val="24"/>
          <w:szCs w:val="24"/>
        </w:rPr>
        <w:t>)</w:t>
      </w:r>
      <w:r w:rsidR="00D71778" w:rsidRPr="001C34C8">
        <w:rPr>
          <w:rFonts w:ascii="Times New Roman" w:hAnsi="Times New Roman" w:cs="Times New Roman"/>
          <w:b/>
          <w:bCs/>
          <w:sz w:val="24"/>
          <w:szCs w:val="24"/>
        </w:rPr>
        <w:t xml:space="preserve"> Data Report</w:t>
      </w:r>
    </w:p>
    <w:p w14:paraId="79BBCE33" w14:textId="77777777" w:rsidR="001C34C8" w:rsidRPr="001C34C8" w:rsidRDefault="002E6E5A" w:rsidP="001C34C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jc w:val="center"/>
        <w:rPr>
          <w:rFonts w:ascii="Times New Roman" w:hAnsi="Times New Roman" w:cs="Times New Roman"/>
          <w:b/>
          <w:bCs/>
          <w:sz w:val="24"/>
          <w:szCs w:val="24"/>
        </w:rPr>
      </w:pPr>
      <w:r w:rsidRPr="001C34C8">
        <w:rPr>
          <w:rFonts w:ascii="Times New Roman" w:hAnsi="Times New Roman" w:cs="Times New Roman"/>
          <w:b/>
          <w:bCs/>
          <w:sz w:val="24"/>
          <w:szCs w:val="24"/>
        </w:rPr>
        <w:t>OMB Control No. 0915-0345</w:t>
      </w:r>
    </w:p>
    <w:p w14:paraId="34E28333" w14:textId="77777777" w:rsidR="001C34C8" w:rsidRPr="001C34C8" w:rsidRDefault="001C34C8" w:rsidP="001C34C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b/>
          <w:bCs/>
          <w:sz w:val="24"/>
          <w:szCs w:val="24"/>
        </w:rPr>
      </w:pPr>
    </w:p>
    <w:p w14:paraId="70CFFAFD" w14:textId="77777777" w:rsidR="001C34C8" w:rsidRPr="001C34C8" w:rsidRDefault="001C34C8" w:rsidP="001C34C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b/>
          <w:bCs/>
          <w:sz w:val="24"/>
          <w:szCs w:val="24"/>
        </w:rPr>
      </w:pPr>
      <w:r w:rsidRPr="001C34C8">
        <w:rPr>
          <w:rFonts w:ascii="Times New Roman" w:hAnsi="Times New Roman" w:cs="Times New Roman"/>
          <w:b/>
          <w:bCs/>
          <w:sz w:val="24"/>
          <w:szCs w:val="24"/>
        </w:rPr>
        <w:t xml:space="preserve">Terms of Clearance: </w:t>
      </w:r>
      <w:r w:rsidRPr="001C34C8">
        <w:rPr>
          <w:rFonts w:ascii="Times New Roman" w:hAnsi="Times New Roman" w:cs="Times New Roman"/>
          <w:bCs/>
          <w:sz w:val="24"/>
          <w:szCs w:val="24"/>
        </w:rPr>
        <w:t>None</w:t>
      </w:r>
    </w:p>
    <w:p w14:paraId="75DCB657" w14:textId="77777777" w:rsidR="00D71778" w:rsidRPr="001C34C8" w:rsidRDefault="00D71778" w:rsidP="00D7177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sidRPr="001C34C8">
        <w:rPr>
          <w:rFonts w:ascii="Times New Roman" w:hAnsi="Times New Roman" w:cs="Times New Roman"/>
          <w:b/>
          <w:bCs/>
          <w:sz w:val="24"/>
          <w:szCs w:val="24"/>
        </w:rPr>
        <w:t>A.</w:t>
      </w:r>
      <w:r w:rsidRPr="001C34C8">
        <w:rPr>
          <w:rFonts w:ascii="Times New Roman" w:hAnsi="Times New Roman" w:cs="Times New Roman"/>
          <w:b/>
          <w:bCs/>
          <w:sz w:val="24"/>
          <w:szCs w:val="24"/>
        </w:rPr>
        <w:tab/>
        <w:t>Justification</w:t>
      </w:r>
    </w:p>
    <w:p w14:paraId="2F4C2051" w14:textId="77777777" w:rsidR="00D71778" w:rsidRPr="001C34C8" w:rsidRDefault="00D71778" w:rsidP="00D71778">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sidRPr="001C34C8">
        <w:rPr>
          <w:rFonts w:ascii="Times New Roman" w:hAnsi="Times New Roman" w:cs="Times New Roman"/>
          <w:sz w:val="24"/>
          <w:szCs w:val="24"/>
          <w:u w:val="single"/>
        </w:rPr>
        <w:t xml:space="preserve">Circumstances </w:t>
      </w:r>
      <w:r w:rsidR="00D17D63">
        <w:rPr>
          <w:rFonts w:ascii="Times New Roman" w:hAnsi="Times New Roman" w:cs="Times New Roman"/>
          <w:sz w:val="24"/>
          <w:szCs w:val="24"/>
          <w:u w:val="single"/>
        </w:rPr>
        <w:t xml:space="preserve">Making the </w:t>
      </w:r>
      <w:r w:rsidRPr="001C34C8">
        <w:rPr>
          <w:rFonts w:ascii="Times New Roman" w:hAnsi="Times New Roman" w:cs="Times New Roman"/>
          <w:sz w:val="24"/>
          <w:szCs w:val="24"/>
          <w:u w:val="single"/>
        </w:rPr>
        <w:t>Collection</w:t>
      </w:r>
      <w:r w:rsidR="00D17D63" w:rsidRPr="00D17D63">
        <w:rPr>
          <w:rFonts w:ascii="Times New Roman" w:hAnsi="Times New Roman" w:cs="Times New Roman"/>
          <w:sz w:val="24"/>
          <w:szCs w:val="24"/>
          <w:u w:val="single"/>
        </w:rPr>
        <w:t xml:space="preserve"> </w:t>
      </w:r>
      <w:r w:rsidR="00D17D63" w:rsidRPr="001C34C8">
        <w:rPr>
          <w:rFonts w:ascii="Times New Roman" w:hAnsi="Times New Roman" w:cs="Times New Roman"/>
          <w:sz w:val="24"/>
          <w:szCs w:val="24"/>
          <w:u w:val="single"/>
        </w:rPr>
        <w:t>of Information</w:t>
      </w:r>
      <w:r w:rsidR="00D17D63">
        <w:rPr>
          <w:rFonts w:ascii="Times New Roman" w:hAnsi="Times New Roman" w:cs="Times New Roman"/>
          <w:sz w:val="24"/>
          <w:szCs w:val="24"/>
          <w:u w:val="single"/>
        </w:rPr>
        <w:t xml:space="preserve"> Necessary</w:t>
      </w:r>
    </w:p>
    <w:p w14:paraId="16808EE2" w14:textId="064BA5DF" w:rsidR="00D71778" w:rsidRDefault="00D71778" w:rsidP="00D71778">
      <w:pPr>
        <w:shd w:val="clear" w:color="auto" w:fill="FFFFFF"/>
        <w:spacing w:after="0"/>
        <w:rPr>
          <w:rFonts w:ascii="Times New Roman" w:hAnsi="Times New Roman" w:cs="Times New Roman"/>
          <w:sz w:val="24"/>
          <w:szCs w:val="24"/>
        </w:rPr>
      </w:pPr>
      <w:r w:rsidRPr="001C34C8">
        <w:rPr>
          <w:rFonts w:ascii="Times New Roman" w:hAnsi="Times New Roman" w:cs="Times New Roman"/>
          <w:sz w:val="24"/>
          <w:szCs w:val="24"/>
        </w:rPr>
        <w:t>The Health Resources and Services Administration (HRSA) is requesting approval from the Office of Management and Budget (OMB) for a</w:t>
      </w:r>
      <w:r w:rsidR="00356BB7">
        <w:rPr>
          <w:rFonts w:ascii="Times New Roman" w:hAnsi="Times New Roman" w:cs="Times New Roman"/>
          <w:sz w:val="24"/>
          <w:szCs w:val="24"/>
        </w:rPr>
        <w:t xml:space="preserve">n extension of the client-level data reporting system, </w:t>
      </w:r>
      <w:r w:rsidRPr="001C34C8">
        <w:rPr>
          <w:rFonts w:ascii="Times New Roman" w:hAnsi="Times New Roman" w:cs="Times New Roman"/>
          <w:sz w:val="24"/>
          <w:szCs w:val="24"/>
        </w:rPr>
        <w:t>the Ryan White HIV/AIDS Program Part B AIDS Drug Assistance Program (ADAP) Data Report (ADR).  The ADR</w:t>
      </w:r>
      <w:r w:rsidR="00356BB7">
        <w:rPr>
          <w:rFonts w:ascii="Times New Roman" w:hAnsi="Times New Roman" w:cs="Times New Roman"/>
          <w:sz w:val="24"/>
          <w:szCs w:val="24"/>
        </w:rPr>
        <w:t>,</w:t>
      </w:r>
      <w:r w:rsidR="00356BB7" w:rsidRPr="00356BB7">
        <w:rPr>
          <w:rFonts w:ascii="Times New Roman" w:hAnsi="Times New Roman" w:cs="Times New Roman"/>
          <w:sz w:val="24"/>
          <w:szCs w:val="24"/>
        </w:rPr>
        <w:t xml:space="preserve"> </w:t>
      </w:r>
      <w:r w:rsidR="00356BB7">
        <w:rPr>
          <w:rFonts w:ascii="Times New Roman" w:hAnsi="Times New Roman" w:cs="Times New Roman"/>
          <w:sz w:val="24"/>
          <w:szCs w:val="24"/>
        </w:rPr>
        <w:t>which expires December 31, 201</w:t>
      </w:r>
      <w:r w:rsidR="005F26E0">
        <w:rPr>
          <w:rFonts w:ascii="Times New Roman" w:hAnsi="Times New Roman" w:cs="Times New Roman"/>
          <w:sz w:val="24"/>
          <w:szCs w:val="24"/>
        </w:rPr>
        <w:t>7</w:t>
      </w:r>
      <w:r w:rsidR="00356BB7">
        <w:rPr>
          <w:rFonts w:ascii="Times New Roman" w:hAnsi="Times New Roman" w:cs="Times New Roman"/>
          <w:sz w:val="24"/>
          <w:szCs w:val="24"/>
        </w:rPr>
        <w:t xml:space="preserve">, is currently </w:t>
      </w:r>
      <w:r w:rsidRPr="001C34C8">
        <w:rPr>
          <w:rFonts w:ascii="Times New Roman" w:hAnsi="Times New Roman" w:cs="Times New Roman"/>
          <w:sz w:val="24"/>
          <w:szCs w:val="24"/>
        </w:rPr>
        <w:t xml:space="preserve">used to collect information from grantees funded under Part B of the Ryan White HIV/AIDS Treatment Extension Act of 2009 (Ryan White HIV/AIDS Program; </w:t>
      </w:r>
      <w:r w:rsidRPr="001C34C8">
        <w:rPr>
          <w:rStyle w:val="BodyTextFi"/>
          <w:rFonts w:ascii="Times New Roman" w:hAnsi="Times New Roman" w:cs="Times New Roman"/>
          <w:sz w:val="24"/>
          <w:szCs w:val="24"/>
        </w:rPr>
        <w:t xml:space="preserve">see </w:t>
      </w:r>
      <w:r w:rsidRPr="00BA4477">
        <w:rPr>
          <w:rStyle w:val="BodyTextFi"/>
          <w:rFonts w:ascii="Times New Roman" w:hAnsi="Times New Roman" w:cs="Times New Roman"/>
          <w:sz w:val="24"/>
          <w:szCs w:val="24"/>
        </w:rPr>
        <w:t>Tab A for a copy of the 2009</w:t>
      </w:r>
      <w:r w:rsidRPr="001C34C8">
        <w:rPr>
          <w:rStyle w:val="BodyTextFi"/>
          <w:rFonts w:ascii="Times New Roman" w:hAnsi="Times New Roman" w:cs="Times New Roman"/>
          <w:sz w:val="24"/>
          <w:szCs w:val="24"/>
        </w:rPr>
        <w:t xml:space="preserve"> legislation</w:t>
      </w:r>
      <w:r w:rsidRPr="001C34C8">
        <w:rPr>
          <w:rFonts w:ascii="Times New Roman" w:hAnsi="Times New Roman" w:cs="Times New Roman"/>
          <w:sz w:val="24"/>
          <w:szCs w:val="24"/>
        </w:rPr>
        <w:t>), as codified under Title XXVI of the Public Health Service Act.   The HIV/AIDS Bureau within HRSA of the United States Department of Health and Human Services (HHS) administers funds for the R</w:t>
      </w:r>
      <w:r w:rsidRPr="001C34C8">
        <w:rPr>
          <w:rFonts w:ascii="Times New Roman" w:eastAsia="Times New Roman" w:hAnsi="Times New Roman" w:cs="Times New Roman"/>
          <w:sz w:val="24"/>
          <w:szCs w:val="24"/>
        </w:rPr>
        <w:t xml:space="preserve">yan White HIV/AIDS Program.  </w:t>
      </w:r>
      <w:r w:rsidRPr="001C34C8">
        <w:rPr>
          <w:rFonts w:ascii="Times New Roman" w:hAnsi="Times New Roman" w:cs="Times New Roman"/>
          <w:sz w:val="24"/>
          <w:szCs w:val="24"/>
        </w:rPr>
        <w:t>The program is authorized by the Ryan White HIV/AIDS Treatment Extension Act of 2009 (Public Law 111–87) through 2013. The legislation was first enacted in 1990 as the Ryan White Comprehensive AIDS Resources Emergency (CARE) Act and was amended and reauthorized in 1996, 2000, and 2006.</w:t>
      </w:r>
    </w:p>
    <w:p w14:paraId="5CF62434" w14:textId="77777777" w:rsidR="00CE66CA" w:rsidRPr="001C34C8" w:rsidRDefault="00CE66CA" w:rsidP="00D71778">
      <w:pPr>
        <w:shd w:val="clear" w:color="auto" w:fill="FFFFFF"/>
        <w:spacing w:after="0"/>
        <w:rPr>
          <w:rFonts w:ascii="Times New Roman" w:eastAsia="Times New Roman" w:hAnsi="Times New Roman" w:cs="Times New Roman"/>
          <w:sz w:val="24"/>
          <w:szCs w:val="24"/>
        </w:rPr>
      </w:pPr>
    </w:p>
    <w:p w14:paraId="69D7D041" w14:textId="77777777" w:rsidR="00D71778" w:rsidRPr="001C34C8" w:rsidRDefault="00D71778">
      <w:pPr>
        <w:tabs>
          <w:tab w:val="left" w:pos="288"/>
          <w:tab w:val="left" w:pos="1058"/>
          <w:tab w:val="left" w:pos="1814"/>
          <w:tab w:val="left" w:pos="2494"/>
          <w:tab w:val="left" w:pos="3132"/>
          <w:tab w:val="left" w:pos="4006"/>
          <w:tab w:val="left" w:pos="4687"/>
          <w:tab w:val="left" w:pos="5443"/>
        </w:tabs>
        <w:rPr>
          <w:rFonts w:ascii="Times New Roman" w:hAnsi="Times New Roman" w:cs="Times New Roman"/>
          <w:sz w:val="24"/>
          <w:szCs w:val="24"/>
        </w:rPr>
      </w:pPr>
      <w:r w:rsidRPr="001C34C8">
        <w:rPr>
          <w:rFonts w:ascii="Times New Roman" w:eastAsia="Times New Roman" w:hAnsi="Times New Roman" w:cs="Times New Roman"/>
          <w:sz w:val="24"/>
          <w:szCs w:val="24"/>
        </w:rPr>
        <w:t xml:space="preserve">The Ryan White HIV/AIDS Program funds HIV-related </w:t>
      </w:r>
      <w:r w:rsidRPr="001C34C8">
        <w:rPr>
          <w:rFonts w:ascii="Times New Roman" w:hAnsi="Times New Roman" w:cs="Times New Roman"/>
          <w:sz w:val="24"/>
          <w:szCs w:val="24"/>
        </w:rPr>
        <w:t>medical care and essential support services as well as technical assistance (TA), clinical training, and research on innovative models of care</w:t>
      </w:r>
      <w:r w:rsidRPr="001C34C8">
        <w:rPr>
          <w:rFonts w:ascii="Times New Roman" w:eastAsia="Times New Roman" w:hAnsi="Times New Roman" w:cs="Times New Roman"/>
          <w:sz w:val="24"/>
          <w:szCs w:val="24"/>
        </w:rPr>
        <w:t xml:space="preserve">. The program funds grantees through “Parts” to deliver care to meet the needs of different communities and individuals infected and affected by HIV/AIDS.  These Parts, which range from Part A through F, target funds to specific State and local entities and together create a comprehensive funding structure.  The Ryan White HIV/AIDS program reaches more than half a million people annually who have insufficient health </w:t>
      </w:r>
      <w:r w:rsidR="00627094">
        <w:rPr>
          <w:rFonts w:ascii="Times New Roman" w:eastAsia="Times New Roman" w:hAnsi="Times New Roman" w:cs="Times New Roman"/>
          <w:sz w:val="24"/>
          <w:szCs w:val="24"/>
        </w:rPr>
        <w:t xml:space="preserve"> </w:t>
      </w:r>
      <w:r w:rsidRPr="001C34C8">
        <w:rPr>
          <w:rFonts w:ascii="Times New Roman" w:eastAsia="Times New Roman" w:hAnsi="Times New Roman" w:cs="Times New Roman"/>
          <w:sz w:val="24"/>
          <w:szCs w:val="24"/>
        </w:rPr>
        <w:t xml:space="preserve">care coverage or financial resources to meet their HIV clinical and supportive needs, filling gaps in care not covered by other sources.  </w:t>
      </w:r>
    </w:p>
    <w:p w14:paraId="175D4700" w14:textId="269EA1D9" w:rsidR="00D71778" w:rsidRPr="001C34C8" w:rsidRDefault="00D71778">
      <w:pPr>
        <w:widowControl w:val="0"/>
        <w:autoSpaceDE w:val="0"/>
        <w:autoSpaceDN w:val="0"/>
        <w:adjustRightInd w:val="0"/>
        <w:rPr>
          <w:rFonts w:ascii="Times New Roman" w:hAnsi="Times New Roman" w:cs="Times New Roman"/>
          <w:color w:val="000000"/>
          <w:sz w:val="24"/>
          <w:szCs w:val="24"/>
        </w:rPr>
      </w:pPr>
      <w:r w:rsidRPr="001C34C8">
        <w:rPr>
          <w:rFonts w:ascii="Times New Roman" w:hAnsi="Times New Roman" w:cs="Times New Roman"/>
          <w:sz w:val="24"/>
          <w:szCs w:val="24"/>
        </w:rPr>
        <w:t xml:space="preserve">Part B of the Ryan White HIV/AIDS Treatment Extension Act of 2009 funds States and U.S. Territories to improve the quality, availability, and organization of HIV/AIDS health care and support services.  ADAP is authorized in section 2623 of the Ryan White HIV/AIDS Treatment Extension Act of 2009.  This section authorizes a portion of Part B funds to be “earmarked” for ADAP, </w:t>
      </w:r>
      <w:r w:rsidRPr="001C34C8">
        <w:rPr>
          <w:rFonts w:ascii="Times New Roman" w:hAnsi="Times New Roman" w:cs="Times New Roman"/>
          <w:color w:val="000000"/>
          <w:sz w:val="24"/>
          <w:szCs w:val="24"/>
        </w:rPr>
        <w:t xml:space="preserve">a program that provides medications for the treatment of HIV disease. Program funds may also be used to purchase health insurance for eligible clients and for services that enhance access to, adherence to, and monitoring of drug treatments.  </w:t>
      </w:r>
      <w:r w:rsidR="00D454E4" w:rsidRPr="00D454E4">
        <w:rPr>
          <w:rFonts w:ascii="Times New Roman" w:hAnsi="Times New Roman" w:cs="Times New Roman"/>
          <w:color w:val="000000"/>
          <w:sz w:val="24"/>
          <w:szCs w:val="24"/>
        </w:rPr>
        <w:t xml:space="preserve">The following states, territories, and </w:t>
      </w:r>
      <w:r w:rsidR="00D454E4" w:rsidRPr="00D454E4">
        <w:rPr>
          <w:rFonts w:ascii="Times New Roman" w:hAnsi="Times New Roman" w:cs="Times New Roman"/>
          <w:color w:val="000000"/>
          <w:sz w:val="24"/>
          <w:szCs w:val="24"/>
        </w:rPr>
        <w:lastRenderedPageBreak/>
        <w:t>Pacific Island jurisdictions are eligible to apply for RWHAP ADAP funding: All 50 states, the District of Columbia, the Commonwealth of Puerto Rico, the U.S. Virgin Islands, Guam, American Samoa, the Commonwealth of the Northern Mariana Islands, the Republic of Palau, the Federated States of Micronesia, and the Republic of the Marshall Islands</w:t>
      </w:r>
      <w:r w:rsidRPr="001C34C8">
        <w:rPr>
          <w:rFonts w:ascii="Times New Roman" w:hAnsi="Times New Roman" w:cs="Times New Roman"/>
          <w:color w:val="000000"/>
          <w:sz w:val="24"/>
          <w:szCs w:val="24"/>
        </w:rPr>
        <w:t>.</w:t>
      </w:r>
    </w:p>
    <w:p w14:paraId="7079885D" w14:textId="77777777" w:rsidR="00D71778" w:rsidRPr="001C34C8" w:rsidRDefault="00D71778">
      <w:pPr>
        <w:spacing w:after="0"/>
        <w:rPr>
          <w:rFonts w:ascii="Times New Roman" w:hAnsi="Times New Roman" w:cs="Times New Roman"/>
          <w:color w:val="000000"/>
          <w:sz w:val="24"/>
          <w:szCs w:val="24"/>
        </w:rPr>
      </w:pPr>
      <w:r w:rsidRPr="001C34C8">
        <w:rPr>
          <w:rFonts w:ascii="Times New Roman" w:hAnsi="Times New Roman" w:cs="Times New Roman"/>
          <w:sz w:val="24"/>
          <w:szCs w:val="24"/>
        </w:rPr>
        <w:t>While there are core requirements for all grantees, they are given some program flexibility to most effectively respond to the local needs of their clients</w:t>
      </w:r>
      <w:r w:rsidRPr="001C34C8">
        <w:rPr>
          <w:rFonts w:ascii="Times New Roman" w:eastAsia="Times New Roman" w:hAnsi="Times New Roman" w:cs="Times New Roman"/>
          <w:sz w:val="24"/>
          <w:szCs w:val="24"/>
        </w:rPr>
        <w:t xml:space="preserve">.  For example, while all grantees are </w:t>
      </w:r>
      <w:r w:rsidRPr="001C34C8">
        <w:rPr>
          <w:rFonts w:ascii="Times New Roman" w:hAnsi="Times New Roman" w:cs="Times New Roman"/>
          <w:color w:val="000000"/>
          <w:sz w:val="24"/>
          <w:szCs w:val="24"/>
        </w:rPr>
        <w:t>required to implement an ADAP recertification process every six months to ensure that clients receiving services continue to be eligible for the program</w:t>
      </w:r>
      <w:r w:rsidRPr="001C34C8">
        <w:rPr>
          <w:rFonts w:ascii="Times New Roman" w:eastAsia="Times New Roman" w:hAnsi="Times New Roman" w:cs="Times New Roman"/>
          <w:sz w:val="24"/>
          <w:szCs w:val="24"/>
        </w:rPr>
        <w:t xml:space="preserve">, each grantee </w:t>
      </w:r>
      <w:r w:rsidRPr="001C34C8">
        <w:rPr>
          <w:rFonts w:ascii="Times New Roman" w:hAnsi="Times New Roman" w:cs="Times New Roman"/>
          <w:color w:val="000000"/>
          <w:sz w:val="24"/>
          <w:szCs w:val="24"/>
        </w:rPr>
        <w:t xml:space="preserve">establishes its own financial eligibility criteria while ensuring that Ryan White Program funds are the payer of last resort.  In addition, current legislation requires that grantees must cover all classes of approved HIV antiretroviral medications in their ADAP formulary; however, each grantee decides which specific medications within each class will be included in its formulary and how those medications will be distributed.  </w:t>
      </w:r>
    </w:p>
    <w:p w14:paraId="01714EED" w14:textId="77777777" w:rsidR="00D71778" w:rsidRPr="001C34C8" w:rsidRDefault="00D71778">
      <w:pPr>
        <w:spacing w:after="0"/>
        <w:rPr>
          <w:rFonts w:ascii="Times New Roman" w:hAnsi="Times New Roman" w:cs="Times New Roman"/>
          <w:color w:val="000000"/>
          <w:sz w:val="24"/>
          <w:szCs w:val="24"/>
        </w:rPr>
      </w:pPr>
    </w:p>
    <w:p w14:paraId="7990E51F" w14:textId="643FB5AD" w:rsidR="00E647C2" w:rsidRDefault="00D71778" w:rsidP="002431E1">
      <w:pPr>
        <w:pStyle w:val="ColorfulList-Accent11"/>
        <w:tabs>
          <w:tab w:val="left" w:pos="288"/>
          <w:tab w:val="left" w:pos="720"/>
          <w:tab w:val="left" w:pos="1058"/>
          <w:tab w:val="left" w:pos="1814"/>
          <w:tab w:val="left" w:pos="2494"/>
          <w:tab w:val="left" w:pos="3132"/>
          <w:tab w:val="left" w:pos="4006"/>
          <w:tab w:val="left" w:pos="4687"/>
          <w:tab w:val="left" w:pos="5443"/>
        </w:tabs>
        <w:ind w:left="0"/>
        <w:rPr>
          <w:rFonts w:ascii="Times New Roman" w:hAnsi="Times New Roman" w:cs="Times New Roman"/>
          <w:sz w:val="24"/>
          <w:szCs w:val="24"/>
        </w:rPr>
      </w:pPr>
      <w:r w:rsidRPr="001C34C8">
        <w:rPr>
          <w:rFonts w:ascii="Times New Roman" w:hAnsi="Times New Roman" w:cs="Times New Roman"/>
          <w:sz w:val="24"/>
          <w:szCs w:val="24"/>
        </w:rPr>
        <w:t>The information to be collected in the ADR includes an online grantee-level report</w:t>
      </w:r>
      <w:r w:rsidR="00A45401">
        <w:rPr>
          <w:rFonts w:ascii="Times New Roman" w:hAnsi="Times New Roman" w:cs="Times New Roman"/>
          <w:sz w:val="24"/>
          <w:szCs w:val="24"/>
        </w:rPr>
        <w:t xml:space="preserve"> (Tab B)</w:t>
      </w:r>
      <w:r w:rsidRPr="001C34C8">
        <w:rPr>
          <w:rFonts w:ascii="Times New Roman" w:hAnsi="Times New Roman" w:cs="Times New Roman"/>
          <w:sz w:val="24"/>
          <w:szCs w:val="24"/>
        </w:rPr>
        <w:t xml:space="preserve"> and submission of client-level data by electronic upload</w:t>
      </w:r>
      <w:r w:rsidR="00A45401">
        <w:rPr>
          <w:rFonts w:ascii="Times New Roman" w:hAnsi="Times New Roman" w:cs="Times New Roman"/>
          <w:sz w:val="24"/>
          <w:szCs w:val="24"/>
        </w:rPr>
        <w:t xml:space="preserve"> (see Tab C</w:t>
      </w:r>
      <w:r w:rsidR="00A45401" w:rsidRPr="00BA4477">
        <w:rPr>
          <w:rFonts w:ascii="Times New Roman" w:hAnsi="Times New Roman" w:cs="Times New Roman"/>
          <w:sz w:val="24"/>
          <w:szCs w:val="24"/>
        </w:rPr>
        <w:t xml:space="preserve"> </w:t>
      </w:r>
      <w:r w:rsidR="00A45401">
        <w:rPr>
          <w:rFonts w:ascii="Times New Roman" w:hAnsi="Times New Roman" w:cs="Times New Roman"/>
          <w:sz w:val="24"/>
          <w:szCs w:val="24"/>
        </w:rPr>
        <w:t>f</w:t>
      </w:r>
      <w:r w:rsidR="00A45401" w:rsidRPr="00BA4477">
        <w:rPr>
          <w:rFonts w:ascii="Times New Roman" w:hAnsi="Times New Roman" w:cs="Times New Roman"/>
          <w:sz w:val="24"/>
          <w:szCs w:val="24"/>
        </w:rPr>
        <w:t>or</w:t>
      </w:r>
      <w:r w:rsidR="00A45401" w:rsidRPr="001C34C8">
        <w:rPr>
          <w:rFonts w:ascii="Times New Roman" w:hAnsi="Times New Roman" w:cs="Times New Roman"/>
          <w:sz w:val="24"/>
          <w:szCs w:val="24"/>
        </w:rPr>
        <w:t xml:space="preserve"> the data elements of the ADR client-level data upload</w:t>
      </w:r>
      <w:r w:rsidR="00A45401">
        <w:rPr>
          <w:rFonts w:ascii="Times New Roman" w:hAnsi="Times New Roman" w:cs="Times New Roman"/>
          <w:sz w:val="24"/>
          <w:szCs w:val="24"/>
        </w:rPr>
        <w:t>)</w:t>
      </w:r>
      <w:r w:rsidR="00026C29">
        <w:rPr>
          <w:rFonts w:ascii="Times New Roman" w:hAnsi="Times New Roman" w:cs="Times New Roman"/>
          <w:sz w:val="24"/>
          <w:szCs w:val="24"/>
        </w:rPr>
        <w:t>.</w:t>
      </w:r>
      <w:r w:rsidRPr="001C34C8">
        <w:rPr>
          <w:rFonts w:ascii="Times New Roman" w:hAnsi="Times New Roman" w:cs="Times New Roman"/>
          <w:sz w:val="24"/>
          <w:szCs w:val="24"/>
        </w:rPr>
        <w:t xml:space="preserve">  For more information about the ADR, see </w:t>
      </w:r>
      <w:r w:rsidRPr="00BA4477">
        <w:rPr>
          <w:rFonts w:ascii="Times New Roman" w:hAnsi="Times New Roman" w:cs="Times New Roman"/>
          <w:sz w:val="24"/>
          <w:szCs w:val="24"/>
        </w:rPr>
        <w:t>Tab</w:t>
      </w:r>
      <w:r w:rsidR="00A45401">
        <w:rPr>
          <w:rFonts w:ascii="Times New Roman" w:hAnsi="Times New Roman" w:cs="Times New Roman"/>
          <w:sz w:val="24"/>
          <w:szCs w:val="24"/>
        </w:rPr>
        <w:t xml:space="preserve"> D for the 2016 ADR Instruction Manual</w:t>
      </w:r>
      <w:r w:rsidRPr="001C34C8">
        <w:rPr>
          <w:rFonts w:ascii="Times New Roman" w:hAnsi="Times New Roman" w:cs="Times New Roman"/>
          <w:sz w:val="24"/>
          <w:szCs w:val="24"/>
        </w:rPr>
        <w:t xml:space="preserve">. The data and information collected using the ADR </w:t>
      </w:r>
      <w:r w:rsidR="00026C29">
        <w:rPr>
          <w:rFonts w:ascii="Times New Roman" w:hAnsi="Times New Roman" w:cs="Times New Roman"/>
          <w:sz w:val="24"/>
          <w:szCs w:val="24"/>
        </w:rPr>
        <w:t>are</w:t>
      </w:r>
      <w:r w:rsidRPr="001C34C8">
        <w:rPr>
          <w:rFonts w:ascii="Times New Roman" w:hAnsi="Times New Roman" w:cs="Times New Roman"/>
          <w:sz w:val="24"/>
          <w:szCs w:val="24"/>
        </w:rPr>
        <w:t xml:space="preserve"> designed to be complement</w:t>
      </w:r>
      <w:r w:rsidR="00CE66CA">
        <w:rPr>
          <w:rFonts w:ascii="Times New Roman" w:hAnsi="Times New Roman" w:cs="Times New Roman"/>
          <w:sz w:val="24"/>
          <w:szCs w:val="24"/>
        </w:rPr>
        <w:t>ary to (but not duplicative of)</w:t>
      </w:r>
      <w:r w:rsidRPr="001C34C8">
        <w:rPr>
          <w:rFonts w:ascii="Times New Roman" w:hAnsi="Times New Roman" w:cs="Times New Roman"/>
          <w:sz w:val="24"/>
          <w:szCs w:val="24"/>
        </w:rPr>
        <w:t xml:space="preserve"> the Ryan White Services Report (RSR), a thr</w:t>
      </w:r>
      <w:r w:rsidR="002E75AE">
        <w:rPr>
          <w:rFonts w:ascii="Times New Roman" w:hAnsi="Times New Roman" w:cs="Times New Roman"/>
          <w:sz w:val="24"/>
          <w:szCs w:val="24"/>
        </w:rPr>
        <w:t xml:space="preserve">ee-part data collection system </w:t>
      </w:r>
      <w:r w:rsidRPr="001C34C8">
        <w:rPr>
          <w:rFonts w:ascii="Times New Roman" w:hAnsi="Times New Roman" w:cs="Times New Roman"/>
          <w:sz w:val="24"/>
          <w:szCs w:val="24"/>
        </w:rPr>
        <w:t xml:space="preserve">already approved by the </w:t>
      </w:r>
      <w:r w:rsidR="006E5513">
        <w:rPr>
          <w:rFonts w:ascii="Times New Roman" w:hAnsi="Times New Roman" w:cs="Times New Roman"/>
          <w:sz w:val="24"/>
          <w:szCs w:val="24"/>
        </w:rPr>
        <w:t>OMB</w:t>
      </w:r>
      <w:r w:rsidRPr="001C34C8">
        <w:rPr>
          <w:rFonts w:ascii="Times New Roman" w:hAnsi="Times New Roman" w:cs="Times New Roman"/>
          <w:sz w:val="24"/>
          <w:szCs w:val="24"/>
        </w:rPr>
        <w:t xml:space="preserve"> (OMB No. 0915-0323). The variables contained in both the RSR and the ADR are designed to enable HRSA to fulfill its responsibilities in the administration of grant funds.  Accurate records of the grantees receiving Ryan White HIV/AIDS Program funding, services provided, and clients served continue to be critical to the implementation of the legislation and thus are necessary for HRSA to fulfill its responsibilities.  Client</w:t>
      </w:r>
      <w:r w:rsidR="006E5513">
        <w:rPr>
          <w:rFonts w:ascii="Times New Roman" w:hAnsi="Times New Roman" w:cs="Times New Roman"/>
          <w:sz w:val="24"/>
          <w:szCs w:val="24"/>
        </w:rPr>
        <w:t>-</w:t>
      </w:r>
      <w:r w:rsidRPr="001C34C8">
        <w:rPr>
          <w:rFonts w:ascii="Times New Roman" w:hAnsi="Times New Roman" w:cs="Times New Roman"/>
          <w:sz w:val="24"/>
          <w:szCs w:val="24"/>
        </w:rPr>
        <w:t xml:space="preserve">level data enables HRSA to monitor the ability of the ADAP program to reach populations impacted by the HIV/AIDS epidemic, while ensuring that programmatic objectives such as addressing HIV/AIDS disparities are met.  </w:t>
      </w:r>
    </w:p>
    <w:p w14:paraId="35BED4B6" w14:textId="64EB06ED" w:rsidR="00E647C2" w:rsidRPr="00E647C2" w:rsidRDefault="00E647C2" w:rsidP="00E647C2">
      <w:pPr>
        <w:pStyle w:val="ColorfulList-Accent11"/>
        <w:tabs>
          <w:tab w:val="left" w:pos="288"/>
          <w:tab w:val="left" w:pos="720"/>
          <w:tab w:val="left" w:pos="1058"/>
          <w:tab w:val="left" w:pos="1814"/>
          <w:tab w:val="left" w:pos="2494"/>
          <w:tab w:val="left" w:pos="3132"/>
          <w:tab w:val="left" w:pos="4006"/>
          <w:tab w:val="left" w:pos="4687"/>
          <w:tab w:val="left" w:pos="5443"/>
        </w:tabs>
        <w:ind w:left="0"/>
        <w:rPr>
          <w:rFonts w:ascii="Times New Roman" w:hAnsi="Times New Roman" w:cs="Times New Roman"/>
          <w:sz w:val="24"/>
          <w:szCs w:val="24"/>
        </w:rPr>
      </w:pPr>
      <w:r>
        <w:rPr>
          <w:rFonts w:ascii="Times New Roman" w:hAnsi="Times New Roman" w:cs="Times New Roman"/>
          <w:sz w:val="24"/>
          <w:szCs w:val="24"/>
        </w:rPr>
        <w:t>This extension package will contain minor revisions to data elements within the Client-level variables. Specifically, changes to variable IDs 6 (“Gender”) and 7 (“Transgender”) will include the following changes: the d</w:t>
      </w:r>
      <w:r w:rsidRPr="00E647C2">
        <w:rPr>
          <w:rFonts w:ascii="Times New Roman" w:hAnsi="Times New Roman" w:cs="Times New Roman"/>
          <w:sz w:val="24"/>
          <w:szCs w:val="24"/>
        </w:rPr>
        <w:t>eletion of variable ID 7, “Transgender”</w:t>
      </w:r>
      <w:r>
        <w:rPr>
          <w:rFonts w:ascii="Times New Roman" w:hAnsi="Times New Roman" w:cs="Times New Roman"/>
          <w:sz w:val="24"/>
          <w:szCs w:val="24"/>
        </w:rPr>
        <w:t>; the a</w:t>
      </w:r>
      <w:r w:rsidRPr="00E647C2">
        <w:rPr>
          <w:rFonts w:ascii="Times New Roman" w:hAnsi="Times New Roman" w:cs="Times New Roman"/>
          <w:sz w:val="24"/>
          <w:szCs w:val="24"/>
        </w:rPr>
        <w:t>ddition of “Transgender Male to Female”, “Transgender Female to Male”, and “Transgender Other” as response options for variable ID 6, “Gender”</w:t>
      </w:r>
      <w:r>
        <w:rPr>
          <w:rFonts w:ascii="Times New Roman" w:hAnsi="Times New Roman" w:cs="Times New Roman"/>
          <w:sz w:val="24"/>
          <w:szCs w:val="24"/>
        </w:rPr>
        <w:t>; and the d</w:t>
      </w:r>
      <w:r w:rsidRPr="00E647C2">
        <w:rPr>
          <w:rFonts w:ascii="Times New Roman" w:hAnsi="Times New Roman" w:cs="Times New Roman"/>
          <w:sz w:val="24"/>
          <w:szCs w:val="24"/>
        </w:rPr>
        <w:t>eletion of “Unknown” as a response option for variable ID 6, “Gender”.</w:t>
      </w:r>
      <w:r>
        <w:rPr>
          <w:rFonts w:ascii="Times New Roman" w:hAnsi="Times New Roman" w:cs="Times New Roman"/>
          <w:sz w:val="24"/>
          <w:szCs w:val="24"/>
        </w:rPr>
        <w:t xml:space="preserve"> These modifications will allow HRSA to align it</w:t>
      </w:r>
      <w:r w:rsidR="006E5513">
        <w:rPr>
          <w:rFonts w:ascii="Times New Roman" w:hAnsi="Times New Roman" w:cs="Times New Roman"/>
          <w:sz w:val="24"/>
          <w:szCs w:val="24"/>
        </w:rPr>
        <w:t>s</w:t>
      </w:r>
      <w:r>
        <w:rPr>
          <w:rFonts w:ascii="Times New Roman" w:hAnsi="Times New Roman" w:cs="Times New Roman"/>
          <w:sz w:val="24"/>
          <w:szCs w:val="24"/>
        </w:rPr>
        <w:t xml:space="preserve"> data collection efforts across all of its reports. </w:t>
      </w:r>
    </w:p>
    <w:p w14:paraId="1D491E7E" w14:textId="77777777" w:rsidR="00D71778" w:rsidRPr="001C34C8" w:rsidRDefault="00D71778">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sidRPr="001C34C8">
        <w:rPr>
          <w:rFonts w:ascii="Times New Roman" w:hAnsi="Times New Roman" w:cs="Times New Roman"/>
          <w:sz w:val="24"/>
          <w:szCs w:val="24"/>
          <w:u w:val="single"/>
        </w:rPr>
        <w:t>Purpose and Use of Information</w:t>
      </w:r>
      <w:r w:rsidR="00D17D63">
        <w:rPr>
          <w:rFonts w:ascii="Times New Roman" w:hAnsi="Times New Roman" w:cs="Times New Roman"/>
          <w:sz w:val="24"/>
          <w:szCs w:val="24"/>
          <w:u w:val="single"/>
        </w:rPr>
        <w:t xml:space="preserve"> Collection</w:t>
      </w:r>
    </w:p>
    <w:p w14:paraId="19239254" w14:textId="1E93EE3B" w:rsidR="00D71778" w:rsidRPr="001C34C8" w:rsidRDefault="00D71778">
      <w:pPr>
        <w:tabs>
          <w:tab w:val="left" w:pos="288"/>
          <w:tab w:val="left" w:pos="720"/>
          <w:tab w:val="left" w:pos="1058"/>
          <w:tab w:val="left" w:pos="1814"/>
          <w:tab w:val="left" w:pos="2494"/>
          <w:tab w:val="left" w:pos="3132"/>
          <w:tab w:val="left" w:pos="4006"/>
          <w:tab w:val="left" w:pos="4687"/>
          <w:tab w:val="left" w:pos="5443"/>
        </w:tabs>
        <w:rPr>
          <w:rFonts w:ascii="Times New Roman" w:hAnsi="Times New Roman" w:cs="Times New Roman"/>
          <w:sz w:val="24"/>
          <w:szCs w:val="24"/>
        </w:rPr>
      </w:pPr>
      <w:r w:rsidRPr="001C34C8">
        <w:rPr>
          <w:rFonts w:ascii="Times New Roman" w:hAnsi="Times New Roman" w:cs="Times New Roman"/>
          <w:sz w:val="24"/>
          <w:szCs w:val="24"/>
        </w:rPr>
        <w:t>The Ryan White HIV/AIDS Program requires the submission of annual reports by the Secretary of HHS to the appropriate committees of Congress.  The collection of grantee-level and client</w:t>
      </w:r>
      <w:r w:rsidR="009C20E7">
        <w:rPr>
          <w:rFonts w:ascii="Times New Roman" w:hAnsi="Times New Roman" w:cs="Times New Roman"/>
          <w:sz w:val="24"/>
          <w:szCs w:val="24"/>
        </w:rPr>
        <w:t>-</w:t>
      </w:r>
      <w:r w:rsidRPr="001C34C8">
        <w:rPr>
          <w:rFonts w:ascii="Times New Roman" w:hAnsi="Times New Roman" w:cs="Times New Roman"/>
          <w:sz w:val="24"/>
          <w:szCs w:val="24"/>
        </w:rPr>
        <w:t xml:space="preserve">level data enables HRSA to more effectively respond to requests from the Secretary of HHS.   In </w:t>
      </w:r>
      <w:r w:rsidRPr="001C34C8">
        <w:rPr>
          <w:rFonts w:ascii="Times New Roman" w:hAnsi="Times New Roman" w:cs="Times New Roman"/>
          <w:sz w:val="24"/>
          <w:szCs w:val="24"/>
        </w:rPr>
        <w:lastRenderedPageBreak/>
        <w:t>addition, client-level information is needed by HRSA in order to respond to the request for reviews of program performance and information for strategic planning.   Client-level data is also needed to support the implementation and monitoring of the National HIV/AIDS Strategy (NHAS).</w:t>
      </w:r>
    </w:p>
    <w:p w14:paraId="04B17018" w14:textId="73CA5932" w:rsidR="00D71778" w:rsidRPr="001C34C8" w:rsidRDefault="00D71778">
      <w:pPr>
        <w:pStyle w:val="ColorfulList-Accent11"/>
        <w:tabs>
          <w:tab w:val="left" w:pos="288"/>
          <w:tab w:val="left" w:pos="1058"/>
          <w:tab w:val="left" w:pos="1814"/>
          <w:tab w:val="left" w:pos="2494"/>
          <w:tab w:val="left" w:pos="3132"/>
          <w:tab w:val="left" w:pos="4006"/>
          <w:tab w:val="left" w:pos="4687"/>
          <w:tab w:val="left" w:pos="5443"/>
        </w:tabs>
        <w:ind w:left="3"/>
        <w:rPr>
          <w:rFonts w:ascii="Times New Roman" w:hAnsi="Times New Roman" w:cs="Times New Roman"/>
          <w:sz w:val="24"/>
          <w:szCs w:val="24"/>
        </w:rPr>
      </w:pPr>
      <w:r w:rsidRPr="001C34C8">
        <w:rPr>
          <w:rFonts w:ascii="Times New Roman" w:hAnsi="Times New Roman" w:cs="Times New Roman"/>
          <w:sz w:val="24"/>
          <w:szCs w:val="24"/>
        </w:rPr>
        <w:t xml:space="preserve">In selecting the variables to include in the ADR, HRSA’s goal was to collect only the data necessary to respond to inquiries from Congress and other stakeholders and to fully reflect the program.   </w:t>
      </w:r>
      <w:r w:rsidR="004338C0">
        <w:rPr>
          <w:rFonts w:ascii="Times New Roman" w:hAnsi="Times New Roman" w:cs="Times New Roman"/>
          <w:sz w:val="24"/>
          <w:szCs w:val="24"/>
        </w:rPr>
        <w:t>The ADR will be submitted annually in June</w:t>
      </w:r>
      <w:r w:rsidR="00CE66CA">
        <w:rPr>
          <w:rFonts w:ascii="Times New Roman" w:hAnsi="Times New Roman" w:cs="Times New Roman"/>
          <w:sz w:val="24"/>
          <w:szCs w:val="24"/>
        </w:rPr>
        <w:t>.</w:t>
      </w:r>
      <w:r w:rsidR="004338C0">
        <w:rPr>
          <w:rFonts w:ascii="Times New Roman" w:hAnsi="Times New Roman" w:cs="Times New Roman"/>
          <w:sz w:val="24"/>
          <w:szCs w:val="24"/>
        </w:rPr>
        <w:t xml:space="preserve"> </w:t>
      </w:r>
      <w:r w:rsidRPr="001C34C8">
        <w:rPr>
          <w:rFonts w:ascii="Times New Roman" w:hAnsi="Times New Roman" w:cs="Times New Roman"/>
          <w:sz w:val="24"/>
          <w:szCs w:val="24"/>
        </w:rPr>
        <w:t>The ADR consists of two components – the grantee-level variables (Grantee Report) and client-level variables (Client Report</w:t>
      </w:r>
      <w:r w:rsidR="006E5513">
        <w:rPr>
          <w:rFonts w:ascii="Times New Roman" w:hAnsi="Times New Roman" w:cs="Times New Roman"/>
          <w:sz w:val="24"/>
          <w:szCs w:val="24"/>
        </w:rPr>
        <w:t>)</w:t>
      </w:r>
      <w:r w:rsidRPr="001C34C8">
        <w:rPr>
          <w:rFonts w:ascii="Times New Roman" w:hAnsi="Times New Roman" w:cs="Times New Roman"/>
          <w:sz w:val="24"/>
          <w:szCs w:val="24"/>
        </w:rPr>
        <w:t xml:space="preserve">. The Grantee Report consists of </w:t>
      </w:r>
      <w:r w:rsidR="00CD1904">
        <w:rPr>
          <w:rFonts w:ascii="Times New Roman" w:hAnsi="Times New Roman" w:cs="Times New Roman"/>
          <w:sz w:val="24"/>
          <w:szCs w:val="24"/>
        </w:rPr>
        <w:t>11</w:t>
      </w:r>
      <w:r w:rsidR="00CD1904" w:rsidRPr="001C34C8">
        <w:rPr>
          <w:rFonts w:ascii="Times New Roman" w:hAnsi="Times New Roman" w:cs="Times New Roman"/>
          <w:sz w:val="24"/>
          <w:szCs w:val="24"/>
        </w:rPr>
        <w:t xml:space="preserve"> </w:t>
      </w:r>
      <w:r w:rsidRPr="001C34C8">
        <w:rPr>
          <w:rFonts w:ascii="Times New Roman" w:hAnsi="Times New Roman" w:cs="Times New Roman"/>
          <w:sz w:val="24"/>
          <w:szCs w:val="24"/>
        </w:rPr>
        <w:t xml:space="preserve">items divided into </w:t>
      </w:r>
      <w:r w:rsidR="00CD1904">
        <w:rPr>
          <w:rFonts w:ascii="Times New Roman" w:hAnsi="Times New Roman" w:cs="Times New Roman"/>
          <w:sz w:val="24"/>
          <w:szCs w:val="24"/>
        </w:rPr>
        <w:t>two</w:t>
      </w:r>
      <w:r w:rsidR="00CD1904" w:rsidRPr="001C34C8">
        <w:rPr>
          <w:rFonts w:ascii="Times New Roman" w:hAnsi="Times New Roman" w:cs="Times New Roman"/>
          <w:sz w:val="24"/>
          <w:szCs w:val="24"/>
        </w:rPr>
        <w:t xml:space="preserve"> </w:t>
      </w:r>
      <w:r w:rsidRPr="001C34C8">
        <w:rPr>
          <w:rFonts w:ascii="Times New Roman" w:hAnsi="Times New Roman" w:cs="Times New Roman"/>
          <w:sz w:val="24"/>
          <w:szCs w:val="24"/>
        </w:rPr>
        <w:t xml:space="preserve">sections: </w:t>
      </w:r>
    </w:p>
    <w:p w14:paraId="2625F873" w14:textId="77777777" w:rsidR="00D71778" w:rsidRPr="001C34C8" w:rsidRDefault="00D71778" w:rsidP="00D71778">
      <w:pPr>
        <w:pStyle w:val="ColorfulList-Accent11"/>
        <w:numPr>
          <w:ilvl w:val="0"/>
          <w:numId w:val="4"/>
        </w:numPr>
        <w:tabs>
          <w:tab w:val="left" w:pos="288"/>
          <w:tab w:val="left" w:pos="720"/>
          <w:tab w:val="left" w:pos="1814"/>
          <w:tab w:val="left" w:pos="2494"/>
          <w:tab w:val="left" w:pos="3132"/>
          <w:tab w:val="left" w:pos="4006"/>
          <w:tab w:val="left" w:pos="4687"/>
          <w:tab w:val="left" w:pos="5443"/>
        </w:tabs>
        <w:spacing w:after="0"/>
        <w:ind w:left="734" w:hanging="547"/>
        <w:rPr>
          <w:rFonts w:ascii="Times New Roman" w:hAnsi="Times New Roman" w:cs="Times New Roman"/>
          <w:sz w:val="24"/>
          <w:szCs w:val="24"/>
        </w:rPr>
      </w:pPr>
      <w:r w:rsidRPr="001C34C8">
        <w:rPr>
          <w:rFonts w:ascii="Times New Roman" w:hAnsi="Times New Roman" w:cs="Times New Roman"/>
          <w:sz w:val="24"/>
          <w:szCs w:val="24"/>
        </w:rPr>
        <w:t xml:space="preserve">Grantee Contact Information – This includes the name of the grantee as well as grant number, DUNS number, address, </w:t>
      </w:r>
      <w:r w:rsidR="00CD1904">
        <w:rPr>
          <w:rFonts w:ascii="Times New Roman" w:hAnsi="Times New Roman" w:cs="Times New Roman"/>
          <w:sz w:val="24"/>
          <w:szCs w:val="24"/>
        </w:rPr>
        <w:t xml:space="preserve">and </w:t>
      </w:r>
      <w:r w:rsidRPr="001C34C8">
        <w:rPr>
          <w:rFonts w:ascii="Times New Roman" w:hAnsi="Times New Roman" w:cs="Times New Roman"/>
          <w:sz w:val="24"/>
          <w:szCs w:val="24"/>
        </w:rPr>
        <w:t>contact information</w:t>
      </w:r>
      <w:r w:rsidR="00CD1904">
        <w:rPr>
          <w:rFonts w:ascii="Times New Roman" w:hAnsi="Times New Roman" w:cs="Times New Roman"/>
          <w:sz w:val="24"/>
          <w:szCs w:val="24"/>
        </w:rPr>
        <w:t xml:space="preserve"> of the person completing the report</w:t>
      </w:r>
      <w:r w:rsidRPr="001C34C8">
        <w:rPr>
          <w:rFonts w:ascii="Times New Roman" w:hAnsi="Times New Roman" w:cs="Times New Roman"/>
          <w:sz w:val="24"/>
          <w:szCs w:val="24"/>
        </w:rPr>
        <w:t>;</w:t>
      </w:r>
    </w:p>
    <w:p w14:paraId="19B9224E" w14:textId="77777777" w:rsidR="00D71778" w:rsidRPr="001C34C8" w:rsidRDefault="00D71778" w:rsidP="00D71778">
      <w:pPr>
        <w:pStyle w:val="ColorfulList-Accent11"/>
        <w:numPr>
          <w:ilvl w:val="0"/>
          <w:numId w:val="4"/>
        </w:numPr>
        <w:tabs>
          <w:tab w:val="left" w:pos="288"/>
          <w:tab w:val="left" w:pos="720"/>
          <w:tab w:val="left" w:pos="1814"/>
          <w:tab w:val="left" w:pos="2494"/>
          <w:tab w:val="left" w:pos="3132"/>
          <w:tab w:val="left" w:pos="4006"/>
          <w:tab w:val="left" w:pos="4687"/>
          <w:tab w:val="left" w:pos="5443"/>
        </w:tabs>
        <w:spacing w:after="0"/>
        <w:ind w:left="734" w:hanging="547"/>
        <w:rPr>
          <w:rFonts w:ascii="Times New Roman" w:hAnsi="Times New Roman" w:cs="Times New Roman"/>
          <w:sz w:val="24"/>
          <w:szCs w:val="24"/>
        </w:rPr>
      </w:pPr>
      <w:r w:rsidRPr="001C34C8">
        <w:rPr>
          <w:rFonts w:ascii="Times New Roman" w:hAnsi="Times New Roman" w:cs="Times New Roman"/>
          <w:sz w:val="24"/>
          <w:szCs w:val="24"/>
        </w:rPr>
        <w:t>Programmatic Summary Submission – This includes program administration such as ADAP program limits and federal poverty level eligibility requirements, as well as funding, expenditures, and medications on the ADAP formulary and</w:t>
      </w:r>
      <w:r w:rsidR="00CD1904">
        <w:rPr>
          <w:rFonts w:ascii="Times New Roman" w:hAnsi="Times New Roman" w:cs="Times New Roman"/>
          <w:sz w:val="24"/>
          <w:szCs w:val="24"/>
        </w:rPr>
        <w:t xml:space="preserve"> cost saving strategies.</w:t>
      </w:r>
    </w:p>
    <w:p w14:paraId="6E65CB99" w14:textId="77777777" w:rsidR="00D71778" w:rsidRPr="001C34C8" w:rsidRDefault="00D71778" w:rsidP="00D71778">
      <w:pPr>
        <w:pStyle w:val="ColorfulList-Accent11"/>
        <w:tabs>
          <w:tab w:val="left" w:pos="288"/>
          <w:tab w:val="left" w:pos="720"/>
          <w:tab w:val="left" w:pos="1814"/>
          <w:tab w:val="left" w:pos="2494"/>
          <w:tab w:val="left" w:pos="3132"/>
          <w:tab w:val="left" w:pos="4006"/>
          <w:tab w:val="left" w:pos="4687"/>
          <w:tab w:val="left" w:pos="5443"/>
        </w:tabs>
        <w:spacing w:after="0"/>
        <w:ind w:left="187"/>
        <w:rPr>
          <w:rFonts w:ascii="Times New Roman" w:hAnsi="Times New Roman" w:cs="Times New Roman"/>
          <w:sz w:val="24"/>
          <w:szCs w:val="24"/>
        </w:rPr>
      </w:pPr>
    </w:p>
    <w:p w14:paraId="52408E70" w14:textId="77777777" w:rsidR="00D71778" w:rsidRPr="001C34C8" w:rsidRDefault="00D71778">
      <w:pPr>
        <w:pStyle w:val="ColorfulList-Accent11"/>
        <w:tabs>
          <w:tab w:val="left" w:pos="288"/>
          <w:tab w:val="left" w:pos="1058"/>
          <w:tab w:val="left" w:pos="1814"/>
          <w:tab w:val="left" w:pos="2494"/>
          <w:tab w:val="left" w:pos="3132"/>
          <w:tab w:val="left" w:pos="4006"/>
          <w:tab w:val="left" w:pos="4687"/>
          <w:tab w:val="left" w:pos="5443"/>
        </w:tabs>
        <w:ind w:left="0"/>
        <w:rPr>
          <w:rFonts w:ascii="Times New Roman" w:hAnsi="Times New Roman" w:cs="Times New Roman"/>
          <w:sz w:val="24"/>
          <w:szCs w:val="24"/>
        </w:rPr>
      </w:pPr>
      <w:r w:rsidRPr="001C34C8">
        <w:rPr>
          <w:rFonts w:ascii="Times New Roman" w:hAnsi="Times New Roman" w:cs="Times New Roman"/>
          <w:sz w:val="24"/>
          <w:szCs w:val="24"/>
        </w:rPr>
        <w:t xml:space="preserve">Grantees will report data on ADAP clients in the Client Report.  A client is a patient who is determined to be eligible and enrolled in the ADAP.  </w:t>
      </w:r>
      <w:r w:rsidR="004338C0">
        <w:rPr>
          <w:rFonts w:ascii="Times New Roman" w:hAnsi="Times New Roman" w:cs="Times New Roman"/>
          <w:sz w:val="24"/>
          <w:szCs w:val="24"/>
        </w:rPr>
        <w:t xml:space="preserve">Unlike the Grantee Report which reports data based on the grant year, the Client Report will report client data based on the calendar year. </w:t>
      </w:r>
      <w:r w:rsidRPr="001C34C8">
        <w:rPr>
          <w:rFonts w:ascii="Times New Roman" w:hAnsi="Times New Roman" w:cs="Times New Roman"/>
          <w:sz w:val="24"/>
          <w:szCs w:val="24"/>
        </w:rPr>
        <w:t xml:space="preserve">Some data will be required for all clients (i.e., demographic and enrollment information); additional data will be required for clients who received a service (i.e., service, clinical and cost information).  The Client Report consists of </w:t>
      </w:r>
      <w:r w:rsidR="00CD1904">
        <w:rPr>
          <w:rFonts w:ascii="Times New Roman" w:hAnsi="Times New Roman" w:cs="Times New Roman"/>
          <w:sz w:val="24"/>
          <w:szCs w:val="24"/>
        </w:rPr>
        <w:t xml:space="preserve">34 </w:t>
      </w:r>
      <w:r w:rsidRPr="001C34C8">
        <w:rPr>
          <w:rFonts w:ascii="Times New Roman" w:hAnsi="Times New Roman" w:cs="Times New Roman"/>
          <w:sz w:val="24"/>
          <w:szCs w:val="24"/>
        </w:rPr>
        <w:t xml:space="preserve">items divided into five sections: </w:t>
      </w:r>
    </w:p>
    <w:p w14:paraId="11A54139" w14:textId="77777777" w:rsidR="00D71778" w:rsidRPr="001C34C8" w:rsidRDefault="00D71778" w:rsidP="00D71778">
      <w:pPr>
        <w:pStyle w:val="ColorfulList-Accent11"/>
        <w:numPr>
          <w:ilvl w:val="0"/>
          <w:numId w:val="3"/>
        </w:numPr>
        <w:tabs>
          <w:tab w:val="left" w:pos="288"/>
          <w:tab w:val="left" w:pos="720"/>
          <w:tab w:val="left" w:pos="1814"/>
          <w:tab w:val="left" w:pos="2494"/>
          <w:tab w:val="left" w:pos="3132"/>
          <w:tab w:val="left" w:pos="4006"/>
          <w:tab w:val="left" w:pos="4687"/>
          <w:tab w:val="left" w:pos="5443"/>
        </w:tabs>
        <w:spacing w:after="0"/>
        <w:ind w:left="734" w:hanging="547"/>
        <w:rPr>
          <w:rFonts w:ascii="Times New Roman" w:hAnsi="Times New Roman" w:cs="Times New Roman"/>
          <w:sz w:val="24"/>
          <w:szCs w:val="24"/>
        </w:rPr>
      </w:pPr>
      <w:r w:rsidRPr="001C34C8">
        <w:rPr>
          <w:rFonts w:ascii="Times New Roman" w:hAnsi="Times New Roman" w:cs="Times New Roman"/>
          <w:sz w:val="24"/>
          <w:szCs w:val="24"/>
        </w:rPr>
        <w:t>Client Demographics – This includes race, ethnicity, gender, and year of birth as well as poverty status,</w:t>
      </w:r>
      <w:r w:rsidR="00CD1904">
        <w:rPr>
          <w:rFonts w:ascii="Times New Roman" w:hAnsi="Times New Roman" w:cs="Times New Roman"/>
          <w:sz w:val="24"/>
          <w:szCs w:val="24"/>
        </w:rPr>
        <w:t xml:space="preserve"> and</w:t>
      </w:r>
      <w:r w:rsidRPr="001C34C8">
        <w:rPr>
          <w:rFonts w:ascii="Times New Roman" w:hAnsi="Times New Roman" w:cs="Times New Roman"/>
          <w:sz w:val="24"/>
          <w:szCs w:val="24"/>
        </w:rPr>
        <w:t xml:space="preserve"> health insurance coverage;</w:t>
      </w:r>
    </w:p>
    <w:p w14:paraId="0BC3D5B7" w14:textId="77777777" w:rsidR="00D71778" w:rsidRPr="001C34C8" w:rsidRDefault="00D71778" w:rsidP="00D71778">
      <w:pPr>
        <w:pStyle w:val="ColorfulList-Accent11"/>
        <w:numPr>
          <w:ilvl w:val="0"/>
          <w:numId w:val="3"/>
        </w:numPr>
        <w:tabs>
          <w:tab w:val="left" w:pos="288"/>
          <w:tab w:val="left" w:pos="720"/>
          <w:tab w:val="left" w:pos="1814"/>
          <w:tab w:val="left" w:pos="2494"/>
          <w:tab w:val="left" w:pos="3132"/>
          <w:tab w:val="left" w:pos="4006"/>
          <w:tab w:val="left" w:pos="4687"/>
          <w:tab w:val="left" w:pos="5443"/>
        </w:tabs>
        <w:spacing w:after="0"/>
        <w:ind w:left="734" w:hanging="547"/>
        <w:rPr>
          <w:rFonts w:ascii="Times New Roman" w:hAnsi="Times New Roman" w:cs="Times New Roman"/>
          <w:sz w:val="24"/>
          <w:szCs w:val="24"/>
        </w:rPr>
      </w:pPr>
      <w:r w:rsidRPr="001C34C8">
        <w:rPr>
          <w:rFonts w:ascii="Times New Roman" w:hAnsi="Times New Roman" w:cs="Times New Roman"/>
          <w:sz w:val="24"/>
          <w:szCs w:val="24"/>
        </w:rPr>
        <w:t>Clinical Information – This includes the most recent CD4 and viral load counts, including the dates on which the blood tests were completed;</w:t>
      </w:r>
    </w:p>
    <w:p w14:paraId="72EA952F" w14:textId="77777777" w:rsidR="00D71778" w:rsidRPr="001C34C8" w:rsidRDefault="00D71778" w:rsidP="00D71778">
      <w:pPr>
        <w:pStyle w:val="ColorfulList-Accent11"/>
        <w:numPr>
          <w:ilvl w:val="0"/>
          <w:numId w:val="3"/>
        </w:numPr>
        <w:tabs>
          <w:tab w:val="left" w:pos="288"/>
          <w:tab w:val="left" w:pos="720"/>
          <w:tab w:val="left" w:pos="1814"/>
          <w:tab w:val="left" w:pos="2494"/>
          <w:tab w:val="left" w:pos="3132"/>
          <w:tab w:val="left" w:pos="4006"/>
          <w:tab w:val="left" w:pos="4687"/>
          <w:tab w:val="left" w:pos="5443"/>
        </w:tabs>
        <w:spacing w:after="0"/>
        <w:ind w:left="734" w:hanging="547"/>
        <w:rPr>
          <w:rFonts w:ascii="Times New Roman" w:hAnsi="Times New Roman" w:cs="Times New Roman"/>
          <w:sz w:val="24"/>
          <w:szCs w:val="24"/>
        </w:rPr>
      </w:pPr>
      <w:r w:rsidRPr="001C34C8">
        <w:rPr>
          <w:rFonts w:ascii="Times New Roman" w:hAnsi="Times New Roman" w:cs="Times New Roman"/>
          <w:sz w:val="24"/>
          <w:szCs w:val="24"/>
        </w:rPr>
        <w:t>Enrollment and Certification – For new clients, ADAPs will be required to report application date, approval date and date of first service. For all clients (both new and existing), the dates that clients were determined to be eligible to continue to receive ADAP services, client’s enrollment status as of the end of the reporting period and reason(s) for disenrollment (if applicable) will be required to be reported;</w:t>
      </w:r>
    </w:p>
    <w:p w14:paraId="2C6A25C2" w14:textId="77777777" w:rsidR="00D71778" w:rsidRPr="001C34C8" w:rsidRDefault="00D71778" w:rsidP="00D71778">
      <w:pPr>
        <w:pStyle w:val="ColorfulList-Accent11"/>
        <w:numPr>
          <w:ilvl w:val="0"/>
          <w:numId w:val="3"/>
        </w:numPr>
        <w:tabs>
          <w:tab w:val="left" w:pos="288"/>
          <w:tab w:val="left" w:pos="720"/>
          <w:tab w:val="left" w:pos="1814"/>
          <w:tab w:val="left" w:pos="2494"/>
          <w:tab w:val="left" w:pos="3132"/>
          <w:tab w:val="left" w:pos="4006"/>
          <w:tab w:val="left" w:pos="4687"/>
          <w:tab w:val="left" w:pos="5443"/>
        </w:tabs>
        <w:spacing w:after="0"/>
        <w:ind w:left="734" w:hanging="547"/>
        <w:rPr>
          <w:rFonts w:ascii="Times New Roman" w:hAnsi="Times New Roman" w:cs="Times New Roman"/>
          <w:sz w:val="24"/>
          <w:szCs w:val="24"/>
        </w:rPr>
      </w:pPr>
      <w:r w:rsidRPr="001C34C8">
        <w:rPr>
          <w:rFonts w:ascii="Times New Roman" w:hAnsi="Times New Roman" w:cs="Times New Roman"/>
          <w:sz w:val="24"/>
          <w:szCs w:val="24"/>
        </w:rPr>
        <w:t>ADAP Services Received</w:t>
      </w:r>
      <w:r w:rsidR="00026C29">
        <w:rPr>
          <w:rFonts w:ascii="Times New Roman" w:hAnsi="Times New Roman" w:cs="Times New Roman"/>
          <w:sz w:val="24"/>
          <w:szCs w:val="24"/>
        </w:rPr>
        <w:t xml:space="preserve"> – </w:t>
      </w:r>
      <w:r w:rsidRPr="001C34C8">
        <w:rPr>
          <w:rFonts w:ascii="Times New Roman" w:hAnsi="Times New Roman" w:cs="Times New Roman"/>
          <w:sz w:val="24"/>
          <w:szCs w:val="24"/>
        </w:rPr>
        <w:t xml:space="preserve">For clients receiving ADAP-funded insurance services, </w:t>
      </w:r>
      <w:r w:rsidR="00CD1904">
        <w:rPr>
          <w:rFonts w:ascii="Times New Roman" w:hAnsi="Times New Roman" w:cs="Times New Roman"/>
          <w:sz w:val="24"/>
          <w:szCs w:val="24"/>
        </w:rPr>
        <w:t xml:space="preserve">type of ADAP-funded insurance assistance, </w:t>
      </w:r>
      <w:r w:rsidRPr="001C34C8">
        <w:rPr>
          <w:rFonts w:ascii="Times New Roman" w:hAnsi="Times New Roman" w:cs="Times New Roman"/>
          <w:sz w:val="24"/>
          <w:szCs w:val="24"/>
        </w:rPr>
        <w:t>total insurance premium paid and number of months this payment covered,</w:t>
      </w:r>
      <w:r w:rsidR="00B402C0">
        <w:rPr>
          <w:rFonts w:ascii="Times New Roman" w:hAnsi="Times New Roman" w:cs="Times New Roman"/>
          <w:sz w:val="24"/>
          <w:szCs w:val="24"/>
        </w:rPr>
        <w:t xml:space="preserve"> and</w:t>
      </w:r>
      <w:r w:rsidRPr="001C34C8">
        <w:rPr>
          <w:rFonts w:ascii="Times New Roman" w:hAnsi="Times New Roman" w:cs="Times New Roman"/>
          <w:sz w:val="24"/>
          <w:szCs w:val="24"/>
        </w:rPr>
        <w:t xml:space="preserve"> total deductible and copays, will be required to be reported in this section;</w:t>
      </w:r>
    </w:p>
    <w:p w14:paraId="7F375CB6" w14:textId="77777777" w:rsidR="00D71778" w:rsidRPr="00CD1904" w:rsidRDefault="00D71778" w:rsidP="00D71778">
      <w:pPr>
        <w:pStyle w:val="ColorfulList-Accent11"/>
        <w:numPr>
          <w:ilvl w:val="0"/>
          <w:numId w:val="3"/>
        </w:numPr>
        <w:tabs>
          <w:tab w:val="left" w:pos="288"/>
          <w:tab w:val="left" w:pos="720"/>
          <w:tab w:val="left" w:pos="1814"/>
          <w:tab w:val="left" w:pos="2494"/>
          <w:tab w:val="left" w:pos="3132"/>
          <w:tab w:val="left" w:pos="4006"/>
          <w:tab w:val="left" w:pos="4687"/>
          <w:tab w:val="left" w:pos="5443"/>
        </w:tabs>
        <w:spacing w:after="0"/>
        <w:ind w:left="734" w:hanging="547"/>
        <w:rPr>
          <w:rFonts w:ascii="Times New Roman" w:hAnsi="Times New Roman" w:cs="Times New Roman"/>
          <w:sz w:val="24"/>
          <w:szCs w:val="24"/>
        </w:rPr>
      </w:pPr>
      <w:r w:rsidRPr="00CD1904">
        <w:rPr>
          <w:rFonts w:ascii="Times New Roman" w:hAnsi="Times New Roman" w:cs="Times New Roman"/>
          <w:sz w:val="24"/>
          <w:szCs w:val="24"/>
        </w:rPr>
        <w:t>Drugs and Drug Expenditures – The five</w:t>
      </w:r>
      <w:r w:rsidR="00CE66CA">
        <w:rPr>
          <w:rFonts w:ascii="Times New Roman" w:hAnsi="Times New Roman" w:cs="Times New Roman"/>
          <w:sz w:val="24"/>
          <w:szCs w:val="24"/>
        </w:rPr>
        <w:t>-</w:t>
      </w:r>
      <w:r w:rsidRPr="00CD1904">
        <w:rPr>
          <w:rFonts w:ascii="Times New Roman" w:hAnsi="Times New Roman" w:cs="Times New Roman"/>
          <w:sz w:val="24"/>
          <w:szCs w:val="24"/>
        </w:rPr>
        <w:t xml:space="preserve">digit drug code, start date, </w:t>
      </w:r>
      <w:r w:rsidR="00026C29" w:rsidRPr="00CD1904">
        <w:rPr>
          <w:rFonts w:ascii="Times New Roman" w:hAnsi="Times New Roman" w:cs="Times New Roman"/>
          <w:sz w:val="24"/>
          <w:szCs w:val="24"/>
        </w:rPr>
        <w:t>days’</w:t>
      </w:r>
      <w:r w:rsidRPr="00CD1904">
        <w:rPr>
          <w:rFonts w:ascii="Times New Roman" w:hAnsi="Times New Roman" w:cs="Times New Roman"/>
          <w:sz w:val="24"/>
          <w:szCs w:val="24"/>
        </w:rPr>
        <w:t xml:space="preserve"> supply and cost will need to be reported for all clients for whom an ADAP-funded medication was dispensed during the reporting period. If ADAP programs collect dispensing fees separately, that information will need to be reported as well.</w:t>
      </w:r>
    </w:p>
    <w:p w14:paraId="09ECBF23" w14:textId="77777777" w:rsidR="00D71778" w:rsidRPr="00CD1904" w:rsidRDefault="00D71778" w:rsidP="00D71778">
      <w:pPr>
        <w:pStyle w:val="ColorfulList-Accent11"/>
        <w:tabs>
          <w:tab w:val="left" w:pos="288"/>
          <w:tab w:val="left" w:pos="720"/>
          <w:tab w:val="left" w:pos="1814"/>
          <w:tab w:val="left" w:pos="2494"/>
          <w:tab w:val="left" w:pos="3132"/>
          <w:tab w:val="left" w:pos="4006"/>
          <w:tab w:val="left" w:pos="4687"/>
          <w:tab w:val="left" w:pos="5443"/>
        </w:tabs>
        <w:spacing w:after="0"/>
        <w:ind w:left="734"/>
        <w:rPr>
          <w:rFonts w:ascii="Times New Roman" w:hAnsi="Times New Roman" w:cs="Times New Roman"/>
          <w:sz w:val="24"/>
          <w:szCs w:val="24"/>
        </w:rPr>
      </w:pPr>
    </w:p>
    <w:p w14:paraId="5A6D4F7F" w14:textId="2C2702DC" w:rsidR="00D71778" w:rsidRPr="001C34C8" w:rsidRDefault="00D71778" w:rsidP="00D71778">
      <w:pPr>
        <w:pStyle w:val="ColorfulList-Accent11"/>
        <w:tabs>
          <w:tab w:val="left" w:pos="288"/>
          <w:tab w:val="left" w:pos="1058"/>
          <w:tab w:val="left" w:pos="1814"/>
          <w:tab w:val="left" w:pos="2494"/>
          <w:tab w:val="left" w:pos="3132"/>
          <w:tab w:val="left" w:pos="4006"/>
          <w:tab w:val="left" w:pos="4687"/>
          <w:tab w:val="left" w:pos="5443"/>
        </w:tabs>
        <w:ind w:left="0"/>
        <w:rPr>
          <w:rFonts w:ascii="Times New Roman" w:hAnsi="Times New Roman" w:cs="Times New Roman"/>
          <w:sz w:val="24"/>
          <w:szCs w:val="24"/>
        </w:rPr>
      </w:pPr>
      <w:r w:rsidRPr="00CD1904">
        <w:rPr>
          <w:rFonts w:ascii="Times New Roman" w:hAnsi="Times New Roman" w:cs="Times New Roman"/>
          <w:sz w:val="24"/>
          <w:szCs w:val="24"/>
        </w:rPr>
        <w:t xml:space="preserve">The client-level data requested in the ADR </w:t>
      </w:r>
      <w:r w:rsidRPr="001C34C8">
        <w:rPr>
          <w:rFonts w:ascii="Times New Roman" w:hAnsi="Times New Roman" w:cs="Times New Roman"/>
          <w:sz w:val="24"/>
          <w:szCs w:val="24"/>
        </w:rPr>
        <w:t xml:space="preserve">enable HRSA to effectively respond to requests from the Secretary of HHS, Congress and other stakeholders as well as monitor performance measures and NHAS implementation.  </w:t>
      </w:r>
      <w:r w:rsidR="009C20E7">
        <w:rPr>
          <w:rFonts w:ascii="Times New Roman" w:hAnsi="Times New Roman" w:cs="Times New Roman"/>
          <w:sz w:val="24"/>
          <w:szCs w:val="24"/>
        </w:rPr>
        <w:t>T</w:t>
      </w:r>
      <w:r w:rsidRPr="001C34C8">
        <w:rPr>
          <w:rFonts w:ascii="Times New Roman" w:hAnsi="Times New Roman" w:cs="Times New Roman"/>
          <w:sz w:val="24"/>
          <w:szCs w:val="24"/>
        </w:rPr>
        <w:t xml:space="preserve">he ADR Client Report variables </w:t>
      </w:r>
      <w:r w:rsidR="009C20E7">
        <w:rPr>
          <w:rFonts w:ascii="Times New Roman" w:hAnsi="Times New Roman" w:cs="Times New Roman"/>
          <w:sz w:val="24"/>
          <w:szCs w:val="24"/>
        </w:rPr>
        <w:t xml:space="preserve">are </w:t>
      </w:r>
      <w:r w:rsidRPr="001C34C8">
        <w:rPr>
          <w:rFonts w:ascii="Times New Roman" w:hAnsi="Times New Roman" w:cs="Times New Roman"/>
          <w:sz w:val="24"/>
          <w:szCs w:val="24"/>
        </w:rPr>
        <w:t>consistent with the variables in its other client-level data reporting system, the Ryan White Services Report</w:t>
      </w:r>
      <w:r w:rsidR="00CE66CA">
        <w:rPr>
          <w:rFonts w:ascii="Times New Roman" w:hAnsi="Times New Roman" w:cs="Times New Roman"/>
          <w:sz w:val="24"/>
          <w:szCs w:val="24"/>
        </w:rPr>
        <w:t xml:space="preserve">. </w:t>
      </w:r>
      <w:r w:rsidRPr="001C34C8">
        <w:rPr>
          <w:rFonts w:ascii="Times New Roman" w:hAnsi="Times New Roman" w:cs="Times New Roman"/>
          <w:sz w:val="24"/>
          <w:szCs w:val="24"/>
        </w:rPr>
        <w:t>Ensuring these systems are complementary enables HRSA to comprehensively fulfill its responsibilities in the administration of grant funds, the allocation of funds, the evaluation of programs for the population served, and the improvement of the quantity and quality of care.</w:t>
      </w:r>
    </w:p>
    <w:p w14:paraId="2E8F944E" w14:textId="77777777" w:rsidR="00D71778" w:rsidRPr="001C34C8" w:rsidRDefault="00D71778" w:rsidP="00D71778">
      <w:pPr>
        <w:rPr>
          <w:rFonts w:ascii="Times New Roman" w:hAnsi="Times New Roman" w:cs="Times New Roman"/>
          <w:sz w:val="24"/>
          <w:szCs w:val="24"/>
        </w:rPr>
      </w:pPr>
      <w:r w:rsidRPr="001C34C8">
        <w:rPr>
          <w:rFonts w:ascii="Times New Roman" w:hAnsi="Times New Roman" w:cs="Times New Roman"/>
          <w:sz w:val="24"/>
          <w:szCs w:val="24"/>
        </w:rPr>
        <w:t>Each year, HRSA will generate descriptive reports about the uses of funds and conduct detailed analyses of national and regional information about clients and services.  Grantees may also generate descriptive reports and conduct analyses for internal use or for use by local planning groups.  HRSA has several resources in place to help grantees use data to improve program performance.</w:t>
      </w:r>
    </w:p>
    <w:p w14:paraId="55392DA8" w14:textId="77777777" w:rsidR="00D71778" w:rsidRPr="001C34C8" w:rsidRDefault="00D71778" w:rsidP="00D71778">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0"/>
        <w:rPr>
          <w:rFonts w:ascii="Times New Roman" w:hAnsi="Times New Roman" w:cs="Times New Roman"/>
          <w:sz w:val="24"/>
          <w:szCs w:val="24"/>
        </w:rPr>
      </w:pPr>
      <w:r w:rsidRPr="001C34C8">
        <w:rPr>
          <w:rFonts w:ascii="Times New Roman" w:hAnsi="Times New Roman" w:cs="Times New Roman"/>
          <w:sz w:val="24"/>
          <w:szCs w:val="24"/>
        </w:rPr>
        <w:t>As previously noted, client</w:t>
      </w:r>
      <w:r w:rsidR="009C20E7">
        <w:rPr>
          <w:rFonts w:ascii="Times New Roman" w:hAnsi="Times New Roman" w:cs="Times New Roman"/>
          <w:sz w:val="24"/>
          <w:szCs w:val="24"/>
        </w:rPr>
        <w:t>-</w:t>
      </w:r>
      <w:r w:rsidRPr="001C34C8">
        <w:rPr>
          <w:rFonts w:ascii="Times New Roman" w:hAnsi="Times New Roman" w:cs="Times New Roman"/>
          <w:sz w:val="24"/>
          <w:szCs w:val="24"/>
        </w:rPr>
        <w:t>level data is necessary to ensure that HRSA can respond to requests from Congress and other stakeholders.  HRSA also requires data to demonstrate the need for funding requests; monitor use of HRSA funds; ensure adherence to grant requirements; assess the impact of services funded by the Ryan White HIV/AIDS Program; and appraise the performance of funded programs.</w:t>
      </w:r>
    </w:p>
    <w:p w14:paraId="0D995E26" w14:textId="77777777" w:rsidR="00D71778" w:rsidRPr="001C34C8" w:rsidRDefault="00D71778" w:rsidP="00D71778">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432"/>
        <w:rPr>
          <w:rFonts w:ascii="Times New Roman" w:hAnsi="Times New Roman" w:cs="Times New Roman"/>
          <w:sz w:val="24"/>
          <w:szCs w:val="24"/>
        </w:rPr>
      </w:pPr>
      <w:r w:rsidRPr="001C34C8">
        <w:rPr>
          <w:rFonts w:ascii="Times New Roman" w:hAnsi="Times New Roman" w:cs="Times New Roman"/>
          <w:sz w:val="24"/>
          <w:szCs w:val="24"/>
          <w:u w:val="single"/>
        </w:rPr>
        <w:t>Use of Improved Information Technology</w:t>
      </w:r>
      <w:r w:rsidR="00D17D63">
        <w:rPr>
          <w:rFonts w:ascii="Times New Roman" w:hAnsi="Times New Roman" w:cs="Times New Roman"/>
          <w:sz w:val="24"/>
          <w:szCs w:val="24"/>
          <w:u w:val="single"/>
        </w:rPr>
        <w:t xml:space="preserve"> and Burden Reduction</w:t>
      </w:r>
    </w:p>
    <w:p w14:paraId="4FBDA2A8" w14:textId="77777777" w:rsidR="00D71778" w:rsidRPr="001C34C8" w:rsidRDefault="00D71778" w:rsidP="00D7177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sidRPr="001C34C8">
        <w:rPr>
          <w:rFonts w:ascii="Times New Roman" w:hAnsi="Times New Roman" w:cs="Times New Roman"/>
          <w:sz w:val="24"/>
          <w:szCs w:val="24"/>
        </w:rPr>
        <w:t xml:space="preserve">This submission of data to HRSA is fully electronic.  In order to submit the ADR, grantees will need access to the Internet. The Grantee report will be completed online through a secure Web-based application accessed through HRSA’s Electronic Handbooks (EHBs).  Some of the items on the Grantee Report will be pre-populated based on information already existing in the system.   This is expected to save grantees time.  Additional items in the Grantee Report will be manually entered using a Web form.  The Client Report will be completed using data collected by the grantee using their own data collection system and uploaded to HRSA’s secure server via the Web application.  Client level data (contained in the Client Report) will need to be in the required Extensible Markup Language (XML) format, with one record for each ADAP client.  The Web application will allow multiple XML uploads to accommodate grantees that maintain data in multiple systems.  When a grantee uploads multiple data files, data for the same client will be merged according to pre-determined rules.  </w:t>
      </w:r>
    </w:p>
    <w:p w14:paraId="3915F27B" w14:textId="77777777" w:rsidR="00D71778" w:rsidRPr="001C34C8" w:rsidRDefault="00D71778" w:rsidP="00D7177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sidRPr="001C34C8">
        <w:rPr>
          <w:rFonts w:ascii="Times New Roman" w:hAnsi="Times New Roman" w:cs="Times New Roman"/>
          <w:sz w:val="24"/>
          <w:szCs w:val="24"/>
        </w:rPr>
        <w:t>Several canned reports will be built into the Web application to allow grantees to review their data prior to submission to HRSA.  In addition, data validation checks will be programmed into the application to automatically check the validity of data in the Grantee and Client reports.  This automatic process is designed to improve the quality of the data submitted to HRSA.</w:t>
      </w:r>
    </w:p>
    <w:p w14:paraId="1A041E4B" w14:textId="77777777" w:rsidR="00D71778" w:rsidRPr="001C34C8" w:rsidRDefault="00D71778" w:rsidP="00D7177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sidRPr="001C34C8">
        <w:rPr>
          <w:rFonts w:ascii="Times New Roman" w:hAnsi="Times New Roman" w:cs="Times New Roman"/>
          <w:sz w:val="24"/>
          <w:szCs w:val="24"/>
        </w:rPr>
        <w:t>Use of information technology varies greatly among grantees. Some grantees have established data systems that are capable of producing the required reports with minimal effort, while other grantees will need technical assistance to establish effective systems.  To comply with the proposed information collection, all grantees will need to either establish or modify, and maintain, a data system that is capable of collecting and reporting the required client-level data elements for clients enrolled in the ADAP.  HRSA anticipates that grantees receiving ADAP funds have data systems that fall into three general categories:  Grantees may use CAREWare, another proprietary vendor system, or a custom system to collect and maintain data on ADAP clients.</w:t>
      </w:r>
    </w:p>
    <w:p w14:paraId="2B0AF345" w14:textId="77777777" w:rsidR="00D71778" w:rsidRPr="001C34C8" w:rsidRDefault="00D71778" w:rsidP="00D7177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sidRPr="001C34C8">
        <w:rPr>
          <w:rFonts w:ascii="Times New Roman" w:hAnsi="Times New Roman" w:cs="Times New Roman"/>
          <w:sz w:val="24"/>
          <w:szCs w:val="24"/>
        </w:rPr>
        <w:t>HRSA has developed its own database system, CAREWare, available at no cost to all Ryan White HIV/AIDS Program grantees as an option for grantees to consider in m</w:t>
      </w:r>
      <w:r w:rsidR="00CE66CA">
        <w:rPr>
          <w:rFonts w:ascii="Times New Roman" w:hAnsi="Times New Roman" w:cs="Times New Roman"/>
          <w:sz w:val="24"/>
          <w:szCs w:val="24"/>
        </w:rPr>
        <w:t xml:space="preserve">eeting their reporting needs. </w:t>
      </w:r>
      <w:r w:rsidRPr="001C34C8">
        <w:rPr>
          <w:rFonts w:ascii="Times New Roman" w:hAnsi="Times New Roman" w:cs="Times New Roman"/>
          <w:sz w:val="24"/>
          <w:szCs w:val="24"/>
        </w:rPr>
        <w:t>CAREWare includes a module specific to ADAP which will be updated to collect all data required for the ADR and to submit the data in the required XML format.  In addition, as with the RSR, HRSA will offer to work with vendors of proprietary, HIV-care database systems to help them ensure that their systems are compatible with the proposed ADR reporting requirements.</w:t>
      </w:r>
    </w:p>
    <w:p w14:paraId="5E23779B" w14:textId="77777777" w:rsidR="00D71778" w:rsidRPr="001C34C8" w:rsidRDefault="00D71778" w:rsidP="00D71778">
      <w:pPr>
        <w:rPr>
          <w:rFonts w:ascii="Times New Roman" w:hAnsi="Times New Roman" w:cs="Times New Roman"/>
          <w:sz w:val="24"/>
          <w:szCs w:val="24"/>
        </w:rPr>
      </w:pPr>
      <w:r w:rsidRPr="001C34C8">
        <w:rPr>
          <w:rFonts w:ascii="Times New Roman" w:hAnsi="Times New Roman" w:cs="Times New Roman"/>
          <w:sz w:val="24"/>
          <w:szCs w:val="24"/>
        </w:rPr>
        <w:t>Users of proprietary vendor systems will need to ensure that the system is capable of producing the ADR in the required format.  Although HRSA has not yet identified any ADR-ready vendors, as noted above HRSA anticipates collaborating with vendors in the future to make their systems ADR-ready, to ensure a smooth transition for grantees, and support the reporting of accurate data.  For the RSR, this collaboration has included facilitating Web conferences with users of specific vendors, providing the XML schema to vendors, and offering technical assistance as the vendors work to develop and implement the ADR variables and reporting schema into their systems.  Grantees that use a custom-built system will need to use the XML schema provided by HRSA to write a program that will extract data from the system and create the XML file. Technical support will be available to assist these grantees in devising a method of extracting and converting their data into the required format.</w:t>
      </w:r>
    </w:p>
    <w:p w14:paraId="11B05179" w14:textId="77777777" w:rsidR="00D71778" w:rsidRPr="001C34C8" w:rsidRDefault="00D71778" w:rsidP="00D71778">
      <w:pPr>
        <w:rPr>
          <w:rFonts w:ascii="Times New Roman" w:hAnsi="Times New Roman" w:cs="Times New Roman"/>
          <w:sz w:val="24"/>
          <w:szCs w:val="24"/>
        </w:rPr>
      </w:pPr>
      <w:r w:rsidRPr="001C34C8">
        <w:rPr>
          <w:rFonts w:ascii="Times New Roman" w:hAnsi="Times New Roman" w:cs="Times New Roman"/>
          <w:sz w:val="24"/>
          <w:szCs w:val="24"/>
        </w:rPr>
        <w:t>Information Technology Assessment technical assistance will be available to all grantees as they prepare their systems and practices for the ADR.  The goal of this technical assistance will be to understand what the grantees are currently doing, what their plans are, and what types of assistance they need</w:t>
      </w:r>
      <w:r w:rsidR="00CE66CA">
        <w:rPr>
          <w:rFonts w:ascii="Times New Roman" w:hAnsi="Times New Roman" w:cs="Times New Roman"/>
          <w:sz w:val="24"/>
          <w:szCs w:val="24"/>
        </w:rPr>
        <w:t>.</w:t>
      </w:r>
    </w:p>
    <w:p w14:paraId="34325278" w14:textId="77777777" w:rsidR="00D71778" w:rsidRPr="001C34C8" w:rsidRDefault="00D71778" w:rsidP="00D71778">
      <w:pPr>
        <w:rPr>
          <w:rFonts w:ascii="Times New Roman" w:hAnsi="Times New Roman" w:cs="Times New Roman"/>
          <w:sz w:val="24"/>
          <w:szCs w:val="24"/>
        </w:rPr>
      </w:pPr>
      <w:r w:rsidRPr="001C34C8">
        <w:rPr>
          <w:rFonts w:ascii="Times New Roman" w:hAnsi="Times New Roman" w:cs="Times New Roman"/>
          <w:sz w:val="24"/>
          <w:szCs w:val="24"/>
        </w:rPr>
        <w:t>To further support grantees</w:t>
      </w:r>
      <w:r w:rsidR="000A0746">
        <w:rPr>
          <w:rFonts w:ascii="Times New Roman" w:hAnsi="Times New Roman" w:cs="Times New Roman"/>
          <w:sz w:val="24"/>
          <w:szCs w:val="24"/>
        </w:rPr>
        <w:t xml:space="preserve"> in completing the ADR, several webinars will be held </w:t>
      </w:r>
      <w:r w:rsidR="00026C29">
        <w:rPr>
          <w:rFonts w:ascii="Times New Roman" w:hAnsi="Times New Roman" w:cs="Times New Roman"/>
          <w:sz w:val="24"/>
          <w:szCs w:val="24"/>
        </w:rPr>
        <w:t xml:space="preserve">that </w:t>
      </w:r>
      <w:r w:rsidRPr="001C34C8">
        <w:rPr>
          <w:rFonts w:ascii="Times New Roman" w:hAnsi="Times New Roman" w:cs="Times New Roman"/>
          <w:sz w:val="24"/>
          <w:szCs w:val="24"/>
        </w:rPr>
        <w:t>will cover the content and the mechanics of submitting the ADR.  Grantees will also be introduced to the technical assistance resources available to support them in meeting the ADR reporting requirements.</w:t>
      </w:r>
    </w:p>
    <w:p w14:paraId="09929253" w14:textId="77777777" w:rsidR="00D71778" w:rsidRPr="001C34C8" w:rsidRDefault="00D71778" w:rsidP="00D71778">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432"/>
        <w:rPr>
          <w:rFonts w:ascii="Times New Roman" w:hAnsi="Times New Roman" w:cs="Times New Roman"/>
          <w:sz w:val="24"/>
          <w:szCs w:val="24"/>
          <w:u w:val="single"/>
        </w:rPr>
      </w:pPr>
      <w:r w:rsidRPr="001C34C8">
        <w:rPr>
          <w:rFonts w:ascii="Times New Roman" w:hAnsi="Times New Roman" w:cs="Times New Roman"/>
          <w:sz w:val="24"/>
          <w:szCs w:val="24"/>
          <w:u w:val="single"/>
        </w:rPr>
        <w:t>Efforts to Identify Duplication</w:t>
      </w:r>
      <w:r w:rsidR="00D17D63">
        <w:rPr>
          <w:rFonts w:ascii="Times New Roman" w:hAnsi="Times New Roman" w:cs="Times New Roman"/>
          <w:sz w:val="24"/>
          <w:szCs w:val="24"/>
          <w:u w:val="single"/>
        </w:rPr>
        <w:t xml:space="preserve"> and Use of Similar Information</w:t>
      </w:r>
    </w:p>
    <w:p w14:paraId="57042DA1" w14:textId="77777777" w:rsidR="00D71778" w:rsidRPr="001C34C8" w:rsidRDefault="000A0746" w:rsidP="00D71778">
      <w:pPr>
        <w:ind w:left="72"/>
        <w:rPr>
          <w:rFonts w:ascii="Times New Roman" w:hAnsi="Times New Roman" w:cs="Times New Roman"/>
          <w:sz w:val="24"/>
          <w:szCs w:val="24"/>
        </w:rPr>
      </w:pPr>
      <w:r>
        <w:rPr>
          <w:rFonts w:ascii="Times New Roman" w:hAnsi="Times New Roman" w:cs="Times New Roman"/>
          <w:sz w:val="24"/>
          <w:szCs w:val="24"/>
        </w:rPr>
        <w:t>The ADR is the only data collection system where data on ADAP clients and services are collected.</w:t>
      </w:r>
    </w:p>
    <w:p w14:paraId="56574B29" w14:textId="77777777" w:rsidR="00D71778" w:rsidRPr="001C34C8" w:rsidRDefault="00D71778" w:rsidP="00D71778">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432"/>
        <w:rPr>
          <w:rFonts w:ascii="Times New Roman" w:hAnsi="Times New Roman" w:cs="Times New Roman"/>
          <w:sz w:val="24"/>
          <w:szCs w:val="24"/>
        </w:rPr>
      </w:pPr>
      <w:r w:rsidRPr="001C34C8">
        <w:rPr>
          <w:rFonts w:ascii="Times New Roman" w:hAnsi="Times New Roman" w:cs="Times New Roman"/>
          <w:sz w:val="24"/>
          <w:szCs w:val="24"/>
          <w:u w:val="single"/>
        </w:rPr>
        <w:t>I</w:t>
      </w:r>
      <w:r w:rsidR="00D17D63">
        <w:rPr>
          <w:rFonts w:ascii="Times New Roman" w:hAnsi="Times New Roman" w:cs="Times New Roman"/>
          <w:sz w:val="24"/>
          <w:szCs w:val="24"/>
          <w:u w:val="single"/>
        </w:rPr>
        <w:t>mpact on Small Businesses or Other Small Entities</w:t>
      </w:r>
    </w:p>
    <w:p w14:paraId="6DEB3D48" w14:textId="77777777" w:rsidR="00D71778" w:rsidRPr="001C34C8" w:rsidRDefault="00D71778" w:rsidP="00D71778">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0"/>
        <w:rPr>
          <w:rFonts w:ascii="Times New Roman" w:hAnsi="Times New Roman" w:cs="Times New Roman"/>
          <w:sz w:val="24"/>
          <w:szCs w:val="24"/>
        </w:rPr>
      </w:pPr>
      <w:r w:rsidRPr="001C34C8">
        <w:rPr>
          <w:rFonts w:ascii="Times New Roman" w:hAnsi="Times New Roman" w:cs="Times New Roman"/>
          <w:sz w:val="24"/>
          <w:szCs w:val="24"/>
        </w:rPr>
        <w:t>No small entities will be involved in this information collection.</w:t>
      </w:r>
    </w:p>
    <w:p w14:paraId="749AE7BE" w14:textId="77777777" w:rsidR="00D71778" w:rsidRPr="001C34C8" w:rsidRDefault="00D71778" w:rsidP="00D71778">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432"/>
        <w:rPr>
          <w:rFonts w:ascii="Times New Roman" w:hAnsi="Times New Roman" w:cs="Times New Roman"/>
          <w:sz w:val="24"/>
          <w:szCs w:val="24"/>
        </w:rPr>
      </w:pPr>
      <w:r w:rsidRPr="001C34C8">
        <w:rPr>
          <w:rFonts w:ascii="Times New Roman" w:hAnsi="Times New Roman" w:cs="Times New Roman"/>
          <w:sz w:val="24"/>
          <w:szCs w:val="24"/>
          <w:u w:val="single"/>
        </w:rPr>
        <w:t>Consequences</w:t>
      </w:r>
      <w:r w:rsidR="00D17D63">
        <w:rPr>
          <w:rFonts w:ascii="Times New Roman" w:hAnsi="Times New Roman" w:cs="Times New Roman"/>
          <w:sz w:val="24"/>
          <w:szCs w:val="24"/>
          <w:u w:val="single"/>
        </w:rPr>
        <w:t xml:space="preserve"> of Collecting the</w:t>
      </w:r>
      <w:r w:rsidRPr="001C34C8">
        <w:rPr>
          <w:rFonts w:ascii="Times New Roman" w:hAnsi="Times New Roman" w:cs="Times New Roman"/>
          <w:sz w:val="24"/>
          <w:szCs w:val="24"/>
          <w:u w:val="single"/>
        </w:rPr>
        <w:t xml:space="preserve"> Information Less Frequently</w:t>
      </w:r>
    </w:p>
    <w:p w14:paraId="75B95623" w14:textId="77777777" w:rsidR="00D71778" w:rsidRPr="001C34C8" w:rsidRDefault="00D71778" w:rsidP="00D71778">
      <w:pPr>
        <w:rPr>
          <w:rFonts w:ascii="Times New Roman" w:hAnsi="Times New Roman" w:cs="Times New Roman"/>
          <w:sz w:val="24"/>
          <w:szCs w:val="24"/>
        </w:rPr>
      </w:pPr>
      <w:r w:rsidRPr="001C34C8">
        <w:rPr>
          <w:rFonts w:ascii="Times New Roman" w:hAnsi="Times New Roman" w:cs="Times New Roman"/>
          <w:sz w:val="24"/>
          <w:szCs w:val="24"/>
        </w:rPr>
        <w:t xml:space="preserve">The ADR will be </w:t>
      </w:r>
      <w:r w:rsidR="00026C29" w:rsidRPr="001C34C8">
        <w:rPr>
          <w:rFonts w:ascii="Times New Roman" w:hAnsi="Times New Roman" w:cs="Times New Roman"/>
          <w:sz w:val="24"/>
          <w:szCs w:val="24"/>
        </w:rPr>
        <w:t>submitted annually</w:t>
      </w:r>
      <w:r w:rsidRPr="001C34C8">
        <w:rPr>
          <w:rFonts w:ascii="Times New Roman" w:hAnsi="Times New Roman" w:cs="Times New Roman"/>
          <w:sz w:val="24"/>
          <w:szCs w:val="24"/>
        </w:rPr>
        <w:t>. If the information w</w:t>
      </w:r>
      <w:r w:rsidR="00026C29">
        <w:rPr>
          <w:rFonts w:ascii="Times New Roman" w:hAnsi="Times New Roman" w:cs="Times New Roman"/>
          <w:sz w:val="24"/>
          <w:szCs w:val="24"/>
        </w:rPr>
        <w:t>as</w:t>
      </w:r>
      <w:r w:rsidRPr="001C34C8">
        <w:rPr>
          <w:rFonts w:ascii="Times New Roman" w:hAnsi="Times New Roman" w:cs="Times New Roman"/>
          <w:sz w:val="24"/>
          <w:szCs w:val="24"/>
        </w:rPr>
        <w:t xml:space="preserve"> reported less frequently, HRSA would not be able to carry out its responsibility to oversee compliance with the intent of Congressional appropriations in a timely manner.  </w:t>
      </w:r>
      <w:r w:rsidR="00BE2937">
        <w:rPr>
          <w:rFonts w:ascii="Times New Roman" w:hAnsi="Times New Roman" w:cs="Times New Roman"/>
          <w:sz w:val="24"/>
          <w:szCs w:val="24"/>
        </w:rPr>
        <w:t>Annual</w:t>
      </w:r>
      <w:r w:rsidR="00BE2937" w:rsidRPr="001C34C8">
        <w:rPr>
          <w:rFonts w:ascii="Times New Roman" w:hAnsi="Times New Roman" w:cs="Times New Roman"/>
          <w:sz w:val="24"/>
          <w:szCs w:val="24"/>
        </w:rPr>
        <w:t xml:space="preserve"> </w:t>
      </w:r>
      <w:r w:rsidRPr="001C34C8">
        <w:rPr>
          <w:rFonts w:ascii="Times New Roman" w:hAnsi="Times New Roman" w:cs="Times New Roman"/>
          <w:sz w:val="24"/>
          <w:szCs w:val="24"/>
        </w:rPr>
        <w:t>reporting of the characteristics of ADAP clients is necessary to understand who the program is serving as well as the extent that the ADAP program is addressing the NHAS priorities, including addressing disparities among different populations.  If the information w</w:t>
      </w:r>
      <w:r w:rsidR="00026C29">
        <w:rPr>
          <w:rFonts w:ascii="Times New Roman" w:hAnsi="Times New Roman" w:cs="Times New Roman"/>
          <w:sz w:val="24"/>
          <w:szCs w:val="24"/>
        </w:rPr>
        <w:t>as</w:t>
      </w:r>
      <w:r w:rsidRPr="001C34C8">
        <w:rPr>
          <w:rFonts w:ascii="Times New Roman" w:hAnsi="Times New Roman" w:cs="Times New Roman"/>
          <w:sz w:val="24"/>
          <w:szCs w:val="24"/>
        </w:rPr>
        <w:t xml:space="preserve"> not collected at all, HRSA would not know, and would not be able to report:</w:t>
      </w:r>
    </w:p>
    <w:p w14:paraId="622A6F21" w14:textId="77777777" w:rsidR="00D71778" w:rsidRPr="001C34C8" w:rsidRDefault="00D71778" w:rsidP="00D71778">
      <w:pPr>
        <w:numPr>
          <w:ilvl w:val="0"/>
          <w:numId w:val="9"/>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792"/>
        <w:rPr>
          <w:rFonts w:ascii="Times New Roman" w:hAnsi="Times New Roman" w:cs="Times New Roman"/>
          <w:sz w:val="24"/>
          <w:szCs w:val="24"/>
        </w:rPr>
      </w:pPr>
      <w:r w:rsidRPr="001C34C8">
        <w:rPr>
          <w:rFonts w:ascii="Times New Roman" w:hAnsi="Times New Roman" w:cs="Times New Roman"/>
          <w:sz w:val="24"/>
          <w:szCs w:val="24"/>
        </w:rPr>
        <w:t>Whether program funds are being spent for their intended purposes;</w:t>
      </w:r>
    </w:p>
    <w:p w14:paraId="10F62CEB" w14:textId="77777777" w:rsidR="00D71778" w:rsidRPr="001C34C8" w:rsidRDefault="00D71778" w:rsidP="00D71778">
      <w:pPr>
        <w:numPr>
          <w:ilvl w:val="0"/>
          <w:numId w:val="9"/>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720" w:hanging="270"/>
        <w:rPr>
          <w:rFonts w:ascii="Times New Roman" w:hAnsi="Times New Roman" w:cs="Times New Roman"/>
          <w:sz w:val="24"/>
          <w:szCs w:val="24"/>
        </w:rPr>
      </w:pPr>
      <w:r w:rsidRPr="001C34C8">
        <w:rPr>
          <w:rFonts w:ascii="Times New Roman" w:hAnsi="Times New Roman" w:cs="Times New Roman"/>
          <w:sz w:val="24"/>
          <w:szCs w:val="24"/>
        </w:rPr>
        <w:t>How many and what types of individuals are receiving services, and how different services are di</w:t>
      </w:r>
      <w:r w:rsidR="00CE66CA">
        <w:rPr>
          <w:rFonts w:ascii="Times New Roman" w:hAnsi="Times New Roman" w:cs="Times New Roman"/>
          <w:sz w:val="24"/>
          <w:szCs w:val="24"/>
        </w:rPr>
        <w:t>stributed across various groups</w:t>
      </w:r>
      <w:r w:rsidRPr="001C34C8">
        <w:rPr>
          <w:rFonts w:ascii="Times New Roman" w:hAnsi="Times New Roman" w:cs="Times New Roman"/>
          <w:sz w:val="24"/>
          <w:szCs w:val="24"/>
        </w:rPr>
        <w:t>;</w:t>
      </w:r>
    </w:p>
    <w:p w14:paraId="4F25E460" w14:textId="77777777" w:rsidR="00D71778" w:rsidRPr="001C34C8" w:rsidRDefault="00D71778" w:rsidP="00D71778">
      <w:pPr>
        <w:numPr>
          <w:ilvl w:val="0"/>
          <w:numId w:val="9"/>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720" w:hanging="288"/>
        <w:rPr>
          <w:rFonts w:ascii="Times New Roman" w:hAnsi="Times New Roman" w:cs="Times New Roman"/>
          <w:sz w:val="24"/>
          <w:szCs w:val="24"/>
        </w:rPr>
      </w:pPr>
      <w:r w:rsidRPr="001C34C8">
        <w:rPr>
          <w:rFonts w:ascii="Times New Roman" w:hAnsi="Times New Roman" w:cs="Times New Roman"/>
          <w:sz w:val="24"/>
          <w:szCs w:val="24"/>
        </w:rPr>
        <w:t>How the distribution of program funds, the distribution of services, and the characteristics of individual beneficiaries are changing from one year to the next; and</w:t>
      </w:r>
    </w:p>
    <w:p w14:paraId="7BB708C5" w14:textId="77777777" w:rsidR="00D71778" w:rsidRPr="001C34C8" w:rsidRDefault="00D71778">
      <w:pPr>
        <w:numPr>
          <w:ilvl w:val="0"/>
          <w:numId w:val="9"/>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0"/>
        <w:ind w:left="720" w:hanging="288"/>
        <w:rPr>
          <w:rFonts w:ascii="Times New Roman" w:hAnsi="Times New Roman" w:cs="Times New Roman"/>
          <w:sz w:val="24"/>
          <w:szCs w:val="24"/>
        </w:rPr>
      </w:pPr>
      <w:r w:rsidRPr="001C34C8">
        <w:rPr>
          <w:rFonts w:ascii="Times New Roman" w:hAnsi="Times New Roman" w:cs="Times New Roman"/>
          <w:sz w:val="24"/>
          <w:szCs w:val="24"/>
        </w:rPr>
        <w:t>To what extent the ADAP program is reducing HIV/AIDS disparities</w:t>
      </w:r>
      <w:r w:rsidR="009C20E7">
        <w:rPr>
          <w:rFonts w:ascii="Times New Roman" w:hAnsi="Times New Roman" w:cs="Times New Roman"/>
          <w:sz w:val="24"/>
          <w:szCs w:val="24"/>
        </w:rPr>
        <w:t>.</w:t>
      </w:r>
      <w:r w:rsidRPr="001C34C8">
        <w:rPr>
          <w:rFonts w:ascii="Times New Roman" w:hAnsi="Times New Roman" w:cs="Times New Roman"/>
          <w:sz w:val="24"/>
          <w:szCs w:val="24"/>
        </w:rPr>
        <w:t xml:space="preserve"> </w:t>
      </w:r>
    </w:p>
    <w:p w14:paraId="37D85BDD" w14:textId="77777777" w:rsidR="00D71778" w:rsidRPr="001C34C8" w:rsidRDefault="00D7177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0"/>
        <w:ind w:left="720"/>
        <w:rPr>
          <w:rFonts w:ascii="Times New Roman" w:hAnsi="Times New Roman" w:cs="Times New Roman"/>
          <w:sz w:val="24"/>
          <w:szCs w:val="24"/>
        </w:rPr>
      </w:pPr>
    </w:p>
    <w:p w14:paraId="0248EF27" w14:textId="77777777" w:rsidR="00D71778" w:rsidRPr="001C34C8" w:rsidRDefault="00D17D63">
      <w:pPr>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432"/>
        <w:rPr>
          <w:rFonts w:ascii="Times New Roman" w:hAnsi="Times New Roman" w:cs="Times New Roman"/>
          <w:sz w:val="24"/>
          <w:szCs w:val="24"/>
        </w:rPr>
      </w:pPr>
      <w:r>
        <w:rPr>
          <w:rFonts w:ascii="Times New Roman" w:hAnsi="Times New Roman" w:cs="Times New Roman"/>
          <w:sz w:val="24"/>
          <w:szCs w:val="24"/>
          <w:u w:val="single"/>
        </w:rPr>
        <w:t xml:space="preserve">Special Circumstances Relating to the </w:t>
      </w:r>
      <w:r w:rsidR="00D71778" w:rsidRPr="001C34C8">
        <w:rPr>
          <w:rFonts w:ascii="Times New Roman" w:hAnsi="Times New Roman" w:cs="Times New Roman"/>
          <w:sz w:val="24"/>
          <w:szCs w:val="24"/>
          <w:u w:val="single"/>
        </w:rPr>
        <w:t xml:space="preserve">Guidelines </w:t>
      </w:r>
      <w:r>
        <w:rPr>
          <w:rFonts w:ascii="Times New Roman" w:hAnsi="Times New Roman" w:cs="Times New Roman"/>
          <w:sz w:val="24"/>
          <w:szCs w:val="24"/>
          <w:u w:val="single"/>
        </w:rPr>
        <w:t>of</w:t>
      </w:r>
      <w:r w:rsidR="00D71778" w:rsidRPr="001C34C8">
        <w:rPr>
          <w:rFonts w:ascii="Times New Roman" w:hAnsi="Times New Roman" w:cs="Times New Roman"/>
          <w:sz w:val="24"/>
          <w:szCs w:val="24"/>
          <w:u w:val="single"/>
        </w:rPr>
        <w:t xml:space="preserve"> 5 CFR 1320.</w:t>
      </w:r>
      <w:r>
        <w:rPr>
          <w:rFonts w:ascii="Times New Roman" w:hAnsi="Times New Roman" w:cs="Times New Roman"/>
          <w:sz w:val="24"/>
          <w:szCs w:val="24"/>
          <w:u w:val="single"/>
        </w:rPr>
        <w:t>5</w:t>
      </w:r>
    </w:p>
    <w:p w14:paraId="430B51AE" w14:textId="77777777" w:rsidR="00D71778" w:rsidRPr="001C34C8" w:rsidRDefault="00D71778" w:rsidP="00D7177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u w:val="single"/>
        </w:rPr>
      </w:pPr>
      <w:r w:rsidRPr="001C34C8">
        <w:rPr>
          <w:rStyle w:val="BodyTextFi"/>
          <w:rFonts w:ascii="Times New Roman" w:hAnsi="Times New Roman" w:cs="Times New Roman"/>
          <w:sz w:val="24"/>
          <w:szCs w:val="24"/>
        </w:rPr>
        <w:t xml:space="preserve">This information collection </w:t>
      </w:r>
      <w:r w:rsidR="00D17D63">
        <w:rPr>
          <w:rStyle w:val="BodyTextFi"/>
          <w:rFonts w:ascii="Times New Roman" w:hAnsi="Times New Roman" w:cs="Times New Roman"/>
          <w:sz w:val="24"/>
          <w:szCs w:val="24"/>
        </w:rPr>
        <w:t>fully complies with 5 CFR 1320.5</w:t>
      </w:r>
      <w:r w:rsidRPr="001C34C8">
        <w:rPr>
          <w:rStyle w:val="BodyTextFi"/>
          <w:rFonts w:ascii="Times New Roman" w:hAnsi="Times New Roman" w:cs="Times New Roman"/>
          <w:sz w:val="24"/>
          <w:szCs w:val="24"/>
        </w:rPr>
        <w:t>.</w:t>
      </w:r>
    </w:p>
    <w:p w14:paraId="244967FE" w14:textId="77777777" w:rsidR="00D17D63" w:rsidRPr="00D17D63" w:rsidRDefault="00D71778" w:rsidP="00D71778">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432"/>
        <w:rPr>
          <w:rFonts w:ascii="Times New Roman" w:hAnsi="Times New Roman" w:cs="Times New Roman"/>
          <w:sz w:val="24"/>
          <w:szCs w:val="24"/>
        </w:rPr>
      </w:pPr>
      <w:r w:rsidRPr="00D17D63">
        <w:rPr>
          <w:rFonts w:ascii="Times New Roman" w:hAnsi="Times New Roman" w:cs="Times New Roman"/>
          <w:sz w:val="24"/>
          <w:szCs w:val="24"/>
          <w:u w:val="single"/>
        </w:rPr>
        <w:t>Co</w:t>
      </w:r>
      <w:r w:rsidR="00D17D63" w:rsidRPr="00D17D63">
        <w:rPr>
          <w:rFonts w:ascii="Times New Roman" w:hAnsi="Times New Roman" w:cs="Times New Roman"/>
          <w:sz w:val="24"/>
          <w:szCs w:val="24"/>
          <w:u w:val="single"/>
        </w:rPr>
        <w:t>mments in Response to the Federal Register Notice/ Outside Co</w:t>
      </w:r>
      <w:r w:rsidRPr="00D17D63">
        <w:rPr>
          <w:rFonts w:ascii="Times New Roman" w:hAnsi="Times New Roman" w:cs="Times New Roman"/>
          <w:sz w:val="24"/>
          <w:szCs w:val="24"/>
          <w:u w:val="single"/>
        </w:rPr>
        <w:t xml:space="preserve">nsultation </w:t>
      </w:r>
    </w:p>
    <w:p w14:paraId="2F273558" w14:textId="77777777" w:rsidR="00D17D63" w:rsidRDefault="00D17D63" w:rsidP="00D17D63">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3"/>
        <w:rPr>
          <w:rFonts w:ascii="Times New Roman" w:hAnsi="Times New Roman" w:cs="Times New Roman"/>
          <w:b/>
          <w:sz w:val="24"/>
          <w:szCs w:val="24"/>
        </w:rPr>
      </w:pPr>
      <w:r w:rsidRPr="00D17D63">
        <w:rPr>
          <w:rFonts w:ascii="Times New Roman" w:hAnsi="Times New Roman" w:cs="Times New Roman"/>
          <w:b/>
          <w:sz w:val="24"/>
          <w:szCs w:val="24"/>
        </w:rPr>
        <w:t>Section 8A:</w:t>
      </w:r>
    </w:p>
    <w:p w14:paraId="0E36420B" w14:textId="6FA578F4" w:rsidR="008E30CA" w:rsidRPr="008E30CA" w:rsidRDefault="008E30CA" w:rsidP="008E30C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rFonts w:ascii="Times New Roman" w:hAnsi="Times New Roman" w:cs="Times New Roman"/>
          <w:sz w:val="24"/>
        </w:rPr>
      </w:pPr>
      <w:r w:rsidRPr="008E30CA">
        <w:rPr>
          <w:rStyle w:val="BodyTextFi"/>
          <w:rFonts w:ascii="Times New Roman" w:hAnsi="Times New Roman" w:cs="Times New Roman"/>
          <w:sz w:val="24"/>
        </w:rPr>
        <w:t xml:space="preserve">A 60-day Federal Register Notice was published in the </w:t>
      </w:r>
      <w:r w:rsidRPr="008E30CA">
        <w:rPr>
          <w:rStyle w:val="BodyTextFi"/>
          <w:rFonts w:ascii="Times New Roman" w:hAnsi="Times New Roman" w:cs="Times New Roman"/>
          <w:i/>
          <w:sz w:val="24"/>
        </w:rPr>
        <w:t>Federal Register</w:t>
      </w:r>
      <w:r w:rsidRPr="008E30CA">
        <w:rPr>
          <w:rStyle w:val="BodyTextFi"/>
          <w:rFonts w:ascii="Times New Roman" w:hAnsi="Times New Roman" w:cs="Times New Roman"/>
          <w:sz w:val="24"/>
        </w:rPr>
        <w:t xml:space="preserve"> on </w:t>
      </w:r>
      <w:r w:rsidR="009C20E7">
        <w:rPr>
          <w:rStyle w:val="BodyTextFi"/>
          <w:rFonts w:ascii="Times New Roman" w:hAnsi="Times New Roman" w:cs="Times New Roman"/>
          <w:sz w:val="24"/>
        </w:rPr>
        <w:t>April 24, 2017</w:t>
      </w:r>
      <w:r w:rsidRPr="008E30CA">
        <w:rPr>
          <w:rStyle w:val="BodyTextFi"/>
          <w:rFonts w:ascii="Times New Roman" w:hAnsi="Times New Roman" w:cs="Times New Roman"/>
          <w:sz w:val="24"/>
        </w:rPr>
        <w:t xml:space="preserve"> (Vol. </w:t>
      </w:r>
      <w:r w:rsidR="009C20E7">
        <w:rPr>
          <w:rStyle w:val="BodyTextFi"/>
          <w:rFonts w:ascii="Times New Roman" w:hAnsi="Times New Roman" w:cs="Times New Roman"/>
          <w:sz w:val="24"/>
        </w:rPr>
        <w:t>82,</w:t>
      </w:r>
      <w:r w:rsidRPr="008E30CA">
        <w:rPr>
          <w:rStyle w:val="BodyTextFi"/>
          <w:rFonts w:ascii="Times New Roman" w:hAnsi="Times New Roman" w:cs="Times New Roman"/>
          <w:sz w:val="24"/>
        </w:rPr>
        <w:t xml:space="preserve"> No. </w:t>
      </w:r>
      <w:r w:rsidR="009C20E7">
        <w:rPr>
          <w:rStyle w:val="BodyTextFi"/>
          <w:rFonts w:ascii="Times New Roman" w:hAnsi="Times New Roman" w:cs="Times New Roman"/>
          <w:sz w:val="24"/>
        </w:rPr>
        <w:t>77</w:t>
      </w:r>
      <w:r w:rsidRPr="008E30CA">
        <w:rPr>
          <w:rStyle w:val="BodyTextFi"/>
          <w:rFonts w:ascii="Times New Roman" w:hAnsi="Times New Roman" w:cs="Times New Roman"/>
          <w:sz w:val="24"/>
        </w:rPr>
        <w:t xml:space="preserve"> pp. </w:t>
      </w:r>
      <w:r w:rsidR="009C20E7">
        <w:rPr>
          <w:rStyle w:val="BodyTextFi"/>
          <w:rFonts w:ascii="Times New Roman" w:hAnsi="Times New Roman" w:cs="Times New Roman"/>
          <w:sz w:val="24"/>
        </w:rPr>
        <w:t>18918 - 18919)</w:t>
      </w:r>
      <w:r w:rsidRPr="008E30CA">
        <w:rPr>
          <w:rStyle w:val="BodyTextFi"/>
          <w:rFonts w:ascii="Times New Roman" w:hAnsi="Times New Roman" w:cs="Times New Roman"/>
          <w:sz w:val="24"/>
        </w:rPr>
        <w:t xml:space="preserve">. See Tab </w:t>
      </w:r>
      <w:r w:rsidR="006E5513">
        <w:rPr>
          <w:rStyle w:val="BodyTextFi"/>
          <w:rFonts w:ascii="Times New Roman" w:hAnsi="Times New Roman" w:cs="Times New Roman"/>
          <w:sz w:val="24"/>
        </w:rPr>
        <w:t>E</w:t>
      </w:r>
      <w:r w:rsidRPr="008E30CA">
        <w:rPr>
          <w:rStyle w:val="BodyTextFi"/>
          <w:rFonts w:ascii="Times New Roman" w:hAnsi="Times New Roman" w:cs="Times New Roman"/>
          <w:sz w:val="24"/>
        </w:rPr>
        <w:t xml:space="preserve"> for a copy of the notice.  There were no public comments. </w:t>
      </w:r>
    </w:p>
    <w:p w14:paraId="52906800" w14:textId="77777777" w:rsidR="00D17D63" w:rsidRPr="00D17D63" w:rsidRDefault="00D17D63" w:rsidP="00D17D63">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3"/>
        <w:rPr>
          <w:rFonts w:ascii="Times New Roman" w:hAnsi="Times New Roman" w:cs="Times New Roman"/>
          <w:b/>
          <w:sz w:val="24"/>
          <w:szCs w:val="24"/>
        </w:rPr>
      </w:pPr>
      <w:r>
        <w:rPr>
          <w:rFonts w:ascii="Times New Roman" w:hAnsi="Times New Roman" w:cs="Times New Roman"/>
          <w:b/>
          <w:sz w:val="24"/>
          <w:szCs w:val="24"/>
        </w:rPr>
        <w:t>Section 8B:</w:t>
      </w:r>
    </w:p>
    <w:p w14:paraId="08F2B733" w14:textId="77777777" w:rsidR="008E30CA" w:rsidRDefault="008E30CA" w:rsidP="00D71778">
      <w:pPr>
        <w:rPr>
          <w:rStyle w:val="BodyTextFi"/>
          <w:rFonts w:ascii="Times New Roman" w:hAnsi="Times New Roman" w:cs="Times New Roman"/>
          <w:sz w:val="24"/>
        </w:rPr>
      </w:pPr>
      <w:r w:rsidRPr="008E30CA">
        <w:rPr>
          <w:rStyle w:val="BodyTextFi"/>
          <w:rFonts w:ascii="Times New Roman" w:hAnsi="Times New Roman" w:cs="Times New Roman"/>
          <w:sz w:val="24"/>
        </w:rPr>
        <w:t>I</w:t>
      </w:r>
      <w:r w:rsidR="00DB64B0">
        <w:rPr>
          <w:rStyle w:val="BodyTextFi"/>
          <w:rFonts w:ascii="Times New Roman" w:hAnsi="Times New Roman" w:cs="Times New Roman"/>
          <w:sz w:val="24"/>
        </w:rPr>
        <w:t>n 2017</w:t>
      </w:r>
      <w:r w:rsidRPr="008E30CA">
        <w:rPr>
          <w:rStyle w:val="BodyTextFi"/>
          <w:rFonts w:ascii="Times New Roman" w:hAnsi="Times New Roman" w:cs="Times New Roman"/>
          <w:sz w:val="24"/>
        </w:rPr>
        <w:t xml:space="preserve">, </w:t>
      </w:r>
      <w:r w:rsidR="00DB64B0">
        <w:rPr>
          <w:rStyle w:val="BodyTextFi"/>
          <w:rFonts w:ascii="Times New Roman" w:hAnsi="Times New Roman" w:cs="Times New Roman"/>
          <w:sz w:val="24"/>
        </w:rPr>
        <w:t xml:space="preserve">ADAP grant recipients were consulted </w:t>
      </w:r>
      <w:r w:rsidR="008E0775">
        <w:rPr>
          <w:rStyle w:val="BodyTextFi"/>
          <w:rFonts w:ascii="Times New Roman" w:hAnsi="Times New Roman" w:cs="Times New Roman"/>
          <w:sz w:val="24"/>
        </w:rPr>
        <w:t>to obta</w:t>
      </w:r>
      <w:r w:rsidR="00B75AF0">
        <w:rPr>
          <w:rStyle w:val="BodyTextFi"/>
          <w:rFonts w:ascii="Times New Roman" w:hAnsi="Times New Roman" w:cs="Times New Roman"/>
          <w:sz w:val="24"/>
        </w:rPr>
        <w:t>in their views on the ADR data collection, even though the data collected is the same as in the previous year. I</w:t>
      </w:r>
      <w:r w:rsidRPr="008E30CA">
        <w:rPr>
          <w:rStyle w:val="BodyTextFi"/>
          <w:rFonts w:ascii="Times New Roman" w:hAnsi="Times New Roman" w:cs="Times New Roman"/>
          <w:sz w:val="24"/>
        </w:rPr>
        <w:t xml:space="preserve">nput was provided by the following </w:t>
      </w:r>
      <w:r>
        <w:rPr>
          <w:rStyle w:val="BodyTextFi"/>
          <w:rFonts w:ascii="Times New Roman" w:hAnsi="Times New Roman" w:cs="Times New Roman"/>
          <w:sz w:val="24"/>
        </w:rPr>
        <w:t>five</w:t>
      </w:r>
      <w:r w:rsidRPr="008E30CA">
        <w:rPr>
          <w:rStyle w:val="BodyTextFi"/>
          <w:rFonts w:ascii="Times New Roman" w:hAnsi="Times New Roman" w:cs="Times New Roman"/>
          <w:sz w:val="24"/>
        </w:rPr>
        <w:t xml:space="preserve"> </w:t>
      </w:r>
      <w:r>
        <w:rPr>
          <w:rStyle w:val="BodyTextFi"/>
          <w:rFonts w:ascii="Times New Roman" w:hAnsi="Times New Roman" w:cs="Times New Roman"/>
          <w:sz w:val="24"/>
        </w:rPr>
        <w:t>ADAP</w:t>
      </w:r>
      <w:r w:rsidRPr="008E30CA">
        <w:rPr>
          <w:rStyle w:val="BodyTextFi"/>
          <w:rFonts w:ascii="Times New Roman" w:hAnsi="Times New Roman" w:cs="Times New Roman"/>
          <w:sz w:val="24"/>
        </w:rPr>
        <w:t xml:space="preserve"> representatives outside of the agency. </w:t>
      </w:r>
      <w:r w:rsidR="00F2024E">
        <w:rPr>
          <w:rStyle w:val="BodyTextFi"/>
          <w:rFonts w:ascii="Times New Roman" w:hAnsi="Times New Roman" w:cs="Times New Roman"/>
          <w:sz w:val="24"/>
        </w:rPr>
        <w:t xml:space="preserve"> One ADAP reported the ADR to be burdensome because they </w:t>
      </w:r>
      <w:r w:rsidR="003E3D77">
        <w:rPr>
          <w:rStyle w:val="BodyTextFi"/>
          <w:rFonts w:ascii="Times New Roman" w:hAnsi="Times New Roman" w:cs="Times New Roman"/>
          <w:sz w:val="24"/>
        </w:rPr>
        <w:t>had</w:t>
      </w:r>
      <w:r w:rsidR="00F2024E">
        <w:rPr>
          <w:rStyle w:val="BodyTextFi"/>
          <w:rFonts w:ascii="Times New Roman" w:hAnsi="Times New Roman" w:cs="Times New Roman"/>
          <w:sz w:val="24"/>
        </w:rPr>
        <w:t xml:space="preserve"> not yet </w:t>
      </w:r>
      <w:r w:rsidR="003E3D77">
        <w:rPr>
          <w:rStyle w:val="BodyTextFi"/>
          <w:rFonts w:ascii="Times New Roman" w:hAnsi="Times New Roman" w:cs="Times New Roman"/>
          <w:sz w:val="24"/>
        </w:rPr>
        <w:t xml:space="preserve">fully adopted a </w:t>
      </w:r>
      <w:r w:rsidR="003E3D77" w:rsidRPr="001C34C8">
        <w:rPr>
          <w:rFonts w:ascii="Times New Roman" w:hAnsi="Times New Roman" w:cs="Times New Roman"/>
          <w:sz w:val="24"/>
          <w:szCs w:val="24"/>
        </w:rPr>
        <w:t>data system capable of producing</w:t>
      </w:r>
      <w:r w:rsidR="003E3D77">
        <w:rPr>
          <w:rFonts w:ascii="Times New Roman" w:hAnsi="Times New Roman" w:cs="Times New Roman"/>
          <w:sz w:val="24"/>
          <w:szCs w:val="24"/>
        </w:rPr>
        <w:t xml:space="preserve"> the ADR. In addition, in recent years, the demand for ADAP services have increased in their state. They are now in the process of testing CAREWare but will not be ready for its full implementation until next year. </w:t>
      </w:r>
      <w:r w:rsidR="00283F8B">
        <w:rPr>
          <w:rFonts w:ascii="Times New Roman" w:hAnsi="Times New Roman" w:cs="Times New Roman"/>
          <w:sz w:val="24"/>
          <w:szCs w:val="24"/>
        </w:rPr>
        <w:t>Overall, respondents thought the process was getting easier every year, in particular with that data elements being the same</w:t>
      </w:r>
      <w:r w:rsidR="00A61D88">
        <w:rPr>
          <w:rFonts w:ascii="Times New Roman" w:hAnsi="Times New Roman" w:cs="Times New Roman"/>
          <w:sz w:val="24"/>
          <w:szCs w:val="24"/>
        </w:rPr>
        <w:t xml:space="preserve">. In addition, ADAPs thought </w:t>
      </w:r>
      <w:r w:rsidR="00283F8B">
        <w:rPr>
          <w:rFonts w:ascii="Times New Roman" w:hAnsi="Times New Roman" w:cs="Times New Roman"/>
          <w:sz w:val="24"/>
          <w:szCs w:val="24"/>
        </w:rPr>
        <w:t xml:space="preserve">the </w:t>
      </w:r>
      <w:r w:rsidR="00A61D88">
        <w:rPr>
          <w:rFonts w:ascii="Times New Roman" w:hAnsi="Times New Roman" w:cs="Times New Roman"/>
          <w:sz w:val="24"/>
          <w:szCs w:val="24"/>
        </w:rPr>
        <w:t xml:space="preserve">materials, webinars, </w:t>
      </w:r>
      <w:r w:rsidR="00283F8B">
        <w:rPr>
          <w:rFonts w:ascii="Times New Roman" w:hAnsi="Times New Roman" w:cs="Times New Roman"/>
          <w:sz w:val="24"/>
          <w:szCs w:val="24"/>
        </w:rPr>
        <w:t>and technical assistance available to complete the ADR were adequate and satisfactory.</w:t>
      </w:r>
    </w:p>
    <w:p w14:paraId="626AC1EB" w14:textId="77777777" w:rsidR="00B75AF0" w:rsidRPr="00BC521D" w:rsidRDefault="00B75AF0" w:rsidP="00BC521D">
      <w:pPr>
        <w:spacing w:before="100" w:beforeAutospacing="1" w:after="100" w:afterAutospacing="1" w:line="240" w:lineRule="auto"/>
        <w:rPr>
          <w:rFonts w:ascii="Times New Roman" w:eastAsiaTheme="minorHAnsi" w:hAnsi="Times New Roman" w:cs="Times New Roman"/>
          <w:sz w:val="24"/>
          <w:szCs w:val="24"/>
        </w:rPr>
      </w:pPr>
      <w:r w:rsidRPr="00BC521D">
        <w:rPr>
          <w:rFonts w:ascii="Times New Roman" w:hAnsi="Times New Roman" w:cs="Times New Roman"/>
          <w:b/>
          <w:sz w:val="24"/>
          <w:szCs w:val="24"/>
        </w:rPr>
        <w:t>Alabama</w:t>
      </w:r>
      <w:r w:rsidR="00BC521D">
        <w:rPr>
          <w:rFonts w:ascii="Times New Roman" w:hAnsi="Times New Roman" w:cs="Times New Roman"/>
          <w:b/>
          <w:sz w:val="24"/>
          <w:szCs w:val="24"/>
        </w:rPr>
        <w:br/>
      </w:r>
      <w:r w:rsidRPr="00BC521D">
        <w:rPr>
          <w:rFonts w:ascii="Times New Roman" w:eastAsiaTheme="minorHAnsi" w:hAnsi="Times New Roman" w:cs="Times New Roman"/>
          <w:sz w:val="24"/>
          <w:szCs w:val="24"/>
        </w:rPr>
        <w:t>Allison Smith, Interim ADAP/Alabama IAP Coordinator</w:t>
      </w:r>
      <w:r w:rsidR="00BC521D">
        <w:rPr>
          <w:rFonts w:ascii="Times New Roman" w:eastAsiaTheme="minorHAnsi" w:hAnsi="Times New Roman" w:cs="Times New Roman"/>
          <w:sz w:val="24"/>
          <w:szCs w:val="24"/>
        </w:rPr>
        <w:br/>
      </w:r>
      <w:r w:rsidRPr="00BC521D">
        <w:rPr>
          <w:rFonts w:ascii="Times New Roman" w:hAnsi="Times New Roman" w:cs="Times New Roman"/>
          <w:sz w:val="24"/>
          <w:szCs w:val="24"/>
        </w:rPr>
        <w:t xml:space="preserve">Tel: </w:t>
      </w:r>
      <w:r w:rsidRPr="00BC521D">
        <w:rPr>
          <w:rFonts w:ascii="Times New Roman" w:eastAsiaTheme="minorHAnsi" w:hAnsi="Times New Roman" w:cs="Times New Roman"/>
          <w:sz w:val="24"/>
          <w:szCs w:val="24"/>
        </w:rPr>
        <w:t>(334) 206-2615</w:t>
      </w:r>
      <w:r w:rsidR="00BC521D">
        <w:rPr>
          <w:rFonts w:ascii="Times New Roman" w:eastAsiaTheme="minorHAnsi" w:hAnsi="Times New Roman" w:cs="Times New Roman"/>
          <w:sz w:val="24"/>
          <w:szCs w:val="24"/>
        </w:rPr>
        <w:br/>
      </w:r>
      <w:r w:rsidRPr="00BC521D">
        <w:rPr>
          <w:rFonts w:ascii="Times New Roman" w:hAnsi="Times New Roman" w:cs="Times New Roman"/>
          <w:sz w:val="24"/>
          <w:szCs w:val="24"/>
        </w:rPr>
        <w:t xml:space="preserve">Email: </w:t>
      </w:r>
      <w:hyperlink r:id="rId9" w:history="1">
        <w:r w:rsidRPr="00BC521D">
          <w:rPr>
            <w:rStyle w:val="Hyperlink"/>
            <w:rFonts w:ascii="Times New Roman" w:eastAsiaTheme="minorHAnsi" w:hAnsi="Times New Roman" w:cs="Times New Roman"/>
            <w:color w:val="auto"/>
            <w:sz w:val="24"/>
            <w:szCs w:val="24"/>
            <w:u w:val="none"/>
          </w:rPr>
          <w:t>allison.smith@adph.state.al.us</w:t>
        </w:r>
      </w:hyperlink>
    </w:p>
    <w:p w14:paraId="6CD6630A" w14:textId="77777777" w:rsidR="006E5513" w:rsidRDefault="003A38DF" w:rsidP="001D2D71">
      <w:pPr>
        <w:autoSpaceDE w:val="0"/>
        <w:autoSpaceDN w:val="0"/>
        <w:adjustRightInd w:val="0"/>
        <w:spacing w:after="0" w:line="240" w:lineRule="auto"/>
        <w:rPr>
          <w:rFonts w:ascii="Times New Roman" w:hAnsi="Times New Roman" w:cs="Times New Roman"/>
          <w:sz w:val="24"/>
          <w:szCs w:val="24"/>
        </w:rPr>
      </w:pPr>
      <w:r w:rsidRPr="00BC521D">
        <w:rPr>
          <w:rFonts w:ascii="Times New Roman" w:eastAsiaTheme="minorHAnsi" w:hAnsi="Times New Roman" w:cs="Times New Roman"/>
          <w:b/>
          <w:bCs/>
          <w:sz w:val="24"/>
          <w:szCs w:val="24"/>
        </w:rPr>
        <w:t>Oregon</w:t>
      </w:r>
      <w:r w:rsidR="00BC521D">
        <w:rPr>
          <w:rFonts w:ascii="Times New Roman" w:eastAsiaTheme="minorHAnsi" w:hAnsi="Times New Roman" w:cs="Times New Roman"/>
          <w:b/>
          <w:bCs/>
          <w:sz w:val="24"/>
          <w:szCs w:val="24"/>
        </w:rPr>
        <w:br/>
      </w:r>
      <w:r w:rsidRPr="00BC521D">
        <w:rPr>
          <w:rFonts w:ascii="Times New Roman" w:hAnsi="Times New Roman" w:cs="Times New Roman"/>
          <w:bCs/>
          <w:sz w:val="24"/>
          <w:szCs w:val="24"/>
        </w:rPr>
        <w:t>DeAnna P. Kreidler, MS, LMFT</w:t>
      </w:r>
      <w:r w:rsidRPr="00BC521D">
        <w:rPr>
          <w:rFonts w:ascii="Times New Roman" w:eastAsiaTheme="minorHAnsi" w:hAnsi="Times New Roman" w:cs="Times New Roman"/>
          <w:bCs/>
          <w:sz w:val="24"/>
          <w:szCs w:val="24"/>
        </w:rPr>
        <w:br/>
      </w:r>
      <w:r w:rsidRPr="00BC521D">
        <w:rPr>
          <w:rFonts w:ascii="Times New Roman" w:hAnsi="Times New Roman" w:cs="Times New Roman"/>
          <w:sz w:val="24"/>
          <w:szCs w:val="24"/>
        </w:rPr>
        <w:t>HIV Care &amp; Treatment Quality &amp; Compliance Coordinator</w:t>
      </w:r>
      <w:r w:rsidR="00BC521D">
        <w:rPr>
          <w:rFonts w:ascii="Times New Roman" w:hAnsi="Times New Roman" w:cs="Times New Roman"/>
          <w:sz w:val="24"/>
          <w:szCs w:val="24"/>
        </w:rPr>
        <w:br/>
      </w:r>
      <w:r w:rsidR="006E5513">
        <w:rPr>
          <w:rFonts w:ascii="Times New Roman" w:hAnsi="Times New Roman" w:cs="Times New Roman"/>
          <w:sz w:val="24"/>
          <w:szCs w:val="24"/>
        </w:rPr>
        <w:t>Tel: 971-673-0144</w:t>
      </w:r>
    </w:p>
    <w:p w14:paraId="69ABF08E" w14:textId="722A1E2B" w:rsidR="006E5513" w:rsidRPr="006E5513" w:rsidRDefault="003A38DF" w:rsidP="001D2D71">
      <w:pPr>
        <w:autoSpaceDE w:val="0"/>
        <w:autoSpaceDN w:val="0"/>
        <w:adjustRightInd w:val="0"/>
        <w:spacing w:after="0" w:line="240" w:lineRule="auto"/>
        <w:rPr>
          <w:rFonts w:ascii="Times New Roman" w:hAnsi="Times New Roman" w:cs="Times New Roman"/>
          <w:sz w:val="24"/>
          <w:szCs w:val="24"/>
        </w:rPr>
      </w:pPr>
      <w:r w:rsidRPr="00BC521D">
        <w:rPr>
          <w:rFonts w:ascii="Times New Roman" w:hAnsi="Times New Roman" w:cs="Times New Roman"/>
          <w:sz w:val="24"/>
          <w:szCs w:val="24"/>
        </w:rPr>
        <w:t xml:space="preserve">Email: </w:t>
      </w:r>
      <w:hyperlink r:id="rId10" w:history="1">
        <w:r w:rsidRPr="00BC521D">
          <w:rPr>
            <w:rStyle w:val="Hyperlink"/>
            <w:rFonts w:ascii="Times New Roman" w:hAnsi="Times New Roman" w:cs="Times New Roman"/>
            <w:color w:val="auto"/>
            <w:sz w:val="24"/>
            <w:szCs w:val="24"/>
            <w:u w:val="none"/>
          </w:rPr>
          <w:t>deanna.p.kreidler@state.or.us</w:t>
        </w:r>
      </w:hyperlink>
      <w:r w:rsidR="00BC521D">
        <w:rPr>
          <w:rFonts w:ascii="Times New Roman" w:hAnsi="Times New Roman" w:cs="Times New Roman"/>
          <w:bCs/>
          <w:sz w:val="24"/>
          <w:szCs w:val="24"/>
        </w:rPr>
        <w:br/>
      </w:r>
    </w:p>
    <w:p w14:paraId="3584A697" w14:textId="77777777" w:rsidR="003A38DF" w:rsidRPr="00BC521D" w:rsidRDefault="008E30CA" w:rsidP="001D2D71">
      <w:pPr>
        <w:autoSpaceDE w:val="0"/>
        <w:autoSpaceDN w:val="0"/>
        <w:adjustRightInd w:val="0"/>
        <w:spacing w:after="0" w:line="240" w:lineRule="auto"/>
        <w:rPr>
          <w:rFonts w:ascii="Times New Roman" w:hAnsi="Times New Roman" w:cs="Times New Roman"/>
          <w:b/>
          <w:sz w:val="24"/>
          <w:szCs w:val="24"/>
        </w:rPr>
      </w:pPr>
      <w:r w:rsidRPr="00BC521D">
        <w:rPr>
          <w:rFonts w:ascii="Times New Roman" w:hAnsi="Times New Roman" w:cs="Times New Roman"/>
          <w:b/>
          <w:sz w:val="24"/>
          <w:szCs w:val="24"/>
        </w:rPr>
        <w:t xml:space="preserve">North Carolina </w:t>
      </w:r>
      <w:r w:rsidR="00BC521D">
        <w:rPr>
          <w:rFonts w:ascii="Times New Roman" w:hAnsi="Times New Roman" w:cs="Times New Roman"/>
          <w:b/>
          <w:sz w:val="24"/>
          <w:szCs w:val="24"/>
        </w:rPr>
        <w:br/>
      </w:r>
      <w:r w:rsidR="003A38DF" w:rsidRPr="00BC521D">
        <w:rPr>
          <w:rFonts w:ascii="Times New Roman" w:hAnsi="Times New Roman" w:cs="Times New Roman"/>
          <w:sz w:val="24"/>
          <w:szCs w:val="24"/>
        </w:rPr>
        <w:t>Eleana Sessoms, ADAP Data Analyst</w:t>
      </w:r>
      <w:r w:rsidR="00BC521D">
        <w:rPr>
          <w:rFonts w:ascii="Times New Roman" w:hAnsi="Times New Roman" w:cs="Times New Roman"/>
          <w:b/>
          <w:sz w:val="24"/>
          <w:szCs w:val="24"/>
        </w:rPr>
        <w:br/>
      </w:r>
      <w:r w:rsidR="003A38DF" w:rsidRPr="00BC521D">
        <w:rPr>
          <w:rFonts w:ascii="Times New Roman" w:hAnsi="Times New Roman" w:cs="Times New Roman"/>
          <w:sz w:val="24"/>
          <w:szCs w:val="24"/>
        </w:rPr>
        <w:t>Tel: 919-546-1696   </w:t>
      </w:r>
      <w:r w:rsidR="00BC521D">
        <w:rPr>
          <w:rFonts w:ascii="Times New Roman" w:hAnsi="Times New Roman" w:cs="Times New Roman"/>
          <w:b/>
          <w:sz w:val="24"/>
          <w:szCs w:val="24"/>
        </w:rPr>
        <w:br/>
      </w:r>
      <w:r w:rsidR="003A38DF" w:rsidRPr="00BC521D">
        <w:rPr>
          <w:rFonts w:ascii="Times New Roman" w:hAnsi="Times New Roman" w:cs="Times New Roman"/>
          <w:sz w:val="24"/>
          <w:szCs w:val="24"/>
        </w:rPr>
        <w:t xml:space="preserve">Email: </w:t>
      </w:r>
      <w:hyperlink r:id="rId11" w:history="1">
        <w:r w:rsidR="003A38DF" w:rsidRPr="00BC521D">
          <w:rPr>
            <w:rStyle w:val="Hyperlink"/>
            <w:rFonts w:ascii="Times New Roman" w:hAnsi="Times New Roman" w:cs="Times New Roman"/>
            <w:color w:val="auto"/>
            <w:sz w:val="24"/>
            <w:szCs w:val="24"/>
            <w:u w:val="none"/>
          </w:rPr>
          <w:t>Eleana.sessoms@dhhs.nc.gov</w:t>
        </w:r>
      </w:hyperlink>
    </w:p>
    <w:p w14:paraId="3CF7B464" w14:textId="61E5055C" w:rsidR="003A38DF" w:rsidRPr="00BC521D" w:rsidRDefault="003A38DF" w:rsidP="00BC521D">
      <w:pPr>
        <w:spacing w:before="100" w:beforeAutospacing="1" w:after="100" w:afterAutospacing="1" w:line="240" w:lineRule="auto"/>
        <w:rPr>
          <w:rFonts w:ascii="Times New Roman" w:hAnsi="Times New Roman" w:cs="Times New Roman"/>
          <w:b/>
          <w:sz w:val="24"/>
          <w:szCs w:val="24"/>
        </w:rPr>
      </w:pPr>
      <w:r w:rsidRPr="00BC521D">
        <w:rPr>
          <w:rFonts w:ascii="Times New Roman" w:hAnsi="Times New Roman" w:cs="Times New Roman"/>
          <w:b/>
          <w:sz w:val="24"/>
          <w:szCs w:val="24"/>
        </w:rPr>
        <w:t>Iowa</w:t>
      </w:r>
      <w:r w:rsidR="00BC521D">
        <w:rPr>
          <w:rFonts w:ascii="Times New Roman" w:hAnsi="Times New Roman" w:cs="Times New Roman"/>
          <w:b/>
          <w:sz w:val="24"/>
          <w:szCs w:val="24"/>
        </w:rPr>
        <w:br/>
      </w:r>
      <w:r w:rsidRPr="00BC521D">
        <w:rPr>
          <w:rFonts w:ascii="Times New Roman" w:hAnsi="Times New Roman" w:cs="Times New Roman"/>
          <w:sz w:val="24"/>
          <w:szCs w:val="24"/>
        </w:rPr>
        <w:t>Katie Hertig, Ryan White Quality Coordinator  </w:t>
      </w:r>
      <w:r w:rsidR="00BC521D">
        <w:rPr>
          <w:rFonts w:ascii="Times New Roman" w:hAnsi="Times New Roman" w:cs="Times New Roman"/>
          <w:b/>
          <w:sz w:val="24"/>
          <w:szCs w:val="24"/>
        </w:rPr>
        <w:br/>
      </w:r>
      <w:r w:rsidR="00BC521D" w:rsidRPr="00BC521D">
        <w:rPr>
          <w:rFonts w:ascii="Times New Roman" w:hAnsi="Times New Roman" w:cs="Times New Roman"/>
          <w:sz w:val="24"/>
          <w:szCs w:val="24"/>
        </w:rPr>
        <w:t xml:space="preserve">Tel: </w:t>
      </w:r>
      <w:r w:rsidRPr="00BC521D">
        <w:rPr>
          <w:rFonts w:ascii="Times New Roman" w:hAnsi="Times New Roman" w:cs="Times New Roman"/>
          <w:sz w:val="24"/>
          <w:szCs w:val="24"/>
        </w:rPr>
        <w:t>515-281-4775  </w:t>
      </w:r>
      <w:r w:rsidR="00BC521D">
        <w:rPr>
          <w:rFonts w:ascii="Times New Roman" w:hAnsi="Times New Roman" w:cs="Times New Roman"/>
          <w:b/>
          <w:sz w:val="24"/>
          <w:szCs w:val="24"/>
        </w:rPr>
        <w:br/>
      </w:r>
      <w:r w:rsidR="00BC521D" w:rsidRPr="00BC521D">
        <w:rPr>
          <w:rFonts w:ascii="Times New Roman" w:hAnsi="Times New Roman" w:cs="Times New Roman"/>
          <w:sz w:val="24"/>
          <w:szCs w:val="24"/>
        </w:rPr>
        <w:t xml:space="preserve">Email: </w:t>
      </w:r>
      <w:hyperlink r:id="rId12" w:tgtFrame="_blank" w:history="1">
        <w:r w:rsidRPr="00BC521D">
          <w:rPr>
            <w:rStyle w:val="Hyperlink"/>
            <w:rFonts w:ascii="Times New Roman" w:hAnsi="Times New Roman" w:cs="Times New Roman"/>
            <w:color w:val="auto"/>
            <w:sz w:val="24"/>
            <w:szCs w:val="24"/>
            <w:u w:val="none"/>
          </w:rPr>
          <w:t>Katie.Herting@idph.iowa.gov</w:t>
        </w:r>
      </w:hyperlink>
    </w:p>
    <w:p w14:paraId="05D02963" w14:textId="77777777" w:rsidR="003A38DF" w:rsidRPr="00BC521D" w:rsidRDefault="00BC521D" w:rsidP="00BC521D">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Delaware</w:t>
      </w:r>
      <w:r>
        <w:rPr>
          <w:rFonts w:ascii="Times New Roman" w:hAnsi="Times New Roman" w:cs="Times New Roman"/>
          <w:b/>
          <w:sz w:val="24"/>
          <w:szCs w:val="24"/>
        </w:rPr>
        <w:br/>
      </w:r>
      <w:r w:rsidR="003A38DF" w:rsidRPr="00BC521D">
        <w:rPr>
          <w:rFonts w:ascii="Times New Roman" w:hAnsi="Times New Roman" w:cs="Times New Roman"/>
          <w:sz w:val="24"/>
          <w:szCs w:val="24"/>
        </w:rPr>
        <w:t>Douglas Trader</w:t>
      </w:r>
      <w:r w:rsidRPr="00BC521D">
        <w:rPr>
          <w:rFonts w:ascii="Times New Roman" w:hAnsi="Times New Roman" w:cs="Times New Roman"/>
          <w:sz w:val="24"/>
          <w:szCs w:val="24"/>
        </w:rPr>
        <w:t>, Eligibility Coordinator</w:t>
      </w:r>
      <w:r>
        <w:rPr>
          <w:rFonts w:ascii="Times New Roman" w:hAnsi="Times New Roman" w:cs="Times New Roman"/>
          <w:b/>
          <w:sz w:val="24"/>
          <w:szCs w:val="24"/>
        </w:rPr>
        <w:br/>
      </w:r>
      <w:r w:rsidRPr="00BC521D">
        <w:rPr>
          <w:rFonts w:ascii="Times New Roman" w:hAnsi="Times New Roman" w:cs="Times New Roman"/>
          <w:sz w:val="24"/>
          <w:szCs w:val="24"/>
        </w:rPr>
        <w:t xml:space="preserve">Tel: </w:t>
      </w:r>
      <w:r w:rsidR="003A38DF" w:rsidRPr="00BC521D">
        <w:rPr>
          <w:rFonts w:ascii="Times New Roman" w:hAnsi="Times New Roman" w:cs="Times New Roman"/>
          <w:sz w:val="24"/>
          <w:szCs w:val="24"/>
        </w:rPr>
        <w:t>302-744-1005</w:t>
      </w:r>
      <w:r>
        <w:rPr>
          <w:rFonts w:ascii="Times New Roman" w:hAnsi="Times New Roman" w:cs="Times New Roman"/>
          <w:b/>
          <w:sz w:val="24"/>
          <w:szCs w:val="24"/>
        </w:rPr>
        <w:br/>
      </w:r>
      <w:r w:rsidRPr="00BC521D">
        <w:rPr>
          <w:rFonts w:ascii="Times New Roman" w:hAnsi="Times New Roman" w:cs="Times New Roman"/>
          <w:sz w:val="24"/>
          <w:szCs w:val="24"/>
        </w:rPr>
        <w:t xml:space="preserve">Email: </w:t>
      </w:r>
      <w:r w:rsidR="003A38DF" w:rsidRPr="00BC521D">
        <w:rPr>
          <w:rFonts w:ascii="Times New Roman" w:hAnsi="Times New Roman" w:cs="Times New Roman"/>
          <w:sz w:val="24"/>
          <w:szCs w:val="24"/>
        </w:rPr>
        <w:t>Douglas.Trader@state.de.us</w:t>
      </w:r>
      <w:r w:rsidR="003A38DF" w:rsidRPr="00BC521D">
        <w:rPr>
          <w:rFonts w:ascii="Times New Roman" w:hAnsi="Times New Roman" w:cs="Times New Roman"/>
          <w:sz w:val="24"/>
          <w:szCs w:val="24"/>
        </w:rPr>
        <w:br/>
      </w:r>
    </w:p>
    <w:p w14:paraId="1DD07244" w14:textId="77777777" w:rsidR="00D71778" w:rsidRPr="001C34C8" w:rsidRDefault="00475211" w:rsidP="00D71778">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432"/>
        <w:rPr>
          <w:rFonts w:ascii="Times New Roman" w:hAnsi="Times New Roman" w:cs="Times New Roman"/>
          <w:sz w:val="24"/>
          <w:szCs w:val="24"/>
        </w:rPr>
      </w:pPr>
      <w:r>
        <w:rPr>
          <w:rFonts w:ascii="Times New Roman" w:hAnsi="Times New Roman" w:cs="Times New Roman"/>
          <w:sz w:val="24"/>
          <w:szCs w:val="24"/>
          <w:u w:val="single"/>
        </w:rPr>
        <w:t xml:space="preserve">Explanation of any Payment/Gif to </w:t>
      </w:r>
      <w:r w:rsidR="00D71778" w:rsidRPr="001C34C8">
        <w:rPr>
          <w:rFonts w:ascii="Times New Roman" w:hAnsi="Times New Roman" w:cs="Times New Roman"/>
          <w:sz w:val="24"/>
          <w:szCs w:val="24"/>
          <w:u w:val="single"/>
        </w:rPr>
        <w:t>Respondents</w:t>
      </w:r>
    </w:p>
    <w:p w14:paraId="60BC5020" w14:textId="77777777" w:rsidR="00D71778" w:rsidRPr="001C34C8" w:rsidRDefault="00D71778" w:rsidP="00D717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sidRPr="001C34C8">
        <w:rPr>
          <w:rStyle w:val="BodyTextFi"/>
          <w:rFonts w:ascii="Times New Roman" w:hAnsi="Times New Roman" w:cs="Times New Roman"/>
          <w:sz w:val="24"/>
          <w:szCs w:val="24"/>
        </w:rPr>
        <w:t>The proposed collection of information does not involve any remuneration of respondents beyond the contracted agreement to collect data.</w:t>
      </w:r>
    </w:p>
    <w:p w14:paraId="335AC905" w14:textId="77777777" w:rsidR="00D71778" w:rsidRPr="001C34C8" w:rsidRDefault="00D71778" w:rsidP="00475211">
      <w:pPr>
        <w:pStyle w:val="ColorfulList-Accent11"/>
        <w:numPr>
          <w:ilvl w:val="0"/>
          <w:numId w:val="2"/>
        </w:numPr>
        <w:tabs>
          <w:tab w:val="left" w:pos="0"/>
          <w:tab w:val="left" w:pos="270"/>
          <w:tab w:val="left" w:pos="450"/>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sidRPr="001C34C8">
        <w:rPr>
          <w:rFonts w:ascii="Times New Roman" w:hAnsi="Times New Roman" w:cs="Times New Roman"/>
          <w:sz w:val="24"/>
          <w:szCs w:val="24"/>
          <w:u w:val="single"/>
        </w:rPr>
        <w:t>Assurance of Confidentiality</w:t>
      </w:r>
      <w:r w:rsidR="00095F23">
        <w:rPr>
          <w:rFonts w:ascii="Times New Roman" w:hAnsi="Times New Roman" w:cs="Times New Roman"/>
          <w:sz w:val="24"/>
          <w:szCs w:val="24"/>
          <w:u w:val="single"/>
        </w:rPr>
        <w:t xml:space="preserve"> Provided to Respondents</w:t>
      </w:r>
    </w:p>
    <w:p w14:paraId="3CDEA626" w14:textId="77777777" w:rsidR="00D71778" w:rsidRPr="001C34C8" w:rsidRDefault="00D71778">
      <w:pPr>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rFonts w:ascii="Times New Roman" w:hAnsi="Times New Roman" w:cs="Times New Roman"/>
          <w:sz w:val="24"/>
          <w:szCs w:val="24"/>
        </w:rPr>
      </w:pPr>
      <w:r w:rsidRPr="001C34C8">
        <w:rPr>
          <w:rStyle w:val="BodyTextFi"/>
          <w:rFonts w:ascii="Times New Roman" w:hAnsi="Times New Roman" w:cs="Times New Roman"/>
          <w:sz w:val="24"/>
          <w:szCs w:val="24"/>
        </w:rPr>
        <w:t>Measures have been incorporated into the ADR to fully protect the confidentiality of clients receiving services.  These are:</w:t>
      </w:r>
    </w:p>
    <w:p w14:paraId="4498D7C5" w14:textId="77777777" w:rsidR="00D71778" w:rsidRPr="001C34C8" w:rsidRDefault="00D71778">
      <w:pPr>
        <w:pStyle w:val="ColorfulList-Accent12"/>
        <w:keepLines/>
        <w:numPr>
          <w:ilvl w:val="0"/>
          <w:numId w:val="2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Style w:val="BulletInden"/>
          <w:sz w:val="24"/>
          <w:szCs w:val="24"/>
        </w:rPr>
      </w:pPr>
      <w:r w:rsidRPr="001C34C8">
        <w:rPr>
          <w:rStyle w:val="BulletInden"/>
          <w:sz w:val="24"/>
          <w:szCs w:val="24"/>
        </w:rPr>
        <w:t>All ADAP clients are assigned a Unique Client Identifier (UCI), which is encrypted</w:t>
      </w:r>
      <w:r w:rsidRPr="001C34C8">
        <w:rPr>
          <w:sz w:val="24"/>
          <w:szCs w:val="24"/>
        </w:rPr>
        <w:t xml:space="preserve"> through a hashing algorithm embedded within the data management system</w:t>
      </w:r>
      <w:r w:rsidRPr="001C34C8">
        <w:rPr>
          <w:rStyle w:val="FootnoteReference"/>
          <w:sz w:val="24"/>
          <w:szCs w:val="24"/>
        </w:rPr>
        <w:t xml:space="preserve"> </w:t>
      </w:r>
      <w:r w:rsidRPr="001C34C8">
        <w:rPr>
          <w:rStyle w:val="BulletInden"/>
          <w:sz w:val="24"/>
          <w:szCs w:val="24"/>
        </w:rPr>
        <w:t xml:space="preserve">at the grantee site </w:t>
      </w:r>
      <w:r w:rsidRPr="001C34C8">
        <w:rPr>
          <w:rStyle w:val="BulletInden"/>
          <w:sz w:val="24"/>
          <w:szCs w:val="24"/>
          <w:u w:val="single"/>
        </w:rPr>
        <w:t>before</w:t>
      </w:r>
      <w:r w:rsidRPr="001C34C8">
        <w:rPr>
          <w:rStyle w:val="BulletInden"/>
          <w:sz w:val="24"/>
          <w:szCs w:val="24"/>
        </w:rPr>
        <w:t xml:space="preserve"> the data are submitted to HRSA.  </w:t>
      </w:r>
    </w:p>
    <w:p w14:paraId="369A83D9" w14:textId="77777777" w:rsidR="00D71778" w:rsidRPr="001C34C8" w:rsidRDefault="00D71778">
      <w:pPr>
        <w:pStyle w:val="ColorfulList-Accent12"/>
        <w:keepLines/>
        <w:numPr>
          <w:ilvl w:val="0"/>
          <w:numId w:val="2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Style w:val="BulletInden"/>
          <w:sz w:val="24"/>
          <w:szCs w:val="24"/>
        </w:rPr>
      </w:pPr>
      <w:r w:rsidRPr="001C34C8">
        <w:rPr>
          <w:rStyle w:val="BulletInden"/>
          <w:sz w:val="24"/>
          <w:szCs w:val="24"/>
        </w:rPr>
        <w:t>G</w:t>
      </w:r>
      <w:r w:rsidRPr="001C34C8">
        <w:rPr>
          <w:sz w:val="24"/>
          <w:szCs w:val="24"/>
        </w:rPr>
        <w:t>rantees do not provide HRSA with any information that could identify individual</w:t>
      </w:r>
      <w:r w:rsidR="00A61D88">
        <w:rPr>
          <w:sz w:val="24"/>
          <w:szCs w:val="24"/>
        </w:rPr>
        <w:t xml:space="preserve"> </w:t>
      </w:r>
      <w:r w:rsidRPr="001C34C8">
        <w:rPr>
          <w:sz w:val="24"/>
          <w:szCs w:val="24"/>
        </w:rPr>
        <w:t>clients. The data submitted cannot be used alone or in combination by HRSA to identify specific ADAP clients</w:t>
      </w:r>
      <w:r w:rsidRPr="001C34C8">
        <w:rPr>
          <w:rStyle w:val="BulletInden"/>
          <w:sz w:val="24"/>
          <w:szCs w:val="24"/>
        </w:rPr>
        <w:t xml:space="preserve">.  </w:t>
      </w:r>
    </w:p>
    <w:p w14:paraId="60C0E928" w14:textId="77777777" w:rsidR="00D71778" w:rsidRPr="001C34C8" w:rsidRDefault="00D71778">
      <w:pPr>
        <w:pStyle w:val="ColorfulList-Accent12"/>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p>
    <w:p w14:paraId="63BD8EC0" w14:textId="77777777" w:rsidR="00D71778" w:rsidRPr="001C34C8" w:rsidRDefault="00095F23" w:rsidP="00D71778">
      <w:pPr>
        <w:pStyle w:val="ColorfulList-Accent11"/>
        <w:numPr>
          <w:ilvl w:val="0"/>
          <w:numId w:val="2"/>
        </w:numPr>
        <w:rPr>
          <w:rStyle w:val="BodyTextFi"/>
          <w:rFonts w:ascii="Times New Roman" w:hAnsi="Times New Roman" w:cs="Times New Roman"/>
          <w:sz w:val="24"/>
          <w:szCs w:val="24"/>
          <w:u w:val="single"/>
        </w:rPr>
      </w:pPr>
      <w:r>
        <w:rPr>
          <w:rStyle w:val="BodyTextFi"/>
          <w:rFonts w:ascii="Times New Roman" w:hAnsi="Times New Roman" w:cs="Times New Roman"/>
          <w:sz w:val="24"/>
          <w:szCs w:val="24"/>
          <w:u w:val="single"/>
        </w:rPr>
        <w:t>Justification for Sensitive Questions</w:t>
      </w:r>
    </w:p>
    <w:p w14:paraId="7A1A592D" w14:textId="77777777" w:rsidR="00D71778" w:rsidRPr="001C34C8" w:rsidRDefault="00D71778" w:rsidP="00D71778">
      <w:pPr>
        <w:pStyle w:val="ColorfulList-Accent11"/>
        <w:ind w:left="0"/>
        <w:rPr>
          <w:rStyle w:val="BodyTextFi"/>
          <w:rFonts w:ascii="Times New Roman" w:hAnsi="Times New Roman" w:cs="Times New Roman"/>
          <w:sz w:val="24"/>
          <w:szCs w:val="24"/>
        </w:rPr>
      </w:pPr>
      <w:r w:rsidRPr="001C34C8">
        <w:rPr>
          <w:rStyle w:val="BodyTextFi"/>
          <w:rFonts w:ascii="Times New Roman" w:hAnsi="Times New Roman" w:cs="Times New Roman"/>
          <w:sz w:val="24"/>
          <w:szCs w:val="24"/>
        </w:rPr>
        <w:t xml:space="preserve">All clients reported in the ADR are HIV-positive. The ADR provides client-level information on the characteristics of clients served, the types of services provided, and the current health status of clients, based on core clinical performance measures established by HRSA; grantee-level data are also provided.  Data are drawn from client-level databases and reports collected by grantees. </w:t>
      </w:r>
    </w:p>
    <w:p w14:paraId="5FDC1619" w14:textId="77777777" w:rsidR="00D71778" w:rsidRPr="001C34C8" w:rsidRDefault="00D71778" w:rsidP="00D71778">
      <w:pPr>
        <w:pStyle w:val="ColorfulList-Accent11"/>
        <w:tabs>
          <w:tab w:val="left" w:pos="270"/>
        </w:tabs>
        <w:ind w:left="0"/>
        <w:rPr>
          <w:rFonts w:ascii="Times New Roman" w:hAnsi="Times New Roman" w:cs="Times New Roman"/>
          <w:sz w:val="24"/>
          <w:szCs w:val="24"/>
        </w:rPr>
      </w:pPr>
      <w:r w:rsidRPr="001C34C8">
        <w:rPr>
          <w:rFonts w:ascii="Times New Roman" w:hAnsi="Times New Roman" w:cs="Times New Roman"/>
          <w:sz w:val="24"/>
          <w:szCs w:val="24"/>
        </w:rPr>
        <w:t>12.</w:t>
      </w:r>
      <w:r w:rsidRPr="001C34C8">
        <w:rPr>
          <w:rFonts w:ascii="Times New Roman" w:hAnsi="Times New Roman" w:cs="Times New Roman"/>
          <w:sz w:val="24"/>
          <w:szCs w:val="24"/>
          <w:u w:val="single"/>
        </w:rPr>
        <w:t xml:space="preserve"> </w:t>
      </w:r>
      <w:r w:rsidR="00095F23">
        <w:rPr>
          <w:rFonts w:ascii="Times New Roman" w:hAnsi="Times New Roman" w:cs="Times New Roman"/>
          <w:sz w:val="24"/>
          <w:szCs w:val="24"/>
          <w:u w:val="single"/>
        </w:rPr>
        <w:t xml:space="preserve">Estimates of Annualized </w:t>
      </w:r>
      <w:r w:rsidRPr="001C34C8">
        <w:rPr>
          <w:rFonts w:ascii="Times New Roman" w:hAnsi="Times New Roman" w:cs="Times New Roman"/>
          <w:sz w:val="24"/>
          <w:szCs w:val="24"/>
          <w:u w:val="single"/>
        </w:rPr>
        <w:t>Hour</w:t>
      </w:r>
      <w:r w:rsidR="00095F23">
        <w:rPr>
          <w:rFonts w:ascii="Times New Roman" w:hAnsi="Times New Roman" w:cs="Times New Roman"/>
          <w:sz w:val="24"/>
          <w:szCs w:val="24"/>
          <w:u w:val="single"/>
        </w:rPr>
        <w:t xml:space="preserve"> and Cost</w:t>
      </w:r>
      <w:r w:rsidRPr="001C34C8">
        <w:rPr>
          <w:rFonts w:ascii="Times New Roman" w:hAnsi="Times New Roman" w:cs="Times New Roman"/>
          <w:sz w:val="24"/>
          <w:szCs w:val="24"/>
          <w:u w:val="single"/>
        </w:rPr>
        <w:t xml:space="preserve"> Burden</w:t>
      </w:r>
    </w:p>
    <w:p w14:paraId="19489593" w14:textId="77777777" w:rsidR="00095F23" w:rsidRDefault="00095F23" w:rsidP="00D71778">
      <w:pPr>
        <w:pStyle w:val="ColorfulList-Accent11"/>
        <w:tabs>
          <w:tab w:val="left" w:pos="270"/>
        </w:tabs>
        <w:ind w:left="0"/>
        <w:rPr>
          <w:rFonts w:ascii="Times New Roman" w:hAnsi="Times New Roman" w:cs="Times New Roman"/>
          <w:sz w:val="24"/>
          <w:szCs w:val="24"/>
        </w:rPr>
      </w:pPr>
      <w:r>
        <w:rPr>
          <w:rFonts w:ascii="Times New Roman" w:hAnsi="Times New Roman" w:cs="Times New Roman"/>
          <w:sz w:val="24"/>
          <w:szCs w:val="24"/>
        </w:rPr>
        <w:t>12A. Estimated Annualized Burden Hours</w:t>
      </w:r>
    </w:p>
    <w:p w14:paraId="109EEFBD" w14:textId="77777777" w:rsidR="00D71778" w:rsidRPr="001C34C8" w:rsidRDefault="00970A70" w:rsidP="00D71778">
      <w:pPr>
        <w:pStyle w:val="ColorfulList-Accent11"/>
        <w:tabs>
          <w:tab w:val="left" w:pos="270"/>
        </w:tabs>
        <w:ind w:left="0"/>
        <w:rPr>
          <w:rFonts w:ascii="Times New Roman" w:hAnsi="Times New Roman" w:cs="Times New Roman"/>
          <w:sz w:val="24"/>
          <w:szCs w:val="24"/>
        </w:rPr>
      </w:pPr>
      <w:r>
        <w:rPr>
          <w:rFonts w:ascii="Times New Roman" w:hAnsi="Times New Roman" w:cs="Times New Roman"/>
          <w:sz w:val="24"/>
          <w:szCs w:val="24"/>
        </w:rPr>
        <w:t>Burden estimates</w:t>
      </w:r>
      <w:r w:rsidRPr="001C34C8">
        <w:rPr>
          <w:rFonts w:ascii="Times New Roman" w:hAnsi="Times New Roman" w:cs="Times New Roman"/>
          <w:sz w:val="24"/>
          <w:szCs w:val="24"/>
        </w:rPr>
        <w:t xml:space="preserve"> </w:t>
      </w:r>
      <w:r w:rsidR="00D71778" w:rsidRPr="001C34C8">
        <w:rPr>
          <w:rFonts w:ascii="Times New Roman" w:hAnsi="Times New Roman" w:cs="Times New Roman"/>
          <w:sz w:val="24"/>
          <w:szCs w:val="24"/>
        </w:rPr>
        <w:t xml:space="preserve">were </w:t>
      </w:r>
      <w:r>
        <w:rPr>
          <w:rFonts w:ascii="Times New Roman" w:hAnsi="Times New Roman" w:cs="Times New Roman"/>
          <w:sz w:val="24"/>
          <w:szCs w:val="24"/>
        </w:rPr>
        <w:t xml:space="preserve">requested from five </w:t>
      </w:r>
      <w:r w:rsidR="00D71778" w:rsidRPr="001C34C8">
        <w:rPr>
          <w:rFonts w:ascii="Times New Roman" w:hAnsi="Times New Roman" w:cs="Times New Roman"/>
          <w:sz w:val="24"/>
          <w:szCs w:val="24"/>
        </w:rPr>
        <w:t>agencies representing a variety of ADAP models</w:t>
      </w:r>
      <w:r>
        <w:rPr>
          <w:rFonts w:ascii="Times New Roman" w:hAnsi="Times New Roman" w:cs="Times New Roman"/>
          <w:sz w:val="24"/>
          <w:szCs w:val="24"/>
        </w:rPr>
        <w:t>.</w:t>
      </w:r>
      <w:r w:rsidR="00D71778" w:rsidRPr="001C34C8">
        <w:rPr>
          <w:rFonts w:ascii="Times New Roman" w:hAnsi="Times New Roman" w:cs="Times New Roman"/>
          <w:sz w:val="24"/>
          <w:szCs w:val="24"/>
        </w:rPr>
        <w:t xml:space="preserve">  These burden estimates are presented in </w:t>
      </w:r>
      <w:r>
        <w:rPr>
          <w:rFonts w:ascii="Times New Roman" w:hAnsi="Times New Roman" w:cs="Times New Roman"/>
          <w:sz w:val="24"/>
          <w:szCs w:val="24"/>
        </w:rPr>
        <w:t>the</w:t>
      </w:r>
      <w:r w:rsidRPr="001C34C8">
        <w:rPr>
          <w:rFonts w:ascii="Times New Roman" w:hAnsi="Times New Roman" w:cs="Times New Roman"/>
          <w:sz w:val="24"/>
          <w:szCs w:val="24"/>
        </w:rPr>
        <w:t xml:space="preserve"> </w:t>
      </w:r>
      <w:r w:rsidR="00D71778" w:rsidRPr="001C34C8">
        <w:rPr>
          <w:rFonts w:ascii="Times New Roman" w:hAnsi="Times New Roman" w:cs="Times New Roman"/>
          <w:sz w:val="24"/>
          <w:szCs w:val="24"/>
        </w:rPr>
        <w:t>table</w:t>
      </w:r>
      <w:r>
        <w:rPr>
          <w:rFonts w:ascii="Times New Roman" w:hAnsi="Times New Roman" w:cs="Times New Roman"/>
          <w:sz w:val="24"/>
          <w:szCs w:val="24"/>
        </w:rPr>
        <w:t xml:space="preserve"> below</w:t>
      </w:r>
      <w:r w:rsidR="00D71778" w:rsidRPr="001C34C8">
        <w:rPr>
          <w:rFonts w:ascii="Times New Roman" w:hAnsi="Times New Roman" w:cs="Times New Roman"/>
          <w:sz w:val="24"/>
          <w:szCs w:val="24"/>
        </w:rPr>
        <w:t xml:space="preserve">.  </w:t>
      </w:r>
    </w:p>
    <w:p w14:paraId="3C5FD624" w14:textId="77777777" w:rsidR="00D71778" w:rsidRPr="001C34C8" w:rsidRDefault="00D71778" w:rsidP="00D7177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sidRPr="001C34C8">
        <w:rPr>
          <w:rFonts w:ascii="Times New Roman" w:hAnsi="Times New Roman" w:cs="Times New Roman"/>
          <w:b/>
          <w:bCs/>
          <w:sz w:val="24"/>
          <w:szCs w:val="24"/>
        </w:rPr>
        <w:t>Estimated Annual</w:t>
      </w:r>
      <w:r w:rsidR="00970A70">
        <w:rPr>
          <w:rFonts w:ascii="Times New Roman" w:hAnsi="Times New Roman" w:cs="Times New Roman"/>
          <w:b/>
          <w:bCs/>
          <w:sz w:val="24"/>
          <w:szCs w:val="24"/>
        </w:rPr>
        <w:t xml:space="preserve">ized </w:t>
      </w:r>
      <w:r w:rsidRPr="001C34C8">
        <w:rPr>
          <w:rFonts w:ascii="Times New Roman" w:hAnsi="Times New Roman" w:cs="Times New Roman"/>
          <w:b/>
          <w:bCs/>
          <w:sz w:val="24"/>
          <w:szCs w:val="24"/>
        </w:rPr>
        <w:t>Burden</w:t>
      </w:r>
      <w:r w:rsidR="00970A70">
        <w:rPr>
          <w:rFonts w:ascii="Times New Roman" w:hAnsi="Times New Roman" w:cs="Times New Roman"/>
          <w:b/>
          <w:bCs/>
          <w:sz w:val="24"/>
          <w:szCs w:val="24"/>
        </w:rPr>
        <w:t xml:space="preserve"> Hours</w:t>
      </w:r>
      <w:r w:rsidRPr="001C34C8">
        <w:rPr>
          <w:rFonts w:ascii="Times New Roman" w:hAnsi="Times New Roman" w:cs="Times New Roman"/>
          <w:b/>
          <w:bCs/>
          <w:sz w:val="24"/>
          <w:szCs w:val="24"/>
        </w:rPr>
        <w:t xml:space="preserve"> </w:t>
      </w:r>
    </w:p>
    <w:tbl>
      <w:tblPr>
        <w:tblW w:w="0" w:type="auto"/>
        <w:tblInd w:w="-95" w:type="dxa"/>
        <w:tblLayout w:type="fixed"/>
        <w:tblCellMar>
          <w:left w:w="97" w:type="dxa"/>
          <w:right w:w="97" w:type="dxa"/>
        </w:tblCellMar>
        <w:tblLook w:val="0000" w:firstRow="0" w:lastRow="0" w:firstColumn="0" w:lastColumn="0" w:noHBand="0" w:noVBand="0"/>
      </w:tblPr>
      <w:tblGrid>
        <w:gridCol w:w="1545"/>
        <w:gridCol w:w="1545"/>
        <w:gridCol w:w="1545"/>
        <w:gridCol w:w="1545"/>
        <w:gridCol w:w="1545"/>
        <w:gridCol w:w="1545"/>
      </w:tblGrid>
      <w:tr w:rsidR="00D71778" w:rsidRPr="001C34C8" w14:paraId="0612ECDC" w14:textId="77777777" w:rsidTr="003168E1">
        <w:tc>
          <w:tcPr>
            <w:tcW w:w="1545" w:type="dxa"/>
            <w:tcBorders>
              <w:top w:val="single" w:sz="2" w:space="0" w:color="auto"/>
              <w:left w:val="single" w:sz="2" w:space="0" w:color="auto"/>
              <w:bottom w:val="single" w:sz="2" w:space="0" w:color="auto"/>
              <w:right w:val="single" w:sz="2" w:space="0" w:color="auto"/>
            </w:tcBorders>
            <w:shd w:val="clear" w:color="auto" w:fill="A6A6A6"/>
          </w:tcPr>
          <w:p w14:paraId="43A6EA8F" w14:textId="77777777" w:rsidR="00D71778" w:rsidRPr="001C34C8" w:rsidRDefault="00D71778" w:rsidP="00D71778">
            <w:pPr>
              <w:pStyle w:val="BodyText"/>
              <w:keepNext/>
              <w:keepLines/>
              <w:tabs>
                <w:tab w:val="left" w:pos="10080"/>
              </w:tabs>
              <w:spacing w:after="200" w:line="276" w:lineRule="auto"/>
              <w:jc w:val="center"/>
              <w:rPr>
                <w:b/>
                <w:bCs/>
              </w:rPr>
            </w:pPr>
          </w:p>
          <w:p w14:paraId="758154BA" w14:textId="77777777" w:rsidR="00D71778" w:rsidRPr="001C34C8" w:rsidRDefault="00D71778" w:rsidP="00D71778">
            <w:pPr>
              <w:pStyle w:val="BodyText"/>
              <w:keepNext/>
              <w:keepLines/>
              <w:tabs>
                <w:tab w:val="left" w:pos="10080"/>
              </w:tabs>
              <w:spacing w:after="200" w:line="276" w:lineRule="auto"/>
              <w:jc w:val="center"/>
              <w:rPr>
                <w:b/>
                <w:bCs/>
              </w:rPr>
            </w:pPr>
            <w:r w:rsidRPr="001C34C8">
              <w:rPr>
                <w:b/>
                <w:bCs/>
              </w:rPr>
              <w:t>Instrument</w:t>
            </w:r>
          </w:p>
        </w:tc>
        <w:tc>
          <w:tcPr>
            <w:tcW w:w="1545" w:type="dxa"/>
            <w:tcBorders>
              <w:top w:val="single" w:sz="2" w:space="0" w:color="auto"/>
              <w:left w:val="single" w:sz="2" w:space="0" w:color="auto"/>
              <w:bottom w:val="single" w:sz="2" w:space="0" w:color="auto"/>
              <w:right w:val="single" w:sz="2" w:space="0" w:color="auto"/>
            </w:tcBorders>
            <w:shd w:val="clear" w:color="auto" w:fill="A6A6A6"/>
            <w:vAlign w:val="bottom"/>
          </w:tcPr>
          <w:p w14:paraId="7D9C492B" w14:textId="77777777" w:rsidR="00D71778" w:rsidRPr="001C34C8" w:rsidRDefault="00D71778" w:rsidP="00D71778">
            <w:pPr>
              <w:pStyle w:val="BodyText"/>
              <w:keepNext/>
              <w:keepLines/>
              <w:spacing w:after="200" w:line="276" w:lineRule="auto"/>
              <w:jc w:val="center"/>
              <w:rPr>
                <w:b/>
                <w:bCs/>
              </w:rPr>
            </w:pPr>
            <w:r w:rsidRPr="001C34C8">
              <w:rPr>
                <w:b/>
                <w:bCs/>
              </w:rPr>
              <w:t>Number of Respondents</w:t>
            </w:r>
          </w:p>
        </w:tc>
        <w:tc>
          <w:tcPr>
            <w:tcW w:w="1545" w:type="dxa"/>
            <w:tcBorders>
              <w:top w:val="single" w:sz="2" w:space="0" w:color="auto"/>
              <w:left w:val="single" w:sz="2" w:space="0" w:color="auto"/>
              <w:bottom w:val="single" w:sz="2" w:space="0" w:color="auto"/>
              <w:right w:val="single" w:sz="2" w:space="0" w:color="auto"/>
            </w:tcBorders>
            <w:shd w:val="clear" w:color="auto" w:fill="A6A6A6"/>
          </w:tcPr>
          <w:p w14:paraId="6FB00282" w14:textId="77777777" w:rsidR="00D71778" w:rsidRPr="001C34C8" w:rsidRDefault="00D71778" w:rsidP="00D71778">
            <w:pPr>
              <w:pStyle w:val="BodyText"/>
              <w:keepNext/>
              <w:keepLines/>
              <w:spacing w:after="200" w:line="276" w:lineRule="auto"/>
              <w:jc w:val="center"/>
              <w:rPr>
                <w:b/>
                <w:bCs/>
              </w:rPr>
            </w:pPr>
          </w:p>
          <w:p w14:paraId="4E5D3A39" w14:textId="1102467D" w:rsidR="00D71778" w:rsidRPr="001C34C8" w:rsidRDefault="006E5513" w:rsidP="00D71778">
            <w:pPr>
              <w:pStyle w:val="BodyText"/>
              <w:keepNext/>
              <w:keepLines/>
              <w:spacing w:after="200" w:line="276" w:lineRule="auto"/>
              <w:jc w:val="center"/>
              <w:rPr>
                <w:b/>
                <w:bCs/>
              </w:rPr>
            </w:pPr>
            <w:r>
              <w:rPr>
                <w:b/>
                <w:bCs/>
              </w:rPr>
              <w:t xml:space="preserve">Number of </w:t>
            </w:r>
            <w:r w:rsidR="00D71778" w:rsidRPr="001C34C8">
              <w:rPr>
                <w:b/>
                <w:bCs/>
              </w:rPr>
              <w:t>Responses per Respondent</w:t>
            </w:r>
          </w:p>
        </w:tc>
        <w:tc>
          <w:tcPr>
            <w:tcW w:w="1545" w:type="dxa"/>
            <w:tcBorders>
              <w:top w:val="single" w:sz="2" w:space="0" w:color="auto"/>
              <w:left w:val="single" w:sz="2" w:space="0" w:color="auto"/>
              <w:bottom w:val="single" w:sz="2" w:space="0" w:color="auto"/>
              <w:right w:val="single" w:sz="2" w:space="0" w:color="auto"/>
            </w:tcBorders>
            <w:shd w:val="clear" w:color="auto" w:fill="A6A6A6"/>
          </w:tcPr>
          <w:p w14:paraId="698F866E" w14:textId="77777777" w:rsidR="00D71778" w:rsidRPr="001C34C8" w:rsidRDefault="00D71778" w:rsidP="00D71778">
            <w:pPr>
              <w:pStyle w:val="BodyText"/>
              <w:keepNext/>
              <w:keepLines/>
              <w:spacing w:after="200" w:line="276" w:lineRule="auto"/>
              <w:jc w:val="center"/>
              <w:rPr>
                <w:b/>
                <w:bCs/>
              </w:rPr>
            </w:pPr>
          </w:p>
          <w:p w14:paraId="42250F1D" w14:textId="77777777" w:rsidR="00D71778" w:rsidRPr="001C34C8" w:rsidRDefault="00D71778" w:rsidP="00D71778">
            <w:pPr>
              <w:pStyle w:val="BodyText"/>
              <w:keepNext/>
              <w:keepLines/>
              <w:spacing w:after="200" w:line="276" w:lineRule="auto"/>
              <w:jc w:val="center"/>
              <w:rPr>
                <w:b/>
                <w:bCs/>
              </w:rPr>
            </w:pPr>
            <w:r w:rsidRPr="001C34C8">
              <w:rPr>
                <w:b/>
                <w:bCs/>
              </w:rPr>
              <w:t>Total Responses</w:t>
            </w:r>
          </w:p>
        </w:tc>
        <w:tc>
          <w:tcPr>
            <w:tcW w:w="1545" w:type="dxa"/>
            <w:tcBorders>
              <w:top w:val="single" w:sz="2" w:space="0" w:color="auto"/>
              <w:left w:val="single" w:sz="2" w:space="0" w:color="auto"/>
              <w:bottom w:val="single" w:sz="2" w:space="0" w:color="auto"/>
              <w:right w:val="single" w:sz="2" w:space="0" w:color="auto"/>
            </w:tcBorders>
            <w:shd w:val="clear" w:color="auto" w:fill="A6A6A6"/>
          </w:tcPr>
          <w:p w14:paraId="22C1AD9E" w14:textId="77777777" w:rsidR="00D71778" w:rsidRPr="001C34C8" w:rsidRDefault="00D71778" w:rsidP="00D71778">
            <w:pPr>
              <w:pStyle w:val="BodyText"/>
              <w:keepNext/>
              <w:keepLines/>
              <w:spacing w:after="200" w:line="276" w:lineRule="auto"/>
              <w:jc w:val="center"/>
              <w:rPr>
                <w:b/>
                <w:bCs/>
              </w:rPr>
            </w:pPr>
          </w:p>
          <w:p w14:paraId="7B2E5751" w14:textId="5376D25F" w:rsidR="00D71778" w:rsidRPr="001C34C8" w:rsidRDefault="006E5513" w:rsidP="006E5513">
            <w:pPr>
              <w:pStyle w:val="BodyText"/>
              <w:keepNext/>
              <w:keepLines/>
              <w:spacing w:after="200" w:line="276" w:lineRule="auto"/>
              <w:jc w:val="center"/>
              <w:rPr>
                <w:b/>
                <w:bCs/>
              </w:rPr>
            </w:pPr>
            <w:r>
              <w:rPr>
                <w:b/>
                <w:bCs/>
              </w:rPr>
              <w:t>Average Burden per Response (in h</w:t>
            </w:r>
            <w:r w:rsidR="00D71778" w:rsidRPr="001C34C8">
              <w:rPr>
                <w:b/>
                <w:bCs/>
              </w:rPr>
              <w:t>ours</w:t>
            </w:r>
            <w:r>
              <w:rPr>
                <w:b/>
                <w:bCs/>
              </w:rPr>
              <w:t>)</w:t>
            </w:r>
          </w:p>
        </w:tc>
        <w:tc>
          <w:tcPr>
            <w:tcW w:w="1545" w:type="dxa"/>
            <w:tcBorders>
              <w:top w:val="single" w:sz="2" w:space="0" w:color="auto"/>
              <w:left w:val="single" w:sz="2" w:space="0" w:color="auto"/>
              <w:bottom w:val="single" w:sz="2" w:space="0" w:color="auto"/>
              <w:right w:val="single" w:sz="2" w:space="0" w:color="auto"/>
            </w:tcBorders>
            <w:shd w:val="clear" w:color="auto" w:fill="A6A6A6"/>
            <w:vAlign w:val="bottom"/>
          </w:tcPr>
          <w:p w14:paraId="3BD8C539" w14:textId="77777777" w:rsidR="00D71778" w:rsidRPr="001C34C8" w:rsidRDefault="00D71778" w:rsidP="00D71778">
            <w:pPr>
              <w:pStyle w:val="BodyText"/>
              <w:keepNext/>
              <w:keepLines/>
              <w:spacing w:after="200" w:line="276" w:lineRule="auto"/>
              <w:jc w:val="center"/>
              <w:rPr>
                <w:b/>
                <w:bCs/>
              </w:rPr>
            </w:pPr>
            <w:r w:rsidRPr="001C34C8">
              <w:rPr>
                <w:b/>
                <w:bCs/>
              </w:rPr>
              <w:t>Total Burden Hours</w:t>
            </w:r>
          </w:p>
        </w:tc>
      </w:tr>
      <w:tr w:rsidR="00D71778" w:rsidRPr="001C34C8" w14:paraId="622A2ACF" w14:textId="77777777" w:rsidTr="002E75AE">
        <w:tc>
          <w:tcPr>
            <w:tcW w:w="1545" w:type="dxa"/>
            <w:tcBorders>
              <w:top w:val="single" w:sz="2" w:space="0" w:color="auto"/>
              <w:left w:val="single" w:sz="2" w:space="0" w:color="auto"/>
              <w:bottom w:val="single" w:sz="2" w:space="0" w:color="auto"/>
              <w:right w:val="single" w:sz="2" w:space="0" w:color="auto"/>
            </w:tcBorders>
            <w:vAlign w:val="center"/>
          </w:tcPr>
          <w:p w14:paraId="1F155C89" w14:textId="77777777" w:rsidR="00D71778" w:rsidRPr="001C34C8" w:rsidRDefault="00D71778" w:rsidP="002E75A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1C34C8">
              <w:rPr>
                <w:rFonts w:ascii="Times New Roman" w:hAnsi="Times New Roman" w:cs="Times New Roman"/>
                <w:sz w:val="24"/>
                <w:szCs w:val="24"/>
              </w:rPr>
              <w:t>Grantee Report</w:t>
            </w:r>
          </w:p>
        </w:tc>
        <w:tc>
          <w:tcPr>
            <w:tcW w:w="1545" w:type="dxa"/>
            <w:tcBorders>
              <w:top w:val="single" w:sz="2" w:space="0" w:color="auto"/>
              <w:left w:val="single" w:sz="2" w:space="0" w:color="auto"/>
              <w:bottom w:val="single" w:sz="2" w:space="0" w:color="auto"/>
              <w:right w:val="single" w:sz="2" w:space="0" w:color="auto"/>
            </w:tcBorders>
            <w:vAlign w:val="bottom"/>
          </w:tcPr>
          <w:p w14:paraId="118BB87B" w14:textId="77777777" w:rsidR="00D71778" w:rsidRPr="001C34C8" w:rsidRDefault="00970A70" w:rsidP="002E75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sidRPr="001C34C8">
              <w:rPr>
                <w:rFonts w:ascii="Times New Roman" w:hAnsi="Times New Roman" w:cs="Times New Roman"/>
                <w:sz w:val="24"/>
                <w:szCs w:val="24"/>
                <w:lang w:val="fr-FR"/>
              </w:rPr>
              <w:t>5</w:t>
            </w:r>
            <w:r>
              <w:rPr>
                <w:rFonts w:ascii="Times New Roman" w:hAnsi="Times New Roman" w:cs="Times New Roman"/>
                <w:sz w:val="24"/>
                <w:szCs w:val="24"/>
                <w:lang w:val="fr-FR"/>
              </w:rPr>
              <w:t>4</w:t>
            </w:r>
          </w:p>
        </w:tc>
        <w:tc>
          <w:tcPr>
            <w:tcW w:w="1545" w:type="dxa"/>
            <w:tcBorders>
              <w:top w:val="single" w:sz="2" w:space="0" w:color="auto"/>
              <w:left w:val="single" w:sz="2" w:space="0" w:color="auto"/>
              <w:bottom w:val="single" w:sz="2" w:space="0" w:color="auto"/>
              <w:right w:val="single" w:sz="2" w:space="0" w:color="auto"/>
            </w:tcBorders>
            <w:vAlign w:val="bottom"/>
          </w:tcPr>
          <w:p w14:paraId="38310FD0" w14:textId="77777777" w:rsidR="00D71778" w:rsidRPr="001C34C8" w:rsidRDefault="00970A70" w:rsidP="002E75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1545" w:type="dxa"/>
            <w:tcBorders>
              <w:top w:val="single" w:sz="2" w:space="0" w:color="auto"/>
              <w:left w:val="single" w:sz="2" w:space="0" w:color="auto"/>
              <w:bottom w:val="single" w:sz="2" w:space="0" w:color="auto"/>
              <w:right w:val="single" w:sz="2" w:space="0" w:color="auto"/>
            </w:tcBorders>
            <w:vAlign w:val="bottom"/>
          </w:tcPr>
          <w:p w14:paraId="4D388331" w14:textId="77777777" w:rsidR="00D71778" w:rsidRPr="001C34C8" w:rsidRDefault="00970A70" w:rsidP="002E75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54</w:t>
            </w:r>
          </w:p>
        </w:tc>
        <w:tc>
          <w:tcPr>
            <w:tcW w:w="1545" w:type="dxa"/>
            <w:tcBorders>
              <w:top w:val="single" w:sz="2" w:space="0" w:color="auto"/>
              <w:left w:val="single" w:sz="2" w:space="0" w:color="auto"/>
              <w:bottom w:val="single" w:sz="2" w:space="0" w:color="auto"/>
              <w:right w:val="single" w:sz="2" w:space="0" w:color="auto"/>
            </w:tcBorders>
            <w:vAlign w:val="bottom"/>
          </w:tcPr>
          <w:p w14:paraId="0C0DC678" w14:textId="77777777" w:rsidR="00D71778" w:rsidRPr="001C34C8" w:rsidRDefault="00970A70" w:rsidP="002E75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6</w:t>
            </w:r>
          </w:p>
        </w:tc>
        <w:tc>
          <w:tcPr>
            <w:tcW w:w="1545" w:type="dxa"/>
            <w:tcBorders>
              <w:top w:val="single" w:sz="2" w:space="0" w:color="auto"/>
              <w:left w:val="single" w:sz="2" w:space="0" w:color="auto"/>
              <w:bottom w:val="single" w:sz="2" w:space="0" w:color="auto"/>
              <w:right w:val="single" w:sz="2" w:space="0" w:color="auto"/>
            </w:tcBorders>
            <w:vAlign w:val="bottom"/>
          </w:tcPr>
          <w:p w14:paraId="0783B101" w14:textId="77777777" w:rsidR="00D71778" w:rsidRPr="001C34C8" w:rsidRDefault="00970A70" w:rsidP="002E75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324</w:t>
            </w:r>
          </w:p>
        </w:tc>
      </w:tr>
      <w:tr w:rsidR="00D71778" w:rsidRPr="001C34C8" w14:paraId="4E2082F7" w14:textId="77777777" w:rsidTr="002E75AE">
        <w:tc>
          <w:tcPr>
            <w:tcW w:w="1545" w:type="dxa"/>
            <w:tcBorders>
              <w:top w:val="single" w:sz="2" w:space="0" w:color="auto"/>
              <w:left w:val="single" w:sz="2" w:space="0" w:color="auto"/>
              <w:bottom w:val="single" w:sz="4" w:space="0" w:color="auto"/>
              <w:right w:val="single" w:sz="2" w:space="0" w:color="auto"/>
            </w:tcBorders>
            <w:vAlign w:val="center"/>
          </w:tcPr>
          <w:p w14:paraId="06B930ED" w14:textId="77777777" w:rsidR="00D71778" w:rsidRPr="001C34C8" w:rsidRDefault="00D71778" w:rsidP="002E75A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1C34C8">
              <w:rPr>
                <w:rFonts w:ascii="Times New Roman" w:hAnsi="Times New Roman" w:cs="Times New Roman"/>
                <w:sz w:val="24"/>
                <w:szCs w:val="24"/>
              </w:rPr>
              <w:t>Client Report</w:t>
            </w:r>
          </w:p>
        </w:tc>
        <w:tc>
          <w:tcPr>
            <w:tcW w:w="1545" w:type="dxa"/>
            <w:tcBorders>
              <w:top w:val="single" w:sz="2" w:space="0" w:color="auto"/>
              <w:left w:val="single" w:sz="2" w:space="0" w:color="auto"/>
              <w:bottom w:val="single" w:sz="4" w:space="0" w:color="auto"/>
              <w:right w:val="single" w:sz="2" w:space="0" w:color="auto"/>
            </w:tcBorders>
            <w:vAlign w:val="bottom"/>
          </w:tcPr>
          <w:p w14:paraId="0996B2E4" w14:textId="77777777" w:rsidR="00D71778" w:rsidRPr="001C34C8" w:rsidRDefault="00970A70" w:rsidP="002E75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sidRPr="001C34C8">
              <w:rPr>
                <w:rFonts w:ascii="Times New Roman" w:hAnsi="Times New Roman" w:cs="Times New Roman"/>
                <w:sz w:val="24"/>
                <w:szCs w:val="24"/>
                <w:lang w:val="fr-FR"/>
              </w:rPr>
              <w:t>5</w:t>
            </w:r>
            <w:r>
              <w:rPr>
                <w:rFonts w:ascii="Times New Roman" w:hAnsi="Times New Roman" w:cs="Times New Roman"/>
                <w:sz w:val="24"/>
                <w:szCs w:val="24"/>
                <w:lang w:val="fr-FR"/>
              </w:rPr>
              <w:t>4</w:t>
            </w:r>
          </w:p>
        </w:tc>
        <w:tc>
          <w:tcPr>
            <w:tcW w:w="1545" w:type="dxa"/>
            <w:tcBorders>
              <w:top w:val="single" w:sz="2" w:space="0" w:color="auto"/>
              <w:left w:val="single" w:sz="2" w:space="0" w:color="auto"/>
              <w:bottom w:val="single" w:sz="4" w:space="0" w:color="auto"/>
              <w:right w:val="single" w:sz="2" w:space="0" w:color="auto"/>
            </w:tcBorders>
            <w:vAlign w:val="bottom"/>
          </w:tcPr>
          <w:p w14:paraId="7559908B" w14:textId="77777777" w:rsidR="00D71778" w:rsidRPr="001C34C8" w:rsidRDefault="00970A70" w:rsidP="002E75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1545" w:type="dxa"/>
            <w:tcBorders>
              <w:top w:val="single" w:sz="2" w:space="0" w:color="auto"/>
              <w:left w:val="single" w:sz="2" w:space="0" w:color="auto"/>
              <w:bottom w:val="single" w:sz="4" w:space="0" w:color="auto"/>
              <w:right w:val="single" w:sz="2" w:space="0" w:color="auto"/>
            </w:tcBorders>
            <w:vAlign w:val="bottom"/>
          </w:tcPr>
          <w:p w14:paraId="080B1BC9" w14:textId="77777777" w:rsidR="00D71778" w:rsidRPr="001C34C8" w:rsidRDefault="00970A70" w:rsidP="002E75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54</w:t>
            </w:r>
          </w:p>
        </w:tc>
        <w:tc>
          <w:tcPr>
            <w:tcW w:w="1545" w:type="dxa"/>
            <w:tcBorders>
              <w:top w:val="single" w:sz="2" w:space="0" w:color="auto"/>
              <w:left w:val="single" w:sz="2" w:space="0" w:color="auto"/>
              <w:bottom w:val="single" w:sz="4" w:space="0" w:color="auto"/>
              <w:right w:val="single" w:sz="2" w:space="0" w:color="auto"/>
            </w:tcBorders>
            <w:vAlign w:val="bottom"/>
          </w:tcPr>
          <w:p w14:paraId="2D35A817" w14:textId="77777777" w:rsidR="00D71778" w:rsidRPr="001C34C8" w:rsidRDefault="00CE30F7" w:rsidP="002E75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81</w:t>
            </w:r>
          </w:p>
        </w:tc>
        <w:tc>
          <w:tcPr>
            <w:tcW w:w="1545" w:type="dxa"/>
            <w:tcBorders>
              <w:top w:val="single" w:sz="2" w:space="0" w:color="auto"/>
              <w:left w:val="single" w:sz="2" w:space="0" w:color="auto"/>
              <w:bottom w:val="single" w:sz="4" w:space="0" w:color="auto"/>
              <w:right w:val="single" w:sz="2" w:space="0" w:color="auto"/>
            </w:tcBorders>
            <w:vAlign w:val="bottom"/>
          </w:tcPr>
          <w:p w14:paraId="7E7E4B6D" w14:textId="77777777" w:rsidR="00D71778" w:rsidRPr="001C34C8" w:rsidRDefault="00CE30F7" w:rsidP="002E75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4,374</w:t>
            </w:r>
          </w:p>
        </w:tc>
      </w:tr>
      <w:tr w:rsidR="003168E1" w:rsidRPr="001C34C8" w14:paraId="1B167576" w14:textId="77777777" w:rsidTr="002E75AE">
        <w:tc>
          <w:tcPr>
            <w:tcW w:w="1545" w:type="dxa"/>
            <w:tcBorders>
              <w:top w:val="single" w:sz="4" w:space="0" w:color="auto"/>
              <w:left w:val="single" w:sz="4" w:space="0" w:color="auto"/>
              <w:bottom w:val="single" w:sz="4" w:space="0" w:color="auto"/>
              <w:right w:val="single" w:sz="4" w:space="0" w:color="auto"/>
            </w:tcBorders>
            <w:vAlign w:val="center"/>
          </w:tcPr>
          <w:p w14:paraId="504D2D00" w14:textId="77777777" w:rsidR="003168E1" w:rsidRPr="001C34C8" w:rsidRDefault="003168E1" w:rsidP="002E75A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lang w:val="fr-FR"/>
              </w:rPr>
            </w:pPr>
            <w:r w:rsidRPr="001C34C8">
              <w:rPr>
                <w:rFonts w:ascii="Times New Roman" w:hAnsi="Times New Roman" w:cs="Times New Roman"/>
                <w:sz w:val="24"/>
                <w:szCs w:val="24"/>
                <w:lang w:val="fr-FR"/>
              </w:rPr>
              <w:t>Total :</w:t>
            </w:r>
          </w:p>
        </w:tc>
        <w:tc>
          <w:tcPr>
            <w:tcW w:w="1545" w:type="dxa"/>
            <w:tcBorders>
              <w:top w:val="single" w:sz="4" w:space="0" w:color="auto"/>
              <w:left w:val="single" w:sz="4" w:space="0" w:color="auto"/>
              <w:bottom w:val="single" w:sz="4" w:space="0" w:color="auto"/>
              <w:right w:val="single" w:sz="4" w:space="0" w:color="auto"/>
            </w:tcBorders>
            <w:vAlign w:val="bottom"/>
          </w:tcPr>
          <w:p w14:paraId="3BC428B9" w14:textId="5F19F9E6" w:rsidR="003168E1" w:rsidRPr="001C34C8" w:rsidRDefault="006E5513" w:rsidP="002E75A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54*</w:t>
            </w:r>
          </w:p>
        </w:tc>
        <w:tc>
          <w:tcPr>
            <w:tcW w:w="1545" w:type="dxa"/>
            <w:tcBorders>
              <w:top w:val="single" w:sz="4" w:space="0" w:color="auto"/>
              <w:left w:val="single" w:sz="4" w:space="0" w:color="auto"/>
              <w:bottom w:val="single" w:sz="4" w:space="0" w:color="auto"/>
              <w:right w:val="single" w:sz="4" w:space="0" w:color="auto"/>
            </w:tcBorders>
            <w:vAlign w:val="bottom"/>
          </w:tcPr>
          <w:p w14:paraId="6F5B253C" w14:textId="77777777" w:rsidR="003168E1" w:rsidRPr="001C34C8" w:rsidRDefault="003168E1" w:rsidP="002E75A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p>
        </w:tc>
        <w:tc>
          <w:tcPr>
            <w:tcW w:w="1545" w:type="dxa"/>
            <w:tcBorders>
              <w:top w:val="single" w:sz="4" w:space="0" w:color="auto"/>
              <w:left w:val="single" w:sz="4" w:space="0" w:color="auto"/>
              <w:bottom w:val="single" w:sz="4" w:space="0" w:color="auto"/>
              <w:right w:val="single" w:sz="4" w:space="0" w:color="auto"/>
            </w:tcBorders>
            <w:vAlign w:val="bottom"/>
          </w:tcPr>
          <w:p w14:paraId="16B05B72" w14:textId="38DAC871" w:rsidR="003168E1" w:rsidRPr="001C34C8" w:rsidRDefault="006E5513" w:rsidP="002E75A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54</w:t>
            </w:r>
          </w:p>
        </w:tc>
        <w:tc>
          <w:tcPr>
            <w:tcW w:w="1545" w:type="dxa"/>
            <w:tcBorders>
              <w:top w:val="single" w:sz="4" w:space="0" w:color="auto"/>
              <w:left w:val="single" w:sz="4" w:space="0" w:color="auto"/>
              <w:bottom w:val="single" w:sz="4" w:space="0" w:color="auto"/>
              <w:right w:val="single" w:sz="4" w:space="0" w:color="auto"/>
            </w:tcBorders>
            <w:vAlign w:val="bottom"/>
          </w:tcPr>
          <w:p w14:paraId="06B0E694" w14:textId="77777777" w:rsidR="003168E1" w:rsidRPr="001C34C8" w:rsidRDefault="003168E1" w:rsidP="002E75A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p>
        </w:tc>
        <w:tc>
          <w:tcPr>
            <w:tcW w:w="1545" w:type="dxa"/>
            <w:tcBorders>
              <w:top w:val="single" w:sz="4" w:space="0" w:color="auto"/>
              <w:left w:val="single" w:sz="4" w:space="0" w:color="auto"/>
              <w:bottom w:val="single" w:sz="4" w:space="0" w:color="auto"/>
              <w:right w:val="single" w:sz="4" w:space="0" w:color="auto"/>
            </w:tcBorders>
            <w:vAlign w:val="bottom"/>
          </w:tcPr>
          <w:p w14:paraId="4B8A7E27" w14:textId="77777777" w:rsidR="003168E1" w:rsidRPr="001C34C8" w:rsidRDefault="00CE30F7" w:rsidP="002E75A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4,698</w:t>
            </w:r>
          </w:p>
        </w:tc>
      </w:tr>
    </w:tbl>
    <w:p w14:paraId="47A4FACC" w14:textId="5706FBA3" w:rsidR="00D71778" w:rsidRPr="001D2D71" w:rsidRDefault="006E5513" w:rsidP="001D2D71">
      <w:pPr>
        <w:spacing w:line="480" w:lineRule="auto"/>
        <w:rPr>
          <w:rFonts w:ascii="Times New Roman" w:hAnsi="Times New Roman" w:cs="Times New Roman"/>
          <w:sz w:val="24"/>
          <w:szCs w:val="24"/>
        </w:rPr>
      </w:pPr>
      <w:r>
        <w:rPr>
          <w:rFonts w:ascii="Times New Roman" w:hAnsi="Times New Roman" w:cs="Times New Roman"/>
          <w:sz w:val="24"/>
          <w:szCs w:val="24"/>
        </w:rPr>
        <w:t>*</w:t>
      </w:r>
      <w:r w:rsidRPr="001D2D71">
        <w:rPr>
          <w:rFonts w:ascii="Times New Roman" w:hAnsi="Times New Roman" w:cs="Times New Roman"/>
          <w:sz w:val="24"/>
          <w:szCs w:val="24"/>
        </w:rPr>
        <w:t xml:space="preserve">The same respondents complete the Grantee Report and the Client-level Report.  </w:t>
      </w:r>
    </w:p>
    <w:p w14:paraId="1F36302A" w14:textId="77777777" w:rsidR="00D71778" w:rsidRPr="001C34C8" w:rsidRDefault="00D71778">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432"/>
        <w:rPr>
          <w:rFonts w:ascii="Times New Roman" w:hAnsi="Times New Roman" w:cs="Times New Roman"/>
          <w:sz w:val="24"/>
          <w:szCs w:val="24"/>
          <w:u w:val="single"/>
        </w:rPr>
      </w:pPr>
      <w:r w:rsidRPr="001C34C8">
        <w:rPr>
          <w:rFonts w:ascii="Times New Roman" w:hAnsi="Times New Roman" w:cs="Times New Roman"/>
          <w:sz w:val="24"/>
          <w:szCs w:val="24"/>
          <w:u w:val="single"/>
        </w:rPr>
        <w:t>12</w:t>
      </w:r>
      <w:r w:rsidR="00095F23">
        <w:rPr>
          <w:rFonts w:ascii="Times New Roman" w:hAnsi="Times New Roman" w:cs="Times New Roman"/>
          <w:sz w:val="24"/>
          <w:szCs w:val="24"/>
          <w:u w:val="single"/>
        </w:rPr>
        <w:t>B</w:t>
      </w:r>
      <w:r w:rsidRPr="001C34C8">
        <w:rPr>
          <w:rFonts w:ascii="Times New Roman" w:hAnsi="Times New Roman" w:cs="Times New Roman"/>
          <w:sz w:val="24"/>
          <w:szCs w:val="24"/>
          <w:u w:val="single"/>
        </w:rPr>
        <w:t xml:space="preserve">. </w:t>
      </w:r>
      <w:r w:rsidR="00095F23">
        <w:rPr>
          <w:rFonts w:ascii="Times New Roman" w:hAnsi="Times New Roman" w:cs="Times New Roman"/>
          <w:sz w:val="24"/>
          <w:szCs w:val="24"/>
          <w:u w:val="single"/>
        </w:rPr>
        <w:t>Estimated</w:t>
      </w:r>
      <w:r w:rsidRPr="001C34C8">
        <w:rPr>
          <w:rFonts w:ascii="Times New Roman" w:hAnsi="Times New Roman" w:cs="Times New Roman"/>
          <w:sz w:val="24"/>
          <w:szCs w:val="24"/>
          <w:u w:val="single"/>
        </w:rPr>
        <w:t xml:space="preserve"> Annualized </w:t>
      </w:r>
      <w:r w:rsidR="00095F23">
        <w:rPr>
          <w:rFonts w:ascii="Times New Roman" w:hAnsi="Times New Roman" w:cs="Times New Roman"/>
          <w:sz w:val="24"/>
          <w:szCs w:val="24"/>
          <w:u w:val="single"/>
        </w:rPr>
        <w:t xml:space="preserve">Burden </w:t>
      </w:r>
      <w:r w:rsidRPr="001C34C8">
        <w:rPr>
          <w:rFonts w:ascii="Times New Roman" w:hAnsi="Times New Roman" w:cs="Times New Roman"/>
          <w:sz w:val="24"/>
          <w:szCs w:val="24"/>
          <w:u w:val="single"/>
        </w:rPr>
        <w:t>Cost</w:t>
      </w:r>
      <w:r w:rsidR="00095F23">
        <w:rPr>
          <w:rFonts w:ascii="Times New Roman" w:hAnsi="Times New Roman" w:cs="Times New Roman"/>
          <w:sz w:val="24"/>
          <w:szCs w:val="24"/>
          <w:u w:val="single"/>
        </w:rPr>
        <w:t>s</w:t>
      </w:r>
    </w:p>
    <w:p w14:paraId="7CE27CBE" w14:textId="680BB40E" w:rsidR="005125B3" w:rsidRDefault="00D71778" w:rsidP="005125B3">
      <w:pPr>
        <w:spacing w:before="120"/>
        <w:rPr>
          <w:color w:val="333333"/>
        </w:rPr>
      </w:pPr>
      <w:r w:rsidRPr="001C34C8">
        <w:rPr>
          <w:rStyle w:val="BodyTextFi"/>
          <w:rFonts w:ascii="Times New Roman" w:hAnsi="Times New Roman" w:cs="Times New Roman"/>
          <w:sz w:val="24"/>
          <w:szCs w:val="24"/>
        </w:rPr>
        <w:t xml:space="preserve">Grantees are responsible for maintaining their own data systems or using the ADR module of CAREWare, the system provided without cost by HRSA to collect ADR data, to comply with grant requirements. There are no direct costs to </w:t>
      </w:r>
      <w:r w:rsidRPr="0070271F">
        <w:rPr>
          <w:rStyle w:val="BodyTextFi"/>
          <w:rFonts w:ascii="Times New Roman" w:hAnsi="Times New Roman" w:cs="Times New Roman"/>
          <w:sz w:val="24"/>
          <w:szCs w:val="24"/>
        </w:rPr>
        <w:t>respondents other than their time in participating in the data collection and quality assurance.</w:t>
      </w:r>
      <w:r w:rsidR="005125B3" w:rsidRPr="0070271F">
        <w:rPr>
          <w:rStyle w:val="BodyTextFi"/>
          <w:rFonts w:ascii="Times New Roman" w:hAnsi="Times New Roman" w:cs="Times New Roman"/>
          <w:sz w:val="24"/>
          <w:szCs w:val="24"/>
        </w:rPr>
        <w:t xml:space="preserve"> </w:t>
      </w:r>
      <w:r w:rsidR="005125B3" w:rsidRPr="0070271F">
        <w:rPr>
          <w:rFonts w:ascii="Times New Roman" w:hAnsi="Times New Roman" w:cs="Times New Roman"/>
          <w:sz w:val="24"/>
          <w:szCs w:val="24"/>
        </w:rPr>
        <w:t xml:space="preserve">The </w:t>
      </w:r>
      <w:r w:rsidR="0070271F">
        <w:rPr>
          <w:rFonts w:ascii="Times New Roman" w:hAnsi="Times New Roman" w:cs="Times New Roman"/>
          <w:sz w:val="24"/>
          <w:szCs w:val="24"/>
        </w:rPr>
        <w:t xml:space="preserve">updated </w:t>
      </w:r>
      <w:r w:rsidR="005125B3" w:rsidRPr="0070271F">
        <w:rPr>
          <w:rFonts w:ascii="Times New Roman" w:hAnsi="Times New Roman" w:cs="Times New Roman"/>
          <w:sz w:val="24"/>
          <w:szCs w:val="24"/>
        </w:rPr>
        <w:t xml:space="preserve">annualized burden costs for recipients is based on the </w:t>
      </w:r>
      <w:r w:rsidR="0070271F" w:rsidRPr="0070271F">
        <w:rPr>
          <w:rFonts w:ascii="Times New Roman" w:hAnsi="Times New Roman" w:cs="Times New Roman"/>
          <w:i/>
          <w:sz w:val="24"/>
          <w:szCs w:val="24"/>
        </w:rPr>
        <w:t>May 2016 National Occupational Employment and Wage Estimates</w:t>
      </w:r>
      <w:r w:rsidR="0070271F" w:rsidRPr="0070271F">
        <w:rPr>
          <w:rFonts w:ascii="Times New Roman" w:hAnsi="Times New Roman" w:cs="Times New Roman"/>
          <w:sz w:val="24"/>
          <w:szCs w:val="24"/>
        </w:rPr>
        <w:t xml:space="preserve"> </w:t>
      </w:r>
      <w:r w:rsidR="00006E98">
        <w:rPr>
          <w:rFonts w:ascii="Times New Roman" w:hAnsi="Times New Roman" w:cs="Times New Roman"/>
          <w:sz w:val="24"/>
          <w:szCs w:val="24"/>
        </w:rPr>
        <w:t xml:space="preserve">for Miscellaneous Community and Social Service Specialists </w:t>
      </w:r>
      <w:r w:rsidR="0070271F" w:rsidRPr="0070271F">
        <w:rPr>
          <w:rFonts w:ascii="Times New Roman" w:hAnsi="Times New Roman" w:cs="Times New Roman"/>
          <w:sz w:val="24"/>
          <w:szCs w:val="24"/>
        </w:rPr>
        <w:t xml:space="preserve">from the </w:t>
      </w:r>
      <w:r w:rsidR="005125B3" w:rsidRPr="0070271F">
        <w:rPr>
          <w:rFonts w:ascii="Times New Roman" w:hAnsi="Times New Roman" w:cs="Times New Roman"/>
          <w:sz w:val="24"/>
          <w:szCs w:val="24"/>
        </w:rPr>
        <w:t xml:space="preserve">Bureau of Labor Statistics </w:t>
      </w:r>
      <w:r w:rsidR="0070271F" w:rsidRPr="0070271F">
        <w:rPr>
          <w:rFonts w:ascii="Times New Roman" w:hAnsi="Times New Roman" w:cs="Times New Roman"/>
          <w:sz w:val="24"/>
          <w:szCs w:val="24"/>
        </w:rPr>
        <w:t>Occupational Employment Statistics</w:t>
      </w:r>
      <w:r w:rsidR="005125B3" w:rsidRPr="0070271F">
        <w:rPr>
          <w:rFonts w:ascii="Times New Roman" w:hAnsi="Times New Roman" w:cs="Times New Roman"/>
          <w:color w:val="333333"/>
          <w:sz w:val="24"/>
          <w:szCs w:val="24"/>
        </w:rPr>
        <w:t>,</w:t>
      </w:r>
      <w:r w:rsidR="00006E98">
        <w:rPr>
          <w:rStyle w:val="Hyperlink"/>
          <w:rFonts w:ascii="Times New Roman" w:hAnsi="Times New Roman" w:cs="Times New Roman"/>
          <w:sz w:val="24"/>
          <w:szCs w:val="24"/>
        </w:rPr>
        <w:t xml:space="preserve"> </w:t>
      </w:r>
      <w:hyperlink r:id="rId13" w:anchor="00-0000" w:history="1">
        <w:r w:rsidR="00006E98" w:rsidRPr="00B6096B">
          <w:rPr>
            <w:rStyle w:val="Hyperlink"/>
            <w:rFonts w:ascii="Times New Roman" w:hAnsi="Times New Roman" w:cs="Times New Roman"/>
            <w:sz w:val="24"/>
            <w:szCs w:val="24"/>
          </w:rPr>
          <w:t>https://www.bls.gov/oes/2016/may/oes_nat.htm#00-0000</w:t>
        </w:r>
      </w:hyperlink>
      <w:r w:rsidR="0070271F" w:rsidRPr="0070271F">
        <w:rPr>
          <w:rFonts w:ascii="Times New Roman" w:hAnsi="Times New Roman" w:cs="Times New Roman"/>
          <w:color w:val="333333"/>
          <w:sz w:val="24"/>
          <w:szCs w:val="24"/>
        </w:rPr>
        <w:t>.</w:t>
      </w:r>
      <w:r w:rsidR="00006E98">
        <w:rPr>
          <w:rFonts w:ascii="Times New Roman" w:hAnsi="Times New Roman" w:cs="Times New Roman"/>
          <w:color w:val="333333"/>
          <w:sz w:val="24"/>
          <w:szCs w:val="24"/>
        </w:rPr>
        <w:t xml:space="preserve"> </w:t>
      </w:r>
    </w:p>
    <w:p w14:paraId="17D87BCA" w14:textId="77777777" w:rsidR="00D71778" w:rsidRDefault="00D71778" w:rsidP="00D71778">
      <w:pPr>
        <w:rPr>
          <w:rStyle w:val="BodyTextFi"/>
          <w:rFonts w:ascii="Times New Roman" w:hAnsi="Times New Roman" w:cs="Times New Roman"/>
          <w:sz w:val="24"/>
          <w:szCs w:val="24"/>
        </w:rPr>
      </w:pPr>
    </w:p>
    <w:tbl>
      <w:tblPr>
        <w:tblW w:w="9282" w:type="dxa"/>
        <w:tblInd w:w="-95" w:type="dxa"/>
        <w:tblLayout w:type="fixed"/>
        <w:tblCellMar>
          <w:left w:w="97" w:type="dxa"/>
          <w:right w:w="97" w:type="dxa"/>
        </w:tblCellMar>
        <w:tblLook w:val="0000" w:firstRow="0" w:lastRow="0" w:firstColumn="0" w:lastColumn="0" w:noHBand="0" w:noVBand="0"/>
      </w:tblPr>
      <w:tblGrid>
        <w:gridCol w:w="2320"/>
        <w:gridCol w:w="2321"/>
        <w:gridCol w:w="2320"/>
        <w:gridCol w:w="2321"/>
      </w:tblGrid>
      <w:tr w:rsidR="003168E1" w:rsidRPr="001C34C8" w14:paraId="102DA503" w14:textId="77777777" w:rsidTr="005125B3">
        <w:tc>
          <w:tcPr>
            <w:tcW w:w="2320" w:type="dxa"/>
            <w:tcBorders>
              <w:top w:val="single" w:sz="2" w:space="0" w:color="auto"/>
              <w:left w:val="single" w:sz="2" w:space="0" w:color="auto"/>
              <w:bottom w:val="single" w:sz="2" w:space="0" w:color="auto"/>
              <w:right w:val="single" w:sz="2" w:space="0" w:color="auto"/>
            </w:tcBorders>
            <w:shd w:val="clear" w:color="auto" w:fill="A6A6A6"/>
          </w:tcPr>
          <w:p w14:paraId="6711A41C" w14:textId="77777777" w:rsidR="003168E1" w:rsidRPr="001C34C8" w:rsidRDefault="003168E1" w:rsidP="003168E1">
            <w:pPr>
              <w:pStyle w:val="BodyText"/>
              <w:keepNext/>
              <w:keepLines/>
              <w:tabs>
                <w:tab w:val="left" w:pos="10080"/>
              </w:tabs>
              <w:spacing w:after="200" w:line="276" w:lineRule="auto"/>
              <w:jc w:val="center"/>
              <w:rPr>
                <w:b/>
                <w:bCs/>
              </w:rPr>
            </w:pPr>
          </w:p>
          <w:p w14:paraId="2AD1BB10" w14:textId="77777777" w:rsidR="003168E1" w:rsidRPr="001C34C8" w:rsidRDefault="003168E1" w:rsidP="003168E1">
            <w:pPr>
              <w:pStyle w:val="BodyText"/>
              <w:keepNext/>
              <w:keepLines/>
              <w:tabs>
                <w:tab w:val="left" w:pos="10080"/>
              </w:tabs>
              <w:spacing w:after="200" w:line="276" w:lineRule="auto"/>
              <w:jc w:val="center"/>
              <w:rPr>
                <w:b/>
                <w:bCs/>
              </w:rPr>
            </w:pPr>
            <w:r w:rsidRPr="001C34C8">
              <w:rPr>
                <w:b/>
                <w:bCs/>
              </w:rPr>
              <w:t>Instrument</w:t>
            </w:r>
          </w:p>
        </w:tc>
        <w:tc>
          <w:tcPr>
            <w:tcW w:w="2321" w:type="dxa"/>
            <w:tcBorders>
              <w:top w:val="single" w:sz="2" w:space="0" w:color="auto"/>
              <w:left w:val="single" w:sz="2" w:space="0" w:color="auto"/>
              <w:bottom w:val="single" w:sz="2" w:space="0" w:color="auto"/>
              <w:right w:val="single" w:sz="2" w:space="0" w:color="auto"/>
            </w:tcBorders>
            <w:shd w:val="clear" w:color="auto" w:fill="A6A6A6"/>
            <w:vAlign w:val="bottom"/>
          </w:tcPr>
          <w:p w14:paraId="4B021613" w14:textId="77777777" w:rsidR="003168E1" w:rsidRPr="001C34C8" w:rsidRDefault="003168E1" w:rsidP="003168E1">
            <w:pPr>
              <w:pStyle w:val="BodyText"/>
              <w:keepNext/>
              <w:keepLines/>
              <w:spacing w:after="200" w:line="276" w:lineRule="auto"/>
              <w:jc w:val="center"/>
              <w:rPr>
                <w:b/>
                <w:bCs/>
              </w:rPr>
            </w:pPr>
            <w:r>
              <w:rPr>
                <w:b/>
                <w:bCs/>
              </w:rPr>
              <w:t>Total Burden Hours</w:t>
            </w:r>
          </w:p>
        </w:tc>
        <w:tc>
          <w:tcPr>
            <w:tcW w:w="2320" w:type="dxa"/>
            <w:tcBorders>
              <w:top w:val="single" w:sz="2" w:space="0" w:color="auto"/>
              <w:left w:val="single" w:sz="2" w:space="0" w:color="auto"/>
              <w:bottom w:val="single" w:sz="2" w:space="0" w:color="auto"/>
              <w:right w:val="single" w:sz="2" w:space="0" w:color="auto"/>
            </w:tcBorders>
            <w:shd w:val="clear" w:color="auto" w:fill="A6A6A6"/>
          </w:tcPr>
          <w:p w14:paraId="2A15B8C3" w14:textId="77777777" w:rsidR="003168E1" w:rsidRPr="001C34C8" w:rsidRDefault="003168E1" w:rsidP="003168E1">
            <w:pPr>
              <w:pStyle w:val="BodyText"/>
              <w:keepNext/>
              <w:keepLines/>
              <w:spacing w:after="200" w:line="276" w:lineRule="auto"/>
              <w:jc w:val="center"/>
              <w:rPr>
                <w:b/>
                <w:bCs/>
              </w:rPr>
            </w:pPr>
          </w:p>
          <w:p w14:paraId="1E5DCCDC" w14:textId="77777777" w:rsidR="003168E1" w:rsidRPr="001C34C8" w:rsidRDefault="003168E1" w:rsidP="003168E1">
            <w:pPr>
              <w:pStyle w:val="BodyText"/>
              <w:keepNext/>
              <w:keepLines/>
              <w:spacing w:after="200" w:line="276" w:lineRule="auto"/>
              <w:jc w:val="center"/>
              <w:rPr>
                <w:b/>
                <w:bCs/>
              </w:rPr>
            </w:pPr>
            <w:r>
              <w:rPr>
                <w:b/>
                <w:bCs/>
              </w:rPr>
              <w:t>Hourly Wage Rate</w:t>
            </w:r>
          </w:p>
        </w:tc>
        <w:tc>
          <w:tcPr>
            <w:tcW w:w="2321" w:type="dxa"/>
            <w:tcBorders>
              <w:top w:val="single" w:sz="2" w:space="0" w:color="auto"/>
              <w:left w:val="single" w:sz="2" w:space="0" w:color="auto"/>
              <w:bottom w:val="single" w:sz="2" w:space="0" w:color="auto"/>
              <w:right w:val="single" w:sz="2" w:space="0" w:color="auto"/>
            </w:tcBorders>
            <w:shd w:val="clear" w:color="auto" w:fill="A6A6A6"/>
            <w:vAlign w:val="bottom"/>
          </w:tcPr>
          <w:p w14:paraId="0F88DA5C" w14:textId="77777777" w:rsidR="003168E1" w:rsidRPr="001C34C8" w:rsidRDefault="003168E1" w:rsidP="003168E1">
            <w:pPr>
              <w:pStyle w:val="BodyText"/>
              <w:keepNext/>
              <w:keepLines/>
              <w:spacing w:after="200" w:line="276" w:lineRule="auto"/>
              <w:jc w:val="center"/>
              <w:rPr>
                <w:b/>
                <w:bCs/>
              </w:rPr>
            </w:pPr>
            <w:r w:rsidRPr="001C34C8">
              <w:rPr>
                <w:b/>
                <w:bCs/>
              </w:rPr>
              <w:t>Total Burden Hours</w:t>
            </w:r>
          </w:p>
        </w:tc>
      </w:tr>
      <w:tr w:rsidR="003168E1" w:rsidRPr="001C34C8" w14:paraId="55B14848" w14:textId="77777777" w:rsidTr="005125B3">
        <w:tc>
          <w:tcPr>
            <w:tcW w:w="2320" w:type="dxa"/>
            <w:tcBorders>
              <w:top w:val="single" w:sz="2" w:space="0" w:color="auto"/>
              <w:left w:val="single" w:sz="2" w:space="0" w:color="auto"/>
              <w:bottom w:val="single" w:sz="2" w:space="0" w:color="auto"/>
              <w:right w:val="single" w:sz="2" w:space="0" w:color="auto"/>
            </w:tcBorders>
          </w:tcPr>
          <w:p w14:paraId="4220104C" w14:textId="77777777" w:rsidR="003168E1" w:rsidRPr="001C34C8" w:rsidRDefault="003168E1" w:rsidP="003168E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C34C8">
              <w:rPr>
                <w:rFonts w:ascii="Times New Roman" w:hAnsi="Times New Roman" w:cs="Times New Roman"/>
                <w:sz w:val="24"/>
                <w:szCs w:val="24"/>
              </w:rPr>
              <w:t>Grantee Report</w:t>
            </w:r>
          </w:p>
        </w:tc>
        <w:tc>
          <w:tcPr>
            <w:tcW w:w="2321" w:type="dxa"/>
            <w:tcBorders>
              <w:top w:val="single" w:sz="2" w:space="0" w:color="auto"/>
              <w:left w:val="single" w:sz="2" w:space="0" w:color="auto"/>
              <w:bottom w:val="single" w:sz="2" w:space="0" w:color="auto"/>
              <w:right w:val="single" w:sz="2" w:space="0" w:color="auto"/>
            </w:tcBorders>
            <w:vAlign w:val="center"/>
          </w:tcPr>
          <w:p w14:paraId="631E13E4" w14:textId="77777777" w:rsidR="003168E1" w:rsidRPr="001C34C8" w:rsidRDefault="003168E1" w:rsidP="003168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324</w:t>
            </w:r>
          </w:p>
        </w:tc>
        <w:tc>
          <w:tcPr>
            <w:tcW w:w="2320" w:type="dxa"/>
            <w:tcBorders>
              <w:top w:val="single" w:sz="2" w:space="0" w:color="auto"/>
              <w:left w:val="single" w:sz="2" w:space="0" w:color="auto"/>
              <w:bottom w:val="single" w:sz="2" w:space="0" w:color="auto"/>
              <w:right w:val="single" w:sz="2" w:space="0" w:color="auto"/>
            </w:tcBorders>
            <w:vAlign w:val="center"/>
          </w:tcPr>
          <w:p w14:paraId="13EDFB55" w14:textId="342D53C9" w:rsidR="003168E1" w:rsidRPr="001C34C8" w:rsidRDefault="006E5513" w:rsidP="003168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w:t>
            </w:r>
            <w:r w:rsidR="0070271F">
              <w:rPr>
                <w:rFonts w:ascii="Times New Roman" w:hAnsi="Times New Roman" w:cs="Times New Roman"/>
                <w:sz w:val="24"/>
                <w:szCs w:val="24"/>
                <w:lang w:val="fr-FR"/>
              </w:rPr>
              <w:t>19.84</w:t>
            </w:r>
          </w:p>
        </w:tc>
        <w:tc>
          <w:tcPr>
            <w:tcW w:w="2321" w:type="dxa"/>
            <w:tcBorders>
              <w:top w:val="single" w:sz="2" w:space="0" w:color="auto"/>
              <w:left w:val="single" w:sz="2" w:space="0" w:color="auto"/>
              <w:bottom w:val="single" w:sz="2" w:space="0" w:color="auto"/>
              <w:right w:val="single" w:sz="2" w:space="0" w:color="auto"/>
            </w:tcBorders>
            <w:vAlign w:val="center"/>
          </w:tcPr>
          <w:p w14:paraId="2BCF95C4" w14:textId="50FD879F" w:rsidR="003168E1" w:rsidRPr="001C34C8" w:rsidRDefault="006E5513" w:rsidP="003168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w:t>
            </w:r>
            <w:r w:rsidR="0070271F">
              <w:rPr>
                <w:rFonts w:ascii="Times New Roman" w:hAnsi="Times New Roman" w:cs="Times New Roman"/>
                <w:sz w:val="24"/>
                <w:szCs w:val="24"/>
                <w:lang w:val="fr-FR"/>
              </w:rPr>
              <w:t>6,428.16</w:t>
            </w:r>
          </w:p>
        </w:tc>
      </w:tr>
      <w:tr w:rsidR="003168E1" w:rsidRPr="001C34C8" w14:paraId="687A745C" w14:textId="77777777" w:rsidTr="005125B3">
        <w:tc>
          <w:tcPr>
            <w:tcW w:w="2320" w:type="dxa"/>
            <w:tcBorders>
              <w:top w:val="single" w:sz="2" w:space="0" w:color="auto"/>
              <w:left w:val="single" w:sz="2" w:space="0" w:color="auto"/>
              <w:bottom w:val="single" w:sz="4" w:space="0" w:color="auto"/>
              <w:right w:val="single" w:sz="2" w:space="0" w:color="auto"/>
            </w:tcBorders>
          </w:tcPr>
          <w:p w14:paraId="0D2EE852" w14:textId="77777777" w:rsidR="003168E1" w:rsidRPr="001C34C8" w:rsidRDefault="003168E1" w:rsidP="003168E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C34C8">
              <w:rPr>
                <w:rFonts w:ascii="Times New Roman" w:hAnsi="Times New Roman" w:cs="Times New Roman"/>
                <w:sz w:val="24"/>
                <w:szCs w:val="24"/>
              </w:rPr>
              <w:t>Client Report</w:t>
            </w:r>
          </w:p>
        </w:tc>
        <w:tc>
          <w:tcPr>
            <w:tcW w:w="2321" w:type="dxa"/>
            <w:tcBorders>
              <w:top w:val="single" w:sz="2" w:space="0" w:color="auto"/>
              <w:left w:val="single" w:sz="2" w:space="0" w:color="auto"/>
              <w:bottom w:val="single" w:sz="4" w:space="0" w:color="auto"/>
              <w:right w:val="single" w:sz="2" w:space="0" w:color="auto"/>
            </w:tcBorders>
            <w:vAlign w:val="center"/>
          </w:tcPr>
          <w:p w14:paraId="5B93566C" w14:textId="2F4329F1" w:rsidR="003168E1" w:rsidRPr="001C34C8" w:rsidRDefault="00E84F8F" w:rsidP="003168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4,</w:t>
            </w:r>
            <w:r w:rsidR="006E5513">
              <w:rPr>
                <w:rFonts w:ascii="Times New Roman" w:hAnsi="Times New Roman" w:cs="Times New Roman"/>
                <w:sz w:val="24"/>
                <w:szCs w:val="24"/>
                <w:lang w:val="fr-FR"/>
              </w:rPr>
              <w:t>374</w:t>
            </w:r>
          </w:p>
        </w:tc>
        <w:tc>
          <w:tcPr>
            <w:tcW w:w="2320" w:type="dxa"/>
            <w:tcBorders>
              <w:top w:val="single" w:sz="2" w:space="0" w:color="auto"/>
              <w:left w:val="single" w:sz="2" w:space="0" w:color="auto"/>
              <w:bottom w:val="single" w:sz="4" w:space="0" w:color="auto"/>
              <w:right w:val="single" w:sz="2" w:space="0" w:color="auto"/>
            </w:tcBorders>
            <w:vAlign w:val="center"/>
          </w:tcPr>
          <w:p w14:paraId="3E6755C2" w14:textId="32182B9C" w:rsidR="003168E1" w:rsidRPr="001C34C8" w:rsidRDefault="006E5513" w:rsidP="003168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w:t>
            </w:r>
            <w:r w:rsidR="0070271F">
              <w:rPr>
                <w:rFonts w:ascii="Times New Roman" w:hAnsi="Times New Roman" w:cs="Times New Roman"/>
                <w:sz w:val="24"/>
                <w:szCs w:val="24"/>
                <w:lang w:val="fr-FR"/>
              </w:rPr>
              <w:t>19.84</w:t>
            </w:r>
          </w:p>
        </w:tc>
        <w:tc>
          <w:tcPr>
            <w:tcW w:w="2321" w:type="dxa"/>
            <w:tcBorders>
              <w:top w:val="single" w:sz="2" w:space="0" w:color="auto"/>
              <w:left w:val="single" w:sz="2" w:space="0" w:color="auto"/>
              <w:bottom w:val="single" w:sz="4" w:space="0" w:color="auto"/>
              <w:right w:val="single" w:sz="2" w:space="0" w:color="auto"/>
            </w:tcBorders>
            <w:vAlign w:val="center"/>
          </w:tcPr>
          <w:p w14:paraId="1D51DC3B" w14:textId="3EACC071" w:rsidR="003168E1" w:rsidRPr="001C34C8" w:rsidRDefault="006E5513" w:rsidP="003168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$86,780.16</w:t>
            </w:r>
          </w:p>
        </w:tc>
      </w:tr>
      <w:tr w:rsidR="003168E1" w:rsidRPr="001C34C8" w14:paraId="63D843E4" w14:textId="77777777" w:rsidTr="005125B3">
        <w:tc>
          <w:tcPr>
            <w:tcW w:w="2320" w:type="dxa"/>
            <w:tcBorders>
              <w:top w:val="single" w:sz="4" w:space="0" w:color="auto"/>
              <w:left w:val="single" w:sz="4" w:space="0" w:color="auto"/>
              <w:bottom w:val="single" w:sz="4" w:space="0" w:color="auto"/>
              <w:right w:val="single" w:sz="4" w:space="0" w:color="auto"/>
            </w:tcBorders>
            <w:vAlign w:val="center"/>
          </w:tcPr>
          <w:p w14:paraId="3CCEDEB7" w14:textId="77777777" w:rsidR="003168E1" w:rsidRPr="001C34C8" w:rsidRDefault="003168E1" w:rsidP="003168E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lang w:val="fr-FR"/>
              </w:rPr>
            </w:pPr>
            <w:r>
              <w:rPr>
                <w:rFonts w:ascii="Times New Roman" w:hAnsi="Times New Roman" w:cs="Times New Roman"/>
                <w:sz w:val="24"/>
                <w:szCs w:val="24"/>
                <w:lang w:val="fr-FR"/>
              </w:rPr>
              <w:t>Total</w:t>
            </w:r>
          </w:p>
        </w:tc>
        <w:tc>
          <w:tcPr>
            <w:tcW w:w="2321" w:type="dxa"/>
            <w:tcBorders>
              <w:top w:val="single" w:sz="4" w:space="0" w:color="auto"/>
              <w:left w:val="single" w:sz="4" w:space="0" w:color="auto"/>
              <w:bottom w:val="single" w:sz="4" w:space="0" w:color="auto"/>
              <w:right w:val="single" w:sz="4" w:space="0" w:color="auto"/>
            </w:tcBorders>
            <w:vAlign w:val="center"/>
          </w:tcPr>
          <w:p w14:paraId="6742DE88" w14:textId="18BBEC0A" w:rsidR="003168E1" w:rsidRPr="001C34C8" w:rsidRDefault="006E5513" w:rsidP="001D2D7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4,698</w:t>
            </w:r>
          </w:p>
        </w:tc>
        <w:tc>
          <w:tcPr>
            <w:tcW w:w="2320" w:type="dxa"/>
            <w:tcBorders>
              <w:top w:val="single" w:sz="4" w:space="0" w:color="auto"/>
              <w:left w:val="single" w:sz="4" w:space="0" w:color="auto"/>
              <w:bottom w:val="single" w:sz="4" w:space="0" w:color="auto"/>
              <w:right w:val="single" w:sz="4" w:space="0" w:color="auto"/>
            </w:tcBorders>
            <w:vAlign w:val="center"/>
          </w:tcPr>
          <w:p w14:paraId="0B5FEF43" w14:textId="77777777" w:rsidR="003168E1" w:rsidRPr="001C34C8" w:rsidRDefault="003168E1" w:rsidP="003168E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lang w:val="fr-FR"/>
              </w:rPr>
            </w:pPr>
          </w:p>
        </w:tc>
        <w:tc>
          <w:tcPr>
            <w:tcW w:w="2321" w:type="dxa"/>
            <w:tcBorders>
              <w:top w:val="single" w:sz="4" w:space="0" w:color="auto"/>
              <w:left w:val="single" w:sz="4" w:space="0" w:color="auto"/>
              <w:bottom w:val="single" w:sz="4" w:space="0" w:color="auto"/>
              <w:right w:val="single" w:sz="4" w:space="0" w:color="auto"/>
            </w:tcBorders>
            <w:vAlign w:val="center"/>
          </w:tcPr>
          <w:p w14:paraId="7A6A875F" w14:textId="045F8A3E" w:rsidR="003168E1" w:rsidRPr="001C34C8" w:rsidRDefault="006E5513" w:rsidP="003168E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lang w:val="fr-FR"/>
              </w:rPr>
            </w:pPr>
            <w:r>
              <w:rPr>
                <w:rFonts w:ascii="Times New Roman" w:hAnsi="Times New Roman" w:cs="Times New Roman"/>
                <w:sz w:val="24"/>
                <w:szCs w:val="24"/>
                <w:lang w:val="fr-FR"/>
              </w:rPr>
              <w:t>$93,208.32</w:t>
            </w:r>
          </w:p>
        </w:tc>
      </w:tr>
    </w:tbl>
    <w:p w14:paraId="7AB16FBF" w14:textId="77777777" w:rsidR="003168E1" w:rsidRPr="001C34C8" w:rsidRDefault="003168E1" w:rsidP="00D71778">
      <w:pPr>
        <w:rPr>
          <w:rFonts w:ascii="Times New Roman" w:hAnsi="Times New Roman" w:cs="Times New Roman"/>
          <w:b/>
          <w:bCs/>
          <w:smallCaps/>
          <w:sz w:val="24"/>
          <w:szCs w:val="24"/>
        </w:rPr>
      </w:pPr>
    </w:p>
    <w:p w14:paraId="0418DE23" w14:textId="77777777" w:rsidR="00D71778" w:rsidRPr="001C34C8" w:rsidRDefault="00D71778" w:rsidP="00D71778">
      <w:pPr>
        <w:pStyle w:val="ColorfulList-Accent11"/>
        <w:numPr>
          <w:ilvl w:val="0"/>
          <w:numId w:val="30"/>
        </w:numPr>
        <w:rPr>
          <w:rFonts w:ascii="Times New Roman" w:hAnsi="Times New Roman" w:cs="Times New Roman"/>
          <w:b/>
          <w:bCs/>
          <w:smallCaps/>
          <w:sz w:val="24"/>
          <w:szCs w:val="24"/>
          <w:u w:val="single"/>
        </w:rPr>
      </w:pPr>
      <w:r w:rsidRPr="001C34C8">
        <w:rPr>
          <w:rFonts w:ascii="Times New Roman" w:hAnsi="Times New Roman" w:cs="Times New Roman"/>
          <w:sz w:val="24"/>
          <w:szCs w:val="24"/>
          <w:u w:val="single"/>
        </w:rPr>
        <w:t xml:space="preserve">Estimates of </w:t>
      </w:r>
      <w:r w:rsidR="00095F23">
        <w:rPr>
          <w:rFonts w:ascii="Times New Roman" w:hAnsi="Times New Roman" w:cs="Times New Roman"/>
          <w:sz w:val="24"/>
          <w:szCs w:val="24"/>
          <w:u w:val="single"/>
        </w:rPr>
        <w:t xml:space="preserve">other Total Annual </w:t>
      </w:r>
      <w:r w:rsidRPr="001C34C8">
        <w:rPr>
          <w:rFonts w:ascii="Times New Roman" w:hAnsi="Times New Roman" w:cs="Times New Roman"/>
          <w:sz w:val="24"/>
          <w:szCs w:val="24"/>
          <w:u w:val="single"/>
        </w:rPr>
        <w:t>Cost</w:t>
      </w:r>
      <w:r w:rsidR="00095F23">
        <w:rPr>
          <w:rFonts w:ascii="Times New Roman" w:hAnsi="Times New Roman" w:cs="Times New Roman"/>
          <w:sz w:val="24"/>
          <w:szCs w:val="24"/>
          <w:u w:val="single"/>
        </w:rPr>
        <w:t xml:space="preserve"> Burden to Respondents or Recordkeepers/Capital Costs</w:t>
      </w:r>
    </w:p>
    <w:p w14:paraId="490E9FFC" w14:textId="77777777" w:rsidR="003168E1" w:rsidRDefault="003168E1" w:rsidP="003168E1">
      <w:pPr>
        <w:rPr>
          <w:rStyle w:val="BodyTextFi"/>
          <w:rFonts w:ascii="Times New Roman" w:hAnsi="Times New Roman" w:cs="Times New Roman"/>
          <w:sz w:val="24"/>
          <w:szCs w:val="24"/>
        </w:rPr>
      </w:pPr>
      <w:r w:rsidRPr="001C34C8">
        <w:rPr>
          <w:rStyle w:val="BodyTextFi"/>
          <w:rFonts w:ascii="Times New Roman" w:hAnsi="Times New Roman" w:cs="Times New Roman"/>
          <w:sz w:val="24"/>
          <w:szCs w:val="24"/>
        </w:rPr>
        <w:t>Grantees are responsible for maintaining their own data systems or using the ADR module of CAREWare, the system provided without cost by HRSA to collect ADR data, to comply with grant requirements. There are no direct costs to respondents other than their time in participating in the data collection and quality assurance.</w:t>
      </w:r>
    </w:p>
    <w:p w14:paraId="46D03CFA" w14:textId="77777777" w:rsidR="00095F23" w:rsidRPr="001C34C8" w:rsidRDefault="00095F23" w:rsidP="00D71778">
      <w:pPr>
        <w:pStyle w:val="ColorfulList-Accent11"/>
        <w:spacing w:after="0" w:line="240" w:lineRule="auto"/>
        <w:ind w:left="432"/>
        <w:jc w:val="center"/>
        <w:rPr>
          <w:rFonts w:ascii="Times New Roman" w:hAnsi="Times New Roman" w:cs="Times New Roman"/>
          <w:sz w:val="24"/>
          <w:szCs w:val="24"/>
        </w:rPr>
      </w:pPr>
    </w:p>
    <w:p w14:paraId="3DC011A5" w14:textId="77777777" w:rsidR="00D71778" w:rsidRPr="001C34C8" w:rsidRDefault="00095F23" w:rsidP="00D71778">
      <w:pPr>
        <w:pStyle w:val="ColorfulList-Accent11"/>
        <w:numPr>
          <w:ilvl w:val="0"/>
          <w:numId w:val="3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Pr>
          <w:rFonts w:ascii="Times New Roman" w:hAnsi="Times New Roman" w:cs="Times New Roman"/>
          <w:sz w:val="24"/>
          <w:szCs w:val="24"/>
          <w:u w:val="single"/>
        </w:rPr>
        <w:t>Annualized Cost to Federal Government</w:t>
      </w:r>
      <w:r w:rsidR="00D0145E">
        <w:rPr>
          <w:rStyle w:val="EndnoteReference"/>
          <w:rFonts w:ascii="Times New Roman" w:hAnsi="Times New Roman" w:cs="Times New Roman"/>
          <w:sz w:val="24"/>
          <w:szCs w:val="24"/>
          <w:u w:val="single"/>
        </w:rPr>
        <w:endnoteReference w:id="1"/>
      </w:r>
    </w:p>
    <w:tbl>
      <w:tblPr>
        <w:tblpPr w:leftFromText="180" w:rightFromText="180" w:vertAnchor="text" w:horzAnchor="margin" w:tblpY="482"/>
        <w:tblW w:w="9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44"/>
        <w:gridCol w:w="1638"/>
      </w:tblGrid>
      <w:tr w:rsidR="003168E1" w:rsidRPr="001C34C8" w14:paraId="037C04A4" w14:textId="77777777" w:rsidTr="003168E1">
        <w:tc>
          <w:tcPr>
            <w:tcW w:w="9682" w:type="dxa"/>
            <w:gridSpan w:val="2"/>
            <w:shd w:val="clear" w:color="auto" w:fill="C7E7CA"/>
          </w:tcPr>
          <w:p w14:paraId="0C71C415" w14:textId="77777777" w:rsidR="003168E1" w:rsidRPr="001C34C8" w:rsidRDefault="003168E1" w:rsidP="003168E1">
            <w:pPr>
              <w:keepNext/>
              <w:keepLines/>
              <w:spacing w:before="60" w:after="0"/>
              <w:rPr>
                <w:rFonts w:ascii="Times New Roman" w:hAnsi="Times New Roman" w:cs="Times New Roman"/>
                <w:b/>
                <w:bCs/>
                <w:sz w:val="24"/>
                <w:szCs w:val="24"/>
              </w:rPr>
            </w:pPr>
            <w:r w:rsidRPr="001C34C8">
              <w:rPr>
                <w:rFonts w:ascii="Times New Roman" w:hAnsi="Times New Roman" w:cs="Times New Roman"/>
                <w:b/>
                <w:bCs/>
                <w:sz w:val="24"/>
                <w:szCs w:val="24"/>
              </w:rPr>
              <w:t>Analysis and Reporting of ADR Data by Staff from the HAB Division of Science and Policy</w:t>
            </w:r>
          </w:p>
        </w:tc>
      </w:tr>
      <w:tr w:rsidR="003168E1" w:rsidRPr="001C34C8" w14:paraId="6E682E36" w14:textId="77777777" w:rsidTr="003168E1">
        <w:tc>
          <w:tcPr>
            <w:tcW w:w="8044" w:type="dxa"/>
          </w:tcPr>
          <w:p w14:paraId="47CAC518" w14:textId="77777777" w:rsidR="003168E1" w:rsidRPr="001C34C8" w:rsidRDefault="003168E1" w:rsidP="00426F84">
            <w:pPr>
              <w:keepNext/>
              <w:keepLines/>
              <w:spacing w:before="60" w:after="60"/>
              <w:rPr>
                <w:rStyle w:val="TableText"/>
                <w:rFonts w:ascii="Times New Roman" w:hAnsi="Times New Roman" w:cs="Times New Roman"/>
                <w:sz w:val="24"/>
                <w:szCs w:val="24"/>
              </w:rPr>
            </w:pPr>
            <w:r w:rsidRPr="001C34C8">
              <w:rPr>
                <w:rStyle w:val="TableText"/>
                <w:rFonts w:ascii="Times New Roman" w:hAnsi="Times New Roman" w:cs="Times New Roman"/>
                <w:sz w:val="24"/>
                <w:szCs w:val="24"/>
              </w:rPr>
              <w:t xml:space="preserve">160 hours by Supervisory </w:t>
            </w:r>
            <w:r w:rsidR="00426F84">
              <w:rPr>
                <w:rStyle w:val="TableText"/>
                <w:rFonts w:ascii="Times New Roman" w:hAnsi="Times New Roman" w:cs="Times New Roman"/>
                <w:sz w:val="24"/>
                <w:szCs w:val="24"/>
              </w:rPr>
              <w:t>Public Health Analyst</w:t>
            </w:r>
            <w:r w:rsidRPr="001C34C8">
              <w:rPr>
                <w:rStyle w:val="TableText"/>
                <w:rFonts w:ascii="Times New Roman" w:hAnsi="Times New Roman" w:cs="Times New Roman"/>
                <w:sz w:val="24"/>
                <w:szCs w:val="24"/>
              </w:rPr>
              <w:t xml:space="preserve"> (GS-1</w:t>
            </w:r>
            <w:r w:rsidR="00426F84">
              <w:rPr>
                <w:rStyle w:val="TableText"/>
                <w:rFonts w:ascii="Times New Roman" w:hAnsi="Times New Roman" w:cs="Times New Roman"/>
                <w:sz w:val="24"/>
                <w:szCs w:val="24"/>
              </w:rPr>
              <w:t>4</w:t>
            </w:r>
            <w:r w:rsidRPr="001C34C8">
              <w:rPr>
                <w:rStyle w:val="TableText"/>
                <w:rFonts w:ascii="Times New Roman" w:hAnsi="Times New Roman" w:cs="Times New Roman"/>
                <w:sz w:val="24"/>
                <w:szCs w:val="24"/>
              </w:rPr>
              <w:t>) at $</w:t>
            </w:r>
            <w:r w:rsidR="00426F84">
              <w:t xml:space="preserve"> </w:t>
            </w:r>
            <w:r w:rsidR="00426F84" w:rsidRPr="00426F84">
              <w:rPr>
                <w:rFonts w:ascii="Times New Roman" w:hAnsi="Times New Roman" w:cs="Times New Roman"/>
                <w:sz w:val="24"/>
                <w:szCs w:val="24"/>
              </w:rPr>
              <w:t>112,021</w:t>
            </w:r>
            <w:r w:rsidRPr="001C34C8">
              <w:rPr>
                <w:rFonts w:ascii="Times New Roman" w:hAnsi="Times New Roman" w:cs="Times New Roman"/>
                <w:sz w:val="24"/>
                <w:szCs w:val="24"/>
              </w:rPr>
              <w:t>/year ($5</w:t>
            </w:r>
            <w:r w:rsidR="00426F84">
              <w:rPr>
                <w:rFonts w:ascii="Times New Roman" w:hAnsi="Times New Roman" w:cs="Times New Roman"/>
                <w:sz w:val="24"/>
                <w:szCs w:val="24"/>
              </w:rPr>
              <w:t>3</w:t>
            </w:r>
            <w:r w:rsidRPr="001C34C8">
              <w:rPr>
                <w:rFonts w:ascii="Times New Roman" w:hAnsi="Times New Roman" w:cs="Times New Roman"/>
                <w:sz w:val="24"/>
                <w:szCs w:val="24"/>
              </w:rPr>
              <w:t>.</w:t>
            </w:r>
            <w:r w:rsidR="00426F84">
              <w:rPr>
                <w:rFonts w:ascii="Times New Roman" w:hAnsi="Times New Roman" w:cs="Times New Roman"/>
                <w:sz w:val="24"/>
                <w:szCs w:val="24"/>
              </w:rPr>
              <w:t>68</w:t>
            </w:r>
            <w:r w:rsidRPr="001C34C8">
              <w:rPr>
                <w:rFonts w:ascii="Times New Roman" w:hAnsi="Times New Roman" w:cs="Times New Roman"/>
                <w:sz w:val="24"/>
                <w:szCs w:val="24"/>
              </w:rPr>
              <w:t>/hour</w:t>
            </w:r>
            <w:r w:rsidRPr="001C34C8">
              <w:rPr>
                <w:rStyle w:val="TableText"/>
                <w:rFonts w:ascii="Times New Roman" w:hAnsi="Times New Roman" w:cs="Times New Roman"/>
                <w:sz w:val="24"/>
                <w:szCs w:val="24"/>
              </w:rPr>
              <w:t>)</w:t>
            </w:r>
          </w:p>
        </w:tc>
        <w:tc>
          <w:tcPr>
            <w:tcW w:w="1638" w:type="dxa"/>
          </w:tcPr>
          <w:p w14:paraId="48F8086E" w14:textId="77777777" w:rsidR="003168E1" w:rsidRPr="001C34C8" w:rsidRDefault="003168E1" w:rsidP="00426F84">
            <w:pPr>
              <w:keepNext/>
              <w:keepLines/>
              <w:spacing w:before="60" w:after="60"/>
              <w:jc w:val="right"/>
              <w:rPr>
                <w:rStyle w:val="TableText"/>
                <w:rFonts w:ascii="Times New Roman" w:hAnsi="Times New Roman" w:cs="Times New Roman"/>
                <w:sz w:val="24"/>
                <w:szCs w:val="24"/>
              </w:rPr>
            </w:pPr>
            <w:r w:rsidRPr="001C34C8">
              <w:rPr>
                <w:rStyle w:val="TableText"/>
                <w:rFonts w:ascii="Times New Roman" w:hAnsi="Times New Roman" w:cs="Times New Roman"/>
                <w:sz w:val="24"/>
                <w:szCs w:val="24"/>
              </w:rPr>
              <w:t>$</w:t>
            </w:r>
            <w:r w:rsidR="00426F84">
              <w:rPr>
                <w:rStyle w:val="TableText"/>
                <w:rFonts w:ascii="Times New Roman" w:hAnsi="Times New Roman" w:cs="Times New Roman"/>
                <w:sz w:val="24"/>
                <w:szCs w:val="24"/>
              </w:rPr>
              <w:t>8</w:t>
            </w:r>
            <w:r w:rsidRPr="001C34C8">
              <w:rPr>
                <w:rStyle w:val="TableText"/>
                <w:rFonts w:ascii="Times New Roman" w:hAnsi="Times New Roman" w:cs="Times New Roman"/>
                <w:sz w:val="24"/>
                <w:szCs w:val="24"/>
              </w:rPr>
              <w:t>,</w:t>
            </w:r>
            <w:r w:rsidR="00426F84">
              <w:rPr>
                <w:rStyle w:val="TableText"/>
                <w:rFonts w:ascii="Times New Roman" w:hAnsi="Times New Roman" w:cs="Times New Roman"/>
                <w:sz w:val="24"/>
                <w:szCs w:val="24"/>
              </w:rPr>
              <w:t>5</w:t>
            </w:r>
            <w:r w:rsidR="00FE152D">
              <w:rPr>
                <w:rStyle w:val="TableText"/>
                <w:rFonts w:ascii="Times New Roman" w:hAnsi="Times New Roman" w:cs="Times New Roman"/>
                <w:sz w:val="24"/>
                <w:szCs w:val="24"/>
              </w:rPr>
              <w:t>88</w:t>
            </w:r>
            <w:r w:rsidRPr="001C34C8">
              <w:rPr>
                <w:rStyle w:val="TableText"/>
                <w:rFonts w:ascii="Times New Roman" w:hAnsi="Times New Roman" w:cs="Times New Roman"/>
                <w:sz w:val="24"/>
                <w:szCs w:val="24"/>
              </w:rPr>
              <w:t>.</w:t>
            </w:r>
            <w:r w:rsidR="00426F84">
              <w:rPr>
                <w:rStyle w:val="TableText"/>
                <w:rFonts w:ascii="Times New Roman" w:hAnsi="Times New Roman" w:cs="Times New Roman"/>
                <w:sz w:val="24"/>
                <w:szCs w:val="24"/>
              </w:rPr>
              <w:t>8</w:t>
            </w:r>
            <w:r w:rsidR="00FE152D" w:rsidRPr="001C34C8">
              <w:rPr>
                <w:rStyle w:val="TableText"/>
                <w:rFonts w:ascii="Times New Roman" w:hAnsi="Times New Roman" w:cs="Times New Roman"/>
                <w:sz w:val="24"/>
                <w:szCs w:val="24"/>
              </w:rPr>
              <w:t>0</w:t>
            </w:r>
          </w:p>
        </w:tc>
      </w:tr>
      <w:tr w:rsidR="003168E1" w:rsidRPr="001C34C8" w14:paraId="4C7A2E2B" w14:textId="77777777" w:rsidTr="003168E1">
        <w:trPr>
          <w:trHeight w:val="440"/>
        </w:trPr>
        <w:tc>
          <w:tcPr>
            <w:tcW w:w="8044" w:type="dxa"/>
          </w:tcPr>
          <w:p w14:paraId="2DC1CE0C" w14:textId="77777777" w:rsidR="003168E1" w:rsidRPr="001C34C8" w:rsidRDefault="003168E1" w:rsidP="00426F84">
            <w:pPr>
              <w:keepNext/>
              <w:keepLines/>
              <w:spacing w:before="60" w:after="60"/>
              <w:rPr>
                <w:rFonts w:ascii="Times New Roman" w:hAnsi="Times New Roman" w:cs="Times New Roman"/>
                <w:sz w:val="24"/>
                <w:szCs w:val="24"/>
              </w:rPr>
            </w:pPr>
            <w:r w:rsidRPr="001C34C8">
              <w:rPr>
                <w:rStyle w:val="TableText"/>
                <w:rFonts w:ascii="Times New Roman" w:hAnsi="Times New Roman" w:cs="Times New Roman"/>
                <w:sz w:val="24"/>
                <w:szCs w:val="24"/>
              </w:rPr>
              <w:t>160 hours by Health Statistician (GS-14) at $</w:t>
            </w:r>
            <w:r w:rsidR="00426F84">
              <w:t xml:space="preserve"> </w:t>
            </w:r>
            <w:r w:rsidR="00426F84" w:rsidRPr="00426F84">
              <w:rPr>
                <w:rStyle w:val="TableText"/>
                <w:rFonts w:ascii="Times New Roman" w:hAnsi="Times New Roman" w:cs="Times New Roman"/>
                <w:sz w:val="24"/>
                <w:szCs w:val="24"/>
              </w:rPr>
              <w:t>130,6</w:t>
            </w:r>
            <w:r w:rsidR="00426F84">
              <w:rPr>
                <w:rStyle w:val="TableText"/>
                <w:rFonts w:ascii="Times New Roman" w:hAnsi="Times New Roman" w:cs="Times New Roman"/>
                <w:sz w:val="24"/>
                <w:szCs w:val="24"/>
              </w:rPr>
              <w:t>92</w:t>
            </w:r>
            <w:r w:rsidRPr="001C34C8">
              <w:rPr>
                <w:rStyle w:val="TableText"/>
                <w:rFonts w:ascii="Times New Roman" w:hAnsi="Times New Roman" w:cs="Times New Roman"/>
                <w:sz w:val="24"/>
                <w:szCs w:val="24"/>
              </w:rPr>
              <w:t>/year ($</w:t>
            </w:r>
            <w:r w:rsidR="00426F84">
              <w:rPr>
                <w:rStyle w:val="TableText"/>
                <w:rFonts w:ascii="Times New Roman" w:hAnsi="Times New Roman" w:cs="Times New Roman"/>
                <w:sz w:val="24"/>
                <w:szCs w:val="24"/>
              </w:rPr>
              <w:t>62</w:t>
            </w:r>
            <w:r w:rsidRPr="001C34C8">
              <w:rPr>
                <w:rStyle w:val="TableText"/>
                <w:rFonts w:ascii="Times New Roman" w:hAnsi="Times New Roman" w:cs="Times New Roman"/>
                <w:sz w:val="24"/>
                <w:szCs w:val="24"/>
              </w:rPr>
              <w:t>.</w:t>
            </w:r>
            <w:r w:rsidR="00426F84">
              <w:rPr>
                <w:rStyle w:val="TableText"/>
                <w:rFonts w:ascii="Times New Roman" w:hAnsi="Times New Roman" w:cs="Times New Roman"/>
                <w:sz w:val="24"/>
                <w:szCs w:val="24"/>
              </w:rPr>
              <w:t>6</w:t>
            </w:r>
            <w:r w:rsidRPr="001C34C8">
              <w:rPr>
                <w:rStyle w:val="TableText"/>
                <w:rFonts w:ascii="Times New Roman" w:hAnsi="Times New Roman" w:cs="Times New Roman"/>
                <w:sz w:val="24"/>
                <w:szCs w:val="24"/>
              </w:rPr>
              <w:t>2/hour)</w:t>
            </w:r>
          </w:p>
        </w:tc>
        <w:tc>
          <w:tcPr>
            <w:tcW w:w="1638" w:type="dxa"/>
          </w:tcPr>
          <w:p w14:paraId="7F0A62B8" w14:textId="77777777" w:rsidR="003168E1" w:rsidRPr="001C34C8" w:rsidRDefault="003168E1" w:rsidP="00426F84">
            <w:pPr>
              <w:keepNext/>
              <w:keepLines/>
              <w:spacing w:before="60" w:after="60"/>
              <w:jc w:val="right"/>
              <w:rPr>
                <w:rFonts w:ascii="Times New Roman" w:hAnsi="Times New Roman" w:cs="Times New Roman"/>
                <w:sz w:val="24"/>
                <w:szCs w:val="24"/>
              </w:rPr>
            </w:pPr>
            <w:r w:rsidRPr="001C34C8">
              <w:rPr>
                <w:rStyle w:val="TableText"/>
                <w:rFonts w:ascii="Times New Roman" w:hAnsi="Times New Roman" w:cs="Times New Roman"/>
                <w:sz w:val="24"/>
                <w:szCs w:val="24"/>
              </w:rPr>
              <w:t>$</w:t>
            </w:r>
            <w:r w:rsidR="00426F84">
              <w:rPr>
                <w:rStyle w:val="TableText"/>
                <w:rFonts w:ascii="Times New Roman" w:hAnsi="Times New Roman" w:cs="Times New Roman"/>
                <w:sz w:val="24"/>
                <w:szCs w:val="24"/>
              </w:rPr>
              <w:t>10</w:t>
            </w:r>
            <w:r w:rsidRPr="001C34C8">
              <w:rPr>
                <w:rStyle w:val="TableText"/>
                <w:rFonts w:ascii="Times New Roman" w:hAnsi="Times New Roman" w:cs="Times New Roman"/>
                <w:sz w:val="24"/>
                <w:szCs w:val="24"/>
              </w:rPr>
              <w:t>,</w:t>
            </w:r>
            <w:r w:rsidR="00426F84">
              <w:rPr>
                <w:rStyle w:val="TableText"/>
                <w:rFonts w:ascii="Times New Roman" w:hAnsi="Times New Roman" w:cs="Times New Roman"/>
                <w:sz w:val="24"/>
                <w:szCs w:val="24"/>
              </w:rPr>
              <w:t>019</w:t>
            </w:r>
            <w:r w:rsidRPr="001C34C8">
              <w:rPr>
                <w:rStyle w:val="TableText"/>
                <w:rFonts w:ascii="Times New Roman" w:hAnsi="Times New Roman" w:cs="Times New Roman"/>
                <w:sz w:val="24"/>
                <w:szCs w:val="24"/>
              </w:rPr>
              <w:t>.20</w:t>
            </w:r>
          </w:p>
        </w:tc>
      </w:tr>
      <w:tr w:rsidR="003168E1" w:rsidRPr="001C34C8" w14:paraId="631DBB65" w14:textId="77777777" w:rsidTr="003168E1">
        <w:tc>
          <w:tcPr>
            <w:tcW w:w="9682" w:type="dxa"/>
            <w:gridSpan w:val="2"/>
            <w:shd w:val="clear" w:color="auto" w:fill="C7E7CA"/>
          </w:tcPr>
          <w:p w14:paraId="064A153F" w14:textId="77777777" w:rsidR="003168E1" w:rsidRPr="001C34C8" w:rsidRDefault="003168E1" w:rsidP="003168E1">
            <w:pPr>
              <w:keepNext/>
              <w:keepLines/>
              <w:spacing w:before="60" w:after="60"/>
              <w:rPr>
                <w:rFonts w:ascii="Times New Roman" w:hAnsi="Times New Roman" w:cs="Times New Roman"/>
                <w:b/>
                <w:bCs/>
                <w:sz w:val="24"/>
                <w:szCs w:val="24"/>
              </w:rPr>
            </w:pPr>
            <w:r w:rsidRPr="001C34C8">
              <w:rPr>
                <w:rStyle w:val="TableText"/>
                <w:rFonts w:ascii="Times New Roman" w:hAnsi="Times New Roman" w:cs="Times New Roman"/>
                <w:b/>
                <w:bCs/>
                <w:sz w:val="24"/>
                <w:szCs w:val="24"/>
              </w:rPr>
              <w:t>Maintenance of CAREWare Software to Conform with ADR</w:t>
            </w:r>
          </w:p>
        </w:tc>
      </w:tr>
      <w:tr w:rsidR="003168E1" w:rsidRPr="001C34C8" w14:paraId="58F41373" w14:textId="77777777" w:rsidTr="003168E1">
        <w:tc>
          <w:tcPr>
            <w:tcW w:w="8044" w:type="dxa"/>
            <w:tcBorders>
              <w:bottom w:val="single" w:sz="4" w:space="0" w:color="000000"/>
            </w:tcBorders>
          </w:tcPr>
          <w:p w14:paraId="06AB03A9" w14:textId="77777777" w:rsidR="003168E1" w:rsidRPr="001C34C8" w:rsidRDefault="003168E1" w:rsidP="00426F84">
            <w:pPr>
              <w:keepNext/>
              <w:keepLines/>
              <w:spacing w:before="60" w:after="60"/>
              <w:rPr>
                <w:rFonts w:ascii="Times New Roman" w:hAnsi="Times New Roman" w:cs="Times New Roman"/>
                <w:sz w:val="24"/>
                <w:szCs w:val="24"/>
              </w:rPr>
            </w:pPr>
            <w:r w:rsidRPr="001C34C8">
              <w:rPr>
                <w:rStyle w:val="TableText"/>
                <w:rFonts w:ascii="Times New Roman" w:hAnsi="Times New Roman" w:cs="Times New Roman"/>
                <w:sz w:val="24"/>
                <w:szCs w:val="24"/>
              </w:rPr>
              <w:t>160 hours by Supervisory Public Health Analyst (GS-14) at $1</w:t>
            </w:r>
            <w:r w:rsidR="00426F84">
              <w:rPr>
                <w:rStyle w:val="TableText"/>
                <w:rFonts w:ascii="Times New Roman" w:hAnsi="Times New Roman" w:cs="Times New Roman"/>
                <w:sz w:val="24"/>
                <w:szCs w:val="24"/>
              </w:rPr>
              <w:t>41</w:t>
            </w:r>
            <w:r w:rsidRPr="001C34C8">
              <w:rPr>
                <w:rStyle w:val="TableText"/>
                <w:rFonts w:ascii="Times New Roman" w:hAnsi="Times New Roman" w:cs="Times New Roman"/>
                <w:sz w:val="24"/>
                <w:szCs w:val="24"/>
              </w:rPr>
              <w:t>,</w:t>
            </w:r>
            <w:r w:rsidR="00426F84">
              <w:rPr>
                <w:rStyle w:val="TableText"/>
                <w:rFonts w:ascii="Times New Roman" w:hAnsi="Times New Roman" w:cs="Times New Roman"/>
                <w:sz w:val="24"/>
                <w:szCs w:val="24"/>
              </w:rPr>
              <w:t>555</w:t>
            </w:r>
            <w:r w:rsidRPr="001C34C8">
              <w:rPr>
                <w:rStyle w:val="TableText"/>
                <w:rFonts w:ascii="Times New Roman" w:hAnsi="Times New Roman" w:cs="Times New Roman"/>
                <w:sz w:val="24"/>
                <w:szCs w:val="24"/>
              </w:rPr>
              <w:t>/year ($</w:t>
            </w:r>
            <w:r w:rsidR="00426F84">
              <w:rPr>
                <w:rStyle w:val="TableText"/>
                <w:rFonts w:ascii="Times New Roman" w:hAnsi="Times New Roman" w:cs="Times New Roman"/>
                <w:sz w:val="24"/>
                <w:szCs w:val="24"/>
              </w:rPr>
              <w:t>69</w:t>
            </w:r>
            <w:r w:rsidRPr="001C34C8">
              <w:rPr>
                <w:rStyle w:val="TableText"/>
                <w:rFonts w:ascii="Times New Roman" w:hAnsi="Times New Roman" w:cs="Times New Roman"/>
                <w:sz w:val="24"/>
                <w:szCs w:val="24"/>
              </w:rPr>
              <w:t>.</w:t>
            </w:r>
            <w:r w:rsidR="00426F84">
              <w:rPr>
                <w:rStyle w:val="TableText"/>
                <w:rFonts w:ascii="Times New Roman" w:hAnsi="Times New Roman" w:cs="Times New Roman"/>
                <w:sz w:val="24"/>
                <w:szCs w:val="24"/>
              </w:rPr>
              <w:t>7</w:t>
            </w:r>
            <w:r w:rsidRPr="001C34C8">
              <w:rPr>
                <w:rStyle w:val="TableText"/>
                <w:rFonts w:ascii="Times New Roman" w:hAnsi="Times New Roman" w:cs="Times New Roman"/>
                <w:sz w:val="24"/>
                <w:szCs w:val="24"/>
              </w:rPr>
              <w:t>8/hour)</w:t>
            </w:r>
          </w:p>
        </w:tc>
        <w:tc>
          <w:tcPr>
            <w:tcW w:w="1638" w:type="dxa"/>
            <w:tcBorders>
              <w:bottom w:val="single" w:sz="4" w:space="0" w:color="000000"/>
            </w:tcBorders>
          </w:tcPr>
          <w:p w14:paraId="69B8286F" w14:textId="77777777" w:rsidR="003168E1" w:rsidRPr="001C34C8" w:rsidRDefault="003168E1" w:rsidP="00426F84">
            <w:pPr>
              <w:keepNext/>
              <w:keepLines/>
              <w:spacing w:before="60" w:after="60"/>
              <w:jc w:val="right"/>
              <w:rPr>
                <w:rFonts w:ascii="Times New Roman" w:hAnsi="Times New Roman" w:cs="Times New Roman"/>
                <w:sz w:val="24"/>
                <w:szCs w:val="24"/>
              </w:rPr>
            </w:pPr>
            <w:r w:rsidRPr="001C34C8">
              <w:rPr>
                <w:rStyle w:val="TableText"/>
                <w:rFonts w:ascii="Times New Roman" w:hAnsi="Times New Roman" w:cs="Times New Roman"/>
                <w:sz w:val="24"/>
                <w:szCs w:val="24"/>
              </w:rPr>
              <w:t>$</w:t>
            </w:r>
            <w:r w:rsidR="00426F84">
              <w:rPr>
                <w:rStyle w:val="TableText"/>
                <w:rFonts w:ascii="Times New Roman" w:hAnsi="Times New Roman" w:cs="Times New Roman"/>
                <w:sz w:val="24"/>
                <w:szCs w:val="24"/>
              </w:rPr>
              <w:t>11</w:t>
            </w:r>
            <w:r w:rsidRPr="001C34C8">
              <w:rPr>
                <w:rStyle w:val="TableText"/>
                <w:rFonts w:ascii="Times New Roman" w:hAnsi="Times New Roman" w:cs="Times New Roman"/>
                <w:sz w:val="24"/>
                <w:szCs w:val="24"/>
              </w:rPr>
              <w:t>,</w:t>
            </w:r>
            <w:r w:rsidR="00426F84">
              <w:rPr>
                <w:rStyle w:val="TableText"/>
                <w:rFonts w:ascii="Times New Roman" w:hAnsi="Times New Roman" w:cs="Times New Roman"/>
                <w:sz w:val="24"/>
                <w:szCs w:val="24"/>
              </w:rPr>
              <w:t>164</w:t>
            </w:r>
            <w:r w:rsidRPr="001C34C8">
              <w:rPr>
                <w:rStyle w:val="TableText"/>
                <w:rFonts w:ascii="Times New Roman" w:hAnsi="Times New Roman" w:cs="Times New Roman"/>
                <w:sz w:val="24"/>
                <w:szCs w:val="24"/>
              </w:rPr>
              <w:t>.80</w:t>
            </w:r>
          </w:p>
        </w:tc>
      </w:tr>
      <w:tr w:rsidR="003168E1" w:rsidRPr="001C34C8" w14:paraId="21F1358C" w14:textId="77777777" w:rsidTr="003168E1">
        <w:tc>
          <w:tcPr>
            <w:tcW w:w="9682" w:type="dxa"/>
            <w:gridSpan w:val="2"/>
            <w:shd w:val="clear" w:color="auto" w:fill="C7E7CA"/>
          </w:tcPr>
          <w:p w14:paraId="269AF68D" w14:textId="77777777" w:rsidR="003168E1" w:rsidRPr="001C34C8" w:rsidRDefault="003168E1" w:rsidP="003168E1">
            <w:pPr>
              <w:keepNext/>
              <w:keepLines/>
              <w:spacing w:before="60" w:after="60"/>
              <w:rPr>
                <w:rFonts w:ascii="Times New Roman" w:hAnsi="Times New Roman" w:cs="Times New Roman"/>
                <w:b/>
                <w:bCs/>
                <w:sz w:val="24"/>
                <w:szCs w:val="24"/>
              </w:rPr>
            </w:pPr>
            <w:r w:rsidRPr="001C34C8">
              <w:rPr>
                <w:rStyle w:val="TableText"/>
                <w:rFonts w:ascii="Times New Roman" w:hAnsi="Times New Roman" w:cs="Times New Roman"/>
                <w:b/>
                <w:bCs/>
                <w:sz w:val="24"/>
                <w:szCs w:val="24"/>
              </w:rPr>
              <w:t xml:space="preserve">Uploading Software, Reports, and Instructions to HRSA Web Site </w:t>
            </w:r>
          </w:p>
        </w:tc>
      </w:tr>
      <w:tr w:rsidR="003168E1" w:rsidRPr="001C34C8" w14:paraId="1A5BF8CE" w14:textId="77777777" w:rsidTr="003168E1">
        <w:tc>
          <w:tcPr>
            <w:tcW w:w="8044" w:type="dxa"/>
            <w:tcBorders>
              <w:bottom w:val="single" w:sz="4" w:space="0" w:color="000000"/>
            </w:tcBorders>
          </w:tcPr>
          <w:p w14:paraId="3DA009C9" w14:textId="77777777" w:rsidR="003168E1" w:rsidRPr="001C34C8" w:rsidRDefault="003168E1" w:rsidP="00717F5B">
            <w:pPr>
              <w:keepNext/>
              <w:keepLines/>
              <w:spacing w:before="60" w:after="60"/>
              <w:rPr>
                <w:rFonts w:ascii="Times New Roman" w:hAnsi="Times New Roman" w:cs="Times New Roman"/>
                <w:sz w:val="24"/>
                <w:szCs w:val="24"/>
              </w:rPr>
            </w:pPr>
            <w:r w:rsidRPr="001C34C8">
              <w:rPr>
                <w:rStyle w:val="TableText"/>
                <w:rFonts w:ascii="Times New Roman" w:hAnsi="Times New Roman" w:cs="Times New Roman"/>
                <w:sz w:val="24"/>
                <w:szCs w:val="24"/>
              </w:rPr>
              <w:t>100 hours by Program Analyst (GS-1</w:t>
            </w:r>
            <w:r w:rsidR="00717F5B">
              <w:rPr>
                <w:rStyle w:val="TableText"/>
                <w:rFonts w:ascii="Times New Roman" w:hAnsi="Times New Roman" w:cs="Times New Roman"/>
                <w:sz w:val="24"/>
                <w:szCs w:val="24"/>
              </w:rPr>
              <w:t>2</w:t>
            </w:r>
            <w:r w:rsidRPr="001C34C8">
              <w:rPr>
                <w:rStyle w:val="TableText"/>
                <w:rFonts w:ascii="Times New Roman" w:hAnsi="Times New Roman" w:cs="Times New Roman"/>
                <w:sz w:val="24"/>
                <w:szCs w:val="24"/>
              </w:rPr>
              <w:t xml:space="preserve">) at </w:t>
            </w:r>
            <w:r w:rsidRPr="001C34C8">
              <w:rPr>
                <w:rFonts w:ascii="Times New Roman" w:hAnsi="Times New Roman" w:cs="Times New Roman"/>
                <w:sz w:val="24"/>
                <w:szCs w:val="24"/>
              </w:rPr>
              <w:t>$</w:t>
            </w:r>
            <w:r w:rsidR="00717F5B">
              <w:rPr>
                <w:rFonts w:ascii="Times New Roman" w:hAnsi="Times New Roman" w:cs="Times New Roman"/>
                <w:sz w:val="24"/>
                <w:szCs w:val="24"/>
              </w:rPr>
              <w:t>79</w:t>
            </w:r>
            <w:r w:rsidRPr="001C34C8">
              <w:rPr>
                <w:rFonts w:ascii="Times New Roman" w:hAnsi="Times New Roman" w:cs="Times New Roman"/>
                <w:sz w:val="24"/>
                <w:szCs w:val="24"/>
              </w:rPr>
              <w:t>,72</w:t>
            </w:r>
            <w:r w:rsidR="00717F5B">
              <w:rPr>
                <w:rFonts w:ascii="Times New Roman" w:hAnsi="Times New Roman" w:cs="Times New Roman"/>
                <w:sz w:val="24"/>
                <w:szCs w:val="24"/>
              </w:rPr>
              <w:t>0</w:t>
            </w:r>
            <w:r w:rsidRPr="001C34C8">
              <w:rPr>
                <w:rStyle w:val="TableText"/>
                <w:rFonts w:ascii="Times New Roman" w:hAnsi="Times New Roman" w:cs="Times New Roman"/>
                <w:sz w:val="24"/>
                <w:szCs w:val="24"/>
              </w:rPr>
              <w:t>/year ($4</w:t>
            </w:r>
            <w:r w:rsidR="00717F5B">
              <w:rPr>
                <w:rStyle w:val="TableText"/>
                <w:rFonts w:ascii="Times New Roman" w:hAnsi="Times New Roman" w:cs="Times New Roman"/>
                <w:sz w:val="24"/>
                <w:szCs w:val="24"/>
              </w:rPr>
              <w:t>5</w:t>
            </w:r>
            <w:r w:rsidRPr="001C34C8">
              <w:rPr>
                <w:rStyle w:val="TableText"/>
                <w:rFonts w:ascii="Times New Roman" w:hAnsi="Times New Roman" w:cs="Times New Roman"/>
                <w:sz w:val="24"/>
                <w:szCs w:val="24"/>
              </w:rPr>
              <w:t>.</w:t>
            </w:r>
            <w:r w:rsidR="00717F5B">
              <w:rPr>
                <w:rStyle w:val="TableText"/>
                <w:rFonts w:ascii="Times New Roman" w:hAnsi="Times New Roman" w:cs="Times New Roman"/>
                <w:sz w:val="24"/>
                <w:szCs w:val="24"/>
              </w:rPr>
              <w:t>42</w:t>
            </w:r>
            <w:r w:rsidRPr="001C34C8">
              <w:rPr>
                <w:rStyle w:val="TableText"/>
                <w:rFonts w:ascii="Times New Roman" w:hAnsi="Times New Roman" w:cs="Times New Roman"/>
                <w:sz w:val="24"/>
                <w:szCs w:val="24"/>
              </w:rPr>
              <w:t>/hour)</w:t>
            </w:r>
          </w:p>
        </w:tc>
        <w:tc>
          <w:tcPr>
            <w:tcW w:w="1638" w:type="dxa"/>
            <w:tcBorders>
              <w:bottom w:val="single" w:sz="4" w:space="0" w:color="000000"/>
            </w:tcBorders>
          </w:tcPr>
          <w:p w14:paraId="3FA43A43" w14:textId="77777777" w:rsidR="003168E1" w:rsidRPr="001C34C8" w:rsidRDefault="003168E1" w:rsidP="00717F5B">
            <w:pPr>
              <w:keepNext/>
              <w:keepLines/>
              <w:spacing w:before="60" w:after="60"/>
              <w:jc w:val="right"/>
              <w:rPr>
                <w:rFonts w:ascii="Times New Roman" w:hAnsi="Times New Roman" w:cs="Times New Roman"/>
                <w:sz w:val="24"/>
                <w:szCs w:val="24"/>
              </w:rPr>
            </w:pPr>
            <w:r w:rsidRPr="001C34C8">
              <w:rPr>
                <w:rStyle w:val="TableText"/>
                <w:rFonts w:ascii="Times New Roman" w:hAnsi="Times New Roman" w:cs="Times New Roman"/>
                <w:sz w:val="24"/>
                <w:szCs w:val="24"/>
              </w:rPr>
              <w:t>$4,</w:t>
            </w:r>
            <w:r w:rsidR="00717F5B">
              <w:rPr>
                <w:rStyle w:val="TableText"/>
                <w:rFonts w:ascii="Times New Roman" w:hAnsi="Times New Roman" w:cs="Times New Roman"/>
                <w:sz w:val="24"/>
                <w:szCs w:val="24"/>
              </w:rPr>
              <w:t>542.00</w:t>
            </w:r>
          </w:p>
        </w:tc>
      </w:tr>
      <w:tr w:rsidR="003168E1" w:rsidRPr="001C34C8" w14:paraId="12BB472B" w14:textId="77777777" w:rsidTr="003168E1">
        <w:tc>
          <w:tcPr>
            <w:tcW w:w="9682" w:type="dxa"/>
            <w:gridSpan w:val="2"/>
            <w:shd w:val="clear" w:color="auto" w:fill="C7E7CA"/>
          </w:tcPr>
          <w:p w14:paraId="5564AFDB" w14:textId="77777777" w:rsidR="003168E1" w:rsidRPr="001C34C8" w:rsidRDefault="003168E1" w:rsidP="003168E1">
            <w:pPr>
              <w:keepNext/>
              <w:keepLines/>
              <w:spacing w:before="60" w:after="60"/>
              <w:rPr>
                <w:rFonts w:ascii="Times New Roman" w:hAnsi="Times New Roman" w:cs="Times New Roman"/>
                <w:b/>
                <w:bCs/>
                <w:sz w:val="24"/>
                <w:szCs w:val="24"/>
              </w:rPr>
            </w:pPr>
            <w:r w:rsidRPr="001C34C8">
              <w:rPr>
                <w:rFonts w:ascii="Times New Roman" w:hAnsi="Times New Roman" w:cs="Times New Roman"/>
                <w:b/>
                <w:bCs/>
                <w:sz w:val="24"/>
                <w:szCs w:val="24"/>
              </w:rPr>
              <w:t>Data and Reporting System Support, Training, and Technical Assistance</w:t>
            </w:r>
          </w:p>
        </w:tc>
      </w:tr>
      <w:tr w:rsidR="003168E1" w:rsidRPr="001C34C8" w14:paraId="3487CB51" w14:textId="77777777" w:rsidTr="003168E1">
        <w:tc>
          <w:tcPr>
            <w:tcW w:w="8044" w:type="dxa"/>
          </w:tcPr>
          <w:p w14:paraId="35A5F199" w14:textId="77777777" w:rsidR="003168E1" w:rsidRPr="001C34C8" w:rsidRDefault="003168E1" w:rsidP="003168E1">
            <w:pPr>
              <w:keepNext/>
              <w:keepLines/>
              <w:spacing w:before="60" w:after="60"/>
              <w:rPr>
                <w:rFonts w:ascii="Times New Roman" w:hAnsi="Times New Roman" w:cs="Times New Roman"/>
                <w:sz w:val="24"/>
                <w:szCs w:val="24"/>
              </w:rPr>
            </w:pPr>
            <w:r w:rsidRPr="001C34C8">
              <w:rPr>
                <w:rStyle w:val="TableText"/>
                <w:rFonts w:ascii="Times New Roman" w:hAnsi="Times New Roman" w:cs="Times New Roman"/>
                <w:sz w:val="24"/>
                <w:szCs w:val="24"/>
              </w:rPr>
              <w:t>Data Support Contractor</w:t>
            </w:r>
          </w:p>
        </w:tc>
        <w:tc>
          <w:tcPr>
            <w:tcW w:w="1638" w:type="dxa"/>
          </w:tcPr>
          <w:p w14:paraId="3A323E2B" w14:textId="77777777" w:rsidR="003168E1" w:rsidRPr="001C34C8" w:rsidRDefault="003168E1" w:rsidP="007A712D">
            <w:pPr>
              <w:keepNext/>
              <w:keepLines/>
              <w:spacing w:before="60" w:after="60"/>
              <w:rPr>
                <w:rFonts w:ascii="Times New Roman" w:hAnsi="Times New Roman" w:cs="Times New Roman"/>
                <w:sz w:val="24"/>
                <w:szCs w:val="24"/>
              </w:rPr>
            </w:pPr>
          </w:p>
        </w:tc>
      </w:tr>
      <w:tr w:rsidR="007A712D" w:rsidRPr="001C34C8" w14:paraId="1648D248" w14:textId="77777777" w:rsidTr="003168E1">
        <w:tc>
          <w:tcPr>
            <w:tcW w:w="8044" w:type="dxa"/>
          </w:tcPr>
          <w:p w14:paraId="588FB824" w14:textId="77777777" w:rsidR="007A712D" w:rsidRPr="001C34C8" w:rsidRDefault="007A712D" w:rsidP="007A712D">
            <w:pPr>
              <w:keepNext/>
              <w:keepLines/>
              <w:spacing w:before="60" w:after="60"/>
              <w:ind w:left="720"/>
              <w:rPr>
                <w:rStyle w:val="TableText"/>
                <w:rFonts w:ascii="Times New Roman" w:hAnsi="Times New Roman" w:cs="Times New Roman"/>
                <w:sz w:val="24"/>
                <w:szCs w:val="24"/>
              </w:rPr>
            </w:pPr>
            <w:r>
              <w:rPr>
                <w:rStyle w:val="TableText"/>
                <w:rFonts w:ascii="Times New Roman" w:hAnsi="Times New Roman" w:cs="Times New Roman"/>
                <w:sz w:val="24"/>
                <w:szCs w:val="24"/>
              </w:rPr>
              <w:t>Materials Development and Webinars</w:t>
            </w:r>
          </w:p>
        </w:tc>
        <w:tc>
          <w:tcPr>
            <w:tcW w:w="1638" w:type="dxa"/>
          </w:tcPr>
          <w:p w14:paraId="1C98357E" w14:textId="77777777" w:rsidR="007A712D" w:rsidRPr="001C34C8" w:rsidRDefault="007A712D" w:rsidP="007A712D">
            <w:pPr>
              <w:keepNext/>
              <w:keepLines/>
              <w:spacing w:before="60" w:after="60"/>
              <w:jc w:val="right"/>
              <w:rPr>
                <w:rStyle w:val="TableText"/>
                <w:rFonts w:ascii="Times New Roman" w:hAnsi="Times New Roman" w:cs="Times New Roman"/>
                <w:sz w:val="24"/>
                <w:szCs w:val="24"/>
              </w:rPr>
            </w:pPr>
            <w:r>
              <w:rPr>
                <w:rStyle w:val="TableText"/>
                <w:rFonts w:ascii="Times New Roman" w:hAnsi="Times New Roman" w:cs="Times New Roman"/>
                <w:sz w:val="24"/>
                <w:szCs w:val="24"/>
              </w:rPr>
              <w:t>71,051.20</w:t>
            </w:r>
          </w:p>
        </w:tc>
      </w:tr>
      <w:tr w:rsidR="007A712D" w:rsidRPr="001C34C8" w14:paraId="14EED01C" w14:textId="77777777" w:rsidTr="003168E1">
        <w:tc>
          <w:tcPr>
            <w:tcW w:w="8044" w:type="dxa"/>
          </w:tcPr>
          <w:p w14:paraId="02B7CDC8" w14:textId="77777777" w:rsidR="007A712D" w:rsidRPr="001C34C8" w:rsidRDefault="007A712D" w:rsidP="007A712D">
            <w:pPr>
              <w:keepNext/>
              <w:keepLines/>
              <w:spacing w:before="60" w:after="60"/>
              <w:ind w:left="720"/>
              <w:rPr>
                <w:rStyle w:val="TableText"/>
                <w:rFonts w:ascii="Times New Roman" w:hAnsi="Times New Roman" w:cs="Times New Roman"/>
                <w:sz w:val="24"/>
                <w:szCs w:val="24"/>
              </w:rPr>
            </w:pPr>
            <w:r>
              <w:rPr>
                <w:rStyle w:val="TableText"/>
                <w:rFonts w:ascii="Times New Roman" w:hAnsi="Times New Roman" w:cs="Times New Roman"/>
                <w:sz w:val="24"/>
                <w:szCs w:val="24"/>
              </w:rPr>
              <w:t>Data Support Helpline</w:t>
            </w:r>
          </w:p>
        </w:tc>
        <w:tc>
          <w:tcPr>
            <w:tcW w:w="1638" w:type="dxa"/>
          </w:tcPr>
          <w:p w14:paraId="605E18EB" w14:textId="77777777" w:rsidR="007A712D" w:rsidRPr="001C34C8" w:rsidRDefault="007A712D" w:rsidP="007A712D">
            <w:pPr>
              <w:keepNext/>
              <w:keepLines/>
              <w:spacing w:before="60" w:after="60"/>
              <w:jc w:val="right"/>
              <w:rPr>
                <w:rStyle w:val="TableText"/>
                <w:rFonts w:ascii="Times New Roman" w:hAnsi="Times New Roman" w:cs="Times New Roman"/>
                <w:sz w:val="24"/>
                <w:szCs w:val="24"/>
              </w:rPr>
            </w:pPr>
            <w:r>
              <w:rPr>
                <w:rStyle w:val="TableText"/>
                <w:rFonts w:ascii="Times New Roman" w:hAnsi="Times New Roman" w:cs="Times New Roman"/>
                <w:sz w:val="24"/>
                <w:szCs w:val="24"/>
              </w:rPr>
              <w:t>106,576.80</w:t>
            </w:r>
          </w:p>
        </w:tc>
      </w:tr>
      <w:tr w:rsidR="007A712D" w:rsidRPr="001C34C8" w14:paraId="497D0E7D" w14:textId="77777777" w:rsidTr="003168E1">
        <w:tc>
          <w:tcPr>
            <w:tcW w:w="8044" w:type="dxa"/>
            <w:shd w:val="clear" w:color="auto" w:fill="D9D9D9"/>
          </w:tcPr>
          <w:p w14:paraId="49E92013" w14:textId="77777777" w:rsidR="007A712D" w:rsidRPr="001C34C8" w:rsidRDefault="007A712D" w:rsidP="007A712D">
            <w:pPr>
              <w:keepNext/>
              <w:keepLines/>
              <w:spacing w:before="60" w:after="60"/>
              <w:rPr>
                <w:rFonts w:ascii="Times New Roman" w:hAnsi="Times New Roman" w:cs="Times New Roman"/>
                <w:b/>
                <w:sz w:val="24"/>
                <w:szCs w:val="24"/>
              </w:rPr>
            </w:pPr>
            <w:r w:rsidRPr="001C34C8">
              <w:rPr>
                <w:rStyle w:val="TableText"/>
                <w:rFonts w:ascii="Times New Roman" w:hAnsi="Times New Roman" w:cs="Times New Roman"/>
                <w:b/>
                <w:sz w:val="24"/>
                <w:szCs w:val="24"/>
              </w:rPr>
              <w:t xml:space="preserve">Total Estimated Annual Cost </w:t>
            </w:r>
          </w:p>
        </w:tc>
        <w:tc>
          <w:tcPr>
            <w:tcW w:w="1638" w:type="dxa"/>
            <w:shd w:val="clear" w:color="auto" w:fill="D9D9D9"/>
          </w:tcPr>
          <w:p w14:paraId="0F805657" w14:textId="19DCA81A" w:rsidR="007A712D" w:rsidRPr="001C34C8" w:rsidRDefault="007A712D" w:rsidP="007A712D">
            <w:pPr>
              <w:keepNext/>
              <w:keepLines/>
              <w:spacing w:before="60" w:after="60"/>
              <w:jc w:val="right"/>
              <w:rPr>
                <w:rFonts w:ascii="Times New Roman" w:hAnsi="Times New Roman" w:cs="Times New Roman"/>
                <w:sz w:val="24"/>
                <w:szCs w:val="24"/>
                <w:highlight w:val="yellow"/>
              </w:rPr>
            </w:pPr>
            <w:r w:rsidRPr="001C34C8">
              <w:rPr>
                <w:rStyle w:val="TableText"/>
                <w:rFonts w:ascii="Times New Roman" w:hAnsi="Times New Roman" w:cs="Times New Roman"/>
                <w:sz w:val="24"/>
                <w:szCs w:val="24"/>
              </w:rPr>
              <w:t>$</w:t>
            </w:r>
            <w:r w:rsidR="00717F5B" w:rsidRPr="00717F5B">
              <w:rPr>
                <w:rStyle w:val="TableText"/>
                <w:rFonts w:ascii="Times New Roman" w:hAnsi="Times New Roman" w:cs="Times New Roman"/>
                <w:sz w:val="24"/>
                <w:szCs w:val="24"/>
              </w:rPr>
              <w:t>211</w:t>
            </w:r>
            <w:r w:rsidR="00717F5B">
              <w:rPr>
                <w:rStyle w:val="TableText"/>
                <w:rFonts w:ascii="Times New Roman" w:hAnsi="Times New Roman" w:cs="Times New Roman"/>
                <w:sz w:val="24"/>
                <w:szCs w:val="24"/>
              </w:rPr>
              <w:t>,</w:t>
            </w:r>
            <w:r w:rsidR="00717F5B" w:rsidRPr="00717F5B">
              <w:rPr>
                <w:rStyle w:val="TableText"/>
                <w:rFonts w:ascii="Times New Roman" w:hAnsi="Times New Roman" w:cs="Times New Roman"/>
                <w:sz w:val="24"/>
                <w:szCs w:val="24"/>
              </w:rPr>
              <w:t>942.8</w:t>
            </w:r>
            <w:r w:rsidR="006E5513">
              <w:rPr>
                <w:rStyle w:val="TableText"/>
                <w:rFonts w:ascii="Times New Roman" w:hAnsi="Times New Roman" w:cs="Times New Roman"/>
                <w:sz w:val="24"/>
                <w:szCs w:val="24"/>
              </w:rPr>
              <w:t>0</w:t>
            </w:r>
          </w:p>
        </w:tc>
      </w:tr>
    </w:tbl>
    <w:p w14:paraId="1D3C530C" w14:textId="77777777" w:rsidR="003168E1" w:rsidRPr="003168E1" w:rsidRDefault="003168E1" w:rsidP="001D2D71">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0"/>
        <w:rPr>
          <w:rFonts w:ascii="Times New Roman" w:hAnsi="Times New Roman" w:cs="Times New Roman"/>
          <w:sz w:val="24"/>
          <w:szCs w:val="24"/>
        </w:rPr>
      </w:pPr>
    </w:p>
    <w:p w14:paraId="2E4AAF87" w14:textId="77777777" w:rsidR="006466A6" w:rsidRPr="00FE152D" w:rsidRDefault="006466A6" w:rsidP="00D71778">
      <w:pPr>
        <w:pStyle w:val="ColorfulList-Accent11"/>
        <w:numPr>
          <w:ilvl w:val="0"/>
          <w:numId w:val="3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285"/>
        <w:rPr>
          <w:rFonts w:ascii="Times New Roman" w:hAnsi="Times New Roman" w:cs="Times New Roman"/>
          <w:sz w:val="24"/>
          <w:szCs w:val="24"/>
        </w:rPr>
      </w:pPr>
      <w:r w:rsidRPr="00FE152D">
        <w:rPr>
          <w:rFonts w:ascii="Times New Roman" w:hAnsi="Times New Roman" w:cs="Times New Roman"/>
          <w:sz w:val="24"/>
          <w:szCs w:val="24"/>
          <w:u w:val="single"/>
        </w:rPr>
        <w:t>Explanation for Program Changes and Adjustments</w:t>
      </w:r>
    </w:p>
    <w:p w14:paraId="023CA26B" w14:textId="12CCD60B" w:rsidR="00FE152D" w:rsidRPr="00FE152D" w:rsidRDefault="0070271F" w:rsidP="001D2D71">
      <w:pPr>
        <w:pStyle w:val="ColorfulList-Accent11"/>
        <w:tabs>
          <w:tab w:val="left" w:pos="288"/>
          <w:tab w:val="left" w:pos="720"/>
          <w:tab w:val="left" w:pos="1058"/>
          <w:tab w:val="left" w:pos="1814"/>
          <w:tab w:val="left" w:pos="2494"/>
          <w:tab w:val="left" w:pos="3132"/>
          <w:tab w:val="left" w:pos="4006"/>
          <w:tab w:val="left" w:pos="4687"/>
          <w:tab w:val="left" w:pos="5443"/>
        </w:tabs>
        <w:ind w:left="0"/>
        <w:rPr>
          <w:rFonts w:ascii="Times New Roman" w:hAnsi="Times New Roman" w:cs="Times New Roman"/>
          <w:sz w:val="24"/>
          <w:szCs w:val="24"/>
        </w:rPr>
      </w:pPr>
      <w:r>
        <w:rPr>
          <w:rFonts w:ascii="Times New Roman" w:hAnsi="Times New Roman" w:cs="Times New Roman"/>
          <w:sz w:val="24"/>
          <w:szCs w:val="24"/>
        </w:rPr>
        <w:t xml:space="preserve">The burden </w:t>
      </w:r>
      <w:r w:rsidR="006E5513">
        <w:rPr>
          <w:rFonts w:ascii="Times New Roman" w:hAnsi="Times New Roman" w:cs="Times New Roman"/>
          <w:sz w:val="24"/>
          <w:szCs w:val="24"/>
        </w:rPr>
        <w:t xml:space="preserve">for this extension </w:t>
      </w:r>
      <w:r>
        <w:rPr>
          <w:rFonts w:ascii="Times New Roman" w:hAnsi="Times New Roman" w:cs="Times New Roman"/>
          <w:sz w:val="24"/>
          <w:szCs w:val="24"/>
        </w:rPr>
        <w:t>has not changed from the burden shown in the current inventory.</w:t>
      </w:r>
      <w:r w:rsidR="006E5513" w:rsidRPr="006E5513">
        <w:rPr>
          <w:rFonts w:ascii="Times New Roman" w:hAnsi="Times New Roman" w:cs="Times New Roman"/>
          <w:sz w:val="24"/>
          <w:szCs w:val="24"/>
        </w:rPr>
        <w:t xml:space="preserve"> </w:t>
      </w:r>
      <w:r w:rsidR="006E5513">
        <w:rPr>
          <w:rFonts w:ascii="Times New Roman" w:hAnsi="Times New Roman" w:cs="Times New Roman"/>
          <w:sz w:val="24"/>
          <w:szCs w:val="24"/>
        </w:rPr>
        <w:t>However, this package will contain minor revisions to data elements within the Client-level variables. Specifically, changes to variable IDs 6 (“Gender”) and 7 (“Transgender”) will include the following changes: the d</w:t>
      </w:r>
      <w:r w:rsidR="006E5513" w:rsidRPr="00E647C2">
        <w:rPr>
          <w:rFonts w:ascii="Times New Roman" w:hAnsi="Times New Roman" w:cs="Times New Roman"/>
          <w:sz w:val="24"/>
          <w:szCs w:val="24"/>
        </w:rPr>
        <w:t>eletion of variable ID 7, “Transgender”</w:t>
      </w:r>
      <w:r w:rsidR="006E5513">
        <w:rPr>
          <w:rFonts w:ascii="Times New Roman" w:hAnsi="Times New Roman" w:cs="Times New Roman"/>
          <w:sz w:val="24"/>
          <w:szCs w:val="24"/>
        </w:rPr>
        <w:t>; the a</w:t>
      </w:r>
      <w:r w:rsidR="006E5513" w:rsidRPr="00E647C2">
        <w:rPr>
          <w:rFonts w:ascii="Times New Roman" w:hAnsi="Times New Roman" w:cs="Times New Roman"/>
          <w:sz w:val="24"/>
          <w:szCs w:val="24"/>
        </w:rPr>
        <w:t>ddition of “Transgender Male to Female”, “Transgender Female to Male”, and “Transgender Other” as response options for variable ID 6, “Gender”</w:t>
      </w:r>
      <w:r w:rsidR="006E5513">
        <w:rPr>
          <w:rFonts w:ascii="Times New Roman" w:hAnsi="Times New Roman" w:cs="Times New Roman"/>
          <w:sz w:val="24"/>
          <w:szCs w:val="24"/>
        </w:rPr>
        <w:t>; and the d</w:t>
      </w:r>
      <w:r w:rsidR="006E5513" w:rsidRPr="00E647C2">
        <w:rPr>
          <w:rFonts w:ascii="Times New Roman" w:hAnsi="Times New Roman" w:cs="Times New Roman"/>
          <w:sz w:val="24"/>
          <w:szCs w:val="24"/>
        </w:rPr>
        <w:t>eletion of “Unknown” as a response option for variable ID 6, “Gender”.</w:t>
      </w:r>
      <w:r w:rsidR="006E5513">
        <w:rPr>
          <w:rFonts w:ascii="Times New Roman" w:hAnsi="Times New Roman" w:cs="Times New Roman"/>
          <w:sz w:val="24"/>
          <w:szCs w:val="24"/>
        </w:rPr>
        <w:t xml:space="preserve"> These modifications will allow HRSA to align its data collection efforts across all of its reports. </w:t>
      </w:r>
    </w:p>
    <w:p w14:paraId="6B2F8436" w14:textId="77777777" w:rsidR="006466A6" w:rsidRPr="006466A6" w:rsidRDefault="006466A6" w:rsidP="00D71778">
      <w:pPr>
        <w:pStyle w:val="ColorfulList-Accent11"/>
        <w:numPr>
          <w:ilvl w:val="0"/>
          <w:numId w:val="3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288"/>
        <w:rPr>
          <w:rFonts w:ascii="Times New Roman" w:hAnsi="Times New Roman" w:cs="Times New Roman"/>
          <w:sz w:val="24"/>
          <w:szCs w:val="24"/>
        </w:rPr>
      </w:pPr>
      <w:r w:rsidRPr="006466A6">
        <w:rPr>
          <w:rFonts w:ascii="Times New Roman" w:hAnsi="Times New Roman" w:cs="Times New Roman"/>
          <w:sz w:val="24"/>
          <w:szCs w:val="24"/>
          <w:u w:val="single"/>
        </w:rPr>
        <w:t xml:space="preserve">Plans for Tabulation, Publication, and Project Time Schedule </w:t>
      </w:r>
    </w:p>
    <w:p w14:paraId="6FC0FA71" w14:textId="77777777" w:rsidR="001F2AB2" w:rsidRDefault="00F90C16" w:rsidP="00F90C1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rFonts w:ascii="Times New Roman" w:hAnsi="Times New Roman" w:cs="Times New Roman"/>
          <w:strike/>
          <w:sz w:val="24"/>
          <w:szCs w:val="24"/>
        </w:rPr>
      </w:pPr>
      <w:r w:rsidRPr="00F90C16">
        <w:rPr>
          <w:rStyle w:val="BodyTextFi"/>
          <w:rFonts w:ascii="Times New Roman" w:hAnsi="Times New Roman" w:cs="Times New Roman"/>
          <w:sz w:val="24"/>
          <w:szCs w:val="24"/>
        </w:rPr>
        <w:t xml:space="preserve">There are two different reporting periods for the ADR. The Grantee Report is based on the grant year reporting period and the Client Report is based on the calendar year reporting period. The ADR is submitted in June. </w:t>
      </w:r>
    </w:p>
    <w:p w14:paraId="4B084B4A" w14:textId="77777777" w:rsidR="00D71778" w:rsidRPr="001C34C8" w:rsidRDefault="006466A6" w:rsidP="00D71778">
      <w:pPr>
        <w:pStyle w:val="ColorfulList-Accent11"/>
        <w:numPr>
          <w:ilvl w:val="0"/>
          <w:numId w:val="3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Pr>
          <w:rFonts w:ascii="Times New Roman" w:hAnsi="Times New Roman" w:cs="Times New Roman"/>
          <w:sz w:val="24"/>
          <w:szCs w:val="24"/>
          <w:u w:val="single"/>
        </w:rPr>
        <w:t>Reason(s) Display of OMB Expiration Date is Inappropriate</w:t>
      </w:r>
    </w:p>
    <w:p w14:paraId="183D3A70" w14:textId="77777777" w:rsidR="00D71778" w:rsidRDefault="00F90C16" w:rsidP="00D71778">
      <w:pPr>
        <w:pStyle w:val="ColorfulList-Accent11"/>
        <w:ind w:left="288"/>
        <w:outlineLvl w:val="0"/>
        <w:rPr>
          <w:rStyle w:val="BodyTextFi"/>
          <w:rFonts w:ascii="Times New Roman" w:hAnsi="Times New Roman" w:cs="Times New Roman"/>
          <w:sz w:val="24"/>
          <w:szCs w:val="24"/>
        </w:rPr>
      </w:pPr>
      <w:r>
        <w:rPr>
          <w:rStyle w:val="BodyTextFi"/>
          <w:rFonts w:ascii="Times New Roman" w:hAnsi="Times New Roman" w:cs="Times New Roman"/>
          <w:sz w:val="24"/>
          <w:szCs w:val="24"/>
        </w:rPr>
        <w:t>The expiration date will be displayed appropriately.</w:t>
      </w:r>
    </w:p>
    <w:p w14:paraId="7FF7AB62" w14:textId="77777777" w:rsidR="00F90C16" w:rsidRPr="00F90C16" w:rsidRDefault="006466A6" w:rsidP="00F90C16">
      <w:pPr>
        <w:pStyle w:val="ColorfulList-Accent11"/>
        <w:numPr>
          <w:ilvl w:val="0"/>
          <w:numId w:val="30"/>
        </w:numPr>
        <w:outlineLvl w:val="0"/>
        <w:rPr>
          <w:rStyle w:val="BodyTextFi"/>
          <w:rFonts w:ascii="Times New Roman" w:hAnsi="Times New Roman" w:cs="Times New Roman"/>
          <w:sz w:val="24"/>
          <w:szCs w:val="24"/>
          <w:u w:val="single"/>
        </w:rPr>
      </w:pPr>
      <w:r w:rsidRPr="00F90C16">
        <w:rPr>
          <w:rStyle w:val="BodyTextFi"/>
          <w:rFonts w:ascii="Times New Roman" w:hAnsi="Times New Roman" w:cs="Times New Roman"/>
          <w:sz w:val="24"/>
          <w:szCs w:val="24"/>
          <w:u w:val="single"/>
        </w:rPr>
        <w:t>Exceptions to Certification</w:t>
      </w:r>
      <w:r w:rsidR="00F90C16" w:rsidRPr="00F90C16">
        <w:rPr>
          <w:rStyle w:val="BodyTextFi"/>
          <w:rFonts w:ascii="Times New Roman" w:hAnsi="Times New Roman" w:cs="Times New Roman"/>
          <w:sz w:val="24"/>
          <w:szCs w:val="24"/>
          <w:u w:val="single"/>
        </w:rPr>
        <w:t>s</w:t>
      </w:r>
      <w:r w:rsidRPr="00F90C16">
        <w:rPr>
          <w:rStyle w:val="BodyTextFi"/>
          <w:rFonts w:ascii="Times New Roman" w:hAnsi="Times New Roman" w:cs="Times New Roman"/>
          <w:sz w:val="24"/>
          <w:szCs w:val="24"/>
          <w:u w:val="single"/>
        </w:rPr>
        <w:t xml:space="preserve"> for Paperwork Reduction Act Submissions</w:t>
      </w:r>
    </w:p>
    <w:p w14:paraId="5B76C07E" w14:textId="77777777" w:rsidR="00F90C16" w:rsidRPr="00F90C16" w:rsidRDefault="00F90C16" w:rsidP="00F90C16">
      <w:pPr>
        <w:pStyle w:val="ColorfulList-Accent11"/>
        <w:ind w:left="435"/>
        <w:outlineLvl w:val="0"/>
        <w:rPr>
          <w:rStyle w:val="BodyTextFi"/>
          <w:rFonts w:ascii="Times New Roman" w:hAnsi="Times New Roman" w:cs="Times New Roman"/>
          <w:sz w:val="24"/>
          <w:szCs w:val="24"/>
          <w:u w:val="single"/>
        </w:rPr>
      </w:pPr>
      <w:r w:rsidRPr="00F90C16">
        <w:rPr>
          <w:rStyle w:val="BodyTextFi"/>
          <w:rFonts w:ascii="Times New Roman" w:hAnsi="Times New Roman" w:cs="Times New Roman"/>
          <w:sz w:val="24"/>
          <w:szCs w:val="24"/>
        </w:rPr>
        <w:t>This information collection fully complies with the guidelines in 5 CFR 1320.9. The necessary certifications are included in the package</w:t>
      </w:r>
    </w:p>
    <w:p w14:paraId="75C37F35" w14:textId="77777777" w:rsidR="007465ED" w:rsidRPr="001C34C8" w:rsidRDefault="007465ED" w:rsidP="007465ED">
      <w:pPr>
        <w:pStyle w:val="ColorfulList-Accent11"/>
        <w:ind w:left="435"/>
        <w:outlineLvl w:val="0"/>
        <w:rPr>
          <w:rFonts w:ascii="Times New Roman" w:hAnsi="Times New Roman" w:cs="Times New Roman"/>
          <w:sz w:val="24"/>
          <w:szCs w:val="24"/>
        </w:rPr>
      </w:pPr>
    </w:p>
    <w:p w14:paraId="67F4017F" w14:textId="77777777" w:rsidR="00D71778" w:rsidRPr="001C34C8" w:rsidRDefault="00D71778" w:rsidP="00D71778">
      <w:pPr>
        <w:pStyle w:val="ColorfulList-Accent11"/>
        <w:ind w:left="288"/>
        <w:outlineLvl w:val="0"/>
        <w:rPr>
          <w:rFonts w:ascii="Times New Roman" w:hAnsi="Times New Roman" w:cs="Times New Roman"/>
          <w:b/>
          <w:bCs/>
          <w:sz w:val="24"/>
          <w:szCs w:val="24"/>
        </w:rPr>
      </w:pPr>
    </w:p>
    <w:sectPr w:rsidR="00D71778" w:rsidRPr="001C34C8" w:rsidSect="00D7177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6C236" w14:textId="77777777" w:rsidR="00305913" w:rsidRDefault="00305913">
      <w:r>
        <w:separator/>
      </w:r>
    </w:p>
  </w:endnote>
  <w:endnote w:type="continuationSeparator" w:id="0">
    <w:p w14:paraId="1C77DDE8" w14:textId="77777777" w:rsidR="00305913" w:rsidRDefault="00305913">
      <w:r>
        <w:continuationSeparator/>
      </w:r>
    </w:p>
  </w:endnote>
  <w:endnote w:id="1">
    <w:p w14:paraId="5DD742D7" w14:textId="77777777" w:rsidR="00D0145E" w:rsidRDefault="00D0145E">
      <w:pPr>
        <w:pStyle w:val="EndnoteText"/>
      </w:pPr>
      <w:r>
        <w:rPr>
          <w:rStyle w:val="EndnoteReference"/>
        </w:rPr>
        <w:endnoteRef/>
      </w:r>
      <w:r>
        <w:t xml:space="preserve"> Based on 2017 OPM Pay Schedule for Washington D.C. Metro area, </w:t>
      </w:r>
      <w:hyperlink r:id="rId1" w:history="1">
        <w:r w:rsidRPr="00015173">
          <w:rPr>
            <w:rStyle w:val="Hyperlink"/>
          </w:rPr>
          <w:t>https://www.opm.gov/policy-data-oversight/pay-leave/salaries-wages/salary-tables/pdf/2017/DCB.pdf</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1C34D" w14:textId="6CC3FCCB" w:rsidR="00CE30F7" w:rsidRDefault="00CE30F7" w:rsidP="00D7177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13B0">
      <w:rPr>
        <w:rStyle w:val="PageNumber"/>
        <w:noProof/>
      </w:rPr>
      <w:t>1</w:t>
    </w:r>
    <w:r>
      <w:rPr>
        <w:rStyle w:val="PageNumber"/>
      </w:rPr>
      <w:fldChar w:fldCharType="end"/>
    </w:r>
  </w:p>
  <w:p w14:paraId="211E2F6D" w14:textId="77777777" w:rsidR="00CE30F7" w:rsidRDefault="00CE30F7" w:rsidP="00D717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A678E" w14:textId="77777777" w:rsidR="00305913" w:rsidRDefault="00305913">
      <w:r>
        <w:separator/>
      </w:r>
    </w:p>
  </w:footnote>
  <w:footnote w:type="continuationSeparator" w:id="0">
    <w:p w14:paraId="44511A25" w14:textId="77777777" w:rsidR="00305913" w:rsidRDefault="00305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F89"/>
    <w:multiLevelType w:val="hybridMultilevel"/>
    <w:tmpl w:val="5178D6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324FA7"/>
    <w:multiLevelType w:val="hybridMultilevel"/>
    <w:tmpl w:val="F028B142"/>
    <w:lvl w:ilvl="0" w:tplc="CF58F22E">
      <w:start w:val="1"/>
      <w:numFmt w:val="decimal"/>
      <w:lvlText w:val="%1."/>
      <w:lvlJc w:val="left"/>
      <w:pPr>
        <w:ind w:left="720" w:hanging="435"/>
      </w:pPr>
      <w:rPr>
        <w:rFonts w:hint="default"/>
        <w:b w:val="0"/>
      </w:r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2">
    <w:nsid w:val="0FEC7676"/>
    <w:multiLevelType w:val="multilevel"/>
    <w:tmpl w:val="86BC5BC2"/>
    <w:lvl w:ilvl="0">
      <w:start w:val="1"/>
      <w:numFmt w:val="decimal"/>
      <w:lvlText w:val="%1."/>
      <w:lvlJc w:val="left"/>
      <w:pPr>
        <w:ind w:left="435" w:hanging="435"/>
      </w:pPr>
      <w:rPr>
        <w:rFonts w:hint="default"/>
        <w:b w:val="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nsid w:val="14680574"/>
    <w:multiLevelType w:val="hybridMultilevel"/>
    <w:tmpl w:val="C9F2C06E"/>
    <w:lvl w:ilvl="0" w:tplc="04090001">
      <w:start w:val="1"/>
      <w:numFmt w:val="bullet"/>
      <w:lvlText w:val=""/>
      <w:lvlJc w:val="left"/>
      <w:pPr>
        <w:ind w:left="1080" w:hanging="360"/>
      </w:pPr>
      <w:rPr>
        <w:rFonts w:ascii="Symbol" w:hAnsi="Symbol" w:cs="Cambria"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Cambria"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Cambria"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6877CFE"/>
    <w:multiLevelType w:val="hybridMultilevel"/>
    <w:tmpl w:val="C99C1A04"/>
    <w:lvl w:ilvl="0" w:tplc="67D03016">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5">
    <w:nsid w:val="1A0B5512"/>
    <w:multiLevelType w:val="hybridMultilevel"/>
    <w:tmpl w:val="5080A5A4"/>
    <w:lvl w:ilvl="0" w:tplc="8E0835B2">
      <w:start w:val="1"/>
      <w:numFmt w:val="decimal"/>
      <w:lvlText w:val="%1."/>
      <w:lvlJc w:val="left"/>
      <w:pPr>
        <w:ind w:left="720" w:hanging="360"/>
      </w:pPr>
      <w:rPr>
        <w:rFonts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E5556"/>
    <w:multiLevelType w:val="hybridMultilevel"/>
    <w:tmpl w:val="2AC88274"/>
    <w:lvl w:ilvl="0" w:tplc="3C2A7B70">
      <w:start w:val="1"/>
      <w:numFmt w:val="bullet"/>
      <w:lvlText w:val=""/>
      <w:lvlJc w:val="left"/>
      <w:pPr>
        <w:ind w:left="-2016" w:hanging="360"/>
      </w:pPr>
      <w:rPr>
        <w:rFonts w:ascii="Symbol" w:hAnsi="Symbol" w:cs="Cambria" w:hint="default"/>
        <w:sz w:val="24"/>
        <w:szCs w:val="24"/>
      </w:rPr>
    </w:lvl>
    <w:lvl w:ilvl="1" w:tplc="04090003">
      <w:start w:val="1"/>
      <w:numFmt w:val="bullet"/>
      <w:lvlText w:val="o"/>
      <w:lvlJc w:val="left"/>
      <w:pPr>
        <w:ind w:left="-1296" w:hanging="360"/>
      </w:pPr>
      <w:rPr>
        <w:rFonts w:ascii="Courier New" w:hAnsi="Courier New" w:cs="Symbol" w:hint="default"/>
      </w:rPr>
    </w:lvl>
    <w:lvl w:ilvl="2" w:tplc="04090005">
      <w:start w:val="1"/>
      <w:numFmt w:val="bullet"/>
      <w:lvlText w:val=""/>
      <w:lvlJc w:val="left"/>
      <w:pPr>
        <w:ind w:hanging="360"/>
      </w:pPr>
      <w:rPr>
        <w:rFonts w:ascii="Wingdings" w:hAnsi="Wingdings" w:cs="Wingdings" w:hint="default"/>
      </w:rPr>
    </w:lvl>
    <w:lvl w:ilvl="3" w:tplc="04090001">
      <w:start w:val="1"/>
      <w:numFmt w:val="bullet"/>
      <w:lvlText w:val=""/>
      <w:lvlJc w:val="left"/>
      <w:pPr>
        <w:ind w:left="144" w:hanging="360"/>
      </w:pPr>
      <w:rPr>
        <w:rFonts w:ascii="Symbol" w:hAnsi="Symbol" w:cs="Cambria" w:hint="default"/>
      </w:rPr>
    </w:lvl>
    <w:lvl w:ilvl="4" w:tplc="04090003">
      <w:start w:val="1"/>
      <w:numFmt w:val="bullet"/>
      <w:lvlText w:val="o"/>
      <w:lvlJc w:val="left"/>
      <w:pPr>
        <w:ind w:left="864" w:hanging="360"/>
      </w:pPr>
      <w:rPr>
        <w:rFonts w:ascii="Courier New" w:hAnsi="Courier New" w:cs="Symbol" w:hint="default"/>
      </w:rPr>
    </w:lvl>
    <w:lvl w:ilvl="5" w:tplc="04090005">
      <w:start w:val="1"/>
      <w:numFmt w:val="bullet"/>
      <w:lvlText w:val=""/>
      <w:lvlJc w:val="left"/>
      <w:pPr>
        <w:ind w:left="1584" w:hanging="360"/>
      </w:pPr>
      <w:rPr>
        <w:rFonts w:ascii="Wingdings" w:hAnsi="Wingdings" w:cs="Wingdings" w:hint="default"/>
      </w:rPr>
    </w:lvl>
    <w:lvl w:ilvl="6" w:tplc="04090001">
      <w:start w:val="1"/>
      <w:numFmt w:val="bullet"/>
      <w:lvlText w:val=""/>
      <w:lvlJc w:val="left"/>
      <w:pPr>
        <w:ind w:left="2304" w:hanging="360"/>
      </w:pPr>
      <w:rPr>
        <w:rFonts w:ascii="Symbol" w:hAnsi="Symbol" w:cs="Cambria" w:hint="default"/>
      </w:rPr>
    </w:lvl>
    <w:lvl w:ilvl="7" w:tplc="04090003">
      <w:start w:val="1"/>
      <w:numFmt w:val="bullet"/>
      <w:lvlText w:val="o"/>
      <w:lvlJc w:val="left"/>
      <w:pPr>
        <w:ind w:left="3024" w:hanging="360"/>
      </w:pPr>
      <w:rPr>
        <w:rFonts w:ascii="Courier New" w:hAnsi="Courier New" w:cs="Symbol" w:hint="default"/>
      </w:rPr>
    </w:lvl>
    <w:lvl w:ilvl="8" w:tplc="04090005">
      <w:start w:val="1"/>
      <w:numFmt w:val="bullet"/>
      <w:lvlText w:val=""/>
      <w:lvlJc w:val="left"/>
      <w:pPr>
        <w:ind w:left="3744" w:hanging="360"/>
      </w:pPr>
      <w:rPr>
        <w:rFonts w:ascii="Wingdings" w:hAnsi="Wingdings" w:cs="Wingdings" w:hint="default"/>
      </w:rPr>
    </w:lvl>
  </w:abstractNum>
  <w:abstractNum w:abstractNumId="7">
    <w:nsid w:val="22DD3B5B"/>
    <w:multiLevelType w:val="hybridMultilevel"/>
    <w:tmpl w:val="51220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B05E5"/>
    <w:multiLevelType w:val="hybridMultilevel"/>
    <w:tmpl w:val="7EA02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C5A02"/>
    <w:multiLevelType w:val="hybridMultilevel"/>
    <w:tmpl w:val="18E43500"/>
    <w:lvl w:ilvl="0" w:tplc="04090001">
      <w:start w:val="1"/>
      <w:numFmt w:val="bullet"/>
      <w:lvlText w:val=""/>
      <w:lvlJc w:val="left"/>
      <w:pPr>
        <w:tabs>
          <w:tab w:val="num" w:pos="720"/>
        </w:tabs>
        <w:ind w:left="720" w:hanging="360"/>
      </w:pPr>
      <w:rPr>
        <w:rFonts w:ascii="Symbol" w:hAnsi="Symbol" w:cs="Cambria"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4460CF7"/>
    <w:multiLevelType w:val="hybridMultilevel"/>
    <w:tmpl w:val="CAD017CC"/>
    <w:lvl w:ilvl="0" w:tplc="04090001">
      <w:start w:val="1"/>
      <w:numFmt w:val="bullet"/>
      <w:lvlText w:val=""/>
      <w:lvlJc w:val="left"/>
      <w:pPr>
        <w:tabs>
          <w:tab w:val="num" w:pos="720"/>
        </w:tabs>
        <w:ind w:left="720" w:hanging="360"/>
      </w:pPr>
      <w:rPr>
        <w:rFonts w:ascii="Symbol" w:hAnsi="Symbol" w:cs="Cambria"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55700F1"/>
    <w:multiLevelType w:val="hybridMultilevel"/>
    <w:tmpl w:val="9BA4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E24703"/>
    <w:multiLevelType w:val="hybridMultilevel"/>
    <w:tmpl w:val="E13C4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1E788D"/>
    <w:multiLevelType w:val="hybridMultilevel"/>
    <w:tmpl w:val="251AD5AA"/>
    <w:lvl w:ilvl="0" w:tplc="6D9C5266">
      <w:start w:val="13"/>
      <w:numFmt w:val="decimal"/>
      <w:lvlText w:val="%1."/>
      <w:lvlJc w:val="left"/>
      <w:pPr>
        <w:ind w:left="435" w:hanging="4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EB707E"/>
    <w:multiLevelType w:val="hybridMultilevel"/>
    <w:tmpl w:val="DAE89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DD2E70"/>
    <w:multiLevelType w:val="hybridMultilevel"/>
    <w:tmpl w:val="9B188F18"/>
    <w:lvl w:ilvl="0" w:tplc="67D03016">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6">
    <w:nsid w:val="443B5064"/>
    <w:multiLevelType w:val="hybridMultilevel"/>
    <w:tmpl w:val="B3ECE658"/>
    <w:lvl w:ilvl="0" w:tplc="04090001">
      <w:start w:val="1"/>
      <w:numFmt w:val="bullet"/>
      <w:lvlText w:val=""/>
      <w:lvlJc w:val="left"/>
      <w:pPr>
        <w:ind w:left="720" w:hanging="360"/>
      </w:pPr>
      <w:rPr>
        <w:rFonts w:ascii="Symbol" w:hAnsi="Symbol" w:cs="Cambria"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5CD7AD6"/>
    <w:multiLevelType w:val="hybridMultilevel"/>
    <w:tmpl w:val="88EAE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1727AE"/>
    <w:multiLevelType w:val="hybridMultilevel"/>
    <w:tmpl w:val="2CB22B00"/>
    <w:lvl w:ilvl="0" w:tplc="04090001">
      <w:start w:val="1"/>
      <w:numFmt w:val="bullet"/>
      <w:lvlText w:val=""/>
      <w:lvlJc w:val="left"/>
      <w:pPr>
        <w:tabs>
          <w:tab w:val="num" w:pos="720"/>
        </w:tabs>
        <w:ind w:left="720"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C92DC7"/>
    <w:multiLevelType w:val="hybridMultilevel"/>
    <w:tmpl w:val="98A0A7B8"/>
    <w:lvl w:ilvl="0" w:tplc="04090001">
      <w:start w:val="1"/>
      <w:numFmt w:val="bullet"/>
      <w:lvlText w:val=""/>
      <w:lvlJc w:val="left"/>
      <w:pPr>
        <w:ind w:left="1080" w:hanging="360"/>
      </w:pPr>
      <w:rPr>
        <w:rFonts w:ascii="Symbol" w:hAnsi="Symbol" w:cs="Cambria"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Cambria"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Cambria"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4F443B85"/>
    <w:multiLevelType w:val="hybridMultilevel"/>
    <w:tmpl w:val="343A0596"/>
    <w:lvl w:ilvl="0" w:tplc="04090001">
      <w:start w:val="1"/>
      <w:numFmt w:val="bullet"/>
      <w:lvlText w:val=""/>
      <w:lvlJc w:val="left"/>
      <w:pPr>
        <w:ind w:left="720" w:hanging="360"/>
      </w:pPr>
      <w:rPr>
        <w:rFonts w:ascii="Symbol" w:hAnsi="Symbol" w:cs="Cambria"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0DA1100"/>
    <w:multiLevelType w:val="hybridMultilevel"/>
    <w:tmpl w:val="A5A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E11FAF"/>
    <w:multiLevelType w:val="hybridMultilevel"/>
    <w:tmpl w:val="4C9A4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B838AE"/>
    <w:multiLevelType w:val="hybridMultilevel"/>
    <w:tmpl w:val="5E6E0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A832306"/>
    <w:multiLevelType w:val="hybridMultilevel"/>
    <w:tmpl w:val="C6CE5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9F2EC8"/>
    <w:multiLevelType w:val="hybridMultilevel"/>
    <w:tmpl w:val="D3502F6C"/>
    <w:lvl w:ilvl="0" w:tplc="0409000F">
      <w:start w:val="1"/>
      <w:numFmt w:val="decimal"/>
      <w:lvlText w:val="%1."/>
      <w:lvlJc w:val="left"/>
      <w:pPr>
        <w:ind w:left="435" w:hanging="435"/>
      </w:pPr>
      <w:rPr>
        <w:rFonts w:hint="default"/>
        <w:b w:val="0"/>
      </w:r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26">
    <w:nsid w:val="5FA57CA3"/>
    <w:multiLevelType w:val="hybridMultilevel"/>
    <w:tmpl w:val="AABA10FA"/>
    <w:lvl w:ilvl="0" w:tplc="E0B624F8">
      <w:start w:val="13"/>
      <w:numFmt w:val="decimal"/>
      <w:lvlText w:val="%1."/>
      <w:lvlJc w:val="left"/>
      <w:pPr>
        <w:ind w:left="435" w:hanging="4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CE0C6E"/>
    <w:multiLevelType w:val="hybridMultilevel"/>
    <w:tmpl w:val="378691F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65373D5E"/>
    <w:multiLevelType w:val="hybridMultilevel"/>
    <w:tmpl w:val="0D8C0CA2"/>
    <w:lvl w:ilvl="0" w:tplc="04090001">
      <w:start w:val="1"/>
      <w:numFmt w:val="bullet"/>
      <w:lvlText w:val=""/>
      <w:lvlJc w:val="left"/>
      <w:pPr>
        <w:ind w:left="720" w:hanging="360"/>
      </w:pPr>
      <w:rPr>
        <w:rFonts w:ascii="Symbol" w:hAnsi="Symbol" w:cs="Cambria"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6D1756B3"/>
    <w:multiLevelType w:val="hybridMultilevel"/>
    <w:tmpl w:val="A52A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D13E8B"/>
    <w:multiLevelType w:val="hybridMultilevel"/>
    <w:tmpl w:val="4B9AAC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4FB18F8"/>
    <w:multiLevelType w:val="hybridMultilevel"/>
    <w:tmpl w:val="EED85F8E"/>
    <w:lvl w:ilvl="0" w:tplc="AF62BC3E">
      <w:start w:val="1"/>
      <w:numFmt w:val="decimal"/>
      <w:lvlText w:val="%1."/>
      <w:lvlJc w:val="left"/>
      <w:pPr>
        <w:ind w:left="435" w:hanging="435"/>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7D446662"/>
    <w:multiLevelType w:val="hybridMultilevel"/>
    <w:tmpl w:val="F740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1413FC"/>
    <w:multiLevelType w:val="hybridMultilevel"/>
    <w:tmpl w:val="0BBA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7178C3"/>
    <w:multiLevelType w:val="hybridMultilevel"/>
    <w:tmpl w:val="323EF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4"/>
  </w:num>
  <w:num w:numId="4">
    <w:abstractNumId w:val="15"/>
  </w:num>
  <w:num w:numId="5">
    <w:abstractNumId w:val="10"/>
  </w:num>
  <w:num w:numId="6">
    <w:abstractNumId w:val="6"/>
  </w:num>
  <w:num w:numId="7">
    <w:abstractNumId w:val="28"/>
  </w:num>
  <w:num w:numId="8">
    <w:abstractNumId w:val="16"/>
  </w:num>
  <w:num w:numId="9">
    <w:abstractNumId w:val="19"/>
  </w:num>
  <w:num w:numId="10">
    <w:abstractNumId w:val="9"/>
  </w:num>
  <w:num w:numId="11">
    <w:abstractNumId w:val="20"/>
  </w:num>
  <w:num w:numId="12">
    <w:abstractNumId w:val="3"/>
  </w:num>
  <w:num w:numId="13">
    <w:abstractNumId w:val="27"/>
  </w:num>
  <w:num w:numId="14">
    <w:abstractNumId w:val="33"/>
  </w:num>
  <w:num w:numId="15">
    <w:abstractNumId w:val="5"/>
  </w:num>
  <w:num w:numId="16">
    <w:abstractNumId w:val="18"/>
  </w:num>
  <w:num w:numId="17">
    <w:abstractNumId w:val="8"/>
  </w:num>
  <w:num w:numId="18">
    <w:abstractNumId w:val="12"/>
  </w:num>
  <w:num w:numId="19">
    <w:abstractNumId w:val="21"/>
  </w:num>
  <w:num w:numId="20">
    <w:abstractNumId w:val="31"/>
  </w:num>
  <w:num w:numId="21">
    <w:abstractNumId w:val="0"/>
  </w:num>
  <w:num w:numId="22">
    <w:abstractNumId w:val="32"/>
  </w:num>
  <w:num w:numId="23">
    <w:abstractNumId w:val="30"/>
  </w:num>
  <w:num w:numId="24">
    <w:abstractNumId w:val="1"/>
  </w:num>
  <w:num w:numId="25">
    <w:abstractNumId w:val="26"/>
  </w:num>
  <w:num w:numId="26">
    <w:abstractNumId w:val="22"/>
  </w:num>
  <w:num w:numId="27">
    <w:abstractNumId w:val="17"/>
  </w:num>
  <w:num w:numId="28">
    <w:abstractNumId w:val="2"/>
  </w:num>
  <w:num w:numId="29">
    <w:abstractNumId w:val="29"/>
  </w:num>
  <w:num w:numId="30">
    <w:abstractNumId w:val="13"/>
  </w:num>
  <w:num w:numId="31">
    <w:abstractNumId w:val="14"/>
  </w:num>
  <w:num w:numId="32">
    <w:abstractNumId w:val="34"/>
  </w:num>
  <w:num w:numId="33">
    <w:abstractNumId w:val="7"/>
  </w:num>
  <w:num w:numId="34">
    <w:abstractNumId w:val="2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trackRevisions/>
  <w:defaultTabStop w:val="720"/>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2D7"/>
    <w:rsid w:val="00006E98"/>
    <w:rsid w:val="00026C29"/>
    <w:rsid w:val="000422FA"/>
    <w:rsid w:val="00090B67"/>
    <w:rsid w:val="00095F23"/>
    <w:rsid w:val="000A0746"/>
    <w:rsid w:val="000A60F1"/>
    <w:rsid w:val="000F6BF6"/>
    <w:rsid w:val="001324C2"/>
    <w:rsid w:val="001C34C8"/>
    <w:rsid w:val="001D2D71"/>
    <w:rsid w:val="001F2AB2"/>
    <w:rsid w:val="002431E1"/>
    <w:rsid w:val="00244E8A"/>
    <w:rsid w:val="00283F8B"/>
    <w:rsid w:val="002E6E5A"/>
    <w:rsid w:val="002E75AE"/>
    <w:rsid w:val="00305913"/>
    <w:rsid w:val="003168E1"/>
    <w:rsid w:val="0032653B"/>
    <w:rsid w:val="0034043A"/>
    <w:rsid w:val="00356BB7"/>
    <w:rsid w:val="003A38DF"/>
    <w:rsid w:val="003E3D77"/>
    <w:rsid w:val="003E42F8"/>
    <w:rsid w:val="004244D2"/>
    <w:rsid w:val="00426F84"/>
    <w:rsid w:val="004338C0"/>
    <w:rsid w:val="00475211"/>
    <w:rsid w:val="005125B3"/>
    <w:rsid w:val="00513FF2"/>
    <w:rsid w:val="0052294E"/>
    <w:rsid w:val="00576CF4"/>
    <w:rsid w:val="00580050"/>
    <w:rsid w:val="005F26E0"/>
    <w:rsid w:val="00622C36"/>
    <w:rsid w:val="00627094"/>
    <w:rsid w:val="0063090B"/>
    <w:rsid w:val="006466A6"/>
    <w:rsid w:val="00683E64"/>
    <w:rsid w:val="006C04FE"/>
    <w:rsid w:val="006E5513"/>
    <w:rsid w:val="0070271F"/>
    <w:rsid w:val="00717F5B"/>
    <w:rsid w:val="007465ED"/>
    <w:rsid w:val="007A712D"/>
    <w:rsid w:val="007C26E7"/>
    <w:rsid w:val="0087409A"/>
    <w:rsid w:val="00876B4E"/>
    <w:rsid w:val="008C5500"/>
    <w:rsid w:val="008E0775"/>
    <w:rsid w:val="008E30CA"/>
    <w:rsid w:val="00924FA3"/>
    <w:rsid w:val="00970A70"/>
    <w:rsid w:val="009C20E7"/>
    <w:rsid w:val="009C74BE"/>
    <w:rsid w:val="00A45401"/>
    <w:rsid w:val="00A61D88"/>
    <w:rsid w:val="00B10259"/>
    <w:rsid w:val="00B402C0"/>
    <w:rsid w:val="00B44615"/>
    <w:rsid w:val="00B75AF0"/>
    <w:rsid w:val="00B92604"/>
    <w:rsid w:val="00BA4477"/>
    <w:rsid w:val="00BC521D"/>
    <w:rsid w:val="00BE2937"/>
    <w:rsid w:val="00C37EF2"/>
    <w:rsid w:val="00C672D7"/>
    <w:rsid w:val="00CC06BA"/>
    <w:rsid w:val="00CC3C2D"/>
    <w:rsid w:val="00CD1904"/>
    <w:rsid w:val="00CE30F7"/>
    <w:rsid w:val="00CE66CA"/>
    <w:rsid w:val="00D0145E"/>
    <w:rsid w:val="00D17D63"/>
    <w:rsid w:val="00D454E4"/>
    <w:rsid w:val="00D71778"/>
    <w:rsid w:val="00D83A18"/>
    <w:rsid w:val="00D93F7E"/>
    <w:rsid w:val="00DB64B0"/>
    <w:rsid w:val="00E018AB"/>
    <w:rsid w:val="00E647C2"/>
    <w:rsid w:val="00E761D6"/>
    <w:rsid w:val="00E84F8F"/>
    <w:rsid w:val="00F064EC"/>
    <w:rsid w:val="00F2024E"/>
    <w:rsid w:val="00F90C16"/>
    <w:rsid w:val="00FB4FA6"/>
    <w:rsid w:val="00FD13B0"/>
    <w:rsid w:val="00FE1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53B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0C1"/>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99"/>
    <w:qFormat/>
    <w:rsid w:val="00DD32B4"/>
    <w:pPr>
      <w:ind w:left="720"/>
    </w:pPr>
  </w:style>
  <w:style w:type="paragraph" w:customStyle="1" w:styleId="a">
    <w:name w:val="_"/>
    <w:uiPriority w:val="99"/>
    <w:rsid w:val="003A0AE8"/>
    <w:pPr>
      <w:widowControl w:val="0"/>
      <w:autoSpaceDE w:val="0"/>
      <w:autoSpaceDN w:val="0"/>
      <w:adjustRightInd w:val="0"/>
      <w:ind w:left="-1440"/>
    </w:pPr>
    <w:rPr>
      <w:rFonts w:ascii="Times New Roman" w:eastAsia="MS Mincho" w:hAnsi="Times New Roman"/>
      <w:sz w:val="24"/>
      <w:szCs w:val="24"/>
      <w:lang w:eastAsia="ja-JP"/>
    </w:rPr>
  </w:style>
  <w:style w:type="character" w:customStyle="1" w:styleId="BodyTextFi">
    <w:name w:val="Body Text Fi"/>
    <w:rsid w:val="001D4488"/>
  </w:style>
  <w:style w:type="character" w:customStyle="1" w:styleId="BulletInden">
    <w:name w:val="Bullet Inden"/>
    <w:rsid w:val="001D4488"/>
  </w:style>
  <w:style w:type="character" w:styleId="FootnoteReference">
    <w:name w:val="footnote reference"/>
    <w:basedOn w:val="DefaultParagraphFont"/>
    <w:uiPriority w:val="99"/>
    <w:semiHidden/>
    <w:rsid w:val="001D4488"/>
    <w:rPr>
      <w:vertAlign w:val="superscript"/>
    </w:rPr>
  </w:style>
  <w:style w:type="character" w:customStyle="1" w:styleId="TableText">
    <w:name w:val="Table Text"/>
    <w:uiPriority w:val="99"/>
    <w:rsid w:val="006904E1"/>
    <w:rPr>
      <w:rFonts w:ascii="Arial" w:hAnsi="Arial" w:cs="Arial"/>
      <w:sz w:val="20"/>
      <w:szCs w:val="20"/>
    </w:rPr>
  </w:style>
  <w:style w:type="paragraph" w:styleId="BodyText">
    <w:name w:val="Body Text"/>
    <w:basedOn w:val="Normal"/>
    <w:link w:val="BodyTextChar"/>
    <w:rsid w:val="000035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locked/>
    <w:rsid w:val="000035EA"/>
    <w:rPr>
      <w:rFonts w:ascii="Times New Roman" w:hAnsi="Times New Roman" w:cs="Times New Roman"/>
      <w:sz w:val="24"/>
      <w:szCs w:val="24"/>
    </w:rPr>
  </w:style>
  <w:style w:type="paragraph" w:customStyle="1" w:styleId="Calibri">
    <w:name w:val="Calibri"/>
    <w:basedOn w:val="a"/>
    <w:uiPriority w:val="99"/>
    <w:rsid w:val="0019214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200" w:line="276" w:lineRule="auto"/>
      <w:ind w:left="573" w:hanging="288"/>
    </w:pPr>
    <w:rPr>
      <w:sz w:val="22"/>
      <w:szCs w:val="22"/>
    </w:rPr>
  </w:style>
  <w:style w:type="paragraph" w:styleId="Footer">
    <w:name w:val="footer"/>
    <w:basedOn w:val="Normal"/>
    <w:link w:val="FooterChar"/>
    <w:uiPriority w:val="99"/>
    <w:rsid w:val="00E03A77"/>
    <w:pPr>
      <w:tabs>
        <w:tab w:val="center" w:pos="4320"/>
        <w:tab w:val="right" w:pos="8640"/>
      </w:tabs>
    </w:pPr>
  </w:style>
  <w:style w:type="character" w:customStyle="1" w:styleId="FooterChar">
    <w:name w:val="Footer Char"/>
    <w:basedOn w:val="DefaultParagraphFont"/>
    <w:link w:val="Footer"/>
    <w:uiPriority w:val="99"/>
    <w:semiHidden/>
    <w:rsid w:val="004F75FB"/>
    <w:rPr>
      <w:rFonts w:cs="Calibri"/>
    </w:rPr>
  </w:style>
  <w:style w:type="character" w:styleId="PageNumber">
    <w:name w:val="page number"/>
    <w:basedOn w:val="DefaultParagraphFont"/>
    <w:uiPriority w:val="99"/>
    <w:rsid w:val="00E03A77"/>
  </w:style>
  <w:style w:type="character" w:styleId="CommentReference">
    <w:name w:val="annotation reference"/>
    <w:basedOn w:val="DefaultParagraphFont"/>
    <w:unhideWhenUsed/>
    <w:rsid w:val="00E66571"/>
    <w:rPr>
      <w:sz w:val="16"/>
      <w:szCs w:val="16"/>
    </w:rPr>
  </w:style>
  <w:style w:type="paragraph" w:styleId="CommentText">
    <w:name w:val="annotation text"/>
    <w:basedOn w:val="Normal"/>
    <w:link w:val="CommentTextChar"/>
    <w:unhideWhenUsed/>
    <w:rsid w:val="00E66571"/>
    <w:rPr>
      <w:sz w:val="20"/>
      <w:szCs w:val="20"/>
    </w:rPr>
  </w:style>
  <w:style w:type="character" w:customStyle="1" w:styleId="CommentTextChar">
    <w:name w:val="Comment Text Char"/>
    <w:basedOn w:val="DefaultParagraphFont"/>
    <w:link w:val="CommentText"/>
    <w:rsid w:val="00E66571"/>
    <w:rPr>
      <w:rFonts w:cs="Calibri"/>
      <w:sz w:val="20"/>
      <w:szCs w:val="20"/>
    </w:rPr>
  </w:style>
  <w:style w:type="paragraph" w:styleId="CommentSubject">
    <w:name w:val="annotation subject"/>
    <w:basedOn w:val="CommentText"/>
    <w:next w:val="CommentText"/>
    <w:link w:val="CommentSubjectChar"/>
    <w:uiPriority w:val="99"/>
    <w:semiHidden/>
    <w:unhideWhenUsed/>
    <w:rsid w:val="00E66571"/>
    <w:rPr>
      <w:b/>
      <w:bCs/>
    </w:rPr>
  </w:style>
  <w:style w:type="character" w:customStyle="1" w:styleId="CommentSubjectChar">
    <w:name w:val="Comment Subject Char"/>
    <w:basedOn w:val="CommentTextChar"/>
    <w:link w:val="CommentSubject"/>
    <w:uiPriority w:val="99"/>
    <w:semiHidden/>
    <w:rsid w:val="00E66571"/>
    <w:rPr>
      <w:rFonts w:cs="Calibri"/>
      <w:b/>
      <w:bCs/>
      <w:sz w:val="20"/>
      <w:szCs w:val="20"/>
    </w:rPr>
  </w:style>
  <w:style w:type="paragraph" w:styleId="BalloonText">
    <w:name w:val="Balloon Text"/>
    <w:basedOn w:val="Normal"/>
    <w:link w:val="BalloonTextChar"/>
    <w:uiPriority w:val="99"/>
    <w:semiHidden/>
    <w:unhideWhenUsed/>
    <w:rsid w:val="00E66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571"/>
    <w:rPr>
      <w:rFonts w:ascii="Tahoma" w:hAnsi="Tahoma" w:cs="Tahoma"/>
      <w:sz w:val="16"/>
      <w:szCs w:val="16"/>
    </w:rPr>
  </w:style>
  <w:style w:type="character" w:customStyle="1" w:styleId="ColorfulList-Accent1Char">
    <w:name w:val="Colorful List - Accent 1 Char"/>
    <w:basedOn w:val="DefaultParagraphFont"/>
    <w:link w:val="ColorfulList-Accent11"/>
    <w:uiPriority w:val="99"/>
    <w:rsid w:val="00E279CB"/>
    <w:rPr>
      <w:rFonts w:cs="Calibri"/>
    </w:rPr>
  </w:style>
  <w:style w:type="paragraph" w:customStyle="1" w:styleId="ColorfulShading-Accent11">
    <w:name w:val="Colorful Shading - Accent 11"/>
    <w:hidden/>
    <w:uiPriority w:val="99"/>
    <w:semiHidden/>
    <w:rsid w:val="003C5C0C"/>
    <w:rPr>
      <w:rFonts w:cs="Calibri"/>
      <w:sz w:val="22"/>
      <w:szCs w:val="22"/>
    </w:rPr>
  </w:style>
  <w:style w:type="paragraph" w:styleId="Header">
    <w:name w:val="header"/>
    <w:basedOn w:val="Normal"/>
    <w:link w:val="HeaderChar"/>
    <w:uiPriority w:val="99"/>
    <w:semiHidden/>
    <w:unhideWhenUsed/>
    <w:rsid w:val="00472379"/>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semiHidden/>
    <w:rsid w:val="00472379"/>
  </w:style>
  <w:style w:type="paragraph" w:styleId="BodyText2">
    <w:name w:val="Body Text 2"/>
    <w:basedOn w:val="Normal"/>
    <w:link w:val="BodyText2Char"/>
    <w:uiPriority w:val="99"/>
    <w:semiHidden/>
    <w:unhideWhenUsed/>
    <w:rsid w:val="0062372B"/>
    <w:pPr>
      <w:spacing w:after="120" w:line="480" w:lineRule="auto"/>
    </w:pPr>
  </w:style>
  <w:style w:type="character" w:customStyle="1" w:styleId="BodyText2Char">
    <w:name w:val="Body Text 2 Char"/>
    <w:basedOn w:val="DefaultParagraphFont"/>
    <w:link w:val="BodyText2"/>
    <w:uiPriority w:val="99"/>
    <w:semiHidden/>
    <w:rsid w:val="0062372B"/>
    <w:rPr>
      <w:rFonts w:cs="Calibri"/>
      <w:sz w:val="22"/>
      <w:szCs w:val="22"/>
    </w:rPr>
  </w:style>
  <w:style w:type="character" w:styleId="Strong">
    <w:name w:val="Strong"/>
    <w:uiPriority w:val="22"/>
    <w:qFormat/>
    <w:locked/>
    <w:rsid w:val="0062372B"/>
    <w:rPr>
      <w:rFonts w:cs="Times New Roman"/>
      <w:b/>
      <w:bCs/>
      <w:spacing w:val="0"/>
    </w:rPr>
  </w:style>
  <w:style w:type="paragraph" w:customStyle="1" w:styleId="ColorfulList-Accent12">
    <w:name w:val="Colorful List - Accent 12"/>
    <w:basedOn w:val="Normal"/>
    <w:qFormat/>
    <w:rsid w:val="00B04A02"/>
    <w:pPr>
      <w:widowControl w:val="0"/>
      <w:spacing w:after="0" w:line="240" w:lineRule="auto"/>
      <w:ind w:left="720"/>
      <w:contextualSpacing/>
    </w:pPr>
    <w:rPr>
      <w:rFonts w:ascii="Times New Roman" w:eastAsia="Times New Roman" w:hAnsi="Times New Roman" w:cs="Times New Roman"/>
      <w:sz w:val="20"/>
      <w:szCs w:val="20"/>
      <w:lang w:eastAsia="ja-JP"/>
    </w:rPr>
  </w:style>
  <w:style w:type="character" w:styleId="Hyperlink">
    <w:name w:val="Hyperlink"/>
    <w:basedOn w:val="DefaultParagraphFont"/>
    <w:unhideWhenUsed/>
    <w:rsid w:val="008E30CA"/>
    <w:rPr>
      <w:color w:val="0000FF"/>
      <w:u w:val="single"/>
    </w:rPr>
  </w:style>
  <w:style w:type="paragraph" w:styleId="ListParagraph">
    <w:name w:val="List Paragraph"/>
    <w:basedOn w:val="Normal"/>
    <w:uiPriority w:val="34"/>
    <w:qFormat/>
    <w:rsid w:val="008E30CA"/>
    <w:pPr>
      <w:ind w:left="720"/>
      <w:contextualSpacing/>
    </w:pPr>
    <w:rPr>
      <w:rFonts w:cs="Times New Roman"/>
    </w:rPr>
  </w:style>
  <w:style w:type="character" w:customStyle="1" w:styleId="CharChar16">
    <w:name w:val="Char Char16"/>
    <w:rsid w:val="00F90C16"/>
    <w:rPr>
      <w:rFonts w:ascii="Times New Roman" w:eastAsia="Times New Roman" w:hAnsi="Times New Roman" w:cs="Times New Roman"/>
      <w:b/>
      <w:bCs/>
      <w:color w:val="365F91"/>
      <w:sz w:val="24"/>
      <w:szCs w:val="24"/>
    </w:rPr>
  </w:style>
  <w:style w:type="paragraph" w:styleId="EndnoteText">
    <w:name w:val="endnote text"/>
    <w:basedOn w:val="Normal"/>
    <w:link w:val="EndnoteTextChar"/>
    <w:uiPriority w:val="99"/>
    <w:semiHidden/>
    <w:unhideWhenUsed/>
    <w:rsid w:val="00D014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145E"/>
    <w:rPr>
      <w:rFonts w:cs="Calibri"/>
    </w:rPr>
  </w:style>
  <w:style w:type="character" w:styleId="EndnoteReference">
    <w:name w:val="endnote reference"/>
    <w:basedOn w:val="DefaultParagraphFont"/>
    <w:uiPriority w:val="99"/>
    <w:semiHidden/>
    <w:unhideWhenUsed/>
    <w:rsid w:val="00D0145E"/>
    <w:rPr>
      <w:vertAlign w:val="superscript"/>
    </w:rPr>
  </w:style>
  <w:style w:type="character" w:styleId="FollowedHyperlink">
    <w:name w:val="FollowedHyperlink"/>
    <w:basedOn w:val="DefaultParagraphFont"/>
    <w:uiPriority w:val="99"/>
    <w:semiHidden/>
    <w:unhideWhenUsed/>
    <w:rsid w:val="005125B3"/>
    <w:rPr>
      <w:color w:val="954F72" w:themeColor="followedHyperlink"/>
      <w:u w:val="single"/>
    </w:rPr>
  </w:style>
  <w:style w:type="character" w:customStyle="1" w:styleId="Mention">
    <w:name w:val="Mention"/>
    <w:basedOn w:val="DefaultParagraphFont"/>
    <w:uiPriority w:val="99"/>
    <w:semiHidden/>
    <w:unhideWhenUsed/>
    <w:rsid w:val="0070271F"/>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0C1"/>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99"/>
    <w:qFormat/>
    <w:rsid w:val="00DD32B4"/>
    <w:pPr>
      <w:ind w:left="720"/>
    </w:pPr>
  </w:style>
  <w:style w:type="paragraph" w:customStyle="1" w:styleId="a">
    <w:name w:val="_"/>
    <w:uiPriority w:val="99"/>
    <w:rsid w:val="003A0AE8"/>
    <w:pPr>
      <w:widowControl w:val="0"/>
      <w:autoSpaceDE w:val="0"/>
      <w:autoSpaceDN w:val="0"/>
      <w:adjustRightInd w:val="0"/>
      <w:ind w:left="-1440"/>
    </w:pPr>
    <w:rPr>
      <w:rFonts w:ascii="Times New Roman" w:eastAsia="MS Mincho" w:hAnsi="Times New Roman"/>
      <w:sz w:val="24"/>
      <w:szCs w:val="24"/>
      <w:lang w:eastAsia="ja-JP"/>
    </w:rPr>
  </w:style>
  <w:style w:type="character" w:customStyle="1" w:styleId="BodyTextFi">
    <w:name w:val="Body Text Fi"/>
    <w:rsid w:val="001D4488"/>
  </w:style>
  <w:style w:type="character" w:customStyle="1" w:styleId="BulletInden">
    <w:name w:val="Bullet Inden"/>
    <w:rsid w:val="001D4488"/>
  </w:style>
  <w:style w:type="character" w:styleId="FootnoteReference">
    <w:name w:val="footnote reference"/>
    <w:basedOn w:val="DefaultParagraphFont"/>
    <w:uiPriority w:val="99"/>
    <w:semiHidden/>
    <w:rsid w:val="001D4488"/>
    <w:rPr>
      <w:vertAlign w:val="superscript"/>
    </w:rPr>
  </w:style>
  <w:style w:type="character" w:customStyle="1" w:styleId="TableText">
    <w:name w:val="Table Text"/>
    <w:uiPriority w:val="99"/>
    <w:rsid w:val="006904E1"/>
    <w:rPr>
      <w:rFonts w:ascii="Arial" w:hAnsi="Arial" w:cs="Arial"/>
      <w:sz w:val="20"/>
      <w:szCs w:val="20"/>
    </w:rPr>
  </w:style>
  <w:style w:type="paragraph" w:styleId="BodyText">
    <w:name w:val="Body Text"/>
    <w:basedOn w:val="Normal"/>
    <w:link w:val="BodyTextChar"/>
    <w:rsid w:val="000035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locked/>
    <w:rsid w:val="000035EA"/>
    <w:rPr>
      <w:rFonts w:ascii="Times New Roman" w:hAnsi="Times New Roman" w:cs="Times New Roman"/>
      <w:sz w:val="24"/>
      <w:szCs w:val="24"/>
    </w:rPr>
  </w:style>
  <w:style w:type="paragraph" w:customStyle="1" w:styleId="Calibri">
    <w:name w:val="Calibri"/>
    <w:basedOn w:val="a"/>
    <w:uiPriority w:val="99"/>
    <w:rsid w:val="0019214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200" w:line="276" w:lineRule="auto"/>
      <w:ind w:left="573" w:hanging="288"/>
    </w:pPr>
    <w:rPr>
      <w:sz w:val="22"/>
      <w:szCs w:val="22"/>
    </w:rPr>
  </w:style>
  <w:style w:type="paragraph" w:styleId="Footer">
    <w:name w:val="footer"/>
    <w:basedOn w:val="Normal"/>
    <w:link w:val="FooterChar"/>
    <w:uiPriority w:val="99"/>
    <w:rsid w:val="00E03A77"/>
    <w:pPr>
      <w:tabs>
        <w:tab w:val="center" w:pos="4320"/>
        <w:tab w:val="right" w:pos="8640"/>
      </w:tabs>
    </w:pPr>
  </w:style>
  <w:style w:type="character" w:customStyle="1" w:styleId="FooterChar">
    <w:name w:val="Footer Char"/>
    <w:basedOn w:val="DefaultParagraphFont"/>
    <w:link w:val="Footer"/>
    <w:uiPriority w:val="99"/>
    <w:semiHidden/>
    <w:rsid w:val="004F75FB"/>
    <w:rPr>
      <w:rFonts w:cs="Calibri"/>
    </w:rPr>
  </w:style>
  <w:style w:type="character" w:styleId="PageNumber">
    <w:name w:val="page number"/>
    <w:basedOn w:val="DefaultParagraphFont"/>
    <w:uiPriority w:val="99"/>
    <w:rsid w:val="00E03A77"/>
  </w:style>
  <w:style w:type="character" w:styleId="CommentReference">
    <w:name w:val="annotation reference"/>
    <w:basedOn w:val="DefaultParagraphFont"/>
    <w:unhideWhenUsed/>
    <w:rsid w:val="00E66571"/>
    <w:rPr>
      <w:sz w:val="16"/>
      <w:szCs w:val="16"/>
    </w:rPr>
  </w:style>
  <w:style w:type="paragraph" w:styleId="CommentText">
    <w:name w:val="annotation text"/>
    <w:basedOn w:val="Normal"/>
    <w:link w:val="CommentTextChar"/>
    <w:unhideWhenUsed/>
    <w:rsid w:val="00E66571"/>
    <w:rPr>
      <w:sz w:val="20"/>
      <w:szCs w:val="20"/>
    </w:rPr>
  </w:style>
  <w:style w:type="character" w:customStyle="1" w:styleId="CommentTextChar">
    <w:name w:val="Comment Text Char"/>
    <w:basedOn w:val="DefaultParagraphFont"/>
    <w:link w:val="CommentText"/>
    <w:rsid w:val="00E66571"/>
    <w:rPr>
      <w:rFonts w:cs="Calibri"/>
      <w:sz w:val="20"/>
      <w:szCs w:val="20"/>
    </w:rPr>
  </w:style>
  <w:style w:type="paragraph" w:styleId="CommentSubject">
    <w:name w:val="annotation subject"/>
    <w:basedOn w:val="CommentText"/>
    <w:next w:val="CommentText"/>
    <w:link w:val="CommentSubjectChar"/>
    <w:uiPriority w:val="99"/>
    <w:semiHidden/>
    <w:unhideWhenUsed/>
    <w:rsid w:val="00E66571"/>
    <w:rPr>
      <w:b/>
      <w:bCs/>
    </w:rPr>
  </w:style>
  <w:style w:type="character" w:customStyle="1" w:styleId="CommentSubjectChar">
    <w:name w:val="Comment Subject Char"/>
    <w:basedOn w:val="CommentTextChar"/>
    <w:link w:val="CommentSubject"/>
    <w:uiPriority w:val="99"/>
    <w:semiHidden/>
    <w:rsid w:val="00E66571"/>
    <w:rPr>
      <w:rFonts w:cs="Calibri"/>
      <w:b/>
      <w:bCs/>
      <w:sz w:val="20"/>
      <w:szCs w:val="20"/>
    </w:rPr>
  </w:style>
  <w:style w:type="paragraph" w:styleId="BalloonText">
    <w:name w:val="Balloon Text"/>
    <w:basedOn w:val="Normal"/>
    <w:link w:val="BalloonTextChar"/>
    <w:uiPriority w:val="99"/>
    <w:semiHidden/>
    <w:unhideWhenUsed/>
    <w:rsid w:val="00E66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571"/>
    <w:rPr>
      <w:rFonts w:ascii="Tahoma" w:hAnsi="Tahoma" w:cs="Tahoma"/>
      <w:sz w:val="16"/>
      <w:szCs w:val="16"/>
    </w:rPr>
  </w:style>
  <w:style w:type="character" w:customStyle="1" w:styleId="ColorfulList-Accent1Char">
    <w:name w:val="Colorful List - Accent 1 Char"/>
    <w:basedOn w:val="DefaultParagraphFont"/>
    <w:link w:val="ColorfulList-Accent11"/>
    <w:uiPriority w:val="99"/>
    <w:rsid w:val="00E279CB"/>
    <w:rPr>
      <w:rFonts w:cs="Calibri"/>
    </w:rPr>
  </w:style>
  <w:style w:type="paragraph" w:customStyle="1" w:styleId="ColorfulShading-Accent11">
    <w:name w:val="Colorful Shading - Accent 11"/>
    <w:hidden/>
    <w:uiPriority w:val="99"/>
    <w:semiHidden/>
    <w:rsid w:val="003C5C0C"/>
    <w:rPr>
      <w:rFonts w:cs="Calibri"/>
      <w:sz w:val="22"/>
      <w:szCs w:val="22"/>
    </w:rPr>
  </w:style>
  <w:style w:type="paragraph" w:styleId="Header">
    <w:name w:val="header"/>
    <w:basedOn w:val="Normal"/>
    <w:link w:val="HeaderChar"/>
    <w:uiPriority w:val="99"/>
    <w:semiHidden/>
    <w:unhideWhenUsed/>
    <w:rsid w:val="00472379"/>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semiHidden/>
    <w:rsid w:val="00472379"/>
  </w:style>
  <w:style w:type="paragraph" w:styleId="BodyText2">
    <w:name w:val="Body Text 2"/>
    <w:basedOn w:val="Normal"/>
    <w:link w:val="BodyText2Char"/>
    <w:uiPriority w:val="99"/>
    <w:semiHidden/>
    <w:unhideWhenUsed/>
    <w:rsid w:val="0062372B"/>
    <w:pPr>
      <w:spacing w:after="120" w:line="480" w:lineRule="auto"/>
    </w:pPr>
  </w:style>
  <w:style w:type="character" w:customStyle="1" w:styleId="BodyText2Char">
    <w:name w:val="Body Text 2 Char"/>
    <w:basedOn w:val="DefaultParagraphFont"/>
    <w:link w:val="BodyText2"/>
    <w:uiPriority w:val="99"/>
    <w:semiHidden/>
    <w:rsid w:val="0062372B"/>
    <w:rPr>
      <w:rFonts w:cs="Calibri"/>
      <w:sz w:val="22"/>
      <w:szCs w:val="22"/>
    </w:rPr>
  </w:style>
  <w:style w:type="character" w:styleId="Strong">
    <w:name w:val="Strong"/>
    <w:uiPriority w:val="22"/>
    <w:qFormat/>
    <w:locked/>
    <w:rsid w:val="0062372B"/>
    <w:rPr>
      <w:rFonts w:cs="Times New Roman"/>
      <w:b/>
      <w:bCs/>
      <w:spacing w:val="0"/>
    </w:rPr>
  </w:style>
  <w:style w:type="paragraph" w:customStyle="1" w:styleId="ColorfulList-Accent12">
    <w:name w:val="Colorful List - Accent 12"/>
    <w:basedOn w:val="Normal"/>
    <w:qFormat/>
    <w:rsid w:val="00B04A02"/>
    <w:pPr>
      <w:widowControl w:val="0"/>
      <w:spacing w:after="0" w:line="240" w:lineRule="auto"/>
      <w:ind w:left="720"/>
      <w:contextualSpacing/>
    </w:pPr>
    <w:rPr>
      <w:rFonts w:ascii="Times New Roman" w:eastAsia="Times New Roman" w:hAnsi="Times New Roman" w:cs="Times New Roman"/>
      <w:sz w:val="20"/>
      <w:szCs w:val="20"/>
      <w:lang w:eastAsia="ja-JP"/>
    </w:rPr>
  </w:style>
  <w:style w:type="character" w:styleId="Hyperlink">
    <w:name w:val="Hyperlink"/>
    <w:basedOn w:val="DefaultParagraphFont"/>
    <w:unhideWhenUsed/>
    <w:rsid w:val="008E30CA"/>
    <w:rPr>
      <w:color w:val="0000FF"/>
      <w:u w:val="single"/>
    </w:rPr>
  </w:style>
  <w:style w:type="paragraph" w:styleId="ListParagraph">
    <w:name w:val="List Paragraph"/>
    <w:basedOn w:val="Normal"/>
    <w:uiPriority w:val="34"/>
    <w:qFormat/>
    <w:rsid w:val="008E30CA"/>
    <w:pPr>
      <w:ind w:left="720"/>
      <w:contextualSpacing/>
    </w:pPr>
    <w:rPr>
      <w:rFonts w:cs="Times New Roman"/>
    </w:rPr>
  </w:style>
  <w:style w:type="character" w:customStyle="1" w:styleId="CharChar16">
    <w:name w:val="Char Char16"/>
    <w:rsid w:val="00F90C16"/>
    <w:rPr>
      <w:rFonts w:ascii="Times New Roman" w:eastAsia="Times New Roman" w:hAnsi="Times New Roman" w:cs="Times New Roman"/>
      <w:b/>
      <w:bCs/>
      <w:color w:val="365F91"/>
      <w:sz w:val="24"/>
      <w:szCs w:val="24"/>
    </w:rPr>
  </w:style>
  <w:style w:type="paragraph" w:styleId="EndnoteText">
    <w:name w:val="endnote text"/>
    <w:basedOn w:val="Normal"/>
    <w:link w:val="EndnoteTextChar"/>
    <w:uiPriority w:val="99"/>
    <w:semiHidden/>
    <w:unhideWhenUsed/>
    <w:rsid w:val="00D014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145E"/>
    <w:rPr>
      <w:rFonts w:cs="Calibri"/>
    </w:rPr>
  </w:style>
  <w:style w:type="character" w:styleId="EndnoteReference">
    <w:name w:val="endnote reference"/>
    <w:basedOn w:val="DefaultParagraphFont"/>
    <w:uiPriority w:val="99"/>
    <w:semiHidden/>
    <w:unhideWhenUsed/>
    <w:rsid w:val="00D0145E"/>
    <w:rPr>
      <w:vertAlign w:val="superscript"/>
    </w:rPr>
  </w:style>
  <w:style w:type="character" w:styleId="FollowedHyperlink">
    <w:name w:val="FollowedHyperlink"/>
    <w:basedOn w:val="DefaultParagraphFont"/>
    <w:uiPriority w:val="99"/>
    <w:semiHidden/>
    <w:unhideWhenUsed/>
    <w:rsid w:val="005125B3"/>
    <w:rPr>
      <w:color w:val="954F72" w:themeColor="followedHyperlink"/>
      <w:u w:val="single"/>
    </w:rPr>
  </w:style>
  <w:style w:type="character" w:customStyle="1" w:styleId="Mention">
    <w:name w:val="Mention"/>
    <w:basedOn w:val="DefaultParagraphFont"/>
    <w:uiPriority w:val="99"/>
    <w:semiHidden/>
    <w:unhideWhenUsed/>
    <w:rsid w:val="0070271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953783">
      <w:bodyDiv w:val="1"/>
      <w:marLeft w:val="0"/>
      <w:marRight w:val="0"/>
      <w:marTop w:val="0"/>
      <w:marBottom w:val="0"/>
      <w:divBdr>
        <w:top w:val="none" w:sz="0" w:space="0" w:color="auto"/>
        <w:left w:val="none" w:sz="0" w:space="0" w:color="auto"/>
        <w:bottom w:val="none" w:sz="0" w:space="0" w:color="auto"/>
        <w:right w:val="none" w:sz="0" w:space="0" w:color="auto"/>
      </w:divBdr>
      <w:divsChild>
        <w:div w:id="1616013003">
          <w:marLeft w:val="0"/>
          <w:marRight w:val="0"/>
          <w:marTop w:val="0"/>
          <w:marBottom w:val="0"/>
          <w:divBdr>
            <w:top w:val="none" w:sz="0" w:space="0" w:color="auto"/>
            <w:left w:val="single" w:sz="48" w:space="0" w:color="FFFFFF"/>
            <w:bottom w:val="none" w:sz="0" w:space="0" w:color="auto"/>
            <w:right w:val="single" w:sz="48" w:space="0" w:color="FFFFFF"/>
          </w:divBdr>
          <w:divsChild>
            <w:div w:id="1685741701">
              <w:marLeft w:val="0"/>
              <w:marRight w:val="0"/>
              <w:marTop w:val="0"/>
              <w:marBottom w:val="0"/>
              <w:divBdr>
                <w:top w:val="none" w:sz="0" w:space="0" w:color="auto"/>
                <w:left w:val="none" w:sz="0" w:space="0" w:color="auto"/>
                <w:bottom w:val="none" w:sz="0" w:space="0" w:color="auto"/>
                <w:right w:val="none" w:sz="0" w:space="0" w:color="auto"/>
              </w:divBdr>
              <w:divsChild>
                <w:div w:id="1481264353">
                  <w:marLeft w:val="0"/>
                  <w:marRight w:val="0"/>
                  <w:marTop w:val="0"/>
                  <w:marBottom w:val="0"/>
                  <w:divBdr>
                    <w:top w:val="none" w:sz="0" w:space="0" w:color="auto"/>
                    <w:left w:val="none" w:sz="0" w:space="0" w:color="auto"/>
                    <w:bottom w:val="none" w:sz="0" w:space="0" w:color="auto"/>
                    <w:right w:val="none" w:sz="0" w:space="0" w:color="auto"/>
                  </w:divBdr>
                  <w:divsChild>
                    <w:div w:id="70782629">
                      <w:marLeft w:val="0"/>
                      <w:marRight w:val="0"/>
                      <w:marTop w:val="0"/>
                      <w:marBottom w:val="0"/>
                      <w:divBdr>
                        <w:top w:val="none" w:sz="0" w:space="0" w:color="auto"/>
                        <w:left w:val="none" w:sz="0" w:space="0" w:color="auto"/>
                        <w:bottom w:val="none" w:sz="0" w:space="0" w:color="auto"/>
                        <w:right w:val="none" w:sz="0" w:space="0" w:color="auto"/>
                      </w:divBdr>
                      <w:divsChild>
                        <w:div w:id="585919516">
                          <w:marLeft w:val="0"/>
                          <w:marRight w:val="0"/>
                          <w:marTop w:val="0"/>
                          <w:marBottom w:val="0"/>
                          <w:divBdr>
                            <w:top w:val="none" w:sz="0" w:space="0" w:color="auto"/>
                            <w:left w:val="none" w:sz="0" w:space="0" w:color="auto"/>
                            <w:bottom w:val="none" w:sz="0" w:space="0" w:color="auto"/>
                            <w:right w:val="none" w:sz="0" w:space="0" w:color="auto"/>
                          </w:divBdr>
                          <w:divsChild>
                            <w:div w:id="1451702160">
                              <w:marLeft w:val="0"/>
                              <w:marRight w:val="0"/>
                              <w:marTop w:val="0"/>
                              <w:marBottom w:val="0"/>
                              <w:divBdr>
                                <w:top w:val="none" w:sz="0" w:space="0" w:color="auto"/>
                                <w:left w:val="none" w:sz="0" w:space="0" w:color="auto"/>
                                <w:bottom w:val="none" w:sz="0" w:space="0" w:color="auto"/>
                                <w:right w:val="none" w:sz="0" w:space="0" w:color="auto"/>
                              </w:divBdr>
                              <w:divsChild>
                                <w:div w:id="11401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712122">
      <w:bodyDiv w:val="1"/>
      <w:marLeft w:val="0"/>
      <w:marRight w:val="0"/>
      <w:marTop w:val="0"/>
      <w:marBottom w:val="0"/>
      <w:divBdr>
        <w:top w:val="none" w:sz="0" w:space="0" w:color="auto"/>
        <w:left w:val="none" w:sz="0" w:space="0" w:color="auto"/>
        <w:bottom w:val="none" w:sz="0" w:space="0" w:color="auto"/>
        <w:right w:val="none" w:sz="0" w:space="0" w:color="auto"/>
      </w:divBdr>
      <w:divsChild>
        <w:div w:id="98264183">
          <w:marLeft w:val="0"/>
          <w:marRight w:val="0"/>
          <w:marTop w:val="0"/>
          <w:marBottom w:val="0"/>
          <w:divBdr>
            <w:top w:val="none" w:sz="0" w:space="0" w:color="auto"/>
            <w:left w:val="none" w:sz="0" w:space="0" w:color="auto"/>
            <w:bottom w:val="none" w:sz="0" w:space="0" w:color="auto"/>
            <w:right w:val="none" w:sz="0" w:space="0" w:color="auto"/>
          </w:divBdr>
          <w:divsChild>
            <w:div w:id="1580096118">
              <w:marLeft w:val="0"/>
              <w:marRight w:val="0"/>
              <w:marTop w:val="0"/>
              <w:marBottom w:val="0"/>
              <w:divBdr>
                <w:top w:val="none" w:sz="0" w:space="0" w:color="auto"/>
                <w:left w:val="single" w:sz="6" w:space="0" w:color="E2E2E2"/>
                <w:bottom w:val="none" w:sz="0" w:space="0" w:color="auto"/>
                <w:right w:val="single" w:sz="6" w:space="0" w:color="E2E2E2"/>
              </w:divBdr>
              <w:divsChild>
                <w:div w:id="1188786253">
                  <w:marLeft w:val="0"/>
                  <w:marRight w:val="0"/>
                  <w:marTop w:val="0"/>
                  <w:marBottom w:val="0"/>
                  <w:divBdr>
                    <w:top w:val="none" w:sz="0" w:space="0" w:color="auto"/>
                    <w:left w:val="none" w:sz="0" w:space="0" w:color="auto"/>
                    <w:bottom w:val="none" w:sz="0" w:space="0" w:color="auto"/>
                    <w:right w:val="none" w:sz="0" w:space="0" w:color="auto"/>
                  </w:divBdr>
                  <w:divsChild>
                    <w:div w:id="403720039">
                      <w:marLeft w:val="0"/>
                      <w:marRight w:val="0"/>
                      <w:marTop w:val="0"/>
                      <w:marBottom w:val="0"/>
                      <w:divBdr>
                        <w:top w:val="none" w:sz="0" w:space="0" w:color="auto"/>
                        <w:left w:val="none" w:sz="0" w:space="0" w:color="auto"/>
                        <w:bottom w:val="none" w:sz="0" w:space="0" w:color="auto"/>
                        <w:right w:val="none" w:sz="0" w:space="0" w:color="auto"/>
                      </w:divBdr>
                      <w:divsChild>
                        <w:div w:id="4872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2016/may/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tie.Herting@idph.iow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eana.sessoms@dhhs.n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eanna.p.avery@state.or.us" TargetMode="External"/><Relationship Id="rId4" Type="http://schemas.microsoft.com/office/2007/relationships/stylesWithEffects" Target="stylesWithEffects.xml"/><Relationship Id="rId9" Type="http://schemas.openxmlformats.org/officeDocument/2006/relationships/hyperlink" Target="mailto:allison.smith@adph.state.al.us"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7/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9091E-2BC4-4655-928B-81A718A5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3490</Words>
  <Characters>19894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23338</CharactersWithSpaces>
  <SharedDoc>false</SharedDoc>
  <HLinks>
    <vt:vector size="6" baseType="variant">
      <vt:variant>
        <vt:i4>5177387</vt:i4>
      </vt:variant>
      <vt:variant>
        <vt:i4>0</vt:i4>
      </vt:variant>
      <vt:variant>
        <vt:i4>0</vt:i4>
      </vt:variant>
      <vt:variant>
        <vt:i4>5</vt:i4>
      </vt:variant>
      <vt:variant>
        <vt:lpwstr>mailto:celia.banda-brown@cdph.ca.gov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amccallan</dc:creator>
  <cp:keywords/>
  <cp:lastModifiedBy>SYSTEM</cp:lastModifiedBy>
  <cp:revision>2</cp:revision>
  <cp:lastPrinted>2011-09-15T13:19:00Z</cp:lastPrinted>
  <dcterms:created xsi:type="dcterms:W3CDTF">2017-08-08T15:42:00Z</dcterms:created>
  <dcterms:modified xsi:type="dcterms:W3CDTF">2017-08-08T15:42:00Z</dcterms:modified>
</cp:coreProperties>
</file>