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Pr="009A1674" w:rsidRDefault="00795DF3" w:rsidP="004E3F26">
      <w:pPr>
        <w:rPr>
          <w:b/>
          <w:i/>
        </w:rPr>
      </w:pPr>
      <w:bookmarkStart w:id="0" w:name="_GoBack"/>
      <w:bookmarkEnd w:id="0"/>
    </w:p>
    <w:p w:rsidR="00D20DBE" w:rsidRPr="00D20DBE" w:rsidRDefault="00D20DBE" w:rsidP="004E3F26">
      <w:pPr>
        <w:jc w:val="center"/>
      </w:pPr>
      <w:r w:rsidRPr="00D20DBE">
        <w:t>United States Food and Drug Administration</w:t>
      </w:r>
    </w:p>
    <w:p w:rsidR="00D20DBE" w:rsidRPr="00D20DBE" w:rsidRDefault="00D20DBE" w:rsidP="004E3F26">
      <w:pPr>
        <w:jc w:val="center"/>
      </w:pPr>
    </w:p>
    <w:p w:rsidR="00D20DBE" w:rsidRPr="00D20DBE" w:rsidRDefault="00D20DBE" w:rsidP="004E3F26">
      <w:pPr>
        <w:jc w:val="center"/>
      </w:pPr>
      <w:r w:rsidRPr="00D20DBE">
        <w:t>Color Additive Certification Requests and Recordkeeping</w:t>
      </w:r>
    </w:p>
    <w:p w:rsidR="00D20DBE" w:rsidRPr="00D20DBE" w:rsidRDefault="00D20DBE" w:rsidP="004E3F26">
      <w:pPr>
        <w:jc w:val="center"/>
      </w:pPr>
    </w:p>
    <w:p w:rsidR="00D20DBE" w:rsidRPr="00D20DBE" w:rsidRDefault="00D20DBE" w:rsidP="004E3F26">
      <w:pPr>
        <w:jc w:val="center"/>
      </w:pPr>
      <w:r w:rsidRPr="00D20DBE">
        <w:t>0910-0216</w:t>
      </w:r>
    </w:p>
    <w:p w:rsidR="00B23769" w:rsidRPr="009A1674" w:rsidRDefault="00B23769" w:rsidP="004E3F26">
      <w:pPr>
        <w:jc w:val="center"/>
      </w:pPr>
    </w:p>
    <w:p w:rsidR="00EB7538" w:rsidRPr="009A1674" w:rsidRDefault="00EB7538" w:rsidP="004E3F26">
      <w:pPr>
        <w:jc w:val="center"/>
      </w:pPr>
      <w:r w:rsidRPr="009A1674">
        <w:t>SUPPORTING STATEMENT</w:t>
      </w:r>
    </w:p>
    <w:p w:rsidR="00810FF1" w:rsidRDefault="00810FF1" w:rsidP="004E3F26">
      <w:pPr>
        <w:jc w:val="center"/>
        <w:rPr>
          <w:b/>
        </w:rPr>
      </w:pPr>
    </w:p>
    <w:p w:rsidR="00810FF1" w:rsidRPr="00810FF1" w:rsidRDefault="00810FF1" w:rsidP="004E3F26">
      <w:r>
        <w:rPr>
          <w:b/>
        </w:rPr>
        <w:t xml:space="preserve">Terms of Clearance: </w:t>
      </w:r>
      <w:r w:rsidR="00D20DBE">
        <w:rPr>
          <w:b/>
        </w:rPr>
        <w:t xml:space="preserve"> </w:t>
      </w:r>
      <w:r w:rsidR="00D20DBE">
        <w:t>None.</w:t>
      </w:r>
    </w:p>
    <w:p w:rsidR="00EB7538" w:rsidRDefault="00EB7538" w:rsidP="004E3F26">
      <w:pPr>
        <w:pStyle w:val="NormalWeb"/>
      </w:pPr>
      <w:r>
        <w:rPr>
          <w:b/>
          <w:bCs/>
        </w:rPr>
        <w:t>A. Justification</w:t>
      </w:r>
    </w:p>
    <w:p w:rsidR="008B30AB" w:rsidRDefault="00EB7538" w:rsidP="004E3F26">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E93B7D" w:rsidRDefault="00E93B7D" w:rsidP="004E3F26">
      <w:pPr>
        <w:ind w:left="720"/>
      </w:pPr>
      <w:r>
        <w:t xml:space="preserve">The Food and Drug Administration (FDA or we) has </w:t>
      </w:r>
      <w:r w:rsidR="00D20DBE" w:rsidRPr="002A67C9">
        <w:t xml:space="preserve">regulatory oversight for color additives used in foods, drugs, cosmetics, and medical devices.  Section 721(a) of the Federal Food, Drug, and Cosmetic Act (the FD&amp;C Act) (21 U.S.C. 379e(a)) provides that a color additive shall be deemed to be unsafe unless it meets the requirements of a listing regulation, including any requirement for batch certification, and is used in accordance with the regulation.  </w:t>
      </w:r>
      <w:r>
        <w:t>C</w:t>
      </w:r>
      <w:r w:rsidR="00D20DBE" w:rsidRPr="002A67C9">
        <w:t>olor additives that have been shown to be safe for their intended use</w:t>
      </w:r>
      <w:r>
        <w:t xml:space="preserve"> are li</w:t>
      </w:r>
      <w:r w:rsidR="00E23D85">
        <w:t>s</w:t>
      </w:r>
      <w:r>
        <w:t>ted</w:t>
      </w:r>
      <w:r w:rsidR="00D20DBE" w:rsidRPr="002A67C9">
        <w:t xml:space="preserve"> in Title 21 of the Code of Federal Regulations (CFR).  </w:t>
      </w:r>
      <w:r>
        <w:t>B</w:t>
      </w:r>
      <w:r w:rsidR="00D20DBE" w:rsidRPr="002A67C9">
        <w:t xml:space="preserve">atch certification for all color additives </w:t>
      </w:r>
      <w:r>
        <w:t xml:space="preserve">are </w:t>
      </w:r>
      <w:r w:rsidR="00D20DBE" w:rsidRPr="002A67C9">
        <w:t>listed in 21 CFR part 74 and for all color additives provisionally listed in 21 CFR part 82.  Color additives listed in 21 CFR part 73 are exempted from certification.</w:t>
      </w:r>
    </w:p>
    <w:p w:rsidR="00E93B7D" w:rsidRDefault="00E93B7D">
      <w:pPr>
        <w:ind w:left="720"/>
      </w:pPr>
    </w:p>
    <w:p w:rsidR="00D20DBE" w:rsidRDefault="00D20DBE">
      <w:pPr>
        <w:ind w:left="720"/>
      </w:pPr>
      <w:r w:rsidRPr="002A67C9">
        <w:t xml:space="preserve">The </w:t>
      </w:r>
      <w:r w:rsidR="00E93B7D">
        <w:t xml:space="preserve">information collection </w:t>
      </w:r>
      <w:r w:rsidRPr="002A67C9">
        <w:t>requirements for color additive certification ar</w:t>
      </w:r>
      <w:r w:rsidR="00E93B7D">
        <w:t xml:space="preserve">e described in 21 CFR part 80.  </w:t>
      </w:r>
      <w:r w:rsidRPr="002A67C9">
        <w:t>In the certification procedure, a representative sample of a new batch of color additive, accompanied by a “</w:t>
      </w:r>
      <w:r w:rsidRPr="00E93B7D">
        <w:rPr>
          <w:i/>
        </w:rPr>
        <w:t>request for certification</w:t>
      </w:r>
      <w:r w:rsidRPr="002A67C9">
        <w:t>” that provides information about the batch, must be submitted to FDA’s Office of Cosmetics and Colors.  FDA personnel perform chemical and other analyses of the representative sample and, providing the sample satisfies all certification requirements, issue a certification lot number for the batch.  We charge a fee for certification based on the batch weight and require manufacturers to keep records of the batch pending and after certification.</w:t>
      </w:r>
    </w:p>
    <w:p w:rsidR="004E169C" w:rsidRDefault="004E169C">
      <w:pPr>
        <w:ind w:left="720"/>
      </w:pPr>
    </w:p>
    <w:p w:rsidR="004E169C" w:rsidRPr="008E63CF" w:rsidRDefault="004E169C">
      <w:pPr>
        <w:ind w:left="720"/>
      </w:pPr>
      <w:r>
        <w:t>Form FDA 3000 is a license that FDA returns to the respondent when they have submitted their information for this collection.  It is not included as part of information being collected by FDA and therefore is not included as needing OMB approval under the PRA for this collection of information.</w:t>
      </w:r>
    </w:p>
    <w:p w:rsidR="00D20DBE" w:rsidRPr="008E63CF" w:rsidRDefault="00D20DBE" w:rsidP="004E3F26">
      <w:pPr>
        <w:ind w:left="720"/>
      </w:pPr>
    </w:p>
    <w:p w:rsidR="00D20DBE" w:rsidRDefault="00D20DBE" w:rsidP="004E3F26">
      <w:pPr>
        <w:ind w:left="720"/>
      </w:pPr>
      <w:r w:rsidRPr="008E63CF">
        <w:t xml:space="preserve">We </w:t>
      </w:r>
      <w:r w:rsidR="00E93B7D">
        <w:t xml:space="preserve">therefore </w:t>
      </w:r>
      <w:r w:rsidRPr="008E63CF">
        <w:t xml:space="preserve">request </w:t>
      </w:r>
      <w:r w:rsidR="00E93B7D">
        <w:t xml:space="preserve">OMB approval of the information collection provisions found in the </w:t>
      </w:r>
      <w:r w:rsidRPr="008E63CF">
        <w:t xml:space="preserve">following </w:t>
      </w:r>
      <w:r w:rsidR="00E93B7D">
        <w:t>regulations</w:t>
      </w:r>
      <w:r w:rsidRPr="008E63CF">
        <w:t>:</w:t>
      </w:r>
    </w:p>
    <w:p w:rsidR="002361FF" w:rsidRDefault="002361FF" w:rsidP="004E3F26">
      <w:pPr>
        <w:ind w:left="720"/>
      </w:pPr>
    </w:p>
    <w:p w:rsidR="002361FF" w:rsidRDefault="002361FF" w:rsidP="004E3F26">
      <w:pPr>
        <w:ind w:left="720"/>
      </w:pPr>
    </w:p>
    <w:p w:rsidR="002361FF" w:rsidRPr="008E63CF" w:rsidRDefault="002361FF" w:rsidP="004E3F26">
      <w:pPr>
        <w:ind w:left="720"/>
      </w:pPr>
    </w:p>
    <w:p w:rsidR="00D20DBE" w:rsidRPr="008E63CF" w:rsidRDefault="00D20DBE" w:rsidP="004E3F26">
      <w:pPr>
        <w:ind w:left="720"/>
      </w:pPr>
    </w:p>
    <w:p w:rsidR="00D20DBE" w:rsidRPr="008E63CF" w:rsidRDefault="00D20DBE" w:rsidP="004E3F26">
      <w:pPr>
        <w:ind w:left="720"/>
      </w:pPr>
      <w:r w:rsidRPr="008E63CF">
        <w:rPr>
          <w:b/>
        </w:rPr>
        <w:lastRenderedPageBreak/>
        <w:t>21 CFR 80.21 -- Reporting</w:t>
      </w:r>
    </w:p>
    <w:p w:rsidR="00D20DBE" w:rsidRDefault="00D20DBE" w:rsidP="004E3F26">
      <w:pPr>
        <w:ind w:left="720"/>
      </w:pPr>
      <w:r w:rsidRPr="008E63CF">
        <w:t xml:space="preserve">Under § 80.21, a request for certification must include: Name of color additive, manufacturer's batch number and weight in pounds, name and address of manufacturer, storage conditions, statement of use(s), certification fee, and signature of person requesting certification. </w:t>
      </w:r>
    </w:p>
    <w:p w:rsidR="00D20DBE" w:rsidRPr="008E63CF" w:rsidRDefault="00D20DBE" w:rsidP="004E3F26">
      <w:pPr>
        <w:ind w:left="720"/>
      </w:pPr>
    </w:p>
    <w:p w:rsidR="00D20DBE" w:rsidRPr="008E63CF" w:rsidRDefault="00D20DBE" w:rsidP="004E3F26">
      <w:pPr>
        <w:ind w:left="720"/>
      </w:pPr>
      <w:r w:rsidRPr="008E63CF">
        <w:rPr>
          <w:b/>
        </w:rPr>
        <w:t>21 CFR 80.22 -- Reporting</w:t>
      </w:r>
    </w:p>
    <w:p w:rsidR="00D20DBE" w:rsidRPr="008E63CF" w:rsidRDefault="00D20DBE" w:rsidP="004E3F26">
      <w:pPr>
        <w:ind w:left="720"/>
      </w:pPr>
      <w:r w:rsidRPr="008E63CF">
        <w:t xml:space="preserve">Under § 80.22, a request for certification must include a sample of the batch of color additive that is the subject of the request. </w:t>
      </w:r>
      <w:r>
        <w:t xml:space="preserve"> </w:t>
      </w:r>
      <w:r w:rsidRPr="008E63CF">
        <w:t xml:space="preserve">The sample must be labeled to show: </w:t>
      </w:r>
      <w:r w:rsidR="004E3F26">
        <w:t xml:space="preserve"> n</w:t>
      </w:r>
      <w:r w:rsidRPr="008E63CF">
        <w:t>ame of color additive</w:t>
      </w:r>
      <w:r w:rsidR="004E3F26">
        <w:t>;</w:t>
      </w:r>
      <w:r w:rsidRPr="008E63CF">
        <w:t xml:space="preserve"> manufacturer's batch number and quantity</w:t>
      </w:r>
      <w:r w:rsidR="004E3F26">
        <w:t>;</w:t>
      </w:r>
      <w:r w:rsidRPr="008E63CF">
        <w:t xml:space="preserve"> and name and address of person requesting certification.</w:t>
      </w:r>
    </w:p>
    <w:p w:rsidR="00D20DBE" w:rsidRPr="008E63CF" w:rsidRDefault="00D20DBE" w:rsidP="004E3F26">
      <w:pPr>
        <w:ind w:left="720"/>
      </w:pPr>
    </w:p>
    <w:p w:rsidR="00D20DBE" w:rsidRPr="008E63CF" w:rsidRDefault="00D20DBE" w:rsidP="004E3F26">
      <w:pPr>
        <w:ind w:left="720"/>
      </w:pPr>
      <w:r w:rsidRPr="008E63CF">
        <w:rPr>
          <w:b/>
        </w:rPr>
        <w:t>21 CFR 80.39 -- Recordkeeping</w:t>
      </w:r>
    </w:p>
    <w:p w:rsidR="00D20DBE" w:rsidRDefault="00D20DBE" w:rsidP="004E3F26">
      <w:pPr>
        <w:ind w:left="720"/>
      </w:pPr>
      <w:r w:rsidRPr="008E63CF">
        <w:t xml:space="preserve">Under § 80.39, the person to whom a certificate is issued must keep complete records showing the disposal of all the color additive covered by the certificate. </w:t>
      </w:r>
      <w:r>
        <w:t xml:space="preserve"> </w:t>
      </w:r>
      <w:r w:rsidRPr="008E63CF">
        <w:t>Such records are to be made available upon request to any accredited representative of FDA until at least 2 years after disposal of all the color additive.</w:t>
      </w:r>
    </w:p>
    <w:p w:rsidR="008B30AB" w:rsidRPr="002746DB" w:rsidRDefault="00EB7538" w:rsidP="00E93B7D">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B43552" w:rsidRPr="008E63CF" w:rsidRDefault="00B43552" w:rsidP="00E93B7D">
      <w:pPr>
        <w:ind w:left="720"/>
        <w:rPr>
          <w:iCs/>
        </w:rPr>
      </w:pPr>
      <w:r w:rsidRPr="008E63CF">
        <w:rPr>
          <w:iCs/>
        </w:rPr>
        <w:t xml:space="preserve">As described above, FDA’s regulations require that </w:t>
      </w:r>
      <w:r w:rsidRPr="008E63CF">
        <w:t>a representative sample of each new batch of color additive, accompanied by a “</w:t>
      </w:r>
      <w:r w:rsidRPr="00E93B7D">
        <w:rPr>
          <w:i/>
        </w:rPr>
        <w:t>request for certification</w:t>
      </w:r>
      <w:r w:rsidRPr="008E63CF">
        <w:t>” that provides information about the batch be submitted to FDA</w:t>
      </w:r>
      <w:r>
        <w:t>’</w:t>
      </w:r>
      <w:r w:rsidRPr="008E63CF">
        <w:t xml:space="preserve">s Office of Cosmetics and Colors.  </w:t>
      </w:r>
      <w:r w:rsidRPr="008E63CF">
        <w:rPr>
          <w:iCs/>
        </w:rPr>
        <w:t xml:space="preserve">The purpose for collecting this information is to help FDA assure that only safe color additives will be used in </w:t>
      </w:r>
      <w:r>
        <w:rPr>
          <w:iCs/>
        </w:rPr>
        <w:t xml:space="preserve">FDA-regulated </w:t>
      </w:r>
      <w:r w:rsidRPr="008E63CF">
        <w:rPr>
          <w:iCs/>
        </w:rPr>
        <w:t xml:space="preserve">foods, drugs, cosmetics, and medical devices.  FDA personnel perform chemical and other analyses of the representative sample and, providing the sample satisfies all certification requirements, issue a certification lot number for the batch.   </w:t>
      </w:r>
    </w:p>
    <w:p w:rsidR="00B43552" w:rsidRPr="008E63CF" w:rsidRDefault="00B43552" w:rsidP="00E93B7D">
      <w:pPr>
        <w:ind w:left="720"/>
      </w:pPr>
    </w:p>
    <w:p w:rsidR="00B43552" w:rsidRPr="008E63CF" w:rsidRDefault="00B43552" w:rsidP="00E93B7D">
      <w:pPr>
        <w:ind w:left="720"/>
      </w:pPr>
      <w:r w:rsidRPr="008E63CF">
        <w:t>The manufacturer</w:t>
      </w:r>
      <w:r>
        <w:t>’</w:t>
      </w:r>
      <w:r w:rsidRPr="008E63CF">
        <w:t>s batch number is used for temporarily identifying a batch of color additive until FDA issues a certification lot number and for identifying a certified batch during inspections.  The manufacturer's batch number also aids in tracing the disposal of a certified batch or a batch that has been refused certification for noncompliance with the color additive regulations.  The manufacturer's batch weight is used for assessing the certification fee.  The batch weight also is used to account for the disposal of a batch of certified or certification-rejected color additive.  The batch weight can be used in a recall to determine whether all unused color additive in the batch has been recalled.  The manufacturer</w:t>
      </w:r>
      <w:r>
        <w:t>’</w:t>
      </w:r>
      <w:r w:rsidRPr="008E63CF">
        <w:t>s name and address and the name and address of the person requesting certification are used to contact the person responsible should a question arise concerning compliance with the color additive regulations.</w:t>
      </w:r>
    </w:p>
    <w:p w:rsidR="00B43552" w:rsidRPr="008E63CF" w:rsidRDefault="00B43552" w:rsidP="00E93B7D">
      <w:pPr>
        <w:ind w:left="720"/>
      </w:pPr>
    </w:p>
    <w:p w:rsidR="00B43552" w:rsidRDefault="00B43552" w:rsidP="00E93B7D">
      <w:pPr>
        <w:ind w:left="720"/>
      </w:pPr>
      <w:r w:rsidRPr="008E63CF">
        <w:t xml:space="preserve">Information on storage conditions pending certification is used to evaluate whether a batch of certified color additive is inadvertently or intentionally altered in a manner that would make the sample submitted for certification analysis unrepresentative of the batch.  FDA checks storage information during inspections.  Information on intended uses for a batch of color additive is used to assure that a batch of certified color additive will be </w:t>
      </w:r>
      <w:r w:rsidRPr="008E63CF">
        <w:lastRenderedPageBreak/>
        <w:t>used in accordance with the requirements of its listing regulation.  The statement of the fee on a certification request is used for accounting purposes so that a person requesting certification can be notified promptly of any discrepancies.</w:t>
      </w:r>
    </w:p>
    <w:p w:rsidR="00B43552" w:rsidRDefault="00B43552" w:rsidP="00B4355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CC2894" w:rsidRDefault="00B43552" w:rsidP="00B43552">
      <w:pPr>
        <w:tabs>
          <w:tab w:val="left" w:pos="720"/>
        </w:tabs>
        <w:ind w:left="720"/>
        <w:rPr>
          <w:i/>
        </w:rPr>
      </w:pPr>
      <w:r w:rsidRPr="000721BC">
        <w:rPr>
          <w:i/>
        </w:rPr>
        <w:t>Description of Respondents</w:t>
      </w:r>
      <w:r w:rsidRPr="000721BC">
        <w:t xml:space="preserve">: </w:t>
      </w:r>
      <w:r w:rsidR="00E93B7D">
        <w:t xml:space="preserve"> </w:t>
      </w:r>
      <w:r w:rsidRPr="000721BC">
        <w:t xml:space="preserve">The respondents include businesses engaged in the manufacture </w:t>
      </w:r>
      <w:r>
        <w:t>of color additives</w:t>
      </w:r>
      <w:r w:rsidRPr="000721BC">
        <w:rPr>
          <w:iCs/>
        </w:rPr>
        <w:t xml:space="preserve"> </w:t>
      </w:r>
      <w:r w:rsidRPr="008E63CF">
        <w:rPr>
          <w:iCs/>
        </w:rPr>
        <w:t xml:space="preserve">used in </w:t>
      </w:r>
      <w:r>
        <w:rPr>
          <w:iCs/>
        </w:rPr>
        <w:t xml:space="preserve">FDA-regulated </w:t>
      </w:r>
      <w:r w:rsidRPr="008E63CF">
        <w:rPr>
          <w:iCs/>
        </w:rPr>
        <w:t>foods, drugs, cosmetics, and medical devices</w:t>
      </w:r>
      <w:r w:rsidRPr="000721BC">
        <w:t>.</w:t>
      </w:r>
      <w:r>
        <w:t xml:space="preserve"> </w:t>
      </w:r>
      <w:r w:rsidRPr="000721BC">
        <w:t xml:space="preserve"> Respondents are from the private sector (for-profit businesses).</w:t>
      </w:r>
    </w:p>
    <w:p w:rsidR="002746DB" w:rsidRPr="004C6979" w:rsidRDefault="00EB7538" w:rsidP="004E3F26">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001603F1" w:rsidRPr="001603F1" w:rsidRDefault="00B43552" w:rsidP="00E93B7D">
      <w:pPr>
        <w:ind w:left="720"/>
      </w:pPr>
      <w:r>
        <w:t xml:space="preserve">In FY 2007, </w:t>
      </w:r>
      <w:r w:rsidRPr="00B43552">
        <w:t>FDA</w:t>
      </w:r>
      <w:r>
        <w:t>’s</w:t>
      </w:r>
      <w:r w:rsidRPr="00B43552">
        <w:t xml:space="preserve"> Web-based Color Certification information system</w:t>
      </w:r>
      <w:r>
        <w:t xml:space="preserve"> became </w:t>
      </w:r>
      <w:r w:rsidRPr="00B43552">
        <w:t xml:space="preserve">fully operational.  </w:t>
      </w:r>
      <w:r w:rsidR="00E93B7D">
        <w:t>Respondents</w:t>
      </w:r>
      <w:r w:rsidR="00E23D85">
        <w:t xml:space="preserve"> </w:t>
      </w:r>
      <w:r>
        <w:t>may</w:t>
      </w:r>
      <w:r w:rsidRPr="00B43552">
        <w:t xml:space="preserve"> request color certification online, </w:t>
      </w:r>
      <w:r w:rsidR="00E93B7D">
        <w:t xml:space="preserve">track </w:t>
      </w:r>
      <w:r w:rsidRPr="00B43552">
        <w:t xml:space="preserve">their submissions, and obtain </w:t>
      </w:r>
      <w:r w:rsidR="00E93B7D">
        <w:t xml:space="preserve">account status </w:t>
      </w:r>
      <w:r w:rsidRPr="00B43552">
        <w:t xml:space="preserve">information.  </w:t>
      </w:r>
      <w:r>
        <w:t>S</w:t>
      </w:r>
      <w:r w:rsidRPr="00B43552">
        <w:t xml:space="preserve">ystem certification results </w:t>
      </w:r>
      <w:r>
        <w:t xml:space="preserve">are returned </w:t>
      </w:r>
      <w:r w:rsidRPr="00B43552">
        <w:t>electronically, allowing submitters to sell their certified color before receiving hard copy certificates.  Any delays in the system result only from shipment of color additive samples to FDA’s Office of Cosmetics and Colors for analysis.  The agency estimates that about ninety-five percent (95%) of the “requests for certification” will be submitted electronically in the next three years.</w:t>
      </w:r>
    </w:p>
    <w:p w:rsidR="002746DB" w:rsidRPr="002746DB" w:rsidRDefault="00EB7538" w:rsidP="005625D4">
      <w:pPr>
        <w:numPr>
          <w:ilvl w:val="0"/>
          <w:numId w:val="1"/>
        </w:numPr>
        <w:tabs>
          <w:tab w:val="clear" w:pos="720"/>
        </w:tabs>
        <w:spacing w:before="100" w:beforeAutospacing="1" w:after="100" w:afterAutospacing="1"/>
        <w:rPr>
          <w:u w:val="single"/>
        </w:rPr>
      </w:pPr>
      <w:r w:rsidRPr="002746DB">
        <w:rPr>
          <w:u w:val="single"/>
        </w:rPr>
        <w:t xml:space="preserve">Efforts to Identify Duplication and Use of Similar Information </w:t>
      </w:r>
    </w:p>
    <w:p w:rsidR="002746DB" w:rsidRPr="004C6979" w:rsidRDefault="00E93B7D" w:rsidP="005625D4">
      <w:pPr>
        <w:ind w:left="720"/>
        <w:rPr>
          <w:u w:val="single"/>
        </w:rPr>
      </w:pPr>
      <w:r>
        <w:rPr>
          <w:bCs/>
        </w:rPr>
        <w:t>We are unaware of duplicative information collection.</w:t>
      </w:r>
      <w:r w:rsidR="001603F1" w:rsidRPr="008E63CF">
        <w:rPr>
          <w:bCs/>
        </w:rPr>
        <w:t xml:space="preserve">  </w:t>
      </w:r>
      <w:r>
        <w:rPr>
          <w:bCs/>
        </w:rPr>
        <w:t>FDA is statutorily required to enforce associated regulations regarding the safety of food for human consumption.</w:t>
      </w:r>
      <w:r w:rsidR="005625D4">
        <w:rPr>
          <w:bCs/>
        </w:rPr>
        <w:t xml:space="preserve">  The information collection supports the regulations.</w:t>
      </w:r>
    </w:p>
    <w:p w:rsidR="005625D4" w:rsidRDefault="005625D4" w:rsidP="005625D4">
      <w:pPr>
        <w:ind w:left="720"/>
      </w:pPr>
    </w:p>
    <w:p w:rsidR="005625D4" w:rsidRDefault="005625D4" w:rsidP="005625D4">
      <w:pPr>
        <w:pStyle w:val="ListParagraph"/>
        <w:numPr>
          <w:ilvl w:val="0"/>
          <w:numId w:val="1"/>
        </w:numPr>
      </w:pPr>
      <w:r>
        <w:rPr>
          <w:u w:val="single"/>
        </w:rPr>
        <w:t>Impact on Small Business or other Small Entities</w:t>
      </w:r>
    </w:p>
    <w:p w:rsidR="005625D4" w:rsidRDefault="005625D4" w:rsidP="005625D4">
      <w:pPr>
        <w:pStyle w:val="ListParagraph"/>
      </w:pPr>
    </w:p>
    <w:p w:rsidR="00CD77C3" w:rsidRDefault="001603F1" w:rsidP="005625D4">
      <w:pPr>
        <w:pStyle w:val="ListParagraph"/>
      </w:pPr>
      <w:r w:rsidRPr="00245A42">
        <w:t xml:space="preserve">FDA </w:t>
      </w:r>
      <w:r>
        <w:t>estimates that ten percent (10%</w:t>
      </w:r>
      <w:r w:rsidR="00D34D90">
        <w:t xml:space="preserve"> or 4 total</w:t>
      </w:r>
      <w:r>
        <w:t xml:space="preserve">) </w:t>
      </w:r>
      <w:r w:rsidRPr="00245A42">
        <w:t xml:space="preserve">of </w:t>
      </w:r>
      <w:r>
        <w:t>respondents</w:t>
      </w:r>
      <w:r w:rsidRPr="00245A42">
        <w:t xml:space="preserve"> </w:t>
      </w:r>
      <w:r>
        <w:t>are</w:t>
      </w:r>
      <w:r w:rsidRPr="00245A42">
        <w:t xml:space="preserve"> small businesses</w:t>
      </w:r>
      <w:r>
        <w:t xml:space="preserve">.  </w:t>
      </w:r>
      <w:r w:rsidRPr="008E63CF">
        <w:t xml:space="preserve">The reporting and recordkeeping requirements of these regulations are mandated by the </w:t>
      </w:r>
      <w:r>
        <w:t>FD&amp;C Act</w:t>
      </w:r>
      <w:r w:rsidRPr="008E63CF">
        <w:t xml:space="preserve"> and there is no statutory exception for small businesses. </w:t>
      </w:r>
      <w:r w:rsidRPr="00EC73B5">
        <w:t xml:space="preserve"> </w:t>
      </w:r>
      <w:r w:rsidRPr="005A6C7D">
        <w:t xml:space="preserve">FDA aids small businesses in </w:t>
      </w:r>
      <w:r>
        <w:t>complying</w:t>
      </w:r>
      <w:r w:rsidRPr="005A6C7D">
        <w:t xml:space="preserve"> with </w:t>
      </w:r>
      <w:r>
        <w:t>its</w:t>
      </w:r>
      <w:r w:rsidRPr="005A6C7D">
        <w:t xml:space="preserve"> requirements through </w:t>
      </w:r>
      <w:r w:rsidRPr="005112BB">
        <w:t>the agency’s Regional Small Business Representatives</w:t>
      </w:r>
      <w:r w:rsidRPr="005A6C7D">
        <w:t xml:space="preserve"> and through the scientific and administrative staffs </w:t>
      </w:r>
      <w:r>
        <w:t>within</w:t>
      </w:r>
      <w:r w:rsidRPr="005A6C7D">
        <w:t xml:space="preserve"> the agency.</w:t>
      </w:r>
      <w:r>
        <w:t xml:space="preserve">  </w:t>
      </w:r>
      <w:r w:rsidRPr="005112BB">
        <w:t xml:space="preserve">FDA has provided a Small Business Guide on the agency’s website at </w:t>
      </w:r>
      <w:hyperlink r:id="rId8" w:history="1">
        <w:r w:rsidRPr="005112BB">
          <w:rPr>
            <w:rStyle w:val="Hyperlink"/>
          </w:rPr>
          <w:t>http://www.fda.gov/oc/industry/</w:t>
        </w:r>
      </w:hyperlink>
      <w:r w:rsidRPr="005112BB">
        <w:t>.</w:t>
      </w:r>
    </w:p>
    <w:p w:rsidR="00CD77C3" w:rsidRPr="004C6979" w:rsidRDefault="00EB7538" w:rsidP="005625D4">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00CD77C3" w:rsidRDefault="001603F1" w:rsidP="00E93B7D">
      <w:pPr>
        <w:ind w:left="720"/>
      </w:pPr>
      <w:r w:rsidRPr="001603F1">
        <w:t>Data collection occurs occasionally.  The information in a request for color additive certification is required by the FD&amp;C Act and implementing regulations.  Without this information, FDA could not assure the safety of batches of color additives.  This information is collected once for each new batch of a color additive and therefore cannot be collected less frequently.</w:t>
      </w:r>
    </w:p>
    <w:p w:rsidR="00CD77C3" w:rsidRPr="004C6979" w:rsidRDefault="00EB7538" w:rsidP="005625D4">
      <w:pPr>
        <w:numPr>
          <w:ilvl w:val="0"/>
          <w:numId w:val="1"/>
        </w:numPr>
        <w:tabs>
          <w:tab w:val="clear" w:pos="720"/>
        </w:tabs>
        <w:spacing w:before="100" w:beforeAutospacing="1" w:after="100" w:afterAutospacing="1"/>
        <w:rPr>
          <w:u w:val="single"/>
        </w:rPr>
      </w:pPr>
      <w:r w:rsidRPr="004C6979">
        <w:rPr>
          <w:u w:val="single"/>
        </w:rPr>
        <w:t>Special Circumstances Relating to the Guidelines of 5 CFR 1320.5</w:t>
      </w:r>
    </w:p>
    <w:p w:rsidR="00165698" w:rsidRDefault="001603F1" w:rsidP="00E93B7D">
      <w:pPr>
        <w:ind w:left="720"/>
      </w:pPr>
      <w:r>
        <w:t>There are no special circumstances associated with this collection of information.</w:t>
      </w:r>
    </w:p>
    <w:p w:rsidR="00CD77C3" w:rsidRDefault="00EB7538" w:rsidP="00E93B7D">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E93B7D">
      <w:pPr>
        <w:ind w:left="720"/>
      </w:pPr>
      <w:r w:rsidRPr="001603F1">
        <w:t xml:space="preserve">In accordance with 5 CFR 1320.8(d), FDA published a 60 day notice for public comment in the </w:t>
      </w:r>
      <w:r w:rsidR="00661BD8" w:rsidRPr="00661BD8">
        <w:rPr>
          <w:u w:val="single"/>
        </w:rPr>
        <w:t>Federal</w:t>
      </w:r>
      <w:r w:rsidRPr="00661BD8">
        <w:rPr>
          <w:u w:val="single"/>
        </w:rPr>
        <w:t xml:space="preserve"> </w:t>
      </w:r>
      <w:r w:rsidR="00661BD8" w:rsidRPr="00661BD8">
        <w:rPr>
          <w:u w:val="single"/>
        </w:rPr>
        <w:t>Register</w:t>
      </w:r>
      <w:r w:rsidR="00661BD8" w:rsidRPr="001603F1">
        <w:t xml:space="preserve"> </w:t>
      </w:r>
      <w:r w:rsidRPr="001603F1">
        <w:t xml:space="preserve">of </w:t>
      </w:r>
      <w:r w:rsidR="001603F1">
        <w:t>June 14, 2017</w:t>
      </w:r>
      <w:r w:rsidRPr="001603F1">
        <w:t xml:space="preserve"> (</w:t>
      </w:r>
      <w:r w:rsidR="001603F1">
        <w:t>82 FR 27259</w:t>
      </w:r>
      <w:r w:rsidRPr="001603F1">
        <w:t>).  No comments were received</w:t>
      </w:r>
      <w:r w:rsidR="001603F1">
        <w:t>.</w:t>
      </w:r>
    </w:p>
    <w:p w:rsidR="00CD77C3" w:rsidRPr="004C6979" w:rsidRDefault="00EB7538" w:rsidP="00E93B7D">
      <w:pPr>
        <w:numPr>
          <w:ilvl w:val="0"/>
          <w:numId w:val="1"/>
        </w:numPr>
        <w:tabs>
          <w:tab w:val="clear" w:pos="720"/>
        </w:tabs>
        <w:spacing w:before="100" w:beforeAutospacing="1" w:after="100" w:afterAutospacing="1"/>
        <w:rPr>
          <w:u w:val="single"/>
        </w:rPr>
      </w:pPr>
      <w:r w:rsidRPr="004C6979">
        <w:rPr>
          <w:u w:val="single"/>
        </w:rPr>
        <w:t>Explanation of Any Payment or Gift to Respondents</w:t>
      </w:r>
    </w:p>
    <w:p w:rsidR="00CD77C3" w:rsidRDefault="002D0ADB" w:rsidP="00E93B7D">
      <w:pPr>
        <w:ind w:left="720"/>
      </w:pPr>
      <w:r w:rsidRPr="002D0ADB">
        <w:t>FDA does not provide any payments or gifts to respondents.</w:t>
      </w:r>
    </w:p>
    <w:p w:rsidR="00CD77C3" w:rsidRPr="004C6979" w:rsidRDefault="00EB7538" w:rsidP="00E93B7D">
      <w:pPr>
        <w:numPr>
          <w:ilvl w:val="0"/>
          <w:numId w:val="1"/>
        </w:numPr>
        <w:tabs>
          <w:tab w:val="clear" w:pos="720"/>
        </w:tabs>
        <w:spacing w:before="100" w:beforeAutospacing="1" w:after="100" w:afterAutospacing="1"/>
        <w:rPr>
          <w:u w:val="single"/>
        </w:rPr>
      </w:pPr>
      <w:r w:rsidRPr="004C6979">
        <w:rPr>
          <w:u w:val="single"/>
        </w:rPr>
        <w:t>Assurance of Confidentiality Provided to Respondents</w:t>
      </w:r>
    </w:p>
    <w:p w:rsidR="00107885" w:rsidRDefault="002D0ADB" w:rsidP="00E93B7D">
      <w:pPr>
        <w:ind w:left="720"/>
      </w:pPr>
      <w:r w:rsidRPr="008E63CF">
        <w:t xml:space="preserve">Sections 80.21, 80.22, and 80.39 do not specify confidentiality.  However, FDA considers the information collected in the requests for color additive certification to be privileged commercial information exempt from release under the provisions of the Freedom of Information Act (FOIA) to the maximum extent permitted by that statute and FDA regulations.  Confidentiality of the information submitted is protected from disclosure under FOIA under sections 552(a) and (b) (5 U.S.C. 552(a) and (b)), and by part 20 of the agency’s regulations (21 CFR part 20).  The information also is safeguarded by Section 301(j) of the </w:t>
      </w:r>
      <w:r>
        <w:t>FD&amp;C Act</w:t>
      </w:r>
      <w:r w:rsidRPr="008E63CF">
        <w:t xml:space="preserve"> (21 U.S.C. 331(j).  Accordingly, all color additive certification files are maintained in a secured area.</w:t>
      </w:r>
    </w:p>
    <w:p w:rsidR="004C6979" w:rsidRPr="004C6979" w:rsidRDefault="00EB7538" w:rsidP="00E93B7D">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4C6979" w:rsidRDefault="002D0ADB" w:rsidP="00E93B7D">
      <w:pPr>
        <w:pStyle w:val="BodyText2"/>
        <w:ind w:left="720"/>
      </w:pPr>
      <w:r w:rsidRPr="002D0ADB">
        <w:rPr>
          <w:szCs w:val="24"/>
        </w:rPr>
        <w:t>This information collection does not involve questions that are of a personally sensitive nature.</w:t>
      </w:r>
    </w:p>
    <w:p w:rsidR="004C6979" w:rsidRPr="004C6979" w:rsidRDefault="00EB7538" w:rsidP="00E93B7D">
      <w:pPr>
        <w:numPr>
          <w:ilvl w:val="0"/>
          <w:numId w:val="1"/>
        </w:numPr>
        <w:tabs>
          <w:tab w:val="clear" w:pos="720"/>
        </w:tabs>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4C6979"/>
    <w:p w:rsidR="002D0ADB" w:rsidRPr="002D0ADB" w:rsidRDefault="002D0ADB" w:rsidP="002D0ADB">
      <w:pPr>
        <w:ind w:left="720"/>
        <w:rPr>
          <w:szCs w:val="20"/>
        </w:rPr>
      </w:pPr>
      <w:r w:rsidRPr="002D0ADB">
        <w:rPr>
          <w:szCs w:val="20"/>
        </w:rPr>
        <w:t>FDA estimates the burden of this collection of information as follows:</w:t>
      </w:r>
    </w:p>
    <w:p w:rsidR="002D0ADB" w:rsidRPr="002D0ADB" w:rsidRDefault="002D0ADB" w:rsidP="002D0ADB">
      <w:pPr>
        <w:rPr>
          <w:szCs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800"/>
        <w:gridCol w:w="1440"/>
        <w:gridCol w:w="1710"/>
        <w:gridCol w:w="1290"/>
      </w:tblGrid>
      <w:tr w:rsidR="002D0ADB" w:rsidRPr="002D0ADB" w:rsidTr="00FC31E5">
        <w:tc>
          <w:tcPr>
            <w:tcW w:w="9948" w:type="dxa"/>
            <w:gridSpan w:val="6"/>
          </w:tcPr>
          <w:p w:rsidR="002D0ADB" w:rsidRPr="002D0ADB" w:rsidRDefault="002D0ADB" w:rsidP="00A00DF4">
            <w:pPr>
              <w:jc w:val="center"/>
              <w:rPr>
                <w:szCs w:val="20"/>
                <w:vertAlign w:val="superscript"/>
              </w:rPr>
            </w:pPr>
            <w:r w:rsidRPr="002D0ADB">
              <w:rPr>
                <w:szCs w:val="20"/>
              </w:rPr>
              <w:t>Table 1</w:t>
            </w:r>
            <w:r w:rsidR="005B1D9F">
              <w:rPr>
                <w:szCs w:val="20"/>
              </w:rPr>
              <w:t xml:space="preserve"> </w:t>
            </w:r>
            <w:r w:rsidRPr="002D0ADB">
              <w:rPr>
                <w:szCs w:val="20"/>
              </w:rPr>
              <w:t>--Estimated Annual Reporting Burden</w:t>
            </w:r>
            <w:r w:rsidRPr="002D0ADB">
              <w:rPr>
                <w:szCs w:val="20"/>
                <w:vertAlign w:val="superscript"/>
              </w:rPr>
              <w:t>1</w:t>
            </w:r>
          </w:p>
        </w:tc>
      </w:tr>
      <w:tr w:rsidR="002D0ADB" w:rsidRPr="002D0ADB" w:rsidTr="00FC31E5">
        <w:tc>
          <w:tcPr>
            <w:tcW w:w="2088" w:type="dxa"/>
          </w:tcPr>
          <w:p w:rsidR="002D0ADB" w:rsidRPr="002D0ADB" w:rsidRDefault="002D0ADB" w:rsidP="00A00DF4">
            <w:pPr>
              <w:rPr>
                <w:szCs w:val="20"/>
              </w:rPr>
            </w:pPr>
            <w:r w:rsidRPr="002D0ADB">
              <w:rPr>
                <w:szCs w:val="20"/>
              </w:rPr>
              <w:t>21 CFR Section</w:t>
            </w:r>
            <w:r w:rsidR="00A00DF4">
              <w:rPr>
                <w:szCs w:val="20"/>
              </w:rPr>
              <w:t>/</w:t>
            </w:r>
            <w:r w:rsidRPr="002D0ADB">
              <w:rPr>
                <w:szCs w:val="20"/>
              </w:rPr>
              <w:t xml:space="preserve"> Activity</w:t>
            </w:r>
          </w:p>
        </w:tc>
        <w:tc>
          <w:tcPr>
            <w:tcW w:w="1620" w:type="dxa"/>
          </w:tcPr>
          <w:p w:rsidR="002D0ADB" w:rsidRPr="002D0ADB" w:rsidRDefault="002D0ADB" w:rsidP="002D0ADB">
            <w:pPr>
              <w:rPr>
                <w:szCs w:val="20"/>
              </w:rPr>
            </w:pPr>
            <w:r w:rsidRPr="002D0ADB">
              <w:rPr>
                <w:szCs w:val="20"/>
              </w:rPr>
              <w:t>N</w:t>
            </w:r>
            <w:r w:rsidR="005B1D9F">
              <w:rPr>
                <w:szCs w:val="20"/>
              </w:rPr>
              <w:t>umber</w:t>
            </w:r>
            <w:r w:rsidRPr="002D0ADB">
              <w:rPr>
                <w:szCs w:val="20"/>
              </w:rPr>
              <w:t xml:space="preserve"> of Respondents</w:t>
            </w:r>
          </w:p>
        </w:tc>
        <w:tc>
          <w:tcPr>
            <w:tcW w:w="1800" w:type="dxa"/>
          </w:tcPr>
          <w:p w:rsidR="002D0ADB" w:rsidRPr="002D0ADB" w:rsidRDefault="002D0ADB" w:rsidP="002D0ADB">
            <w:pPr>
              <w:rPr>
                <w:szCs w:val="20"/>
              </w:rPr>
            </w:pPr>
            <w:r w:rsidRPr="002D0ADB">
              <w:rPr>
                <w:szCs w:val="20"/>
              </w:rPr>
              <w:t>N</w:t>
            </w:r>
            <w:r w:rsidR="005B1D9F">
              <w:rPr>
                <w:szCs w:val="20"/>
              </w:rPr>
              <w:t>umber</w:t>
            </w:r>
            <w:r w:rsidRPr="002D0ADB">
              <w:rPr>
                <w:szCs w:val="20"/>
              </w:rPr>
              <w:t xml:space="preserve"> of Responses per Respondent</w:t>
            </w:r>
          </w:p>
        </w:tc>
        <w:tc>
          <w:tcPr>
            <w:tcW w:w="1440" w:type="dxa"/>
          </w:tcPr>
          <w:p w:rsidR="002D0ADB" w:rsidRPr="002D0ADB" w:rsidRDefault="002D0ADB" w:rsidP="002D0ADB">
            <w:pPr>
              <w:rPr>
                <w:szCs w:val="20"/>
              </w:rPr>
            </w:pPr>
            <w:r w:rsidRPr="002D0ADB">
              <w:rPr>
                <w:szCs w:val="20"/>
              </w:rPr>
              <w:t>Total Annual Responses</w:t>
            </w:r>
          </w:p>
        </w:tc>
        <w:tc>
          <w:tcPr>
            <w:tcW w:w="1710" w:type="dxa"/>
          </w:tcPr>
          <w:p w:rsidR="002D0ADB" w:rsidRPr="002D0ADB" w:rsidRDefault="002D0ADB" w:rsidP="002D0ADB">
            <w:pPr>
              <w:rPr>
                <w:szCs w:val="20"/>
              </w:rPr>
            </w:pPr>
            <w:r w:rsidRPr="002D0ADB">
              <w:rPr>
                <w:szCs w:val="20"/>
              </w:rPr>
              <w:t>Average Burden per Response</w:t>
            </w:r>
          </w:p>
        </w:tc>
        <w:tc>
          <w:tcPr>
            <w:tcW w:w="1290" w:type="dxa"/>
          </w:tcPr>
          <w:p w:rsidR="002D0ADB" w:rsidRPr="002D0ADB" w:rsidRDefault="002D0ADB" w:rsidP="002D0ADB">
            <w:pPr>
              <w:rPr>
                <w:szCs w:val="20"/>
              </w:rPr>
            </w:pPr>
            <w:r w:rsidRPr="002D0ADB">
              <w:rPr>
                <w:szCs w:val="20"/>
              </w:rPr>
              <w:t>Total Hours</w:t>
            </w:r>
          </w:p>
        </w:tc>
      </w:tr>
      <w:tr w:rsidR="002D0ADB" w:rsidRPr="002D0ADB" w:rsidTr="00FC31E5">
        <w:tc>
          <w:tcPr>
            <w:tcW w:w="2088" w:type="dxa"/>
            <w:tcBorders>
              <w:bottom w:val="nil"/>
            </w:tcBorders>
          </w:tcPr>
          <w:p w:rsidR="002D0ADB" w:rsidRPr="002D0ADB" w:rsidRDefault="002D0ADB" w:rsidP="002D0ADB">
            <w:pPr>
              <w:rPr>
                <w:szCs w:val="20"/>
              </w:rPr>
            </w:pPr>
            <w:r w:rsidRPr="002D0ADB">
              <w:rPr>
                <w:szCs w:val="20"/>
              </w:rPr>
              <w:t>80.21; Request for certification</w:t>
            </w:r>
          </w:p>
        </w:tc>
        <w:tc>
          <w:tcPr>
            <w:tcW w:w="1620" w:type="dxa"/>
            <w:tcBorders>
              <w:bottom w:val="nil"/>
            </w:tcBorders>
          </w:tcPr>
          <w:p w:rsidR="002D0ADB" w:rsidRPr="002D0ADB" w:rsidRDefault="002D0ADB" w:rsidP="002D0ADB">
            <w:pPr>
              <w:rPr>
                <w:szCs w:val="20"/>
              </w:rPr>
            </w:pPr>
            <w:r w:rsidRPr="002D0ADB">
              <w:rPr>
                <w:szCs w:val="20"/>
              </w:rPr>
              <w:t>3</w:t>
            </w:r>
            <w:r w:rsidR="005B1D9F">
              <w:rPr>
                <w:szCs w:val="20"/>
              </w:rPr>
              <w:t>8</w:t>
            </w:r>
          </w:p>
        </w:tc>
        <w:tc>
          <w:tcPr>
            <w:tcW w:w="1800" w:type="dxa"/>
            <w:tcBorders>
              <w:bottom w:val="nil"/>
            </w:tcBorders>
          </w:tcPr>
          <w:p w:rsidR="002D0ADB" w:rsidRPr="002D0ADB" w:rsidRDefault="002D0ADB" w:rsidP="002D0ADB">
            <w:pPr>
              <w:rPr>
                <w:szCs w:val="20"/>
              </w:rPr>
            </w:pPr>
            <w:r w:rsidRPr="002D0ADB">
              <w:rPr>
                <w:szCs w:val="20"/>
              </w:rPr>
              <w:t>19</w:t>
            </w:r>
            <w:r w:rsidR="005B1D9F">
              <w:rPr>
                <w:szCs w:val="20"/>
              </w:rPr>
              <w:t>8</w:t>
            </w:r>
          </w:p>
        </w:tc>
        <w:tc>
          <w:tcPr>
            <w:tcW w:w="1440" w:type="dxa"/>
            <w:tcBorders>
              <w:bottom w:val="nil"/>
            </w:tcBorders>
          </w:tcPr>
          <w:p w:rsidR="002D0ADB" w:rsidRPr="002D0ADB" w:rsidRDefault="005B1D9F" w:rsidP="002D0ADB">
            <w:pPr>
              <w:rPr>
                <w:szCs w:val="20"/>
              </w:rPr>
            </w:pPr>
            <w:r>
              <w:rPr>
                <w:szCs w:val="20"/>
              </w:rPr>
              <w:t>7</w:t>
            </w:r>
            <w:r w:rsidR="002D0ADB" w:rsidRPr="002D0ADB">
              <w:rPr>
                <w:szCs w:val="20"/>
              </w:rPr>
              <w:t>,</w:t>
            </w:r>
            <w:r>
              <w:rPr>
                <w:szCs w:val="20"/>
              </w:rPr>
              <w:t>524</w:t>
            </w:r>
          </w:p>
        </w:tc>
        <w:tc>
          <w:tcPr>
            <w:tcW w:w="1710" w:type="dxa"/>
            <w:tcBorders>
              <w:bottom w:val="nil"/>
            </w:tcBorders>
          </w:tcPr>
          <w:p w:rsidR="002D0ADB" w:rsidRDefault="002D0ADB" w:rsidP="002D0ADB">
            <w:pPr>
              <w:rPr>
                <w:szCs w:val="20"/>
              </w:rPr>
            </w:pPr>
            <w:r w:rsidRPr="002D0ADB">
              <w:rPr>
                <w:szCs w:val="20"/>
              </w:rPr>
              <w:t>0.17</w:t>
            </w:r>
          </w:p>
          <w:p w:rsidR="00A00DF4" w:rsidRPr="002D0ADB" w:rsidRDefault="00A00DF4" w:rsidP="002D0ADB">
            <w:pPr>
              <w:rPr>
                <w:szCs w:val="20"/>
              </w:rPr>
            </w:pPr>
            <w:r>
              <w:rPr>
                <w:szCs w:val="20"/>
              </w:rPr>
              <w:t>(10 minutes)</w:t>
            </w:r>
          </w:p>
        </w:tc>
        <w:tc>
          <w:tcPr>
            <w:tcW w:w="1290" w:type="dxa"/>
            <w:tcBorders>
              <w:bottom w:val="nil"/>
            </w:tcBorders>
          </w:tcPr>
          <w:p w:rsidR="002D0ADB" w:rsidRPr="002D0ADB" w:rsidRDefault="002D0ADB" w:rsidP="002D0ADB">
            <w:pPr>
              <w:rPr>
                <w:szCs w:val="20"/>
              </w:rPr>
            </w:pPr>
            <w:r w:rsidRPr="002D0ADB">
              <w:rPr>
                <w:szCs w:val="20"/>
              </w:rPr>
              <w:t>1,</w:t>
            </w:r>
            <w:r w:rsidR="00DA4FDF">
              <w:rPr>
                <w:szCs w:val="20"/>
              </w:rPr>
              <w:t>279</w:t>
            </w:r>
          </w:p>
        </w:tc>
      </w:tr>
      <w:tr w:rsidR="002D0ADB" w:rsidRPr="002D0ADB" w:rsidTr="00FC31E5">
        <w:tc>
          <w:tcPr>
            <w:tcW w:w="2088" w:type="dxa"/>
            <w:tcBorders>
              <w:bottom w:val="single" w:sz="4" w:space="0" w:color="auto"/>
            </w:tcBorders>
          </w:tcPr>
          <w:p w:rsidR="002D0ADB" w:rsidRPr="002D0ADB" w:rsidRDefault="002D0ADB" w:rsidP="002D0ADB">
            <w:pPr>
              <w:rPr>
                <w:szCs w:val="20"/>
              </w:rPr>
            </w:pPr>
            <w:r w:rsidRPr="002D0ADB">
              <w:rPr>
                <w:szCs w:val="20"/>
              </w:rPr>
              <w:t>80.22; Samples to accompany requests for certification</w:t>
            </w:r>
          </w:p>
        </w:tc>
        <w:tc>
          <w:tcPr>
            <w:tcW w:w="1620" w:type="dxa"/>
            <w:tcBorders>
              <w:bottom w:val="single" w:sz="4" w:space="0" w:color="auto"/>
            </w:tcBorders>
          </w:tcPr>
          <w:p w:rsidR="002D0ADB" w:rsidRPr="002D0ADB" w:rsidRDefault="002D0ADB" w:rsidP="002D0ADB">
            <w:pPr>
              <w:rPr>
                <w:szCs w:val="20"/>
              </w:rPr>
            </w:pPr>
            <w:r w:rsidRPr="002D0ADB">
              <w:rPr>
                <w:szCs w:val="20"/>
              </w:rPr>
              <w:t>3</w:t>
            </w:r>
            <w:r w:rsidR="00DA4FDF">
              <w:rPr>
                <w:szCs w:val="20"/>
              </w:rPr>
              <w:t>8</w:t>
            </w:r>
          </w:p>
        </w:tc>
        <w:tc>
          <w:tcPr>
            <w:tcW w:w="1800" w:type="dxa"/>
            <w:tcBorders>
              <w:bottom w:val="single" w:sz="4" w:space="0" w:color="auto"/>
            </w:tcBorders>
          </w:tcPr>
          <w:p w:rsidR="002D0ADB" w:rsidRPr="002D0ADB" w:rsidRDefault="002D0ADB" w:rsidP="002D0ADB">
            <w:pPr>
              <w:rPr>
                <w:szCs w:val="20"/>
              </w:rPr>
            </w:pPr>
            <w:r w:rsidRPr="002D0ADB">
              <w:rPr>
                <w:szCs w:val="20"/>
              </w:rPr>
              <w:t>19</w:t>
            </w:r>
            <w:r w:rsidR="00DA4FDF">
              <w:rPr>
                <w:szCs w:val="20"/>
              </w:rPr>
              <w:t>8</w:t>
            </w:r>
          </w:p>
        </w:tc>
        <w:tc>
          <w:tcPr>
            <w:tcW w:w="1440" w:type="dxa"/>
            <w:tcBorders>
              <w:bottom w:val="single" w:sz="4" w:space="0" w:color="auto"/>
            </w:tcBorders>
          </w:tcPr>
          <w:p w:rsidR="002D0ADB" w:rsidRPr="002D0ADB" w:rsidRDefault="00DA4FDF" w:rsidP="002D0ADB">
            <w:pPr>
              <w:rPr>
                <w:szCs w:val="20"/>
              </w:rPr>
            </w:pPr>
            <w:r>
              <w:rPr>
                <w:szCs w:val="20"/>
              </w:rPr>
              <w:t>7</w:t>
            </w:r>
            <w:r w:rsidR="002D0ADB" w:rsidRPr="002D0ADB">
              <w:rPr>
                <w:szCs w:val="20"/>
              </w:rPr>
              <w:t>,</w:t>
            </w:r>
            <w:r>
              <w:rPr>
                <w:szCs w:val="20"/>
              </w:rPr>
              <w:t>524</w:t>
            </w:r>
          </w:p>
        </w:tc>
        <w:tc>
          <w:tcPr>
            <w:tcW w:w="1710" w:type="dxa"/>
            <w:tcBorders>
              <w:bottom w:val="single" w:sz="4" w:space="0" w:color="auto"/>
            </w:tcBorders>
          </w:tcPr>
          <w:p w:rsidR="002D0ADB" w:rsidRDefault="002D0ADB" w:rsidP="002D0ADB">
            <w:pPr>
              <w:rPr>
                <w:szCs w:val="20"/>
              </w:rPr>
            </w:pPr>
            <w:r w:rsidRPr="002D0ADB">
              <w:rPr>
                <w:szCs w:val="20"/>
              </w:rPr>
              <w:t>0.05</w:t>
            </w:r>
          </w:p>
          <w:p w:rsidR="00A00DF4" w:rsidRPr="002D0ADB" w:rsidRDefault="00A00DF4" w:rsidP="002D0ADB">
            <w:pPr>
              <w:rPr>
                <w:szCs w:val="20"/>
              </w:rPr>
            </w:pPr>
            <w:r>
              <w:rPr>
                <w:szCs w:val="20"/>
              </w:rPr>
              <w:t>(3 minutes)</w:t>
            </w:r>
          </w:p>
        </w:tc>
        <w:tc>
          <w:tcPr>
            <w:tcW w:w="1290" w:type="dxa"/>
            <w:tcBorders>
              <w:bottom w:val="single" w:sz="4" w:space="0" w:color="auto"/>
            </w:tcBorders>
          </w:tcPr>
          <w:p w:rsidR="002D0ADB" w:rsidRPr="002D0ADB" w:rsidRDefault="002D0ADB" w:rsidP="002D0ADB">
            <w:pPr>
              <w:rPr>
                <w:szCs w:val="20"/>
              </w:rPr>
            </w:pPr>
            <w:r w:rsidRPr="002D0ADB">
              <w:rPr>
                <w:szCs w:val="20"/>
              </w:rPr>
              <w:t xml:space="preserve">   </w:t>
            </w:r>
            <w:r w:rsidR="00DA4FDF">
              <w:rPr>
                <w:szCs w:val="20"/>
              </w:rPr>
              <w:t>376</w:t>
            </w:r>
          </w:p>
        </w:tc>
      </w:tr>
      <w:tr w:rsidR="002D0ADB" w:rsidRPr="002D0ADB" w:rsidTr="00FC31E5">
        <w:tc>
          <w:tcPr>
            <w:tcW w:w="2088" w:type="dxa"/>
            <w:tcBorders>
              <w:bottom w:val="single" w:sz="4" w:space="0" w:color="auto"/>
            </w:tcBorders>
          </w:tcPr>
          <w:p w:rsidR="002D0ADB" w:rsidRPr="002D0ADB" w:rsidRDefault="002D0ADB" w:rsidP="002D0ADB">
            <w:pPr>
              <w:rPr>
                <w:szCs w:val="20"/>
              </w:rPr>
            </w:pPr>
            <w:r w:rsidRPr="002D0ADB">
              <w:rPr>
                <w:szCs w:val="20"/>
              </w:rPr>
              <w:t>Total</w:t>
            </w:r>
          </w:p>
        </w:tc>
        <w:tc>
          <w:tcPr>
            <w:tcW w:w="1620" w:type="dxa"/>
            <w:tcBorders>
              <w:bottom w:val="single" w:sz="4" w:space="0" w:color="auto"/>
            </w:tcBorders>
          </w:tcPr>
          <w:p w:rsidR="002D0ADB" w:rsidRPr="002D0ADB" w:rsidRDefault="002D0ADB" w:rsidP="002D0ADB">
            <w:pPr>
              <w:rPr>
                <w:szCs w:val="20"/>
              </w:rPr>
            </w:pPr>
          </w:p>
        </w:tc>
        <w:tc>
          <w:tcPr>
            <w:tcW w:w="1800" w:type="dxa"/>
            <w:tcBorders>
              <w:bottom w:val="single" w:sz="4" w:space="0" w:color="auto"/>
            </w:tcBorders>
          </w:tcPr>
          <w:p w:rsidR="002D0ADB" w:rsidRPr="002D0ADB" w:rsidRDefault="002D0ADB" w:rsidP="002D0ADB">
            <w:pPr>
              <w:rPr>
                <w:szCs w:val="20"/>
              </w:rPr>
            </w:pPr>
          </w:p>
        </w:tc>
        <w:tc>
          <w:tcPr>
            <w:tcW w:w="1440" w:type="dxa"/>
            <w:tcBorders>
              <w:bottom w:val="single" w:sz="4" w:space="0" w:color="auto"/>
            </w:tcBorders>
          </w:tcPr>
          <w:p w:rsidR="002D0ADB" w:rsidRPr="002D0ADB" w:rsidRDefault="002D0ADB" w:rsidP="002D0ADB">
            <w:pPr>
              <w:rPr>
                <w:szCs w:val="20"/>
              </w:rPr>
            </w:pPr>
          </w:p>
        </w:tc>
        <w:tc>
          <w:tcPr>
            <w:tcW w:w="1710" w:type="dxa"/>
            <w:tcBorders>
              <w:bottom w:val="single" w:sz="4" w:space="0" w:color="auto"/>
            </w:tcBorders>
          </w:tcPr>
          <w:p w:rsidR="002D0ADB" w:rsidRPr="002D0ADB" w:rsidRDefault="002D0ADB" w:rsidP="00A00DF4">
            <w:pPr>
              <w:rPr>
                <w:szCs w:val="20"/>
              </w:rPr>
            </w:pPr>
          </w:p>
        </w:tc>
        <w:tc>
          <w:tcPr>
            <w:tcW w:w="1290" w:type="dxa"/>
            <w:tcBorders>
              <w:bottom w:val="single" w:sz="4" w:space="0" w:color="auto"/>
            </w:tcBorders>
          </w:tcPr>
          <w:p w:rsidR="002D0ADB" w:rsidRPr="002D0ADB" w:rsidRDefault="002D0ADB" w:rsidP="002D0ADB">
            <w:pPr>
              <w:rPr>
                <w:szCs w:val="20"/>
              </w:rPr>
            </w:pPr>
            <w:r w:rsidRPr="002D0ADB">
              <w:rPr>
                <w:szCs w:val="20"/>
              </w:rPr>
              <w:t>1,</w:t>
            </w:r>
            <w:r w:rsidR="00DA4FDF">
              <w:rPr>
                <w:szCs w:val="20"/>
              </w:rPr>
              <w:t>655</w:t>
            </w:r>
          </w:p>
        </w:tc>
      </w:tr>
      <w:tr w:rsidR="002D0ADB" w:rsidRPr="002D0ADB" w:rsidTr="00FC31E5">
        <w:trPr>
          <w:cantSplit/>
        </w:trPr>
        <w:tc>
          <w:tcPr>
            <w:tcW w:w="9948" w:type="dxa"/>
            <w:gridSpan w:val="6"/>
            <w:tcBorders>
              <w:top w:val="nil"/>
              <w:left w:val="nil"/>
              <w:bottom w:val="nil"/>
              <w:right w:val="nil"/>
            </w:tcBorders>
          </w:tcPr>
          <w:p w:rsidR="002D0ADB" w:rsidRPr="002D0ADB" w:rsidRDefault="002D0ADB" w:rsidP="002D0ADB">
            <w:pPr>
              <w:rPr>
                <w:szCs w:val="20"/>
              </w:rPr>
            </w:pPr>
            <w:r w:rsidRPr="002D0ADB">
              <w:rPr>
                <w:szCs w:val="20"/>
              </w:rPr>
              <w:t>¹ There are no capital costs or operating and maintenance costs associated with this collection of information.</w:t>
            </w:r>
          </w:p>
        </w:tc>
      </w:tr>
    </w:tbl>
    <w:p w:rsidR="002D0ADB" w:rsidRPr="002D0ADB" w:rsidRDefault="002D0ADB" w:rsidP="002D0ADB">
      <w:pPr>
        <w:rPr>
          <w:szCs w:val="20"/>
        </w:rPr>
      </w:pPr>
    </w:p>
    <w:p w:rsidR="002D0ADB" w:rsidRPr="002D0ADB" w:rsidRDefault="002D0ADB" w:rsidP="002D0ADB">
      <w:pPr>
        <w:rPr>
          <w:szCs w:val="20"/>
        </w:rPr>
      </w:pPr>
    </w:p>
    <w:p w:rsidR="002D0ADB" w:rsidRPr="002D0ADB" w:rsidRDefault="002D0ADB" w:rsidP="002D0ADB">
      <w:pPr>
        <w:rPr>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1800"/>
        <w:gridCol w:w="1530"/>
        <w:gridCol w:w="1710"/>
        <w:gridCol w:w="1260"/>
      </w:tblGrid>
      <w:tr w:rsidR="002D0ADB" w:rsidRPr="002D0ADB" w:rsidTr="00FC31E5">
        <w:tc>
          <w:tcPr>
            <w:tcW w:w="9918" w:type="dxa"/>
            <w:gridSpan w:val="6"/>
          </w:tcPr>
          <w:p w:rsidR="002D0ADB" w:rsidRPr="005B1D9F" w:rsidRDefault="002D0ADB" w:rsidP="00A00DF4">
            <w:pPr>
              <w:jc w:val="center"/>
              <w:rPr>
                <w:szCs w:val="20"/>
                <w:vertAlign w:val="superscript"/>
              </w:rPr>
            </w:pPr>
            <w:r w:rsidRPr="002D0ADB">
              <w:rPr>
                <w:szCs w:val="20"/>
              </w:rPr>
              <w:t>Table 2</w:t>
            </w:r>
            <w:r w:rsidR="005B1D9F">
              <w:rPr>
                <w:szCs w:val="20"/>
              </w:rPr>
              <w:t xml:space="preserve"> </w:t>
            </w:r>
            <w:r w:rsidRPr="002D0ADB">
              <w:rPr>
                <w:szCs w:val="20"/>
              </w:rPr>
              <w:t>--Estimated Annual Recordkeeping Burden</w:t>
            </w:r>
            <w:r w:rsidRPr="002D0ADB">
              <w:rPr>
                <w:szCs w:val="20"/>
                <w:vertAlign w:val="superscript"/>
              </w:rPr>
              <w:t>1</w:t>
            </w:r>
          </w:p>
        </w:tc>
      </w:tr>
      <w:tr w:rsidR="002D0ADB" w:rsidRPr="002D0ADB" w:rsidTr="00FC31E5">
        <w:tc>
          <w:tcPr>
            <w:tcW w:w="1908" w:type="dxa"/>
            <w:tcBorders>
              <w:bottom w:val="single" w:sz="4" w:space="0" w:color="auto"/>
            </w:tcBorders>
          </w:tcPr>
          <w:p w:rsidR="002D0ADB" w:rsidRPr="002D0ADB" w:rsidRDefault="002D0ADB" w:rsidP="002D0ADB">
            <w:pPr>
              <w:rPr>
                <w:szCs w:val="20"/>
              </w:rPr>
            </w:pPr>
            <w:r w:rsidRPr="002D0ADB">
              <w:rPr>
                <w:szCs w:val="20"/>
              </w:rPr>
              <w:t>21 CFR Section; Activity</w:t>
            </w:r>
          </w:p>
        </w:tc>
        <w:tc>
          <w:tcPr>
            <w:tcW w:w="1710" w:type="dxa"/>
            <w:tcBorders>
              <w:bottom w:val="single" w:sz="4" w:space="0" w:color="auto"/>
            </w:tcBorders>
          </w:tcPr>
          <w:p w:rsidR="002D0ADB" w:rsidRPr="002D0ADB" w:rsidRDefault="002D0ADB" w:rsidP="002D0ADB">
            <w:pPr>
              <w:rPr>
                <w:szCs w:val="20"/>
              </w:rPr>
            </w:pPr>
            <w:r w:rsidRPr="002D0ADB">
              <w:rPr>
                <w:szCs w:val="20"/>
              </w:rPr>
              <w:t>N</w:t>
            </w:r>
            <w:r w:rsidR="005B1D9F">
              <w:rPr>
                <w:szCs w:val="20"/>
              </w:rPr>
              <w:t>umber</w:t>
            </w:r>
            <w:r w:rsidRPr="002D0ADB">
              <w:rPr>
                <w:szCs w:val="20"/>
              </w:rPr>
              <w:t xml:space="preserve"> of Recordkeepers</w:t>
            </w:r>
          </w:p>
        </w:tc>
        <w:tc>
          <w:tcPr>
            <w:tcW w:w="1800" w:type="dxa"/>
            <w:tcBorders>
              <w:bottom w:val="single" w:sz="4" w:space="0" w:color="auto"/>
            </w:tcBorders>
          </w:tcPr>
          <w:p w:rsidR="002D0ADB" w:rsidRPr="002D0ADB" w:rsidRDefault="002D0ADB" w:rsidP="002D0ADB">
            <w:pPr>
              <w:rPr>
                <w:szCs w:val="20"/>
              </w:rPr>
            </w:pPr>
            <w:r w:rsidRPr="002D0ADB">
              <w:rPr>
                <w:szCs w:val="20"/>
              </w:rPr>
              <w:t>N</w:t>
            </w:r>
            <w:r w:rsidR="005B1D9F">
              <w:rPr>
                <w:szCs w:val="20"/>
              </w:rPr>
              <w:t>umber</w:t>
            </w:r>
            <w:r w:rsidRPr="002D0ADB">
              <w:rPr>
                <w:szCs w:val="20"/>
              </w:rPr>
              <w:t xml:space="preserve"> of Records per Recordkeeping</w:t>
            </w:r>
          </w:p>
        </w:tc>
        <w:tc>
          <w:tcPr>
            <w:tcW w:w="1530" w:type="dxa"/>
            <w:tcBorders>
              <w:bottom w:val="single" w:sz="4" w:space="0" w:color="auto"/>
            </w:tcBorders>
          </w:tcPr>
          <w:p w:rsidR="002D0ADB" w:rsidRPr="002D0ADB" w:rsidRDefault="002D0ADB" w:rsidP="002D0ADB">
            <w:pPr>
              <w:rPr>
                <w:szCs w:val="20"/>
              </w:rPr>
            </w:pPr>
            <w:r w:rsidRPr="002D0ADB">
              <w:rPr>
                <w:szCs w:val="20"/>
              </w:rPr>
              <w:t>Total Annual Records</w:t>
            </w:r>
          </w:p>
        </w:tc>
        <w:tc>
          <w:tcPr>
            <w:tcW w:w="1710" w:type="dxa"/>
            <w:tcBorders>
              <w:bottom w:val="single" w:sz="4" w:space="0" w:color="auto"/>
            </w:tcBorders>
          </w:tcPr>
          <w:p w:rsidR="002D0ADB" w:rsidRPr="002D0ADB" w:rsidRDefault="002D0ADB" w:rsidP="002D0ADB">
            <w:pPr>
              <w:rPr>
                <w:szCs w:val="20"/>
              </w:rPr>
            </w:pPr>
            <w:r w:rsidRPr="002D0ADB">
              <w:rPr>
                <w:szCs w:val="20"/>
              </w:rPr>
              <w:t>Average Burden per Recordkeeping</w:t>
            </w:r>
          </w:p>
        </w:tc>
        <w:tc>
          <w:tcPr>
            <w:tcW w:w="1260" w:type="dxa"/>
            <w:tcBorders>
              <w:bottom w:val="single" w:sz="4" w:space="0" w:color="auto"/>
            </w:tcBorders>
          </w:tcPr>
          <w:p w:rsidR="002D0ADB" w:rsidRPr="002D0ADB" w:rsidRDefault="002D0ADB" w:rsidP="002D0ADB">
            <w:pPr>
              <w:rPr>
                <w:szCs w:val="20"/>
              </w:rPr>
            </w:pPr>
            <w:r w:rsidRPr="002D0ADB">
              <w:rPr>
                <w:szCs w:val="20"/>
              </w:rPr>
              <w:t>Total Hours</w:t>
            </w:r>
          </w:p>
        </w:tc>
      </w:tr>
      <w:tr w:rsidR="002D0ADB" w:rsidRPr="002D0ADB" w:rsidTr="00FC31E5">
        <w:tc>
          <w:tcPr>
            <w:tcW w:w="1908" w:type="dxa"/>
            <w:tcBorders>
              <w:bottom w:val="single" w:sz="4" w:space="0" w:color="auto"/>
            </w:tcBorders>
          </w:tcPr>
          <w:p w:rsidR="002D0ADB" w:rsidRPr="002D0ADB" w:rsidRDefault="002D0ADB" w:rsidP="002D0ADB">
            <w:pPr>
              <w:rPr>
                <w:szCs w:val="20"/>
              </w:rPr>
            </w:pPr>
            <w:r w:rsidRPr="002D0ADB">
              <w:rPr>
                <w:szCs w:val="20"/>
              </w:rPr>
              <w:t>80.39; Records of distribution</w:t>
            </w:r>
          </w:p>
        </w:tc>
        <w:tc>
          <w:tcPr>
            <w:tcW w:w="1710" w:type="dxa"/>
            <w:tcBorders>
              <w:bottom w:val="single" w:sz="4" w:space="0" w:color="auto"/>
            </w:tcBorders>
          </w:tcPr>
          <w:p w:rsidR="002D0ADB" w:rsidRPr="002D0ADB" w:rsidRDefault="002D0ADB" w:rsidP="002D0ADB">
            <w:pPr>
              <w:rPr>
                <w:szCs w:val="20"/>
              </w:rPr>
            </w:pPr>
            <w:r w:rsidRPr="002D0ADB">
              <w:rPr>
                <w:szCs w:val="20"/>
              </w:rPr>
              <w:t>3</w:t>
            </w:r>
            <w:r w:rsidR="00DA4FDF">
              <w:rPr>
                <w:szCs w:val="20"/>
              </w:rPr>
              <w:t>8</w:t>
            </w:r>
          </w:p>
        </w:tc>
        <w:tc>
          <w:tcPr>
            <w:tcW w:w="1800" w:type="dxa"/>
            <w:tcBorders>
              <w:bottom w:val="single" w:sz="4" w:space="0" w:color="auto"/>
            </w:tcBorders>
          </w:tcPr>
          <w:p w:rsidR="002D0ADB" w:rsidRPr="002D0ADB" w:rsidRDefault="002D0ADB" w:rsidP="002D0ADB">
            <w:pPr>
              <w:rPr>
                <w:szCs w:val="20"/>
              </w:rPr>
            </w:pPr>
            <w:r w:rsidRPr="002D0ADB">
              <w:rPr>
                <w:szCs w:val="20"/>
              </w:rPr>
              <w:t>19</w:t>
            </w:r>
            <w:r w:rsidR="00DA4FDF">
              <w:rPr>
                <w:szCs w:val="20"/>
              </w:rPr>
              <w:t>8</w:t>
            </w:r>
          </w:p>
        </w:tc>
        <w:tc>
          <w:tcPr>
            <w:tcW w:w="1530" w:type="dxa"/>
            <w:tcBorders>
              <w:bottom w:val="single" w:sz="4" w:space="0" w:color="auto"/>
            </w:tcBorders>
          </w:tcPr>
          <w:p w:rsidR="002D0ADB" w:rsidRPr="002D0ADB" w:rsidRDefault="00DA4FDF" w:rsidP="002D0ADB">
            <w:pPr>
              <w:rPr>
                <w:szCs w:val="20"/>
              </w:rPr>
            </w:pPr>
            <w:r>
              <w:rPr>
                <w:szCs w:val="20"/>
              </w:rPr>
              <w:t>7</w:t>
            </w:r>
            <w:r w:rsidR="002D0ADB" w:rsidRPr="002D0ADB">
              <w:rPr>
                <w:szCs w:val="20"/>
              </w:rPr>
              <w:t>,</w:t>
            </w:r>
            <w:r>
              <w:rPr>
                <w:szCs w:val="20"/>
              </w:rPr>
              <w:t>524</w:t>
            </w:r>
          </w:p>
        </w:tc>
        <w:tc>
          <w:tcPr>
            <w:tcW w:w="1710" w:type="dxa"/>
            <w:tcBorders>
              <w:bottom w:val="single" w:sz="4" w:space="0" w:color="auto"/>
            </w:tcBorders>
          </w:tcPr>
          <w:p w:rsidR="002D0ADB" w:rsidRDefault="002D0ADB" w:rsidP="002D0ADB">
            <w:pPr>
              <w:rPr>
                <w:szCs w:val="20"/>
              </w:rPr>
            </w:pPr>
            <w:r w:rsidRPr="002D0ADB">
              <w:rPr>
                <w:szCs w:val="20"/>
              </w:rPr>
              <w:t>0.25</w:t>
            </w:r>
          </w:p>
          <w:p w:rsidR="00A00DF4" w:rsidRPr="002D0ADB" w:rsidRDefault="00A00DF4" w:rsidP="002D0ADB">
            <w:pPr>
              <w:rPr>
                <w:szCs w:val="20"/>
              </w:rPr>
            </w:pPr>
            <w:r>
              <w:rPr>
                <w:szCs w:val="20"/>
              </w:rPr>
              <w:t>(15 minutes)</w:t>
            </w:r>
          </w:p>
        </w:tc>
        <w:tc>
          <w:tcPr>
            <w:tcW w:w="1260" w:type="dxa"/>
            <w:tcBorders>
              <w:bottom w:val="single" w:sz="4" w:space="0" w:color="auto"/>
            </w:tcBorders>
          </w:tcPr>
          <w:p w:rsidR="002D0ADB" w:rsidRPr="002D0ADB" w:rsidRDefault="002D0ADB" w:rsidP="002D0ADB">
            <w:pPr>
              <w:rPr>
                <w:szCs w:val="20"/>
              </w:rPr>
            </w:pPr>
            <w:r w:rsidRPr="002D0ADB">
              <w:rPr>
                <w:szCs w:val="20"/>
              </w:rPr>
              <w:t>1,</w:t>
            </w:r>
            <w:r w:rsidR="00DA4FDF">
              <w:rPr>
                <w:szCs w:val="20"/>
              </w:rPr>
              <w:t>881</w:t>
            </w:r>
          </w:p>
        </w:tc>
      </w:tr>
      <w:tr w:rsidR="002D0ADB" w:rsidRPr="002D0ADB" w:rsidTr="00FC31E5">
        <w:trPr>
          <w:cantSplit/>
        </w:trPr>
        <w:tc>
          <w:tcPr>
            <w:tcW w:w="9918" w:type="dxa"/>
            <w:gridSpan w:val="6"/>
            <w:tcBorders>
              <w:top w:val="single" w:sz="4" w:space="0" w:color="auto"/>
              <w:left w:val="nil"/>
              <w:bottom w:val="nil"/>
              <w:right w:val="nil"/>
            </w:tcBorders>
          </w:tcPr>
          <w:p w:rsidR="002D0ADB" w:rsidRPr="002D0ADB" w:rsidRDefault="002D0ADB" w:rsidP="002D0ADB">
            <w:pPr>
              <w:rPr>
                <w:szCs w:val="20"/>
              </w:rPr>
            </w:pPr>
            <w:r w:rsidRPr="002D0ADB">
              <w:rPr>
                <w:szCs w:val="20"/>
              </w:rPr>
              <w:t>¹ There are no capital costs or operating and maintenance costs associated with this collection of information.</w:t>
            </w:r>
          </w:p>
        </w:tc>
      </w:tr>
    </w:tbl>
    <w:p w:rsidR="002D0ADB" w:rsidRPr="002D0ADB" w:rsidRDefault="002D0ADB" w:rsidP="00DA4FDF">
      <w:pPr>
        <w:ind w:left="720"/>
        <w:rPr>
          <w:szCs w:val="20"/>
        </w:rPr>
      </w:pPr>
    </w:p>
    <w:p w:rsidR="002D0ADB" w:rsidRPr="002D0ADB" w:rsidRDefault="002D0ADB" w:rsidP="00DA4FDF">
      <w:pPr>
        <w:ind w:left="720"/>
        <w:rPr>
          <w:szCs w:val="20"/>
        </w:rPr>
      </w:pPr>
      <w:r w:rsidRPr="002D0ADB">
        <w:rPr>
          <w:szCs w:val="20"/>
        </w:rPr>
        <w:t>FDA bases its estimate on its review of the certification requests received over the past 3 fiscal years (FY).  The annual burden estimate for this information collection is 3,</w:t>
      </w:r>
      <w:r w:rsidR="00DA4FDF">
        <w:rPr>
          <w:szCs w:val="20"/>
        </w:rPr>
        <w:t>536</w:t>
      </w:r>
      <w:r w:rsidRPr="002D0ADB">
        <w:rPr>
          <w:szCs w:val="20"/>
        </w:rPr>
        <w:t xml:space="preserve"> hours.  The estimated reporting burden for this information collection is 1,</w:t>
      </w:r>
      <w:r w:rsidR="00DA4FDF">
        <w:rPr>
          <w:szCs w:val="20"/>
        </w:rPr>
        <w:t>655</w:t>
      </w:r>
      <w:r w:rsidRPr="002D0ADB">
        <w:rPr>
          <w:szCs w:val="20"/>
        </w:rPr>
        <w:t xml:space="preserve"> hours and the estimated recordkeeping burden for this information collection is 1,</w:t>
      </w:r>
      <w:r w:rsidR="00DA4FDF">
        <w:rPr>
          <w:szCs w:val="20"/>
        </w:rPr>
        <w:t>881</w:t>
      </w:r>
      <w:r w:rsidRPr="002D0ADB">
        <w:rPr>
          <w:szCs w:val="20"/>
        </w:rPr>
        <w:t xml:space="preserve"> hours.  From FY 201</w:t>
      </w:r>
      <w:r w:rsidR="00DA4FDF">
        <w:rPr>
          <w:szCs w:val="20"/>
        </w:rPr>
        <w:t>4</w:t>
      </w:r>
      <w:r w:rsidRPr="002D0ADB">
        <w:rPr>
          <w:szCs w:val="20"/>
        </w:rPr>
        <w:t xml:space="preserve"> to FY 201</w:t>
      </w:r>
      <w:r w:rsidR="00DA4FDF">
        <w:rPr>
          <w:szCs w:val="20"/>
        </w:rPr>
        <w:t>6</w:t>
      </w:r>
      <w:r w:rsidRPr="002D0ADB">
        <w:rPr>
          <w:szCs w:val="20"/>
        </w:rPr>
        <w:t xml:space="preserve">, FDA processed an average of </w:t>
      </w:r>
      <w:r w:rsidR="00DA4FDF">
        <w:rPr>
          <w:szCs w:val="20"/>
        </w:rPr>
        <w:t>7</w:t>
      </w:r>
      <w:r w:rsidRPr="002D0ADB">
        <w:rPr>
          <w:szCs w:val="20"/>
        </w:rPr>
        <w:t>,</w:t>
      </w:r>
      <w:r w:rsidR="00DA4FDF">
        <w:rPr>
          <w:szCs w:val="20"/>
        </w:rPr>
        <w:t>524</w:t>
      </w:r>
      <w:r w:rsidRPr="002D0ADB">
        <w:rPr>
          <w:szCs w:val="20"/>
        </w:rPr>
        <w:t xml:space="preserve"> responses (requests for certification of batches of color additives) per year.  There were 3</w:t>
      </w:r>
      <w:r w:rsidR="00DA4FDF">
        <w:rPr>
          <w:szCs w:val="20"/>
        </w:rPr>
        <w:t>8</w:t>
      </w:r>
      <w:r w:rsidRPr="002D0ADB">
        <w:rPr>
          <w:szCs w:val="20"/>
        </w:rPr>
        <w:t xml:space="preserve"> different respondents, corresponding to an average of approximately 19</w:t>
      </w:r>
      <w:r w:rsidR="00DA4FDF">
        <w:rPr>
          <w:szCs w:val="20"/>
        </w:rPr>
        <w:t>8</w:t>
      </w:r>
      <w:r w:rsidRPr="002D0ADB">
        <w:rPr>
          <w:szCs w:val="20"/>
        </w:rPr>
        <w:t xml:space="preserve"> responses from each respondent per year.  Using information from industry personnel, FDA estimates that an average of 0.22 hour per response is required for reporting (preparing certification requests and accompanying samples) and an average of 0.25 hour per response is required for recordkeeping. </w:t>
      </w:r>
    </w:p>
    <w:p w:rsidR="002D0ADB" w:rsidRPr="002D0ADB" w:rsidRDefault="002D0ADB" w:rsidP="00DA4FDF">
      <w:pPr>
        <w:ind w:left="720"/>
        <w:rPr>
          <w:szCs w:val="20"/>
        </w:rPr>
      </w:pPr>
    </w:p>
    <w:p w:rsidR="002D0ADB" w:rsidRPr="002D0ADB" w:rsidRDefault="002D0ADB" w:rsidP="00DA4FDF">
      <w:pPr>
        <w:ind w:left="720"/>
        <w:rPr>
          <w:szCs w:val="20"/>
        </w:rPr>
      </w:pPr>
      <w:r w:rsidRPr="002D0ADB">
        <w:rPr>
          <w:szCs w:val="20"/>
        </w:rPr>
        <w:t>FDA’s Web-based color certification information system allows submitters to request color certification online, follow their submissions through the process, and obtain information on account status.  The system sends back the certification results electronically, allowing submitters to sell their certified color before receiving hard copy certificates.  Any delays in the system result only from shipment of color additive samples to FDA’s Office of Cosmetics and Colors for analysis.  FDA has estimated an increase in the estimated burden for reporting and recordkeeping.  In Table 1, the number of respondents increased from 3</w:t>
      </w:r>
      <w:r w:rsidR="00DA4FDF">
        <w:rPr>
          <w:szCs w:val="20"/>
        </w:rPr>
        <w:t>5</w:t>
      </w:r>
      <w:r w:rsidRPr="002D0ADB">
        <w:rPr>
          <w:szCs w:val="20"/>
        </w:rPr>
        <w:t xml:space="preserve"> to 3</w:t>
      </w:r>
      <w:r w:rsidR="00DA4FDF">
        <w:rPr>
          <w:szCs w:val="20"/>
        </w:rPr>
        <w:t>8</w:t>
      </w:r>
      <w:r w:rsidRPr="002D0ADB">
        <w:rPr>
          <w:szCs w:val="20"/>
        </w:rPr>
        <w:t xml:space="preserve">.  </w:t>
      </w:r>
      <w:r w:rsidR="00DA4FDF" w:rsidRPr="002D0ADB">
        <w:rPr>
          <w:szCs w:val="20"/>
        </w:rPr>
        <w:t>Also,</w:t>
      </w:r>
      <w:r w:rsidRPr="002D0ADB">
        <w:rPr>
          <w:szCs w:val="20"/>
        </w:rPr>
        <w:t xml:space="preserve"> the number of responses increased from </w:t>
      </w:r>
      <w:r w:rsidR="00DA4FDF">
        <w:rPr>
          <w:szCs w:val="20"/>
        </w:rPr>
        <w:t>6</w:t>
      </w:r>
      <w:r w:rsidRPr="002D0ADB">
        <w:rPr>
          <w:szCs w:val="20"/>
        </w:rPr>
        <w:t>,9</w:t>
      </w:r>
      <w:r w:rsidR="00DA4FDF">
        <w:rPr>
          <w:szCs w:val="20"/>
        </w:rPr>
        <w:t>65</w:t>
      </w:r>
      <w:r w:rsidRPr="002D0ADB">
        <w:rPr>
          <w:szCs w:val="20"/>
        </w:rPr>
        <w:t xml:space="preserve"> to </w:t>
      </w:r>
      <w:r w:rsidR="00DA4FDF">
        <w:rPr>
          <w:szCs w:val="20"/>
        </w:rPr>
        <w:t>7</w:t>
      </w:r>
      <w:r w:rsidRPr="002D0ADB">
        <w:rPr>
          <w:szCs w:val="20"/>
        </w:rPr>
        <w:t>,</w:t>
      </w:r>
      <w:r w:rsidR="00DA4FDF">
        <w:rPr>
          <w:szCs w:val="20"/>
        </w:rPr>
        <w:t>524.</w:t>
      </w:r>
      <w:r w:rsidRPr="002D0ADB">
        <w:rPr>
          <w:szCs w:val="20"/>
        </w:rPr>
        <w:t xml:space="preserve">  In Table 2, the number of recordkeepers increased from 3</w:t>
      </w:r>
      <w:r w:rsidR="00DA4FDF">
        <w:rPr>
          <w:szCs w:val="20"/>
        </w:rPr>
        <w:t>5</w:t>
      </w:r>
      <w:r w:rsidRPr="002D0ADB">
        <w:rPr>
          <w:szCs w:val="20"/>
        </w:rPr>
        <w:t xml:space="preserve"> to 3</w:t>
      </w:r>
      <w:r w:rsidR="00DA4FDF">
        <w:rPr>
          <w:szCs w:val="20"/>
        </w:rPr>
        <w:t>8</w:t>
      </w:r>
      <w:r w:rsidRPr="002D0ADB">
        <w:rPr>
          <w:szCs w:val="20"/>
        </w:rPr>
        <w:t xml:space="preserve"> as well.  Also, the number of records increased from </w:t>
      </w:r>
      <w:r w:rsidR="00DA4FDF">
        <w:rPr>
          <w:szCs w:val="20"/>
        </w:rPr>
        <w:t>6</w:t>
      </w:r>
      <w:r w:rsidRPr="002D0ADB">
        <w:rPr>
          <w:szCs w:val="20"/>
        </w:rPr>
        <w:t>,9</w:t>
      </w:r>
      <w:r w:rsidR="00DA4FDF">
        <w:rPr>
          <w:szCs w:val="20"/>
        </w:rPr>
        <w:t>65</w:t>
      </w:r>
      <w:r w:rsidRPr="002D0ADB">
        <w:rPr>
          <w:szCs w:val="20"/>
        </w:rPr>
        <w:t xml:space="preserve"> to </w:t>
      </w:r>
      <w:r w:rsidR="00DA4FDF">
        <w:rPr>
          <w:szCs w:val="20"/>
        </w:rPr>
        <w:t>7</w:t>
      </w:r>
      <w:r w:rsidRPr="002D0ADB">
        <w:rPr>
          <w:szCs w:val="20"/>
        </w:rPr>
        <w:t>,</w:t>
      </w:r>
      <w:r w:rsidR="00DA4FDF">
        <w:rPr>
          <w:szCs w:val="20"/>
        </w:rPr>
        <w:t>524</w:t>
      </w:r>
      <w:r w:rsidRPr="002D0ADB">
        <w:rPr>
          <w:szCs w:val="20"/>
        </w:rPr>
        <w:t>.</w:t>
      </w:r>
    </w:p>
    <w:p w:rsidR="003740BC" w:rsidRDefault="003740BC" w:rsidP="00A93ED9">
      <w:pPr>
        <w:pStyle w:val="BodyText2"/>
        <w:ind w:left="360"/>
      </w:pPr>
    </w:p>
    <w:p w:rsidR="00A93ED9" w:rsidRDefault="00A93ED9" w:rsidP="00DA4FDF">
      <w:pPr>
        <w:pStyle w:val="BodyText2"/>
        <w:ind w:left="720"/>
      </w:pPr>
      <w:r w:rsidRPr="00C75CBF">
        <w:t xml:space="preserve">12b. </w:t>
      </w:r>
      <w:r w:rsidR="00411D11" w:rsidRPr="00C75CBF">
        <w:rPr>
          <w:u w:val="single"/>
        </w:rPr>
        <w:t>Annualized Cost Burden Estimate</w:t>
      </w:r>
    </w:p>
    <w:p w:rsidR="00A93ED9" w:rsidRDefault="00A93ED9" w:rsidP="001D495A">
      <w:pPr>
        <w:pStyle w:val="BodyText2"/>
        <w:ind w:left="720"/>
      </w:pPr>
    </w:p>
    <w:p w:rsidR="003740BC" w:rsidRDefault="00DA4FDF" w:rsidP="00DA4FDF">
      <w:pPr>
        <w:pStyle w:val="BodyText2"/>
        <w:ind w:left="720"/>
      </w:pPr>
      <w:r w:rsidRPr="00DA4FDF">
        <w:t>The annual hour cost burden to respondents is approximately $27</w:t>
      </w:r>
      <w:r>
        <w:t>0</w:t>
      </w:r>
      <w:r w:rsidRPr="00DA4FDF">
        <w:t>,1</w:t>
      </w:r>
      <w:r>
        <w:t>50</w:t>
      </w:r>
      <w:r w:rsidRPr="00DA4FDF">
        <w:t>.</w:t>
      </w:r>
      <w:r>
        <w:t>40</w:t>
      </w:r>
      <w:r w:rsidRPr="00DA4FDF">
        <w:t xml:space="preserve"> per year.  FDA estimates that the average hourly wage for the employee preparing and submitting the request for certification would be equivalent to a GS-12/Step-1 level in the locality pay area of Washington-Baltimore in 201</w:t>
      </w:r>
      <w:r>
        <w:t>7</w:t>
      </w:r>
      <w:r w:rsidRPr="00DA4FDF">
        <w:t>, approximately $3</w:t>
      </w:r>
      <w:r>
        <w:t>8</w:t>
      </w:r>
      <w:r w:rsidRPr="00DA4FDF">
        <w:t>.</w:t>
      </w:r>
      <w:r>
        <w:t>20</w:t>
      </w:r>
      <w:r w:rsidRPr="00DA4FDF">
        <w:t>/hour.  Doubling this wage to account for overhead costs, FDA estimates the average hourly cost to respondents to be $7</w:t>
      </w:r>
      <w:r>
        <w:t>6</w:t>
      </w:r>
      <w:r w:rsidRPr="00DA4FDF">
        <w:t>.4</w:t>
      </w:r>
      <w:r>
        <w:t>0</w:t>
      </w:r>
      <w:r w:rsidRPr="00DA4FDF">
        <w:t>/hour.  Thus, the overall estimated cost incurred by the respondents is $27</w:t>
      </w:r>
      <w:r>
        <w:t>0</w:t>
      </w:r>
      <w:r w:rsidRPr="00DA4FDF">
        <w:t>,1</w:t>
      </w:r>
      <w:r>
        <w:t>50</w:t>
      </w:r>
      <w:r w:rsidRPr="00DA4FDF">
        <w:t>.</w:t>
      </w:r>
      <w:r>
        <w:t>40</w:t>
      </w:r>
      <w:r w:rsidRPr="00DA4FDF">
        <w:t xml:space="preserve"> (3,</w:t>
      </w:r>
      <w:r>
        <w:t>536</w:t>
      </w:r>
      <w:r w:rsidRPr="00DA4FDF">
        <w:t xml:space="preserve"> burden hours x $7</w:t>
      </w:r>
      <w:r>
        <w:t>6</w:t>
      </w:r>
      <w:r w:rsidRPr="00DA4FDF">
        <w:t>.4</w:t>
      </w:r>
      <w:r>
        <w:t>0</w:t>
      </w:r>
      <w:r w:rsidRPr="00DA4FDF">
        <w:t>/hour = $2</w:t>
      </w:r>
      <w:r>
        <w:t>70</w:t>
      </w:r>
      <w:r w:rsidRPr="00DA4FDF">
        <w:t>,1</w:t>
      </w:r>
      <w:r>
        <w:t>50</w:t>
      </w:r>
      <w:r w:rsidRPr="00DA4FDF">
        <w:t>.</w:t>
      </w:r>
      <w:r>
        <w:t>40</w:t>
      </w:r>
      <w:r w:rsidRPr="00DA4FDF">
        <w:t>).</w:t>
      </w:r>
    </w:p>
    <w:p w:rsidR="0048746B" w:rsidRDefault="0048746B" w:rsidP="00DA4FDF">
      <w:pPr>
        <w:pStyle w:val="BodyText2"/>
        <w:ind w:left="720"/>
      </w:pP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7E2F07" w:rsidP="00DA4FDF">
            <w:r>
              <w:t>Activity</w:t>
            </w:r>
            <w:r w:rsidR="00DA4FDF">
              <w:t>/</w:t>
            </w:r>
            <w:r>
              <w:t>CFR cite</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915FF3" w:rsidP="00754497">
            <w:r>
              <w:t>Reporting -</w:t>
            </w:r>
            <w:r w:rsidR="00DA4FDF">
              <w:t>Requesting Certification (80.21)</w:t>
            </w:r>
          </w:p>
        </w:tc>
        <w:tc>
          <w:tcPr>
            <w:tcW w:w="1800" w:type="dxa"/>
            <w:shd w:val="clear" w:color="auto" w:fill="auto"/>
          </w:tcPr>
          <w:p w:rsidR="003740BC" w:rsidRDefault="00915FF3" w:rsidP="00754497">
            <w:r>
              <w:t>1,279</w:t>
            </w:r>
          </w:p>
        </w:tc>
        <w:tc>
          <w:tcPr>
            <w:tcW w:w="2394" w:type="dxa"/>
            <w:shd w:val="clear" w:color="auto" w:fill="auto"/>
          </w:tcPr>
          <w:p w:rsidR="003740BC" w:rsidRDefault="003740BC" w:rsidP="00754497">
            <w:r>
              <w:t>$7</w:t>
            </w:r>
            <w:r w:rsidR="00915FF3">
              <w:t>6</w:t>
            </w:r>
            <w:r>
              <w:t>.</w:t>
            </w:r>
            <w:r w:rsidR="00915FF3">
              <w:t>4</w:t>
            </w:r>
            <w:r>
              <w:t>0</w:t>
            </w:r>
          </w:p>
        </w:tc>
        <w:tc>
          <w:tcPr>
            <w:tcW w:w="1926" w:type="dxa"/>
            <w:shd w:val="clear" w:color="auto" w:fill="auto"/>
          </w:tcPr>
          <w:p w:rsidR="003740BC" w:rsidRDefault="003740BC" w:rsidP="00754497">
            <w:r>
              <w:t>$</w:t>
            </w:r>
            <w:r w:rsidR="00915FF3">
              <w:t>9</w:t>
            </w:r>
            <w:r>
              <w:t>7</w:t>
            </w:r>
            <w:r w:rsidR="00915FF3">
              <w:t>,715.60</w:t>
            </w:r>
          </w:p>
        </w:tc>
      </w:tr>
      <w:tr w:rsidR="003740BC" w:rsidTr="00B86DFA">
        <w:tc>
          <w:tcPr>
            <w:tcW w:w="2160" w:type="dxa"/>
            <w:shd w:val="clear" w:color="auto" w:fill="auto"/>
          </w:tcPr>
          <w:p w:rsidR="003740BC" w:rsidRDefault="00915FF3" w:rsidP="00754497">
            <w:r>
              <w:t>Reporting -Providing Sample with r</w:t>
            </w:r>
            <w:r w:rsidRPr="00915FF3">
              <w:t>equest</w:t>
            </w:r>
            <w:r>
              <w:t xml:space="preserve"> </w:t>
            </w:r>
            <w:r w:rsidRPr="00915FF3">
              <w:t>(80.2</w:t>
            </w:r>
            <w:r>
              <w:t>2</w:t>
            </w:r>
            <w:r w:rsidRPr="00915FF3">
              <w:t>)</w:t>
            </w:r>
          </w:p>
        </w:tc>
        <w:tc>
          <w:tcPr>
            <w:tcW w:w="1800" w:type="dxa"/>
            <w:shd w:val="clear" w:color="auto" w:fill="auto"/>
          </w:tcPr>
          <w:p w:rsidR="003740BC" w:rsidRDefault="00915FF3" w:rsidP="00754497">
            <w:r>
              <w:t>376</w:t>
            </w:r>
          </w:p>
        </w:tc>
        <w:tc>
          <w:tcPr>
            <w:tcW w:w="2394" w:type="dxa"/>
            <w:shd w:val="clear" w:color="auto" w:fill="auto"/>
          </w:tcPr>
          <w:p w:rsidR="003740BC" w:rsidRDefault="00915FF3" w:rsidP="00754497">
            <w:r w:rsidRPr="00915FF3">
              <w:t>$76.40</w:t>
            </w:r>
          </w:p>
        </w:tc>
        <w:tc>
          <w:tcPr>
            <w:tcW w:w="1926" w:type="dxa"/>
            <w:shd w:val="clear" w:color="auto" w:fill="auto"/>
          </w:tcPr>
          <w:p w:rsidR="003740BC" w:rsidRDefault="00915FF3" w:rsidP="00754497">
            <w:r w:rsidRPr="00915FF3">
              <w:t>$</w:t>
            </w:r>
            <w:r>
              <w:t>28</w:t>
            </w:r>
            <w:r w:rsidRPr="00915FF3">
              <w:t>,</w:t>
            </w:r>
            <w:r>
              <w:t>726</w:t>
            </w:r>
            <w:r w:rsidRPr="00915FF3">
              <w:t>.40</w:t>
            </w:r>
          </w:p>
        </w:tc>
      </w:tr>
      <w:tr w:rsidR="00915FF3" w:rsidTr="00FC31E5">
        <w:tc>
          <w:tcPr>
            <w:tcW w:w="2160" w:type="dxa"/>
            <w:shd w:val="clear" w:color="auto" w:fill="auto"/>
          </w:tcPr>
          <w:p w:rsidR="00915FF3" w:rsidRDefault="00915FF3" w:rsidP="00FC31E5">
            <w:r>
              <w:t xml:space="preserve">Recordkeeping -Record of Distribution </w:t>
            </w:r>
            <w:r w:rsidRPr="00915FF3">
              <w:t>(80.</w:t>
            </w:r>
            <w:r>
              <w:t>39</w:t>
            </w:r>
            <w:r w:rsidRPr="00915FF3">
              <w:t>)</w:t>
            </w:r>
          </w:p>
        </w:tc>
        <w:tc>
          <w:tcPr>
            <w:tcW w:w="1800" w:type="dxa"/>
            <w:shd w:val="clear" w:color="auto" w:fill="auto"/>
          </w:tcPr>
          <w:p w:rsidR="00915FF3" w:rsidRDefault="00915FF3" w:rsidP="00FC31E5">
            <w:r>
              <w:t>1,881</w:t>
            </w:r>
          </w:p>
        </w:tc>
        <w:tc>
          <w:tcPr>
            <w:tcW w:w="2394" w:type="dxa"/>
            <w:shd w:val="clear" w:color="auto" w:fill="auto"/>
          </w:tcPr>
          <w:p w:rsidR="00915FF3" w:rsidRDefault="00915FF3" w:rsidP="00FC31E5">
            <w:r w:rsidRPr="00915FF3">
              <w:t>$76.40</w:t>
            </w:r>
          </w:p>
        </w:tc>
        <w:tc>
          <w:tcPr>
            <w:tcW w:w="1926" w:type="dxa"/>
            <w:shd w:val="clear" w:color="auto" w:fill="auto"/>
          </w:tcPr>
          <w:p w:rsidR="00915FF3" w:rsidRDefault="00915FF3" w:rsidP="00FC31E5">
            <w:r w:rsidRPr="00915FF3">
              <w:t>$</w:t>
            </w:r>
            <w:r>
              <w:t>143,708</w:t>
            </w:r>
            <w:r w:rsidRPr="00915FF3">
              <w:t>.40</w:t>
            </w:r>
          </w:p>
        </w:tc>
      </w:tr>
      <w:tr w:rsidR="003740BC" w:rsidTr="00B86DFA">
        <w:tc>
          <w:tcPr>
            <w:tcW w:w="6354" w:type="dxa"/>
            <w:gridSpan w:val="3"/>
            <w:shd w:val="clear" w:color="auto" w:fill="auto"/>
          </w:tcPr>
          <w:p w:rsidR="003740BC" w:rsidRDefault="003740BC" w:rsidP="00754497">
            <w:r>
              <w:t>Total</w:t>
            </w:r>
          </w:p>
        </w:tc>
        <w:tc>
          <w:tcPr>
            <w:tcW w:w="1926" w:type="dxa"/>
            <w:shd w:val="clear" w:color="auto" w:fill="auto"/>
          </w:tcPr>
          <w:p w:rsidR="003740BC" w:rsidRDefault="003740BC" w:rsidP="00754497">
            <w:r>
              <w:t>$</w:t>
            </w:r>
            <w:r w:rsidR="00915FF3">
              <w:t>270,150.40</w:t>
            </w:r>
          </w:p>
        </w:tc>
      </w:tr>
    </w:tbl>
    <w:p w:rsidR="003740BC" w:rsidRDefault="003740BC" w:rsidP="00915FF3">
      <w:pPr>
        <w:pStyle w:val="BodyText2"/>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915FF3" w:rsidP="00915FF3">
      <w:pPr>
        <w:ind w:left="720"/>
      </w:pPr>
      <w:r w:rsidRPr="00915FF3">
        <w:t>There are no capital, start-up, operating, or maintenance cost</w:t>
      </w:r>
      <w:r>
        <w:t>s associated with this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Pr="00D73B1E" w:rsidRDefault="00D73B1E" w:rsidP="00D73B1E">
      <w:pPr>
        <w:pStyle w:val="BodyText2"/>
        <w:ind w:left="720"/>
        <w:rPr>
          <w:szCs w:val="24"/>
        </w:rPr>
      </w:pPr>
      <w:r w:rsidRPr="00D73B1E">
        <w:rPr>
          <w:szCs w:val="24"/>
        </w:rPr>
        <w:t>Section 721(e) of the FD&amp;C Act (21 U.S.C. 379e(e)) provides that fees must be charged for color additive certification “as may be necessary to provide, maintain, and equip an adequate service for such purposes.”  Thus, it is required by law that there be no cost to the federal government for color additive certification.  As noted above, FDA charges a fee for certification based on the batch weight in accordance with § 80.10 (21 CFR 80.10).</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C838B2" w:rsidRDefault="005625D4" w:rsidP="00C838B2">
      <w:pPr>
        <w:ind w:left="720"/>
      </w:pPr>
      <w:r>
        <w:t xml:space="preserve">The information collection reflects agency </w:t>
      </w:r>
      <w:r w:rsidR="00AF6363">
        <w:t>adjustments</w:t>
      </w:r>
      <w:r w:rsidR="00391368">
        <w:t xml:space="preserve">.  </w:t>
      </w:r>
      <w:r>
        <w:t xml:space="preserve">Specifically, we have increased our total estimate for the collection by </w:t>
      </w:r>
      <w:r w:rsidR="00D73B1E">
        <w:t>263 hours</w:t>
      </w:r>
      <w:r>
        <w:t xml:space="preserve"> (</w:t>
      </w:r>
      <w:r w:rsidR="00D73B1E">
        <w:t>from 3,273 to 3,536</w:t>
      </w:r>
      <w:r>
        <w:t>)</w:t>
      </w:r>
      <w:r w:rsidR="00D73B1E">
        <w:t xml:space="preserve">.  </w:t>
      </w:r>
      <w:r>
        <w:t xml:space="preserve">Because we have received an increase in the number of </w:t>
      </w:r>
      <w:r w:rsidR="00C838B2">
        <w:t>certification requests over the past 3 fiscal years (FY)</w:t>
      </w:r>
      <w:r>
        <w:t xml:space="preserve">, we increased the </w:t>
      </w:r>
      <w:r w:rsidR="00C838B2">
        <w:t>number of respondents submitting requests from 35 to 38</w:t>
      </w:r>
      <w:r>
        <w:t>.  At the same time, we reduced our estimate by 1</w:t>
      </w:r>
      <w:r w:rsidR="004E3F26">
        <w:t xml:space="preserve"> (from 199 to 198) in the</w:t>
      </w:r>
      <w:r w:rsidR="009460FB">
        <w:t xml:space="preserve"> </w:t>
      </w:r>
      <w:r w:rsidR="00C838B2">
        <w:t xml:space="preserve">average number of annual responses </w:t>
      </w:r>
      <w:r w:rsidR="00C838B2" w:rsidRPr="00E46DF5">
        <w:rPr>
          <w:u w:val="single"/>
        </w:rPr>
        <w:t>per respondent</w:t>
      </w:r>
      <w:r w:rsidR="00C838B2">
        <w:t xml:space="preserve">.  </w:t>
      </w:r>
      <w:r w:rsidR="004E3F26">
        <w:t xml:space="preserve">We attribute these fluctuations to respondent submissions and our experience with the information collection. </w:t>
      </w:r>
      <w:r w:rsidR="00391368" w:rsidRPr="00391368">
        <w:t xml:space="preserve"> </w:t>
      </w:r>
    </w:p>
    <w:p w:rsidR="0041777D" w:rsidRDefault="0041777D" w:rsidP="00C838B2">
      <w:pPr>
        <w:ind w:left="720"/>
      </w:pPr>
    </w:p>
    <w:p w:rsidR="0041777D" w:rsidRDefault="0041777D" w:rsidP="00C838B2">
      <w:pPr>
        <w:ind w:left="720"/>
      </w:pPr>
    </w:p>
    <w:p w:rsidR="0041777D" w:rsidRDefault="0041777D" w:rsidP="00C838B2">
      <w:pPr>
        <w:ind w:left="720"/>
      </w:pPr>
    </w:p>
    <w:p w:rsidR="0041777D" w:rsidRDefault="0041777D" w:rsidP="00C838B2">
      <w:pPr>
        <w:ind w:left="720"/>
      </w:pPr>
    </w:p>
    <w:p w:rsidR="0041777D" w:rsidRDefault="0041777D" w:rsidP="00C838B2">
      <w:pPr>
        <w:ind w:left="720"/>
      </w:pPr>
    </w:p>
    <w:p w:rsidR="0041777D" w:rsidRDefault="0041777D" w:rsidP="00C838B2">
      <w:pPr>
        <w:ind w:left="720"/>
      </w:pPr>
    </w:p>
    <w:p w:rsidR="0041777D" w:rsidRDefault="0041777D" w:rsidP="00C838B2">
      <w:pPr>
        <w:ind w:left="720"/>
      </w:pPr>
      <w:r>
        <w:t>The previously approved ICR submitted to OMB included three ICs entered in ROCIS and which were stated in tables 1 and 2 (two reporting ICs and one recordkeeping IC) in Item 12 of this supporting statement.  With this submission to OMB for approval, we consolidated the three ICs in Item 12 to two ICs in ROCIS (one reporting and one recordkeeping IC).  Therefore, for this submission of extension, this ICR now has two ICs in ROCIS, but the information collection activities and the burden associated with each IC remain broken down into three ICs in Item 12 of this supporting statement.</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391368" w:rsidP="003C4EBB">
      <w:pPr>
        <w:ind w:left="720"/>
      </w:pPr>
      <w:r w:rsidRPr="00391368">
        <w:t>No comprehensive tabulation of the data is planned or anticipated.</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391368" w:rsidP="00D730BF">
      <w:pPr>
        <w:ind w:left="720"/>
      </w:pPr>
      <w:r w:rsidRPr="00391368">
        <w:t>FDA has no reason for not di</w:t>
      </w:r>
      <w:r>
        <w:t>splaying the OMB approval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391368" w:rsidP="00D730BF">
      <w:pPr>
        <w:spacing w:before="100" w:beforeAutospacing="1" w:after="100" w:afterAutospacing="1"/>
        <w:ind w:left="720"/>
      </w:pPr>
      <w:r w:rsidRPr="00391368">
        <w:t>There are no exceptions to the certification.</w:t>
      </w:r>
    </w:p>
    <w:sectPr w:rsidR="00E00EA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5B" w:rsidRDefault="005F155B">
      <w:r>
        <w:separator/>
      </w:r>
    </w:p>
  </w:endnote>
  <w:endnote w:type="continuationSeparator" w:id="0">
    <w:p w:rsidR="005F155B" w:rsidRDefault="005F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0EE">
      <w:rPr>
        <w:rStyle w:val="PageNumber"/>
        <w:noProof/>
      </w:rPr>
      <w:t>2</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5B" w:rsidRDefault="005F155B">
      <w:r>
        <w:separator/>
      </w:r>
    </w:p>
  </w:footnote>
  <w:footnote w:type="continuationSeparator" w:id="0">
    <w:p w:rsidR="005F155B" w:rsidRDefault="005F1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B5C6F"/>
    <w:multiLevelType w:val="hybridMultilevel"/>
    <w:tmpl w:val="D272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3"/>
  </w:num>
  <w:num w:numId="7">
    <w:abstractNumId w:val="28"/>
  </w:num>
  <w:num w:numId="8">
    <w:abstractNumId w:val="5"/>
  </w:num>
  <w:num w:numId="9">
    <w:abstractNumId w:val="24"/>
  </w:num>
  <w:num w:numId="10">
    <w:abstractNumId w:val="20"/>
  </w:num>
  <w:num w:numId="11">
    <w:abstractNumId w:val="10"/>
  </w:num>
  <w:num w:numId="12">
    <w:abstractNumId w:val="31"/>
  </w:num>
  <w:num w:numId="13">
    <w:abstractNumId w:val="19"/>
  </w:num>
  <w:num w:numId="14">
    <w:abstractNumId w:val="9"/>
  </w:num>
  <w:num w:numId="15">
    <w:abstractNumId w:val="15"/>
  </w:num>
  <w:num w:numId="16">
    <w:abstractNumId w:val="14"/>
  </w:num>
  <w:num w:numId="17">
    <w:abstractNumId w:val="27"/>
  </w:num>
  <w:num w:numId="18">
    <w:abstractNumId w:val="30"/>
  </w:num>
  <w:num w:numId="19">
    <w:abstractNumId w:val="29"/>
  </w:num>
  <w:num w:numId="20">
    <w:abstractNumId w:val="18"/>
  </w:num>
  <w:num w:numId="21">
    <w:abstractNumId w:val="13"/>
  </w:num>
  <w:num w:numId="22">
    <w:abstractNumId w:val="4"/>
  </w:num>
  <w:num w:numId="23">
    <w:abstractNumId w:val="25"/>
  </w:num>
  <w:num w:numId="24">
    <w:abstractNumId w:val="22"/>
  </w:num>
  <w:num w:numId="25">
    <w:abstractNumId w:val="12"/>
  </w:num>
  <w:num w:numId="26">
    <w:abstractNumId w:val="7"/>
  </w:num>
  <w:num w:numId="27">
    <w:abstractNumId w:val="32"/>
  </w:num>
  <w:num w:numId="28">
    <w:abstractNumId w:val="26"/>
  </w:num>
  <w:num w:numId="29">
    <w:abstractNumId w:val="6"/>
  </w:num>
  <w:num w:numId="30">
    <w:abstractNumId w:val="17"/>
  </w:num>
  <w:num w:numId="31">
    <w:abstractNumId w:val="3"/>
  </w:num>
  <w:num w:numId="32">
    <w:abstractNumId w:val="2"/>
  </w:num>
  <w:num w:numId="33">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burn, Christopher">
    <w15:presenceInfo w15:providerId="AD" w15:userId="S-1-5-21-1078081533-606747145-839522115-169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A5BCD"/>
    <w:rsid w:val="000C560C"/>
    <w:rsid w:val="000D48FD"/>
    <w:rsid w:val="000E1C64"/>
    <w:rsid w:val="000E61C4"/>
    <w:rsid w:val="000F7119"/>
    <w:rsid w:val="00100739"/>
    <w:rsid w:val="00107885"/>
    <w:rsid w:val="00114FC4"/>
    <w:rsid w:val="00121115"/>
    <w:rsid w:val="0012329C"/>
    <w:rsid w:val="00134FA7"/>
    <w:rsid w:val="00137950"/>
    <w:rsid w:val="00152F29"/>
    <w:rsid w:val="001603F1"/>
    <w:rsid w:val="00165698"/>
    <w:rsid w:val="00185270"/>
    <w:rsid w:val="001A3B5A"/>
    <w:rsid w:val="001B7CE9"/>
    <w:rsid w:val="001D495A"/>
    <w:rsid w:val="001E244C"/>
    <w:rsid w:val="001F1437"/>
    <w:rsid w:val="002259EF"/>
    <w:rsid w:val="002361FF"/>
    <w:rsid w:val="00242ED1"/>
    <w:rsid w:val="00254069"/>
    <w:rsid w:val="0026527C"/>
    <w:rsid w:val="002734E5"/>
    <w:rsid w:val="002746DB"/>
    <w:rsid w:val="00280CAF"/>
    <w:rsid w:val="00282F09"/>
    <w:rsid w:val="00297532"/>
    <w:rsid w:val="002A1210"/>
    <w:rsid w:val="002D0ADB"/>
    <w:rsid w:val="002D14D8"/>
    <w:rsid w:val="002D4799"/>
    <w:rsid w:val="002E3FA4"/>
    <w:rsid w:val="003113A2"/>
    <w:rsid w:val="003113FF"/>
    <w:rsid w:val="00312F06"/>
    <w:rsid w:val="0032277F"/>
    <w:rsid w:val="00350523"/>
    <w:rsid w:val="003740BC"/>
    <w:rsid w:val="003801A3"/>
    <w:rsid w:val="00383D90"/>
    <w:rsid w:val="00391368"/>
    <w:rsid w:val="003B42B3"/>
    <w:rsid w:val="003B6384"/>
    <w:rsid w:val="003C4EBB"/>
    <w:rsid w:val="003D1531"/>
    <w:rsid w:val="003E4EC6"/>
    <w:rsid w:val="003E527E"/>
    <w:rsid w:val="003E553E"/>
    <w:rsid w:val="003E7078"/>
    <w:rsid w:val="003F3DF5"/>
    <w:rsid w:val="00411D11"/>
    <w:rsid w:val="00415E23"/>
    <w:rsid w:val="0041670D"/>
    <w:rsid w:val="0041777D"/>
    <w:rsid w:val="00424061"/>
    <w:rsid w:val="0042787F"/>
    <w:rsid w:val="004340C2"/>
    <w:rsid w:val="00442A3C"/>
    <w:rsid w:val="00443969"/>
    <w:rsid w:val="00447D74"/>
    <w:rsid w:val="00450A74"/>
    <w:rsid w:val="004546BF"/>
    <w:rsid w:val="00465350"/>
    <w:rsid w:val="004846BF"/>
    <w:rsid w:val="0048746B"/>
    <w:rsid w:val="004C6979"/>
    <w:rsid w:val="004D3E7A"/>
    <w:rsid w:val="004E169C"/>
    <w:rsid w:val="004E3F26"/>
    <w:rsid w:val="004F594B"/>
    <w:rsid w:val="00544138"/>
    <w:rsid w:val="005625D4"/>
    <w:rsid w:val="00584583"/>
    <w:rsid w:val="00590EEB"/>
    <w:rsid w:val="00595359"/>
    <w:rsid w:val="005A4099"/>
    <w:rsid w:val="005B1D9F"/>
    <w:rsid w:val="005B28E4"/>
    <w:rsid w:val="005C38B2"/>
    <w:rsid w:val="005C5029"/>
    <w:rsid w:val="005C55C2"/>
    <w:rsid w:val="005C745C"/>
    <w:rsid w:val="005D4DF5"/>
    <w:rsid w:val="005F155B"/>
    <w:rsid w:val="00604C51"/>
    <w:rsid w:val="00611D6B"/>
    <w:rsid w:val="00661BD8"/>
    <w:rsid w:val="006840EE"/>
    <w:rsid w:val="00695114"/>
    <w:rsid w:val="006A26C6"/>
    <w:rsid w:val="006A7D5D"/>
    <w:rsid w:val="006B0636"/>
    <w:rsid w:val="006D5D57"/>
    <w:rsid w:val="006E2161"/>
    <w:rsid w:val="006F4D6D"/>
    <w:rsid w:val="00705086"/>
    <w:rsid w:val="00734660"/>
    <w:rsid w:val="007426EF"/>
    <w:rsid w:val="00754497"/>
    <w:rsid w:val="00772CCA"/>
    <w:rsid w:val="00787C39"/>
    <w:rsid w:val="00795DF3"/>
    <w:rsid w:val="007A2FB8"/>
    <w:rsid w:val="007A373C"/>
    <w:rsid w:val="007B225C"/>
    <w:rsid w:val="007C75B1"/>
    <w:rsid w:val="007D3DFC"/>
    <w:rsid w:val="007E2F07"/>
    <w:rsid w:val="0080776D"/>
    <w:rsid w:val="00810145"/>
    <w:rsid w:val="008108FA"/>
    <w:rsid w:val="00810FF1"/>
    <w:rsid w:val="00822336"/>
    <w:rsid w:val="00823DFA"/>
    <w:rsid w:val="00843752"/>
    <w:rsid w:val="0084479F"/>
    <w:rsid w:val="00852043"/>
    <w:rsid w:val="0085725E"/>
    <w:rsid w:val="00885B09"/>
    <w:rsid w:val="00892400"/>
    <w:rsid w:val="008A209D"/>
    <w:rsid w:val="008B0E29"/>
    <w:rsid w:val="008B0EFA"/>
    <w:rsid w:val="008B1CBF"/>
    <w:rsid w:val="008B30AB"/>
    <w:rsid w:val="008E5F55"/>
    <w:rsid w:val="00905DEF"/>
    <w:rsid w:val="00913B43"/>
    <w:rsid w:val="00915FF3"/>
    <w:rsid w:val="00930203"/>
    <w:rsid w:val="009311D2"/>
    <w:rsid w:val="009311E6"/>
    <w:rsid w:val="00931275"/>
    <w:rsid w:val="00936AC7"/>
    <w:rsid w:val="009460FB"/>
    <w:rsid w:val="00953B64"/>
    <w:rsid w:val="00957F59"/>
    <w:rsid w:val="009625F8"/>
    <w:rsid w:val="009A1674"/>
    <w:rsid w:val="009C684F"/>
    <w:rsid w:val="009D074C"/>
    <w:rsid w:val="009E676C"/>
    <w:rsid w:val="009E6DA6"/>
    <w:rsid w:val="009F2B4F"/>
    <w:rsid w:val="009F66B5"/>
    <w:rsid w:val="00A00DF4"/>
    <w:rsid w:val="00A041B5"/>
    <w:rsid w:val="00A16221"/>
    <w:rsid w:val="00A20A7D"/>
    <w:rsid w:val="00A35D42"/>
    <w:rsid w:val="00A46CCF"/>
    <w:rsid w:val="00A53451"/>
    <w:rsid w:val="00A544E8"/>
    <w:rsid w:val="00A70426"/>
    <w:rsid w:val="00A91E9A"/>
    <w:rsid w:val="00A93ED9"/>
    <w:rsid w:val="00A96221"/>
    <w:rsid w:val="00AC6A99"/>
    <w:rsid w:val="00AF6363"/>
    <w:rsid w:val="00B055EF"/>
    <w:rsid w:val="00B23769"/>
    <w:rsid w:val="00B43552"/>
    <w:rsid w:val="00B743FD"/>
    <w:rsid w:val="00B81808"/>
    <w:rsid w:val="00B86DFA"/>
    <w:rsid w:val="00B936D0"/>
    <w:rsid w:val="00BE3600"/>
    <w:rsid w:val="00C01F6F"/>
    <w:rsid w:val="00C149AB"/>
    <w:rsid w:val="00C40694"/>
    <w:rsid w:val="00C70542"/>
    <w:rsid w:val="00C75CBF"/>
    <w:rsid w:val="00C75CC6"/>
    <w:rsid w:val="00C838B2"/>
    <w:rsid w:val="00CC20CB"/>
    <w:rsid w:val="00CC2894"/>
    <w:rsid w:val="00CD77C3"/>
    <w:rsid w:val="00CE112C"/>
    <w:rsid w:val="00CF4394"/>
    <w:rsid w:val="00CF55D4"/>
    <w:rsid w:val="00D20DBE"/>
    <w:rsid w:val="00D34D90"/>
    <w:rsid w:val="00D547BD"/>
    <w:rsid w:val="00D608DA"/>
    <w:rsid w:val="00D730BF"/>
    <w:rsid w:val="00D73B1E"/>
    <w:rsid w:val="00D94DEB"/>
    <w:rsid w:val="00DA4FDF"/>
    <w:rsid w:val="00DC3788"/>
    <w:rsid w:val="00DC76C7"/>
    <w:rsid w:val="00DD09F5"/>
    <w:rsid w:val="00DD4201"/>
    <w:rsid w:val="00DD5E9F"/>
    <w:rsid w:val="00DE5711"/>
    <w:rsid w:val="00E00EA0"/>
    <w:rsid w:val="00E23D85"/>
    <w:rsid w:val="00E26758"/>
    <w:rsid w:val="00E4357B"/>
    <w:rsid w:val="00E46DF5"/>
    <w:rsid w:val="00E63DE5"/>
    <w:rsid w:val="00E65A37"/>
    <w:rsid w:val="00E67C59"/>
    <w:rsid w:val="00E77B48"/>
    <w:rsid w:val="00E86592"/>
    <w:rsid w:val="00E91799"/>
    <w:rsid w:val="00E93B7D"/>
    <w:rsid w:val="00EA21FE"/>
    <w:rsid w:val="00EA34E3"/>
    <w:rsid w:val="00EB6119"/>
    <w:rsid w:val="00EB7538"/>
    <w:rsid w:val="00EC0AA1"/>
    <w:rsid w:val="00F207A4"/>
    <w:rsid w:val="00F355AC"/>
    <w:rsid w:val="00F61CE1"/>
    <w:rsid w:val="00F71A5A"/>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603F1"/>
    <w:rPr>
      <w:color w:val="0000FF"/>
      <w:u w:val="single"/>
    </w:rPr>
  </w:style>
  <w:style w:type="character" w:styleId="CommentReference">
    <w:name w:val="annotation reference"/>
    <w:basedOn w:val="DefaultParagraphFont"/>
    <w:rsid w:val="00C75CC6"/>
    <w:rPr>
      <w:sz w:val="16"/>
      <w:szCs w:val="16"/>
    </w:rPr>
  </w:style>
  <w:style w:type="paragraph" w:styleId="CommentText">
    <w:name w:val="annotation text"/>
    <w:basedOn w:val="Normal"/>
    <w:link w:val="CommentTextChar"/>
    <w:rsid w:val="00C75CC6"/>
    <w:rPr>
      <w:sz w:val="20"/>
      <w:szCs w:val="20"/>
    </w:rPr>
  </w:style>
  <w:style w:type="character" w:customStyle="1" w:styleId="CommentTextChar">
    <w:name w:val="Comment Text Char"/>
    <w:basedOn w:val="DefaultParagraphFont"/>
    <w:link w:val="CommentText"/>
    <w:rsid w:val="00C75CC6"/>
  </w:style>
  <w:style w:type="paragraph" w:styleId="CommentSubject">
    <w:name w:val="annotation subject"/>
    <w:basedOn w:val="CommentText"/>
    <w:next w:val="CommentText"/>
    <w:link w:val="CommentSubjectChar"/>
    <w:rsid w:val="00C75CC6"/>
    <w:rPr>
      <w:b/>
      <w:bCs/>
    </w:rPr>
  </w:style>
  <w:style w:type="character" w:customStyle="1" w:styleId="CommentSubjectChar">
    <w:name w:val="Comment Subject Char"/>
    <w:basedOn w:val="CommentTextChar"/>
    <w:link w:val="CommentSubject"/>
    <w:rsid w:val="00C75CC6"/>
    <w:rPr>
      <w:b/>
      <w:bCs/>
    </w:rPr>
  </w:style>
  <w:style w:type="paragraph" w:styleId="ListParagraph">
    <w:name w:val="List Paragraph"/>
    <w:basedOn w:val="Normal"/>
    <w:uiPriority w:val="34"/>
    <w:qFormat/>
    <w:rsid w:val="005625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603F1"/>
    <w:rPr>
      <w:color w:val="0000FF"/>
      <w:u w:val="single"/>
    </w:rPr>
  </w:style>
  <w:style w:type="character" w:styleId="CommentReference">
    <w:name w:val="annotation reference"/>
    <w:basedOn w:val="DefaultParagraphFont"/>
    <w:rsid w:val="00C75CC6"/>
    <w:rPr>
      <w:sz w:val="16"/>
      <w:szCs w:val="16"/>
    </w:rPr>
  </w:style>
  <w:style w:type="paragraph" w:styleId="CommentText">
    <w:name w:val="annotation text"/>
    <w:basedOn w:val="Normal"/>
    <w:link w:val="CommentTextChar"/>
    <w:rsid w:val="00C75CC6"/>
    <w:rPr>
      <w:sz w:val="20"/>
      <w:szCs w:val="20"/>
    </w:rPr>
  </w:style>
  <w:style w:type="character" w:customStyle="1" w:styleId="CommentTextChar">
    <w:name w:val="Comment Text Char"/>
    <w:basedOn w:val="DefaultParagraphFont"/>
    <w:link w:val="CommentText"/>
    <w:rsid w:val="00C75CC6"/>
  </w:style>
  <w:style w:type="paragraph" w:styleId="CommentSubject">
    <w:name w:val="annotation subject"/>
    <w:basedOn w:val="CommentText"/>
    <w:next w:val="CommentText"/>
    <w:link w:val="CommentSubjectChar"/>
    <w:rsid w:val="00C75CC6"/>
    <w:rPr>
      <w:b/>
      <w:bCs/>
    </w:rPr>
  </w:style>
  <w:style w:type="character" w:customStyle="1" w:styleId="CommentSubjectChar">
    <w:name w:val="Comment Subject Char"/>
    <w:basedOn w:val="CommentTextChar"/>
    <w:link w:val="CommentSubject"/>
    <w:rsid w:val="00C75CC6"/>
    <w:rPr>
      <w:b/>
      <w:bCs/>
    </w:rPr>
  </w:style>
  <w:style w:type="paragraph" w:styleId="ListParagraph">
    <w:name w:val="List Paragraph"/>
    <w:basedOn w:val="Normal"/>
    <w:uiPriority w:val="34"/>
    <w:qFormat/>
    <w:rsid w:val="00562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6015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oc/indust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2017-09-28T13:12:00Z</cp:lastPrinted>
  <dcterms:created xsi:type="dcterms:W3CDTF">2017-09-29T14:46:00Z</dcterms:created>
  <dcterms:modified xsi:type="dcterms:W3CDTF">2017-09-29T14:46:00Z</dcterms:modified>
</cp:coreProperties>
</file>