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B8DC8" w14:textId="77777777" w:rsidR="004361C7" w:rsidRPr="004361C7" w:rsidRDefault="004361C7" w:rsidP="004361C7">
      <w:pPr>
        <w:jc w:val="center"/>
        <w:rPr>
          <w:rFonts w:asciiTheme="majorHAnsi" w:hAnsiTheme="majorHAnsi"/>
          <w:b/>
          <w:color w:val="000000"/>
        </w:rPr>
      </w:pPr>
      <w:bookmarkStart w:id="0" w:name="_GoBack"/>
      <w:bookmarkEnd w:id="0"/>
      <w:r w:rsidRPr="004361C7">
        <w:rPr>
          <w:rFonts w:asciiTheme="majorHAnsi" w:hAnsiTheme="majorHAnsi"/>
          <w:b/>
          <w:color w:val="000000"/>
        </w:rPr>
        <w:t>Rationale for Early Bird Incentive Use</w:t>
      </w:r>
      <w:r w:rsidR="00B11DA2">
        <w:rPr>
          <w:rFonts w:asciiTheme="majorHAnsi" w:hAnsiTheme="majorHAnsi"/>
          <w:b/>
          <w:color w:val="000000"/>
        </w:rPr>
        <w:t xml:space="preserve"> for EFECT (0910-0788)</w:t>
      </w:r>
    </w:p>
    <w:p w14:paraId="0A8AFD56" w14:textId="45BFA410" w:rsidR="001B08D4" w:rsidRPr="00D610B9" w:rsidRDefault="00AF70B2" w:rsidP="00800176">
      <w:pPr>
        <w:jc w:val="both"/>
        <w:rPr>
          <w:color w:val="000000"/>
          <w:sz w:val="24"/>
          <w:szCs w:val="24"/>
        </w:rPr>
      </w:pPr>
      <w:r w:rsidRPr="00D610B9">
        <w:rPr>
          <w:color w:val="000000"/>
          <w:sz w:val="24"/>
          <w:szCs w:val="24"/>
        </w:rPr>
        <w:t xml:space="preserve">In a review of response rate of government surveys (Lu, 2002), the mean response rate by type of study was 84.7% </w:t>
      </w:r>
      <w:r w:rsidR="00D506C1">
        <w:rPr>
          <w:color w:val="000000"/>
          <w:sz w:val="24"/>
          <w:szCs w:val="24"/>
        </w:rPr>
        <w:t>for</w:t>
      </w:r>
      <w:r w:rsidR="00D506C1" w:rsidRPr="00D610B9">
        <w:rPr>
          <w:color w:val="000000"/>
          <w:sz w:val="24"/>
          <w:szCs w:val="24"/>
        </w:rPr>
        <w:t xml:space="preserve"> </w:t>
      </w:r>
      <w:r w:rsidRPr="00D610B9">
        <w:rPr>
          <w:color w:val="000000"/>
          <w:sz w:val="24"/>
          <w:szCs w:val="24"/>
        </w:rPr>
        <w:t xml:space="preserve">studies using in-person interviews, 78.2% for mail surveys, 80.2% for telephone interviews, and </w:t>
      </w:r>
      <w:r w:rsidRPr="003E6AEE">
        <w:rPr>
          <w:color w:val="000000"/>
          <w:sz w:val="24"/>
          <w:szCs w:val="24"/>
        </w:rPr>
        <w:t>86.6%</w:t>
      </w:r>
      <w:r w:rsidRPr="00D610B9">
        <w:rPr>
          <w:color w:val="000000"/>
          <w:sz w:val="24"/>
          <w:szCs w:val="24"/>
        </w:rPr>
        <w:t xml:space="preserve"> for multi-modal studies.</w:t>
      </w:r>
      <w:r w:rsidR="001B08D4" w:rsidRPr="00D610B9">
        <w:rPr>
          <w:color w:val="000000"/>
          <w:sz w:val="24"/>
          <w:szCs w:val="24"/>
        </w:rPr>
        <w:t xml:space="preserve"> As shown in </w:t>
      </w:r>
      <w:r w:rsidR="00D506C1">
        <w:rPr>
          <w:color w:val="000000"/>
          <w:sz w:val="24"/>
          <w:szCs w:val="24"/>
        </w:rPr>
        <w:t>Table 1</w:t>
      </w:r>
      <w:r w:rsidR="001B08D4" w:rsidRPr="00D610B9">
        <w:rPr>
          <w:color w:val="000000"/>
          <w:sz w:val="24"/>
          <w:szCs w:val="24"/>
        </w:rPr>
        <w:t>, t</w:t>
      </w:r>
      <w:r w:rsidRPr="00D610B9">
        <w:rPr>
          <w:color w:val="000000"/>
          <w:sz w:val="24"/>
          <w:szCs w:val="24"/>
        </w:rPr>
        <w:t xml:space="preserve">he current response rate for the EFECT surveys </w:t>
      </w:r>
      <w:r w:rsidR="001B08D4" w:rsidRPr="00D610B9">
        <w:rPr>
          <w:color w:val="000000"/>
          <w:sz w:val="24"/>
          <w:szCs w:val="24"/>
        </w:rPr>
        <w:t xml:space="preserve">to date among those who are eligible </w:t>
      </w:r>
      <w:r w:rsidRPr="00D610B9">
        <w:rPr>
          <w:color w:val="000000"/>
          <w:sz w:val="24"/>
          <w:szCs w:val="24"/>
        </w:rPr>
        <w:t xml:space="preserve">has been lower than </w:t>
      </w:r>
      <w:r w:rsidR="001B08D4" w:rsidRPr="00D610B9">
        <w:rPr>
          <w:color w:val="000000"/>
          <w:sz w:val="24"/>
          <w:szCs w:val="24"/>
        </w:rPr>
        <w:t>the multi-modal study average.</w:t>
      </w:r>
      <w:r w:rsidR="006013E4" w:rsidRPr="006013E4">
        <w:rPr>
          <w:color w:val="000000" w:themeColor="text1"/>
          <w:sz w:val="24"/>
          <w:szCs w:val="24"/>
        </w:rPr>
        <w:t xml:space="preserve"> </w:t>
      </w:r>
      <w:r w:rsidR="006013E4" w:rsidRPr="002C1CCF">
        <w:rPr>
          <w:color w:val="000000" w:themeColor="text1"/>
          <w:sz w:val="24"/>
          <w:szCs w:val="24"/>
        </w:rPr>
        <w:t>EFECT’s sample is largely composed of r</w:t>
      </w:r>
      <w:r w:rsidR="006013E4">
        <w:rPr>
          <w:color w:val="000000" w:themeColor="text1"/>
          <w:sz w:val="24"/>
          <w:szCs w:val="24"/>
        </w:rPr>
        <w:t>acial and ethnic minority youth</w:t>
      </w:r>
      <w:r w:rsidR="00D506C1">
        <w:rPr>
          <w:color w:val="000000" w:themeColor="text1"/>
          <w:sz w:val="24"/>
          <w:szCs w:val="24"/>
        </w:rPr>
        <w:t>,</w:t>
      </w:r>
      <w:r w:rsidR="006013E4">
        <w:rPr>
          <w:color w:val="000000" w:themeColor="text1"/>
          <w:sz w:val="24"/>
          <w:szCs w:val="24"/>
        </w:rPr>
        <w:t xml:space="preserve"> and </w:t>
      </w:r>
      <w:r w:rsidR="006013E4" w:rsidRPr="002C1CCF">
        <w:rPr>
          <w:color w:val="000000" w:themeColor="text1"/>
          <w:sz w:val="24"/>
          <w:szCs w:val="24"/>
        </w:rPr>
        <w:t>incentives have been found to be an effective method for recruiting vulnerable and hard to research populations such as racial and ethnic minorities (Yancey, Ortega, &amp; Kumanyika, 2006).</w:t>
      </w:r>
    </w:p>
    <w:p w14:paraId="11259141" w14:textId="77777777" w:rsidR="001B08D4" w:rsidRPr="00D610B9" w:rsidRDefault="001B08D4" w:rsidP="001B08D4">
      <w:pPr>
        <w:rPr>
          <w:b/>
          <w:sz w:val="24"/>
          <w:szCs w:val="24"/>
        </w:rPr>
      </w:pPr>
      <w:r w:rsidRPr="00D610B9">
        <w:rPr>
          <w:b/>
          <w:sz w:val="24"/>
          <w:szCs w:val="24"/>
        </w:rPr>
        <w:t xml:space="preserve">Table 1: </w:t>
      </w:r>
      <w:r w:rsidR="0034328A" w:rsidRPr="00D610B9">
        <w:rPr>
          <w:b/>
          <w:sz w:val="24"/>
          <w:szCs w:val="24"/>
        </w:rPr>
        <w:t xml:space="preserve">Response </w:t>
      </w:r>
      <w:r w:rsidR="00D506C1" w:rsidRPr="00D610B9">
        <w:rPr>
          <w:b/>
          <w:sz w:val="24"/>
          <w:szCs w:val="24"/>
        </w:rPr>
        <w:t>r</w:t>
      </w:r>
      <w:r w:rsidR="0034328A" w:rsidRPr="00D610B9">
        <w:rPr>
          <w:b/>
          <w:sz w:val="24"/>
          <w:szCs w:val="24"/>
        </w:rPr>
        <w:t xml:space="preserve">ates among those eligible, EFECT surveys from baseline to </w:t>
      </w:r>
      <w:r w:rsidR="00D506C1">
        <w:rPr>
          <w:b/>
          <w:sz w:val="24"/>
          <w:szCs w:val="24"/>
        </w:rPr>
        <w:t>Follow-up</w:t>
      </w:r>
      <w:r w:rsidR="0034328A" w:rsidRPr="00D610B9">
        <w:rPr>
          <w:b/>
          <w:sz w:val="24"/>
          <w:szCs w:val="24"/>
        </w:rPr>
        <w:t xml:space="preserve"> 2</w:t>
      </w:r>
    </w:p>
    <w:tbl>
      <w:tblPr>
        <w:tblStyle w:val="PlainTable11"/>
        <w:tblW w:w="9270" w:type="dxa"/>
        <w:tblInd w:w="108" w:type="dxa"/>
        <w:tblLook w:val="04A0" w:firstRow="1" w:lastRow="0" w:firstColumn="1" w:lastColumn="0" w:noHBand="0" w:noVBand="1"/>
      </w:tblPr>
      <w:tblGrid>
        <w:gridCol w:w="2520"/>
        <w:gridCol w:w="1710"/>
        <w:gridCol w:w="2160"/>
        <w:gridCol w:w="2880"/>
      </w:tblGrid>
      <w:tr w:rsidR="001B08D4" w:rsidRPr="00D610B9" w14:paraId="7B677A74" w14:textId="77777777" w:rsidTr="00D506C1">
        <w:trPr>
          <w:cnfStyle w:val="100000000000" w:firstRow="1" w:lastRow="0" w:firstColumn="0" w:lastColumn="0" w:oddVBand="0" w:evenVBand="0" w:oddHBand="0"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9422940" w14:textId="77777777" w:rsidR="001B08D4" w:rsidRPr="00D610B9" w:rsidRDefault="001B08D4">
            <w:pPr>
              <w:rPr>
                <w:color w:val="000000"/>
                <w:sz w:val="24"/>
                <w:szCs w:val="24"/>
              </w:rPr>
            </w:pPr>
            <w:r w:rsidRPr="00D610B9">
              <w:rPr>
                <w:bCs w:val="0"/>
                <w:color w:val="000000"/>
                <w:sz w:val="24"/>
                <w:szCs w:val="24"/>
              </w:rPr>
              <w:t>EFECT Response Rates</w:t>
            </w:r>
          </w:p>
        </w:tc>
        <w:tc>
          <w:tcPr>
            <w:tcW w:w="1710" w:type="dxa"/>
            <w:hideMark/>
          </w:tcPr>
          <w:p w14:paraId="2A3576C2"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Total Eligible</w:t>
            </w:r>
          </w:p>
        </w:tc>
        <w:tc>
          <w:tcPr>
            <w:tcW w:w="2160" w:type="dxa"/>
            <w:hideMark/>
          </w:tcPr>
          <w:p w14:paraId="6019C9A4"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Total Complete</w:t>
            </w:r>
            <w:r w:rsidR="007174CF">
              <w:rPr>
                <w:bCs w:val="0"/>
                <w:color w:val="000000"/>
                <w:sz w:val="24"/>
                <w:szCs w:val="24"/>
              </w:rPr>
              <w:t>d Surveys</w:t>
            </w:r>
          </w:p>
        </w:tc>
        <w:tc>
          <w:tcPr>
            <w:tcW w:w="2880" w:type="dxa"/>
            <w:hideMark/>
          </w:tcPr>
          <w:p w14:paraId="58597843" w14:textId="77777777" w:rsidR="001B08D4" w:rsidRPr="00D610B9" w:rsidRDefault="001B08D4">
            <w:pPr>
              <w:jc w:val="center"/>
              <w:cnfStyle w:val="100000000000" w:firstRow="1" w:lastRow="0" w:firstColumn="0" w:lastColumn="0" w:oddVBand="0" w:evenVBand="0" w:oddHBand="0" w:evenHBand="0" w:firstRowFirstColumn="0" w:firstRowLastColumn="0" w:lastRowFirstColumn="0" w:lastRowLastColumn="0"/>
              <w:rPr>
                <w:bCs w:val="0"/>
                <w:color w:val="000000"/>
                <w:sz w:val="24"/>
                <w:szCs w:val="24"/>
              </w:rPr>
            </w:pPr>
            <w:r w:rsidRPr="00D610B9">
              <w:rPr>
                <w:bCs w:val="0"/>
                <w:color w:val="000000"/>
                <w:sz w:val="24"/>
                <w:szCs w:val="24"/>
              </w:rPr>
              <w:t>% Eligible who Completed</w:t>
            </w:r>
          </w:p>
        </w:tc>
      </w:tr>
      <w:tr w:rsidR="004C3F18" w:rsidRPr="00D610B9" w14:paraId="32BC00F2" w14:textId="77777777" w:rsidTr="00D506C1">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BD1A55B" w14:textId="77777777" w:rsidR="004C3F18" w:rsidRPr="00D610B9" w:rsidRDefault="004C3F18" w:rsidP="001B08D4">
            <w:pPr>
              <w:rPr>
                <w:b w:val="0"/>
                <w:bCs w:val="0"/>
                <w:color w:val="000000"/>
                <w:sz w:val="24"/>
                <w:szCs w:val="24"/>
              </w:rPr>
            </w:pPr>
            <w:r w:rsidRPr="00D610B9">
              <w:rPr>
                <w:b w:val="0"/>
                <w:bCs w:val="0"/>
                <w:color w:val="000000"/>
                <w:sz w:val="24"/>
                <w:szCs w:val="24"/>
              </w:rPr>
              <w:t>Baseline</w:t>
            </w:r>
          </w:p>
        </w:tc>
        <w:tc>
          <w:tcPr>
            <w:tcW w:w="1710" w:type="dxa"/>
            <w:noWrap/>
            <w:vAlign w:val="bottom"/>
            <w:hideMark/>
          </w:tcPr>
          <w:p w14:paraId="44C17F95"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2,740</w:t>
            </w:r>
          </w:p>
        </w:tc>
        <w:tc>
          <w:tcPr>
            <w:tcW w:w="2160" w:type="dxa"/>
            <w:noWrap/>
            <w:vAlign w:val="bottom"/>
            <w:hideMark/>
          </w:tcPr>
          <w:p w14:paraId="4E4843B4"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2,194</w:t>
            </w:r>
          </w:p>
        </w:tc>
        <w:tc>
          <w:tcPr>
            <w:tcW w:w="2880" w:type="dxa"/>
            <w:noWrap/>
            <w:vAlign w:val="bottom"/>
            <w:hideMark/>
          </w:tcPr>
          <w:p w14:paraId="455A42A8"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80.1%</w:t>
            </w:r>
          </w:p>
        </w:tc>
      </w:tr>
      <w:tr w:rsidR="004C3F18" w:rsidRPr="00D610B9" w14:paraId="41919E24" w14:textId="77777777" w:rsidTr="00D506C1">
        <w:trPr>
          <w:trHeight w:val="288"/>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17D1C8D" w14:textId="77777777" w:rsidR="004C3F18" w:rsidRPr="00D610B9" w:rsidRDefault="00D506C1" w:rsidP="001B08D4">
            <w:pPr>
              <w:rPr>
                <w:color w:val="000000"/>
                <w:sz w:val="24"/>
                <w:szCs w:val="24"/>
              </w:rPr>
            </w:pPr>
            <w:r>
              <w:rPr>
                <w:b w:val="0"/>
                <w:bCs w:val="0"/>
                <w:color w:val="000000"/>
                <w:sz w:val="24"/>
                <w:szCs w:val="24"/>
              </w:rPr>
              <w:t>Follow-up</w:t>
            </w:r>
            <w:r w:rsidR="004C3F18" w:rsidRPr="00D610B9">
              <w:rPr>
                <w:b w:val="0"/>
                <w:bCs w:val="0"/>
                <w:color w:val="000000"/>
                <w:sz w:val="24"/>
                <w:szCs w:val="24"/>
              </w:rPr>
              <w:t xml:space="preserve"> 1</w:t>
            </w:r>
          </w:p>
        </w:tc>
        <w:tc>
          <w:tcPr>
            <w:tcW w:w="1710" w:type="dxa"/>
            <w:noWrap/>
            <w:vAlign w:val="bottom"/>
            <w:hideMark/>
          </w:tcPr>
          <w:p w14:paraId="67BD48DA"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3,500</w:t>
            </w:r>
          </w:p>
        </w:tc>
        <w:tc>
          <w:tcPr>
            <w:tcW w:w="2160" w:type="dxa"/>
            <w:noWrap/>
            <w:vAlign w:val="bottom"/>
            <w:hideMark/>
          </w:tcPr>
          <w:p w14:paraId="63A0C84E"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2,403</w:t>
            </w:r>
          </w:p>
        </w:tc>
        <w:tc>
          <w:tcPr>
            <w:tcW w:w="2880" w:type="dxa"/>
            <w:noWrap/>
            <w:vAlign w:val="bottom"/>
            <w:hideMark/>
          </w:tcPr>
          <w:p w14:paraId="2A3154DE" w14:textId="77777777" w:rsidR="004C3F18" w:rsidRDefault="004C3F18" w:rsidP="004C3F18">
            <w:pPr>
              <w:pStyle w:val="xmsonormal"/>
              <w:jc w:val="center"/>
              <w:cnfStyle w:val="000000000000" w:firstRow="0" w:lastRow="0" w:firstColumn="0" w:lastColumn="0" w:oddVBand="0" w:evenVBand="0" w:oddHBand="0"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68.7%</w:t>
            </w:r>
          </w:p>
        </w:tc>
      </w:tr>
      <w:tr w:rsidR="004C3F18" w:rsidRPr="00D610B9" w14:paraId="4B4E063A" w14:textId="77777777" w:rsidTr="00D506C1">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A6CAE96" w14:textId="77777777" w:rsidR="004C3F18" w:rsidRPr="00D610B9" w:rsidRDefault="00D506C1" w:rsidP="001B08D4">
            <w:pPr>
              <w:rPr>
                <w:color w:val="000000"/>
                <w:sz w:val="24"/>
                <w:szCs w:val="24"/>
              </w:rPr>
            </w:pPr>
            <w:r>
              <w:rPr>
                <w:b w:val="0"/>
                <w:bCs w:val="0"/>
                <w:color w:val="000000"/>
                <w:sz w:val="24"/>
                <w:szCs w:val="24"/>
              </w:rPr>
              <w:t>Follow-up</w:t>
            </w:r>
            <w:r w:rsidR="004C3F18" w:rsidRPr="00D610B9">
              <w:rPr>
                <w:b w:val="0"/>
                <w:bCs w:val="0"/>
                <w:color w:val="000000"/>
                <w:sz w:val="24"/>
                <w:szCs w:val="24"/>
              </w:rPr>
              <w:t xml:space="preserve"> 2 </w:t>
            </w:r>
          </w:p>
        </w:tc>
        <w:tc>
          <w:tcPr>
            <w:tcW w:w="1710" w:type="dxa"/>
            <w:noWrap/>
            <w:vAlign w:val="bottom"/>
            <w:hideMark/>
          </w:tcPr>
          <w:p w14:paraId="06726C5D"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000000"/>
                <w:sz w:val="22"/>
                <w:szCs w:val="22"/>
              </w:rPr>
              <w:t>2,704</w:t>
            </w:r>
          </w:p>
        </w:tc>
        <w:tc>
          <w:tcPr>
            <w:tcW w:w="2160" w:type="dxa"/>
            <w:noWrap/>
            <w:vAlign w:val="bottom"/>
            <w:hideMark/>
          </w:tcPr>
          <w:p w14:paraId="6EB3E447" w14:textId="77777777" w:rsid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hAnsi="Calibri" w:cs="Segoe UI"/>
                <w:color w:val="212121"/>
                <w:sz w:val="22"/>
                <w:szCs w:val="22"/>
              </w:rPr>
              <w:t>2,051</w:t>
            </w:r>
          </w:p>
        </w:tc>
        <w:tc>
          <w:tcPr>
            <w:tcW w:w="2880" w:type="dxa"/>
            <w:noWrap/>
            <w:vAlign w:val="bottom"/>
            <w:hideMark/>
          </w:tcPr>
          <w:p w14:paraId="0649765A" w14:textId="77777777" w:rsidR="004C3F18" w:rsidRPr="004C3F18" w:rsidRDefault="004C3F18" w:rsidP="004C3F18">
            <w:pPr>
              <w:pStyle w:val="xmsonormal"/>
              <w:jc w:val="center"/>
              <w:cnfStyle w:val="000000100000" w:firstRow="0" w:lastRow="0" w:firstColumn="0" w:lastColumn="0" w:oddVBand="0" w:evenVBand="0" w:oddHBand="1" w:evenHBand="0" w:firstRowFirstColumn="0" w:firstRowLastColumn="0" w:lastRowFirstColumn="0" w:lastRowLastColumn="0"/>
              <w:rPr>
                <w:rFonts w:ascii="Calibri" w:hAnsi="Calibri" w:cs="Segoe UI"/>
                <w:color w:val="212121"/>
                <w:sz w:val="22"/>
                <w:szCs w:val="22"/>
              </w:rPr>
            </w:pPr>
            <w:r>
              <w:rPr>
                <w:rFonts w:ascii="Calibri" w:eastAsia="Times New Roman" w:hAnsi="Calibri" w:cs="Segoe UI"/>
                <w:color w:val="000000"/>
                <w:sz w:val="23"/>
                <w:szCs w:val="23"/>
              </w:rPr>
              <w:t>75.9%</w:t>
            </w:r>
          </w:p>
        </w:tc>
      </w:tr>
    </w:tbl>
    <w:p w14:paraId="0B51CD5E" w14:textId="77777777" w:rsidR="00D506C1" w:rsidRPr="00D506C1" w:rsidRDefault="00D506C1" w:rsidP="00D506C1"/>
    <w:p w14:paraId="5C405102" w14:textId="26609A59" w:rsidR="004C3F18" w:rsidRDefault="00853D9B" w:rsidP="006013E4">
      <w:pPr>
        <w:jc w:val="both"/>
        <w:rPr>
          <w:color w:val="000000" w:themeColor="text1"/>
          <w:sz w:val="24"/>
          <w:szCs w:val="24"/>
        </w:rPr>
      </w:pPr>
      <w:r>
        <w:rPr>
          <w:color w:val="000000" w:themeColor="text1"/>
          <w:sz w:val="24"/>
          <w:szCs w:val="24"/>
        </w:rPr>
        <w:t>In Table 2,</w:t>
      </w:r>
      <w:r w:rsidR="00871A9A" w:rsidRPr="00D610B9">
        <w:rPr>
          <w:color w:val="000000" w:themeColor="text1"/>
          <w:sz w:val="24"/>
          <w:szCs w:val="24"/>
        </w:rPr>
        <w:t xml:space="preserve"> those who participated in both baseline and </w:t>
      </w:r>
      <w:r w:rsidR="00D506C1">
        <w:rPr>
          <w:color w:val="000000" w:themeColor="text1"/>
          <w:sz w:val="24"/>
          <w:szCs w:val="24"/>
        </w:rPr>
        <w:t>Follow-up</w:t>
      </w:r>
      <w:r w:rsidR="00871A9A" w:rsidRPr="00D610B9">
        <w:rPr>
          <w:color w:val="000000" w:themeColor="text1"/>
          <w:sz w:val="24"/>
          <w:szCs w:val="24"/>
        </w:rPr>
        <w:t xml:space="preserve"> 1 (</w:t>
      </w:r>
      <w:r w:rsidR="00452C2E" w:rsidRPr="00D610B9">
        <w:rPr>
          <w:color w:val="000000" w:themeColor="text1"/>
          <w:sz w:val="24"/>
          <w:szCs w:val="24"/>
        </w:rPr>
        <w:t>longitudinal sample</w:t>
      </w:r>
      <w:r w:rsidR="00871A9A" w:rsidRPr="00D610B9">
        <w:rPr>
          <w:color w:val="000000" w:themeColor="text1"/>
          <w:sz w:val="24"/>
          <w:szCs w:val="24"/>
        </w:rPr>
        <w:t xml:space="preserve">) </w:t>
      </w:r>
      <w:r>
        <w:rPr>
          <w:color w:val="000000" w:themeColor="text1"/>
          <w:sz w:val="24"/>
          <w:szCs w:val="24"/>
        </w:rPr>
        <w:t>are</w:t>
      </w:r>
      <w:r w:rsidRPr="00D610B9">
        <w:rPr>
          <w:color w:val="000000" w:themeColor="text1"/>
          <w:sz w:val="24"/>
          <w:szCs w:val="24"/>
        </w:rPr>
        <w:t xml:space="preserve"> </w:t>
      </w:r>
      <w:r w:rsidR="00871A9A" w:rsidRPr="00D610B9">
        <w:rPr>
          <w:color w:val="000000" w:themeColor="text1"/>
          <w:sz w:val="24"/>
          <w:szCs w:val="24"/>
        </w:rPr>
        <w:t xml:space="preserve">compared </w:t>
      </w:r>
      <w:r>
        <w:rPr>
          <w:color w:val="000000" w:themeColor="text1"/>
          <w:sz w:val="24"/>
          <w:szCs w:val="24"/>
        </w:rPr>
        <w:t>with</w:t>
      </w:r>
      <w:r w:rsidRPr="00D610B9">
        <w:rPr>
          <w:color w:val="000000" w:themeColor="text1"/>
          <w:sz w:val="24"/>
          <w:szCs w:val="24"/>
        </w:rPr>
        <w:t xml:space="preserve"> </w:t>
      </w:r>
      <w:r w:rsidR="00871A9A" w:rsidRPr="00D610B9">
        <w:rPr>
          <w:color w:val="000000" w:themeColor="text1"/>
          <w:sz w:val="24"/>
          <w:szCs w:val="24"/>
        </w:rPr>
        <w:t xml:space="preserve">those who participated in the baseline, but not </w:t>
      </w:r>
      <w:r w:rsidR="00D506C1">
        <w:rPr>
          <w:color w:val="000000" w:themeColor="text1"/>
          <w:sz w:val="24"/>
          <w:szCs w:val="24"/>
        </w:rPr>
        <w:t>Follow-up</w:t>
      </w:r>
      <w:r w:rsidR="00871A9A" w:rsidRPr="00D610B9">
        <w:rPr>
          <w:color w:val="000000" w:themeColor="text1"/>
          <w:sz w:val="24"/>
          <w:szCs w:val="24"/>
        </w:rPr>
        <w:t xml:space="preserve"> 1 (drop-off</w:t>
      </w:r>
      <w:r w:rsidR="00452C2E" w:rsidRPr="00D610B9">
        <w:rPr>
          <w:color w:val="000000" w:themeColor="text1"/>
          <w:sz w:val="24"/>
          <w:szCs w:val="24"/>
        </w:rPr>
        <w:t xml:space="preserve"> sample</w:t>
      </w:r>
      <w:r w:rsidR="00871A9A" w:rsidRPr="00D610B9">
        <w:rPr>
          <w:color w:val="000000" w:themeColor="text1"/>
          <w:sz w:val="24"/>
          <w:szCs w:val="24"/>
        </w:rPr>
        <w:t xml:space="preserve">). </w:t>
      </w:r>
      <w:r>
        <w:rPr>
          <w:color w:val="000000" w:themeColor="text1"/>
          <w:sz w:val="24"/>
          <w:szCs w:val="24"/>
        </w:rPr>
        <w:t>W</w:t>
      </w:r>
      <w:r w:rsidR="00452C2E" w:rsidRPr="00D610B9">
        <w:rPr>
          <w:color w:val="000000" w:themeColor="text1"/>
          <w:sz w:val="24"/>
          <w:szCs w:val="24"/>
        </w:rPr>
        <w:t xml:space="preserve">hile the two groups were similar demographically, the longitudinal sample </w:t>
      </w:r>
      <w:r>
        <w:rPr>
          <w:color w:val="000000" w:themeColor="text1"/>
          <w:sz w:val="24"/>
          <w:szCs w:val="24"/>
        </w:rPr>
        <w:t>had</w:t>
      </w:r>
      <w:r w:rsidRPr="00D610B9">
        <w:rPr>
          <w:color w:val="000000" w:themeColor="text1"/>
          <w:sz w:val="24"/>
          <w:szCs w:val="24"/>
        </w:rPr>
        <w:t xml:space="preserve"> </w:t>
      </w:r>
      <w:r w:rsidR="00452C2E" w:rsidRPr="00D610B9">
        <w:rPr>
          <w:color w:val="000000" w:themeColor="text1"/>
          <w:sz w:val="24"/>
          <w:szCs w:val="24"/>
        </w:rPr>
        <w:t>larger proportions of nonsusceptible never</w:t>
      </w:r>
      <w:r>
        <w:rPr>
          <w:color w:val="000000" w:themeColor="text1"/>
          <w:sz w:val="24"/>
          <w:szCs w:val="24"/>
        </w:rPr>
        <w:t>-</w:t>
      </w:r>
      <w:r w:rsidR="00452C2E" w:rsidRPr="00D610B9">
        <w:rPr>
          <w:color w:val="000000" w:themeColor="text1"/>
          <w:sz w:val="24"/>
          <w:szCs w:val="24"/>
        </w:rPr>
        <w:t>smokers and fewer experimenters than the drop-</w:t>
      </w:r>
      <w:r w:rsidR="0070060E" w:rsidRPr="00D610B9">
        <w:rPr>
          <w:color w:val="000000" w:themeColor="text1"/>
          <w:sz w:val="24"/>
          <w:szCs w:val="24"/>
        </w:rPr>
        <w:t>off sample</w:t>
      </w:r>
      <w:r w:rsidR="00452C2E" w:rsidRPr="00D610B9">
        <w:rPr>
          <w:color w:val="000000" w:themeColor="text1"/>
          <w:sz w:val="24"/>
          <w:szCs w:val="24"/>
        </w:rPr>
        <w:t>.</w:t>
      </w:r>
      <w:r w:rsidR="0070060E" w:rsidRPr="00D610B9">
        <w:rPr>
          <w:color w:val="000000" w:themeColor="text1"/>
          <w:sz w:val="24"/>
          <w:szCs w:val="24"/>
        </w:rPr>
        <w:t xml:space="preserve"> Significantly more of the drop-off sample also</w:t>
      </w:r>
      <w:r w:rsidR="00452C2E" w:rsidRPr="00D610B9">
        <w:rPr>
          <w:color w:val="000000" w:themeColor="text1"/>
          <w:sz w:val="24"/>
          <w:szCs w:val="24"/>
        </w:rPr>
        <w:t xml:space="preserve"> </w:t>
      </w:r>
      <w:r w:rsidR="0070060E" w:rsidRPr="00D610B9">
        <w:rPr>
          <w:color w:val="000000" w:themeColor="text1"/>
          <w:sz w:val="24"/>
          <w:szCs w:val="24"/>
        </w:rPr>
        <w:t xml:space="preserve">reported having ever tried cigarettes, cigar products, or ENDS products and past 30-day use of cigar products, hookah, and ENDS. </w:t>
      </w:r>
      <w:r w:rsidR="006C303F">
        <w:rPr>
          <w:color w:val="000000" w:themeColor="text1"/>
          <w:sz w:val="24"/>
          <w:szCs w:val="24"/>
        </w:rPr>
        <w:t xml:space="preserve">This </w:t>
      </w:r>
      <w:r w:rsidR="003A7240">
        <w:rPr>
          <w:color w:val="000000" w:themeColor="text1"/>
          <w:sz w:val="24"/>
          <w:szCs w:val="24"/>
        </w:rPr>
        <w:t>difference in retention by tobacco susceptibility and use</w:t>
      </w:r>
      <w:r w:rsidR="006C303F">
        <w:rPr>
          <w:color w:val="000000" w:themeColor="text1"/>
          <w:sz w:val="24"/>
          <w:szCs w:val="24"/>
        </w:rPr>
        <w:t xml:space="preserve"> is a common limitation for longitud</w:t>
      </w:r>
      <w:r w:rsidR="008437E5">
        <w:rPr>
          <w:color w:val="000000" w:themeColor="text1"/>
          <w:sz w:val="24"/>
          <w:szCs w:val="24"/>
        </w:rPr>
        <w:t xml:space="preserve">inal surveys on </w:t>
      </w:r>
      <w:r w:rsidR="006C303F">
        <w:rPr>
          <w:color w:val="000000" w:themeColor="text1"/>
          <w:sz w:val="24"/>
          <w:szCs w:val="24"/>
        </w:rPr>
        <w:t xml:space="preserve">tobacco use. </w:t>
      </w:r>
      <w:r w:rsidR="007549D9">
        <w:rPr>
          <w:color w:val="000000" w:themeColor="text1"/>
          <w:sz w:val="24"/>
          <w:szCs w:val="24"/>
        </w:rPr>
        <w:t xml:space="preserve">By including an incentive for responding within a specific amount of time, we expect to increase overall response rates and therefore </w:t>
      </w:r>
      <w:r w:rsidR="008437E5">
        <w:rPr>
          <w:color w:val="000000" w:themeColor="text1"/>
          <w:sz w:val="24"/>
          <w:szCs w:val="24"/>
        </w:rPr>
        <w:t>reduce this potential for bias</w:t>
      </w:r>
      <w:r w:rsidR="006C303F">
        <w:rPr>
          <w:color w:val="000000" w:themeColor="text1"/>
          <w:sz w:val="24"/>
          <w:szCs w:val="24"/>
        </w:rPr>
        <w:t xml:space="preserve">. </w:t>
      </w:r>
      <w:r w:rsidRPr="00853D9B">
        <w:rPr>
          <w:color w:val="000000" w:themeColor="text1"/>
          <w:sz w:val="24"/>
          <w:szCs w:val="24"/>
        </w:rPr>
        <w:t xml:space="preserve"> </w:t>
      </w:r>
      <w:r>
        <w:rPr>
          <w:color w:val="000000" w:themeColor="text1"/>
          <w:sz w:val="24"/>
          <w:szCs w:val="24"/>
        </w:rPr>
        <w:t>(</w:t>
      </w:r>
      <w:r w:rsidRPr="00D610B9">
        <w:rPr>
          <w:color w:val="000000" w:themeColor="text1"/>
          <w:sz w:val="24"/>
          <w:szCs w:val="24"/>
        </w:rPr>
        <w:t xml:space="preserve">Follow-up 2 data </w:t>
      </w:r>
      <w:r>
        <w:rPr>
          <w:color w:val="000000" w:themeColor="text1"/>
          <w:sz w:val="24"/>
          <w:szCs w:val="24"/>
        </w:rPr>
        <w:t>are</w:t>
      </w:r>
      <w:r w:rsidRPr="00D610B9">
        <w:rPr>
          <w:color w:val="000000" w:themeColor="text1"/>
          <w:sz w:val="24"/>
          <w:szCs w:val="24"/>
        </w:rPr>
        <w:t xml:space="preserve"> still being analyzed</w:t>
      </w:r>
      <w:r>
        <w:rPr>
          <w:color w:val="000000" w:themeColor="text1"/>
          <w:sz w:val="24"/>
          <w:szCs w:val="24"/>
        </w:rPr>
        <w:t xml:space="preserve"> and therefore are </w:t>
      </w:r>
      <w:r w:rsidRPr="00D610B9">
        <w:rPr>
          <w:color w:val="000000" w:themeColor="text1"/>
          <w:sz w:val="24"/>
          <w:szCs w:val="24"/>
        </w:rPr>
        <w:t>not available</w:t>
      </w:r>
      <w:r>
        <w:rPr>
          <w:color w:val="000000" w:themeColor="text1"/>
          <w:sz w:val="24"/>
          <w:szCs w:val="24"/>
        </w:rPr>
        <w:t xml:space="preserve"> for this comparison</w:t>
      </w:r>
      <w:r w:rsidRPr="00D610B9">
        <w:rPr>
          <w:color w:val="000000" w:themeColor="text1"/>
          <w:sz w:val="24"/>
          <w:szCs w:val="24"/>
        </w:rPr>
        <w:t>.</w:t>
      </w:r>
      <w:r>
        <w:rPr>
          <w:color w:val="000000" w:themeColor="text1"/>
          <w:sz w:val="24"/>
          <w:szCs w:val="24"/>
        </w:rPr>
        <w:t>)</w:t>
      </w:r>
    </w:p>
    <w:p w14:paraId="2A70ACF8" w14:textId="77777777" w:rsidR="00452C2E" w:rsidRPr="000C396E" w:rsidRDefault="00452C2E" w:rsidP="0070060E">
      <w:pPr>
        <w:pStyle w:val="tabletitlefullpg"/>
        <w:ind w:left="0"/>
        <w:rPr>
          <w:rFonts w:eastAsia="MS Mincho"/>
        </w:rPr>
      </w:pPr>
      <w:r>
        <w:rPr>
          <w:rFonts w:eastAsia="MS Mincho"/>
        </w:rPr>
        <w:t xml:space="preserve">Table 2. </w:t>
      </w:r>
      <w:r w:rsidRPr="000C396E">
        <w:rPr>
          <w:rFonts w:eastAsia="MS Mincho"/>
        </w:rPr>
        <w:t>Demographic and Psychographic Characteristics by Longitudinal and Drop</w:t>
      </w:r>
      <w:r>
        <w:rPr>
          <w:rFonts w:eastAsia="MS Mincho"/>
        </w:rPr>
        <w:t>-</w:t>
      </w:r>
      <w:r w:rsidRPr="000C396E">
        <w:rPr>
          <w:rFonts w:eastAsia="MS Mincho"/>
        </w:rPr>
        <w:t>Off Samples, Weighted</w:t>
      </w:r>
    </w:p>
    <w:tbl>
      <w:tblPr>
        <w:tblStyle w:val="PlainTable11"/>
        <w:tblW w:w="9360" w:type="dxa"/>
        <w:tblLayout w:type="fixed"/>
        <w:tblLook w:val="04A0" w:firstRow="1" w:lastRow="0" w:firstColumn="1" w:lastColumn="0" w:noHBand="0" w:noVBand="1"/>
      </w:tblPr>
      <w:tblGrid>
        <w:gridCol w:w="5768"/>
        <w:gridCol w:w="1796"/>
        <w:gridCol w:w="1796"/>
      </w:tblGrid>
      <w:tr w:rsidR="00452C2E" w:rsidRPr="00116AE9" w14:paraId="2B39512B" w14:textId="77777777" w:rsidTr="00D506C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68" w:type="dxa"/>
            <w:shd w:val="clear" w:color="auto" w:fill="BFBFBF" w:themeFill="background1" w:themeFillShade="BF"/>
            <w:noWrap/>
            <w:hideMark/>
          </w:tcPr>
          <w:p w14:paraId="3FA86782" w14:textId="77777777" w:rsidR="00452C2E" w:rsidRPr="004361C7" w:rsidRDefault="00452C2E" w:rsidP="00D506C1">
            <w:pPr>
              <w:pStyle w:val="TableHeaders"/>
              <w:rPr>
                <w:b/>
              </w:rPr>
            </w:pPr>
            <w:r w:rsidRPr="004361C7">
              <w:rPr>
                <w:b/>
              </w:rPr>
              <w:t>Characteristics</w:t>
            </w:r>
          </w:p>
        </w:tc>
        <w:tc>
          <w:tcPr>
            <w:tcW w:w="1796" w:type="dxa"/>
            <w:shd w:val="clear" w:color="auto" w:fill="BFBFBF" w:themeFill="background1" w:themeFillShade="BF"/>
            <w:noWrap/>
            <w:hideMark/>
          </w:tcPr>
          <w:p w14:paraId="3A97AFA8" w14:textId="77777777" w:rsidR="00452C2E" w:rsidRPr="004361C7" w:rsidRDefault="00452C2E" w:rsidP="00D506C1">
            <w:pPr>
              <w:pStyle w:val="TableHeaders"/>
              <w:cnfStyle w:val="100000000000" w:firstRow="1" w:lastRow="0" w:firstColumn="0" w:lastColumn="0" w:oddVBand="0" w:evenVBand="0" w:oddHBand="0" w:evenHBand="0" w:firstRowFirstColumn="0" w:firstRowLastColumn="0" w:lastRowFirstColumn="0" w:lastRowLastColumn="0"/>
              <w:rPr>
                <w:b/>
              </w:rPr>
            </w:pPr>
            <w:r w:rsidRPr="004361C7">
              <w:rPr>
                <w:b/>
              </w:rPr>
              <w:t>Longitudinal</w:t>
            </w:r>
          </w:p>
        </w:tc>
        <w:tc>
          <w:tcPr>
            <w:tcW w:w="1796" w:type="dxa"/>
            <w:shd w:val="clear" w:color="auto" w:fill="BFBFBF" w:themeFill="background1" w:themeFillShade="BF"/>
            <w:noWrap/>
            <w:hideMark/>
          </w:tcPr>
          <w:p w14:paraId="683A9A2B" w14:textId="77777777" w:rsidR="00452C2E" w:rsidRPr="004361C7" w:rsidRDefault="00452C2E" w:rsidP="00D506C1">
            <w:pPr>
              <w:pStyle w:val="TableHeaders"/>
              <w:cnfStyle w:val="100000000000" w:firstRow="1" w:lastRow="0" w:firstColumn="0" w:lastColumn="0" w:oddVBand="0" w:evenVBand="0" w:oddHBand="0" w:evenHBand="0" w:firstRowFirstColumn="0" w:firstRowLastColumn="0" w:lastRowFirstColumn="0" w:lastRowLastColumn="0"/>
              <w:rPr>
                <w:b/>
              </w:rPr>
            </w:pPr>
            <w:r w:rsidRPr="004361C7">
              <w:rPr>
                <w:b/>
              </w:rPr>
              <w:t>Drop-Off</w:t>
            </w:r>
          </w:p>
        </w:tc>
      </w:tr>
      <w:tr w:rsidR="00452C2E" w:rsidRPr="00116AE9" w14:paraId="3AC73828"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50EBA787" w14:textId="77777777" w:rsidR="00452C2E" w:rsidRPr="00EA4DD9" w:rsidRDefault="00452C2E" w:rsidP="00D506C1">
            <w:pPr>
              <w:pStyle w:val="TableText"/>
              <w:spacing w:before="60" w:after="60"/>
            </w:pPr>
            <w:r w:rsidRPr="00EA4DD9">
              <w:t>Age</w:t>
            </w:r>
          </w:p>
        </w:tc>
        <w:tc>
          <w:tcPr>
            <w:tcW w:w="1796" w:type="dxa"/>
            <w:noWrap/>
          </w:tcPr>
          <w:p w14:paraId="7B86B5C3" w14:textId="77777777" w:rsidR="00452C2E" w:rsidRPr="00116AE9"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79F8043B" w14:textId="77777777" w:rsidR="00452C2E" w:rsidRPr="00116AE9"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r>
      <w:tr w:rsidR="00452C2E" w:rsidRPr="00116AE9" w14:paraId="2249380A"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07C21F97" w14:textId="77777777" w:rsidR="00452C2E" w:rsidRDefault="00452C2E" w:rsidP="00D506C1">
            <w:pPr>
              <w:pStyle w:val="TableText"/>
              <w:spacing w:before="60" w:after="60"/>
              <w:ind w:left="240"/>
            </w:pPr>
            <w:r>
              <w:t>12–13</w:t>
            </w:r>
          </w:p>
        </w:tc>
        <w:tc>
          <w:tcPr>
            <w:tcW w:w="1796" w:type="dxa"/>
            <w:noWrap/>
          </w:tcPr>
          <w:p w14:paraId="3D429B27"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20.9</w:t>
            </w:r>
            <w:r>
              <w:rPr>
                <w:color w:val="000000"/>
              </w:rPr>
              <w:t>%</w:t>
            </w:r>
          </w:p>
        </w:tc>
        <w:tc>
          <w:tcPr>
            <w:tcW w:w="1796" w:type="dxa"/>
            <w:noWrap/>
          </w:tcPr>
          <w:p w14:paraId="3F4702F5"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19.3</w:t>
            </w:r>
            <w:r>
              <w:rPr>
                <w:color w:val="000000"/>
              </w:rPr>
              <w:t>%</w:t>
            </w:r>
          </w:p>
        </w:tc>
      </w:tr>
      <w:tr w:rsidR="00452C2E" w:rsidRPr="00116AE9" w14:paraId="2299E72B"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6DF79299" w14:textId="77777777" w:rsidR="00452C2E" w:rsidRDefault="00452C2E" w:rsidP="00D506C1">
            <w:pPr>
              <w:pStyle w:val="TableText"/>
              <w:spacing w:before="60" w:after="60"/>
              <w:ind w:left="240"/>
            </w:pPr>
            <w:r>
              <w:t>14–15</w:t>
            </w:r>
          </w:p>
        </w:tc>
        <w:tc>
          <w:tcPr>
            <w:tcW w:w="1796" w:type="dxa"/>
            <w:noWrap/>
          </w:tcPr>
          <w:p w14:paraId="4DBFF5E9"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38.5</w:t>
            </w:r>
            <w:r>
              <w:rPr>
                <w:color w:val="000000"/>
              </w:rPr>
              <w:t>%</w:t>
            </w:r>
          </w:p>
        </w:tc>
        <w:tc>
          <w:tcPr>
            <w:tcW w:w="1796" w:type="dxa"/>
            <w:noWrap/>
          </w:tcPr>
          <w:p w14:paraId="5849CF13"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39.0</w:t>
            </w:r>
            <w:r>
              <w:rPr>
                <w:color w:val="000000"/>
              </w:rPr>
              <w:t>%</w:t>
            </w:r>
          </w:p>
        </w:tc>
      </w:tr>
      <w:tr w:rsidR="00452C2E" w:rsidRPr="00FD5BDE" w14:paraId="30184CE7"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0546193E" w14:textId="77777777" w:rsidR="00452C2E" w:rsidRDefault="00452C2E" w:rsidP="00D506C1">
            <w:pPr>
              <w:pStyle w:val="TableTextIndent"/>
              <w:spacing w:before="60" w:after="60"/>
              <w:ind w:left="240"/>
            </w:pPr>
            <w:r>
              <w:t>16–17</w:t>
            </w:r>
          </w:p>
        </w:tc>
        <w:tc>
          <w:tcPr>
            <w:tcW w:w="1796" w:type="dxa"/>
            <w:noWrap/>
          </w:tcPr>
          <w:p w14:paraId="6D4310F9"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40.6</w:t>
            </w:r>
            <w:r>
              <w:rPr>
                <w:color w:val="000000"/>
              </w:rPr>
              <w:t>%</w:t>
            </w:r>
          </w:p>
        </w:tc>
        <w:tc>
          <w:tcPr>
            <w:tcW w:w="1796" w:type="dxa"/>
            <w:noWrap/>
          </w:tcPr>
          <w:p w14:paraId="40EF1C2A"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41.7</w:t>
            </w:r>
            <w:r>
              <w:rPr>
                <w:color w:val="000000"/>
              </w:rPr>
              <w:t>%</w:t>
            </w:r>
          </w:p>
        </w:tc>
      </w:tr>
      <w:tr w:rsidR="00452C2E" w:rsidRPr="00FD5BDE" w14:paraId="41407672"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2F4B04FF" w14:textId="77777777" w:rsidR="00452C2E" w:rsidRPr="00EA4DD9" w:rsidRDefault="00452C2E" w:rsidP="00D506C1">
            <w:pPr>
              <w:pStyle w:val="TableTextIndent"/>
              <w:spacing w:before="60" w:after="60"/>
              <w:ind w:left="-27"/>
            </w:pPr>
            <w:r w:rsidRPr="00EA4DD9">
              <w:t>Gender</w:t>
            </w:r>
          </w:p>
        </w:tc>
        <w:tc>
          <w:tcPr>
            <w:tcW w:w="1796" w:type="dxa"/>
            <w:noWrap/>
          </w:tcPr>
          <w:p w14:paraId="6C0B84A0"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10EBCDBD"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p>
        </w:tc>
      </w:tr>
      <w:tr w:rsidR="00452C2E" w:rsidRPr="00FD5BDE" w14:paraId="1621987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610CC263" w14:textId="77777777" w:rsidR="00452C2E" w:rsidRDefault="00452C2E" w:rsidP="00D506C1">
            <w:pPr>
              <w:pStyle w:val="TableTextIndent"/>
              <w:spacing w:before="60" w:after="60"/>
              <w:ind w:left="240"/>
            </w:pPr>
            <w:r>
              <w:t>Female</w:t>
            </w:r>
          </w:p>
        </w:tc>
        <w:tc>
          <w:tcPr>
            <w:tcW w:w="1796" w:type="dxa"/>
            <w:noWrap/>
          </w:tcPr>
          <w:p w14:paraId="418A3B0A"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62.0</w:t>
            </w:r>
            <w:r>
              <w:rPr>
                <w:color w:val="000000"/>
              </w:rPr>
              <w:t>%</w:t>
            </w:r>
          </w:p>
        </w:tc>
        <w:tc>
          <w:tcPr>
            <w:tcW w:w="1796" w:type="dxa"/>
            <w:noWrap/>
          </w:tcPr>
          <w:p w14:paraId="6F07B7C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59.3</w:t>
            </w:r>
            <w:r>
              <w:rPr>
                <w:color w:val="000000"/>
              </w:rPr>
              <w:t>%</w:t>
            </w:r>
          </w:p>
        </w:tc>
      </w:tr>
      <w:tr w:rsidR="00452C2E" w:rsidRPr="00FD5BDE" w14:paraId="4C3F7117"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21E30B56" w14:textId="77777777" w:rsidR="00452C2E" w:rsidRDefault="00452C2E" w:rsidP="00D506C1">
            <w:pPr>
              <w:pStyle w:val="TableTextIndent"/>
              <w:spacing w:before="60" w:after="60"/>
              <w:ind w:left="240"/>
            </w:pPr>
            <w:r>
              <w:lastRenderedPageBreak/>
              <w:t>Male</w:t>
            </w:r>
          </w:p>
        </w:tc>
        <w:tc>
          <w:tcPr>
            <w:tcW w:w="1796" w:type="dxa"/>
            <w:noWrap/>
          </w:tcPr>
          <w:p w14:paraId="1E36B09F"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37.9</w:t>
            </w:r>
            <w:r>
              <w:rPr>
                <w:color w:val="000000"/>
              </w:rPr>
              <w:t>%</w:t>
            </w:r>
          </w:p>
        </w:tc>
        <w:tc>
          <w:tcPr>
            <w:tcW w:w="1796" w:type="dxa"/>
            <w:noWrap/>
          </w:tcPr>
          <w:p w14:paraId="3322771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40.7</w:t>
            </w:r>
            <w:r>
              <w:rPr>
                <w:color w:val="000000"/>
              </w:rPr>
              <w:t>%</w:t>
            </w:r>
          </w:p>
        </w:tc>
      </w:tr>
      <w:tr w:rsidR="00452C2E" w:rsidRPr="00FD5BDE" w14:paraId="7B7E9EA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hideMark/>
          </w:tcPr>
          <w:p w14:paraId="38E260FD" w14:textId="77777777" w:rsidR="00452C2E" w:rsidRPr="00EA4DD9" w:rsidRDefault="00452C2E" w:rsidP="00D506C1">
            <w:pPr>
              <w:pStyle w:val="TableTextIndent"/>
              <w:spacing w:before="60" w:after="60"/>
              <w:ind w:left="-27"/>
            </w:pPr>
            <w:r w:rsidRPr="00EA4DD9">
              <w:t>Race/Ethnicity</w:t>
            </w:r>
          </w:p>
        </w:tc>
        <w:tc>
          <w:tcPr>
            <w:tcW w:w="1796" w:type="dxa"/>
            <w:noWrap/>
          </w:tcPr>
          <w:p w14:paraId="5FAF9762"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p>
        </w:tc>
        <w:tc>
          <w:tcPr>
            <w:tcW w:w="1796" w:type="dxa"/>
            <w:noWrap/>
          </w:tcPr>
          <w:p w14:paraId="6E4F83C2"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p>
        </w:tc>
      </w:tr>
      <w:tr w:rsidR="00452C2E" w:rsidRPr="00FD5BDE" w14:paraId="65AC968C"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4399BCE5" w14:textId="77777777" w:rsidR="00452C2E" w:rsidRDefault="00452C2E" w:rsidP="00D506C1">
            <w:pPr>
              <w:pStyle w:val="TableTextIndent"/>
              <w:spacing w:before="60" w:after="60"/>
              <w:ind w:left="240"/>
            </w:pPr>
            <w:r>
              <w:t>White, non-Hispanic</w:t>
            </w:r>
          </w:p>
        </w:tc>
        <w:tc>
          <w:tcPr>
            <w:tcW w:w="1796" w:type="dxa"/>
            <w:noWrap/>
          </w:tcPr>
          <w:p w14:paraId="7BF06EA3"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7.8</w:t>
            </w:r>
            <w:r>
              <w:rPr>
                <w:color w:val="000000"/>
              </w:rPr>
              <w:t>%</w:t>
            </w:r>
          </w:p>
        </w:tc>
        <w:tc>
          <w:tcPr>
            <w:tcW w:w="1796" w:type="dxa"/>
            <w:noWrap/>
          </w:tcPr>
          <w:p w14:paraId="51D14E10"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9.2</w:t>
            </w:r>
            <w:r>
              <w:rPr>
                <w:color w:val="000000"/>
              </w:rPr>
              <w:t>%</w:t>
            </w:r>
          </w:p>
        </w:tc>
      </w:tr>
      <w:tr w:rsidR="00452C2E" w:rsidRPr="00FD5BDE" w14:paraId="125AC578"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291877CA" w14:textId="77777777" w:rsidR="00452C2E" w:rsidRDefault="00452C2E" w:rsidP="00D506C1">
            <w:pPr>
              <w:pStyle w:val="TableTextIndent"/>
              <w:spacing w:before="60" w:after="60"/>
              <w:ind w:left="240"/>
            </w:pPr>
            <w:r>
              <w:t>Black, non-Hispanic</w:t>
            </w:r>
          </w:p>
        </w:tc>
        <w:tc>
          <w:tcPr>
            <w:tcW w:w="1796" w:type="dxa"/>
            <w:noWrap/>
          </w:tcPr>
          <w:p w14:paraId="2AB84EAF"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55.4</w:t>
            </w:r>
            <w:r>
              <w:rPr>
                <w:color w:val="000000"/>
              </w:rPr>
              <w:t>%</w:t>
            </w:r>
          </w:p>
        </w:tc>
        <w:tc>
          <w:tcPr>
            <w:tcW w:w="1796" w:type="dxa"/>
            <w:noWrap/>
          </w:tcPr>
          <w:p w14:paraId="7BAF624B"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52.5</w:t>
            </w:r>
            <w:r>
              <w:rPr>
                <w:color w:val="000000"/>
              </w:rPr>
              <w:t>%</w:t>
            </w:r>
          </w:p>
        </w:tc>
      </w:tr>
      <w:tr w:rsidR="00452C2E" w:rsidRPr="00FD5BDE" w14:paraId="658FE04D"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3F564790" w14:textId="77777777" w:rsidR="00452C2E" w:rsidRDefault="00452C2E" w:rsidP="00D506C1">
            <w:pPr>
              <w:pStyle w:val="TableTextIndent"/>
              <w:spacing w:before="60" w:after="60"/>
              <w:ind w:left="240"/>
            </w:pPr>
            <w:r>
              <w:t>Hispanic</w:t>
            </w:r>
          </w:p>
        </w:tc>
        <w:tc>
          <w:tcPr>
            <w:tcW w:w="1796" w:type="dxa"/>
            <w:noWrap/>
          </w:tcPr>
          <w:p w14:paraId="6C04374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24.8</w:t>
            </w:r>
            <w:r>
              <w:rPr>
                <w:color w:val="000000"/>
              </w:rPr>
              <w:t>%</w:t>
            </w:r>
          </w:p>
        </w:tc>
        <w:tc>
          <w:tcPr>
            <w:tcW w:w="1796" w:type="dxa"/>
            <w:noWrap/>
          </w:tcPr>
          <w:p w14:paraId="78C98212"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rPr>
                <w:color w:val="000000"/>
              </w:rPr>
            </w:pPr>
            <w:r w:rsidRPr="003D6D0B">
              <w:rPr>
                <w:color w:val="000000"/>
              </w:rPr>
              <w:t>26.2</w:t>
            </w:r>
            <w:r>
              <w:rPr>
                <w:color w:val="000000"/>
              </w:rPr>
              <w:t>%</w:t>
            </w:r>
          </w:p>
        </w:tc>
      </w:tr>
      <w:tr w:rsidR="00452C2E" w:rsidRPr="00FD5BDE" w14:paraId="70D5B0C3"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5B9CDC3D" w14:textId="77777777" w:rsidR="00452C2E" w:rsidRDefault="00452C2E" w:rsidP="00D506C1">
            <w:pPr>
              <w:pStyle w:val="TableTextIndent"/>
              <w:spacing w:before="60" w:after="60"/>
              <w:ind w:left="240"/>
            </w:pPr>
            <w:r>
              <w:t>Other, non-Hispanic</w:t>
            </w:r>
          </w:p>
        </w:tc>
        <w:tc>
          <w:tcPr>
            <w:tcW w:w="1796" w:type="dxa"/>
            <w:noWrap/>
          </w:tcPr>
          <w:p w14:paraId="2BB9EA1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11.9</w:t>
            </w:r>
            <w:r>
              <w:rPr>
                <w:color w:val="000000"/>
              </w:rPr>
              <w:t>%</w:t>
            </w:r>
          </w:p>
        </w:tc>
        <w:tc>
          <w:tcPr>
            <w:tcW w:w="1796" w:type="dxa"/>
            <w:noWrap/>
          </w:tcPr>
          <w:p w14:paraId="1655B38C"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rPr>
                <w:color w:val="000000"/>
              </w:rPr>
            </w:pPr>
            <w:r w:rsidRPr="003D6D0B">
              <w:rPr>
                <w:color w:val="000000"/>
              </w:rPr>
              <w:t>12.0</w:t>
            </w:r>
            <w:r>
              <w:rPr>
                <w:color w:val="000000"/>
              </w:rPr>
              <w:t>%</w:t>
            </w:r>
          </w:p>
        </w:tc>
      </w:tr>
      <w:tr w:rsidR="00452C2E" w:rsidRPr="00FD5BDE" w14:paraId="7A760C4A"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hideMark/>
          </w:tcPr>
          <w:p w14:paraId="50EB1DCD" w14:textId="77777777" w:rsidR="00452C2E" w:rsidRPr="00EA4DD9" w:rsidRDefault="00452C2E" w:rsidP="00D506C1">
            <w:pPr>
              <w:pStyle w:val="TableText"/>
              <w:spacing w:before="60" w:after="60"/>
            </w:pPr>
            <w:r w:rsidRPr="00EA4DD9">
              <w:t>Smoking Susceptibility and Use***</w:t>
            </w:r>
          </w:p>
        </w:tc>
        <w:tc>
          <w:tcPr>
            <w:tcW w:w="1796" w:type="dxa"/>
            <w:noWrap/>
          </w:tcPr>
          <w:p w14:paraId="66E33024"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c>
          <w:tcPr>
            <w:tcW w:w="1796" w:type="dxa"/>
            <w:noWrap/>
          </w:tcPr>
          <w:p w14:paraId="34BAB9C8"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p>
        </w:tc>
      </w:tr>
      <w:tr w:rsidR="00452C2E" w:rsidRPr="00FD5BDE" w14:paraId="33D731C8"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1DC25C89" w14:textId="77777777" w:rsidR="00452C2E" w:rsidRDefault="00452C2E" w:rsidP="00D506C1">
            <w:pPr>
              <w:pStyle w:val="TableText"/>
              <w:spacing w:before="60" w:after="60"/>
              <w:ind w:left="240"/>
            </w:pPr>
            <w:r>
              <w:t>Never smoker, not susceptible</w:t>
            </w:r>
          </w:p>
        </w:tc>
        <w:tc>
          <w:tcPr>
            <w:tcW w:w="1796" w:type="dxa"/>
            <w:noWrap/>
          </w:tcPr>
          <w:p w14:paraId="4464ABBE"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62.8</w:t>
            </w:r>
            <w:r>
              <w:rPr>
                <w:color w:val="000000"/>
              </w:rPr>
              <w:t>%</w:t>
            </w:r>
          </w:p>
        </w:tc>
        <w:tc>
          <w:tcPr>
            <w:tcW w:w="1796" w:type="dxa"/>
            <w:noWrap/>
          </w:tcPr>
          <w:p w14:paraId="651D65CC"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53.3</w:t>
            </w:r>
            <w:r>
              <w:rPr>
                <w:color w:val="000000"/>
              </w:rPr>
              <w:t>%</w:t>
            </w:r>
          </w:p>
        </w:tc>
      </w:tr>
      <w:tr w:rsidR="00452C2E" w:rsidRPr="00FD5BDE" w14:paraId="122296D1"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619D83FF" w14:textId="77777777" w:rsidR="00452C2E" w:rsidRDefault="00452C2E" w:rsidP="00D506C1">
            <w:pPr>
              <w:pStyle w:val="TableText"/>
              <w:spacing w:before="60" w:after="60"/>
              <w:ind w:left="240"/>
            </w:pPr>
            <w:r>
              <w:t>Never smoker, susceptible</w:t>
            </w:r>
          </w:p>
        </w:tc>
        <w:tc>
          <w:tcPr>
            <w:tcW w:w="1796" w:type="dxa"/>
            <w:noWrap/>
          </w:tcPr>
          <w:p w14:paraId="72DDAC45"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17.7</w:t>
            </w:r>
            <w:r>
              <w:rPr>
                <w:color w:val="000000"/>
              </w:rPr>
              <w:t>%</w:t>
            </w:r>
          </w:p>
        </w:tc>
        <w:tc>
          <w:tcPr>
            <w:tcW w:w="1796" w:type="dxa"/>
            <w:noWrap/>
          </w:tcPr>
          <w:p w14:paraId="3D26BCB7"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17.6</w:t>
            </w:r>
            <w:r>
              <w:rPr>
                <w:color w:val="000000"/>
              </w:rPr>
              <w:t>%</w:t>
            </w:r>
          </w:p>
        </w:tc>
      </w:tr>
      <w:tr w:rsidR="00452C2E" w:rsidRPr="00FD5BDE" w14:paraId="085F3BC9" w14:textId="77777777" w:rsidTr="004361C7">
        <w:tc>
          <w:tcPr>
            <w:cnfStyle w:val="001000000000" w:firstRow="0" w:lastRow="0" w:firstColumn="1" w:lastColumn="0" w:oddVBand="0" w:evenVBand="0" w:oddHBand="0" w:evenHBand="0" w:firstRowFirstColumn="0" w:firstRowLastColumn="0" w:lastRowFirstColumn="0" w:lastRowLastColumn="0"/>
            <w:tcW w:w="5768" w:type="dxa"/>
            <w:noWrap/>
          </w:tcPr>
          <w:p w14:paraId="54009DB3" w14:textId="77777777" w:rsidR="00452C2E" w:rsidRDefault="00452C2E" w:rsidP="00D506C1">
            <w:pPr>
              <w:pStyle w:val="TableText"/>
              <w:spacing w:before="60" w:after="60"/>
              <w:ind w:left="240"/>
            </w:pPr>
            <w:r>
              <w:t>Experimenter</w:t>
            </w:r>
          </w:p>
        </w:tc>
        <w:tc>
          <w:tcPr>
            <w:tcW w:w="1796" w:type="dxa"/>
            <w:noWrap/>
          </w:tcPr>
          <w:p w14:paraId="36AECAB3"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17.9</w:t>
            </w:r>
            <w:r>
              <w:rPr>
                <w:color w:val="000000"/>
              </w:rPr>
              <w:t>%</w:t>
            </w:r>
          </w:p>
        </w:tc>
        <w:tc>
          <w:tcPr>
            <w:tcW w:w="1796" w:type="dxa"/>
            <w:noWrap/>
          </w:tcPr>
          <w:p w14:paraId="6AA2F35E" w14:textId="77777777" w:rsidR="00452C2E" w:rsidRPr="003D6D0B" w:rsidRDefault="00452C2E" w:rsidP="00D506C1">
            <w:pPr>
              <w:pStyle w:val="TableText"/>
              <w:tabs>
                <w:tab w:val="decimal" w:pos="780"/>
              </w:tabs>
              <w:spacing w:before="60" w:after="60"/>
              <w:cnfStyle w:val="000000000000" w:firstRow="0" w:lastRow="0" w:firstColumn="0" w:lastColumn="0" w:oddVBand="0" w:evenVBand="0" w:oddHBand="0" w:evenHBand="0" w:firstRowFirstColumn="0" w:firstRowLastColumn="0" w:lastRowFirstColumn="0" w:lastRowLastColumn="0"/>
            </w:pPr>
            <w:r w:rsidRPr="003D6D0B">
              <w:rPr>
                <w:color w:val="000000"/>
              </w:rPr>
              <w:t>25.2</w:t>
            </w:r>
            <w:r>
              <w:rPr>
                <w:color w:val="000000"/>
              </w:rPr>
              <w:t>%</w:t>
            </w:r>
          </w:p>
        </w:tc>
      </w:tr>
      <w:tr w:rsidR="00452C2E" w:rsidRPr="00FD5BDE" w14:paraId="0385D5DE" w14:textId="77777777" w:rsidTr="004361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8" w:type="dxa"/>
            <w:noWrap/>
          </w:tcPr>
          <w:p w14:paraId="4885514E" w14:textId="77777777" w:rsidR="00452C2E" w:rsidRDefault="00452C2E" w:rsidP="00D506C1">
            <w:pPr>
              <w:pStyle w:val="TableText"/>
              <w:spacing w:before="60" w:after="60"/>
              <w:ind w:left="240"/>
            </w:pPr>
            <w:r>
              <w:t>Current or former smoker</w:t>
            </w:r>
          </w:p>
        </w:tc>
        <w:tc>
          <w:tcPr>
            <w:tcW w:w="1796" w:type="dxa"/>
            <w:noWrap/>
          </w:tcPr>
          <w:p w14:paraId="3D8CFB85"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1.6</w:t>
            </w:r>
            <w:r>
              <w:rPr>
                <w:color w:val="000000"/>
              </w:rPr>
              <w:t>%</w:t>
            </w:r>
          </w:p>
        </w:tc>
        <w:tc>
          <w:tcPr>
            <w:tcW w:w="1796" w:type="dxa"/>
            <w:noWrap/>
          </w:tcPr>
          <w:p w14:paraId="649A0384" w14:textId="77777777" w:rsidR="00452C2E" w:rsidRPr="003D6D0B" w:rsidRDefault="00452C2E" w:rsidP="00D506C1">
            <w:pPr>
              <w:pStyle w:val="TableText"/>
              <w:tabs>
                <w:tab w:val="decimal" w:pos="780"/>
              </w:tabs>
              <w:spacing w:before="60" w:after="60"/>
              <w:cnfStyle w:val="000000100000" w:firstRow="0" w:lastRow="0" w:firstColumn="0" w:lastColumn="0" w:oddVBand="0" w:evenVBand="0" w:oddHBand="1" w:evenHBand="0" w:firstRowFirstColumn="0" w:firstRowLastColumn="0" w:lastRowFirstColumn="0" w:lastRowLastColumn="0"/>
            </w:pPr>
            <w:r w:rsidRPr="003D6D0B">
              <w:rPr>
                <w:color w:val="000000"/>
              </w:rPr>
              <w:t>3.9</w:t>
            </w:r>
            <w:r>
              <w:rPr>
                <w:color w:val="000000"/>
              </w:rPr>
              <w:t>%</w:t>
            </w:r>
          </w:p>
        </w:tc>
      </w:tr>
    </w:tbl>
    <w:p w14:paraId="406A633D" w14:textId="77777777" w:rsidR="00AF70B2" w:rsidRPr="000802FC" w:rsidRDefault="00452C2E" w:rsidP="000802FC">
      <w:pPr>
        <w:pStyle w:val="tabfigsourcefullpg"/>
        <w:ind w:left="90"/>
        <w:jc w:val="both"/>
      </w:pPr>
      <w:r w:rsidRPr="006D268F">
        <w:t>***</w:t>
      </w:r>
      <w:r w:rsidRPr="00AE5FD3">
        <w:rPr>
          <w:i/>
        </w:rPr>
        <w:t>p</w:t>
      </w:r>
      <w:r>
        <w:t> &lt; </w:t>
      </w:r>
      <w:r w:rsidR="004361C7">
        <w:t>0.00</w:t>
      </w:r>
      <w:r w:rsidR="000802FC">
        <w:t>1</w:t>
      </w:r>
    </w:p>
    <w:p w14:paraId="4C6E00D6" w14:textId="77777777" w:rsidR="00D506C1" w:rsidRDefault="00D506C1" w:rsidP="00D506C1">
      <w:pPr>
        <w:jc w:val="both"/>
        <w:rPr>
          <w:color w:val="000000" w:themeColor="text1"/>
          <w:sz w:val="24"/>
          <w:szCs w:val="24"/>
        </w:rPr>
      </w:pPr>
      <w:r>
        <w:rPr>
          <w:color w:val="000000" w:themeColor="text1"/>
          <w:sz w:val="24"/>
          <w:szCs w:val="24"/>
        </w:rPr>
        <w:t>M</w:t>
      </w:r>
      <w:r w:rsidRPr="002C1CCF">
        <w:rPr>
          <w:color w:val="000000" w:themeColor="text1"/>
          <w:sz w:val="24"/>
          <w:szCs w:val="24"/>
        </w:rPr>
        <w:t xml:space="preserve">onetary incentives can significantly increase response rates in cross-sectional surveys and reduce attrition in longitudinal surveys with adults and youth (e.g., Abreu &amp; Winters, 1999; Castiglioni, Pforr, &amp; Krieger, 2008; Gajic, Cameron, &amp; Hurley, 2012; Jäckle &amp; Lynn, 2008; Shettle &amp; Mooney, 1999; Singer, 2002). </w:t>
      </w:r>
      <w:r>
        <w:rPr>
          <w:color w:val="000000" w:themeColor="text1"/>
          <w:sz w:val="24"/>
          <w:szCs w:val="24"/>
        </w:rPr>
        <w:t xml:space="preserve">By increasing retention among the longitudinal sample, we will not need to recruit as many new participants resulting in future reduced burden to the public related to screening as many potential participants. </w:t>
      </w:r>
    </w:p>
    <w:p w14:paraId="3322FE3D" w14:textId="77777777" w:rsidR="00D506C1" w:rsidRDefault="00D506C1" w:rsidP="00D506C1">
      <w:pPr>
        <w:jc w:val="both"/>
        <w:rPr>
          <w:sz w:val="24"/>
          <w:szCs w:val="24"/>
        </w:rPr>
      </w:pPr>
      <w:r>
        <w:rPr>
          <w:color w:val="000000" w:themeColor="text1"/>
          <w:sz w:val="24"/>
          <w:szCs w:val="24"/>
        </w:rPr>
        <w:t>As noted in Supporting Statement Part A, several studies have shown that the use of early bird incentives, an additional monetary amount for completing a survey in a certain time period,</w:t>
      </w:r>
      <w:r>
        <w:rPr>
          <w:sz w:val="24"/>
          <w:szCs w:val="24"/>
        </w:rPr>
        <w:t xml:space="preserve"> </w:t>
      </w:r>
      <w:r w:rsidRPr="006013E4">
        <w:rPr>
          <w:sz w:val="24"/>
          <w:szCs w:val="24"/>
        </w:rPr>
        <w:t>can improve response rates. In one study, individuals who received an early bird incentive were 1.8 times more likely to complete the survey within the first 7 days of data collection and were 1.69 times more likely to ever complete the survey (LeClere, Plummer, Vanicek, Amaya &amp; Carris, 2012). </w:t>
      </w:r>
    </w:p>
    <w:p w14:paraId="60804499" w14:textId="77777777" w:rsidR="00D506C1" w:rsidRPr="00117B16" w:rsidRDefault="00D506C1" w:rsidP="00D506C1">
      <w:pPr>
        <w:jc w:val="both"/>
        <w:rPr>
          <w:sz w:val="24"/>
          <w:szCs w:val="24"/>
        </w:rPr>
      </w:pPr>
      <w:r w:rsidRPr="006013E4">
        <w:rPr>
          <w:sz w:val="24"/>
          <w:szCs w:val="24"/>
        </w:rPr>
        <w:t>ExPECTT</w:t>
      </w:r>
      <w:r>
        <w:rPr>
          <w:sz w:val="24"/>
          <w:szCs w:val="24"/>
        </w:rPr>
        <w:t xml:space="preserve"> (OMB #0910-0753)</w:t>
      </w:r>
      <w:r w:rsidRPr="006013E4">
        <w:rPr>
          <w:sz w:val="24"/>
          <w:szCs w:val="24"/>
        </w:rPr>
        <w:t xml:space="preserve">, the evaluation of the FDA’s public education campaign for tobacco use among youth (The Real Cost), promised an additional $5 incentive to </w:t>
      </w:r>
      <w:r>
        <w:rPr>
          <w:sz w:val="24"/>
          <w:szCs w:val="24"/>
        </w:rPr>
        <w:t xml:space="preserve">youth </w:t>
      </w:r>
      <w:r w:rsidRPr="006013E4">
        <w:rPr>
          <w:sz w:val="24"/>
          <w:szCs w:val="24"/>
        </w:rPr>
        <w:t xml:space="preserve">participants who completed the survey online before the specified early bird date. </w:t>
      </w:r>
      <w:r>
        <w:rPr>
          <w:sz w:val="24"/>
          <w:szCs w:val="24"/>
        </w:rPr>
        <w:t>In this study,</w:t>
      </w:r>
      <w:r w:rsidRPr="006013E4">
        <w:rPr>
          <w:sz w:val="24"/>
          <w:szCs w:val="24"/>
        </w:rPr>
        <w:t xml:space="preserve"> 85% of </w:t>
      </w:r>
      <w:r>
        <w:rPr>
          <w:sz w:val="24"/>
          <w:szCs w:val="24"/>
        </w:rPr>
        <w:t>Follow-up</w:t>
      </w:r>
      <w:r w:rsidRPr="006013E4">
        <w:rPr>
          <w:sz w:val="24"/>
          <w:szCs w:val="24"/>
        </w:rPr>
        <w:t xml:space="preserve"> 1 participants, 81% of the </w:t>
      </w:r>
      <w:r>
        <w:rPr>
          <w:sz w:val="24"/>
          <w:szCs w:val="24"/>
        </w:rPr>
        <w:t>Follow-up</w:t>
      </w:r>
      <w:r w:rsidRPr="006013E4">
        <w:rPr>
          <w:sz w:val="24"/>
          <w:szCs w:val="24"/>
        </w:rPr>
        <w:t xml:space="preserve"> 2 participants, 79% of the </w:t>
      </w:r>
      <w:r>
        <w:rPr>
          <w:sz w:val="24"/>
          <w:szCs w:val="24"/>
        </w:rPr>
        <w:t>Follow-up</w:t>
      </w:r>
      <w:r w:rsidRPr="006013E4">
        <w:rPr>
          <w:sz w:val="24"/>
          <w:szCs w:val="24"/>
        </w:rPr>
        <w:t xml:space="preserve"> 3 participants, and 80% of the </w:t>
      </w:r>
      <w:r>
        <w:rPr>
          <w:sz w:val="24"/>
          <w:szCs w:val="24"/>
        </w:rPr>
        <w:t>Follow-up</w:t>
      </w:r>
      <w:r w:rsidRPr="006013E4">
        <w:rPr>
          <w:sz w:val="24"/>
          <w:szCs w:val="24"/>
        </w:rPr>
        <w:t xml:space="preserve"> 4 participants completed the survey during the early bird period.</w:t>
      </w:r>
      <w:r>
        <w:rPr>
          <w:sz w:val="24"/>
          <w:szCs w:val="24"/>
        </w:rPr>
        <w:t xml:space="preserve"> </w:t>
      </w:r>
      <w:r w:rsidRPr="006013E4">
        <w:rPr>
          <w:sz w:val="24"/>
          <w:szCs w:val="24"/>
        </w:rPr>
        <w:t xml:space="preserve">This method has also been used for the </w:t>
      </w:r>
      <w:r>
        <w:rPr>
          <w:sz w:val="24"/>
          <w:szCs w:val="24"/>
        </w:rPr>
        <w:t>RESPECT (OMB #0910-0808)</w:t>
      </w:r>
      <w:r w:rsidRPr="006013E4">
        <w:rPr>
          <w:sz w:val="24"/>
          <w:szCs w:val="24"/>
        </w:rPr>
        <w:t xml:space="preserve"> and RuSTEC </w:t>
      </w:r>
      <w:r>
        <w:rPr>
          <w:sz w:val="24"/>
          <w:szCs w:val="24"/>
        </w:rPr>
        <w:t>(OMB #0910-0753) evaluation studies</w:t>
      </w:r>
      <w:r w:rsidRPr="006013E4">
        <w:rPr>
          <w:sz w:val="24"/>
          <w:szCs w:val="24"/>
        </w:rPr>
        <w:t xml:space="preserve">. </w:t>
      </w:r>
      <w:r>
        <w:rPr>
          <w:sz w:val="24"/>
          <w:szCs w:val="24"/>
        </w:rPr>
        <w:t>RESPECT has been using early bird incentives throughout among its sexual and gender minority sample and RuSTEC among rural male youth.</w:t>
      </w:r>
    </w:p>
    <w:p w14:paraId="33D484A3" w14:textId="77777777" w:rsidR="007E5EB0" w:rsidRDefault="007E5EB0">
      <w:pPr>
        <w:rPr>
          <w:b/>
          <w:color w:val="000000"/>
          <w:sz w:val="24"/>
          <w:szCs w:val="24"/>
        </w:rPr>
      </w:pPr>
    </w:p>
    <w:p w14:paraId="7AF13FFF" w14:textId="77777777" w:rsidR="00AF70B2" w:rsidRPr="00853D9B" w:rsidRDefault="00AF70B2">
      <w:pPr>
        <w:rPr>
          <w:rFonts w:asciiTheme="majorHAnsi" w:hAnsiTheme="majorHAnsi"/>
          <w:b/>
          <w:color w:val="000000"/>
          <w:sz w:val="24"/>
          <w:szCs w:val="24"/>
        </w:rPr>
      </w:pPr>
      <w:r w:rsidRPr="00853D9B">
        <w:rPr>
          <w:rFonts w:asciiTheme="majorHAnsi" w:hAnsiTheme="majorHAnsi"/>
          <w:b/>
          <w:color w:val="000000"/>
          <w:sz w:val="24"/>
          <w:szCs w:val="24"/>
        </w:rPr>
        <w:lastRenderedPageBreak/>
        <w:t>References</w:t>
      </w:r>
    </w:p>
    <w:p w14:paraId="1431113A"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 xml:space="preserve">Abreu DA, &amp; Winters F. Using monetary incentives to reduce attrition in the survey of income and program participation. In: U.S. Census Bureau. </w:t>
      </w:r>
      <w:r w:rsidRPr="006345BB">
        <w:rPr>
          <w:i/>
          <w:iCs/>
          <w:color w:val="000000" w:themeColor="text1"/>
          <w:sz w:val="24"/>
          <w:szCs w:val="24"/>
          <w:shd w:val="clear" w:color="auto" w:fill="FFFFFF"/>
        </w:rPr>
        <w:t>Proceedings of the Survey Research Methods</w:t>
      </w:r>
      <w:r w:rsidRPr="006345BB">
        <w:rPr>
          <w:iCs/>
          <w:color w:val="000000" w:themeColor="text1"/>
          <w:sz w:val="24"/>
          <w:szCs w:val="24"/>
          <w:shd w:val="clear" w:color="auto" w:fill="FFFFFF"/>
        </w:rPr>
        <w:t>, 1999:</w:t>
      </w:r>
      <w:r w:rsidRPr="006345BB" w:rsidDel="00906383">
        <w:rPr>
          <w:iCs/>
          <w:color w:val="000000" w:themeColor="text1"/>
          <w:sz w:val="24"/>
          <w:szCs w:val="24"/>
          <w:shd w:val="clear" w:color="auto" w:fill="FFFFFF"/>
        </w:rPr>
        <w:t xml:space="preserve"> </w:t>
      </w:r>
      <w:r w:rsidRPr="006345BB">
        <w:rPr>
          <w:color w:val="000000" w:themeColor="text1"/>
          <w:sz w:val="24"/>
          <w:szCs w:val="24"/>
          <w:shd w:val="clear" w:color="auto" w:fill="FFFFFF"/>
        </w:rPr>
        <w:t>533-538.</w:t>
      </w:r>
    </w:p>
    <w:p w14:paraId="396E8DA7"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Castiglioni L, Pforr K, Krieger U. The effect of incentives on response rates and panel attrition: Results of a controlled experiment.</w:t>
      </w:r>
      <w:r w:rsidRPr="006345BB" w:rsidDel="00D42CBC">
        <w:rPr>
          <w:color w:val="000000" w:themeColor="text1"/>
          <w:sz w:val="24"/>
          <w:szCs w:val="24"/>
          <w:shd w:val="clear" w:color="auto" w:fill="FFFFFF"/>
        </w:rPr>
        <w:t xml:space="preserve"> </w:t>
      </w:r>
      <w:r w:rsidRPr="006345BB">
        <w:rPr>
          <w:i/>
          <w:iCs/>
          <w:color w:val="000000" w:themeColor="text1"/>
          <w:sz w:val="24"/>
          <w:szCs w:val="24"/>
          <w:shd w:val="clear" w:color="auto" w:fill="FFFFFF"/>
        </w:rPr>
        <w:t xml:space="preserve">Surv Res Methods. </w:t>
      </w:r>
      <w:r w:rsidRPr="006345BB">
        <w:rPr>
          <w:iCs/>
          <w:color w:val="000000" w:themeColor="text1"/>
          <w:sz w:val="24"/>
          <w:szCs w:val="24"/>
          <w:shd w:val="clear" w:color="auto" w:fill="FFFFFF"/>
        </w:rPr>
        <w:t>2008</w:t>
      </w:r>
      <w:r w:rsidRPr="006345BB">
        <w:rPr>
          <w:i/>
          <w:iCs/>
          <w:color w:val="000000" w:themeColor="text1"/>
          <w:sz w:val="24"/>
          <w:szCs w:val="24"/>
          <w:shd w:val="clear" w:color="auto" w:fill="FFFFFF"/>
        </w:rPr>
        <w:t>;</w:t>
      </w:r>
      <w:r w:rsidRPr="006345BB">
        <w:rPr>
          <w:color w:val="000000" w:themeColor="text1"/>
          <w:sz w:val="24"/>
          <w:szCs w:val="24"/>
          <w:shd w:val="clear" w:color="auto" w:fill="FFFFFF"/>
        </w:rPr>
        <w:t xml:space="preserve"> 2(3):151-158.</w:t>
      </w:r>
    </w:p>
    <w:p w14:paraId="613D0041" w14:textId="77777777" w:rsidR="00B41EB9" w:rsidRPr="006345BB" w:rsidRDefault="00B41EB9" w:rsidP="00B41EB9">
      <w:pPr>
        <w:rPr>
          <w:rStyle w:val="apple-converted-space"/>
          <w:color w:val="000000" w:themeColor="text1"/>
          <w:sz w:val="24"/>
          <w:szCs w:val="24"/>
          <w:shd w:val="clear" w:color="auto" w:fill="FFFFFF"/>
        </w:rPr>
      </w:pPr>
      <w:r w:rsidRPr="006345BB">
        <w:rPr>
          <w:color w:val="000000" w:themeColor="text1"/>
          <w:sz w:val="24"/>
          <w:szCs w:val="24"/>
          <w:shd w:val="clear" w:color="auto" w:fill="FFFFFF"/>
        </w:rPr>
        <w:t>Gajic A, Cameron D, Hurley J. The cost-effectiveness of cash versus lottery incentives for a web-based, stated-preference community survey.</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The European Journal of Health Economics : HEPAC</w:t>
      </w:r>
      <w:r w:rsidRPr="006345BB">
        <w:rPr>
          <w:color w:val="000000" w:themeColor="text1"/>
          <w:sz w:val="24"/>
          <w:szCs w:val="24"/>
          <w:shd w:val="clear" w:color="auto" w:fill="FFFFFF"/>
        </w:rPr>
        <w:t>. 2012;13(6):789-99.</w:t>
      </w:r>
      <w:r w:rsidRPr="006345BB">
        <w:rPr>
          <w:rStyle w:val="apple-converted-space"/>
          <w:color w:val="000000" w:themeColor="text1"/>
          <w:sz w:val="24"/>
          <w:szCs w:val="24"/>
          <w:shd w:val="clear" w:color="auto" w:fill="FFFFFF"/>
        </w:rPr>
        <w:t> </w:t>
      </w:r>
    </w:p>
    <w:p w14:paraId="7C3FAD7A" w14:textId="77777777" w:rsidR="00B41EB9"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Jäckle A, &amp; Lynn P. Offre de primes d’encouragement aux répondants dans une enquête par panel multimodes: effets cumulatifs sur la non-réponse et le biais.</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Techniques d’enquête</w:t>
      </w:r>
      <w:r w:rsidRPr="006345BB">
        <w:rPr>
          <w:color w:val="000000" w:themeColor="text1"/>
          <w:sz w:val="24"/>
          <w:szCs w:val="24"/>
          <w:shd w:val="clear" w:color="auto" w:fill="FFFFFF"/>
        </w:rPr>
        <w:t>. 2008;</w:t>
      </w:r>
      <w:r w:rsidRPr="006345BB">
        <w:rPr>
          <w:rStyle w:val="apple-converted-space"/>
          <w:color w:val="000000" w:themeColor="text1"/>
          <w:sz w:val="24"/>
          <w:szCs w:val="24"/>
          <w:shd w:val="clear" w:color="auto" w:fill="FFFFFF"/>
        </w:rPr>
        <w:t> </w:t>
      </w:r>
      <w:r w:rsidRPr="006345BB">
        <w:rPr>
          <w:iCs/>
          <w:color w:val="000000" w:themeColor="text1"/>
          <w:sz w:val="24"/>
          <w:szCs w:val="24"/>
          <w:shd w:val="clear" w:color="auto" w:fill="FFFFFF"/>
        </w:rPr>
        <w:t>34</w:t>
      </w:r>
      <w:r w:rsidRPr="006345BB">
        <w:rPr>
          <w:color w:val="000000" w:themeColor="text1"/>
          <w:sz w:val="24"/>
          <w:szCs w:val="24"/>
          <w:shd w:val="clear" w:color="auto" w:fill="FFFFFF"/>
        </w:rPr>
        <w:t>(1): 115-130.</w:t>
      </w:r>
    </w:p>
    <w:p w14:paraId="31EF28CB" w14:textId="77777777" w:rsidR="00DA757B" w:rsidRPr="006345BB" w:rsidRDefault="00DA757B" w:rsidP="00B41EB9">
      <w:pPr>
        <w:rPr>
          <w:color w:val="000000" w:themeColor="text1"/>
          <w:sz w:val="24"/>
          <w:szCs w:val="24"/>
          <w:shd w:val="clear" w:color="auto" w:fill="FFFFFF"/>
        </w:rPr>
      </w:pPr>
      <w:r w:rsidRPr="00DA757B">
        <w:rPr>
          <w:color w:val="000000" w:themeColor="text1"/>
          <w:sz w:val="24"/>
          <w:szCs w:val="24"/>
          <w:shd w:val="clear" w:color="auto" w:fill="FFFFFF"/>
        </w:rPr>
        <w:t xml:space="preserve">LeClere, F., Plumme, S., Vanicek, J., Amaya, A., &amp; Carris, K. (2012). Household early bird incentives: leveraging family influence to improve household response rates. </w:t>
      </w:r>
      <w:r w:rsidRPr="00DA757B">
        <w:rPr>
          <w:i/>
          <w:color w:val="000000" w:themeColor="text1"/>
          <w:sz w:val="24"/>
          <w:szCs w:val="24"/>
          <w:shd w:val="clear" w:color="auto" w:fill="FFFFFF"/>
        </w:rPr>
        <w:t>American Statistical Association Joint Statistical Meetings</w:t>
      </w:r>
      <w:r w:rsidRPr="00DA757B">
        <w:rPr>
          <w:color w:val="000000" w:themeColor="text1"/>
          <w:sz w:val="24"/>
          <w:szCs w:val="24"/>
          <w:shd w:val="clear" w:color="auto" w:fill="FFFFFF"/>
        </w:rPr>
        <w:t>, Section on Survey Research, 4156 - 4165</w:t>
      </w:r>
    </w:p>
    <w:p w14:paraId="3EFCB6CF" w14:textId="77777777" w:rsidR="00AF70B2" w:rsidRPr="006345BB" w:rsidRDefault="00AF70B2" w:rsidP="00AF70B2">
      <w:pPr>
        <w:spacing w:line="240" w:lineRule="auto"/>
        <w:rPr>
          <w:iCs/>
          <w:sz w:val="24"/>
          <w:szCs w:val="24"/>
        </w:rPr>
      </w:pPr>
      <w:r w:rsidRPr="006345BB">
        <w:rPr>
          <w:sz w:val="24"/>
          <w:szCs w:val="24"/>
        </w:rPr>
        <w:t xml:space="preserve">Lu, R. (2002). Response Rates Achieved in Government Surveys: Results from an OMB Study. </w:t>
      </w:r>
      <w:r w:rsidRPr="006345BB">
        <w:rPr>
          <w:i/>
          <w:iCs/>
          <w:sz w:val="24"/>
          <w:szCs w:val="24"/>
        </w:rPr>
        <w:t>Federal Committee on Statistical Methodology Working Paper #35.</w:t>
      </w:r>
      <w:r w:rsidRPr="006345BB">
        <w:rPr>
          <w:sz w:val="24"/>
          <w:szCs w:val="24"/>
        </w:rPr>
        <w:t xml:space="preserve"> </w:t>
      </w:r>
      <w:hyperlink r:id="rId7" w:history="1">
        <w:r w:rsidRPr="006345BB">
          <w:rPr>
            <w:rStyle w:val="Hyperlink"/>
            <w:i/>
            <w:iCs/>
            <w:sz w:val="24"/>
            <w:szCs w:val="24"/>
          </w:rPr>
          <w:t>http://www.amstat.org/sections/srms/proceedings/y2003/Files/JSM2003-000865.pdf</w:t>
        </w:r>
      </w:hyperlink>
      <w:r w:rsidRPr="006345BB">
        <w:rPr>
          <w:i/>
          <w:iCs/>
          <w:sz w:val="24"/>
          <w:szCs w:val="24"/>
        </w:rPr>
        <w:t xml:space="preserve">  </w:t>
      </w:r>
      <w:r w:rsidRPr="006345BB">
        <w:rPr>
          <w:iCs/>
          <w:sz w:val="24"/>
          <w:szCs w:val="24"/>
        </w:rPr>
        <w:t>Published 2002. Accessed January 29, 2016.</w:t>
      </w:r>
    </w:p>
    <w:p w14:paraId="7FFDEC7A" w14:textId="77777777" w:rsidR="00B41EB9" w:rsidRPr="006345BB" w:rsidRDefault="00B41EB9" w:rsidP="00B41EB9">
      <w:pPr>
        <w:rPr>
          <w:color w:val="000000" w:themeColor="text1"/>
          <w:sz w:val="24"/>
          <w:szCs w:val="24"/>
          <w:shd w:val="clear" w:color="auto" w:fill="FFFFFF"/>
        </w:rPr>
      </w:pPr>
      <w:r w:rsidRPr="006345BB">
        <w:rPr>
          <w:color w:val="000000" w:themeColor="text1"/>
          <w:sz w:val="24"/>
          <w:szCs w:val="24"/>
          <w:shd w:val="clear" w:color="auto" w:fill="FFFFFF"/>
        </w:rPr>
        <w:t>Shettle C, &amp; Mooney G. Monetary incentives in US government surveys.</w:t>
      </w:r>
      <w:r w:rsidRPr="006345BB">
        <w:rPr>
          <w:rStyle w:val="apple-converted-space"/>
          <w:color w:val="000000" w:themeColor="text1"/>
          <w:sz w:val="24"/>
          <w:szCs w:val="24"/>
          <w:shd w:val="clear" w:color="auto" w:fill="FFFFFF"/>
        </w:rPr>
        <w:t> </w:t>
      </w:r>
      <w:r w:rsidRPr="006345BB">
        <w:rPr>
          <w:i/>
          <w:iCs/>
          <w:color w:val="000000" w:themeColor="text1"/>
          <w:sz w:val="24"/>
          <w:szCs w:val="24"/>
          <w:shd w:val="clear" w:color="auto" w:fill="FFFFFF"/>
        </w:rPr>
        <w:t>J Off Stat.</w:t>
      </w:r>
      <w:r w:rsidRPr="006345BB">
        <w:rPr>
          <w:color w:val="000000" w:themeColor="text1"/>
          <w:sz w:val="24"/>
          <w:szCs w:val="24"/>
          <w:shd w:val="clear" w:color="auto" w:fill="FFFFFF"/>
        </w:rPr>
        <w:t xml:space="preserve"> 1999;</w:t>
      </w:r>
      <w:r w:rsidRPr="006345BB">
        <w:rPr>
          <w:iCs/>
          <w:color w:val="000000" w:themeColor="text1"/>
          <w:sz w:val="24"/>
          <w:szCs w:val="24"/>
          <w:shd w:val="clear" w:color="auto" w:fill="FFFFFF"/>
        </w:rPr>
        <w:t>15</w:t>
      </w:r>
      <w:r w:rsidRPr="006345BB">
        <w:rPr>
          <w:color w:val="000000" w:themeColor="text1"/>
          <w:sz w:val="24"/>
          <w:szCs w:val="24"/>
          <w:shd w:val="clear" w:color="auto" w:fill="FFFFFF"/>
        </w:rPr>
        <w:t>(2): 231.</w:t>
      </w:r>
    </w:p>
    <w:p w14:paraId="4B65F6E3" w14:textId="77777777" w:rsidR="00B41EB9" w:rsidRPr="006345BB" w:rsidRDefault="00B41EB9" w:rsidP="00B41EB9">
      <w:pPr>
        <w:rPr>
          <w:color w:val="222222"/>
          <w:sz w:val="24"/>
          <w:szCs w:val="24"/>
          <w:shd w:val="clear" w:color="auto" w:fill="FFFFFF"/>
        </w:rPr>
      </w:pPr>
      <w:r w:rsidRPr="006345BB">
        <w:rPr>
          <w:color w:val="222222"/>
          <w:sz w:val="24"/>
          <w:szCs w:val="24"/>
          <w:shd w:val="clear" w:color="auto" w:fill="FFFFFF"/>
        </w:rPr>
        <w:t>Singer E. The use of incentives to reduce nonresponse in household surveys.</w:t>
      </w:r>
      <w:r w:rsidRPr="006345BB">
        <w:rPr>
          <w:rStyle w:val="apple-converted-space"/>
          <w:color w:val="222222"/>
          <w:sz w:val="24"/>
          <w:szCs w:val="24"/>
          <w:shd w:val="clear" w:color="auto" w:fill="FFFFFF"/>
        </w:rPr>
        <w:t xml:space="preserve"> In: Wiley, ed. </w:t>
      </w:r>
      <w:r w:rsidRPr="006345BB">
        <w:rPr>
          <w:i/>
          <w:iCs/>
          <w:color w:val="222222"/>
          <w:sz w:val="24"/>
          <w:szCs w:val="24"/>
          <w:shd w:val="clear" w:color="auto" w:fill="FFFFFF"/>
        </w:rPr>
        <w:t>Survey nonresponse</w:t>
      </w:r>
      <w:r w:rsidRPr="006345BB">
        <w:rPr>
          <w:color w:val="222222"/>
          <w:sz w:val="24"/>
          <w:szCs w:val="24"/>
          <w:shd w:val="clear" w:color="auto" w:fill="FFFFFF"/>
        </w:rPr>
        <w:t>. 2002;</w:t>
      </w:r>
      <w:r w:rsidRPr="006345BB">
        <w:rPr>
          <w:rStyle w:val="apple-converted-space"/>
          <w:color w:val="222222"/>
          <w:sz w:val="24"/>
          <w:szCs w:val="24"/>
          <w:shd w:val="clear" w:color="auto" w:fill="FFFFFF"/>
        </w:rPr>
        <w:t> </w:t>
      </w:r>
      <w:r w:rsidRPr="006345BB">
        <w:rPr>
          <w:iCs/>
          <w:color w:val="222222"/>
          <w:sz w:val="24"/>
          <w:szCs w:val="24"/>
          <w:shd w:val="clear" w:color="auto" w:fill="FFFFFF"/>
        </w:rPr>
        <w:t>51</w:t>
      </w:r>
      <w:r w:rsidRPr="006345BB">
        <w:rPr>
          <w:color w:val="222222"/>
          <w:sz w:val="24"/>
          <w:szCs w:val="24"/>
          <w:shd w:val="clear" w:color="auto" w:fill="FFFFFF"/>
        </w:rPr>
        <w:t>:163-177.</w:t>
      </w:r>
    </w:p>
    <w:p w14:paraId="21BD31F7" w14:textId="77777777" w:rsidR="00AF70B2" w:rsidRPr="006345BB" w:rsidRDefault="00B41EB9" w:rsidP="00B41EB9">
      <w:pPr>
        <w:spacing w:line="240" w:lineRule="auto"/>
        <w:rPr>
          <w:b/>
          <w:sz w:val="24"/>
          <w:szCs w:val="24"/>
        </w:rPr>
      </w:pPr>
      <w:r w:rsidRPr="006345BB">
        <w:rPr>
          <w:rFonts w:cs="Arial"/>
          <w:color w:val="222222"/>
          <w:sz w:val="24"/>
          <w:szCs w:val="24"/>
          <w:shd w:val="clear" w:color="auto" w:fill="FFFFFF"/>
        </w:rPr>
        <w:t>Yancey AK., Ortega AN, &amp; Kumanyika, SK. Effective recruitment and retention of minority research participants.</w:t>
      </w:r>
      <w:r w:rsidRPr="006345BB">
        <w:rPr>
          <w:rStyle w:val="apple-converted-space"/>
          <w:rFonts w:cs="Arial"/>
          <w:color w:val="222222"/>
          <w:sz w:val="24"/>
          <w:szCs w:val="24"/>
          <w:shd w:val="clear" w:color="auto" w:fill="FFFFFF"/>
        </w:rPr>
        <w:t> </w:t>
      </w:r>
      <w:r w:rsidRPr="006345BB">
        <w:rPr>
          <w:rFonts w:cs="Arial"/>
          <w:i/>
          <w:iCs/>
          <w:color w:val="222222"/>
          <w:sz w:val="24"/>
          <w:szCs w:val="24"/>
          <w:shd w:val="clear" w:color="auto" w:fill="FFFFFF"/>
        </w:rPr>
        <w:t>Annu Rev Publ Health</w:t>
      </w:r>
      <w:r w:rsidRPr="006345BB">
        <w:rPr>
          <w:rFonts w:cs="Arial"/>
          <w:color w:val="222222"/>
          <w:sz w:val="24"/>
          <w:szCs w:val="24"/>
          <w:shd w:val="clear" w:color="auto" w:fill="FFFFFF"/>
        </w:rPr>
        <w:t>;</w:t>
      </w:r>
      <w:r w:rsidRPr="006345BB">
        <w:rPr>
          <w:rStyle w:val="apple-converted-space"/>
          <w:rFonts w:cs="Arial"/>
          <w:color w:val="222222"/>
          <w:sz w:val="24"/>
          <w:szCs w:val="24"/>
          <w:shd w:val="clear" w:color="auto" w:fill="FFFFFF"/>
        </w:rPr>
        <w:t> 2006;</w:t>
      </w:r>
      <w:r w:rsidRPr="006345BB">
        <w:rPr>
          <w:rFonts w:cs="Arial"/>
          <w:iCs/>
          <w:color w:val="222222"/>
          <w:sz w:val="24"/>
          <w:szCs w:val="24"/>
          <w:shd w:val="clear" w:color="auto" w:fill="FFFFFF"/>
        </w:rPr>
        <w:t>27</w:t>
      </w:r>
      <w:r w:rsidRPr="006345BB">
        <w:rPr>
          <w:rFonts w:cs="Arial"/>
          <w:color w:val="222222"/>
          <w:sz w:val="24"/>
          <w:szCs w:val="24"/>
          <w:shd w:val="clear" w:color="auto" w:fill="FFFFFF"/>
        </w:rPr>
        <w:t>,1-28.</w:t>
      </w:r>
      <w:r w:rsidRPr="006345BB">
        <w:rPr>
          <w:b/>
          <w:sz w:val="24"/>
          <w:szCs w:val="24"/>
        </w:rPr>
        <w:t xml:space="preserve"> </w:t>
      </w:r>
    </w:p>
    <w:sectPr w:rsidR="00AF70B2" w:rsidRPr="006345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D45A1" w14:textId="77777777" w:rsidR="00853D9B" w:rsidRDefault="00853D9B" w:rsidP="00853D9B">
      <w:pPr>
        <w:spacing w:after="0" w:line="240" w:lineRule="auto"/>
      </w:pPr>
      <w:r>
        <w:separator/>
      </w:r>
    </w:p>
  </w:endnote>
  <w:endnote w:type="continuationSeparator" w:id="0">
    <w:p w14:paraId="60293875" w14:textId="77777777" w:rsidR="00853D9B" w:rsidRDefault="00853D9B" w:rsidP="00853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4AB99" w14:textId="77777777" w:rsidR="00853D9B" w:rsidRDefault="00853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938787"/>
      <w:docPartObj>
        <w:docPartGallery w:val="Page Numbers (Bottom of Page)"/>
        <w:docPartUnique/>
      </w:docPartObj>
    </w:sdtPr>
    <w:sdtEndPr>
      <w:rPr>
        <w:noProof/>
      </w:rPr>
    </w:sdtEndPr>
    <w:sdtContent>
      <w:p w14:paraId="74AB6B8F" w14:textId="57F9029E" w:rsidR="00853D9B" w:rsidRDefault="00853D9B">
        <w:pPr>
          <w:pStyle w:val="Footer"/>
          <w:jc w:val="center"/>
        </w:pPr>
        <w:r>
          <w:fldChar w:fldCharType="begin"/>
        </w:r>
        <w:r>
          <w:instrText xml:space="preserve"> PAGE   \* MERGEFORMAT </w:instrText>
        </w:r>
        <w:r>
          <w:fldChar w:fldCharType="separate"/>
        </w:r>
        <w:r w:rsidR="00724D38">
          <w:rPr>
            <w:noProof/>
          </w:rPr>
          <w:t>1</w:t>
        </w:r>
        <w:r>
          <w:rPr>
            <w:noProof/>
          </w:rPr>
          <w:fldChar w:fldCharType="end"/>
        </w:r>
      </w:p>
    </w:sdtContent>
  </w:sdt>
  <w:p w14:paraId="6F4A34F2" w14:textId="77777777" w:rsidR="00853D9B" w:rsidRDefault="00853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EAA3E" w14:textId="77777777" w:rsidR="00853D9B" w:rsidRDefault="00853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F4C79" w14:textId="77777777" w:rsidR="00853D9B" w:rsidRDefault="00853D9B" w:rsidP="00853D9B">
      <w:pPr>
        <w:spacing w:after="0" w:line="240" w:lineRule="auto"/>
      </w:pPr>
      <w:r>
        <w:separator/>
      </w:r>
    </w:p>
  </w:footnote>
  <w:footnote w:type="continuationSeparator" w:id="0">
    <w:p w14:paraId="45485CD7" w14:textId="77777777" w:rsidR="00853D9B" w:rsidRDefault="00853D9B" w:rsidP="00853D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8B6FD" w14:textId="77777777" w:rsidR="00853D9B" w:rsidRDefault="00853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F8E6A" w14:textId="77777777" w:rsidR="00853D9B" w:rsidRDefault="00853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250E3" w14:textId="77777777" w:rsidR="00853D9B" w:rsidRDefault="00853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0B2"/>
    <w:rsid w:val="000802FC"/>
    <w:rsid w:val="000F40DD"/>
    <w:rsid w:val="00117B16"/>
    <w:rsid w:val="00154642"/>
    <w:rsid w:val="001B0439"/>
    <w:rsid w:val="001B08D4"/>
    <w:rsid w:val="001B1D95"/>
    <w:rsid w:val="002C1CCF"/>
    <w:rsid w:val="002D6335"/>
    <w:rsid w:val="0034328A"/>
    <w:rsid w:val="003A7240"/>
    <w:rsid w:val="003E6AEE"/>
    <w:rsid w:val="004361C7"/>
    <w:rsid w:val="00452C2E"/>
    <w:rsid w:val="00464005"/>
    <w:rsid w:val="004C3F18"/>
    <w:rsid w:val="00517633"/>
    <w:rsid w:val="005A0F6F"/>
    <w:rsid w:val="006013E4"/>
    <w:rsid w:val="006345BB"/>
    <w:rsid w:val="006A2CF7"/>
    <w:rsid w:val="006B457E"/>
    <w:rsid w:val="006C303F"/>
    <w:rsid w:val="006E74F0"/>
    <w:rsid w:val="0070060E"/>
    <w:rsid w:val="00700ACF"/>
    <w:rsid w:val="007174CF"/>
    <w:rsid w:val="00724D38"/>
    <w:rsid w:val="007549D9"/>
    <w:rsid w:val="007D5C22"/>
    <w:rsid w:val="007E5EB0"/>
    <w:rsid w:val="007F4947"/>
    <w:rsid w:val="00800176"/>
    <w:rsid w:val="008437E5"/>
    <w:rsid w:val="00853D9B"/>
    <w:rsid w:val="00871A9A"/>
    <w:rsid w:val="0092521E"/>
    <w:rsid w:val="00A03901"/>
    <w:rsid w:val="00A8069E"/>
    <w:rsid w:val="00AF70B2"/>
    <w:rsid w:val="00B11DA2"/>
    <w:rsid w:val="00B41EB9"/>
    <w:rsid w:val="00BF0E68"/>
    <w:rsid w:val="00BF6F31"/>
    <w:rsid w:val="00C759AB"/>
    <w:rsid w:val="00D5063F"/>
    <w:rsid w:val="00D506C1"/>
    <w:rsid w:val="00D53A0E"/>
    <w:rsid w:val="00D610B9"/>
    <w:rsid w:val="00DA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0B2"/>
    <w:rPr>
      <w:color w:val="0000FF" w:themeColor="hyperlink"/>
      <w:u w:val="single"/>
    </w:rPr>
  </w:style>
  <w:style w:type="character" w:customStyle="1" w:styleId="apple-converted-space">
    <w:name w:val="apple-converted-space"/>
    <w:rsid w:val="00B41EB9"/>
  </w:style>
  <w:style w:type="table" w:customStyle="1" w:styleId="PlainTable11">
    <w:name w:val="Plain Table 11"/>
    <w:basedOn w:val="TableNormal"/>
    <w:uiPriority w:val="41"/>
    <w:rsid w:val="001B08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itlefullpg">
    <w:name w:val="table title (full pg)"/>
    <w:basedOn w:val="Normal"/>
    <w:link w:val="tabletitlefullpgChar"/>
    <w:rsid w:val="00452C2E"/>
    <w:pPr>
      <w:keepNext/>
      <w:keepLines/>
      <w:spacing w:before="320" w:after="120" w:line="240" w:lineRule="auto"/>
      <w:ind w:left="-2880"/>
    </w:pPr>
    <w:rPr>
      <w:rFonts w:ascii="Verdana" w:eastAsia="Times New Roman" w:hAnsi="Verdana" w:cs="Times New Roman"/>
      <w:b/>
      <w:sz w:val="18"/>
      <w:szCs w:val="20"/>
    </w:rPr>
  </w:style>
  <w:style w:type="paragraph" w:customStyle="1" w:styleId="tabfigsourcefullpg">
    <w:name w:val="tab/fig source (full pg)"/>
    <w:basedOn w:val="Normal"/>
    <w:rsid w:val="00452C2E"/>
    <w:pPr>
      <w:keepLines/>
      <w:spacing w:before="120" w:after="400" w:line="240" w:lineRule="auto"/>
      <w:ind w:left="-2700" w:hanging="180"/>
    </w:pPr>
    <w:rPr>
      <w:rFonts w:ascii="Verdana" w:eastAsia="Times New Roman" w:hAnsi="Verdana" w:cs="Times New Roman"/>
      <w:sz w:val="18"/>
      <w:szCs w:val="20"/>
    </w:rPr>
  </w:style>
  <w:style w:type="paragraph" w:customStyle="1" w:styleId="TableHeaders">
    <w:name w:val="Table Headers"/>
    <w:basedOn w:val="Normal"/>
    <w:qFormat/>
    <w:rsid w:val="00452C2E"/>
    <w:pPr>
      <w:spacing w:before="60" w:after="60" w:line="240" w:lineRule="auto"/>
      <w:jc w:val="center"/>
    </w:pPr>
    <w:rPr>
      <w:rFonts w:ascii="Verdana" w:eastAsia="Times New Roman" w:hAnsi="Verdana" w:cs="Arial"/>
      <w:b/>
      <w:sz w:val="18"/>
      <w:szCs w:val="18"/>
    </w:rPr>
  </w:style>
  <w:style w:type="paragraph" w:customStyle="1" w:styleId="TableText">
    <w:name w:val="Table Text"/>
    <w:basedOn w:val="Normal"/>
    <w:qFormat/>
    <w:rsid w:val="00452C2E"/>
    <w:pPr>
      <w:spacing w:before="80" w:after="80" w:line="240" w:lineRule="auto"/>
    </w:pPr>
    <w:rPr>
      <w:rFonts w:ascii="Verdana" w:eastAsia="Times New Roman" w:hAnsi="Verdana" w:cs="Arial"/>
      <w:iCs/>
      <w:sz w:val="18"/>
      <w:szCs w:val="18"/>
    </w:rPr>
  </w:style>
  <w:style w:type="paragraph" w:customStyle="1" w:styleId="TableTextIndent">
    <w:name w:val="Table Text Indent"/>
    <w:basedOn w:val="Normal"/>
    <w:qFormat/>
    <w:rsid w:val="00452C2E"/>
    <w:pPr>
      <w:spacing w:before="80" w:after="80" w:line="240" w:lineRule="auto"/>
      <w:ind w:left="259"/>
    </w:pPr>
    <w:rPr>
      <w:rFonts w:ascii="Verdana" w:eastAsia="Times New Roman" w:hAnsi="Verdana" w:cs="Arial"/>
      <w:iCs/>
      <w:sz w:val="18"/>
      <w:szCs w:val="18"/>
    </w:rPr>
  </w:style>
  <w:style w:type="character" w:customStyle="1" w:styleId="tabletitlefullpgChar">
    <w:name w:val="table title (full pg) Char"/>
    <w:basedOn w:val="DefaultParagraphFont"/>
    <w:link w:val="tabletitlefullpg"/>
    <w:rsid w:val="00452C2E"/>
    <w:rPr>
      <w:rFonts w:ascii="Verdana" w:eastAsia="Times New Roman" w:hAnsi="Verdana" w:cs="Times New Roman"/>
      <w:b/>
      <w:sz w:val="18"/>
      <w:szCs w:val="20"/>
    </w:rPr>
  </w:style>
  <w:style w:type="table" w:customStyle="1" w:styleId="PlainTable41">
    <w:name w:val="Plain Table 41"/>
    <w:basedOn w:val="TableNormal"/>
    <w:uiPriority w:val="44"/>
    <w:rsid w:val="004361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4C3F1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C1"/>
    <w:rPr>
      <w:rFonts w:ascii="Segoe UI" w:hAnsi="Segoe UI" w:cs="Segoe UI"/>
      <w:sz w:val="18"/>
      <w:szCs w:val="18"/>
    </w:rPr>
  </w:style>
  <w:style w:type="character" w:styleId="CommentReference">
    <w:name w:val="annotation reference"/>
    <w:basedOn w:val="DefaultParagraphFont"/>
    <w:uiPriority w:val="99"/>
    <w:semiHidden/>
    <w:unhideWhenUsed/>
    <w:rsid w:val="00D506C1"/>
    <w:rPr>
      <w:sz w:val="16"/>
      <w:szCs w:val="16"/>
    </w:rPr>
  </w:style>
  <w:style w:type="paragraph" w:styleId="CommentText">
    <w:name w:val="annotation text"/>
    <w:basedOn w:val="Normal"/>
    <w:link w:val="CommentTextChar"/>
    <w:uiPriority w:val="99"/>
    <w:semiHidden/>
    <w:unhideWhenUsed/>
    <w:rsid w:val="00D506C1"/>
    <w:pPr>
      <w:spacing w:line="240" w:lineRule="auto"/>
    </w:pPr>
    <w:rPr>
      <w:sz w:val="20"/>
      <w:szCs w:val="20"/>
    </w:rPr>
  </w:style>
  <w:style w:type="character" w:customStyle="1" w:styleId="CommentTextChar">
    <w:name w:val="Comment Text Char"/>
    <w:basedOn w:val="DefaultParagraphFont"/>
    <w:link w:val="CommentText"/>
    <w:uiPriority w:val="99"/>
    <w:semiHidden/>
    <w:rsid w:val="00D506C1"/>
    <w:rPr>
      <w:sz w:val="20"/>
      <w:szCs w:val="20"/>
    </w:rPr>
  </w:style>
  <w:style w:type="paragraph" w:styleId="CommentSubject">
    <w:name w:val="annotation subject"/>
    <w:basedOn w:val="CommentText"/>
    <w:next w:val="CommentText"/>
    <w:link w:val="CommentSubjectChar"/>
    <w:uiPriority w:val="99"/>
    <w:semiHidden/>
    <w:unhideWhenUsed/>
    <w:rsid w:val="00D506C1"/>
    <w:rPr>
      <w:b/>
      <w:bCs/>
    </w:rPr>
  </w:style>
  <w:style w:type="character" w:customStyle="1" w:styleId="CommentSubjectChar">
    <w:name w:val="Comment Subject Char"/>
    <w:basedOn w:val="CommentTextChar"/>
    <w:link w:val="CommentSubject"/>
    <w:uiPriority w:val="99"/>
    <w:semiHidden/>
    <w:rsid w:val="00D506C1"/>
    <w:rPr>
      <w:b/>
      <w:bCs/>
      <w:sz w:val="20"/>
      <w:szCs w:val="20"/>
    </w:rPr>
  </w:style>
  <w:style w:type="paragraph" w:styleId="Header">
    <w:name w:val="header"/>
    <w:basedOn w:val="Normal"/>
    <w:link w:val="HeaderChar"/>
    <w:uiPriority w:val="99"/>
    <w:unhideWhenUsed/>
    <w:rsid w:val="0085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9B"/>
  </w:style>
  <w:style w:type="paragraph" w:styleId="Footer">
    <w:name w:val="footer"/>
    <w:basedOn w:val="Normal"/>
    <w:link w:val="FooterChar"/>
    <w:uiPriority w:val="99"/>
    <w:unhideWhenUsed/>
    <w:rsid w:val="0085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0B2"/>
    <w:rPr>
      <w:color w:val="0000FF" w:themeColor="hyperlink"/>
      <w:u w:val="single"/>
    </w:rPr>
  </w:style>
  <w:style w:type="character" w:customStyle="1" w:styleId="apple-converted-space">
    <w:name w:val="apple-converted-space"/>
    <w:rsid w:val="00B41EB9"/>
  </w:style>
  <w:style w:type="table" w:customStyle="1" w:styleId="PlainTable11">
    <w:name w:val="Plain Table 11"/>
    <w:basedOn w:val="TableNormal"/>
    <w:uiPriority w:val="41"/>
    <w:rsid w:val="001B08D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itlefullpg">
    <w:name w:val="table title (full pg)"/>
    <w:basedOn w:val="Normal"/>
    <w:link w:val="tabletitlefullpgChar"/>
    <w:rsid w:val="00452C2E"/>
    <w:pPr>
      <w:keepNext/>
      <w:keepLines/>
      <w:spacing w:before="320" w:after="120" w:line="240" w:lineRule="auto"/>
      <w:ind w:left="-2880"/>
    </w:pPr>
    <w:rPr>
      <w:rFonts w:ascii="Verdana" w:eastAsia="Times New Roman" w:hAnsi="Verdana" w:cs="Times New Roman"/>
      <w:b/>
      <w:sz w:val="18"/>
      <w:szCs w:val="20"/>
    </w:rPr>
  </w:style>
  <w:style w:type="paragraph" w:customStyle="1" w:styleId="tabfigsourcefullpg">
    <w:name w:val="tab/fig source (full pg)"/>
    <w:basedOn w:val="Normal"/>
    <w:rsid w:val="00452C2E"/>
    <w:pPr>
      <w:keepLines/>
      <w:spacing w:before="120" w:after="400" w:line="240" w:lineRule="auto"/>
      <w:ind w:left="-2700" w:hanging="180"/>
    </w:pPr>
    <w:rPr>
      <w:rFonts w:ascii="Verdana" w:eastAsia="Times New Roman" w:hAnsi="Verdana" w:cs="Times New Roman"/>
      <w:sz w:val="18"/>
      <w:szCs w:val="20"/>
    </w:rPr>
  </w:style>
  <w:style w:type="paragraph" w:customStyle="1" w:styleId="TableHeaders">
    <w:name w:val="Table Headers"/>
    <w:basedOn w:val="Normal"/>
    <w:qFormat/>
    <w:rsid w:val="00452C2E"/>
    <w:pPr>
      <w:spacing w:before="60" w:after="60" w:line="240" w:lineRule="auto"/>
      <w:jc w:val="center"/>
    </w:pPr>
    <w:rPr>
      <w:rFonts w:ascii="Verdana" w:eastAsia="Times New Roman" w:hAnsi="Verdana" w:cs="Arial"/>
      <w:b/>
      <w:sz w:val="18"/>
      <w:szCs w:val="18"/>
    </w:rPr>
  </w:style>
  <w:style w:type="paragraph" w:customStyle="1" w:styleId="TableText">
    <w:name w:val="Table Text"/>
    <w:basedOn w:val="Normal"/>
    <w:qFormat/>
    <w:rsid w:val="00452C2E"/>
    <w:pPr>
      <w:spacing w:before="80" w:after="80" w:line="240" w:lineRule="auto"/>
    </w:pPr>
    <w:rPr>
      <w:rFonts w:ascii="Verdana" w:eastAsia="Times New Roman" w:hAnsi="Verdana" w:cs="Arial"/>
      <w:iCs/>
      <w:sz w:val="18"/>
      <w:szCs w:val="18"/>
    </w:rPr>
  </w:style>
  <w:style w:type="paragraph" w:customStyle="1" w:styleId="TableTextIndent">
    <w:name w:val="Table Text Indent"/>
    <w:basedOn w:val="Normal"/>
    <w:qFormat/>
    <w:rsid w:val="00452C2E"/>
    <w:pPr>
      <w:spacing w:before="80" w:after="80" w:line="240" w:lineRule="auto"/>
      <w:ind w:left="259"/>
    </w:pPr>
    <w:rPr>
      <w:rFonts w:ascii="Verdana" w:eastAsia="Times New Roman" w:hAnsi="Verdana" w:cs="Arial"/>
      <w:iCs/>
      <w:sz w:val="18"/>
      <w:szCs w:val="18"/>
    </w:rPr>
  </w:style>
  <w:style w:type="character" w:customStyle="1" w:styleId="tabletitlefullpgChar">
    <w:name w:val="table title (full pg) Char"/>
    <w:basedOn w:val="DefaultParagraphFont"/>
    <w:link w:val="tabletitlefullpg"/>
    <w:rsid w:val="00452C2E"/>
    <w:rPr>
      <w:rFonts w:ascii="Verdana" w:eastAsia="Times New Roman" w:hAnsi="Verdana" w:cs="Times New Roman"/>
      <w:b/>
      <w:sz w:val="18"/>
      <w:szCs w:val="20"/>
    </w:rPr>
  </w:style>
  <w:style w:type="table" w:customStyle="1" w:styleId="PlainTable41">
    <w:name w:val="Plain Table 41"/>
    <w:basedOn w:val="TableNormal"/>
    <w:uiPriority w:val="44"/>
    <w:rsid w:val="004361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4C3F18"/>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06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6C1"/>
    <w:rPr>
      <w:rFonts w:ascii="Segoe UI" w:hAnsi="Segoe UI" w:cs="Segoe UI"/>
      <w:sz w:val="18"/>
      <w:szCs w:val="18"/>
    </w:rPr>
  </w:style>
  <w:style w:type="character" w:styleId="CommentReference">
    <w:name w:val="annotation reference"/>
    <w:basedOn w:val="DefaultParagraphFont"/>
    <w:uiPriority w:val="99"/>
    <w:semiHidden/>
    <w:unhideWhenUsed/>
    <w:rsid w:val="00D506C1"/>
    <w:rPr>
      <w:sz w:val="16"/>
      <w:szCs w:val="16"/>
    </w:rPr>
  </w:style>
  <w:style w:type="paragraph" w:styleId="CommentText">
    <w:name w:val="annotation text"/>
    <w:basedOn w:val="Normal"/>
    <w:link w:val="CommentTextChar"/>
    <w:uiPriority w:val="99"/>
    <w:semiHidden/>
    <w:unhideWhenUsed/>
    <w:rsid w:val="00D506C1"/>
    <w:pPr>
      <w:spacing w:line="240" w:lineRule="auto"/>
    </w:pPr>
    <w:rPr>
      <w:sz w:val="20"/>
      <w:szCs w:val="20"/>
    </w:rPr>
  </w:style>
  <w:style w:type="character" w:customStyle="1" w:styleId="CommentTextChar">
    <w:name w:val="Comment Text Char"/>
    <w:basedOn w:val="DefaultParagraphFont"/>
    <w:link w:val="CommentText"/>
    <w:uiPriority w:val="99"/>
    <w:semiHidden/>
    <w:rsid w:val="00D506C1"/>
    <w:rPr>
      <w:sz w:val="20"/>
      <w:szCs w:val="20"/>
    </w:rPr>
  </w:style>
  <w:style w:type="paragraph" w:styleId="CommentSubject">
    <w:name w:val="annotation subject"/>
    <w:basedOn w:val="CommentText"/>
    <w:next w:val="CommentText"/>
    <w:link w:val="CommentSubjectChar"/>
    <w:uiPriority w:val="99"/>
    <w:semiHidden/>
    <w:unhideWhenUsed/>
    <w:rsid w:val="00D506C1"/>
    <w:rPr>
      <w:b/>
      <w:bCs/>
    </w:rPr>
  </w:style>
  <w:style w:type="character" w:customStyle="1" w:styleId="CommentSubjectChar">
    <w:name w:val="Comment Subject Char"/>
    <w:basedOn w:val="CommentTextChar"/>
    <w:link w:val="CommentSubject"/>
    <w:uiPriority w:val="99"/>
    <w:semiHidden/>
    <w:rsid w:val="00D506C1"/>
    <w:rPr>
      <w:b/>
      <w:bCs/>
      <w:sz w:val="20"/>
      <w:szCs w:val="20"/>
    </w:rPr>
  </w:style>
  <w:style w:type="paragraph" w:styleId="Header">
    <w:name w:val="header"/>
    <w:basedOn w:val="Normal"/>
    <w:link w:val="HeaderChar"/>
    <w:uiPriority w:val="99"/>
    <w:unhideWhenUsed/>
    <w:rsid w:val="00853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9B"/>
  </w:style>
  <w:style w:type="paragraph" w:styleId="Footer">
    <w:name w:val="footer"/>
    <w:basedOn w:val="Normal"/>
    <w:link w:val="FooterChar"/>
    <w:uiPriority w:val="99"/>
    <w:unhideWhenUsed/>
    <w:rsid w:val="00853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6366">
      <w:bodyDiv w:val="1"/>
      <w:marLeft w:val="0"/>
      <w:marRight w:val="0"/>
      <w:marTop w:val="0"/>
      <w:marBottom w:val="0"/>
      <w:divBdr>
        <w:top w:val="none" w:sz="0" w:space="0" w:color="auto"/>
        <w:left w:val="none" w:sz="0" w:space="0" w:color="auto"/>
        <w:bottom w:val="none" w:sz="0" w:space="0" w:color="auto"/>
        <w:right w:val="none" w:sz="0" w:space="0" w:color="auto"/>
      </w:divBdr>
    </w:div>
    <w:div w:id="707488684">
      <w:bodyDiv w:val="1"/>
      <w:marLeft w:val="0"/>
      <w:marRight w:val="0"/>
      <w:marTop w:val="0"/>
      <w:marBottom w:val="0"/>
      <w:divBdr>
        <w:top w:val="none" w:sz="0" w:space="0" w:color="auto"/>
        <w:left w:val="none" w:sz="0" w:space="0" w:color="auto"/>
        <w:bottom w:val="none" w:sz="0" w:space="0" w:color="auto"/>
        <w:right w:val="none" w:sz="0" w:space="0" w:color="auto"/>
      </w:divBdr>
    </w:div>
    <w:div w:id="156252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mstat.org/sections/srms/proceedings/y2003/Files/JSM2003-000865.pdf"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2017-09-19T18:07:00Z</dcterms:created>
  <dcterms:modified xsi:type="dcterms:W3CDTF">2017-09-19T18:07:00Z</dcterms:modified>
</cp:coreProperties>
</file>