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22770" w14:textId="77777777" w:rsidR="00B32A6D" w:rsidRDefault="00B32A6D" w:rsidP="00106AAD">
      <w:bookmarkStart w:id="0" w:name="_GoBack"/>
      <w:bookmarkEnd w:id="0"/>
    </w:p>
    <w:p w14:paraId="589FB5B3" w14:textId="77777777" w:rsidR="00B32A6D" w:rsidRDefault="00B32A6D">
      <w:pPr>
        <w:jc w:val="center"/>
        <w:rPr>
          <w:b/>
        </w:rPr>
      </w:pPr>
      <w:r>
        <w:rPr>
          <w:b/>
        </w:rPr>
        <w:t xml:space="preserve">SUPPORTING STATEMENT </w:t>
      </w:r>
    </w:p>
    <w:p w14:paraId="020A6ED8" w14:textId="77777777" w:rsidR="00C15DE2" w:rsidRDefault="00C15DE2"/>
    <w:p w14:paraId="654B0DA3" w14:textId="77777777" w:rsidR="00B32A6D" w:rsidRPr="00836F0B" w:rsidRDefault="00B32A6D">
      <w:pPr>
        <w:rPr>
          <w:b/>
          <w:sz w:val="22"/>
          <w:szCs w:val="22"/>
          <w:u w:val="single"/>
        </w:rPr>
      </w:pPr>
      <w:r w:rsidRPr="00836F0B">
        <w:rPr>
          <w:b/>
          <w:sz w:val="22"/>
          <w:szCs w:val="22"/>
        </w:rPr>
        <w:t>A.  Justification</w:t>
      </w:r>
    </w:p>
    <w:p w14:paraId="0B5716C3" w14:textId="77777777" w:rsidR="00B32A6D" w:rsidRPr="00836F0B" w:rsidRDefault="00B32A6D">
      <w:pPr>
        <w:rPr>
          <w:sz w:val="22"/>
          <w:szCs w:val="22"/>
          <w:u w:val="single"/>
        </w:rPr>
      </w:pPr>
    </w:p>
    <w:p w14:paraId="2710FA94" w14:textId="77777777" w:rsidR="00A00256" w:rsidRPr="00A00256" w:rsidRDefault="00A00256" w:rsidP="002255B8">
      <w:pPr>
        <w:pStyle w:val="ParaNum"/>
        <w:numPr>
          <w:ilvl w:val="0"/>
          <w:numId w:val="3"/>
        </w:numPr>
        <w:tabs>
          <w:tab w:val="clear" w:pos="720"/>
          <w:tab w:val="left" w:pos="360"/>
          <w:tab w:val="num" w:pos="1440"/>
        </w:tabs>
        <w:ind w:left="360"/>
        <w:jc w:val="left"/>
        <w:rPr>
          <w:szCs w:val="22"/>
        </w:rPr>
      </w:pPr>
      <w:r w:rsidRPr="00A00256">
        <w:rPr>
          <w:szCs w:val="22"/>
        </w:rPr>
        <w:t xml:space="preserve">The Americans with Disabilities Act of 1990 (ADA), Public Law 101-336, 104 Stat. 327, 366-69, was enacted on July 26, 1990.  </w:t>
      </w:r>
    </w:p>
    <w:p w14:paraId="26D514B1" w14:textId="186672A4" w:rsidR="00A00256" w:rsidRPr="00A00256" w:rsidRDefault="00A00256" w:rsidP="002255B8">
      <w:pPr>
        <w:pStyle w:val="ParaNum"/>
        <w:numPr>
          <w:ilvl w:val="0"/>
          <w:numId w:val="0"/>
        </w:numPr>
        <w:tabs>
          <w:tab w:val="left" w:pos="360"/>
        </w:tabs>
        <w:ind w:left="1440" w:hanging="360"/>
        <w:jc w:val="left"/>
        <w:rPr>
          <w:szCs w:val="22"/>
        </w:rPr>
      </w:pPr>
      <w:r w:rsidRPr="00A00256">
        <w:rPr>
          <w:szCs w:val="22"/>
        </w:rPr>
        <w:t xml:space="preserve">(a) </w:t>
      </w:r>
      <w:r w:rsidRPr="007F5D3F">
        <w:rPr>
          <w:szCs w:val="22"/>
        </w:rPr>
        <w:t>Title IV of the ADA add</w:t>
      </w:r>
      <w:r w:rsidR="00631755">
        <w:rPr>
          <w:szCs w:val="22"/>
        </w:rPr>
        <w:t>ed</w:t>
      </w:r>
      <w:r w:rsidRPr="007F5D3F">
        <w:rPr>
          <w:szCs w:val="22"/>
        </w:rPr>
        <w:t xml:space="preserve"> section 225 to the Communications Act of 1934 (Act)</w:t>
      </w:r>
      <w:r w:rsidR="00631755">
        <w:rPr>
          <w:szCs w:val="22"/>
        </w:rPr>
        <w:t>, which</w:t>
      </w:r>
      <w:r w:rsidRPr="007F5D3F">
        <w:rPr>
          <w:szCs w:val="22"/>
        </w:rPr>
        <w:t xml:space="preserve"> direct</w:t>
      </w:r>
      <w:r w:rsidRPr="005A2235">
        <w:rPr>
          <w:szCs w:val="22"/>
        </w:rPr>
        <w:t>s the Commission to promulgate regulations that require all domestic telephone common carriers to provide telecommunications relay services (TRS).</w:t>
      </w:r>
      <w:r w:rsidRPr="00A00256">
        <w:rPr>
          <w:szCs w:val="22"/>
          <w:vertAlign w:val="superscript"/>
        </w:rPr>
        <w:footnoteReference w:id="1"/>
      </w:r>
      <w:r w:rsidRPr="00A00256">
        <w:rPr>
          <w:szCs w:val="22"/>
        </w:rPr>
        <w:t xml:space="preserve">  </w:t>
      </w:r>
    </w:p>
    <w:p w14:paraId="57879BBF" w14:textId="5CB10A3C" w:rsidR="00A00256" w:rsidRPr="00A00256" w:rsidRDefault="00A00256" w:rsidP="002255B8">
      <w:pPr>
        <w:pStyle w:val="ParaNum"/>
        <w:numPr>
          <w:ilvl w:val="0"/>
          <w:numId w:val="0"/>
        </w:numPr>
        <w:tabs>
          <w:tab w:val="left" w:pos="360"/>
        </w:tabs>
        <w:ind w:left="1440" w:hanging="360"/>
        <w:jc w:val="left"/>
        <w:rPr>
          <w:szCs w:val="22"/>
        </w:rPr>
      </w:pPr>
      <w:r w:rsidRPr="00A00256">
        <w:rPr>
          <w:szCs w:val="22"/>
        </w:rPr>
        <w:t>(</w:t>
      </w:r>
      <w:r w:rsidR="00C65080">
        <w:rPr>
          <w:szCs w:val="22"/>
        </w:rPr>
        <w:t>b</w:t>
      </w:r>
      <w:r w:rsidRPr="00A00256">
        <w:rPr>
          <w:szCs w:val="22"/>
        </w:rPr>
        <w:t>) 47 CFR Part 64, Subpart F</w:t>
      </w:r>
      <w:r w:rsidR="00512C0F">
        <w:rPr>
          <w:szCs w:val="22"/>
        </w:rPr>
        <w:t>, which</w:t>
      </w:r>
      <w:r w:rsidRPr="00A00256">
        <w:rPr>
          <w:szCs w:val="22"/>
        </w:rPr>
        <w:t xml:space="preserve"> implements certain provisions of the ADA pertaining to TRS</w:t>
      </w:r>
      <w:r w:rsidR="00512C0F">
        <w:rPr>
          <w:szCs w:val="22"/>
        </w:rPr>
        <w:t>,</w:t>
      </w:r>
      <w:r w:rsidRPr="00A00256">
        <w:rPr>
          <w:szCs w:val="22"/>
        </w:rPr>
        <w:t xml:space="preserve"> contains the operational, technical, and functional standards required of all TRS providers and the procedures for state certification.</w:t>
      </w:r>
    </w:p>
    <w:p w14:paraId="0C587999" w14:textId="1FFD2809" w:rsidR="00A00256" w:rsidRPr="00A00256" w:rsidRDefault="00A00256" w:rsidP="002255B8">
      <w:pPr>
        <w:pStyle w:val="ParaNum"/>
        <w:numPr>
          <w:ilvl w:val="0"/>
          <w:numId w:val="0"/>
        </w:numPr>
        <w:tabs>
          <w:tab w:val="left" w:pos="360"/>
        </w:tabs>
        <w:ind w:left="1440" w:hanging="360"/>
        <w:jc w:val="left"/>
        <w:rPr>
          <w:szCs w:val="22"/>
        </w:rPr>
      </w:pPr>
      <w:r>
        <w:rPr>
          <w:szCs w:val="22"/>
        </w:rPr>
        <w:t>(</w:t>
      </w:r>
      <w:r w:rsidR="009C35CE">
        <w:rPr>
          <w:szCs w:val="22"/>
        </w:rPr>
        <w:t>c</w:t>
      </w:r>
      <w:r>
        <w:rPr>
          <w:szCs w:val="22"/>
        </w:rPr>
        <w:t xml:space="preserve">)  </w:t>
      </w:r>
      <w:r w:rsidRPr="00A00256">
        <w:rPr>
          <w:szCs w:val="22"/>
        </w:rPr>
        <w:t xml:space="preserve">The Commission has noted that the overall purpose of section 225 is to </w:t>
      </w:r>
      <w:r w:rsidR="00D57420">
        <w:rPr>
          <w:szCs w:val="22"/>
        </w:rPr>
        <w:t>“</w:t>
      </w:r>
      <w:r w:rsidRPr="00A00256">
        <w:rPr>
          <w:szCs w:val="22"/>
        </w:rPr>
        <w:t>ensure that interstate and intrastate [TRS] are available, to the extent possible and in the most efficient manner, to hearing</w:t>
      </w:r>
      <w:r w:rsidRPr="00A00256">
        <w:rPr>
          <w:szCs w:val="22"/>
        </w:rPr>
        <w:noBreakHyphen/>
        <w:t>impaired and speech</w:t>
      </w:r>
      <w:r w:rsidRPr="00A00256">
        <w:rPr>
          <w:szCs w:val="22"/>
        </w:rPr>
        <w:noBreakHyphen/>
        <w:t>impaired individuals in the United States.</w:t>
      </w:r>
      <w:r w:rsidR="00D57420">
        <w:rPr>
          <w:szCs w:val="22"/>
        </w:rPr>
        <w:t>”</w:t>
      </w:r>
      <w:r w:rsidRPr="00A00256">
        <w:rPr>
          <w:szCs w:val="22"/>
          <w:vertAlign w:val="superscript"/>
        </w:rPr>
        <w:footnoteReference w:id="2"/>
      </w:r>
      <w:r w:rsidRPr="00A00256">
        <w:rPr>
          <w:szCs w:val="22"/>
        </w:rPr>
        <w:t xml:space="preserve">  </w:t>
      </w:r>
    </w:p>
    <w:p w14:paraId="393D92C3" w14:textId="4DF5A800" w:rsidR="00A00256" w:rsidRPr="00A00256" w:rsidRDefault="00A00256" w:rsidP="002255B8">
      <w:pPr>
        <w:pStyle w:val="ParaNum"/>
        <w:numPr>
          <w:ilvl w:val="0"/>
          <w:numId w:val="0"/>
        </w:numPr>
        <w:tabs>
          <w:tab w:val="left" w:pos="360"/>
        </w:tabs>
        <w:ind w:left="1440" w:hanging="360"/>
        <w:jc w:val="left"/>
        <w:rPr>
          <w:szCs w:val="22"/>
        </w:rPr>
      </w:pPr>
      <w:r>
        <w:rPr>
          <w:szCs w:val="22"/>
        </w:rPr>
        <w:t>(</w:t>
      </w:r>
      <w:r w:rsidR="009C35CE">
        <w:rPr>
          <w:szCs w:val="22"/>
        </w:rPr>
        <w:t>d</w:t>
      </w:r>
      <w:r>
        <w:rPr>
          <w:szCs w:val="22"/>
        </w:rPr>
        <w:t xml:space="preserve">)  </w:t>
      </w:r>
      <w:r w:rsidRPr="00A00256">
        <w:rPr>
          <w:szCs w:val="22"/>
        </w:rPr>
        <w:t>The Commission has further noted that section 225, consistent with section 7(a) of the Act, requires that the rules the Commission prescribes to implement section 225 encourage “the use of existing technology and not discourage or impair the development of improved technology.”</w:t>
      </w:r>
      <w:r w:rsidR="001D06DB">
        <w:rPr>
          <w:rStyle w:val="FootnoteReference"/>
          <w:szCs w:val="22"/>
        </w:rPr>
        <w:footnoteReference w:id="3"/>
      </w:r>
      <w:r w:rsidRPr="00A00256">
        <w:rPr>
          <w:szCs w:val="22"/>
        </w:rPr>
        <w:t xml:space="preserve">  </w:t>
      </w:r>
    </w:p>
    <w:p w14:paraId="0B0F3E77" w14:textId="77777777" w:rsidR="003F19B0" w:rsidRPr="003F19B0" w:rsidRDefault="00F2383C" w:rsidP="00BA334D">
      <w:pPr>
        <w:pStyle w:val="ParaNum"/>
        <w:numPr>
          <w:ilvl w:val="0"/>
          <w:numId w:val="0"/>
        </w:numPr>
        <w:tabs>
          <w:tab w:val="num" w:pos="1440"/>
        </w:tabs>
        <w:ind w:left="360" w:hanging="360"/>
        <w:jc w:val="left"/>
        <w:rPr>
          <w:b/>
          <w:i/>
          <w:szCs w:val="22"/>
        </w:rPr>
      </w:pPr>
      <w:r w:rsidRPr="00E36D4C">
        <w:rPr>
          <w:b/>
          <w:szCs w:val="22"/>
        </w:rPr>
        <w:tab/>
      </w:r>
      <w:r w:rsidR="003F19B0" w:rsidRPr="003F19B0">
        <w:rPr>
          <w:b/>
          <w:i/>
          <w:szCs w:val="22"/>
        </w:rPr>
        <w:t>History:</w:t>
      </w:r>
    </w:p>
    <w:p w14:paraId="62DC18F8" w14:textId="77777777" w:rsidR="00300660" w:rsidRPr="00E36D4C" w:rsidRDefault="00F34C00" w:rsidP="00BA334D">
      <w:pPr>
        <w:pStyle w:val="ParaNum"/>
        <w:numPr>
          <w:ilvl w:val="0"/>
          <w:numId w:val="0"/>
        </w:numPr>
        <w:tabs>
          <w:tab w:val="num" w:pos="1440"/>
        </w:tabs>
        <w:ind w:left="360" w:hanging="360"/>
        <w:jc w:val="left"/>
        <w:rPr>
          <w:b/>
          <w:szCs w:val="22"/>
        </w:rPr>
      </w:pPr>
      <w:r>
        <w:rPr>
          <w:b/>
          <w:szCs w:val="22"/>
        </w:rPr>
        <w:t>Video Relay Service</w:t>
      </w:r>
    </w:p>
    <w:p w14:paraId="30B6D5B6" w14:textId="5938EB4F" w:rsidR="003A0F6F" w:rsidRPr="00E36D4C" w:rsidRDefault="00AE2FA3" w:rsidP="00EF178B">
      <w:pPr>
        <w:pStyle w:val="ParaNum"/>
        <w:numPr>
          <w:ilvl w:val="0"/>
          <w:numId w:val="0"/>
        </w:numPr>
        <w:tabs>
          <w:tab w:val="num" w:pos="1440"/>
        </w:tabs>
        <w:ind w:left="360"/>
        <w:jc w:val="left"/>
        <w:rPr>
          <w:szCs w:val="22"/>
        </w:rPr>
      </w:pPr>
      <w:r w:rsidRPr="00E36D4C">
        <w:rPr>
          <w:szCs w:val="22"/>
        </w:rPr>
        <w:t xml:space="preserve">In </w:t>
      </w:r>
      <w:r w:rsidR="003A0F6F" w:rsidRPr="00E36D4C">
        <w:rPr>
          <w:szCs w:val="22"/>
        </w:rPr>
        <w:t>March 2000, the Commission recognized Video Relay Service (VRS) as a form of TRS.</w:t>
      </w:r>
      <w:r w:rsidR="00186E21" w:rsidRPr="00E36D4C">
        <w:rPr>
          <w:rStyle w:val="FootnoteReference"/>
          <w:szCs w:val="22"/>
        </w:rPr>
        <w:footnoteReference w:id="4"/>
      </w:r>
      <w:r w:rsidR="003A0F6F" w:rsidRPr="00E36D4C">
        <w:rPr>
          <w:szCs w:val="22"/>
        </w:rPr>
        <w:t xml:space="preserve">  VRS </w:t>
      </w:r>
      <w:r w:rsidR="00846714">
        <w:rPr>
          <w:szCs w:val="22"/>
        </w:rPr>
        <w:t>require</w:t>
      </w:r>
      <w:r w:rsidR="003A0F6F" w:rsidRPr="00E36D4C">
        <w:rPr>
          <w:szCs w:val="22"/>
        </w:rPr>
        <w:t>s the use of a broadband Internet connection between the VRS user and the</w:t>
      </w:r>
      <w:r w:rsidR="006C6641">
        <w:rPr>
          <w:szCs w:val="22"/>
        </w:rPr>
        <w:t xml:space="preserve"> </w:t>
      </w:r>
      <w:r w:rsidR="006C6641">
        <w:rPr>
          <w:szCs w:val="22"/>
        </w:rPr>
        <w:lastRenderedPageBreak/>
        <w:t>communications assistant</w:t>
      </w:r>
      <w:r w:rsidR="003A0F6F" w:rsidRPr="00E36D4C">
        <w:rPr>
          <w:szCs w:val="22"/>
        </w:rPr>
        <w:t xml:space="preserve"> </w:t>
      </w:r>
      <w:r w:rsidR="006C6641">
        <w:rPr>
          <w:szCs w:val="22"/>
        </w:rPr>
        <w:t>(</w:t>
      </w:r>
      <w:r w:rsidR="003A0F6F" w:rsidRPr="00E36D4C">
        <w:rPr>
          <w:szCs w:val="22"/>
        </w:rPr>
        <w:t>CA</w:t>
      </w:r>
      <w:r w:rsidR="006C6641">
        <w:rPr>
          <w:szCs w:val="22"/>
        </w:rPr>
        <w:t>)</w:t>
      </w:r>
      <w:r w:rsidR="003A0F6F" w:rsidRPr="00E36D4C">
        <w:rPr>
          <w:szCs w:val="22"/>
        </w:rPr>
        <w:t>, which allows</w:t>
      </w:r>
      <w:r w:rsidR="00D017EC" w:rsidRPr="00E36D4C">
        <w:rPr>
          <w:szCs w:val="22"/>
        </w:rPr>
        <w:t xml:space="preserve"> the CA </w:t>
      </w:r>
      <w:r w:rsidR="003A0F6F" w:rsidRPr="00E36D4C">
        <w:rPr>
          <w:szCs w:val="22"/>
        </w:rPr>
        <w:t>to communicate</w:t>
      </w:r>
      <w:r w:rsidR="006C6641">
        <w:rPr>
          <w:szCs w:val="22"/>
        </w:rPr>
        <w:t xml:space="preserve"> with the VRS user</w:t>
      </w:r>
      <w:r w:rsidR="003A0F6F" w:rsidRPr="00E36D4C">
        <w:rPr>
          <w:szCs w:val="22"/>
        </w:rPr>
        <w:t xml:space="preserve"> in s</w:t>
      </w:r>
      <w:r w:rsidR="0036338E">
        <w:rPr>
          <w:szCs w:val="22"/>
        </w:rPr>
        <w:t>ign language via the video link and by voice with the hearing person.  As a result, the conversation between the deaf and hearing end users follows in near real time.</w:t>
      </w:r>
    </w:p>
    <w:p w14:paraId="30A52CA0" w14:textId="3C596353" w:rsidR="00A623DA" w:rsidRDefault="00A623DA" w:rsidP="00CE4A61">
      <w:pPr>
        <w:pStyle w:val="ParaNum"/>
        <w:widowControl/>
        <w:numPr>
          <w:ilvl w:val="0"/>
          <w:numId w:val="0"/>
        </w:numPr>
        <w:tabs>
          <w:tab w:val="left" w:pos="720"/>
        </w:tabs>
        <w:ind w:left="360"/>
        <w:jc w:val="left"/>
        <w:rPr>
          <w:szCs w:val="22"/>
          <w:lang w:val="en"/>
        </w:rPr>
      </w:pPr>
      <w:r>
        <w:rPr>
          <w:szCs w:val="22"/>
        </w:rPr>
        <w:t>On April 6, 2011</w:t>
      </w:r>
      <w:r w:rsidR="00863FDA">
        <w:rPr>
          <w:szCs w:val="22"/>
        </w:rPr>
        <w:t xml:space="preserve">, the Commission </w:t>
      </w:r>
      <w:r w:rsidR="009C67F3">
        <w:rPr>
          <w:szCs w:val="22"/>
        </w:rPr>
        <w:t xml:space="preserve">adopted the </w:t>
      </w:r>
      <w:r w:rsidR="009C67F3">
        <w:rPr>
          <w:i/>
          <w:szCs w:val="22"/>
        </w:rPr>
        <w:t>VRS Fraud Prevention Order</w:t>
      </w:r>
      <w:r>
        <w:rPr>
          <w:szCs w:val="22"/>
          <w:lang w:val="en"/>
        </w:rPr>
        <w:t xml:space="preserve">, </w:t>
      </w:r>
      <w:r w:rsidR="009C67F3">
        <w:rPr>
          <w:szCs w:val="22"/>
          <w:lang w:val="en"/>
        </w:rPr>
        <w:t>which included</w:t>
      </w:r>
      <w:r w:rsidRPr="00A623DA">
        <w:rPr>
          <w:szCs w:val="22"/>
          <w:lang w:val="en"/>
        </w:rPr>
        <w:t xml:space="preserve"> </w:t>
      </w:r>
      <w:r>
        <w:rPr>
          <w:szCs w:val="22"/>
          <w:lang w:val="en"/>
        </w:rPr>
        <w:t>several measures</w:t>
      </w:r>
      <w:r w:rsidRPr="00A623DA">
        <w:rPr>
          <w:szCs w:val="22"/>
          <w:lang w:val="en"/>
        </w:rPr>
        <w:t xml:space="preserve"> </w:t>
      </w:r>
      <w:r>
        <w:rPr>
          <w:szCs w:val="22"/>
          <w:lang w:val="en"/>
        </w:rPr>
        <w:t>designed</w:t>
      </w:r>
      <w:r w:rsidRPr="00A623DA">
        <w:rPr>
          <w:szCs w:val="22"/>
          <w:lang w:val="en"/>
        </w:rPr>
        <w:t xml:space="preserve"> to substantially reduce and ultimately eliminate fraud and abuse</w:t>
      </w:r>
      <w:r>
        <w:rPr>
          <w:szCs w:val="22"/>
          <w:lang w:val="en"/>
        </w:rPr>
        <w:t xml:space="preserve"> while en</w:t>
      </w:r>
      <w:r w:rsidRPr="00A623DA">
        <w:rPr>
          <w:szCs w:val="22"/>
          <w:lang w:val="en"/>
        </w:rPr>
        <w:t>suring that VRS remains a viable and a valuable communication tool for Americans who use it on a daily basis</w:t>
      </w:r>
      <w:r>
        <w:rPr>
          <w:szCs w:val="22"/>
          <w:lang w:val="en"/>
        </w:rPr>
        <w:t>.</w:t>
      </w:r>
      <w:r w:rsidR="009C67F3">
        <w:rPr>
          <w:rStyle w:val="FootnoteReference"/>
          <w:szCs w:val="22"/>
          <w:lang w:val="en"/>
        </w:rPr>
        <w:footnoteReference w:id="5"/>
      </w:r>
    </w:p>
    <w:p w14:paraId="4BADC6F9" w14:textId="1C1579DB" w:rsidR="00076A3F" w:rsidRDefault="00A623DA" w:rsidP="00CE4A61">
      <w:pPr>
        <w:pStyle w:val="ParaNum"/>
        <w:widowControl/>
        <w:numPr>
          <w:ilvl w:val="0"/>
          <w:numId w:val="0"/>
        </w:numPr>
        <w:tabs>
          <w:tab w:val="left" w:pos="720"/>
        </w:tabs>
        <w:ind w:left="360"/>
        <w:jc w:val="left"/>
        <w:rPr>
          <w:szCs w:val="22"/>
          <w:lang w:val="en"/>
        </w:rPr>
      </w:pPr>
      <w:r>
        <w:rPr>
          <w:szCs w:val="22"/>
          <w:lang w:val="en"/>
        </w:rPr>
        <w:t xml:space="preserve">On July 28, 2011, the Commission </w:t>
      </w:r>
      <w:r w:rsidR="00436FBE">
        <w:rPr>
          <w:szCs w:val="22"/>
          <w:lang w:val="en"/>
        </w:rPr>
        <w:t xml:space="preserve">adopted the </w:t>
      </w:r>
      <w:r w:rsidR="00436FBE">
        <w:rPr>
          <w:i/>
          <w:szCs w:val="22"/>
          <w:lang w:val="en"/>
        </w:rPr>
        <w:t>VRS Certification Order</w:t>
      </w:r>
      <w:r w:rsidR="008C68BA">
        <w:rPr>
          <w:szCs w:val="22"/>
          <w:lang w:val="en"/>
        </w:rPr>
        <w:t>,</w:t>
      </w:r>
      <w:r w:rsidR="00076A3F">
        <w:rPr>
          <w:szCs w:val="22"/>
          <w:lang w:val="en"/>
        </w:rPr>
        <w:t xml:space="preserve"> amending</w:t>
      </w:r>
      <w:r w:rsidRPr="00A623DA">
        <w:rPr>
          <w:szCs w:val="22"/>
          <w:lang w:val="en"/>
        </w:rPr>
        <w:t xml:space="preserve"> its </w:t>
      </w:r>
      <w:r w:rsidR="00436FBE">
        <w:rPr>
          <w:szCs w:val="22"/>
          <w:lang w:val="en"/>
        </w:rPr>
        <w:t>rules</w:t>
      </w:r>
      <w:r w:rsidR="00436FBE" w:rsidRPr="00A623DA">
        <w:rPr>
          <w:szCs w:val="22"/>
          <w:lang w:val="en"/>
        </w:rPr>
        <w:t xml:space="preserve"> </w:t>
      </w:r>
      <w:r w:rsidRPr="00A623DA">
        <w:rPr>
          <w:szCs w:val="22"/>
          <w:lang w:val="en"/>
        </w:rPr>
        <w:t xml:space="preserve">for certifying </w:t>
      </w:r>
      <w:r w:rsidR="00076A3F">
        <w:rPr>
          <w:szCs w:val="22"/>
          <w:lang w:val="en"/>
        </w:rPr>
        <w:t>iTRS</w:t>
      </w:r>
      <w:r w:rsidRPr="00A623DA">
        <w:rPr>
          <w:szCs w:val="22"/>
          <w:lang w:val="en"/>
        </w:rPr>
        <w:t xml:space="preserve"> providers as eligible for payment from the Interstate TRS Fund (Fund) for their provision of iTRS</w:t>
      </w:r>
      <w:r w:rsidR="00D72996" w:rsidRPr="00D72996">
        <w:rPr>
          <w:szCs w:val="22"/>
          <w:lang w:val="en"/>
        </w:rPr>
        <w:t>.</w:t>
      </w:r>
      <w:r w:rsidR="004108D4">
        <w:rPr>
          <w:rStyle w:val="FootnoteReference"/>
          <w:szCs w:val="22"/>
          <w:lang w:val="en"/>
        </w:rPr>
        <w:footnoteReference w:id="6"/>
      </w:r>
      <w:r w:rsidR="00D72996" w:rsidRPr="00D72996">
        <w:rPr>
          <w:szCs w:val="22"/>
          <w:lang w:val="en"/>
        </w:rPr>
        <w:t xml:space="preserve"> </w:t>
      </w:r>
    </w:p>
    <w:p w14:paraId="64B717EB" w14:textId="19CD224C" w:rsidR="008C68BA" w:rsidRDefault="008C68BA" w:rsidP="00CE4A61">
      <w:pPr>
        <w:pStyle w:val="ParaNum"/>
        <w:widowControl/>
        <w:numPr>
          <w:ilvl w:val="0"/>
          <w:numId w:val="0"/>
        </w:numPr>
        <w:tabs>
          <w:tab w:val="left" w:pos="720"/>
        </w:tabs>
        <w:ind w:left="360"/>
        <w:jc w:val="left"/>
        <w:rPr>
          <w:szCs w:val="22"/>
          <w:lang w:val="en"/>
        </w:rPr>
      </w:pPr>
      <w:r>
        <w:rPr>
          <w:szCs w:val="22"/>
          <w:lang w:val="en"/>
        </w:rPr>
        <w:t xml:space="preserve">On October </w:t>
      </w:r>
      <w:r w:rsidR="00381C77">
        <w:rPr>
          <w:szCs w:val="22"/>
          <w:lang w:val="en"/>
        </w:rPr>
        <w:t>17</w:t>
      </w:r>
      <w:r>
        <w:rPr>
          <w:szCs w:val="22"/>
          <w:lang w:val="en"/>
        </w:rPr>
        <w:t xml:space="preserve">, 2011, the Commission </w:t>
      </w:r>
      <w:r w:rsidR="00CD2CC4">
        <w:rPr>
          <w:szCs w:val="22"/>
          <w:lang w:val="en"/>
        </w:rPr>
        <w:t xml:space="preserve">adopted the </w:t>
      </w:r>
      <w:r w:rsidR="00CD2CC4">
        <w:rPr>
          <w:i/>
          <w:szCs w:val="22"/>
          <w:lang w:val="en"/>
        </w:rPr>
        <w:t>Second VRS Certification Order</w:t>
      </w:r>
      <w:r>
        <w:rPr>
          <w:szCs w:val="22"/>
          <w:lang w:val="en"/>
        </w:rPr>
        <w:t>,</w:t>
      </w:r>
      <w:r w:rsidRPr="008C68BA">
        <w:rPr>
          <w:szCs w:val="22"/>
          <w:lang w:val="en"/>
        </w:rPr>
        <w:t xml:space="preserve"> </w:t>
      </w:r>
      <w:r>
        <w:rPr>
          <w:szCs w:val="22"/>
          <w:lang w:val="en"/>
        </w:rPr>
        <w:t>addressing three petitions related to the</w:t>
      </w:r>
      <w:r w:rsidR="00CD2CC4">
        <w:rPr>
          <w:szCs w:val="22"/>
          <w:lang w:val="en"/>
        </w:rPr>
        <w:t xml:space="preserve"> </w:t>
      </w:r>
      <w:r w:rsidR="00CD2CC4">
        <w:rPr>
          <w:i/>
          <w:szCs w:val="22"/>
          <w:lang w:val="en"/>
        </w:rPr>
        <w:t>VRS Certification Order</w:t>
      </w:r>
      <w:r w:rsidR="009D00F8">
        <w:rPr>
          <w:szCs w:val="22"/>
          <w:lang w:val="en"/>
        </w:rPr>
        <w:t xml:space="preserve"> by</w:t>
      </w:r>
      <w:r w:rsidR="00381C77">
        <w:rPr>
          <w:szCs w:val="22"/>
          <w:lang w:val="en"/>
        </w:rPr>
        <w:t xml:space="preserve"> revis</w:t>
      </w:r>
      <w:r w:rsidR="009D00F8">
        <w:rPr>
          <w:szCs w:val="22"/>
          <w:lang w:val="en"/>
        </w:rPr>
        <w:t>ing</w:t>
      </w:r>
      <w:r w:rsidR="00381C77">
        <w:rPr>
          <w:szCs w:val="22"/>
          <w:lang w:val="en"/>
        </w:rPr>
        <w:t xml:space="preserve"> the burdens contained in</w:t>
      </w:r>
      <w:r w:rsidR="00381C77" w:rsidRPr="00381C77">
        <w:rPr>
          <w:szCs w:val="22"/>
          <w:lang w:val="en"/>
        </w:rPr>
        <w:t xml:space="preserve"> </w:t>
      </w:r>
      <w:r w:rsidR="00381C77">
        <w:rPr>
          <w:szCs w:val="22"/>
          <w:lang w:val="en"/>
        </w:rPr>
        <w:t>the requirement</w:t>
      </w:r>
      <w:r w:rsidR="009D00F8">
        <w:rPr>
          <w:szCs w:val="22"/>
          <w:lang w:val="en"/>
        </w:rPr>
        <w:t>s</w:t>
      </w:r>
      <w:r w:rsidR="00381C77">
        <w:rPr>
          <w:szCs w:val="22"/>
          <w:lang w:val="en"/>
        </w:rPr>
        <w:t xml:space="preserve"> for </w:t>
      </w:r>
      <w:r w:rsidR="00381C77" w:rsidRPr="00381C77">
        <w:rPr>
          <w:szCs w:val="22"/>
          <w:lang w:val="en"/>
        </w:rPr>
        <w:t xml:space="preserve">the submission of documentation </w:t>
      </w:r>
      <w:r w:rsidR="00381C77">
        <w:rPr>
          <w:szCs w:val="22"/>
          <w:lang w:val="en"/>
        </w:rPr>
        <w:t>of</w:t>
      </w:r>
      <w:r w:rsidR="00381C77" w:rsidRPr="00381C77">
        <w:rPr>
          <w:szCs w:val="22"/>
          <w:lang w:val="en"/>
        </w:rPr>
        <w:t xml:space="preserve"> a provider</w:t>
      </w:r>
      <w:r w:rsidR="009D00F8">
        <w:rPr>
          <w:szCs w:val="22"/>
          <w:lang w:val="en"/>
        </w:rPr>
        <w:t>’</w:t>
      </w:r>
      <w:r w:rsidR="00381C77" w:rsidRPr="00381C77">
        <w:rPr>
          <w:szCs w:val="22"/>
          <w:lang w:val="en"/>
        </w:rPr>
        <w:t>s VRS equipment and technologies and the submission of documentation regarding sponsorship arrangements.</w:t>
      </w:r>
      <w:r w:rsidR="004669B6">
        <w:rPr>
          <w:rStyle w:val="FootnoteReference"/>
          <w:szCs w:val="22"/>
          <w:lang w:val="en"/>
        </w:rPr>
        <w:footnoteReference w:id="7"/>
      </w:r>
    </w:p>
    <w:p w14:paraId="5F1D8DED" w14:textId="1240BAF0" w:rsidR="00CE4A61" w:rsidRDefault="00993721" w:rsidP="00CE4A61">
      <w:pPr>
        <w:pStyle w:val="ParaNum"/>
        <w:widowControl/>
        <w:numPr>
          <w:ilvl w:val="0"/>
          <w:numId w:val="0"/>
        </w:numPr>
        <w:tabs>
          <w:tab w:val="left" w:pos="720"/>
        </w:tabs>
        <w:ind w:left="360"/>
        <w:jc w:val="left"/>
        <w:rPr>
          <w:szCs w:val="22"/>
        </w:rPr>
      </w:pPr>
      <w:r>
        <w:rPr>
          <w:szCs w:val="22"/>
        </w:rPr>
        <w:t xml:space="preserve">Below, outlines the </w:t>
      </w:r>
      <w:r w:rsidR="00863FDA">
        <w:rPr>
          <w:szCs w:val="22"/>
        </w:rPr>
        <w:t>final</w:t>
      </w:r>
      <w:r>
        <w:rPr>
          <w:szCs w:val="22"/>
        </w:rPr>
        <w:t xml:space="preserve"> information collection requirements contained in </w:t>
      </w:r>
      <w:r w:rsidR="008101C1">
        <w:rPr>
          <w:szCs w:val="22"/>
        </w:rPr>
        <w:t>these three items</w:t>
      </w:r>
      <w:r w:rsidR="00B96559">
        <w:rPr>
          <w:szCs w:val="22"/>
        </w:rPr>
        <w:t>:</w:t>
      </w:r>
      <w:r>
        <w:rPr>
          <w:szCs w:val="22"/>
        </w:rPr>
        <w:t xml:space="preserve"> </w:t>
      </w:r>
    </w:p>
    <w:p w14:paraId="0BDAAB19" w14:textId="77777777" w:rsidR="00C85249" w:rsidRPr="00C85249" w:rsidRDefault="00C85249" w:rsidP="002255B8">
      <w:pPr>
        <w:pStyle w:val="ParaNum"/>
        <w:widowControl/>
        <w:numPr>
          <w:ilvl w:val="0"/>
          <w:numId w:val="0"/>
        </w:numPr>
        <w:ind w:left="360"/>
        <w:jc w:val="left"/>
        <w:rPr>
          <w:b/>
          <w:i/>
          <w:szCs w:val="22"/>
        </w:rPr>
      </w:pPr>
      <w:r w:rsidRPr="00C85249">
        <w:rPr>
          <w:b/>
          <w:i/>
          <w:szCs w:val="22"/>
        </w:rPr>
        <w:t xml:space="preserve">A.  Provider Certification Under Penalty of Perjury. </w:t>
      </w:r>
    </w:p>
    <w:p w14:paraId="5EE28412" w14:textId="1A08CDDD" w:rsidR="00C85249" w:rsidRDefault="00C85249" w:rsidP="00C85249">
      <w:pPr>
        <w:pStyle w:val="ParaNum"/>
        <w:widowControl/>
        <w:numPr>
          <w:ilvl w:val="0"/>
          <w:numId w:val="0"/>
        </w:numPr>
        <w:ind w:left="1080"/>
        <w:jc w:val="left"/>
        <w:rPr>
          <w:szCs w:val="22"/>
        </w:rPr>
      </w:pPr>
      <w:r>
        <w:rPr>
          <w:szCs w:val="22"/>
        </w:rPr>
        <w:t xml:space="preserve">The Chief Executive Officer (CEO), Chief Financial Officer (CFO), or other senior executive of a TRS provider shall certify, under penalty of perjury, that: (1) </w:t>
      </w:r>
      <w:r w:rsidRPr="00C85249">
        <w:t>minutes</w:t>
      </w:r>
      <w:r>
        <w:rPr>
          <w:szCs w:val="22"/>
        </w:rPr>
        <w:t xml:space="preserve"> submitted to the Interstate TRS Fund (Fund) administrator for compensation were handled in compliance with section 225 of the Act and the Commission’s rules and orders, and are not the result of impermissible financial incentives, or payments or kickbacks, to generate calls, and (2) cost and demand data submitted to the Fund administrator related to the determination of compensation rates or methodologies are true and correct.</w:t>
      </w:r>
      <w:r w:rsidR="00C4641B">
        <w:rPr>
          <w:rStyle w:val="FootnoteReference"/>
          <w:szCs w:val="22"/>
        </w:rPr>
        <w:footnoteReference w:id="8"/>
      </w:r>
      <w:r>
        <w:rPr>
          <w:szCs w:val="22"/>
        </w:rPr>
        <w:t xml:space="preserve"> </w:t>
      </w:r>
    </w:p>
    <w:p w14:paraId="32F183E7" w14:textId="77777777" w:rsidR="001761D9" w:rsidRPr="00474DC2" w:rsidRDefault="00474DC2" w:rsidP="002255B8">
      <w:pPr>
        <w:pStyle w:val="ParaNum"/>
        <w:widowControl/>
        <w:numPr>
          <w:ilvl w:val="0"/>
          <w:numId w:val="0"/>
        </w:numPr>
        <w:ind w:left="360"/>
        <w:jc w:val="left"/>
        <w:rPr>
          <w:b/>
          <w:i/>
          <w:szCs w:val="22"/>
        </w:rPr>
      </w:pPr>
      <w:r w:rsidRPr="00474DC2">
        <w:rPr>
          <w:b/>
          <w:i/>
          <w:szCs w:val="22"/>
        </w:rPr>
        <w:t>B.</w:t>
      </w:r>
      <w:r w:rsidRPr="00474DC2">
        <w:rPr>
          <w:b/>
          <w:i/>
          <w:szCs w:val="22"/>
        </w:rPr>
        <w:tab/>
      </w:r>
      <w:r w:rsidR="001761D9" w:rsidRPr="00474DC2">
        <w:rPr>
          <w:b/>
          <w:i/>
          <w:szCs w:val="22"/>
        </w:rPr>
        <w:t>Requiring Providers to Submit Information about New and Existing Call Centers</w:t>
      </w:r>
    </w:p>
    <w:p w14:paraId="765DF4D4" w14:textId="77777777" w:rsidR="001761D9" w:rsidRDefault="008E2FCB" w:rsidP="002255B8">
      <w:pPr>
        <w:pStyle w:val="ParaNum"/>
        <w:widowControl/>
        <w:numPr>
          <w:ilvl w:val="0"/>
          <w:numId w:val="0"/>
        </w:numPr>
        <w:ind w:left="1440" w:hanging="360"/>
        <w:jc w:val="left"/>
      </w:pPr>
      <w:r>
        <w:rPr>
          <w:szCs w:val="22"/>
        </w:rPr>
        <w:t xml:space="preserve">(1)  </w:t>
      </w:r>
      <w:r w:rsidR="001761D9">
        <w:rPr>
          <w:szCs w:val="22"/>
        </w:rPr>
        <w:t xml:space="preserve">VRS providers </w:t>
      </w:r>
      <w:r w:rsidR="00995676">
        <w:rPr>
          <w:szCs w:val="22"/>
        </w:rPr>
        <w:t xml:space="preserve">shall </w:t>
      </w:r>
      <w:r w:rsidR="001B02AA" w:rsidRPr="0013480D">
        <w:t xml:space="preserve">submit a written statement to the Commission and the TRS Fund </w:t>
      </w:r>
      <w:r w:rsidR="001B02AA">
        <w:t>administrator</w:t>
      </w:r>
      <w:r w:rsidR="001B02AA" w:rsidRPr="0013480D">
        <w:t xml:space="preserve"> containing the locations of all </w:t>
      </w:r>
      <w:r w:rsidR="001B02AA">
        <w:t xml:space="preserve">of their </w:t>
      </w:r>
      <w:r w:rsidR="001B02AA" w:rsidRPr="0013480D">
        <w:t xml:space="preserve">call centers that handle </w:t>
      </w:r>
      <w:r w:rsidR="001B02AA">
        <w:t>VRS</w:t>
      </w:r>
      <w:r w:rsidR="001B02AA" w:rsidRPr="0013480D">
        <w:t xml:space="preserve"> calls, including call centers located outside the </w:t>
      </w:r>
      <w:smartTag w:uri="urn:schemas-microsoft-com:office:smarttags" w:element="place">
        <w:smartTag w:uri="urn:schemas-microsoft-com:office:smarttags" w:element="country-region">
          <w:r w:rsidR="001B02AA" w:rsidRPr="0013480D">
            <w:t>U</w:t>
          </w:r>
          <w:r w:rsidR="001B02AA">
            <w:t>nited States</w:t>
          </w:r>
        </w:smartTag>
      </w:smartTag>
      <w:r w:rsidR="001B02AA">
        <w:t>,</w:t>
      </w:r>
      <w:r w:rsidR="001B02AA" w:rsidRPr="0013480D">
        <w:t xml:space="preserve"> twice a year, on April 1</w:t>
      </w:r>
      <w:r w:rsidR="001B02AA" w:rsidRPr="0013480D">
        <w:rPr>
          <w:vertAlign w:val="superscript"/>
        </w:rPr>
        <w:t>st</w:t>
      </w:r>
      <w:r w:rsidR="001B02AA" w:rsidRPr="0013480D">
        <w:t xml:space="preserve"> and October</w:t>
      </w:r>
      <w:r w:rsidR="001B02AA">
        <w:t xml:space="preserve"> 1</w:t>
      </w:r>
      <w:r w:rsidR="001B02AA" w:rsidRPr="00F40BF7">
        <w:rPr>
          <w:vertAlign w:val="superscript"/>
        </w:rPr>
        <w:t>st</w:t>
      </w:r>
      <w:r w:rsidR="001B02AA">
        <w:t>.</w:t>
      </w:r>
      <w:r w:rsidR="001B02AA" w:rsidRPr="0013480D">
        <w:t xml:space="preserve">  </w:t>
      </w:r>
      <w:r w:rsidR="001B02AA">
        <w:t xml:space="preserve">In addition to the street address of each call center, the rules require </w:t>
      </w:r>
      <w:r w:rsidR="001B02AA" w:rsidRPr="0013480D">
        <w:t>that th</w:t>
      </w:r>
      <w:r w:rsidR="001B02AA">
        <w:t>ese</w:t>
      </w:r>
      <w:r w:rsidR="001B02AA" w:rsidRPr="0013480D">
        <w:t xml:space="preserve"> statement</w:t>
      </w:r>
      <w:r w:rsidR="001B02AA">
        <w:t>s</w:t>
      </w:r>
      <w:r w:rsidR="001B02AA" w:rsidRPr="0013480D">
        <w:t xml:space="preserve"> contain (1) </w:t>
      </w:r>
      <w:r w:rsidR="001B02AA">
        <w:t xml:space="preserve">the </w:t>
      </w:r>
      <w:r w:rsidR="001B02AA" w:rsidRPr="0013480D">
        <w:t xml:space="preserve">number of </w:t>
      </w:r>
      <w:r w:rsidR="001B02AA">
        <w:t xml:space="preserve">individual </w:t>
      </w:r>
      <w:r w:rsidR="001B02AA" w:rsidRPr="0013480D">
        <w:t>CAs and CA managers</w:t>
      </w:r>
      <w:r w:rsidR="001B02AA">
        <w:t xml:space="preserve"> employed</w:t>
      </w:r>
      <w:r w:rsidR="001B02AA" w:rsidRPr="0013480D">
        <w:t xml:space="preserve"> at </w:t>
      </w:r>
      <w:r w:rsidR="001B02AA">
        <w:t>each</w:t>
      </w:r>
      <w:r w:rsidR="001B02AA" w:rsidRPr="0013480D">
        <w:t xml:space="preserve"> call center; </w:t>
      </w:r>
      <w:r w:rsidR="001B02AA">
        <w:t xml:space="preserve">and </w:t>
      </w:r>
      <w:r w:rsidR="001B02AA" w:rsidRPr="0013480D">
        <w:t>(</w:t>
      </w:r>
      <w:r w:rsidR="001B02AA">
        <w:t>2</w:t>
      </w:r>
      <w:r w:rsidR="001B02AA" w:rsidRPr="0013480D">
        <w:t xml:space="preserve">) the name and contact </w:t>
      </w:r>
      <w:r w:rsidR="001B02AA" w:rsidRPr="0013480D">
        <w:lastRenderedPageBreak/>
        <w:t>information</w:t>
      </w:r>
      <w:r w:rsidR="001B02AA">
        <w:t xml:space="preserve"> (phone number and email address)</w:t>
      </w:r>
      <w:r w:rsidR="001B02AA" w:rsidRPr="0013480D">
        <w:t xml:space="preserve"> for the managers at each </w:t>
      </w:r>
      <w:r w:rsidR="001B02AA">
        <w:t>call c</w:t>
      </w:r>
      <w:r w:rsidR="001B02AA" w:rsidRPr="0013480D">
        <w:t>enter</w:t>
      </w:r>
      <w:r w:rsidR="001B02AA">
        <w:t>.</w:t>
      </w:r>
      <w:r w:rsidR="00110B7F">
        <w:rPr>
          <w:rStyle w:val="FootnoteReference"/>
        </w:rPr>
        <w:footnoteReference w:id="9"/>
      </w:r>
    </w:p>
    <w:p w14:paraId="78263F06" w14:textId="5ECE4C42" w:rsidR="00267207" w:rsidRDefault="008E2FCB" w:rsidP="002255B8">
      <w:pPr>
        <w:pStyle w:val="ParaNum"/>
        <w:widowControl/>
        <w:numPr>
          <w:ilvl w:val="0"/>
          <w:numId w:val="0"/>
        </w:numPr>
        <w:ind w:left="1440" w:hanging="360"/>
        <w:jc w:val="left"/>
      </w:pPr>
      <w:r>
        <w:t>(2) VRS providers shall notify the Commission and the TRS Fund administrator in writing at least 30 days prior to any change to their call centers’ locations, including the opening, closing, or relocation of any center.</w:t>
      </w:r>
      <w:r w:rsidR="00FE42A5">
        <w:rPr>
          <w:rStyle w:val="FootnoteReference"/>
        </w:rPr>
        <w:footnoteReference w:id="10"/>
      </w:r>
    </w:p>
    <w:p w14:paraId="6E4CAF3B" w14:textId="77777777" w:rsidR="00995676" w:rsidRPr="00474DC2" w:rsidRDefault="00474DC2" w:rsidP="002255B8">
      <w:pPr>
        <w:pStyle w:val="ParaNum"/>
        <w:widowControl/>
        <w:numPr>
          <w:ilvl w:val="0"/>
          <w:numId w:val="0"/>
        </w:numPr>
        <w:ind w:left="360"/>
        <w:jc w:val="left"/>
        <w:rPr>
          <w:b/>
          <w:szCs w:val="22"/>
        </w:rPr>
      </w:pPr>
      <w:r w:rsidRPr="00474DC2">
        <w:rPr>
          <w:b/>
          <w:i/>
          <w:szCs w:val="22"/>
        </w:rPr>
        <w:t>C</w:t>
      </w:r>
      <w:r w:rsidR="00BC3820">
        <w:rPr>
          <w:b/>
          <w:i/>
          <w:szCs w:val="22"/>
        </w:rPr>
        <w:t>.</w:t>
      </w:r>
      <w:r w:rsidRPr="00474DC2">
        <w:rPr>
          <w:b/>
          <w:i/>
          <w:szCs w:val="22"/>
        </w:rPr>
        <w:tab/>
      </w:r>
      <w:r w:rsidR="00995676" w:rsidRPr="00474DC2">
        <w:rPr>
          <w:b/>
          <w:i/>
          <w:szCs w:val="22"/>
        </w:rPr>
        <w:t>Data Filed with the Fund Administrator to Support Payment Claims</w:t>
      </w:r>
    </w:p>
    <w:p w14:paraId="0EEB5390" w14:textId="77777777" w:rsidR="00995676" w:rsidRDefault="00DB4BC1" w:rsidP="00995676">
      <w:pPr>
        <w:pStyle w:val="ParaNum"/>
        <w:widowControl/>
        <w:numPr>
          <w:ilvl w:val="0"/>
          <w:numId w:val="0"/>
        </w:numPr>
        <w:ind w:left="1080"/>
        <w:jc w:val="left"/>
        <w:rPr>
          <w:szCs w:val="22"/>
        </w:rPr>
      </w:pPr>
      <w:r>
        <w:rPr>
          <w:szCs w:val="22"/>
        </w:rPr>
        <w:t xml:space="preserve">TRS </w:t>
      </w:r>
      <w:r w:rsidR="006602C9">
        <w:rPr>
          <w:szCs w:val="22"/>
        </w:rPr>
        <w:t>providers shall provide the f</w:t>
      </w:r>
      <w:r w:rsidR="00995676" w:rsidRPr="00586E93">
        <w:rPr>
          <w:szCs w:val="22"/>
        </w:rPr>
        <w:t xml:space="preserve">ollowing data associated with each </w:t>
      </w:r>
      <w:r>
        <w:rPr>
          <w:szCs w:val="22"/>
        </w:rPr>
        <w:t>T</w:t>
      </w:r>
      <w:r w:rsidRPr="00586E93">
        <w:rPr>
          <w:szCs w:val="22"/>
        </w:rPr>
        <w:t xml:space="preserve">RS </w:t>
      </w:r>
      <w:r w:rsidR="00995676" w:rsidRPr="00586E93">
        <w:rPr>
          <w:szCs w:val="22"/>
        </w:rPr>
        <w:t xml:space="preserve">call for which a </w:t>
      </w:r>
      <w:r>
        <w:rPr>
          <w:szCs w:val="22"/>
        </w:rPr>
        <w:t>T</w:t>
      </w:r>
      <w:r w:rsidRPr="00586E93">
        <w:rPr>
          <w:szCs w:val="22"/>
        </w:rPr>
        <w:t xml:space="preserve">RS </w:t>
      </w:r>
      <w:r w:rsidR="00995676" w:rsidRPr="00586E93">
        <w:rPr>
          <w:szCs w:val="22"/>
        </w:rPr>
        <w:t>provider seeks compensation</w:t>
      </w:r>
      <w:r w:rsidR="006602C9" w:rsidRPr="006602C9">
        <w:rPr>
          <w:szCs w:val="22"/>
        </w:rPr>
        <w:t xml:space="preserve"> </w:t>
      </w:r>
      <w:r w:rsidR="006602C9">
        <w:rPr>
          <w:szCs w:val="22"/>
        </w:rPr>
        <w:t>in its filing with the Fund Administrator</w:t>
      </w:r>
      <w:r w:rsidR="00995676" w:rsidRPr="00586E93">
        <w:rPr>
          <w:szCs w:val="22"/>
        </w:rPr>
        <w:t>:  (1) the call record ID sequ</w:t>
      </w:r>
      <w:r w:rsidR="00995676" w:rsidRPr="0013480D">
        <w:rPr>
          <w:szCs w:val="22"/>
        </w:rPr>
        <w:t>e</w:t>
      </w:r>
      <w:r w:rsidR="00995676" w:rsidRPr="00586E93">
        <w:rPr>
          <w:szCs w:val="22"/>
        </w:rPr>
        <w:t>nce; (2) CA ID number; (3) session start and end times</w:t>
      </w:r>
      <w:r w:rsidR="001C2619">
        <w:rPr>
          <w:szCs w:val="22"/>
        </w:rPr>
        <w:t xml:space="preserve"> noted at a minimum to the nearest second</w:t>
      </w:r>
      <w:r w:rsidR="00995676" w:rsidRPr="00586E93">
        <w:rPr>
          <w:szCs w:val="22"/>
        </w:rPr>
        <w:t>; (4) conversation start and end times</w:t>
      </w:r>
      <w:r w:rsidR="001C2619">
        <w:rPr>
          <w:szCs w:val="22"/>
        </w:rPr>
        <w:t xml:space="preserve"> noted at a minimum to the nearest second</w:t>
      </w:r>
      <w:r w:rsidR="00995676" w:rsidRPr="00586E93">
        <w:rPr>
          <w:szCs w:val="22"/>
        </w:rPr>
        <w:t>; (5) inco</w:t>
      </w:r>
      <w:r w:rsidR="00995676" w:rsidRPr="0013480D">
        <w:rPr>
          <w:szCs w:val="22"/>
        </w:rPr>
        <w:t>m</w:t>
      </w:r>
      <w:r w:rsidR="00995676" w:rsidRPr="00586E93">
        <w:rPr>
          <w:szCs w:val="22"/>
        </w:rPr>
        <w:t>ing telephone number and IP address (if</w:t>
      </w:r>
      <w:r w:rsidR="00810B94">
        <w:rPr>
          <w:szCs w:val="22"/>
        </w:rPr>
        <w:t xml:space="preserve"> the</w:t>
      </w:r>
      <w:r w:rsidR="00995676" w:rsidRPr="00586E93">
        <w:rPr>
          <w:szCs w:val="22"/>
        </w:rPr>
        <w:t xml:space="preserve"> call originates with an IP</w:t>
      </w:r>
      <w:r w:rsidR="00995676" w:rsidRPr="00E00A16">
        <w:rPr>
          <w:szCs w:val="22"/>
        </w:rPr>
        <w:t xml:space="preserve">-based device) at the time of call; (6) outbound telephone number </w:t>
      </w:r>
      <w:r w:rsidR="000F2424" w:rsidRPr="00452A1B">
        <w:rPr>
          <w:szCs w:val="22"/>
        </w:rPr>
        <w:t>and IP address (if</w:t>
      </w:r>
      <w:r w:rsidR="00810B94">
        <w:rPr>
          <w:szCs w:val="22"/>
        </w:rPr>
        <w:t xml:space="preserve"> the</w:t>
      </w:r>
      <w:r w:rsidR="000F2424" w:rsidRPr="00452A1B">
        <w:rPr>
          <w:szCs w:val="22"/>
        </w:rPr>
        <w:t xml:space="preserve"> call terminates to an IP-based device)</w:t>
      </w:r>
      <w:r w:rsidR="00995676" w:rsidRPr="00E00A16">
        <w:rPr>
          <w:szCs w:val="22"/>
        </w:rPr>
        <w:t xml:space="preserve"> at the time of call; (7) total conversation minutes; (8) total session minutes; (9) the call center (by assigned center ID number) that handles the call; and (10) the URL address through which the call was initiated</w:t>
      </w:r>
      <w:r w:rsidR="005922DA">
        <w:rPr>
          <w:szCs w:val="22"/>
        </w:rPr>
        <w:t>.</w:t>
      </w:r>
      <w:r w:rsidR="00D479DC">
        <w:rPr>
          <w:rStyle w:val="FootnoteReference"/>
          <w:szCs w:val="22"/>
        </w:rPr>
        <w:footnoteReference w:id="11"/>
      </w:r>
    </w:p>
    <w:p w14:paraId="74F168CB" w14:textId="77777777" w:rsidR="006602C9" w:rsidRPr="00995676" w:rsidRDefault="000F2424" w:rsidP="00995676">
      <w:pPr>
        <w:pStyle w:val="ParaNum"/>
        <w:widowControl/>
        <w:numPr>
          <w:ilvl w:val="0"/>
          <w:numId w:val="0"/>
        </w:numPr>
        <w:ind w:left="1080"/>
        <w:jc w:val="left"/>
        <w:rPr>
          <w:szCs w:val="22"/>
        </w:rPr>
      </w:pPr>
      <w:r>
        <w:rPr>
          <w:szCs w:val="22"/>
        </w:rPr>
        <w:t>In addition, a</w:t>
      </w:r>
      <w:r w:rsidR="006602C9">
        <w:rPr>
          <w:szCs w:val="22"/>
        </w:rPr>
        <w:t>ll VRS and IP Relay providers shall submit speed of answer compliance data to the Fund administrator</w:t>
      </w:r>
      <w:r>
        <w:rPr>
          <w:szCs w:val="22"/>
        </w:rPr>
        <w:t>.</w:t>
      </w:r>
      <w:r w:rsidR="008F5D59">
        <w:rPr>
          <w:rStyle w:val="FootnoteReference"/>
          <w:szCs w:val="22"/>
        </w:rPr>
        <w:footnoteReference w:id="12"/>
      </w:r>
    </w:p>
    <w:p w14:paraId="6C4E1766" w14:textId="77777777" w:rsidR="005425D1" w:rsidRPr="00474DC2" w:rsidRDefault="00474DC2" w:rsidP="002255B8">
      <w:pPr>
        <w:pStyle w:val="ParaNum"/>
        <w:widowControl/>
        <w:numPr>
          <w:ilvl w:val="0"/>
          <w:numId w:val="0"/>
        </w:numPr>
        <w:ind w:left="360"/>
        <w:jc w:val="left"/>
        <w:rPr>
          <w:b/>
          <w:szCs w:val="22"/>
        </w:rPr>
      </w:pPr>
      <w:r w:rsidRPr="00474DC2">
        <w:rPr>
          <w:b/>
          <w:i/>
          <w:szCs w:val="22"/>
        </w:rPr>
        <w:t>D.</w:t>
      </w:r>
      <w:r w:rsidRPr="00474DC2">
        <w:rPr>
          <w:b/>
          <w:i/>
          <w:szCs w:val="22"/>
        </w:rPr>
        <w:tab/>
      </w:r>
      <w:r w:rsidR="005425D1" w:rsidRPr="00474DC2">
        <w:rPr>
          <w:b/>
          <w:i/>
          <w:szCs w:val="22"/>
        </w:rPr>
        <w:t>Automated Call Data Collection</w:t>
      </w:r>
    </w:p>
    <w:p w14:paraId="0AE49460" w14:textId="0456E632" w:rsidR="005425D1" w:rsidRPr="00754156" w:rsidRDefault="00026F93" w:rsidP="005425D1">
      <w:pPr>
        <w:pStyle w:val="ParaNum"/>
        <w:widowControl/>
        <w:numPr>
          <w:ilvl w:val="0"/>
          <w:numId w:val="0"/>
        </w:numPr>
        <w:ind w:left="1080"/>
        <w:jc w:val="left"/>
        <w:rPr>
          <w:szCs w:val="22"/>
        </w:rPr>
      </w:pPr>
      <w:r w:rsidRPr="0013480D">
        <w:rPr>
          <w:szCs w:val="22"/>
        </w:rPr>
        <w:t xml:space="preserve">TRS providers </w:t>
      </w:r>
      <w:r>
        <w:rPr>
          <w:szCs w:val="22"/>
        </w:rPr>
        <w:t xml:space="preserve">shall </w:t>
      </w:r>
      <w:r w:rsidRPr="0013480D">
        <w:rPr>
          <w:szCs w:val="22"/>
        </w:rPr>
        <w:t>use an automated record keeping system t</w:t>
      </w:r>
      <w:r>
        <w:rPr>
          <w:szCs w:val="22"/>
        </w:rPr>
        <w:t>o</w:t>
      </w:r>
      <w:r w:rsidRPr="0013480D">
        <w:rPr>
          <w:szCs w:val="22"/>
        </w:rPr>
        <w:t xml:space="preserve"> capture the </w:t>
      </w:r>
      <w:r w:rsidR="001C2619">
        <w:rPr>
          <w:szCs w:val="22"/>
        </w:rPr>
        <w:t>call</w:t>
      </w:r>
      <w:r w:rsidR="001C2619" w:rsidRPr="0013480D">
        <w:rPr>
          <w:szCs w:val="22"/>
        </w:rPr>
        <w:t xml:space="preserve"> </w:t>
      </w:r>
      <w:r w:rsidRPr="0013480D">
        <w:rPr>
          <w:szCs w:val="22"/>
        </w:rPr>
        <w:t xml:space="preserve">data </w:t>
      </w:r>
      <w:r w:rsidR="00F70977">
        <w:rPr>
          <w:szCs w:val="22"/>
        </w:rPr>
        <w:t>and shall submit such data electronically in standardized format</w:t>
      </w:r>
      <w:r>
        <w:rPr>
          <w:szCs w:val="22"/>
        </w:rPr>
        <w:t>.</w:t>
      </w:r>
      <w:r w:rsidR="008830CD">
        <w:rPr>
          <w:rStyle w:val="FootnoteReference"/>
          <w:szCs w:val="22"/>
        </w:rPr>
        <w:footnoteReference w:id="13"/>
      </w:r>
    </w:p>
    <w:p w14:paraId="7E1CE523" w14:textId="77777777" w:rsidR="005425D1" w:rsidRPr="00474DC2" w:rsidRDefault="00474DC2" w:rsidP="00474DC2">
      <w:pPr>
        <w:pStyle w:val="ParaNum"/>
        <w:widowControl/>
        <w:numPr>
          <w:ilvl w:val="0"/>
          <w:numId w:val="0"/>
        </w:numPr>
        <w:ind w:left="360"/>
        <w:jc w:val="left"/>
        <w:rPr>
          <w:b/>
          <w:i/>
          <w:szCs w:val="22"/>
        </w:rPr>
      </w:pPr>
      <w:r w:rsidRPr="00474DC2">
        <w:rPr>
          <w:b/>
          <w:i/>
          <w:szCs w:val="22"/>
        </w:rPr>
        <w:t>E.</w:t>
      </w:r>
      <w:r w:rsidRPr="00474DC2">
        <w:rPr>
          <w:b/>
          <w:i/>
          <w:szCs w:val="22"/>
        </w:rPr>
        <w:tab/>
      </w:r>
      <w:r w:rsidR="005425D1" w:rsidRPr="00474DC2">
        <w:rPr>
          <w:b/>
          <w:i/>
          <w:szCs w:val="22"/>
        </w:rPr>
        <w:t>Record Retention</w:t>
      </w:r>
    </w:p>
    <w:p w14:paraId="5A71FFF1" w14:textId="518A5FDA" w:rsidR="00474DC2" w:rsidRDefault="0093021C" w:rsidP="002255B8">
      <w:pPr>
        <w:pStyle w:val="ParaNum"/>
        <w:widowControl/>
        <w:numPr>
          <w:ilvl w:val="0"/>
          <w:numId w:val="0"/>
        </w:numPr>
        <w:ind w:left="1080"/>
        <w:jc w:val="left"/>
        <w:rPr>
          <w:szCs w:val="22"/>
        </w:rPr>
      </w:pPr>
      <w:r w:rsidRPr="0013480D">
        <w:t xml:space="preserve">Internet-based TRS </w:t>
      </w:r>
      <w:r>
        <w:t xml:space="preserve">providers shall </w:t>
      </w:r>
      <w:r w:rsidRPr="0013480D">
        <w:t xml:space="preserve">retain </w:t>
      </w:r>
      <w:r>
        <w:t xml:space="preserve">the </w:t>
      </w:r>
      <w:r w:rsidR="002D71E1">
        <w:t xml:space="preserve">call </w:t>
      </w:r>
      <w:r>
        <w:t>data</w:t>
      </w:r>
      <w:r w:rsidR="002D71E1">
        <w:t xml:space="preserve"> records</w:t>
      </w:r>
      <w:r>
        <w:t xml:space="preserve"> that </w:t>
      </w:r>
      <w:r w:rsidR="002D71E1">
        <w:t xml:space="preserve">are </w:t>
      </w:r>
      <w:r>
        <w:t>used to support payment claims submitted to the Fund administrator for a minimum of five years</w:t>
      </w:r>
      <w:r w:rsidRPr="003B1984">
        <w:t>.</w:t>
      </w:r>
      <w:r w:rsidR="00DA678B">
        <w:rPr>
          <w:rStyle w:val="FootnoteReference"/>
        </w:rPr>
        <w:footnoteReference w:id="14"/>
      </w:r>
      <w:r w:rsidRPr="003B1984">
        <w:t xml:space="preserve">  </w:t>
      </w:r>
    </w:p>
    <w:p w14:paraId="6274AC4C" w14:textId="77777777" w:rsidR="00474DC2" w:rsidRPr="00E63887" w:rsidRDefault="00474DC2" w:rsidP="00E63887">
      <w:pPr>
        <w:pStyle w:val="ParaNum"/>
        <w:widowControl/>
        <w:numPr>
          <w:ilvl w:val="0"/>
          <w:numId w:val="14"/>
        </w:numPr>
        <w:jc w:val="left"/>
        <w:rPr>
          <w:b/>
          <w:i/>
          <w:szCs w:val="22"/>
        </w:rPr>
      </w:pPr>
      <w:r w:rsidRPr="00E63887">
        <w:rPr>
          <w:b/>
          <w:i/>
          <w:szCs w:val="22"/>
        </w:rPr>
        <w:t xml:space="preserve"> </w:t>
      </w:r>
      <w:r w:rsidRPr="00E63887">
        <w:rPr>
          <w:b/>
          <w:i/>
        </w:rPr>
        <w:t>Third-</w:t>
      </w:r>
      <w:r w:rsidRPr="00E63887">
        <w:rPr>
          <w:b/>
          <w:i/>
          <w:szCs w:val="22"/>
        </w:rPr>
        <w:t>party</w:t>
      </w:r>
      <w:r w:rsidRPr="00E63887">
        <w:rPr>
          <w:b/>
          <w:i/>
        </w:rPr>
        <w:t xml:space="preserve"> Agreements</w:t>
      </w:r>
    </w:p>
    <w:p w14:paraId="3102C118" w14:textId="77777777" w:rsidR="00474DC2" w:rsidRDefault="00474DC2" w:rsidP="00474DC2">
      <w:pPr>
        <w:pStyle w:val="ParaNum"/>
        <w:widowControl/>
        <w:numPr>
          <w:ilvl w:val="0"/>
          <w:numId w:val="0"/>
        </w:numPr>
        <w:tabs>
          <w:tab w:val="num" w:pos="720"/>
        </w:tabs>
        <w:ind w:left="1080"/>
        <w:jc w:val="left"/>
        <w:rPr>
          <w:rFonts w:cs="Arial"/>
        </w:rPr>
      </w:pPr>
      <w:r>
        <w:rPr>
          <w:rFonts w:cs="Arial"/>
        </w:rPr>
        <w:t>(1) VRS providers shall maintain copies of all</w:t>
      </w:r>
      <w:r w:rsidRPr="00F329FD">
        <w:rPr>
          <w:rFonts w:cs="Arial"/>
        </w:rPr>
        <w:t xml:space="preserve"> third-party contracts or agreements</w:t>
      </w:r>
      <w:r>
        <w:rPr>
          <w:rFonts w:cs="Arial"/>
        </w:rPr>
        <w:t xml:space="preserve"> so that </w:t>
      </w:r>
      <w:r w:rsidRPr="00F329FD">
        <w:rPr>
          <w:rFonts w:cs="Arial"/>
        </w:rPr>
        <w:t xml:space="preserve">copies of these agreements </w:t>
      </w:r>
      <w:r>
        <w:rPr>
          <w:rFonts w:cs="Arial"/>
        </w:rPr>
        <w:t xml:space="preserve">will </w:t>
      </w:r>
      <w:r w:rsidRPr="00F329FD">
        <w:rPr>
          <w:rFonts w:cs="Arial"/>
        </w:rPr>
        <w:t xml:space="preserve">be available to the Commission and the TRS Fund </w:t>
      </w:r>
      <w:r>
        <w:rPr>
          <w:rFonts w:cs="Arial"/>
        </w:rPr>
        <w:t>administrator</w:t>
      </w:r>
      <w:r w:rsidRPr="00F329FD">
        <w:rPr>
          <w:rFonts w:cs="Arial"/>
        </w:rPr>
        <w:t xml:space="preserve"> upon request.  Such contracts or agreements shall provide detailed information about the nature of the services to b</w:t>
      </w:r>
      <w:r>
        <w:rPr>
          <w:rFonts w:cs="Arial"/>
        </w:rPr>
        <w:t>e provided by the subcontractor.</w:t>
      </w:r>
      <w:r w:rsidR="00E96866">
        <w:rPr>
          <w:rStyle w:val="FootnoteReference"/>
          <w:rFonts w:cs="Arial"/>
        </w:rPr>
        <w:footnoteReference w:id="15"/>
      </w:r>
    </w:p>
    <w:p w14:paraId="51B67542" w14:textId="77777777" w:rsidR="00474DC2" w:rsidRDefault="00474DC2" w:rsidP="00474DC2">
      <w:pPr>
        <w:pStyle w:val="ParaNum"/>
        <w:widowControl/>
        <w:numPr>
          <w:ilvl w:val="0"/>
          <w:numId w:val="0"/>
        </w:numPr>
        <w:tabs>
          <w:tab w:val="num" w:pos="720"/>
        </w:tabs>
        <w:ind w:left="1080"/>
        <w:jc w:val="left"/>
        <w:rPr>
          <w:rFonts w:cs="Arial"/>
        </w:rPr>
      </w:pPr>
      <w:r>
        <w:rPr>
          <w:rFonts w:cs="Arial"/>
        </w:rPr>
        <w:t>(2) VRS providers shall describe</w:t>
      </w:r>
      <w:r w:rsidRPr="00D2349C">
        <w:rPr>
          <w:rFonts w:cs="Arial"/>
        </w:rPr>
        <w:t xml:space="preserve"> all agreements in connection with marketing and outreach activities, including those involving sponsorships, financial endorsements, awards, and gifts made by the provider to any individual or entity, in the providers’ annual submissions to the TRS Fund </w:t>
      </w:r>
      <w:r>
        <w:rPr>
          <w:rFonts w:cs="Arial"/>
        </w:rPr>
        <w:t>administrator</w:t>
      </w:r>
      <w:r w:rsidRPr="00D2349C">
        <w:rPr>
          <w:rFonts w:cs="Arial"/>
        </w:rPr>
        <w:t>.</w:t>
      </w:r>
      <w:r w:rsidR="00E8433D">
        <w:rPr>
          <w:rStyle w:val="FootnoteReference"/>
          <w:rFonts w:cs="Arial"/>
        </w:rPr>
        <w:footnoteReference w:id="16"/>
      </w:r>
    </w:p>
    <w:p w14:paraId="5FBD4003" w14:textId="77777777" w:rsidR="00474DC2" w:rsidRPr="00474DC2" w:rsidRDefault="00474DC2" w:rsidP="00E63887">
      <w:pPr>
        <w:pStyle w:val="ParaNum"/>
        <w:widowControl/>
        <w:numPr>
          <w:ilvl w:val="0"/>
          <w:numId w:val="14"/>
        </w:numPr>
        <w:jc w:val="left"/>
        <w:rPr>
          <w:b/>
          <w:szCs w:val="22"/>
        </w:rPr>
      </w:pPr>
      <w:r w:rsidRPr="00474DC2">
        <w:rPr>
          <w:b/>
          <w:i/>
          <w:szCs w:val="22"/>
        </w:rPr>
        <w:t xml:space="preserve"> </w:t>
      </w:r>
      <w:r w:rsidRPr="00474DC2">
        <w:rPr>
          <w:b/>
          <w:i/>
        </w:rPr>
        <w:t>Whistleblower</w:t>
      </w:r>
      <w:r w:rsidRPr="00474DC2">
        <w:rPr>
          <w:b/>
          <w:i/>
          <w:szCs w:val="22"/>
        </w:rPr>
        <w:t xml:space="preserve"> Protection</w:t>
      </w:r>
    </w:p>
    <w:p w14:paraId="7A4DA786" w14:textId="77777777" w:rsidR="00DD0560" w:rsidRDefault="00474DC2" w:rsidP="00D85CCC">
      <w:pPr>
        <w:pStyle w:val="ParaNum"/>
        <w:widowControl/>
        <w:numPr>
          <w:ilvl w:val="0"/>
          <w:numId w:val="0"/>
        </w:numPr>
        <w:ind w:left="360"/>
        <w:jc w:val="left"/>
        <w:rPr>
          <w:i/>
          <w:szCs w:val="22"/>
        </w:rPr>
      </w:pPr>
      <w:r>
        <w:rPr>
          <w:szCs w:val="22"/>
        </w:rPr>
        <w:t>TRS p</w:t>
      </w:r>
      <w:r w:rsidRPr="006135E2">
        <w:rPr>
          <w:szCs w:val="22"/>
        </w:rPr>
        <w:t>roviders shall provide information about these TRS whistleblower protections</w:t>
      </w:r>
      <w:r>
        <w:rPr>
          <w:szCs w:val="22"/>
        </w:rPr>
        <w:t xml:space="preserve">, including the right to notify the Commission’s Office of Inspector General or its Enforcement Bureau, </w:t>
      </w:r>
      <w:r w:rsidRPr="006135E2">
        <w:rPr>
          <w:szCs w:val="22"/>
        </w:rPr>
        <w:t xml:space="preserve">to all employees and contractors, in writing. </w:t>
      </w:r>
      <w:r>
        <w:rPr>
          <w:szCs w:val="22"/>
        </w:rPr>
        <w:t xml:space="preserve"> </w:t>
      </w:r>
      <w:r w:rsidRPr="0013480D">
        <w:rPr>
          <w:szCs w:val="22"/>
        </w:rPr>
        <w:t xml:space="preserve">Providers </w:t>
      </w:r>
      <w:r>
        <w:rPr>
          <w:szCs w:val="22"/>
        </w:rPr>
        <w:t>that</w:t>
      </w:r>
      <w:r w:rsidRPr="0013480D">
        <w:rPr>
          <w:szCs w:val="22"/>
        </w:rPr>
        <w:t xml:space="preserve"> already disseminate their internal business policies to their employees in writing (</w:t>
      </w:r>
      <w:r w:rsidRPr="0013480D">
        <w:rPr>
          <w:i/>
          <w:szCs w:val="22"/>
        </w:rPr>
        <w:t>e.g.</w:t>
      </w:r>
      <w:r w:rsidRPr="0013480D">
        <w:rPr>
          <w:szCs w:val="22"/>
        </w:rPr>
        <w:t xml:space="preserve"> </w:t>
      </w:r>
      <w:r>
        <w:rPr>
          <w:szCs w:val="22"/>
        </w:rPr>
        <w:t xml:space="preserve">in </w:t>
      </w:r>
      <w:r w:rsidRPr="0013480D">
        <w:rPr>
          <w:szCs w:val="22"/>
        </w:rPr>
        <w:t xml:space="preserve">employee handbooks, policies and procedures manuals, or bulletin board postings – either online or </w:t>
      </w:r>
      <w:r>
        <w:rPr>
          <w:szCs w:val="22"/>
        </w:rPr>
        <w:t xml:space="preserve">in </w:t>
      </w:r>
      <w:r w:rsidRPr="0013480D">
        <w:rPr>
          <w:szCs w:val="22"/>
        </w:rPr>
        <w:t>hard copy) must also explicitly include the</w:t>
      </w:r>
      <w:r>
        <w:rPr>
          <w:szCs w:val="22"/>
        </w:rPr>
        <w:t>se</w:t>
      </w:r>
      <w:r w:rsidRPr="0013480D">
        <w:rPr>
          <w:szCs w:val="22"/>
        </w:rPr>
        <w:t xml:space="preserve"> TRS whistleblower protection</w:t>
      </w:r>
      <w:r>
        <w:rPr>
          <w:szCs w:val="22"/>
        </w:rPr>
        <w:t>s in those written materials</w:t>
      </w:r>
      <w:r w:rsidRPr="0013480D">
        <w:rPr>
          <w:szCs w:val="22"/>
        </w:rPr>
        <w:t>.</w:t>
      </w:r>
      <w:r w:rsidR="00E8433D">
        <w:rPr>
          <w:rStyle w:val="FootnoteReference"/>
          <w:szCs w:val="22"/>
        </w:rPr>
        <w:footnoteReference w:id="17"/>
      </w:r>
    </w:p>
    <w:p w14:paraId="1020CA3A" w14:textId="77777777" w:rsidR="000611E7" w:rsidRDefault="000611E7" w:rsidP="005425D1">
      <w:pPr>
        <w:pStyle w:val="ParaNum"/>
        <w:widowControl/>
        <w:numPr>
          <w:ilvl w:val="0"/>
          <w:numId w:val="0"/>
        </w:numPr>
        <w:ind w:left="360"/>
        <w:jc w:val="left"/>
        <w:rPr>
          <w:b/>
          <w:szCs w:val="22"/>
          <w:u w:val="single"/>
        </w:rPr>
      </w:pPr>
    </w:p>
    <w:p w14:paraId="316930E3" w14:textId="77777777" w:rsidR="005425D1" w:rsidRPr="000541B3" w:rsidRDefault="005425D1" w:rsidP="005425D1">
      <w:pPr>
        <w:pStyle w:val="ParaNum"/>
        <w:widowControl/>
        <w:numPr>
          <w:ilvl w:val="0"/>
          <w:numId w:val="0"/>
        </w:numPr>
        <w:ind w:left="360"/>
        <w:jc w:val="left"/>
        <w:rPr>
          <w:szCs w:val="22"/>
        </w:rPr>
      </w:pPr>
      <w:r w:rsidRPr="000541B3">
        <w:rPr>
          <w:szCs w:val="22"/>
        </w:rPr>
        <w:t>These information collections do not affect individuals or households, and thus, there are no impacts under the Privacy Act.  However:</w:t>
      </w:r>
    </w:p>
    <w:p w14:paraId="2B854D55" w14:textId="77777777" w:rsidR="005425D1" w:rsidRPr="000541B3" w:rsidRDefault="005425D1" w:rsidP="005425D1">
      <w:pPr>
        <w:pStyle w:val="ParaNum"/>
        <w:widowControl/>
        <w:numPr>
          <w:ilvl w:val="0"/>
          <w:numId w:val="0"/>
        </w:numPr>
        <w:ind w:left="720" w:hanging="360"/>
        <w:jc w:val="left"/>
        <w:rPr>
          <w:szCs w:val="22"/>
        </w:rPr>
      </w:pPr>
      <w:r w:rsidRPr="000541B3">
        <w:rPr>
          <w:szCs w:val="22"/>
        </w:rPr>
        <w:t>(a)</w:t>
      </w:r>
      <w:r w:rsidRPr="000541B3">
        <w:rPr>
          <w:szCs w:val="22"/>
        </w:rPr>
        <w:tab/>
        <w:t>Information that is related to individuals or households is collected by a third party</w:t>
      </w:r>
      <w:r w:rsidR="00E76272" w:rsidRPr="000541B3">
        <w:rPr>
          <w:szCs w:val="22"/>
        </w:rPr>
        <w:t>,</w:t>
      </w:r>
      <w:r w:rsidRPr="000541B3">
        <w:rPr>
          <w:szCs w:val="22"/>
        </w:rPr>
        <w:t xml:space="preserve"> TRS providers, and </w:t>
      </w:r>
      <w:r w:rsidR="009E5382" w:rsidRPr="000541B3">
        <w:rPr>
          <w:szCs w:val="22"/>
        </w:rPr>
        <w:t xml:space="preserve">the </w:t>
      </w:r>
      <w:r w:rsidRPr="000541B3">
        <w:rPr>
          <w:szCs w:val="22"/>
        </w:rPr>
        <w:t>Fund administrator; and</w:t>
      </w:r>
    </w:p>
    <w:p w14:paraId="33F479B1" w14:textId="77777777" w:rsidR="005425D1" w:rsidRPr="000541B3" w:rsidRDefault="005425D1" w:rsidP="005425D1">
      <w:pPr>
        <w:pStyle w:val="ParaNum"/>
        <w:widowControl/>
        <w:numPr>
          <w:ilvl w:val="0"/>
          <w:numId w:val="0"/>
        </w:numPr>
        <w:ind w:left="720" w:hanging="360"/>
        <w:jc w:val="left"/>
        <w:rPr>
          <w:szCs w:val="22"/>
        </w:rPr>
      </w:pPr>
      <w:r w:rsidRPr="000541B3">
        <w:rPr>
          <w:szCs w:val="22"/>
        </w:rPr>
        <w:t>(b)</w:t>
      </w:r>
      <w:r w:rsidRPr="000541B3">
        <w:rPr>
          <w:szCs w:val="22"/>
        </w:rPr>
        <w:tab/>
        <w:t>The Commission has no direct involvement in the collection of this information on individuals and households.</w:t>
      </w:r>
      <w:r w:rsidRPr="000541B3">
        <w:rPr>
          <w:rStyle w:val="FootnoteReference"/>
          <w:sz w:val="20"/>
        </w:rPr>
        <w:footnoteReference w:id="18"/>
      </w:r>
      <w:r w:rsidRPr="000541B3">
        <w:rPr>
          <w:sz w:val="20"/>
        </w:rPr>
        <w:t xml:space="preserve"> </w:t>
      </w:r>
      <w:r w:rsidRPr="000541B3">
        <w:rPr>
          <w:szCs w:val="22"/>
        </w:rPr>
        <w:t xml:space="preserve"> </w:t>
      </w:r>
    </w:p>
    <w:p w14:paraId="44ED3D8A" w14:textId="77777777" w:rsidR="005425D1" w:rsidRPr="000541B3" w:rsidRDefault="005425D1" w:rsidP="002255B8">
      <w:pPr>
        <w:pStyle w:val="ParaNum"/>
        <w:widowControl/>
        <w:numPr>
          <w:ilvl w:val="0"/>
          <w:numId w:val="0"/>
        </w:numPr>
        <w:ind w:left="360"/>
        <w:jc w:val="left"/>
        <w:rPr>
          <w:b/>
          <w:szCs w:val="22"/>
          <w:shd w:val="clear" w:color="auto" w:fill="FFFF99"/>
        </w:rPr>
      </w:pPr>
      <w:r w:rsidRPr="000541B3">
        <w:rPr>
          <w:szCs w:val="22"/>
        </w:rPr>
        <w:t xml:space="preserve">The statutory authority for </w:t>
      </w:r>
      <w:r w:rsidR="00E76272" w:rsidRPr="000541B3">
        <w:rPr>
          <w:szCs w:val="22"/>
        </w:rPr>
        <w:t>the information</w:t>
      </w:r>
      <w:r w:rsidRPr="000541B3">
        <w:rPr>
          <w:szCs w:val="22"/>
        </w:rPr>
        <w:t xml:space="preserve"> collection is found at section 225 of the Act, 47 U.S.C. § 225</w:t>
      </w:r>
      <w:r w:rsidR="00134D95">
        <w:rPr>
          <w:szCs w:val="22"/>
        </w:rPr>
        <w:t>; Telecommunications Services for Hearing-Impaired and Speech-Impaired Individuals; The Americans with Disabilities Act of 1990 (ADA)</w:t>
      </w:r>
      <w:r w:rsidRPr="000541B3">
        <w:rPr>
          <w:szCs w:val="22"/>
        </w:rPr>
        <w:t>.  The law was enacted on July 26, 1990, as Title IV of the ADA, Public Law 101-336, 104 Stat. 327, 366-69.</w:t>
      </w:r>
    </w:p>
    <w:p w14:paraId="5C5EA07C" w14:textId="77777777" w:rsidR="000E45A9" w:rsidRPr="000541B3" w:rsidRDefault="007A2B8D" w:rsidP="00BC7F25">
      <w:pPr>
        <w:pStyle w:val="ParaNum"/>
        <w:widowControl/>
        <w:numPr>
          <w:ilvl w:val="0"/>
          <w:numId w:val="0"/>
        </w:numPr>
        <w:ind w:left="360" w:hanging="360"/>
        <w:jc w:val="left"/>
        <w:rPr>
          <w:szCs w:val="22"/>
        </w:rPr>
      </w:pPr>
      <w:r w:rsidRPr="000541B3">
        <w:rPr>
          <w:szCs w:val="22"/>
        </w:rPr>
        <w:t>2.</w:t>
      </w:r>
      <w:r w:rsidRPr="000541B3">
        <w:rPr>
          <w:szCs w:val="22"/>
        </w:rPr>
        <w:tab/>
      </w:r>
      <w:r w:rsidR="001B0924" w:rsidRPr="000541B3">
        <w:rPr>
          <w:szCs w:val="22"/>
        </w:rPr>
        <w:t xml:space="preserve">This </w:t>
      </w:r>
      <w:r w:rsidR="002B6C0D" w:rsidRPr="000541B3">
        <w:rPr>
          <w:szCs w:val="22"/>
        </w:rPr>
        <w:t xml:space="preserve">final </w:t>
      </w:r>
      <w:r w:rsidR="001B0924" w:rsidRPr="000541B3">
        <w:rPr>
          <w:szCs w:val="22"/>
        </w:rPr>
        <w:t>requirement</w:t>
      </w:r>
      <w:r w:rsidR="00134D95">
        <w:rPr>
          <w:szCs w:val="22"/>
        </w:rPr>
        <w:t xml:space="preserve"> for reporting, keeping records</w:t>
      </w:r>
      <w:r w:rsidR="007E62EA">
        <w:rPr>
          <w:szCs w:val="22"/>
        </w:rPr>
        <w:t>,</w:t>
      </w:r>
      <w:r w:rsidR="00134D95">
        <w:rPr>
          <w:szCs w:val="22"/>
        </w:rPr>
        <w:t xml:space="preserve"> and applying for certification for eligibility to provide iTRS</w:t>
      </w:r>
      <w:r w:rsidR="001B0924" w:rsidRPr="000541B3">
        <w:rPr>
          <w:szCs w:val="22"/>
        </w:rPr>
        <w:t xml:space="preserve"> will help the Commission and Fund administrator further detect and deter the misuse of relay and the billing of illegitimate minutes to the Fund</w:t>
      </w:r>
      <w:r w:rsidR="00D371DB" w:rsidRPr="000541B3">
        <w:rPr>
          <w:szCs w:val="22"/>
        </w:rPr>
        <w:t xml:space="preserve"> as one part of the Commission’s goals of ensuring that VRS is available to, and used by, the full spectrum of eligible users, encourages innovation, and is provided efficiently so as to be less susceptible to the waste, fraud, and abuse that threaten its long-term viability</w:t>
      </w:r>
      <w:r w:rsidR="00005878" w:rsidRPr="000541B3">
        <w:rPr>
          <w:szCs w:val="22"/>
        </w:rPr>
        <w:t>.</w:t>
      </w:r>
      <w:r w:rsidR="006821E3" w:rsidRPr="000541B3">
        <w:rPr>
          <w:szCs w:val="22"/>
        </w:rPr>
        <w:t xml:space="preserve"> </w:t>
      </w:r>
    </w:p>
    <w:p w14:paraId="353FAE95" w14:textId="57A4D494" w:rsidR="0091572B" w:rsidRPr="000541B3" w:rsidRDefault="00780E3E" w:rsidP="0091572B">
      <w:pPr>
        <w:pStyle w:val="ParaNum"/>
        <w:widowControl/>
        <w:numPr>
          <w:ilvl w:val="0"/>
          <w:numId w:val="0"/>
        </w:numPr>
        <w:ind w:left="360" w:hanging="360"/>
        <w:jc w:val="left"/>
      </w:pPr>
      <w:r w:rsidRPr="000541B3">
        <w:t>3.</w:t>
      </w:r>
      <w:r w:rsidRPr="000541B3">
        <w:tab/>
      </w:r>
      <w:r w:rsidR="00DB786B">
        <w:rPr>
          <w:szCs w:val="22"/>
        </w:rPr>
        <w:t>The Commission requires automated, electronic processes to be employed by respondents to collect and submit to the TRS Fund Administrator</w:t>
      </w:r>
      <w:r w:rsidR="00AE1676">
        <w:rPr>
          <w:szCs w:val="22"/>
        </w:rPr>
        <w:t xml:space="preserve"> cost and demand information,</w:t>
      </w:r>
      <w:r w:rsidR="00DB786B">
        <w:rPr>
          <w:szCs w:val="22"/>
        </w:rPr>
        <w:t xml:space="preserve"> call data records</w:t>
      </w:r>
      <w:r w:rsidR="00AE1676">
        <w:rPr>
          <w:szCs w:val="22"/>
        </w:rPr>
        <w:t>, and speed of answer data</w:t>
      </w:r>
      <w:r w:rsidR="00DB786B">
        <w:rPr>
          <w:szCs w:val="22"/>
        </w:rPr>
        <w:t xml:space="preserve"> in furtherance of this collection.</w:t>
      </w:r>
      <w:r w:rsidR="00DB786B">
        <w:rPr>
          <w:rStyle w:val="FootnoteReference"/>
          <w:szCs w:val="22"/>
        </w:rPr>
        <w:footnoteReference w:id="19"/>
      </w:r>
      <w:r w:rsidR="00AE1676">
        <w:rPr>
          <w:szCs w:val="22"/>
        </w:rPr>
        <w:t xml:space="preserve">  </w:t>
      </w:r>
      <w:r w:rsidR="00134D95">
        <w:t>At this time, the Commission is not considering the use of improved information technology</w:t>
      </w:r>
      <w:r w:rsidR="00AE1676">
        <w:t xml:space="preserve"> for other aspects of this collection</w:t>
      </w:r>
      <w:r w:rsidR="00134D95">
        <w:t xml:space="preserve">.  </w:t>
      </w:r>
      <w:r w:rsidR="00FD2503" w:rsidRPr="000541B3">
        <w:t xml:space="preserve">Providers may </w:t>
      </w:r>
      <w:r w:rsidR="00134D95">
        <w:t xml:space="preserve">continue to </w:t>
      </w:r>
      <w:r w:rsidR="00FD2503" w:rsidRPr="000541B3">
        <w:t xml:space="preserve">submit </w:t>
      </w:r>
      <w:r w:rsidR="00134D95">
        <w:t xml:space="preserve">all </w:t>
      </w:r>
      <w:r w:rsidR="00AE1676">
        <w:t>other</w:t>
      </w:r>
      <w:r w:rsidR="00134D95">
        <w:t xml:space="preserve"> required documentation, including certification</w:t>
      </w:r>
      <w:r w:rsidR="00AE1676">
        <w:t>,</w:t>
      </w:r>
      <w:r w:rsidR="00134D95">
        <w:t xml:space="preserve"> </w:t>
      </w:r>
      <w:r w:rsidR="00FD2503" w:rsidRPr="000541B3">
        <w:t xml:space="preserve">electronically </w:t>
      </w:r>
      <w:r w:rsidR="00D371DB" w:rsidRPr="000541B3">
        <w:t>as well as in hard copies</w:t>
      </w:r>
      <w:r w:rsidR="00AD6150" w:rsidRPr="000541B3">
        <w:t>.</w:t>
      </w:r>
      <w:r w:rsidR="00134D95">
        <w:t xml:space="preserve">  Providers are free to set up their own systems, which may include improved information technology for a seamless electronic delivery.</w:t>
      </w:r>
    </w:p>
    <w:p w14:paraId="6719556E" w14:textId="77777777" w:rsidR="00E51DF7" w:rsidRPr="000541B3" w:rsidRDefault="00E51DF7" w:rsidP="006D59BF">
      <w:pPr>
        <w:spacing w:after="220"/>
        <w:ind w:left="360" w:hanging="360"/>
        <w:rPr>
          <w:sz w:val="22"/>
          <w:szCs w:val="22"/>
        </w:rPr>
      </w:pPr>
      <w:r w:rsidRPr="000541B3">
        <w:rPr>
          <w:sz w:val="22"/>
          <w:szCs w:val="22"/>
        </w:rPr>
        <w:t>4.</w:t>
      </w:r>
      <w:r w:rsidRPr="000541B3">
        <w:rPr>
          <w:sz w:val="22"/>
          <w:szCs w:val="22"/>
        </w:rPr>
        <w:tab/>
        <w:t xml:space="preserve">The information is not duplicated elsewhere.  </w:t>
      </w:r>
      <w:r w:rsidR="006D59BF" w:rsidRPr="000541B3">
        <w:rPr>
          <w:sz w:val="22"/>
          <w:szCs w:val="22"/>
        </w:rPr>
        <w:t>This requirement augments previous certification requirements</w:t>
      </w:r>
      <w:r w:rsidRPr="000541B3">
        <w:rPr>
          <w:sz w:val="22"/>
          <w:szCs w:val="22"/>
        </w:rPr>
        <w:t>.</w:t>
      </w:r>
    </w:p>
    <w:p w14:paraId="51EF4BDB" w14:textId="33567103" w:rsidR="000E45A9" w:rsidRPr="000541B3" w:rsidRDefault="002E353C" w:rsidP="006D59BF">
      <w:pPr>
        <w:pStyle w:val="ParaNum"/>
        <w:widowControl/>
        <w:numPr>
          <w:ilvl w:val="0"/>
          <w:numId w:val="0"/>
        </w:numPr>
        <w:tabs>
          <w:tab w:val="left" w:pos="1440"/>
        </w:tabs>
        <w:ind w:left="360" w:hanging="360"/>
        <w:jc w:val="left"/>
        <w:rPr>
          <w:szCs w:val="22"/>
        </w:rPr>
      </w:pPr>
      <w:r w:rsidRPr="000541B3">
        <w:rPr>
          <w:szCs w:val="22"/>
        </w:rPr>
        <w:t>5.</w:t>
      </w:r>
      <w:r w:rsidR="004C5AA1" w:rsidRPr="000541B3">
        <w:rPr>
          <w:szCs w:val="22"/>
        </w:rPr>
        <w:t xml:space="preserve">  </w:t>
      </w:r>
      <w:r w:rsidR="00C31AE0">
        <w:rPr>
          <w:szCs w:val="22"/>
        </w:rPr>
        <w:t xml:space="preserve"> </w:t>
      </w:r>
      <w:r w:rsidR="004C5AA1" w:rsidRPr="000541B3">
        <w:rPr>
          <w:szCs w:val="22"/>
        </w:rPr>
        <w:t>The</w:t>
      </w:r>
      <w:r w:rsidR="00BC7F25" w:rsidRPr="000541B3">
        <w:rPr>
          <w:szCs w:val="22"/>
        </w:rPr>
        <w:t>re will be no significant economic impact on small business</w:t>
      </w:r>
      <w:r w:rsidR="00B56406" w:rsidRPr="000541B3">
        <w:rPr>
          <w:szCs w:val="22"/>
        </w:rPr>
        <w:t>es</w:t>
      </w:r>
      <w:r w:rsidR="00BC7F25" w:rsidRPr="000541B3">
        <w:rPr>
          <w:szCs w:val="22"/>
        </w:rPr>
        <w:t xml:space="preserve"> or small entities.</w:t>
      </w:r>
      <w:r w:rsidR="00134D95">
        <w:rPr>
          <w:szCs w:val="22"/>
        </w:rPr>
        <w:t xml:space="preserve">  In the </w:t>
      </w:r>
      <w:r w:rsidR="00C31AE0">
        <w:rPr>
          <w:i/>
          <w:szCs w:val="22"/>
        </w:rPr>
        <w:t>V</w:t>
      </w:r>
      <w:r w:rsidR="00134D95" w:rsidRPr="00134D95">
        <w:rPr>
          <w:i/>
          <w:szCs w:val="22"/>
        </w:rPr>
        <w:t>RS Certification Order</w:t>
      </w:r>
      <w:r w:rsidR="00134D95">
        <w:rPr>
          <w:szCs w:val="22"/>
        </w:rPr>
        <w:t xml:space="preserve">, the Commission attached a Final Regulatory Flexibility Certification (FRFC), which provided an analysis of the economic impact of each of the existing rules on small entities and certified that the requirements of the </w:t>
      </w:r>
      <w:r w:rsidR="009B3BD4">
        <w:rPr>
          <w:i/>
          <w:szCs w:val="22"/>
        </w:rPr>
        <w:t>V</w:t>
      </w:r>
      <w:r w:rsidR="00134D95" w:rsidRPr="00134D95">
        <w:rPr>
          <w:i/>
          <w:szCs w:val="22"/>
        </w:rPr>
        <w:t>RS Certification Order</w:t>
      </w:r>
      <w:r w:rsidR="00134D95">
        <w:rPr>
          <w:szCs w:val="22"/>
        </w:rPr>
        <w:t xml:space="preserve"> will not have a significant economic impact on a substantial number of small entities.</w:t>
      </w:r>
    </w:p>
    <w:p w14:paraId="643DE3CD" w14:textId="3A797BE0" w:rsidR="003D193B" w:rsidRPr="000541B3" w:rsidRDefault="00424B64" w:rsidP="0061033D">
      <w:pPr>
        <w:ind w:left="360" w:hanging="360"/>
        <w:rPr>
          <w:sz w:val="22"/>
          <w:szCs w:val="22"/>
        </w:rPr>
      </w:pPr>
      <w:r w:rsidRPr="000541B3">
        <w:rPr>
          <w:sz w:val="22"/>
          <w:szCs w:val="22"/>
        </w:rPr>
        <w:t>6.</w:t>
      </w:r>
      <w:r w:rsidRPr="000541B3">
        <w:rPr>
          <w:sz w:val="22"/>
          <w:szCs w:val="22"/>
        </w:rPr>
        <w:tab/>
      </w:r>
      <w:r w:rsidR="006F32B0" w:rsidRPr="000541B3">
        <w:rPr>
          <w:sz w:val="22"/>
          <w:szCs w:val="22"/>
        </w:rPr>
        <w:t xml:space="preserve">If </w:t>
      </w:r>
      <w:r w:rsidR="00B56406" w:rsidRPr="000541B3">
        <w:rPr>
          <w:sz w:val="22"/>
          <w:szCs w:val="22"/>
        </w:rPr>
        <w:t>this</w:t>
      </w:r>
      <w:r w:rsidR="006F32B0" w:rsidRPr="000541B3">
        <w:rPr>
          <w:sz w:val="22"/>
          <w:szCs w:val="22"/>
        </w:rPr>
        <w:t xml:space="preserve"> information collection is not co</w:t>
      </w:r>
      <w:r w:rsidR="00B56406" w:rsidRPr="000541B3">
        <w:rPr>
          <w:sz w:val="22"/>
          <w:szCs w:val="22"/>
        </w:rPr>
        <w:t>nduc</w:t>
      </w:r>
      <w:r w:rsidR="006F32B0" w:rsidRPr="000541B3">
        <w:rPr>
          <w:sz w:val="22"/>
          <w:szCs w:val="22"/>
        </w:rPr>
        <w:t xml:space="preserve">ted, </w:t>
      </w:r>
      <w:r w:rsidR="00BC7F25" w:rsidRPr="000541B3">
        <w:rPr>
          <w:sz w:val="22"/>
          <w:szCs w:val="22"/>
        </w:rPr>
        <w:t>the Commission and Fund administrator would have less of a basis to detect and prevent fraud and misuse in the provision of relay.</w:t>
      </w:r>
      <w:r w:rsidR="00134D95">
        <w:rPr>
          <w:sz w:val="22"/>
          <w:szCs w:val="22"/>
        </w:rPr>
        <w:t xml:space="preserve">  The collections of information and recordkeeping requirements are necessary for the Commission to strengthen its ability to oversee the VRS program</w:t>
      </w:r>
      <w:r w:rsidR="00494F8D">
        <w:rPr>
          <w:sz w:val="22"/>
          <w:szCs w:val="22"/>
        </w:rPr>
        <w:t>,</w:t>
      </w:r>
      <w:r w:rsidR="00134D95">
        <w:rPr>
          <w:sz w:val="22"/>
          <w:szCs w:val="22"/>
        </w:rPr>
        <w:t xml:space="preserve"> which has been vulnerable to waste,</w:t>
      </w:r>
      <w:r w:rsidR="00494F8D">
        <w:rPr>
          <w:sz w:val="22"/>
          <w:szCs w:val="22"/>
        </w:rPr>
        <w:t xml:space="preserve"> fraud, and</w:t>
      </w:r>
      <w:r w:rsidR="00134D95">
        <w:rPr>
          <w:sz w:val="22"/>
          <w:szCs w:val="22"/>
        </w:rPr>
        <w:t xml:space="preserve"> abuse.  The Commission must be able to confirm that only eligible providers are in compliance with the standards by having eas</w:t>
      </w:r>
      <w:r w:rsidR="00810F31">
        <w:rPr>
          <w:sz w:val="22"/>
          <w:szCs w:val="22"/>
        </w:rPr>
        <w:t>y</w:t>
      </w:r>
      <w:r w:rsidR="00134D95">
        <w:rPr>
          <w:sz w:val="22"/>
          <w:szCs w:val="22"/>
        </w:rPr>
        <w:t xml:space="preserve"> access to providers’ information on </w:t>
      </w:r>
      <w:r w:rsidR="00810F31">
        <w:rPr>
          <w:sz w:val="22"/>
          <w:szCs w:val="22"/>
        </w:rPr>
        <w:t xml:space="preserve">their </w:t>
      </w:r>
      <w:r w:rsidR="00134D95">
        <w:rPr>
          <w:sz w:val="22"/>
          <w:szCs w:val="22"/>
        </w:rPr>
        <w:t>operational and technical platform</w:t>
      </w:r>
      <w:r w:rsidR="00810F31">
        <w:rPr>
          <w:sz w:val="22"/>
          <w:szCs w:val="22"/>
        </w:rPr>
        <w:t>s</w:t>
      </w:r>
      <w:r w:rsidR="00134D95">
        <w:rPr>
          <w:sz w:val="22"/>
          <w:szCs w:val="22"/>
        </w:rPr>
        <w:t xml:space="preserve"> for recording call data and billable minutes for compensation from the Fund.  Without such information and recordkeeping requirements, the Commission would be limited in its ability to prevent waste</w:t>
      </w:r>
      <w:r w:rsidR="00810F31">
        <w:rPr>
          <w:sz w:val="22"/>
          <w:szCs w:val="22"/>
        </w:rPr>
        <w:t>, fraud,</w:t>
      </w:r>
      <w:r w:rsidR="00134D95">
        <w:rPr>
          <w:sz w:val="22"/>
          <w:szCs w:val="22"/>
        </w:rPr>
        <w:t xml:space="preserve"> and abuse of the Fund.</w:t>
      </w:r>
    </w:p>
    <w:p w14:paraId="3559281C" w14:textId="77777777" w:rsidR="00D1423F" w:rsidRPr="000541B3" w:rsidRDefault="00D1423F" w:rsidP="00B56406">
      <w:pPr>
        <w:ind w:left="720" w:hanging="360"/>
        <w:rPr>
          <w:sz w:val="22"/>
          <w:szCs w:val="22"/>
        </w:rPr>
      </w:pPr>
    </w:p>
    <w:p w14:paraId="38647E95" w14:textId="77777777" w:rsidR="001C2B16" w:rsidRPr="000541B3" w:rsidRDefault="001C2B16" w:rsidP="003457C1">
      <w:pPr>
        <w:ind w:left="360" w:hanging="360"/>
        <w:rPr>
          <w:sz w:val="22"/>
          <w:szCs w:val="22"/>
        </w:rPr>
      </w:pPr>
      <w:r w:rsidRPr="000541B3">
        <w:rPr>
          <w:sz w:val="22"/>
          <w:szCs w:val="22"/>
        </w:rPr>
        <w:t>7.</w:t>
      </w:r>
      <w:r w:rsidRPr="000541B3">
        <w:rPr>
          <w:sz w:val="22"/>
          <w:szCs w:val="22"/>
        </w:rPr>
        <w:tab/>
      </w:r>
      <w:r w:rsidR="00BA354A" w:rsidRPr="000541B3">
        <w:rPr>
          <w:sz w:val="22"/>
          <w:szCs w:val="22"/>
        </w:rPr>
        <w:t>This collection would require respondents to report information to the agency more often than quarterly.  This is pursuant to established procedures whereby providers submit data on a monthly basis in support of requests for payment from the Fund.  If the reporting occurred only quarterly or less frequently, providers would not get reimbursed from the Fund on the monthly basis they do now.</w:t>
      </w:r>
    </w:p>
    <w:p w14:paraId="0258EDC1" w14:textId="77777777" w:rsidR="001C2B16" w:rsidRPr="000541B3" w:rsidRDefault="001C2B16" w:rsidP="001C2B16">
      <w:pPr>
        <w:ind w:left="1440" w:hanging="720"/>
        <w:rPr>
          <w:sz w:val="22"/>
          <w:szCs w:val="22"/>
        </w:rPr>
      </w:pPr>
    </w:p>
    <w:p w14:paraId="28A5AD80" w14:textId="199245F1" w:rsidR="001C2B16" w:rsidRPr="002022D4" w:rsidRDefault="001C2B16" w:rsidP="003457C1">
      <w:pPr>
        <w:ind w:left="360" w:hanging="360"/>
        <w:rPr>
          <w:sz w:val="22"/>
          <w:szCs w:val="22"/>
        </w:rPr>
      </w:pPr>
      <w:r w:rsidRPr="000541B3">
        <w:rPr>
          <w:sz w:val="22"/>
          <w:szCs w:val="22"/>
        </w:rPr>
        <w:t>8.</w:t>
      </w:r>
      <w:r w:rsidRPr="000541B3">
        <w:rPr>
          <w:sz w:val="22"/>
          <w:szCs w:val="22"/>
        </w:rPr>
        <w:tab/>
      </w:r>
      <w:r w:rsidR="00BC7F25" w:rsidRPr="002022D4">
        <w:rPr>
          <w:sz w:val="22"/>
          <w:szCs w:val="22"/>
        </w:rPr>
        <w:t xml:space="preserve">Pursuant to 5 </w:t>
      </w:r>
      <w:r w:rsidR="00F7390A" w:rsidRPr="002022D4">
        <w:rPr>
          <w:sz w:val="22"/>
          <w:szCs w:val="22"/>
        </w:rPr>
        <w:t>CFR</w:t>
      </w:r>
      <w:r w:rsidR="00BC7F25" w:rsidRPr="002022D4">
        <w:rPr>
          <w:sz w:val="22"/>
          <w:szCs w:val="22"/>
        </w:rPr>
        <w:t xml:space="preserve"> </w:t>
      </w:r>
      <w:r w:rsidR="00870023" w:rsidRPr="002022D4">
        <w:rPr>
          <w:sz w:val="22"/>
          <w:szCs w:val="22"/>
        </w:rPr>
        <w:t>§</w:t>
      </w:r>
      <w:r w:rsidR="00BC7F25" w:rsidRPr="002022D4">
        <w:rPr>
          <w:sz w:val="22"/>
          <w:szCs w:val="22"/>
        </w:rPr>
        <w:t xml:space="preserve"> 1320.8, the Commission placed a notice in the </w:t>
      </w:r>
      <w:r w:rsidR="00BC7F25" w:rsidRPr="002022D4">
        <w:rPr>
          <w:i/>
          <w:sz w:val="22"/>
          <w:szCs w:val="22"/>
        </w:rPr>
        <w:t>Federal Register</w:t>
      </w:r>
      <w:r w:rsidR="00C733BB" w:rsidRPr="002022D4">
        <w:rPr>
          <w:sz w:val="22"/>
          <w:szCs w:val="22"/>
        </w:rPr>
        <w:t xml:space="preserve"> on </w:t>
      </w:r>
      <w:r w:rsidR="00B60FF6">
        <w:rPr>
          <w:sz w:val="22"/>
          <w:szCs w:val="22"/>
        </w:rPr>
        <w:t>May 16</w:t>
      </w:r>
      <w:r w:rsidR="00EC2986" w:rsidRPr="00C86E8E">
        <w:rPr>
          <w:sz w:val="22"/>
          <w:szCs w:val="22"/>
        </w:rPr>
        <w:t>, 201</w:t>
      </w:r>
      <w:r w:rsidR="00F7390A" w:rsidRPr="00C86E8E">
        <w:rPr>
          <w:sz w:val="22"/>
          <w:szCs w:val="22"/>
        </w:rPr>
        <w:t>7</w:t>
      </w:r>
      <w:r w:rsidR="00A4125B" w:rsidRPr="00C86E8E">
        <w:rPr>
          <w:sz w:val="22"/>
          <w:szCs w:val="22"/>
        </w:rPr>
        <w:t>, published</w:t>
      </w:r>
      <w:r w:rsidR="00EC2986" w:rsidRPr="00C86E8E">
        <w:rPr>
          <w:sz w:val="22"/>
          <w:szCs w:val="22"/>
        </w:rPr>
        <w:t xml:space="preserve"> </w:t>
      </w:r>
      <w:r w:rsidR="00C733BB" w:rsidRPr="00C86E8E">
        <w:rPr>
          <w:sz w:val="22"/>
          <w:szCs w:val="22"/>
        </w:rPr>
        <w:t xml:space="preserve">at </w:t>
      </w:r>
      <w:r w:rsidR="00B60FF6">
        <w:rPr>
          <w:sz w:val="22"/>
          <w:szCs w:val="22"/>
        </w:rPr>
        <w:t>82</w:t>
      </w:r>
      <w:r w:rsidR="00F7390A" w:rsidRPr="00C86E8E">
        <w:rPr>
          <w:sz w:val="22"/>
          <w:szCs w:val="22"/>
        </w:rPr>
        <w:t xml:space="preserve"> </w:t>
      </w:r>
      <w:r w:rsidR="002E09B2" w:rsidRPr="00C86E8E">
        <w:rPr>
          <w:sz w:val="22"/>
          <w:szCs w:val="22"/>
        </w:rPr>
        <w:t xml:space="preserve">FR </w:t>
      </w:r>
      <w:r w:rsidR="00B60FF6">
        <w:rPr>
          <w:sz w:val="22"/>
          <w:szCs w:val="22"/>
        </w:rPr>
        <w:t>22546</w:t>
      </w:r>
      <w:r w:rsidR="00CD6404" w:rsidRPr="002022D4">
        <w:rPr>
          <w:sz w:val="22"/>
          <w:szCs w:val="22"/>
        </w:rPr>
        <w:t>,</w:t>
      </w:r>
      <w:r w:rsidR="002E09B2" w:rsidRPr="002022D4">
        <w:rPr>
          <w:sz w:val="22"/>
          <w:szCs w:val="22"/>
        </w:rPr>
        <w:t xml:space="preserve"> </w:t>
      </w:r>
      <w:r w:rsidR="00005878" w:rsidRPr="002022D4">
        <w:rPr>
          <w:sz w:val="22"/>
          <w:szCs w:val="22"/>
        </w:rPr>
        <w:t>seeking comments from the public on the information collection requirements contained in this supporting statement</w:t>
      </w:r>
      <w:r w:rsidR="00BC7F25" w:rsidRPr="002022D4">
        <w:rPr>
          <w:sz w:val="22"/>
          <w:szCs w:val="22"/>
        </w:rPr>
        <w:t xml:space="preserve">.  </w:t>
      </w:r>
      <w:r w:rsidR="00B26106" w:rsidRPr="00C86E8E">
        <w:rPr>
          <w:sz w:val="22"/>
          <w:szCs w:val="22"/>
        </w:rPr>
        <w:t>No comments were received</w:t>
      </w:r>
      <w:r w:rsidR="00B26106" w:rsidRPr="002022D4">
        <w:rPr>
          <w:sz w:val="22"/>
          <w:szCs w:val="22"/>
        </w:rPr>
        <w:t>.</w:t>
      </w:r>
      <w:r w:rsidR="006F32B0" w:rsidRPr="002022D4">
        <w:rPr>
          <w:sz w:val="22"/>
          <w:szCs w:val="22"/>
        </w:rPr>
        <w:t xml:space="preserve">  </w:t>
      </w:r>
    </w:p>
    <w:p w14:paraId="76FDDDAB" w14:textId="77777777" w:rsidR="00B32A6D" w:rsidRPr="002022D4" w:rsidRDefault="00B32A6D" w:rsidP="007A2B8D">
      <w:r w:rsidRPr="002022D4">
        <w:t xml:space="preserve"> </w:t>
      </w:r>
    </w:p>
    <w:p w14:paraId="042DD59F" w14:textId="77777777" w:rsidR="00FE5371" w:rsidRPr="002022D4" w:rsidRDefault="00FE5371" w:rsidP="00A26BB9">
      <w:pPr>
        <w:ind w:left="360" w:hanging="360"/>
        <w:rPr>
          <w:sz w:val="22"/>
          <w:szCs w:val="22"/>
        </w:rPr>
      </w:pPr>
      <w:r w:rsidRPr="002022D4">
        <w:rPr>
          <w:sz w:val="22"/>
          <w:szCs w:val="22"/>
        </w:rPr>
        <w:t>9.</w:t>
      </w:r>
      <w:r w:rsidRPr="002022D4">
        <w:rPr>
          <w:sz w:val="22"/>
          <w:szCs w:val="22"/>
        </w:rPr>
        <w:tab/>
      </w:r>
      <w:r w:rsidR="00984253" w:rsidRPr="002022D4">
        <w:rPr>
          <w:sz w:val="22"/>
          <w:szCs w:val="22"/>
        </w:rPr>
        <w:t>The Commission does not anticipate providing any payment or gift to any respondents.</w:t>
      </w:r>
    </w:p>
    <w:p w14:paraId="6D68E8D6" w14:textId="77777777" w:rsidR="00444719" w:rsidRPr="002022D4" w:rsidRDefault="00444719" w:rsidP="00A26BB9">
      <w:pPr>
        <w:ind w:left="360" w:hanging="360"/>
        <w:rPr>
          <w:sz w:val="22"/>
          <w:szCs w:val="22"/>
        </w:rPr>
      </w:pPr>
    </w:p>
    <w:p w14:paraId="6CB93CCC" w14:textId="77777777" w:rsidR="002E09B2" w:rsidRPr="002022D4" w:rsidRDefault="00444719" w:rsidP="002E09B2">
      <w:pPr>
        <w:ind w:left="360" w:hanging="360"/>
        <w:rPr>
          <w:sz w:val="20"/>
        </w:rPr>
      </w:pPr>
      <w:r w:rsidRPr="002022D4">
        <w:rPr>
          <w:sz w:val="22"/>
          <w:szCs w:val="22"/>
        </w:rPr>
        <w:t>10.</w:t>
      </w:r>
      <w:r w:rsidRPr="002022D4">
        <w:rPr>
          <w:sz w:val="22"/>
          <w:szCs w:val="22"/>
        </w:rPr>
        <w:tab/>
      </w:r>
      <w:r w:rsidR="00B26106" w:rsidRPr="002022D4">
        <w:rPr>
          <w:sz w:val="22"/>
          <w:szCs w:val="22"/>
        </w:rPr>
        <w:t xml:space="preserve">The Fund administrator keeps all </w:t>
      </w:r>
      <w:r w:rsidR="00DD46F3" w:rsidRPr="002022D4">
        <w:rPr>
          <w:sz w:val="22"/>
          <w:szCs w:val="22"/>
        </w:rPr>
        <w:t xml:space="preserve">cost and demand </w:t>
      </w:r>
      <w:r w:rsidR="00B26106" w:rsidRPr="002022D4">
        <w:rPr>
          <w:sz w:val="22"/>
          <w:szCs w:val="22"/>
        </w:rPr>
        <w:t>data obtained from TRS providers confidential and</w:t>
      </w:r>
      <w:r w:rsidR="00795F46" w:rsidRPr="002022D4">
        <w:rPr>
          <w:sz w:val="22"/>
          <w:szCs w:val="22"/>
        </w:rPr>
        <w:t xml:space="preserve"> does not disclose suc</w:t>
      </w:r>
      <w:r w:rsidR="00B26106" w:rsidRPr="002022D4">
        <w:rPr>
          <w:sz w:val="22"/>
          <w:szCs w:val="22"/>
        </w:rPr>
        <w:t>h data in company-specific form unless directed to do so by the Commission</w:t>
      </w:r>
      <w:r w:rsidR="00B26106" w:rsidRPr="002022D4">
        <w:rPr>
          <w:sz w:val="20"/>
        </w:rPr>
        <w:t>.</w:t>
      </w:r>
      <w:r w:rsidR="00A10219" w:rsidRPr="002022D4">
        <w:rPr>
          <w:rStyle w:val="FootnoteReference"/>
          <w:sz w:val="20"/>
        </w:rPr>
        <w:footnoteReference w:id="20"/>
      </w:r>
    </w:p>
    <w:p w14:paraId="195E3D0C" w14:textId="77777777" w:rsidR="002E09B2" w:rsidRPr="002022D4" w:rsidRDefault="002E09B2" w:rsidP="002E09B2">
      <w:pPr>
        <w:ind w:left="360" w:hanging="360"/>
        <w:rPr>
          <w:sz w:val="20"/>
        </w:rPr>
      </w:pPr>
    </w:p>
    <w:p w14:paraId="4F58AE3B" w14:textId="77777777" w:rsidR="000A49E6" w:rsidRPr="002022D4" w:rsidRDefault="002E09B2" w:rsidP="002E09B2">
      <w:pPr>
        <w:ind w:left="360" w:hanging="360"/>
        <w:rPr>
          <w:sz w:val="22"/>
          <w:szCs w:val="22"/>
        </w:rPr>
      </w:pPr>
      <w:r w:rsidRPr="002022D4">
        <w:rPr>
          <w:sz w:val="22"/>
          <w:szCs w:val="22"/>
        </w:rPr>
        <w:t>11</w:t>
      </w:r>
      <w:r w:rsidRPr="002022D4">
        <w:rPr>
          <w:sz w:val="20"/>
        </w:rPr>
        <w:t xml:space="preserve">.  </w:t>
      </w:r>
      <w:r w:rsidR="000A49E6" w:rsidRPr="002022D4">
        <w:rPr>
          <w:sz w:val="22"/>
          <w:szCs w:val="22"/>
        </w:rPr>
        <w:t>This information collection does not address any private matters of a sensitive nature.</w:t>
      </w:r>
    </w:p>
    <w:p w14:paraId="1820E21B" w14:textId="77777777" w:rsidR="00B92BA3" w:rsidRPr="002022D4" w:rsidRDefault="00B92BA3" w:rsidP="00B92BA3">
      <w:pPr>
        <w:rPr>
          <w:sz w:val="22"/>
          <w:szCs w:val="22"/>
        </w:rPr>
      </w:pPr>
    </w:p>
    <w:p w14:paraId="408EE306" w14:textId="43335366" w:rsidR="004C1335" w:rsidRPr="002022D4" w:rsidRDefault="00F311A4" w:rsidP="00F311A4">
      <w:pPr>
        <w:tabs>
          <w:tab w:val="left" w:pos="360"/>
        </w:tabs>
        <w:ind w:left="360" w:hanging="360"/>
        <w:rPr>
          <w:sz w:val="22"/>
          <w:szCs w:val="22"/>
        </w:rPr>
      </w:pPr>
      <w:r w:rsidRPr="002022D4">
        <w:rPr>
          <w:sz w:val="22"/>
          <w:szCs w:val="22"/>
        </w:rPr>
        <w:t xml:space="preserve">12. </w:t>
      </w:r>
      <w:r w:rsidR="004C1335" w:rsidRPr="002022D4">
        <w:rPr>
          <w:sz w:val="22"/>
          <w:szCs w:val="22"/>
        </w:rPr>
        <w:t>The following represents the estimates of the hour burdens of the information collection</w:t>
      </w:r>
      <w:r w:rsidR="00066C18" w:rsidRPr="002022D4">
        <w:rPr>
          <w:sz w:val="22"/>
          <w:szCs w:val="22"/>
        </w:rPr>
        <w:t>.</w:t>
      </w:r>
      <w:r w:rsidR="004C1335" w:rsidRPr="002022D4">
        <w:rPr>
          <w:sz w:val="22"/>
          <w:szCs w:val="22"/>
        </w:rPr>
        <w:t xml:space="preserve">  </w:t>
      </w:r>
      <w:r w:rsidR="000F6111" w:rsidRPr="002022D4">
        <w:rPr>
          <w:sz w:val="22"/>
          <w:szCs w:val="22"/>
        </w:rPr>
        <w:t>Overall, t</w:t>
      </w:r>
      <w:r w:rsidR="004C1335" w:rsidRPr="002022D4">
        <w:rPr>
          <w:sz w:val="22"/>
          <w:szCs w:val="22"/>
        </w:rPr>
        <w:t>he</w:t>
      </w:r>
      <w:r w:rsidR="00994158" w:rsidRPr="002022D4">
        <w:rPr>
          <w:sz w:val="22"/>
          <w:szCs w:val="22"/>
        </w:rPr>
        <w:t xml:space="preserve"> </w:t>
      </w:r>
      <w:r w:rsidR="004C1335" w:rsidRPr="002022D4">
        <w:rPr>
          <w:sz w:val="22"/>
          <w:szCs w:val="22"/>
        </w:rPr>
        <w:t>Commission estimates that there are 1</w:t>
      </w:r>
      <w:r w:rsidR="00066C18" w:rsidRPr="002022D4">
        <w:rPr>
          <w:sz w:val="22"/>
          <w:szCs w:val="22"/>
        </w:rPr>
        <w:t>0</w:t>
      </w:r>
      <w:r w:rsidR="004C1335" w:rsidRPr="002022D4">
        <w:rPr>
          <w:sz w:val="22"/>
          <w:szCs w:val="22"/>
        </w:rPr>
        <w:t xml:space="preserve"> TRS providers that will be affected by this collection.</w:t>
      </w:r>
    </w:p>
    <w:p w14:paraId="44A84661" w14:textId="77777777" w:rsidR="00F311A4" w:rsidRPr="002022D4" w:rsidRDefault="00F311A4" w:rsidP="00F311A4">
      <w:pPr>
        <w:tabs>
          <w:tab w:val="left" w:pos="360"/>
        </w:tabs>
        <w:ind w:left="360" w:hanging="360"/>
        <w:rPr>
          <w:sz w:val="22"/>
          <w:szCs w:val="22"/>
        </w:rPr>
      </w:pPr>
    </w:p>
    <w:p w14:paraId="06A0D1FB" w14:textId="23134A92" w:rsidR="00C07B56" w:rsidRPr="002022D4" w:rsidRDefault="00EC2986" w:rsidP="004C1335">
      <w:pPr>
        <w:pStyle w:val="ParaNum"/>
        <w:widowControl/>
        <w:numPr>
          <w:ilvl w:val="0"/>
          <w:numId w:val="0"/>
        </w:numPr>
        <w:spacing w:after="0"/>
        <w:ind w:left="360"/>
        <w:jc w:val="left"/>
        <w:rPr>
          <w:b/>
          <w:i/>
          <w:szCs w:val="22"/>
        </w:rPr>
      </w:pPr>
      <w:r w:rsidRPr="002022D4">
        <w:rPr>
          <w:b/>
          <w:i/>
          <w:szCs w:val="22"/>
        </w:rPr>
        <w:t>Ex</w:t>
      </w:r>
      <w:r w:rsidR="00066C18" w:rsidRPr="002022D4">
        <w:rPr>
          <w:b/>
          <w:i/>
          <w:szCs w:val="22"/>
        </w:rPr>
        <w:t>tended</w:t>
      </w:r>
      <w:r w:rsidRPr="002022D4">
        <w:rPr>
          <w:b/>
          <w:i/>
          <w:szCs w:val="22"/>
        </w:rPr>
        <w:t xml:space="preserve"> </w:t>
      </w:r>
      <w:r w:rsidR="004C1335" w:rsidRPr="002022D4">
        <w:rPr>
          <w:b/>
          <w:i/>
          <w:szCs w:val="22"/>
        </w:rPr>
        <w:t>Information Collections Requirements</w:t>
      </w:r>
    </w:p>
    <w:p w14:paraId="62A43C62" w14:textId="77777777" w:rsidR="00C07B56" w:rsidRPr="002022D4" w:rsidRDefault="00C07B56" w:rsidP="004C1335">
      <w:pPr>
        <w:pStyle w:val="ParaNum"/>
        <w:widowControl/>
        <w:numPr>
          <w:ilvl w:val="0"/>
          <w:numId w:val="0"/>
        </w:numPr>
        <w:spacing w:after="0"/>
        <w:ind w:left="360"/>
        <w:jc w:val="left"/>
        <w:rPr>
          <w:b/>
          <w:i/>
          <w:szCs w:val="22"/>
        </w:rPr>
      </w:pPr>
    </w:p>
    <w:p w14:paraId="51AD7044" w14:textId="362086B3" w:rsidR="004C1335" w:rsidRPr="002022D4" w:rsidRDefault="004C1335" w:rsidP="004C1335">
      <w:pPr>
        <w:pStyle w:val="ParaNum"/>
        <w:widowControl/>
        <w:numPr>
          <w:ilvl w:val="0"/>
          <w:numId w:val="0"/>
        </w:numPr>
        <w:spacing w:after="0"/>
        <w:ind w:left="360"/>
        <w:jc w:val="left"/>
        <w:rPr>
          <w:szCs w:val="22"/>
        </w:rPr>
      </w:pPr>
      <w:r w:rsidRPr="002022D4">
        <w:rPr>
          <w:szCs w:val="22"/>
        </w:rPr>
        <w:t xml:space="preserve">Of the </w:t>
      </w:r>
      <w:r w:rsidR="009E69A1" w:rsidRPr="002022D4">
        <w:rPr>
          <w:szCs w:val="22"/>
        </w:rPr>
        <w:t>1</w:t>
      </w:r>
      <w:r w:rsidR="00754C70" w:rsidRPr="002022D4">
        <w:rPr>
          <w:szCs w:val="22"/>
        </w:rPr>
        <w:t xml:space="preserve">0 </w:t>
      </w:r>
      <w:r w:rsidR="009E69A1" w:rsidRPr="002022D4">
        <w:rPr>
          <w:szCs w:val="22"/>
        </w:rPr>
        <w:t xml:space="preserve">TRS </w:t>
      </w:r>
      <w:r w:rsidRPr="002022D4">
        <w:rPr>
          <w:szCs w:val="22"/>
        </w:rPr>
        <w:t>providers (respondents), the Commission estimates that:</w:t>
      </w:r>
    </w:p>
    <w:p w14:paraId="05B8B36E" w14:textId="77777777" w:rsidR="00267207" w:rsidRPr="002022D4" w:rsidRDefault="00267207" w:rsidP="004C1335">
      <w:pPr>
        <w:pStyle w:val="ParaNum"/>
        <w:widowControl/>
        <w:numPr>
          <w:ilvl w:val="0"/>
          <w:numId w:val="0"/>
        </w:numPr>
        <w:spacing w:after="0"/>
        <w:ind w:left="360"/>
        <w:jc w:val="left"/>
        <w:rPr>
          <w:szCs w:val="22"/>
        </w:rPr>
      </w:pPr>
    </w:p>
    <w:p w14:paraId="19C82475" w14:textId="27140305" w:rsidR="004C1335" w:rsidRPr="002022D4" w:rsidRDefault="004C1335" w:rsidP="004C1335">
      <w:pPr>
        <w:pStyle w:val="ParaNum"/>
        <w:widowControl/>
        <w:numPr>
          <w:ilvl w:val="0"/>
          <w:numId w:val="6"/>
        </w:numPr>
        <w:jc w:val="left"/>
        <w:rPr>
          <w:szCs w:val="22"/>
        </w:rPr>
      </w:pPr>
      <w:r w:rsidRPr="002022D4">
        <w:rPr>
          <w:szCs w:val="22"/>
        </w:rPr>
        <w:t xml:space="preserve">1 provides five forms (all but VRS); </w:t>
      </w:r>
    </w:p>
    <w:p w14:paraId="48629B20" w14:textId="10A60043" w:rsidR="004C1335" w:rsidRPr="002022D4" w:rsidRDefault="005A2235" w:rsidP="005559AA">
      <w:pPr>
        <w:pStyle w:val="ParaNum"/>
        <w:widowControl/>
        <w:numPr>
          <w:ilvl w:val="0"/>
          <w:numId w:val="6"/>
        </w:numPr>
        <w:jc w:val="left"/>
        <w:rPr>
          <w:szCs w:val="22"/>
        </w:rPr>
      </w:pPr>
      <w:r w:rsidRPr="002022D4">
        <w:rPr>
          <w:szCs w:val="22"/>
        </w:rPr>
        <w:t xml:space="preserve">1 </w:t>
      </w:r>
      <w:r w:rsidR="004C1335" w:rsidRPr="002022D4">
        <w:rPr>
          <w:szCs w:val="22"/>
        </w:rPr>
        <w:t>provide</w:t>
      </w:r>
      <w:r w:rsidRPr="002022D4">
        <w:rPr>
          <w:szCs w:val="22"/>
        </w:rPr>
        <w:t>s</w:t>
      </w:r>
      <w:r w:rsidR="004C1335" w:rsidRPr="002022D4">
        <w:rPr>
          <w:szCs w:val="22"/>
        </w:rPr>
        <w:t xml:space="preserve"> four forms (all but </w:t>
      </w:r>
      <w:r w:rsidRPr="002022D4">
        <w:rPr>
          <w:szCs w:val="22"/>
        </w:rPr>
        <w:t>IP Relay and VRS</w:t>
      </w:r>
      <w:r w:rsidR="004C1335" w:rsidRPr="002022D4">
        <w:rPr>
          <w:szCs w:val="22"/>
        </w:rPr>
        <w:t xml:space="preserve">); and </w:t>
      </w:r>
    </w:p>
    <w:p w14:paraId="09E5E794" w14:textId="4A76F08D" w:rsidR="004C1335" w:rsidRPr="002022D4" w:rsidRDefault="00134221" w:rsidP="004C1335">
      <w:pPr>
        <w:pStyle w:val="ParaNum"/>
        <w:widowControl/>
        <w:numPr>
          <w:ilvl w:val="0"/>
          <w:numId w:val="6"/>
        </w:numPr>
        <w:jc w:val="left"/>
        <w:rPr>
          <w:szCs w:val="22"/>
        </w:rPr>
      </w:pPr>
      <w:r w:rsidRPr="002022D4">
        <w:rPr>
          <w:szCs w:val="22"/>
        </w:rPr>
        <w:t>8</w:t>
      </w:r>
      <w:r w:rsidR="004C1335" w:rsidRPr="002022D4">
        <w:rPr>
          <w:szCs w:val="22"/>
        </w:rPr>
        <w:t xml:space="preserve"> provide one form (</w:t>
      </w:r>
      <w:r w:rsidR="005A2235" w:rsidRPr="002022D4">
        <w:rPr>
          <w:szCs w:val="22"/>
        </w:rPr>
        <w:t>f</w:t>
      </w:r>
      <w:r w:rsidRPr="002022D4">
        <w:rPr>
          <w:szCs w:val="22"/>
        </w:rPr>
        <w:t>ive</w:t>
      </w:r>
      <w:r w:rsidR="005A2235" w:rsidRPr="002022D4">
        <w:rPr>
          <w:szCs w:val="22"/>
        </w:rPr>
        <w:t xml:space="preserve"> provide </w:t>
      </w:r>
      <w:r w:rsidR="004C1335" w:rsidRPr="002022D4">
        <w:rPr>
          <w:szCs w:val="22"/>
        </w:rPr>
        <w:t>VRS</w:t>
      </w:r>
      <w:r w:rsidR="009E69A1" w:rsidRPr="002022D4">
        <w:rPr>
          <w:szCs w:val="22"/>
        </w:rPr>
        <w:t>,</w:t>
      </w:r>
      <w:r w:rsidRPr="002022D4">
        <w:rPr>
          <w:szCs w:val="22"/>
        </w:rPr>
        <w:t xml:space="preserve"> and three</w:t>
      </w:r>
      <w:r w:rsidR="005A2235" w:rsidRPr="002022D4">
        <w:rPr>
          <w:szCs w:val="22"/>
        </w:rPr>
        <w:t xml:space="preserve"> provide IP CTS</w:t>
      </w:r>
      <w:r w:rsidR="004C1335" w:rsidRPr="002022D4">
        <w:rPr>
          <w:szCs w:val="22"/>
        </w:rPr>
        <w:t>).</w:t>
      </w:r>
      <w:r w:rsidRPr="002022D4">
        <w:rPr>
          <w:rStyle w:val="FootnoteReference"/>
          <w:szCs w:val="22"/>
        </w:rPr>
        <w:footnoteReference w:id="21"/>
      </w:r>
    </w:p>
    <w:p w14:paraId="53F1E125" w14:textId="7F3120CB" w:rsidR="00D85CCC" w:rsidRPr="002022D4" w:rsidRDefault="00F65063" w:rsidP="002255B8">
      <w:pPr>
        <w:spacing w:after="240"/>
        <w:ind w:left="360"/>
        <w:rPr>
          <w:sz w:val="22"/>
          <w:szCs w:val="22"/>
        </w:rPr>
      </w:pPr>
      <w:r w:rsidRPr="002022D4">
        <w:rPr>
          <w:sz w:val="22"/>
          <w:szCs w:val="22"/>
        </w:rPr>
        <w:t>With the exception of category D – Automated Call Data Collection, the respondents for each of the categories below are these</w:t>
      </w:r>
      <w:r w:rsidR="00CF26BE" w:rsidRPr="002022D4">
        <w:rPr>
          <w:sz w:val="22"/>
          <w:szCs w:val="22"/>
        </w:rPr>
        <w:t xml:space="preserve"> same</w:t>
      </w:r>
      <w:r w:rsidRPr="002022D4">
        <w:rPr>
          <w:sz w:val="22"/>
          <w:szCs w:val="22"/>
        </w:rPr>
        <w:t xml:space="preserve"> 10 TRS providers or a subset of these providers. </w:t>
      </w:r>
    </w:p>
    <w:p w14:paraId="0157341E" w14:textId="4FF73F24" w:rsidR="00C733BB" w:rsidRPr="002022D4" w:rsidRDefault="00C733BB" w:rsidP="002255B8">
      <w:pPr>
        <w:ind w:left="360" w:firstLine="360"/>
        <w:rPr>
          <w:b/>
          <w:i/>
          <w:sz w:val="22"/>
          <w:szCs w:val="22"/>
        </w:rPr>
      </w:pPr>
      <w:r w:rsidRPr="002022D4">
        <w:rPr>
          <w:b/>
          <w:sz w:val="22"/>
          <w:szCs w:val="22"/>
        </w:rPr>
        <w:t>A.</w:t>
      </w:r>
      <w:r w:rsidRPr="002022D4">
        <w:rPr>
          <w:b/>
          <w:i/>
          <w:sz w:val="22"/>
          <w:szCs w:val="22"/>
        </w:rPr>
        <w:t xml:space="preserve">  Provider Certification Under Penalty of Perjury</w:t>
      </w:r>
    </w:p>
    <w:p w14:paraId="0977170D" w14:textId="77777777" w:rsidR="00894F25" w:rsidRPr="002022D4" w:rsidRDefault="00894F25" w:rsidP="000C54B4">
      <w:pPr>
        <w:ind w:left="720"/>
        <w:rPr>
          <w:sz w:val="22"/>
          <w:szCs w:val="22"/>
        </w:rPr>
      </w:pPr>
    </w:p>
    <w:p w14:paraId="38BC1163" w14:textId="5B3E33D3" w:rsidR="00B96ADB" w:rsidRPr="002022D4" w:rsidRDefault="00B96ADB" w:rsidP="002255B8">
      <w:pPr>
        <w:ind w:left="720" w:firstLine="360"/>
        <w:rPr>
          <w:sz w:val="22"/>
          <w:szCs w:val="22"/>
        </w:rPr>
      </w:pPr>
      <w:r w:rsidRPr="002022D4">
        <w:rPr>
          <w:b/>
          <w:sz w:val="22"/>
          <w:szCs w:val="22"/>
        </w:rPr>
        <w:t xml:space="preserve">Annual Number of Respondents: </w:t>
      </w:r>
      <w:r w:rsidR="009E69A1" w:rsidRPr="002022D4">
        <w:rPr>
          <w:b/>
          <w:sz w:val="22"/>
          <w:szCs w:val="22"/>
        </w:rPr>
        <w:t>1</w:t>
      </w:r>
      <w:r w:rsidR="00F61518" w:rsidRPr="002022D4">
        <w:rPr>
          <w:b/>
          <w:sz w:val="22"/>
          <w:szCs w:val="22"/>
        </w:rPr>
        <w:t>0</w:t>
      </w:r>
      <w:r w:rsidR="009E69A1" w:rsidRPr="002022D4">
        <w:rPr>
          <w:b/>
          <w:sz w:val="22"/>
          <w:szCs w:val="22"/>
        </w:rPr>
        <w:t xml:space="preserve"> </w:t>
      </w:r>
      <w:r w:rsidR="00A84517" w:rsidRPr="002022D4">
        <w:rPr>
          <w:b/>
          <w:sz w:val="22"/>
          <w:szCs w:val="22"/>
        </w:rPr>
        <w:t>(applies to all forms of TRS)</w:t>
      </w:r>
      <w:r w:rsidR="005A2235" w:rsidRPr="002022D4" w:rsidDel="00780BAA">
        <w:rPr>
          <w:rStyle w:val="FootnoteReference"/>
          <w:sz w:val="22"/>
          <w:szCs w:val="22"/>
        </w:rPr>
        <w:t xml:space="preserve"> </w:t>
      </w:r>
    </w:p>
    <w:p w14:paraId="21F3C2C5" w14:textId="77777777" w:rsidR="00B96ADB" w:rsidRPr="002022D4" w:rsidRDefault="00B96ADB" w:rsidP="00CD5D9A">
      <w:pPr>
        <w:ind w:left="360" w:hanging="360"/>
        <w:rPr>
          <w:sz w:val="22"/>
          <w:szCs w:val="22"/>
        </w:rPr>
      </w:pPr>
    </w:p>
    <w:p w14:paraId="1F83B96A" w14:textId="2538788A" w:rsidR="00B96ADB" w:rsidRPr="002022D4" w:rsidRDefault="00B96ADB" w:rsidP="002255B8">
      <w:pPr>
        <w:pStyle w:val="ParaNum"/>
        <w:widowControl/>
        <w:numPr>
          <w:ilvl w:val="0"/>
          <w:numId w:val="0"/>
        </w:numPr>
        <w:ind w:left="360"/>
        <w:jc w:val="left"/>
        <w:rPr>
          <w:szCs w:val="22"/>
        </w:rPr>
      </w:pPr>
      <w:r w:rsidRPr="002022D4">
        <w:rPr>
          <w:szCs w:val="22"/>
        </w:rPr>
        <w:t xml:space="preserve">(1)  The Commission estimates that each respondent will require approximately </w:t>
      </w:r>
      <w:r w:rsidR="004510AC" w:rsidRPr="002022D4">
        <w:rPr>
          <w:szCs w:val="22"/>
        </w:rPr>
        <w:t>0</w:t>
      </w:r>
      <w:r w:rsidRPr="002022D4">
        <w:rPr>
          <w:szCs w:val="22"/>
        </w:rPr>
        <w:t>.1 hours (</w:t>
      </w:r>
      <w:r w:rsidR="00043FCD" w:rsidRPr="002022D4">
        <w:rPr>
          <w:szCs w:val="22"/>
        </w:rPr>
        <w:t>6</w:t>
      </w:r>
      <w:r w:rsidRPr="002022D4">
        <w:rPr>
          <w:szCs w:val="22"/>
        </w:rPr>
        <w:t xml:space="preserve"> minute</w:t>
      </w:r>
      <w:r w:rsidR="004510AC" w:rsidRPr="002022D4">
        <w:rPr>
          <w:szCs w:val="22"/>
        </w:rPr>
        <w:t>s</w:t>
      </w:r>
      <w:r w:rsidRPr="002022D4">
        <w:rPr>
          <w:szCs w:val="22"/>
        </w:rPr>
        <w:t>) to</w:t>
      </w:r>
      <w:r w:rsidR="005E36EC" w:rsidRPr="002022D4">
        <w:rPr>
          <w:szCs w:val="22"/>
        </w:rPr>
        <w:t xml:space="preserve"> </w:t>
      </w:r>
      <w:r w:rsidRPr="002022D4">
        <w:rPr>
          <w:szCs w:val="22"/>
        </w:rPr>
        <w:t xml:space="preserve">certify its submissions under penalty of perjury on a monthly basis.  </w:t>
      </w:r>
    </w:p>
    <w:p w14:paraId="1B6CD3AE" w14:textId="3B29EAE6" w:rsidR="00B96ADB" w:rsidRPr="002022D4" w:rsidRDefault="00B96ADB" w:rsidP="002255B8">
      <w:pPr>
        <w:pStyle w:val="ParaNum"/>
        <w:widowControl/>
        <w:numPr>
          <w:ilvl w:val="0"/>
          <w:numId w:val="0"/>
        </w:numPr>
        <w:ind w:left="360"/>
        <w:jc w:val="left"/>
        <w:rPr>
          <w:b/>
          <w:szCs w:val="22"/>
        </w:rPr>
      </w:pPr>
      <w:r w:rsidRPr="002022D4">
        <w:rPr>
          <w:b/>
          <w:szCs w:val="22"/>
        </w:rPr>
        <w:t>Annual Burden Hours:</w:t>
      </w:r>
      <w:r w:rsidRPr="002022D4">
        <w:rPr>
          <w:szCs w:val="22"/>
        </w:rPr>
        <w:t xml:space="preserve"> </w:t>
      </w:r>
      <w:r w:rsidR="005A2235" w:rsidRPr="002022D4">
        <w:rPr>
          <w:szCs w:val="22"/>
        </w:rPr>
        <w:t>1</w:t>
      </w:r>
      <w:r w:rsidR="00F5371A" w:rsidRPr="002022D4">
        <w:rPr>
          <w:szCs w:val="22"/>
        </w:rPr>
        <w:t>0</w:t>
      </w:r>
      <w:r w:rsidR="005A2235" w:rsidRPr="002022D4">
        <w:rPr>
          <w:szCs w:val="22"/>
        </w:rPr>
        <w:t xml:space="preserve"> </w:t>
      </w:r>
      <w:r w:rsidRPr="002022D4">
        <w:rPr>
          <w:szCs w:val="22"/>
        </w:rPr>
        <w:t xml:space="preserve">respondents x </w:t>
      </w:r>
      <w:r w:rsidR="004510AC" w:rsidRPr="002022D4">
        <w:rPr>
          <w:szCs w:val="22"/>
        </w:rPr>
        <w:t>0</w:t>
      </w:r>
      <w:r w:rsidRPr="002022D4">
        <w:rPr>
          <w:szCs w:val="22"/>
        </w:rPr>
        <w:t xml:space="preserve">.1 hrs/response/month x 12 months/yr = </w:t>
      </w:r>
      <w:r w:rsidR="004510AC" w:rsidRPr="002022D4">
        <w:rPr>
          <w:szCs w:val="22"/>
        </w:rPr>
        <w:t>1</w:t>
      </w:r>
      <w:r w:rsidR="00043FCD" w:rsidRPr="002022D4">
        <w:rPr>
          <w:szCs w:val="22"/>
        </w:rPr>
        <w:t>2</w:t>
      </w:r>
      <w:r w:rsidR="005A2235" w:rsidRPr="002022D4">
        <w:rPr>
          <w:szCs w:val="22"/>
        </w:rPr>
        <w:t xml:space="preserve"> </w:t>
      </w:r>
      <w:r w:rsidRPr="002022D4">
        <w:rPr>
          <w:szCs w:val="22"/>
        </w:rPr>
        <w:t>hrs/yr</w:t>
      </w:r>
    </w:p>
    <w:p w14:paraId="39016838" w14:textId="7CC95DB0" w:rsidR="00B96ADB" w:rsidRPr="002022D4" w:rsidRDefault="00B96ADB" w:rsidP="002255B8">
      <w:pPr>
        <w:pStyle w:val="ParaNum"/>
        <w:widowControl/>
        <w:numPr>
          <w:ilvl w:val="0"/>
          <w:numId w:val="0"/>
        </w:numPr>
        <w:ind w:left="360"/>
        <w:jc w:val="left"/>
        <w:rPr>
          <w:szCs w:val="22"/>
        </w:rPr>
      </w:pPr>
      <w:r w:rsidRPr="002022D4">
        <w:rPr>
          <w:b/>
          <w:szCs w:val="22"/>
        </w:rPr>
        <w:t>Annual Number of Responses:</w:t>
      </w:r>
      <w:r w:rsidRPr="002022D4">
        <w:rPr>
          <w:szCs w:val="22"/>
        </w:rPr>
        <w:t xml:space="preserve"> </w:t>
      </w:r>
      <w:r w:rsidR="00165EB7" w:rsidRPr="002022D4">
        <w:rPr>
          <w:szCs w:val="22"/>
        </w:rPr>
        <w:t>1</w:t>
      </w:r>
      <w:r w:rsidR="00F5371A" w:rsidRPr="002022D4">
        <w:rPr>
          <w:szCs w:val="22"/>
        </w:rPr>
        <w:t>0</w:t>
      </w:r>
      <w:r w:rsidR="00165EB7" w:rsidRPr="002022D4">
        <w:rPr>
          <w:szCs w:val="22"/>
        </w:rPr>
        <w:t xml:space="preserve"> </w:t>
      </w:r>
      <w:r w:rsidRPr="002022D4">
        <w:rPr>
          <w:szCs w:val="22"/>
        </w:rPr>
        <w:t xml:space="preserve">respondents x 1 response/month x 12 months/yr = </w:t>
      </w:r>
      <w:r w:rsidR="00C7124C" w:rsidRPr="002022D4">
        <w:rPr>
          <w:szCs w:val="22"/>
        </w:rPr>
        <w:t>1</w:t>
      </w:r>
      <w:r w:rsidR="00F5371A" w:rsidRPr="002022D4">
        <w:rPr>
          <w:szCs w:val="22"/>
        </w:rPr>
        <w:t>20</w:t>
      </w:r>
      <w:r w:rsidR="00165EB7" w:rsidRPr="002022D4">
        <w:rPr>
          <w:szCs w:val="22"/>
        </w:rPr>
        <w:t xml:space="preserve"> </w:t>
      </w:r>
      <w:r w:rsidRPr="002022D4">
        <w:rPr>
          <w:szCs w:val="22"/>
        </w:rPr>
        <w:t>responses/yr</w:t>
      </w:r>
    </w:p>
    <w:p w14:paraId="0607F40E" w14:textId="552EC262" w:rsidR="00B96ADB" w:rsidRPr="002022D4" w:rsidRDefault="00B96ADB" w:rsidP="002255B8">
      <w:pPr>
        <w:pStyle w:val="ParaNum"/>
        <w:widowControl/>
        <w:numPr>
          <w:ilvl w:val="0"/>
          <w:numId w:val="0"/>
        </w:numPr>
        <w:ind w:left="360"/>
        <w:jc w:val="left"/>
        <w:rPr>
          <w:szCs w:val="22"/>
        </w:rPr>
      </w:pPr>
      <w:r w:rsidRPr="002022D4">
        <w:rPr>
          <w:szCs w:val="22"/>
        </w:rPr>
        <w:t xml:space="preserve">(2)  The Commission estimates that each respondent will require approximately </w:t>
      </w:r>
      <w:r w:rsidR="004510AC" w:rsidRPr="002022D4">
        <w:rPr>
          <w:szCs w:val="22"/>
        </w:rPr>
        <w:t>0</w:t>
      </w:r>
      <w:r w:rsidRPr="002022D4">
        <w:rPr>
          <w:szCs w:val="22"/>
        </w:rPr>
        <w:t>.1 hours (</w:t>
      </w:r>
      <w:r w:rsidR="00043FCD" w:rsidRPr="002022D4">
        <w:rPr>
          <w:szCs w:val="22"/>
        </w:rPr>
        <w:t>6</w:t>
      </w:r>
      <w:r w:rsidRPr="002022D4">
        <w:rPr>
          <w:szCs w:val="22"/>
        </w:rPr>
        <w:t xml:space="preserve"> minute</w:t>
      </w:r>
      <w:r w:rsidR="004510AC" w:rsidRPr="002022D4">
        <w:rPr>
          <w:szCs w:val="22"/>
        </w:rPr>
        <w:t>s</w:t>
      </w:r>
      <w:r w:rsidRPr="002022D4">
        <w:rPr>
          <w:szCs w:val="22"/>
        </w:rPr>
        <w:t>) to certify its annual submission of cost and demand data under penalty of perjury.</w:t>
      </w:r>
    </w:p>
    <w:p w14:paraId="7A2A6A0A" w14:textId="19DCBE0A" w:rsidR="00B96ADB" w:rsidRPr="002022D4" w:rsidRDefault="00B96ADB" w:rsidP="002255B8">
      <w:pPr>
        <w:pStyle w:val="ParaNum"/>
        <w:widowControl/>
        <w:numPr>
          <w:ilvl w:val="0"/>
          <w:numId w:val="0"/>
        </w:numPr>
        <w:ind w:left="360" w:firstLine="720"/>
        <w:jc w:val="left"/>
        <w:rPr>
          <w:szCs w:val="22"/>
        </w:rPr>
      </w:pPr>
      <w:r w:rsidRPr="002022D4">
        <w:rPr>
          <w:b/>
          <w:szCs w:val="22"/>
        </w:rPr>
        <w:t>Annual Burden Hours:</w:t>
      </w:r>
      <w:r w:rsidRPr="002022D4">
        <w:rPr>
          <w:szCs w:val="22"/>
        </w:rPr>
        <w:t xml:space="preserve"> </w:t>
      </w:r>
      <w:r w:rsidR="00165EB7" w:rsidRPr="002022D4">
        <w:rPr>
          <w:szCs w:val="22"/>
        </w:rPr>
        <w:t>1</w:t>
      </w:r>
      <w:r w:rsidR="00145F48" w:rsidRPr="002022D4">
        <w:rPr>
          <w:szCs w:val="22"/>
        </w:rPr>
        <w:t>0</w:t>
      </w:r>
      <w:r w:rsidR="00165EB7" w:rsidRPr="002022D4">
        <w:rPr>
          <w:szCs w:val="22"/>
        </w:rPr>
        <w:t xml:space="preserve"> </w:t>
      </w:r>
      <w:r w:rsidRPr="002022D4">
        <w:rPr>
          <w:szCs w:val="22"/>
        </w:rPr>
        <w:t xml:space="preserve">respondents x </w:t>
      </w:r>
      <w:r w:rsidR="004510AC" w:rsidRPr="002022D4">
        <w:rPr>
          <w:szCs w:val="22"/>
        </w:rPr>
        <w:t>0</w:t>
      </w:r>
      <w:r w:rsidRPr="002022D4">
        <w:rPr>
          <w:szCs w:val="22"/>
        </w:rPr>
        <w:t xml:space="preserve">.1 hrs/response/year = </w:t>
      </w:r>
      <w:r w:rsidR="00043FCD" w:rsidRPr="002022D4">
        <w:rPr>
          <w:szCs w:val="22"/>
        </w:rPr>
        <w:t>1</w:t>
      </w:r>
      <w:r w:rsidR="00165EB7" w:rsidRPr="002022D4">
        <w:rPr>
          <w:szCs w:val="22"/>
        </w:rPr>
        <w:t xml:space="preserve"> </w:t>
      </w:r>
      <w:r w:rsidRPr="002022D4">
        <w:rPr>
          <w:szCs w:val="22"/>
        </w:rPr>
        <w:t>hr/yr</w:t>
      </w:r>
    </w:p>
    <w:p w14:paraId="4833013C" w14:textId="13A4D5DF" w:rsidR="00B96ADB" w:rsidRPr="002022D4" w:rsidRDefault="00C268C7" w:rsidP="002255B8">
      <w:pPr>
        <w:pStyle w:val="ParaNum"/>
        <w:widowControl/>
        <w:numPr>
          <w:ilvl w:val="0"/>
          <w:numId w:val="0"/>
        </w:numPr>
        <w:ind w:left="360" w:firstLine="720"/>
        <w:jc w:val="left"/>
        <w:rPr>
          <w:szCs w:val="22"/>
        </w:rPr>
      </w:pPr>
      <w:r w:rsidRPr="002022D4">
        <w:rPr>
          <w:b/>
          <w:szCs w:val="22"/>
        </w:rPr>
        <w:t xml:space="preserve">Annual </w:t>
      </w:r>
      <w:r w:rsidR="00B96ADB" w:rsidRPr="002022D4">
        <w:rPr>
          <w:b/>
          <w:szCs w:val="22"/>
        </w:rPr>
        <w:t>Number of Responses:</w:t>
      </w:r>
      <w:r w:rsidR="00B96ADB" w:rsidRPr="002022D4">
        <w:rPr>
          <w:szCs w:val="22"/>
        </w:rPr>
        <w:t xml:space="preserve"> </w:t>
      </w:r>
      <w:r w:rsidR="00165EB7" w:rsidRPr="002022D4">
        <w:rPr>
          <w:szCs w:val="22"/>
        </w:rPr>
        <w:t>1</w:t>
      </w:r>
      <w:r w:rsidR="004510AC" w:rsidRPr="002022D4">
        <w:rPr>
          <w:szCs w:val="22"/>
        </w:rPr>
        <w:t>0</w:t>
      </w:r>
      <w:r w:rsidR="00165EB7" w:rsidRPr="002022D4">
        <w:rPr>
          <w:szCs w:val="22"/>
        </w:rPr>
        <w:t xml:space="preserve"> </w:t>
      </w:r>
      <w:r w:rsidR="00B96ADB" w:rsidRPr="002022D4">
        <w:rPr>
          <w:szCs w:val="22"/>
        </w:rPr>
        <w:t xml:space="preserve">respondents x 1 response/year = </w:t>
      </w:r>
      <w:r w:rsidR="00165EB7" w:rsidRPr="002022D4">
        <w:rPr>
          <w:szCs w:val="22"/>
        </w:rPr>
        <w:t>1</w:t>
      </w:r>
      <w:r w:rsidR="004510AC" w:rsidRPr="002022D4">
        <w:rPr>
          <w:szCs w:val="22"/>
        </w:rPr>
        <w:t>0</w:t>
      </w:r>
      <w:r w:rsidR="00165EB7" w:rsidRPr="002022D4">
        <w:rPr>
          <w:szCs w:val="22"/>
        </w:rPr>
        <w:t xml:space="preserve"> </w:t>
      </w:r>
      <w:r w:rsidR="00B96ADB" w:rsidRPr="002022D4">
        <w:rPr>
          <w:szCs w:val="22"/>
        </w:rPr>
        <w:t>responses/yr</w:t>
      </w:r>
      <w:r w:rsidR="00B96ADB" w:rsidRPr="002022D4" w:rsidDel="009508CC">
        <w:rPr>
          <w:szCs w:val="22"/>
        </w:rPr>
        <w:t xml:space="preserve"> </w:t>
      </w:r>
    </w:p>
    <w:p w14:paraId="48B58CA4" w14:textId="60DE9FF7" w:rsidR="00B96ADB" w:rsidRPr="002022D4" w:rsidRDefault="00B96ADB" w:rsidP="002255B8">
      <w:pPr>
        <w:pStyle w:val="ParaNum"/>
        <w:widowControl/>
        <w:numPr>
          <w:ilvl w:val="0"/>
          <w:numId w:val="0"/>
        </w:numPr>
        <w:ind w:left="360"/>
        <w:jc w:val="left"/>
        <w:rPr>
          <w:szCs w:val="22"/>
        </w:rPr>
      </w:pPr>
      <w:r w:rsidRPr="002022D4">
        <w:rPr>
          <w:szCs w:val="22"/>
        </w:rPr>
        <w:t>The Commission assumes that respondents will use “in-house” personnel whose pay is comparable to senior</w:t>
      </w:r>
      <w:r w:rsidR="001F07EB" w:rsidRPr="002022D4">
        <w:rPr>
          <w:szCs w:val="22"/>
        </w:rPr>
        <w:t xml:space="preserve"> </w:t>
      </w:r>
      <w:r w:rsidRPr="002022D4">
        <w:rPr>
          <w:szCs w:val="22"/>
        </w:rPr>
        <w:t xml:space="preserve">level federal employees </w:t>
      </w:r>
      <w:r w:rsidR="001F07EB" w:rsidRPr="002022D4">
        <w:rPr>
          <w:szCs w:val="22"/>
        </w:rPr>
        <w:t xml:space="preserve">(GS 15 step 5) </w:t>
      </w:r>
      <w:r w:rsidRPr="002022D4">
        <w:rPr>
          <w:szCs w:val="22"/>
        </w:rPr>
        <w:t>for signing the certification.</w:t>
      </w:r>
      <w:r w:rsidR="00764A16" w:rsidRPr="002022D4">
        <w:rPr>
          <w:szCs w:val="22"/>
        </w:rPr>
        <w:t xml:space="preserve">  </w:t>
      </w:r>
      <w:r w:rsidRPr="002022D4">
        <w:rPr>
          <w:szCs w:val="22"/>
        </w:rPr>
        <w:t>The Commission estimates respondents’ costs to be about $</w:t>
      </w:r>
      <w:r w:rsidR="0040324B" w:rsidRPr="002022D4">
        <w:rPr>
          <w:szCs w:val="22"/>
        </w:rPr>
        <w:t>71.56</w:t>
      </w:r>
      <w:r w:rsidRPr="002022D4">
        <w:rPr>
          <w:szCs w:val="22"/>
        </w:rPr>
        <w:t xml:space="preserve"> per hour to complete the requirements</w:t>
      </w:r>
      <w:r w:rsidR="00C268C7" w:rsidRPr="002022D4">
        <w:rPr>
          <w:szCs w:val="22"/>
        </w:rPr>
        <w:t>:</w:t>
      </w:r>
    </w:p>
    <w:p w14:paraId="77E15D0C" w14:textId="483066C6" w:rsidR="00B256AA" w:rsidRPr="002022D4" w:rsidRDefault="00B256AA" w:rsidP="002255B8">
      <w:pPr>
        <w:pStyle w:val="ParaNum"/>
        <w:widowControl/>
        <w:numPr>
          <w:ilvl w:val="0"/>
          <w:numId w:val="0"/>
        </w:numPr>
        <w:ind w:left="360"/>
        <w:jc w:val="left"/>
        <w:rPr>
          <w:szCs w:val="22"/>
        </w:rPr>
      </w:pPr>
      <w:r w:rsidRPr="002022D4">
        <w:rPr>
          <w:b/>
          <w:szCs w:val="22"/>
        </w:rPr>
        <w:t xml:space="preserve">Total Annual Number of Responses:  </w:t>
      </w:r>
      <w:r w:rsidRPr="002022D4">
        <w:rPr>
          <w:szCs w:val="22"/>
        </w:rPr>
        <w:t>1</w:t>
      </w:r>
      <w:r w:rsidR="006B3157" w:rsidRPr="002022D4">
        <w:rPr>
          <w:szCs w:val="22"/>
        </w:rPr>
        <w:t>20</w:t>
      </w:r>
      <w:r w:rsidRPr="002022D4">
        <w:rPr>
          <w:szCs w:val="22"/>
        </w:rPr>
        <w:t xml:space="preserve"> + 1</w:t>
      </w:r>
      <w:r w:rsidR="006B3157" w:rsidRPr="002022D4">
        <w:rPr>
          <w:szCs w:val="22"/>
        </w:rPr>
        <w:t>0</w:t>
      </w:r>
      <w:r w:rsidRPr="002022D4">
        <w:rPr>
          <w:szCs w:val="22"/>
        </w:rPr>
        <w:t xml:space="preserve"> = 1</w:t>
      </w:r>
      <w:r w:rsidR="006B3157" w:rsidRPr="002022D4">
        <w:rPr>
          <w:szCs w:val="22"/>
        </w:rPr>
        <w:t>30</w:t>
      </w:r>
      <w:r w:rsidRPr="002022D4">
        <w:rPr>
          <w:szCs w:val="22"/>
        </w:rPr>
        <w:t xml:space="preserve"> </w:t>
      </w:r>
    </w:p>
    <w:p w14:paraId="1BBB7DA9" w14:textId="1B4D1C02" w:rsidR="00B256AA" w:rsidRPr="002022D4" w:rsidRDefault="00B256AA" w:rsidP="002255B8">
      <w:pPr>
        <w:pStyle w:val="ParaNum"/>
        <w:widowControl/>
        <w:numPr>
          <w:ilvl w:val="0"/>
          <w:numId w:val="0"/>
        </w:numPr>
        <w:ind w:left="360"/>
        <w:jc w:val="left"/>
        <w:rPr>
          <w:b/>
          <w:szCs w:val="22"/>
        </w:rPr>
      </w:pPr>
      <w:r w:rsidRPr="002022D4">
        <w:rPr>
          <w:b/>
          <w:szCs w:val="22"/>
        </w:rPr>
        <w:t xml:space="preserve">Total Annual Burden Hours: </w:t>
      </w:r>
      <w:r w:rsidR="006B3157" w:rsidRPr="002022D4">
        <w:rPr>
          <w:szCs w:val="22"/>
        </w:rPr>
        <w:t>1</w:t>
      </w:r>
      <w:r w:rsidR="00043FCD" w:rsidRPr="002022D4">
        <w:rPr>
          <w:szCs w:val="22"/>
        </w:rPr>
        <w:t>2</w:t>
      </w:r>
      <w:r w:rsidRPr="002022D4">
        <w:rPr>
          <w:szCs w:val="22"/>
        </w:rPr>
        <w:t xml:space="preserve"> hrs/yr + </w:t>
      </w:r>
      <w:r w:rsidR="00043FCD" w:rsidRPr="002022D4">
        <w:rPr>
          <w:szCs w:val="22"/>
        </w:rPr>
        <w:t>1</w:t>
      </w:r>
      <w:r w:rsidRPr="002022D4">
        <w:rPr>
          <w:szCs w:val="22"/>
        </w:rPr>
        <w:t xml:space="preserve"> hr/yr = </w:t>
      </w:r>
      <w:r w:rsidR="006B3157" w:rsidRPr="002022D4">
        <w:rPr>
          <w:b/>
          <w:szCs w:val="22"/>
        </w:rPr>
        <w:t>1</w:t>
      </w:r>
      <w:r w:rsidR="00043FCD" w:rsidRPr="002022D4">
        <w:rPr>
          <w:b/>
          <w:szCs w:val="22"/>
        </w:rPr>
        <w:t>3</w:t>
      </w:r>
      <w:r w:rsidR="006B3157" w:rsidRPr="002022D4">
        <w:rPr>
          <w:b/>
          <w:szCs w:val="22"/>
        </w:rPr>
        <w:t xml:space="preserve"> </w:t>
      </w:r>
      <w:r w:rsidRPr="002022D4">
        <w:rPr>
          <w:b/>
          <w:szCs w:val="22"/>
        </w:rPr>
        <w:t>hours/year</w:t>
      </w:r>
    </w:p>
    <w:p w14:paraId="02D0903E" w14:textId="7210069C" w:rsidR="00CC6EAD" w:rsidRPr="002022D4" w:rsidRDefault="00CC6EAD" w:rsidP="002255B8">
      <w:pPr>
        <w:pStyle w:val="ParaNum"/>
        <w:widowControl/>
        <w:numPr>
          <w:ilvl w:val="0"/>
          <w:numId w:val="0"/>
        </w:numPr>
        <w:ind w:left="360"/>
        <w:jc w:val="left"/>
        <w:rPr>
          <w:szCs w:val="22"/>
        </w:rPr>
      </w:pPr>
      <w:r w:rsidRPr="002022D4">
        <w:rPr>
          <w:b/>
          <w:szCs w:val="22"/>
        </w:rPr>
        <w:t xml:space="preserve">Total Annual “In-House” Cost: </w:t>
      </w:r>
      <w:r w:rsidR="006B3157" w:rsidRPr="002022D4">
        <w:rPr>
          <w:szCs w:val="22"/>
        </w:rPr>
        <w:t>1</w:t>
      </w:r>
      <w:r w:rsidR="00043FCD" w:rsidRPr="002022D4">
        <w:rPr>
          <w:szCs w:val="22"/>
        </w:rPr>
        <w:t>3</w:t>
      </w:r>
      <w:r w:rsidRPr="002022D4">
        <w:rPr>
          <w:szCs w:val="22"/>
        </w:rPr>
        <w:t xml:space="preserve"> hrs/yr x $</w:t>
      </w:r>
      <w:r w:rsidR="0040324B" w:rsidRPr="002022D4">
        <w:rPr>
          <w:szCs w:val="22"/>
        </w:rPr>
        <w:t>71.56</w:t>
      </w:r>
      <w:r w:rsidRPr="002F7069">
        <w:rPr>
          <w:szCs w:val="22"/>
        </w:rPr>
        <w:t>/hour = $</w:t>
      </w:r>
      <w:r w:rsidR="0040324B" w:rsidRPr="002F7069">
        <w:rPr>
          <w:szCs w:val="22"/>
        </w:rPr>
        <w:t>930.28</w:t>
      </w:r>
    </w:p>
    <w:p w14:paraId="1E0F2E9F" w14:textId="77777777" w:rsidR="00D410CC" w:rsidRPr="002022D4" w:rsidRDefault="00D410CC" w:rsidP="002255B8">
      <w:pPr>
        <w:pStyle w:val="ParaNum"/>
        <w:widowControl/>
        <w:numPr>
          <w:ilvl w:val="0"/>
          <w:numId w:val="0"/>
        </w:numPr>
        <w:spacing w:after="240"/>
        <w:ind w:left="1080" w:hanging="360"/>
        <w:jc w:val="left"/>
        <w:rPr>
          <w:i/>
          <w:szCs w:val="22"/>
        </w:rPr>
      </w:pPr>
      <w:r w:rsidRPr="002022D4">
        <w:rPr>
          <w:b/>
          <w:szCs w:val="22"/>
        </w:rPr>
        <w:t>B.</w:t>
      </w:r>
      <w:r w:rsidRPr="002022D4">
        <w:rPr>
          <w:b/>
          <w:i/>
          <w:szCs w:val="22"/>
        </w:rPr>
        <w:tab/>
        <w:t>Requiring Providers to Submit Information about New and Existing Call Centers</w:t>
      </w:r>
    </w:p>
    <w:p w14:paraId="07F2148C" w14:textId="22B062C4" w:rsidR="00D410CC" w:rsidRPr="002022D4" w:rsidRDefault="00D410CC" w:rsidP="00C86590">
      <w:pPr>
        <w:pStyle w:val="ParaNum"/>
        <w:widowControl/>
        <w:numPr>
          <w:ilvl w:val="0"/>
          <w:numId w:val="0"/>
        </w:numPr>
        <w:ind w:left="360" w:firstLine="720"/>
        <w:jc w:val="left"/>
        <w:rPr>
          <w:b/>
          <w:szCs w:val="22"/>
        </w:rPr>
      </w:pPr>
      <w:r w:rsidRPr="002022D4">
        <w:rPr>
          <w:b/>
          <w:szCs w:val="22"/>
        </w:rPr>
        <w:t xml:space="preserve">Annual Number of Respondents: </w:t>
      </w:r>
      <w:r w:rsidR="00C92B96" w:rsidRPr="002022D4">
        <w:rPr>
          <w:b/>
          <w:szCs w:val="22"/>
        </w:rPr>
        <w:t>5</w:t>
      </w:r>
      <w:r w:rsidR="009E69A1" w:rsidRPr="002022D4">
        <w:rPr>
          <w:b/>
          <w:szCs w:val="22"/>
        </w:rPr>
        <w:t xml:space="preserve"> </w:t>
      </w:r>
      <w:r w:rsidR="00A84517" w:rsidRPr="002022D4">
        <w:rPr>
          <w:b/>
          <w:szCs w:val="22"/>
        </w:rPr>
        <w:t>(applies to VRS only)</w:t>
      </w:r>
    </w:p>
    <w:p w14:paraId="6D0AED03" w14:textId="5EAE922B" w:rsidR="00D410CC" w:rsidRPr="002022D4" w:rsidRDefault="00D410CC" w:rsidP="002255B8">
      <w:pPr>
        <w:pStyle w:val="ParaNum"/>
        <w:widowControl/>
        <w:numPr>
          <w:ilvl w:val="0"/>
          <w:numId w:val="0"/>
        </w:numPr>
        <w:ind w:left="360"/>
        <w:jc w:val="left"/>
        <w:rPr>
          <w:szCs w:val="22"/>
        </w:rPr>
      </w:pPr>
      <w:r w:rsidRPr="002022D4">
        <w:rPr>
          <w:szCs w:val="22"/>
        </w:rPr>
        <w:t>(1)  The Commission estimates that each respondent will require approximately 1</w:t>
      </w:r>
      <w:r w:rsidR="00A84517" w:rsidRPr="002022D4">
        <w:rPr>
          <w:szCs w:val="22"/>
        </w:rPr>
        <w:t>6</w:t>
      </w:r>
      <w:r w:rsidRPr="002022D4">
        <w:rPr>
          <w:szCs w:val="22"/>
        </w:rPr>
        <w:t xml:space="preserve"> hours to complete the compilation and submission of a statement detailing the street address of each call center the provider owns, the number of CAs and CA managers employed at each call center, and the name and contact information for the</w:t>
      </w:r>
      <w:r w:rsidR="003A0D5E" w:rsidRPr="002022D4">
        <w:rPr>
          <w:szCs w:val="22"/>
        </w:rPr>
        <w:t xml:space="preserve"> call center</w:t>
      </w:r>
      <w:r w:rsidRPr="002022D4">
        <w:rPr>
          <w:szCs w:val="22"/>
        </w:rPr>
        <w:t xml:space="preserve"> (phone number and email address)</w:t>
      </w:r>
      <w:r w:rsidR="003A0D5E" w:rsidRPr="002022D4">
        <w:rPr>
          <w:szCs w:val="22"/>
        </w:rPr>
        <w:t>, and the</w:t>
      </w:r>
      <w:r w:rsidRPr="002022D4">
        <w:rPr>
          <w:szCs w:val="22"/>
        </w:rPr>
        <w:t xml:space="preserve"> managers of each call center twice a year.</w:t>
      </w:r>
    </w:p>
    <w:p w14:paraId="57338818" w14:textId="4CB2CCB5" w:rsidR="00D410CC" w:rsidRPr="002022D4" w:rsidRDefault="00D410CC" w:rsidP="002255B8">
      <w:pPr>
        <w:pStyle w:val="ParaNum"/>
        <w:widowControl/>
        <w:numPr>
          <w:ilvl w:val="0"/>
          <w:numId w:val="0"/>
        </w:numPr>
        <w:ind w:left="1080"/>
        <w:jc w:val="left"/>
        <w:rPr>
          <w:b/>
          <w:szCs w:val="22"/>
        </w:rPr>
      </w:pPr>
      <w:r w:rsidRPr="002022D4">
        <w:rPr>
          <w:b/>
          <w:szCs w:val="22"/>
        </w:rPr>
        <w:t>Annual Number of Responses:</w:t>
      </w:r>
      <w:r w:rsidRPr="002022D4">
        <w:rPr>
          <w:szCs w:val="22"/>
        </w:rPr>
        <w:t xml:space="preserve"> </w:t>
      </w:r>
      <w:r w:rsidR="00E16E8D" w:rsidRPr="002022D4">
        <w:rPr>
          <w:szCs w:val="22"/>
        </w:rPr>
        <w:t>5</w:t>
      </w:r>
      <w:r w:rsidR="00A84517" w:rsidRPr="002022D4">
        <w:rPr>
          <w:szCs w:val="22"/>
        </w:rPr>
        <w:t xml:space="preserve"> </w:t>
      </w:r>
      <w:r w:rsidRPr="002022D4">
        <w:rPr>
          <w:szCs w:val="22"/>
        </w:rPr>
        <w:t xml:space="preserve">respondents x 1 response x 2 times/yr = </w:t>
      </w:r>
      <w:r w:rsidR="00A84517" w:rsidRPr="002022D4">
        <w:rPr>
          <w:szCs w:val="22"/>
        </w:rPr>
        <w:t>1</w:t>
      </w:r>
      <w:r w:rsidR="00E16E8D" w:rsidRPr="002022D4">
        <w:rPr>
          <w:szCs w:val="22"/>
        </w:rPr>
        <w:t>0</w:t>
      </w:r>
      <w:r w:rsidR="00A84517" w:rsidRPr="002022D4">
        <w:rPr>
          <w:szCs w:val="22"/>
        </w:rPr>
        <w:t xml:space="preserve"> </w:t>
      </w:r>
      <w:r w:rsidRPr="002022D4">
        <w:rPr>
          <w:szCs w:val="22"/>
        </w:rPr>
        <w:t>responses/yr</w:t>
      </w:r>
    </w:p>
    <w:p w14:paraId="6EF8F23C" w14:textId="03378852" w:rsidR="00D410CC" w:rsidRPr="002022D4" w:rsidRDefault="00D410CC" w:rsidP="002255B8">
      <w:pPr>
        <w:pStyle w:val="ParaNum"/>
        <w:widowControl/>
        <w:numPr>
          <w:ilvl w:val="0"/>
          <w:numId w:val="0"/>
        </w:numPr>
        <w:ind w:left="1080"/>
        <w:jc w:val="left"/>
        <w:rPr>
          <w:szCs w:val="22"/>
        </w:rPr>
      </w:pPr>
      <w:r w:rsidRPr="002022D4">
        <w:rPr>
          <w:b/>
          <w:szCs w:val="22"/>
        </w:rPr>
        <w:t>Annual Number of Burden Hours:</w:t>
      </w:r>
      <w:r w:rsidRPr="002022D4">
        <w:rPr>
          <w:szCs w:val="22"/>
        </w:rPr>
        <w:t xml:space="preserve"> </w:t>
      </w:r>
      <w:r w:rsidR="00E16E8D" w:rsidRPr="002022D4">
        <w:rPr>
          <w:szCs w:val="22"/>
        </w:rPr>
        <w:t>5</w:t>
      </w:r>
      <w:r w:rsidR="00A84517" w:rsidRPr="002022D4">
        <w:rPr>
          <w:szCs w:val="22"/>
        </w:rPr>
        <w:t xml:space="preserve"> </w:t>
      </w:r>
      <w:r w:rsidRPr="002022D4">
        <w:rPr>
          <w:szCs w:val="22"/>
        </w:rPr>
        <w:t xml:space="preserve">respondents x </w:t>
      </w:r>
      <w:r w:rsidR="00A84517" w:rsidRPr="002022D4">
        <w:rPr>
          <w:szCs w:val="22"/>
        </w:rPr>
        <w:t xml:space="preserve">16 </w:t>
      </w:r>
      <w:r w:rsidRPr="002022D4">
        <w:rPr>
          <w:szCs w:val="22"/>
        </w:rPr>
        <w:t xml:space="preserve">hrs x 2 times/yr = </w:t>
      </w:r>
      <w:r w:rsidR="00E16E8D" w:rsidRPr="002022D4">
        <w:rPr>
          <w:szCs w:val="22"/>
        </w:rPr>
        <w:t>160 hrs</w:t>
      </w:r>
      <w:r w:rsidRPr="002022D4">
        <w:rPr>
          <w:szCs w:val="22"/>
        </w:rPr>
        <w:t xml:space="preserve">/yr </w:t>
      </w:r>
    </w:p>
    <w:p w14:paraId="2B2F6FC1" w14:textId="6BDA7638" w:rsidR="00D410CC" w:rsidRPr="002022D4" w:rsidRDefault="00D410CC" w:rsidP="002255B8">
      <w:pPr>
        <w:pStyle w:val="ParaNum"/>
        <w:widowControl/>
        <w:numPr>
          <w:ilvl w:val="0"/>
          <w:numId w:val="0"/>
        </w:numPr>
        <w:ind w:left="360" w:hanging="360"/>
        <w:jc w:val="left"/>
        <w:rPr>
          <w:szCs w:val="22"/>
        </w:rPr>
      </w:pPr>
      <w:r w:rsidRPr="002022D4">
        <w:rPr>
          <w:szCs w:val="22"/>
        </w:rPr>
        <w:tab/>
        <w:t>The Commission assumes that respondents will use “in-house” personnel whose pay is comparable to senior level federal employees</w:t>
      </w:r>
      <w:r w:rsidR="001F07EB" w:rsidRPr="002022D4">
        <w:rPr>
          <w:szCs w:val="22"/>
        </w:rPr>
        <w:t xml:space="preserve"> (GS 15 step 5) </w:t>
      </w:r>
      <w:r w:rsidRPr="002022D4">
        <w:rPr>
          <w:szCs w:val="22"/>
        </w:rPr>
        <w:t>to complete the compilation and submission of a statement regarding call center information twice a year.</w:t>
      </w:r>
      <w:r w:rsidR="00764A16" w:rsidRPr="002022D4">
        <w:rPr>
          <w:szCs w:val="22"/>
        </w:rPr>
        <w:t xml:space="preserve">  </w:t>
      </w:r>
      <w:r w:rsidRPr="002022D4">
        <w:rPr>
          <w:szCs w:val="22"/>
        </w:rPr>
        <w:t>The Commission estimates respondents’ costs to be about $</w:t>
      </w:r>
      <w:r w:rsidR="00021653" w:rsidRPr="002022D4">
        <w:rPr>
          <w:szCs w:val="22"/>
        </w:rPr>
        <w:t>71.56</w:t>
      </w:r>
      <w:r w:rsidRPr="002022D4">
        <w:rPr>
          <w:szCs w:val="22"/>
        </w:rPr>
        <w:t xml:space="preserve"> per hour to </w:t>
      </w:r>
      <w:r w:rsidR="001633A8" w:rsidRPr="002022D4">
        <w:rPr>
          <w:szCs w:val="22"/>
        </w:rPr>
        <w:tab/>
      </w:r>
      <w:r w:rsidRPr="002022D4">
        <w:rPr>
          <w:szCs w:val="22"/>
        </w:rPr>
        <w:t>complete.</w:t>
      </w:r>
    </w:p>
    <w:p w14:paraId="55DEF835" w14:textId="2091C48A" w:rsidR="00D410CC" w:rsidRPr="002022D4" w:rsidRDefault="00D410CC" w:rsidP="002255B8">
      <w:pPr>
        <w:pStyle w:val="ParaNum"/>
        <w:widowControl/>
        <w:numPr>
          <w:ilvl w:val="0"/>
          <w:numId w:val="0"/>
        </w:numPr>
        <w:ind w:left="1080"/>
        <w:jc w:val="left"/>
        <w:rPr>
          <w:szCs w:val="22"/>
        </w:rPr>
      </w:pPr>
      <w:r w:rsidRPr="002022D4">
        <w:rPr>
          <w:b/>
          <w:szCs w:val="22"/>
        </w:rPr>
        <w:t>Annual “In-House” Cost:</w:t>
      </w:r>
      <w:r w:rsidRPr="002022D4">
        <w:rPr>
          <w:szCs w:val="22"/>
        </w:rPr>
        <w:t xml:space="preserve">  </w:t>
      </w:r>
      <w:r w:rsidR="00E16E8D" w:rsidRPr="002022D4">
        <w:rPr>
          <w:szCs w:val="22"/>
        </w:rPr>
        <w:t>160</w:t>
      </w:r>
      <w:r w:rsidR="00A84517" w:rsidRPr="002022D4">
        <w:rPr>
          <w:szCs w:val="22"/>
        </w:rPr>
        <w:t xml:space="preserve"> </w:t>
      </w:r>
      <w:r w:rsidRPr="002022D4">
        <w:rPr>
          <w:szCs w:val="22"/>
        </w:rPr>
        <w:t>hrs/yr x $</w:t>
      </w:r>
      <w:r w:rsidR="00021653" w:rsidRPr="002022D4">
        <w:rPr>
          <w:szCs w:val="22"/>
        </w:rPr>
        <w:t>71.56</w:t>
      </w:r>
      <w:r w:rsidRPr="002F7069">
        <w:rPr>
          <w:szCs w:val="22"/>
        </w:rPr>
        <w:t xml:space="preserve"> = $</w:t>
      </w:r>
      <w:r w:rsidR="00021653" w:rsidRPr="002F7069">
        <w:rPr>
          <w:szCs w:val="22"/>
        </w:rPr>
        <w:t>11,449.60</w:t>
      </w:r>
    </w:p>
    <w:p w14:paraId="65E4F2D3" w14:textId="52C5BA9D" w:rsidR="00D410CC" w:rsidRPr="002022D4" w:rsidRDefault="00D410CC" w:rsidP="00CD5D9A">
      <w:pPr>
        <w:pStyle w:val="ParaNum"/>
        <w:widowControl/>
        <w:numPr>
          <w:ilvl w:val="0"/>
          <w:numId w:val="0"/>
        </w:numPr>
        <w:ind w:left="360"/>
        <w:jc w:val="left"/>
        <w:rPr>
          <w:szCs w:val="22"/>
        </w:rPr>
      </w:pPr>
      <w:r w:rsidRPr="002022D4">
        <w:rPr>
          <w:szCs w:val="22"/>
        </w:rPr>
        <w:t xml:space="preserve">(2)  The Commission estimates that each respondent will require approximately .50 hours (30 minutes) to file a letter of notification to </w:t>
      </w:r>
      <w:r w:rsidRPr="002022D4">
        <w:t>the Commission and the TRS Fund administrator of any change to their call centers’ locations, including the opening, closing, or relocation of any center.</w:t>
      </w:r>
      <w:r w:rsidRPr="002022D4">
        <w:rPr>
          <w:szCs w:val="22"/>
        </w:rPr>
        <w:t xml:space="preserve">  The Co</w:t>
      </w:r>
      <w:r w:rsidR="001C353C">
        <w:rPr>
          <w:szCs w:val="22"/>
        </w:rPr>
        <w:t>0</w:t>
      </w:r>
      <w:r w:rsidRPr="002022D4">
        <w:rPr>
          <w:szCs w:val="22"/>
        </w:rPr>
        <w:t>mmission further estimates that each respondent may file one such letter of notification twice a year.</w:t>
      </w:r>
    </w:p>
    <w:p w14:paraId="1B44863C" w14:textId="5FB3A40A" w:rsidR="00D410CC" w:rsidRPr="002022D4" w:rsidRDefault="00D410CC" w:rsidP="002255B8">
      <w:pPr>
        <w:pStyle w:val="ParaNum"/>
        <w:widowControl/>
        <w:numPr>
          <w:ilvl w:val="0"/>
          <w:numId w:val="0"/>
        </w:numPr>
        <w:ind w:left="1080"/>
        <w:jc w:val="left"/>
        <w:rPr>
          <w:b/>
          <w:szCs w:val="22"/>
        </w:rPr>
      </w:pPr>
      <w:r w:rsidRPr="002022D4">
        <w:rPr>
          <w:b/>
          <w:szCs w:val="22"/>
        </w:rPr>
        <w:t>Annual Number of Responses:</w:t>
      </w:r>
      <w:r w:rsidRPr="002022D4">
        <w:rPr>
          <w:szCs w:val="22"/>
        </w:rPr>
        <w:t xml:space="preserve"> </w:t>
      </w:r>
      <w:r w:rsidR="00907F8F" w:rsidRPr="002022D4">
        <w:rPr>
          <w:szCs w:val="22"/>
        </w:rPr>
        <w:t>5</w:t>
      </w:r>
      <w:r w:rsidR="00A84517" w:rsidRPr="002022D4">
        <w:rPr>
          <w:szCs w:val="22"/>
        </w:rPr>
        <w:t xml:space="preserve"> </w:t>
      </w:r>
      <w:r w:rsidRPr="002022D4">
        <w:rPr>
          <w:szCs w:val="22"/>
        </w:rPr>
        <w:t xml:space="preserve">respondents x 1 response x 2 times/yr = </w:t>
      </w:r>
      <w:r w:rsidR="00A84517" w:rsidRPr="002022D4">
        <w:rPr>
          <w:szCs w:val="22"/>
        </w:rPr>
        <w:t>1</w:t>
      </w:r>
      <w:r w:rsidR="00907F8F" w:rsidRPr="002022D4">
        <w:rPr>
          <w:szCs w:val="22"/>
        </w:rPr>
        <w:t>0</w:t>
      </w:r>
      <w:r w:rsidR="00A84517" w:rsidRPr="002022D4">
        <w:rPr>
          <w:szCs w:val="22"/>
        </w:rPr>
        <w:t xml:space="preserve"> </w:t>
      </w:r>
      <w:r w:rsidRPr="002022D4">
        <w:rPr>
          <w:szCs w:val="22"/>
        </w:rPr>
        <w:tab/>
        <w:t>responses/yr</w:t>
      </w:r>
    </w:p>
    <w:p w14:paraId="2EDE6FC2" w14:textId="61C0A3C7" w:rsidR="00D410CC" w:rsidRPr="002022D4" w:rsidRDefault="00D410CC" w:rsidP="002255B8">
      <w:pPr>
        <w:pStyle w:val="ParaNum"/>
        <w:widowControl/>
        <w:numPr>
          <w:ilvl w:val="0"/>
          <w:numId w:val="0"/>
        </w:numPr>
        <w:ind w:left="1080"/>
        <w:jc w:val="left"/>
        <w:rPr>
          <w:szCs w:val="22"/>
        </w:rPr>
      </w:pPr>
      <w:r w:rsidRPr="002022D4">
        <w:rPr>
          <w:b/>
          <w:szCs w:val="22"/>
        </w:rPr>
        <w:t>Annual Number of Burden Hours:</w:t>
      </w:r>
      <w:r w:rsidRPr="002022D4">
        <w:rPr>
          <w:szCs w:val="22"/>
        </w:rPr>
        <w:t xml:space="preserve"> </w:t>
      </w:r>
      <w:r w:rsidR="00907F8F" w:rsidRPr="002022D4">
        <w:rPr>
          <w:szCs w:val="22"/>
        </w:rPr>
        <w:t>5</w:t>
      </w:r>
      <w:r w:rsidR="00A84517" w:rsidRPr="002022D4">
        <w:rPr>
          <w:szCs w:val="22"/>
        </w:rPr>
        <w:t xml:space="preserve"> </w:t>
      </w:r>
      <w:r w:rsidRPr="002022D4">
        <w:rPr>
          <w:szCs w:val="22"/>
        </w:rPr>
        <w:t xml:space="preserve">respondents x .50 hr x 2 times/yr = </w:t>
      </w:r>
      <w:r w:rsidR="00907F8F" w:rsidRPr="002022D4">
        <w:rPr>
          <w:szCs w:val="22"/>
        </w:rPr>
        <w:t>5</w:t>
      </w:r>
      <w:r w:rsidR="00A84517" w:rsidRPr="002022D4">
        <w:rPr>
          <w:szCs w:val="22"/>
        </w:rPr>
        <w:t xml:space="preserve"> </w:t>
      </w:r>
      <w:r w:rsidRPr="002022D4">
        <w:rPr>
          <w:szCs w:val="22"/>
        </w:rPr>
        <w:t xml:space="preserve">hrs/yr </w:t>
      </w:r>
    </w:p>
    <w:p w14:paraId="267235A7" w14:textId="39F670C2" w:rsidR="00D410CC" w:rsidRPr="002022D4" w:rsidRDefault="00D410CC" w:rsidP="0061033D">
      <w:pPr>
        <w:pStyle w:val="ParaNum"/>
        <w:widowControl/>
        <w:numPr>
          <w:ilvl w:val="0"/>
          <w:numId w:val="0"/>
        </w:numPr>
        <w:ind w:left="360"/>
        <w:jc w:val="left"/>
        <w:rPr>
          <w:szCs w:val="22"/>
        </w:rPr>
      </w:pPr>
      <w:r w:rsidRPr="002022D4">
        <w:rPr>
          <w:szCs w:val="22"/>
        </w:rPr>
        <w:t>The Commission assumes that respondents will use “in-house” personnel whose pay is comparable to senior level federal employees</w:t>
      </w:r>
      <w:r w:rsidR="001F07EB" w:rsidRPr="002022D4">
        <w:rPr>
          <w:szCs w:val="22"/>
        </w:rPr>
        <w:t xml:space="preserve"> (GS 15 step 5)</w:t>
      </w:r>
      <w:r w:rsidRPr="002022D4">
        <w:rPr>
          <w:szCs w:val="22"/>
        </w:rPr>
        <w:t xml:space="preserve"> to file a</w:t>
      </w:r>
      <w:r w:rsidR="001F07EB" w:rsidRPr="002022D4">
        <w:rPr>
          <w:szCs w:val="22"/>
        </w:rPr>
        <w:t xml:space="preserve"> </w:t>
      </w:r>
      <w:r w:rsidRPr="002022D4">
        <w:rPr>
          <w:szCs w:val="22"/>
        </w:rPr>
        <w:t xml:space="preserve">letter of notification each time there is a change in call centers’ locations, including the opening, closing or relocation of any center.  </w:t>
      </w:r>
    </w:p>
    <w:p w14:paraId="068108C9" w14:textId="132DA6EC" w:rsidR="00D410CC" w:rsidRPr="002022D4" w:rsidRDefault="00D410CC" w:rsidP="0061033D">
      <w:pPr>
        <w:pStyle w:val="ParaNum"/>
        <w:widowControl/>
        <w:numPr>
          <w:ilvl w:val="0"/>
          <w:numId w:val="0"/>
        </w:numPr>
        <w:ind w:left="360"/>
        <w:jc w:val="left"/>
        <w:rPr>
          <w:szCs w:val="22"/>
        </w:rPr>
      </w:pPr>
      <w:r w:rsidRPr="002022D4">
        <w:rPr>
          <w:szCs w:val="22"/>
        </w:rPr>
        <w:t>The Commission estimates respondents’ costs to be about $</w:t>
      </w:r>
      <w:r w:rsidR="00021653" w:rsidRPr="002022D4">
        <w:rPr>
          <w:szCs w:val="22"/>
        </w:rPr>
        <w:t>71.56</w:t>
      </w:r>
      <w:r w:rsidRPr="002022D4">
        <w:rPr>
          <w:szCs w:val="22"/>
        </w:rPr>
        <w:t xml:space="preserve"> per hour to complete.</w:t>
      </w:r>
    </w:p>
    <w:p w14:paraId="1F3AB494" w14:textId="3C5F8D4C" w:rsidR="001F07EB" w:rsidRPr="002022D4" w:rsidRDefault="001F07EB" w:rsidP="002255B8">
      <w:pPr>
        <w:pStyle w:val="ParaNum"/>
        <w:widowControl/>
        <w:numPr>
          <w:ilvl w:val="0"/>
          <w:numId w:val="0"/>
        </w:numPr>
        <w:ind w:left="1080"/>
        <w:jc w:val="left"/>
        <w:rPr>
          <w:b/>
          <w:szCs w:val="22"/>
        </w:rPr>
      </w:pPr>
      <w:r w:rsidRPr="002022D4">
        <w:rPr>
          <w:b/>
          <w:szCs w:val="22"/>
        </w:rPr>
        <w:t>Annual “In-House” Cost:</w:t>
      </w:r>
      <w:r w:rsidRPr="002022D4">
        <w:rPr>
          <w:szCs w:val="22"/>
        </w:rPr>
        <w:t xml:space="preserve">  </w:t>
      </w:r>
      <w:r w:rsidR="00C7387B" w:rsidRPr="002022D4">
        <w:rPr>
          <w:szCs w:val="22"/>
        </w:rPr>
        <w:t>5</w:t>
      </w:r>
      <w:r w:rsidRPr="002022D4">
        <w:rPr>
          <w:szCs w:val="22"/>
        </w:rPr>
        <w:t xml:space="preserve"> hrs/yr x $</w:t>
      </w:r>
      <w:r w:rsidR="00021653" w:rsidRPr="002F7069">
        <w:rPr>
          <w:szCs w:val="22"/>
        </w:rPr>
        <w:t>71.56</w:t>
      </w:r>
      <w:r w:rsidRPr="002F7069">
        <w:rPr>
          <w:szCs w:val="22"/>
        </w:rPr>
        <w:t xml:space="preserve"> = $</w:t>
      </w:r>
      <w:r w:rsidR="00021653" w:rsidRPr="002F7069">
        <w:rPr>
          <w:szCs w:val="22"/>
        </w:rPr>
        <w:t>357.80</w:t>
      </w:r>
    </w:p>
    <w:p w14:paraId="2A2E5607" w14:textId="55D8991E" w:rsidR="001F07EB" w:rsidRPr="002022D4" w:rsidRDefault="001F07EB" w:rsidP="00CD5D9A">
      <w:pPr>
        <w:pStyle w:val="ParaNum"/>
        <w:widowControl/>
        <w:numPr>
          <w:ilvl w:val="0"/>
          <w:numId w:val="0"/>
        </w:numPr>
        <w:ind w:left="360"/>
        <w:jc w:val="left"/>
        <w:rPr>
          <w:szCs w:val="22"/>
        </w:rPr>
      </w:pPr>
      <w:r w:rsidRPr="002022D4">
        <w:rPr>
          <w:b/>
          <w:szCs w:val="22"/>
        </w:rPr>
        <w:t xml:space="preserve">Total Annual Number of Responses:  </w:t>
      </w:r>
      <w:r w:rsidR="005566A4" w:rsidRPr="002022D4">
        <w:rPr>
          <w:szCs w:val="22"/>
        </w:rPr>
        <w:t>1</w:t>
      </w:r>
      <w:r w:rsidR="00C7387B" w:rsidRPr="002022D4">
        <w:rPr>
          <w:szCs w:val="22"/>
        </w:rPr>
        <w:t>0</w:t>
      </w:r>
      <w:r w:rsidR="005566A4" w:rsidRPr="002022D4">
        <w:rPr>
          <w:szCs w:val="22"/>
        </w:rPr>
        <w:t xml:space="preserve"> + 1</w:t>
      </w:r>
      <w:r w:rsidR="00C7387B" w:rsidRPr="002022D4">
        <w:rPr>
          <w:szCs w:val="22"/>
        </w:rPr>
        <w:t>0</w:t>
      </w:r>
      <w:r w:rsidR="005566A4" w:rsidRPr="002022D4">
        <w:rPr>
          <w:szCs w:val="22"/>
        </w:rPr>
        <w:t xml:space="preserve"> = 2</w:t>
      </w:r>
      <w:r w:rsidR="00C7387B" w:rsidRPr="002022D4">
        <w:rPr>
          <w:szCs w:val="22"/>
        </w:rPr>
        <w:t>0</w:t>
      </w:r>
    </w:p>
    <w:p w14:paraId="4EA7103A" w14:textId="05DC6815" w:rsidR="00CC6EAD" w:rsidRPr="002022D4" w:rsidRDefault="001F07EB" w:rsidP="002255B8">
      <w:pPr>
        <w:pStyle w:val="ParaNum"/>
        <w:numPr>
          <w:ilvl w:val="0"/>
          <w:numId w:val="0"/>
        </w:numPr>
        <w:tabs>
          <w:tab w:val="left" w:pos="720"/>
          <w:tab w:val="left" w:pos="1440"/>
        </w:tabs>
        <w:ind w:left="360"/>
        <w:rPr>
          <w:szCs w:val="22"/>
        </w:rPr>
      </w:pPr>
      <w:r w:rsidRPr="002022D4">
        <w:rPr>
          <w:b/>
          <w:szCs w:val="22"/>
        </w:rPr>
        <w:t xml:space="preserve">Total Annual Burden Hours: </w:t>
      </w:r>
      <w:r w:rsidR="00C7387B" w:rsidRPr="002022D4">
        <w:rPr>
          <w:szCs w:val="22"/>
        </w:rPr>
        <w:t xml:space="preserve">160 </w:t>
      </w:r>
      <w:r w:rsidR="005566A4" w:rsidRPr="002022D4">
        <w:rPr>
          <w:szCs w:val="22"/>
        </w:rPr>
        <w:t xml:space="preserve">hrs + </w:t>
      </w:r>
      <w:r w:rsidR="00C7387B" w:rsidRPr="002022D4">
        <w:rPr>
          <w:szCs w:val="22"/>
        </w:rPr>
        <w:t>5</w:t>
      </w:r>
      <w:r w:rsidR="005566A4" w:rsidRPr="002022D4">
        <w:rPr>
          <w:szCs w:val="22"/>
        </w:rPr>
        <w:t xml:space="preserve"> hrs = </w:t>
      </w:r>
      <w:r w:rsidR="00C7387B" w:rsidRPr="002022D4">
        <w:rPr>
          <w:szCs w:val="22"/>
        </w:rPr>
        <w:t xml:space="preserve">165 </w:t>
      </w:r>
      <w:r w:rsidR="005566A4" w:rsidRPr="002022D4">
        <w:rPr>
          <w:szCs w:val="22"/>
        </w:rPr>
        <w:t>hrs</w:t>
      </w:r>
    </w:p>
    <w:p w14:paraId="7A26580F" w14:textId="5F8A7438" w:rsidR="00CC6EAD" w:rsidRPr="002022D4" w:rsidRDefault="00CC6EAD" w:rsidP="002255B8">
      <w:pPr>
        <w:pStyle w:val="ParaNum"/>
        <w:numPr>
          <w:ilvl w:val="0"/>
          <w:numId w:val="0"/>
        </w:numPr>
        <w:tabs>
          <w:tab w:val="left" w:pos="720"/>
          <w:tab w:val="left" w:pos="1440"/>
        </w:tabs>
        <w:ind w:left="360"/>
        <w:rPr>
          <w:szCs w:val="22"/>
        </w:rPr>
      </w:pPr>
      <w:r w:rsidRPr="002022D4">
        <w:rPr>
          <w:b/>
          <w:szCs w:val="22"/>
        </w:rPr>
        <w:t xml:space="preserve">Total Annual “In-House” Cost: </w:t>
      </w:r>
      <w:r w:rsidRPr="002022D4">
        <w:rPr>
          <w:szCs w:val="22"/>
        </w:rPr>
        <w:t>$</w:t>
      </w:r>
      <w:r w:rsidR="00021653" w:rsidRPr="002022D4">
        <w:rPr>
          <w:szCs w:val="22"/>
        </w:rPr>
        <w:t>11,449.60</w:t>
      </w:r>
      <w:r w:rsidRPr="002F7069">
        <w:rPr>
          <w:szCs w:val="22"/>
        </w:rPr>
        <w:t xml:space="preserve"> + $</w:t>
      </w:r>
      <w:r w:rsidR="00021653" w:rsidRPr="002F7069">
        <w:rPr>
          <w:szCs w:val="22"/>
        </w:rPr>
        <w:t>357.80</w:t>
      </w:r>
      <w:r w:rsidRPr="002F7069">
        <w:rPr>
          <w:szCs w:val="22"/>
        </w:rPr>
        <w:t xml:space="preserve"> = $</w:t>
      </w:r>
      <w:r w:rsidR="00021653" w:rsidRPr="002F7069">
        <w:rPr>
          <w:szCs w:val="22"/>
        </w:rPr>
        <w:t>11</w:t>
      </w:r>
      <w:r w:rsidR="00B43F90" w:rsidRPr="002F7069">
        <w:rPr>
          <w:szCs w:val="22"/>
        </w:rPr>
        <w:t>,</w:t>
      </w:r>
      <w:r w:rsidR="00021653" w:rsidRPr="002F7069">
        <w:rPr>
          <w:szCs w:val="22"/>
        </w:rPr>
        <w:t>807.40</w:t>
      </w:r>
    </w:p>
    <w:p w14:paraId="11733AF9" w14:textId="32190A69" w:rsidR="00D410CC" w:rsidRPr="002022D4" w:rsidRDefault="00D410CC" w:rsidP="002255B8">
      <w:pPr>
        <w:pStyle w:val="ParaNum"/>
        <w:widowControl/>
        <w:numPr>
          <w:ilvl w:val="0"/>
          <w:numId w:val="0"/>
        </w:numPr>
        <w:tabs>
          <w:tab w:val="left" w:pos="720"/>
          <w:tab w:val="left" w:pos="1440"/>
        </w:tabs>
        <w:ind w:left="720"/>
        <w:jc w:val="left"/>
        <w:rPr>
          <w:i/>
          <w:szCs w:val="22"/>
        </w:rPr>
      </w:pPr>
      <w:r w:rsidRPr="002022D4">
        <w:rPr>
          <w:b/>
          <w:szCs w:val="22"/>
        </w:rPr>
        <w:t xml:space="preserve">C. </w:t>
      </w:r>
      <w:r w:rsidR="00F465BC" w:rsidRPr="002022D4">
        <w:rPr>
          <w:b/>
          <w:szCs w:val="22"/>
        </w:rPr>
        <w:t xml:space="preserve">  </w:t>
      </w:r>
      <w:r w:rsidRPr="002022D4">
        <w:rPr>
          <w:b/>
          <w:i/>
          <w:szCs w:val="22"/>
        </w:rPr>
        <w:t>Data Filed with the Fund Administrator to Support Payment Claims</w:t>
      </w:r>
    </w:p>
    <w:p w14:paraId="0CAA2273" w14:textId="05B1336B" w:rsidR="00D410CC" w:rsidRPr="002022D4" w:rsidRDefault="00D410CC" w:rsidP="002255B8">
      <w:pPr>
        <w:pStyle w:val="ParaNum"/>
        <w:widowControl/>
        <w:numPr>
          <w:ilvl w:val="0"/>
          <w:numId w:val="0"/>
        </w:numPr>
        <w:ind w:left="720" w:firstLine="360"/>
        <w:jc w:val="left"/>
        <w:rPr>
          <w:szCs w:val="22"/>
        </w:rPr>
      </w:pPr>
      <w:r w:rsidRPr="002022D4">
        <w:rPr>
          <w:b/>
          <w:szCs w:val="22"/>
        </w:rPr>
        <w:t xml:space="preserve">Annual Number of Respondents: </w:t>
      </w:r>
      <w:r w:rsidR="009E69A1" w:rsidRPr="002022D4">
        <w:rPr>
          <w:b/>
          <w:szCs w:val="22"/>
        </w:rPr>
        <w:t>1</w:t>
      </w:r>
      <w:r w:rsidR="00BE1743" w:rsidRPr="002022D4">
        <w:rPr>
          <w:b/>
          <w:szCs w:val="22"/>
        </w:rPr>
        <w:t>0</w:t>
      </w:r>
      <w:r w:rsidR="009E69A1" w:rsidRPr="002022D4">
        <w:rPr>
          <w:b/>
          <w:szCs w:val="22"/>
        </w:rPr>
        <w:t xml:space="preserve"> </w:t>
      </w:r>
      <w:r w:rsidR="00A84517" w:rsidRPr="002022D4">
        <w:rPr>
          <w:b/>
          <w:szCs w:val="22"/>
        </w:rPr>
        <w:t>(applies to all forms of TRS)</w:t>
      </w:r>
    </w:p>
    <w:p w14:paraId="75F84DE5" w14:textId="77777777" w:rsidR="00D410CC" w:rsidRPr="002022D4" w:rsidRDefault="00D410CC" w:rsidP="002255B8">
      <w:pPr>
        <w:pStyle w:val="ParaNum"/>
        <w:widowControl/>
        <w:numPr>
          <w:ilvl w:val="0"/>
          <w:numId w:val="0"/>
        </w:numPr>
        <w:ind w:left="360"/>
        <w:jc w:val="left"/>
        <w:rPr>
          <w:szCs w:val="22"/>
        </w:rPr>
      </w:pPr>
      <w:r w:rsidRPr="002022D4">
        <w:rPr>
          <w:szCs w:val="22"/>
        </w:rPr>
        <w:t>(1)  The Commission estimates that each respondent will be required to submit specified call data in order to be compensated from the Fund.</w:t>
      </w:r>
    </w:p>
    <w:p w14:paraId="4F056564" w14:textId="268FE813" w:rsidR="00966A58" w:rsidRPr="002022D4" w:rsidRDefault="00D410CC" w:rsidP="002255B8">
      <w:pPr>
        <w:pStyle w:val="ParaNum"/>
        <w:widowControl/>
        <w:numPr>
          <w:ilvl w:val="0"/>
          <w:numId w:val="0"/>
        </w:numPr>
        <w:ind w:left="1080"/>
        <w:jc w:val="left"/>
        <w:rPr>
          <w:szCs w:val="22"/>
        </w:rPr>
      </w:pPr>
      <w:r w:rsidRPr="002022D4">
        <w:rPr>
          <w:b/>
          <w:szCs w:val="22"/>
        </w:rPr>
        <w:t>Annual Number of Responses</w:t>
      </w:r>
      <w:r w:rsidRPr="002022D4">
        <w:rPr>
          <w:szCs w:val="22"/>
        </w:rPr>
        <w:t xml:space="preserve"> </w:t>
      </w:r>
      <w:r w:rsidRPr="002022D4">
        <w:rPr>
          <w:b/>
          <w:szCs w:val="22"/>
        </w:rPr>
        <w:t>(1 response/form of TRS x 12 months):</w:t>
      </w:r>
      <w:r w:rsidRPr="002022D4">
        <w:rPr>
          <w:szCs w:val="22"/>
        </w:rPr>
        <w:t xml:space="preserve"> </w:t>
      </w:r>
      <w:r w:rsidR="00966A58" w:rsidRPr="002022D4">
        <w:rPr>
          <w:szCs w:val="22"/>
        </w:rPr>
        <w:t>204 responses/yr</w:t>
      </w:r>
    </w:p>
    <w:p w14:paraId="51D14C44" w14:textId="2942017E" w:rsidR="00D410CC" w:rsidRPr="002022D4" w:rsidRDefault="00D410CC" w:rsidP="002255B8">
      <w:pPr>
        <w:pStyle w:val="ParaNum"/>
        <w:widowControl/>
        <w:numPr>
          <w:ilvl w:val="0"/>
          <w:numId w:val="0"/>
        </w:numPr>
        <w:ind w:left="360"/>
        <w:jc w:val="left"/>
        <w:rPr>
          <w:szCs w:val="22"/>
        </w:rPr>
      </w:pPr>
      <w:r w:rsidRPr="002022D4">
        <w:rPr>
          <w:szCs w:val="22"/>
        </w:rPr>
        <w:t>5 forms of TRS (1 provider) + 4 forms of TRS (</w:t>
      </w:r>
      <w:r w:rsidR="00A84517" w:rsidRPr="002022D4">
        <w:rPr>
          <w:szCs w:val="22"/>
        </w:rPr>
        <w:t xml:space="preserve">1 </w:t>
      </w:r>
      <w:r w:rsidRPr="002022D4">
        <w:rPr>
          <w:szCs w:val="22"/>
        </w:rPr>
        <w:t>provider) + 1 form of TRS (</w:t>
      </w:r>
      <w:r w:rsidR="00EE40A0" w:rsidRPr="002022D4">
        <w:rPr>
          <w:szCs w:val="22"/>
        </w:rPr>
        <w:t>8</w:t>
      </w:r>
      <w:r w:rsidR="00A84517" w:rsidRPr="002022D4">
        <w:rPr>
          <w:szCs w:val="22"/>
        </w:rPr>
        <w:t xml:space="preserve"> </w:t>
      </w:r>
      <w:r w:rsidRPr="002022D4">
        <w:rPr>
          <w:szCs w:val="22"/>
        </w:rPr>
        <w:t xml:space="preserve">providers) = 5 + </w:t>
      </w:r>
      <w:r w:rsidR="00A84517" w:rsidRPr="002022D4">
        <w:rPr>
          <w:szCs w:val="22"/>
        </w:rPr>
        <w:t xml:space="preserve">4 </w:t>
      </w:r>
      <w:r w:rsidRPr="002022D4">
        <w:rPr>
          <w:szCs w:val="22"/>
        </w:rPr>
        <w:t xml:space="preserve">+ </w:t>
      </w:r>
      <w:r w:rsidR="00EE40A0" w:rsidRPr="002022D4">
        <w:rPr>
          <w:szCs w:val="22"/>
        </w:rPr>
        <w:t>8</w:t>
      </w:r>
      <w:r w:rsidR="00A84517" w:rsidRPr="002022D4">
        <w:rPr>
          <w:szCs w:val="22"/>
        </w:rPr>
        <w:t xml:space="preserve"> </w:t>
      </w:r>
      <w:r w:rsidRPr="002022D4">
        <w:rPr>
          <w:szCs w:val="22"/>
        </w:rPr>
        <w:t xml:space="preserve">= </w:t>
      </w:r>
      <w:r w:rsidR="00EE40A0" w:rsidRPr="002022D4">
        <w:rPr>
          <w:szCs w:val="22"/>
        </w:rPr>
        <w:t>17</w:t>
      </w:r>
      <w:r w:rsidRPr="002022D4">
        <w:rPr>
          <w:szCs w:val="22"/>
        </w:rPr>
        <w:t xml:space="preserve">; </w:t>
      </w:r>
      <w:r w:rsidR="00EE40A0" w:rsidRPr="002022D4">
        <w:rPr>
          <w:szCs w:val="22"/>
        </w:rPr>
        <w:t xml:space="preserve">17 </w:t>
      </w:r>
      <w:r w:rsidRPr="002022D4">
        <w:rPr>
          <w:szCs w:val="22"/>
        </w:rPr>
        <w:t xml:space="preserve">x 12 = </w:t>
      </w:r>
      <w:r w:rsidR="00EE40A0" w:rsidRPr="002022D4">
        <w:rPr>
          <w:szCs w:val="22"/>
        </w:rPr>
        <w:t xml:space="preserve">204 </w:t>
      </w:r>
      <w:r w:rsidRPr="002022D4">
        <w:rPr>
          <w:szCs w:val="22"/>
        </w:rPr>
        <w:t>responses/yr</w:t>
      </w:r>
    </w:p>
    <w:p w14:paraId="6567B321" w14:textId="33B2FBE1" w:rsidR="00D410CC" w:rsidRPr="002022D4" w:rsidRDefault="00D410CC" w:rsidP="002255B8">
      <w:pPr>
        <w:pStyle w:val="ParaNum"/>
        <w:widowControl/>
        <w:numPr>
          <w:ilvl w:val="0"/>
          <w:numId w:val="0"/>
        </w:numPr>
        <w:ind w:left="1080"/>
        <w:jc w:val="left"/>
        <w:rPr>
          <w:szCs w:val="22"/>
        </w:rPr>
      </w:pPr>
      <w:r w:rsidRPr="002022D4">
        <w:rPr>
          <w:b/>
          <w:szCs w:val="22"/>
        </w:rPr>
        <w:t>Annual Number of Burden Hours:</w:t>
      </w:r>
      <w:r w:rsidRPr="002022D4">
        <w:rPr>
          <w:szCs w:val="22"/>
        </w:rPr>
        <w:t xml:space="preserve">  300 + </w:t>
      </w:r>
      <w:r w:rsidR="005566A4" w:rsidRPr="002022D4">
        <w:rPr>
          <w:szCs w:val="22"/>
        </w:rPr>
        <w:t>240</w:t>
      </w:r>
      <w:r w:rsidR="009D6CAD" w:rsidRPr="002022D4">
        <w:rPr>
          <w:szCs w:val="22"/>
        </w:rPr>
        <w:t xml:space="preserve"> </w:t>
      </w:r>
      <w:r w:rsidRPr="002022D4">
        <w:rPr>
          <w:szCs w:val="22"/>
        </w:rPr>
        <w:t xml:space="preserve">+ </w:t>
      </w:r>
      <w:r w:rsidR="0007443D" w:rsidRPr="002022D4">
        <w:rPr>
          <w:szCs w:val="22"/>
        </w:rPr>
        <w:t>4</w:t>
      </w:r>
      <w:r w:rsidR="00C720A6" w:rsidRPr="002022D4">
        <w:rPr>
          <w:szCs w:val="22"/>
        </w:rPr>
        <w:t>8</w:t>
      </w:r>
      <w:r w:rsidR="0007443D" w:rsidRPr="002022D4">
        <w:rPr>
          <w:szCs w:val="22"/>
        </w:rPr>
        <w:t>0</w:t>
      </w:r>
      <w:r w:rsidR="009D6CAD" w:rsidRPr="002022D4">
        <w:rPr>
          <w:szCs w:val="22"/>
        </w:rPr>
        <w:t xml:space="preserve"> </w:t>
      </w:r>
      <w:r w:rsidRPr="002022D4">
        <w:rPr>
          <w:szCs w:val="22"/>
        </w:rPr>
        <w:t xml:space="preserve">= </w:t>
      </w:r>
      <w:r w:rsidR="009D6CAD" w:rsidRPr="002022D4">
        <w:rPr>
          <w:szCs w:val="22"/>
        </w:rPr>
        <w:t>1,</w:t>
      </w:r>
      <w:r w:rsidR="00C720A6" w:rsidRPr="002022D4">
        <w:rPr>
          <w:szCs w:val="22"/>
        </w:rPr>
        <w:t>02</w:t>
      </w:r>
      <w:r w:rsidR="0007443D" w:rsidRPr="002022D4">
        <w:rPr>
          <w:szCs w:val="22"/>
        </w:rPr>
        <w:t>0</w:t>
      </w:r>
      <w:r w:rsidRPr="002022D4">
        <w:rPr>
          <w:szCs w:val="22"/>
        </w:rPr>
        <w:t xml:space="preserve"> hrs/yr </w:t>
      </w:r>
    </w:p>
    <w:p w14:paraId="564FDE71" w14:textId="77777777" w:rsidR="00D410CC" w:rsidRPr="002022D4" w:rsidRDefault="00D410CC" w:rsidP="002255B8">
      <w:pPr>
        <w:pStyle w:val="ParaNum"/>
        <w:widowControl/>
        <w:numPr>
          <w:ilvl w:val="0"/>
          <w:numId w:val="0"/>
        </w:numPr>
        <w:ind w:left="360"/>
        <w:jc w:val="left"/>
        <w:rPr>
          <w:szCs w:val="22"/>
        </w:rPr>
      </w:pPr>
      <w:r w:rsidRPr="002022D4">
        <w:rPr>
          <w:szCs w:val="22"/>
        </w:rPr>
        <w:t xml:space="preserve">The Commission estimates that each respondent will require approximately 5 hours per data </w:t>
      </w:r>
      <w:r w:rsidR="00D9679C" w:rsidRPr="002022D4">
        <w:rPr>
          <w:szCs w:val="22"/>
        </w:rPr>
        <w:t>submission</w:t>
      </w:r>
      <w:r w:rsidRPr="002022D4">
        <w:rPr>
          <w:szCs w:val="22"/>
        </w:rPr>
        <w:t xml:space="preserve"> per form of TRS to complete the compilation and submission of call data on a monthly basis:</w:t>
      </w:r>
    </w:p>
    <w:p w14:paraId="3DF5B661" w14:textId="77777777" w:rsidR="00D410CC" w:rsidRPr="002022D4" w:rsidRDefault="00D410CC" w:rsidP="002255B8">
      <w:pPr>
        <w:pStyle w:val="ParaNum"/>
        <w:widowControl/>
        <w:numPr>
          <w:ilvl w:val="0"/>
          <w:numId w:val="7"/>
        </w:numPr>
        <w:tabs>
          <w:tab w:val="clear" w:pos="360"/>
        </w:tabs>
        <w:ind w:left="1800"/>
        <w:jc w:val="left"/>
        <w:rPr>
          <w:szCs w:val="22"/>
        </w:rPr>
      </w:pPr>
      <w:r w:rsidRPr="002022D4">
        <w:rPr>
          <w:szCs w:val="22"/>
        </w:rPr>
        <w:t xml:space="preserve">Five forms of TRS: 1 respondent x 5 forms of TRS x 5 hrs/data </w:t>
      </w:r>
      <w:r w:rsidR="00D9679C" w:rsidRPr="002022D4">
        <w:rPr>
          <w:szCs w:val="22"/>
        </w:rPr>
        <w:t>submission</w:t>
      </w:r>
      <w:r w:rsidRPr="002022D4">
        <w:rPr>
          <w:szCs w:val="22"/>
        </w:rPr>
        <w:t>/form of TRS x 12 months = 300 hrs/yr</w:t>
      </w:r>
    </w:p>
    <w:p w14:paraId="1662892C" w14:textId="77777777" w:rsidR="00D410CC" w:rsidRPr="002022D4" w:rsidRDefault="00D410CC" w:rsidP="002255B8">
      <w:pPr>
        <w:pStyle w:val="ParaNum"/>
        <w:widowControl/>
        <w:numPr>
          <w:ilvl w:val="0"/>
          <w:numId w:val="7"/>
        </w:numPr>
        <w:tabs>
          <w:tab w:val="clear" w:pos="360"/>
        </w:tabs>
        <w:ind w:left="1800"/>
        <w:jc w:val="left"/>
        <w:rPr>
          <w:szCs w:val="22"/>
        </w:rPr>
      </w:pPr>
      <w:r w:rsidRPr="002022D4">
        <w:rPr>
          <w:szCs w:val="22"/>
        </w:rPr>
        <w:t xml:space="preserve">Four forms of TRS: </w:t>
      </w:r>
      <w:r w:rsidR="009D6CAD" w:rsidRPr="002022D4">
        <w:rPr>
          <w:szCs w:val="22"/>
        </w:rPr>
        <w:t xml:space="preserve">1 </w:t>
      </w:r>
      <w:r w:rsidRPr="002022D4">
        <w:rPr>
          <w:szCs w:val="22"/>
        </w:rPr>
        <w:t xml:space="preserve">respondent x 4 forms of TRS x 5 hrs/data </w:t>
      </w:r>
      <w:r w:rsidR="00D9679C" w:rsidRPr="002022D4">
        <w:rPr>
          <w:szCs w:val="22"/>
        </w:rPr>
        <w:t>submission</w:t>
      </w:r>
      <w:r w:rsidRPr="002022D4">
        <w:rPr>
          <w:szCs w:val="22"/>
        </w:rPr>
        <w:t xml:space="preserve">/form of TRS x 12 months = </w:t>
      </w:r>
      <w:r w:rsidR="00BD650C" w:rsidRPr="002022D4">
        <w:rPr>
          <w:szCs w:val="22"/>
        </w:rPr>
        <w:t>240</w:t>
      </w:r>
      <w:r w:rsidR="009D6CAD" w:rsidRPr="002022D4">
        <w:rPr>
          <w:szCs w:val="22"/>
        </w:rPr>
        <w:t xml:space="preserve"> </w:t>
      </w:r>
      <w:r w:rsidRPr="002022D4">
        <w:rPr>
          <w:szCs w:val="22"/>
        </w:rPr>
        <w:t>hrs/yr</w:t>
      </w:r>
    </w:p>
    <w:p w14:paraId="729F36E3" w14:textId="067FB68B" w:rsidR="00D410CC" w:rsidRPr="002022D4" w:rsidRDefault="00D410CC" w:rsidP="002255B8">
      <w:pPr>
        <w:pStyle w:val="ParaNum"/>
        <w:widowControl/>
        <w:numPr>
          <w:ilvl w:val="0"/>
          <w:numId w:val="7"/>
        </w:numPr>
        <w:tabs>
          <w:tab w:val="clear" w:pos="360"/>
        </w:tabs>
        <w:ind w:left="1800"/>
        <w:jc w:val="left"/>
        <w:rPr>
          <w:szCs w:val="22"/>
        </w:rPr>
      </w:pPr>
      <w:r w:rsidRPr="002022D4">
        <w:rPr>
          <w:szCs w:val="22"/>
        </w:rPr>
        <w:t xml:space="preserve">One form of TRS: </w:t>
      </w:r>
      <w:r w:rsidR="00EE40A0" w:rsidRPr="002022D4">
        <w:rPr>
          <w:szCs w:val="22"/>
        </w:rPr>
        <w:t>8</w:t>
      </w:r>
      <w:r w:rsidR="009D6CAD" w:rsidRPr="002022D4">
        <w:rPr>
          <w:szCs w:val="22"/>
        </w:rPr>
        <w:t xml:space="preserve"> </w:t>
      </w:r>
      <w:r w:rsidRPr="002022D4">
        <w:rPr>
          <w:szCs w:val="22"/>
        </w:rPr>
        <w:t xml:space="preserve">respondents x 1 form of TRS x 5 hrs/data </w:t>
      </w:r>
      <w:r w:rsidR="00D9679C" w:rsidRPr="002022D4">
        <w:rPr>
          <w:szCs w:val="22"/>
        </w:rPr>
        <w:t>submission</w:t>
      </w:r>
      <w:r w:rsidRPr="002022D4">
        <w:rPr>
          <w:szCs w:val="22"/>
        </w:rPr>
        <w:t xml:space="preserve">/form of TRS x 12 months = </w:t>
      </w:r>
      <w:r w:rsidR="0007443D" w:rsidRPr="002022D4">
        <w:rPr>
          <w:szCs w:val="22"/>
        </w:rPr>
        <w:t>4</w:t>
      </w:r>
      <w:r w:rsidR="00EE40A0" w:rsidRPr="002022D4">
        <w:rPr>
          <w:szCs w:val="22"/>
        </w:rPr>
        <w:t>8</w:t>
      </w:r>
      <w:r w:rsidR="0007443D" w:rsidRPr="002022D4">
        <w:rPr>
          <w:szCs w:val="22"/>
        </w:rPr>
        <w:t>0</w:t>
      </w:r>
      <w:r w:rsidR="009D6CAD" w:rsidRPr="002022D4">
        <w:rPr>
          <w:szCs w:val="22"/>
        </w:rPr>
        <w:t xml:space="preserve"> </w:t>
      </w:r>
      <w:r w:rsidRPr="002022D4">
        <w:rPr>
          <w:szCs w:val="22"/>
        </w:rPr>
        <w:t>hrs/yr</w:t>
      </w:r>
    </w:p>
    <w:p w14:paraId="48145E7E" w14:textId="5D99773C" w:rsidR="00D410CC" w:rsidRPr="002022D4" w:rsidRDefault="00D410CC" w:rsidP="00966A58">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A531D7" w:rsidRPr="002022D4">
        <w:rPr>
          <w:szCs w:val="22"/>
        </w:rPr>
        <w:t xml:space="preserve">(GS-15 step 5) </w:t>
      </w:r>
      <w:r w:rsidRPr="002022D4">
        <w:rPr>
          <w:szCs w:val="22"/>
        </w:rPr>
        <w:t>to compile and submit specified call data.</w:t>
      </w:r>
      <w:r w:rsidR="007E7956" w:rsidRPr="002022D4">
        <w:rPr>
          <w:szCs w:val="22"/>
        </w:rPr>
        <w:t xml:space="preserve">  </w:t>
      </w:r>
      <w:r w:rsidRPr="002022D4">
        <w:rPr>
          <w:szCs w:val="22"/>
        </w:rPr>
        <w:t>The Commission estimates respondents’ costs to be about $</w:t>
      </w:r>
      <w:r w:rsidR="00B43F90" w:rsidRPr="002022D4">
        <w:rPr>
          <w:szCs w:val="22"/>
        </w:rPr>
        <w:t>71.56</w:t>
      </w:r>
      <w:r w:rsidRPr="002022D4">
        <w:rPr>
          <w:szCs w:val="22"/>
        </w:rPr>
        <w:t xml:space="preserve"> per hour to complete.</w:t>
      </w:r>
    </w:p>
    <w:p w14:paraId="5079D3C0" w14:textId="0694F9D9" w:rsidR="00D410CC" w:rsidRPr="002022D4" w:rsidRDefault="00D410CC" w:rsidP="002255B8">
      <w:pPr>
        <w:pStyle w:val="ParaNum"/>
        <w:widowControl/>
        <w:numPr>
          <w:ilvl w:val="0"/>
          <w:numId w:val="0"/>
        </w:numPr>
        <w:ind w:left="1080"/>
        <w:jc w:val="left"/>
        <w:rPr>
          <w:szCs w:val="22"/>
        </w:rPr>
      </w:pPr>
      <w:r w:rsidRPr="002022D4">
        <w:rPr>
          <w:b/>
          <w:szCs w:val="22"/>
        </w:rPr>
        <w:t>Annual “In-House” Cost:</w:t>
      </w:r>
      <w:r w:rsidRPr="002022D4">
        <w:rPr>
          <w:szCs w:val="22"/>
        </w:rPr>
        <w:t xml:space="preserve">  </w:t>
      </w:r>
      <w:r w:rsidR="009D6CAD" w:rsidRPr="002022D4">
        <w:rPr>
          <w:szCs w:val="22"/>
        </w:rPr>
        <w:t>1,</w:t>
      </w:r>
      <w:r w:rsidR="006C27AE" w:rsidRPr="002022D4">
        <w:rPr>
          <w:szCs w:val="22"/>
        </w:rPr>
        <w:t>02</w:t>
      </w:r>
      <w:r w:rsidR="00A531D7" w:rsidRPr="002022D4">
        <w:rPr>
          <w:szCs w:val="22"/>
        </w:rPr>
        <w:t>0</w:t>
      </w:r>
      <w:r w:rsidRPr="002022D4">
        <w:rPr>
          <w:szCs w:val="22"/>
        </w:rPr>
        <w:t xml:space="preserve"> hrs x $</w:t>
      </w:r>
      <w:r w:rsidR="00B43F90" w:rsidRPr="002022D4">
        <w:rPr>
          <w:szCs w:val="22"/>
        </w:rPr>
        <w:t>71.</w:t>
      </w:r>
      <w:r w:rsidR="00B43F90" w:rsidRPr="00915ECF">
        <w:rPr>
          <w:szCs w:val="22"/>
        </w:rPr>
        <w:t>5</w:t>
      </w:r>
      <w:r w:rsidR="001C353C" w:rsidRPr="00915ECF">
        <w:rPr>
          <w:szCs w:val="22"/>
        </w:rPr>
        <w:t>6</w:t>
      </w:r>
      <w:r w:rsidRPr="00915ECF">
        <w:rPr>
          <w:szCs w:val="22"/>
        </w:rPr>
        <w:t>/</w:t>
      </w:r>
      <w:r w:rsidRPr="002F7069">
        <w:rPr>
          <w:szCs w:val="22"/>
        </w:rPr>
        <w:t>hr = $</w:t>
      </w:r>
      <w:r w:rsidR="00B43F90" w:rsidRPr="002F7069">
        <w:rPr>
          <w:szCs w:val="22"/>
        </w:rPr>
        <w:t>72,991.20</w:t>
      </w:r>
    </w:p>
    <w:p w14:paraId="6A7CC15D" w14:textId="50CC458B" w:rsidR="00A87382" w:rsidRPr="002022D4" w:rsidRDefault="00D410CC" w:rsidP="00966A58">
      <w:pPr>
        <w:pStyle w:val="ParaNum"/>
        <w:widowControl/>
        <w:numPr>
          <w:ilvl w:val="0"/>
          <w:numId w:val="0"/>
        </w:numPr>
        <w:ind w:left="360"/>
        <w:jc w:val="left"/>
        <w:rPr>
          <w:szCs w:val="22"/>
        </w:rPr>
      </w:pPr>
      <w:r w:rsidRPr="002022D4">
        <w:rPr>
          <w:szCs w:val="22"/>
        </w:rPr>
        <w:t xml:space="preserve">(2)  The Commission requires providers to submit speed of answer compliance data for </w:t>
      </w:r>
      <w:r w:rsidR="00A87382" w:rsidRPr="002022D4">
        <w:rPr>
          <w:szCs w:val="22"/>
        </w:rPr>
        <w:t>VRS and IP Relay</w:t>
      </w:r>
      <w:r w:rsidRPr="002022D4">
        <w:rPr>
          <w:szCs w:val="22"/>
        </w:rPr>
        <w:t>.</w:t>
      </w:r>
    </w:p>
    <w:p w14:paraId="46E7B960" w14:textId="78CB772B" w:rsidR="00A87382" w:rsidRPr="002022D4" w:rsidRDefault="00A87382" w:rsidP="002255B8">
      <w:pPr>
        <w:pStyle w:val="ParaNum"/>
        <w:widowControl/>
        <w:numPr>
          <w:ilvl w:val="0"/>
          <w:numId w:val="0"/>
        </w:numPr>
        <w:ind w:left="720"/>
        <w:jc w:val="left"/>
        <w:rPr>
          <w:b/>
          <w:szCs w:val="22"/>
        </w:rPr>
      </w:pPr>
      <w:r w:rsidRPr="002022D4">
        <w:rPr>
          <w:b/>
          <w:szCs w:val="22"/>
        </w:rPr>
        <w:t>Annual Number of Respondents:</w:t>
      </w:r>
      <w:r w:rsidRPr="002022D4">
        <w:rPr>
          <w:szCs w:val="22"/>
        </w:rPr>
        <w:t xml:space="preserve">  6</w:t>
      </w:r>
    </w:p>
    <w:p w14:paraId="6CBD4DA1" w14:textId="3E61E77F" w:rsidR="00D410CC" w:rsidRPr="002022D4" w:rsidRDefault="00A87382" w:rsidP="00966A58">
      <w:pPr>
        <w:pStyle w:val="ParaNum"/>
        <w:widowControl/>
        <w:numPr>
          <w:ilvl w:val="0"/>
          <w:numId w:val="0"/>
        </w:numPr>
        <w:ind w:left="360"/>
        <w:jc w:val="left"/>
        <w:rPr>
          <w:szCs w:val="22"/>
        </w:rPr>
      </w:pPr>
      <w:r w:rsidRPr="002022D4">
        <w:rPr>
          <w:szCs w:val="22"/>
        </w:rPr>
        <w:t xml:space="preserve">There are 5 providers of VRS and </w:t>
      </w:r>
      <w:r w:rsidR="0090296F" w:rsidRPr="002022D4">
        <w:rPr>
          <w:szCs w:val="22"/>
        </w:rPr>
        <w:t xml:space="preserve">1 </w:t>
      </w:r>
      <w:r w:rsidRPr="002022D4">
        <w:rPr>
          <w:szCs w:val="22"/>
        </w:rPr>
        <w:t>provider of IP Relay, for a total of 6 providers</w:t>
      </w:r>
    </w:p>
    <w:p w14:paraId="3558145F" w14:textId="0C8C42CC" w:rsidR="00D410CC" w:rsidRPr="002022D4" w:rsidRDefault="00D410CC" w:rsidP="002255B8">
      <w:pPr>
        <w:pStyle w:val="ParaNum"/>
        <w:widowControl/>
        <w:numPr>
          <w:ilvl w:val="0"/>
          <w:numId w:val="0"/>
        </w:numPr>
        <w:ind w:left="1080"/>
        <w:jc w:val="left"/>
        <w:rPr>
          <w:szCs w:val="22"/>
        </w:rPr>
      </w:pPr>
      <w:r w:rsidRPr="002022D4">
        <w:rPr>
          <w:b/>
          <w:szCs w:val="22"/>
        </w:rPr>
        <w:t>Annual Burden Hours:</w:t>
      </w:r>
      <w:r w:rsidRPr="002022D4">
        <w:rPr>
          <w:szCs w:val="22"/>
        </w:rPr>
        <w:t xml:space="preserve"> </w:t>
      </w:r>
      <w:r w:rsidR="00A87382" w:rsidRPr="002022D4">
        <w:rPr>
          <w:szCs w:val="22"/>
        </w:rPr>
        <w:t>360</w:t>
      </w:r>
      <w:r w:rsidRPr="002022D4">
        <w:rPr>
          <w:szCs w:val="22"/>
        </w:rPr>
        <w:t xml:space="preserve"> hrs/yr</w:t>
      </w:r>
    </w:p>
    <w:p w14:paraId="0F125628" w14:textId="6B2CDAF2" w:rsidR="00D410CC" w:rsidRPr="002022D4" w:rsidRDefault="00D410CC" w:rsidP="00966A58">
      <w:pPr>
        <w:pStyle w:val="ParaNum"/>
        <w:widowControl/>
        <w:numPr>
          <w:ilvl w:val="0"/>
          <w:numId w:val="0"/>
        </w:numPr>
        <w:ind w:left="360"/>
        <w:jc w:val="left"/>
        <w:rPr>
          <w:szCs w:val="22"/>
        </w:rPr>
      </w:pPr>
      <w:r w:rsidRPr="002022D4">
        <w:rPr>
          <w:szCs w:val="22"/>
        </w:rPr>
        <w:t xml:space="preserve">The Commission estimates that </w:t>
      </w:r>
      <w:r w:rsidR="00A87382" w:rsidRPr="002022D4">
        <w:rPr>
          <w:szCs w:val="22"/>
        </w:rPr>
        <w:t xml:space="preserve">5 </w:t>
      </w:r>
      <w:r w:rsidRPr="002022D4">
        <w:rPr>
          <w:szCs w:val="22"/>
        </w:rPr>
        <w:t>VRS</w:t>
      </w:r>
      <w:r w:rsidR="00A87382" w:rsidRPr="002022D4">
        <w:rPr>
          <w:szCs w:val="22"/>
        </w:rPr>
        <w:t xml:space="preserve"> respondents</w:t>
      </w:r>
      <w:r w:rsidRPr="002022D4">
        <w:rPr>
          <w:szCs w:val="22"/>
        </w:rPr>
        <w:t xml:space="preserve"> and</w:t>
      </w:r>
      <w:r w:rsidR="00A87382" w:rsidRPr="002022D4">
        <w:rPr>
          <w:szCs w:val="22"/>
        </w:rPr>
        <w:t xml:space="preserve"> 1</w:t>
      </w:r>
      <w:r w:rsidRPr="002022D4">
        <w:rPr>
          <w:szCs w:val="22"/>
        </w:rPr>
        <w:t xml:space="preserve"> IP Relay respondent will</w:t>
      </w:r>
      <w:r w:rsidR="00A87382" w:rsidRPr="002022D4">
        <w:rPr>
          <w:szCs w:val="22"/>
        </w:rPr>
        <w:t xml:space="preserve"> each</w:t>
      </w:r>
      <w:r w:rsidRPr="002022D4">
        <w:rPr>
          <w:szCs w:val="22"/>
        </w:rPr>
        <w:t xml:space="preserve"> require approximately 5 hours to complete the compilation and submission of speed of answer compliance data on a monthly basis.</w:t>
      </w:r>
    </w:p>
    <w:p w14:paraId="45BB2B83" w14:textId="554CE80A" w:rsidR="00D410CC" w:rsidRPr="002022D4" w:rsidRDefault="00A87382" w:rsidP="00966A58">
      <w:pPr>
        <w:pStyle w:val="ParaNum"/>
        <w:widowControl/>
        <w:numPr>
          <w:ilvl w:val="0"/>
          <w:numId w:val="0"/>
        </w:numPr>
        <w:ind w:left="360"/>
        <w:jc w:val="left"/>
        <w:rPr>
          <w:szCs w:val="22"/>
        </w:rPr>
      </w:pPr>
      <w:r w:rsidRPr="002022D4">
        <w:rPr>
          <w:szCs w:val="22"/>
        </w:rPr>
        <w:t>6</w:t>
      </w:r>
      <w:r w:rsidR="009D6CAD" w:rsidRPr="002022D4">
        <w:rPr>
          <w:szCs w:val="22"/>
        </w:rPr>
        <w:t xml:space="preserve"> </w:t>
      </w:r>
      <w:r w:rsidR="00D410CC" w:rsidRPr="002022D4">
        <w:rPr>
          <w:szCs w:val="22"/>
        </w:rPr>
        <w:t xml:space="preserve">respondents x 5 hrs/month (to complete 1 report) x 12 months = </w:t>
      </w:r>
      <w:r w:rsidRPr="002022D4">
        <w:rPr>
          <w:szCs w:val="22"/>
        </w:rPr>
        <w:t>36</w:t>
      </w:r>
      <w:r w:rsidR="009D6CAD" w:rsidRPr="002022D4">
        <w:rPr>
          <w:szCs w:val="22"/>
        </w:rPr>
        <w:t xml:space="preserve">0 </w:t>
      </w:r>
      <w:r w:rsidR="00D410CC" w:rsidRPr="002022D4">
        <w:rPr>
          <w:szCs w:val="22"/>
        </w:rPr>
        <w:t>hrs/yr</w:t>
      </w:r>
    </w:p>
    <w:p w14:paraId="38810FA4" w14:textId="67E074FF" w:rsidR="00D410CC" w:rsidRPr="002022D4" w:rsidRDefault="00D410CC" w:rsidP="002255B8">
      <w:pPr>
        <w:pStyle w:val="ParaNum"/>
        <w:widowControl/>
        <w:numPr>
          <w:ilvl w:val="0"/>
          <w:numId w:val="0"/>
        </w:numPr>
        <w:ind w:left="1080"/>
        <w:jc w:val="left"/>
        <w:rPr>
          <w:szCs w:val="22"/>
        </w:rPr>
      </w:pPr>
      <w:r w:rsidRPr="002022D4">
        <w:rPr>
          <w:b/>
          <w:szCs w:val="22"/>
        </w:rPr>
        <w:t>Annual Number of Responses</w:t>
      </w:r>
      <w:r w:rsidRPr="002022D4">
        <w:rPr>
          <w:szCs w:val="22"/>
        </w:rPr>
        <w:t xml:space="preserve">: </w:t>
      </w:r>
      <w:r w:rsidR="00A87382" w:rsidRPr="002022D4">
        <w:rPr>
          <w:szCs w:val="22"/>
        </w:rPr>
        <w:t>72</w:t>
      </w:r>
      <w:r w:rsidR="009D6CAD" w:rsidRPr="002022D4">
        <w:rPr>
          <w:szCs w:val="22"/>
        </w:rPr>
        <w:t xml:space="preserve"> </w:t>
      </w:r>
      <w:r w:rsidRPr="002022D4">
        <w:rPr>
          <w:szCs w:val="22"/>
        </w:rPr>
        <w:t>responses/yr</w:t>
      </w:r>
    </w:p>
    <w:p w14:paraId="5A2BF2FC" w14:textId="1510FDBC" w:rsidR="00D410CC" w:rsidRPr="002022D4" w:rsidRDefault="00A87382" w:rsidP="00966A58">
      <w:pPr>
        <w:pStyle w:val="ParaNum"/>
        <w:widowControl/>
        <w:numPr>
          <w:ilvl w:val="0"/>
          <w:numId w:val="0"/>
        </w:numPr>
        <w:ind w:left="360"/>
        <w:jc w:val="left"/>
        <w:rPr>
          <w:szCs w:val="22"/>
        </w:rPr>
      </w:pPr>
      <w:r w:rsidRPr="002022D4">
        <w:rPr>
          <w:szCs w:val="22"/>
        </w:rPr>
        <w:t>6</w:t>
      </w:r>
      <w:r w:rsidR="009D6CAD" w:rsidRPr="002022D4">
        <w:rPr>
          <w:szCs w:val="22"/>
        </w:rPr>
        <w:t xml:space="preserve"> </w:t>
      </w:r>
      <w:r w:rsidR="00D410CC" w:rsidRPr="002022D4">
        <w:rPr>
          <w:szCs w:val="22"/>
        </w:rPr>
        <w:t xml:space="preserve">respondents x 1 response/month x 12 months = </w:t>
      </w:r>
      <w:r w:rsidRPr="002022D4">
        <w:rPr>
          <w:szCs w:val="22"/>
        </w:rPr>
        <w:t>72</w:t>
      </w:r>
      <w:r w:rsidR="009D6CAD" w:rsidRPr="002022D4">
        <w:rPr>
          <w:szCs w:val="22"/>
        </w:rPr>
        <w:t xml:space="preserve"> </w:t>
      </w:r>
      <w:r w:rsidR="00D410CC" w:rsidRPr="002022D4">
        <w:rPr>
          <w:szCs w:val="22"/>
        </w:rPr>
        <w:t>responses/yr</w:t>
      </w:r>
    </w:p>
    <w:p w14:paraId="4DA3FF5E" w14:textId="4CFAC6C2" w:rsidR="00D410CC" w:rsidRPr="002022D4" w:rsidRDefault="00D410CC" w:rsidP="00E375D1">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A531D7" w:rsidRPr="002022D4">
        <w:rPr>
          <w:szCs w:val="22"/>
        </w:rPr>
        <w:t xml:space="preserve">(GS-15 step 5) </w:t>
      </w:r>
      <w:r w:rsidRPr="002022D4">
        <w:rPr>
          <w:szCs w:val="22"/>
        </w:rPr>
        <w:t>to complete the compilation and submission of data.</w:t>
      </w:r>
      <w:r w:rsidR="00A33A2F" w:rsidRPr="002022D4">
        <w:rPr>
          <w:szCs w:val="22"/>
        </w:rPr>
        <w:t xml:space="preserve">  </w:t>
      </w:r>
      <w:r w:rsidRPr="002022D4">
        <w:rPr>
          <w:szCs w:val="22"/>
        </w:rPr>
        <w:t>The Commission estimates respondents’ costs to be about $</w:t>
      </w:r>
      <w:r w:rsidR="0090296F" w:rsidRPr="002022D4">
        <w:rPr>
          <w:szCs w:val="22"/>
        </w:rPr>
        <w:t>71.56</w:t>
      </w:r>
      <w:r w:rsidRPr="002022D4">
        <w:rPr>
          <w:szCs w:val="22"/>
        </w:rPr>
        <w:t xml:space="preserve"> per hour to complete.</w:t>
      </w:r>
    </w:p>
    <w:p w14:paraId="27889251" w14:textId="7FC5BA3C" w:rsidR="00D410CC" w:rsidRPr="002022D4" w:rsidRDefault="00D410CC" w:rsidP="002255B8">
      <w:pPr>
        <w:pStyle w:val="ParaNum"/>
        <w:widowControl/>
        <w:numPr>
          <w:ilvl w:val="0"/>
          <w:numId w:val="0"/>
        </w:numPr>
        <w:ind w:left="1080"/>
        <w:jc w:val="left"/>
        <w:rPr>
          <w:szCs w:val="22"/>
        </w:rPr>
      </w:pPr>
      <w:r w:rsidRPr="002022D4">
        <w:rPr>
          <w:b/>
          <w:szCs w:val="22"/>
        </w:rPr>
        <w:t>Annual “In-House” Cost:</w:t>
      </w:r>
      <w:r w:rsidRPr="002022D4">
        <w:rPr>
          <w:szCs w:val="22"/>
        </w:rPr>
        <w:t xml:space="preserve">  </w:t>
      </w:r>
      <w:r w:rsidR="00764A16" w:rsidRPr="002022D4">
        <w:rPr>
          <w:szCs w:val="22"/>
        </w:rPr>
        <w:t xml:space="preserve">360 </w:t>
      </w:r>
      <w:r w:rsidRPr="002022D4">
        <w:rPr>
          <w:szCs w:val="22"/>
        </w:rPr>
        <w:t>hrs/yr x $</w:t>
      </w:r>
      <w:r w:rsidR="0090296F" w:rsidRPr="002022D4">
        <w:rPr>
          <w:szCs w:val="22"/>
        </w:rPr>
        <w:t>71.56</w:t>
      </w:r>
      <w:r w:rsidRPr="002F7069">
        <w:rPr>
          <w:szCs w:val="22"/>
        </w:rPr>
        <w:t xml:space="preserve"> = $</w:t>
      </w:r>
      <w:r w:rsidR="0090296F" w:rsidRPr="002F7069">
        <w:rPr>
          <w:szCs w:val="22"/>
        </w:rPr>
        <w:t>25,761.60</w:t>
      </w:r>
    </w:p>
    <w:p w14:paraId="3D61E6BF" w14:textId="77777777" w:rsidR="00D410CC" w:rsidRPr="002022D4" w:rsidRDefault="00D410CC" w:rsidP="000561DD">
      <w:pPr>
        <w:pStyle w:val="ParaNum"/>
        <w:widowControl/>
        <w:numPr>
          <w:ilvl w:val="0"/>
          <w:numId w:val="0"/>
        </w:numPr>
        <w:ind w:left="360"/>
        <w:jc w:val="left"/>
        <w:rPr>
          <w:szCs w:val="22"/>
        </w:rPr>
      </w:pPr>
      <w:r w:rsidRPr="002022D4">
        <w:rPr>
          <w:szCs w:val="22"/>
        </w:rPr>
        <w:t>(3)  The Commission estimates that each respondent will require approximately .50 hours (30 minutes) per form of TRS to electronically submit the call record and speed of answer data on a monthly basis:</w:t>
      </w:r>
    </w:p>
    <w:p w14:paraId="6FDE0580" w14:textId="5CFAD803" w:rsidR="00D410CC" w:rsidRPr="002022D4" w:rsidRDefault="00D410CC" w:rsidP="002255B8">
      <w:pPr>
        <w:pStyle w:val="ParaNum"/>
        <w:widowControl/>
        <w:numPr>
          <w:ilvl w:val="0"/>
          <w:numId w:val="0"/>
        </w:numPr>
        <w:ind w:left="1080"/>
        <w:jc w:val="left"/>
        <w:rPr>
          <w:szCs w:val="22"/>
        </w:rPr>
      </w:pPr>
      <w:r w:rsidRPr="002022D4">
        <w:rPr>
          <w:b/>
          <w:szCs w:val="22"/>
        </w:rPr>
        <w:t>Annual Burden Hours:</w:t>
      </w:r>
      <w:r w:rsidRPr="002022D4">
        <w:rPr>
          <w:szCs w:val="22"/>
        </w:rPr>
        <w:t xml:space="preserve">  </w:t>
      </w:r>
      <w:r w:rsidR="009D6CAD" w:rsidRPr="002022D4">
        <w:rPr>
          <w:szCs w:val="22"/>
        </w:rPr>
        <w:t xml:space="preserve">30 </w:t>
      </w:r>
      <w:r w:rsidRPr="002022D4">
        <w:rPr>
          <w:szCs w:val="22"/>
        </w:rPr>
        <w:t xml:space="preserve">+ </w:t>
      </w:r>
      <w:r w:rsidR="009D6CAD" w:rsidRPr="002022D4">
        <w:rPr>
          <w:szCs w:val="22"/>
        </w:rPr>
        <w:t xml:space="preserve">24 </w:t>
      </w:r>
      <w:r w:rsidRPr="002022D4">
        <w:rPr>
          <w:szCs w:val="22"/>
        </w:rPr>
        <w:t xml:space="preserve">+ </w:t>
      </w:r>
      <w:r w:rsidR="001724AD" w:rsidRPr="002022D4">
        <w:rPr>
          <w:szCs w:val="22"/>
        </w:rPr>
        <w:t>4</w:t>
      </w:r>
      <w:r w:rsidR="004E5141" w:rsidRPr="002022D4">
        <w:rPr>
          <w:szCs w:val="22"/>
        </w:rPr>
        <w:t>8</w:t>
      </w:r>
      <w:r w:rsidR="009D6CAD" w:rsidRPr="002022D4">
        <w:rPr>
          <w:szCs w:val="22"/>
        </w:rPr>
        <w:t xml:space="preserve"> </w:t>
      </w:r>
      <w:r w:rsidRPr="002022D4">
        <w:rPr>
          <w:szCs w:val="22"/>
        </w:rPr>
        <w:t xml:space="preserve">= </w:t>
      </w:r>
      <w:r w:rsidR="009D6CAD" w:rsidRPr="002022D4">
        <w:rPr>
          <w:szCs w:val="22"/>
        </w:rPr>
        <w:t>1</w:t>
      </w:r>
      <w:r w:rsidR="00693BBF" w:rsidRPr="002022D4">
        <w:rPr>
          <w:szCs w:val="22"/>
        </w:rPr>
        <w:t>02</w:t>
      </w:r>
      <w:r w:rsidR="009D6CAD" w:rsidRPr="002022D4">
        <w:rPr>
          <w:szCs w:val="22"/>
        </w:rPr>
        <w:t xml:space="preserve"> </w:t>
      </w:r>
      <w:r w:rsidRPr="002022D4">
        <w:rPr>
          <w:szCs w:val="22"/>
        </w:rPr>
        <w:t>hrs/yr</w:t>
      </w:r>
    </w:p>
    <w:p w14:paraId="3385F0B8" w14:textId="77777777" w:rsidR="00D410CC" w:rsidRPr="002022D4" w:rsidRDefault="00D410CC" w:rsidP="00D410CC">
      <w:pPr>
        <w:pStyle w:val="ParaNum"/>
        <w:widowControl/>
        <w:numPr>
          <w:ilvl w:val="0"/>
          <w:numId w:val="8"/>
        </w:numPr>
        <w:jc w:val="left"/>
        <w:rPr>
          <w:szCs w:val="22"/>
        </w:rPr>
      </w:pPr>
      <w:r w:rsidRPr="002022D4">
        <w:rPr>
          <w:szCs w:val="22"/>
        </w:rPr>
        <w:t>Five forms of TRS: 1 respondent x .50 hrs/month/form of TRS x 5 forms of TRS x 12 months/yr = 30 hrs/yr</w:t>
      </w:r>
    </w:p>
    <w:p w14:paraId="34708801" w14:textId="77777777" w:rsidR="00D410CC" w:rsidRPr="002022D4" w:rsidRDefault="00D410CC" w:rsidP="00D410CC">
      <w:pPr>
        <w:pStyle w:val="ParaNum"/>
        <w:widowControl/>
        <w:numPr>
          <w:ilvl w:val="0"/>
          <w:numId w:val="8"/>
        </w:numPr>
        <w:jc w:val="left"/>
        <w:rPr>
          <w:szCs w:val="22"/>
        </w:rPr>
      </w:pPr>
      <w:r w:rsidRPr="002022D4">
        <w:rPr>
          <w:szCs w:val="22"/>
        </w:rPr>
        <w:t xml:space="preserve">Four forms of TRS: </w:t>
      </w:r>
      <w:r w:rsidR="009D6CAD" w:rsidRPr="002022D4">
        <w:rPr>
          <w:szCs w:val="22"/>
        </w:rPr>
        <w:t xml:space="preserve">1 </w:t>
      </w:r>
      <w:r w:rsidRPr="002022D4">
        <w:rPr>
          <w:szCs w:val="22"/>
        </w:rPr>
        <w:t xml:space="preserve">respondent x .50 hrs/month/form of TRS x 4 forms of TRS x 12 months/yr = </w:t>
      </w:r>
      <w:r w:rsidR="009D6CAD" w:rsidRPr="002022D4">
        <w:rPr>
          <w:szCs w:val="22"/>
        </w:rPr>
        <w:t xml:space="preserve">24 </w:t>
      </w:r>
      <w:r w:rsidRPr="002022D4">
        <w:rPr>
          <w:szCs w:val="22"/>
        </w:rPr>
        <w:t>hrs/yr</w:t>
      </w:r>
    </w:p>
    <w:p w14:paraId="20BF8B0F" w14:textId="4A965E1A" w:rsidR="00D410CC" w:rsidRPr="002022D4" w:rsidRDefault="00D410CC" w:rsidP="00D410CC">
      <w:pPr>
        <w:pStyle w:val="ParaNum"/>
        <w:widowControl/>
        <w:numPr>
          <w:ilvl w:val="0"/>
          <w:numId w:val="8"/>
        </w:numPr>
        <w:jc w:val="left"/>
        <w:rPr>
          <w:szCs w:val="22"/>
        </w:rPr>
      </w:pPr>
      <w:r w:rsidRPr="002022D4">
        <w:rPr>
          <w:szCs w:val="22"/>
        </w:rPr>
        <w:t xml:space="preserve">One form of TRS: </w:t>
      </w:r>
      <w:r w:rsidR="004E5141" w:rsidRPr="002022D4">
        <w:rPr>
          <w:szCs w:val="22"/>
        </w:rPr>
        <w:t xml:space="preserve">8 </w:t>
      </w:r>
      <w:r w:rsidRPr="002022D4">
        <w:rPr>
          <w:szCs w:val="22"/>
        </w:rPr>
        <w:t xml:space="preserve">respondents x .50 hrs/month/form of TRS x 1 form of TRS x 12 months/yr = </w:t>
      </w:r>
      <w:r w:rsidR="001724AD" w:rsidRPr="002022D4">
        <w:rPr>
          <w:szCs w:val="22"/>
        </w:rPr>
        <w:t>4</w:t>
      </w:r>
      <w:r w:rsidR="004E5141" w:rsidRPr="002022D4">
        <w:rPr>
          <w:szCs w:val="22"/>
        </w:rPr>
        <w:t>8</w:t>
      </w:r>
      <w:r w:rsidR="009D6CAD" w:rsidRPr="002022D4">
        <w:rPr>
          <w:szCs w:val="22"/>
        </w:rPr>
        <w:t xml:space="preserve"> </w:t>
      </w:r>
      <w:r w:rsidRPr="002022D4">
        <w:rPr>
          <w:szCs w:val="22"/>
        </w:rPr>
        <w:t>hrs/yr</w:t>
      </w:r>
    </w:p>
    <w:p w14:paraId="56F5AF76" w14:textId="280AAB3C" w:rsidR="00D718C4" w:rsidRPr="002022D4" w:rsidRDefault="00D410CC" w:rsidP="002255B8">
      <w:pPr>
        <w:pStyle w:val="ParaNum"/>
        <w:widowControl/>
        <w:numPr>
          <w:ilvl w:val="0"/>
          <w:numId w:val="0"/>
        </w:numPr>
        <w:ind w:left="1080"/>
        <w:jc w:val="left"/>
        <w:rPr>
          <w:szCs w:val="22"/>
        </w:rPr>
      </w:pPr>
      <w:r w:rsidRPr="002022D4">
        <w:rPr>
          <w:b/>
          <w:szCs w:val="22"/>
        </w:rPr>
        <w:t>Annual Number of Responses</w:t>
      </w:r>
      <w:r w:rsidRPr="002022D4">
        <w:rPr>
          <w:szCs w:val="22"/>
        </w:rPr>
        <w:t xml:space="preserve"> </w:t>
      </w:r>
      <w:r w:rsidRPr="002022D4">
        <w:rPr>
          <w:b/>
          <w:szCs w:val="22"/>
        </w:rPr>
        <w:t>(1 response/form of TRS x 12 months):</w:t>
      </w:r>
      <w:r w:rsidRPr="002022D4">
        <w:rPr>
          <w:szCs w:val="22"/>
        </w:rPr>
        <w:t xml:space="preserve"> </w:t>
      </w:r>
      <w:r w:rsidR="00D718C4" w:rsidRPr="002022D4">
        <w:rPr>
          <w:szCs w:val="22"/>
        </w:rPr>
        <w:t>204 responses/yr</w:t>
      </w:r>
    </w:p>
    <w:p w14:paraId="6F4670B9" w14:textId="46CA4F34" w:rsidR="00D410CC" w:rsidRPr="002022D4" w:rsidRDefault="00D410CC" w:rsidP="002255B8">
      <w:pPr>
        <w:pStyle w:val="ParaNum"/>
        <w:widowControl/>
        <w:numPr>
          <w:ilvl w:val="0"/>
          <w:numId w:val="0"/>
        </w:numPr>
        <w:ind w:left="360"/>
        <w:jc w:val="left"/>
        <w:rPr>
          <w:szCs w:val="22"/>
        </w:rPr>
      </w:pPr>
      <w:r w:rsidRPr="002022D4">
        <w:rPr>
          <w:szCs w:val="22"/>
        </w:rPr>
        <w:t>5 forms of TRS (1 provider) + 4 forms of TRS (</w:t>
      </w:r>
      <w:r w:rsidR="009D6CAD" w:rsidRPr="002022D4">
        <w:rPr>
          <w:szCs w:val="22"/>
        </w:rPr>
        <w:t xml:space="preserve">1 </w:t>
      </w:r>
      <w:r w:rsidRPr="002022D4">
        <w:rPr>
          <w:szCs w:val="22"/>
        </w:rPr>
        <w:t>provider) + 1 form of TRS (</w:t>
      </w:r>
      <w:r w:rsidR="004E5141" w:rsidRPr="002022D4">
        <w:rPr>
          <w:szCs w:val="22"/>
        </w:rPr>
        <w:t>8</w:t>
      </w:r>
      <w:r w:rsidR="00067B05" w:rsidRPr="002022D4">
        <w:rPr>
          <w:szCs w:val="22"/>
        </w:rPr>
        <w:t xml:space="preserve"> </w:t>
      </w:r>
      <w:r w:rsidRPr="002022D4">
        <w:rPr>
          <w:szCs w:val="22"/>
        </w:rPr>
        <w:t xml:space="preserve">providers) = 5 + </w:t>
      </w:r>
      <w:r w:rsidR="009D6CAD" w:rsidRPr="002022D4">
        <w:rPr>
          <w:szCs w:val="22"/>
        </w:rPr>
        <w:t xml:space="preserve">4 </w:t>
      </w:r>
      <w:r w:rsidRPr="002022D4">
        <w:rPr>
          <w:szCs w:val="22"/>
        </w:rPr>
        <w:t xml:space="preserve">+ </w:t>
      </w:r>
      <w:r w:rsidR="004E5141" w:rsidRPr="002022D4">
        <w:rPr>
          <w:szCs w:val="22"/>
        </w:rPr>
        <w:t>8</w:t>
      </w:r>
      <w:r w:rsidR="009D6CAD" w:rsidRPr="002022D4">
        <w:rPr>
          <w:szCs w:val="22"/>
        </w:rPr>
        <w:t xml:space="preserve"> </w:t>
      </w:r>
      <w:r w:rsidRPr="002022D4">
        <w:rPr>
          <w:szCs w:val="22"/>
        </w:rPr>
        <w:t xml:space="preserve">= </w:t>
      </w:r>
      <w:r w:rsidR="004E5141" w:rsidRPr="002022D4">
        <w:rPr>
          <w:szCs w:val="22"/>
        </w:rPr>
        <w:t>17</w:t>
      </w:r>
      <w:r w:rsidRPr="002022D4">
        <w:rPr>
          <w:szCs w:val="22"/>
        </w:rPr>
        <w:t xml:space="preserve">; </w:t>
      </w:r>
      <w:r w:rsidR="004E5141" w:rsidRPr="002022D4">
        <w:rPr>
          <w:szCs w:val="22"/>
        </w:rPr>
        <w:t>17</w:t>
      </w:r>
      <w:r w:rsidR="009D6CAD" w:rsidRPr="002022D4">
        <w:rPr>
          <w:szCs w:val="22"/>
        </w:rPr>
        <w:t xml:space="preserve"> </w:t>
      </w:r>
      <w:r w:rsidRPr="002022D4">
        <w:rPr>
          <w:szCs w:val="22"/>
        </w:rPr>
        <w:t xml:space="preserve">x 12 = </w:t>
      </w:r>
      <w:r w:rsidR="004E5141" w:rsidRPr="002022D4">
        <w:rPr>
          <w:szCs w:val="22"/>
        </w:rPr>
        <w:t xml:space="preserve">204 </w:t>
      </w:r>
      <w:r w:rsidRPr="002022D4">
        <w:rPr>
          <w:szCs w:val="22"/>
        </w:rPr>
        <w:t>responses/yr</w:t>
      </w:r>
    </w:p>
    <w:p w14:paraId="72AC5ADA" w14:textId="21065511" w:rsidR="00D410CC" w:rsidRPr="002022D4" w:rsidRDefault="00D410CC" w:rsidP="002255B8">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FE73CF" w:rsidRPr="002022D4">
        <w:rPr>
          <w:szCs w:val="22"/>
        </w:rPr>
        <w:t xml:space="preserve">(GS-15 step 5) </w:t>
      </w:r>
      <w:r w:rsidRPr="002022D4">
        <w:rPr>
          <w:szCs w:val="22"/>
        </w:rPr>
        <w:t xml:space="preserve">to electronically submit the call record and speed of answer data. </w:t>
      </w:r>
      <w:r w:rsidR="00693BBF" w:rsidRPr="002022D4">
        <w:rPr>
          <w:szCs w:val="22"/>
        </w:rPr>
        <w:t xml:space="preserve"> </w:t>
      </w:r>
      <w:r w:rsidRPr="002022D4">
        <w:rPr>
          <w:szCs w:val="22"/>
        </w:rPr>
        <w:t>The Commission estimates respondents’ costs to be about $</w:t>
      </w:r>
      <w:r w:rsidR="006E4850" w:rsidRPr="002022D4">
        <w:rPr>
          <w:szCs w:val="22"/>
        </w:rPr>
        <w:t>71.56</w:t>
      </w:r>
      <w:r w:rsidRPr="002022D4">
        <w:rPr>
          <w:szCs w:val="22"/>
        </w:rPr>
        <w:t xml:space="preserve"> per hour to complete.</w:t>
      </w:r>
    </w:p>
    <w:p w14:paraId="592659CD" w14:textId="3D47045A" w:rsidR="00FE73CF" w:rsidRPr="002022D4" w:rsidRDefault="00D410CC" w:rsidP="002255B8">
      <w:pPr>
        <w:pStyle w:val="ParaNum"/>
        <w:widowControl/>
        <w:numPr>
          <w:ilvl w:val="0"/>
          <w:numId w:val="0"/>
        </w:numPr>
        <w:ind w:left="1080"/>
        <w:jc w:val="left"/>
        <w:rPr>
          <w:szCs w:val="22"/>
        </w:rPr>
      </w:pPr>
      <w:r w:rsidRPr="002022D4">
        <w:rPr>
          <w:b/>
          <w:szCs w:val="22"/>
        </w:rPr>
        <w:t>Annual “In-House” Cost:</w:t>
      </w:r>
      <w:r w:rsidRPr="002022D4">
        <w:rPr>
          <w:szCs w:val="22"/>
        </w:rPr>
        <w:t xml:space="preserve">  </w:t>
      </w:r>
      <w:r w:rsidR="009D6CAD" w:rsidRPr="002022D4">
        <w:rPr>
          <w:szCs w:val="22"/>
        </w:rPr>
        <w:t>1</w:t>
      </w:r>
      <w:r w:rsidR="00DF1B75" w:rsidRPr="002022D4">
        <w:rPr>
          <w:szCs w:val="22"/>
        </w:rPr>
        <w:t>02</w:t>
      </w:r>
      <w:r w:rsidR="009D6CAD" w:rsidRPr="002022D4">
        <w:rPr>
          <w:szCs w:val="22"/>
        </w:rPr>
        <w:t xml:space="preserve"> </w:t>
      </w:r>
      <w:r w:rsidRPr="002022D4">
        <w:rPr>
          <w:szCs w:val="22"/>
        </w:rPr>
        <w:t>hrs/yr x $</w:t>
      </w:r>
      <w:r w:rsidR="006E4850" w:rsidRPr="002022D4">
        <w:rPr>
          <w:szCs w:val="22"/>
        </w:rPr>
        <w:t>71.56</w:t>
      </w:r>
      <w:r w:rsidRPr="002022D4">
        <w:rPr>
          <w:szCs w:val="22"/>
        </w:rPr>
        <w:t xml:space="preserve"> = $</w:t>
      </w:r>
      <w:r w:rsidR="00903165" w:rsidRPr="002022D4">
        <w:rPr>
          <w:szCs w:val="22"/>
        </w:rPr>
        <w:t>72,991.20</w:t>
      </w:r>
    </w:p>
    <w:p w14:paraId="2F4FEA03" w14:textId="50C93EAF" w:rsidR="00FE73CF" w:rsidRPr="002022D4" w:rsidRDefault="00FE73CF" w:rsidP="002255B8">
      <w:pPr>
        <w:pStyle w:val="ParaNum"/>
        <w:widowControl/>
        <w:numPr>
          <w:ilvl w:val="0"/>
          <w:numId w:val="0"/>
        </w:numPr>
        <w:ind w:left="360"/>
        <w:jc w:val="left"/>
        <w:rPr>
          <w:szCs w:val="22"/>
        </w:rPr>
      </w:pPr>
      <w:r w:rsidRPr="002022D4">
        <w:rPr>
          <w:b/>
          <w:szCs w:val="22"/>
        </w:rPr>
        <w:t xml:space="preserve">Total Annual Number of Responses: </w:t>
      </w:r>
      <w:r w:rsidR="00DF1B75" w:rsidRPr="002022D4">
        <w:rPr>
          <w:szCs w:val="22"/>
        </w:rPr>
        <w:t xml:space="preserve">204 </w:t>
      </w:r>
      <w:r w:rsidR="0007056F" w:rsidRPr="002022D4">
        <w:rPr>
          <w:szCs w:val="22"/>
        </w:rPr>
        <w:t xml:space="preserve">+ </w:t>
      </w:r>
      <w:r w:rsidR="00DF1B75" w:rsidRPr="002022D4">
        <w:rPr>
          <w:szCs w:val="22"/>
        </w:rPr>
        <w:t xml:space="preserve">72 </w:t>
      </w:r>
      <w:r w:rsidR="0007056F" w:rsidRPr="002022D4">
        <w:rPr>
          <w:szCs w:val="22"/>
        </w:rPr>
        <w:t xml:space="preserve">+ </w:t>
      </w:r>
      <w:r w:rsidR="00DF1B75" w:rsidRPr="002022D4">
        <w:rPr>
          <w:szCs w:val="22"/>
        </w:rPr>
        <w:t xml:space="preserve">204 </w:t>
      </w:r>
      <w:r w:rsidR="0007056F" w:rsidRPr="002022D4">
        <w:rPr>
          <w:szCs w:val="22"/>
        </w:rPr>
        <w:t xml:space="preserve">= </w:t>
      </w:r>
      <w:r w:rsidR="00DF1B75" w:rsidRPr="002022D4">
        <w:rPr>
          <w:szCs w:val="22"/>
        </w:rPr>
        <w:t>480</w:t>
      </w:r>
    </w:p>
    <w:p w14:paraId="27D13515" w14:textId="1B49D2D7" w:rsidR="00FE73CF" w:rsidRPr="002022D4" w:rsidRDefault="00FE73CF" w:rsidP="002255B8">
      <w:pPr>
        <w:pStyle w:val="ParaNum"/>
        <w:widowControl/>
        <w:numPr>
          <w:ilvl w:val="0"/>
          <w:numId w:val="0"/>
        </w:numPr>
        <w:ind w:left="360"/>
        <w:jc w:val="left"/>
        <w:rPr>
          <w:szCs w:val="22"/>
        </w:rPr>
      </w:pPr>
      <w:r w:rsidRPr="002022D4">
        <w:rPr>
          <w:b/>
          <w:szCs w:val="22"/>
        </w:rPr>
        <w:t xml:space="preserve">Total Annual Number Burden Hours: </w:t>
      </w:r>
      <w:r w:rsidR="0007056F" w:rsidRPr="002022D4">
        <w:rPr>
          <w:szCs w:val="22"/>
        </w:rPr>
        <w:t>1,</w:t>
      </w:r>
      <w:r w:rsidR="00DF1B75" w:rsidRPr="002022D4">
        <w:rPr>
          <w:szCs w:val="22"/>
        </w:rPr>
        <w:t xml:space="preserve">020 </w:t>
      </w:r>
      <w:r w:rsidR="0007056F" w:rsidRPr="002022D4">
        <w:rPr>
          <w:szCs w:val="22"/>
        </w:rPr>
        <w:t xml:space="preserve">+ </w:t>
      </w:r>
      <w:r w:rsidR="00DF1B75" w:rsidRPr="002022D4">
        <w:rPr>
          <w:szCs w:val="22"/>
        </w:rPr>
        <w:t>36</w:t>
      </w:r>
      <w:r w:rsidR="0007056F" w:rsidRPr="002022D4">
        <w:rPr>
          <w:szCs w:val="22"/>
        </w:rPr>
        <w:t>0 + 1</w:t>
      </w:r>
      <w:r w:rsidR="00DF1B75" w:rsidRPr="002022D4">
        <w:rPr>
          <w:szCs w:val="22"/>
        </w:rPr>
        <w:t>02</w:t>
      </w:r>
      <w:r w:rsidR="0007056F" w:rsidRPr="002022D4">
        <w:rPr>
          <w:szCs w:val="22"/>
        </w:rPr>
        <w:t xml:space="preserve"> =</w:t>
      </w:r>
      <w:r w:rsidR="0007056F" w:rsidRPr="002022D4">
        <w:rPr>
          <w:b/>
          <w:szCs w:val="22"/>
        </w:rPr>
        <w:t xml:space="preserve"> </w:t>
      </w:r>
      <w:r w:rsidR="00DF1B75" w:rsidRPr="002022D4">
        <w:rPr>
          <w:szCs w:val="22"/>
        </w:rPr>
        <w:t>1,482</w:t>
      </w:r>
      <w:r w:rsidR="0007056F" w:rsidRPr="002022D4">
        <w:rPr>
          <w:szCs w:val="22"/>
        </w:rPr>
        <w:t xml:space="preserve"> hrs</w:t>
      </w:r>
    </w:p>
    <w:p w14:paraId="0D1E8777" w14:textId="7FFDE3FF" w:rsidR="00FE73CF" w:rsidRPr="002022D4" w:rsidRDefault="00FE73CF" w:rsidP="002255B8">
      <w:pPr>
        <w:pStyle w:val="ParaNum"/>
        <w:widowControl/>
        <w:numPr>
          <w:ilvl w:val="0"/>
          <w:numId w:val="0"/>
        </w:numPr>
        <w:ind w:left="360"/>
        <w:jc w:val="left"/>
        <w:rPr>
          <w:szCs w:val="22"/>
        </w:rPr>
      </w:pPr>
      <w:r w:rsidRPr="002022D4">
        <w:rPr>
          <w:b/>
          <w:szCs w:val="22"/>
        </w:rPr>
        <w:t xml:space="preserve">Total Annual “In-House” Cost: </w:t>
      </w:r>
      <w:r w:rsidR="0007056F" w:rsidRPr="002022D4">
        <w:rPr>
          <w:szCs w:val="22"/>
        </w:rPr>
        <w:t>$</w:t>
      </w:r>
      <w:r w:rsidR="00CB7551" w:rsidRPr="002022D4">
        <w:rPr>
          <w:szCs w:val="22"/>
        </w:rPr>
        <w:t>72,991.20</w:t>
      </w:r>
      <w:r w:rsidR="0007056F" w:rsidRPr="008E0FF3">
        <w:rPr>
          <w:szCs w:val="22"/>
        </w:rPr>
        <w:t xml:space="preserve"> + $</w:t>
      </w:r>
      <w:r w:rsidR="00CB7551" w:rsidRPr="008E0FF3">
        <w:rPr>
          <w:szCs w:val="22"/>
        </w:rPr>
        <w:t>25,761.60</w:t>
      </w:r>
      <w:r w:rsidR="0007056F" w:rsidRPr="008E0FF3">
        <w:rPr>
          <w:szCs w:val="22"/>
        </w:rPr>
        <w:t xml:space="preserve"> + $</w:t>
      </w:r>
      <w:r w:rsidR="00CB7551" w:rsidRPr="008E0FF3">
        <w:rPr>
          <w:szCs w:val="22"/>
        </w:rPr>
        <w:t>72,991.20</w:t>
      </w:r>
      <w:r w:rsidR="0007056F" w:rsidRPr="008E0FF3">
        <w:rPr>
          <w:szCs w:val="22"/>
        </w:rPr>
        <w:t xml:space="preserve"> = $</w:t>
      </w:r>
      <w:r w:rsidR="00CB7551" w:rsidRPr="008E0FF3">
        <w:rPr>
          <w:szCs w:val="22"/>
        </w:rPr>
        <w:t>171,744</w:t>
      </w:r>
    </w:p>
    <w:p w14:paraId="673FA04B" w14:textId="77777777" w:rsidR="00D410CC" w:rsidRPr="002022D4" w:rsidRDefault="00D410CC" w:rsidP="002255B8">
      <w:pPr>
        <w:pStyle w:val="ParaNum"/>
        <w:widowControl/>
        <w:numPr>
          <w:ilvl w:val="0"/>
          <w:numId w:val="0"/>
        </w:numPr>
        <w:ind w:left="720"/>
        <w:jc w:val="left"/>
        <w:rPr>
          <w:szCs w:val="22"/>
        </w:rPr>
      </w:pPr>
      <w:r w:rsidRPr="002022D4">
        <w:rPr>
          <w:b/>
          <w:szCs w:val="22"/>
        </w:rPr>
        <w:t>D.</w:t>
      </w:r>
      <w:r w:rsidRPr="002022D4">
        <w:rPr>
          <w:b/>
          <w:i/>
          <w:szCs w:val="22"/>
        </w:rPr>
        <w:t xml:space="preserve">  Automated Call Data Collection</w:t>
      </w:r>
      <w:r w:rsidR="009D6CAD" w:rsidRPr="002022D4">
        <w:rPr>
          <w:b/>
          <w:i/>
          <w:szCs w:val="22"/>
        </w:rPr>
        <w:t xml:space="preserve"> </w:t>
      </w:r>
    </w:p>
    <w:p w14:paraId="0EF542B4" w14:textId="77777777" w:rsidR="00D410CC" w:rsidRPr="002022D4" w:rsidRDefault="00D410CC" w:rsidP="002255B8">
      <w:pPr>
        <w:pStyle w:val="ParaNum"/>
        <w:widowControl/>
        <w:numPr>
          <w:ilvl w:val="0"/>
          <w:numId w:val="0"/>
        </w:numPr>
        <w:ind w:left="1080"/>
        <w:jc w:val="left"/>
        <w:rPr>
          <w:b/>
          <w:szCs w:val="22"/>
        </w:rPr>
      </w:pPr>
      <w:r w:rsidRPr="002022D4">
        <w:rPr>
          <w:b/>
          <w:szCs w:val="22"/>
        </w:rPr>
        <w:t>Annual Number of Respondents:</w:t>
      </w:r>
      <w:r w:rsidR="00C07B56" w:rsidRPr="002022D4">
        <w:rPr>
          <w:b/>
          <w:szCs w:val="22"/>
        </w:rPr>
        <w:t xml:space="preserve"> </w:t>
      </w:r>
      <w:r w:rsidR="009E69A1" w:rsidRPr="002022D4">
        <w:rPr>
          <w:b/>
          <w:szCs w:val="22"/>
        </w:rPr>
        <w:t>3</w:t>
      </w:r>
      <w:r w:rsidR="00CD3EA7" w:rsidRPr="002022D4">
        <w:rPr>
          <w:b/>
          <w:szCs w:val="22"/>
        </w:rPr>
        <w:t xml:space="preserve"> </w:t>
      </w:r>
    </w:p>
    <w:p w14:paraId="720CA49E" w14:textId="7A07FB61" w:rsidR="00D410CC" w:rsidRPr="002022D4" w:rsidRDefault="009D6CAD" w:rsidP="002255B8">
      <w:pPr>
        <w:pStyle w:val="ParaNum"/>
        <w:widowControl/>
        <w:numPr>
          <w:ilvl w:val="0"/>
          <w:numId w:val="0"/>
        </w:numPr>
        <w:ind w:left="360"/>
        <w:jc w:val="left"/>
        <w:rPr>
          <w:szCs w:val="22"/>
        </w:rPr>
      </w:pPr>
      <w:r w:rsidRPr="002022D4">
        <w:rPr>
          <w:szCs w:val="22"/>
        </w:rPr>
        <w:t xml:space="preserve">The Commission concludes that all </w:t>
      </w:r>
      <w:r w:rsidR="00CD3EA7" w:rsidRPr="002022D4">
        <w:rPr>
          <w:szCs w:val="22"/>
        </w:rPr>
        <w:t xml:space="preserve">new </w:t>
      </w:r>
      <w:r w:rsidRPr="002022D4">
        <w:rPr>
          <w:szCs w:val="22"/>
        </w:rPr>
        <w:t>incumbent providers subject to this one-time information collection had implemented an automated system for capturing call data according to the Automated Call Data Collection requirement.  Since this requirement is a one-time information collection, it only applies to new potential provider(s).  At this time, the Commission</w:t>
      </w:r>
      <w:r w:rsidR="00301986" w:rsidRPr="002022D4">
        <w:rPr>
          <w:szCs w:val="22"/>
        </w:rPr>
        <w:t xml:space="preserve"> has not</w:t>
      </w:r>
      <w:r w:rsidRPr="002022D4">
        <w:rPr>
          <w:szCs w:val="22"/>
        </w:rPr>
        <w:t xml:space="preserve"> identified </w:t>
      </w:r>
      <w:r w:rsidR="00301986" w:rsidRPr="002022D4">
        <w:rPr>
          <w:szCs w:val="22"/>
        </w:rPr>
        <w:t xml:space="preserve">any </w:t>
      </w:r>
      <w:r w:rsidRPr="002022D4">
        <w:rPr>
          <w:szCs w:val="22"/>
        </w:rPr>
        <w:t>new potential provider</w:t>
      </w:r>
      <w:r w:rsidR="00301986" w:rsidRPr="002022D4">
        <w:rPr>
          <w:szCs w:val="22"/>
        </w:rPr>
        <w:t xml:space="preserve">, but estimates that there may be </w:t>
      </w:r>
      <w:r w:rsidR="00A73AFA" w:rsidRPr="002022D4">
        <w:rPr>
          <w:szCs w:val="22"/>
        </w:rPr>
        <w:t>up to</w:t>
      </w:r>
      <w:r w:rsidR="00301986" w:rsidRPr="002022D4">
        <w:rPr>
          <w:szCs w:val="22"/>
        </w:rPr>
        <w:t xml:space="preserve"> </w:t>
      </w:r>
      <w:r w:rsidR="00A73AFA" w:rsidRPr="002022D4">
        <w:rPr>
          <w:szCs w:val="22"/>
        </w:rPr>
        <w:t>1</w:t>
      </w:r>
      <w:r w:rsidR="00301986" w:rsidRPr="002022D4">
        <w:rPr>
          <w:szCs w:val="22"/>
        </w:rPr>
        <w:t xml:space="preserve"> new provider</w:t>
      </w:r>
      <w:r w:rsidR="00A73AFA" w:rsidRPr="002022D4">
        <w:rPr>
          <w:szCs w:val="22"/>
        </w:rPr>
        <w:t xml:space="preserve"> each year</w:t>
      </w:r>
      <w:r w:rsidR="00301986" w:rsidRPr="002022D4">
        <w:rPr>
          <w:szCs w:val="22"/>
        </w:rPr>
        <w:t xml:space="preserve"> </w:t>
      </w:r>
      <w:r w:rsidR="00566013" w:rsidRPr="002022D4">
        <w:rPr>
          <w:szCs w:val="22"/>
        </w:rPr>
        <w:t>over the three-year period of this collection</w:t>
      </w:r>
      <w:r w:rsidRPr="002022D4">
        <w:rPr>
          <w:szCs w:val="22"/>
        </w:rPr>
        <w:t xml:space="preserve">. </w:t>
      </w:r>
      <w:r w:rsidR="00D410CC" w:rsidRPr="002022D4">
        <w:rPr>
          <w:szCs w:val="22"/>
        </w:rPr>
        <w:t>The Commission estimates that respondents will</w:t>
      </w:r>
      <w:r w:rsidR="008020B5" w:rsidRPr="002022D4">
        <w:rPr>
          <w:szCs w:val="22"/>
        </w:rPr>
        <w:t xml:space="preserve"> </w:t>
      </w:r>
      <w:r w:rsidR="00D410CC" w:rsidRPr="002022D4">
        <w:rPr>
          <w:szCs w:val="22"/>
        </w:rPr>
        <w:t xml:space="preserve">require approximately 25 hours per form of TRS offered to complete the implementation of technology that allows automatic capture of the session and conversation times, to the nearest second, and all other data required </w:t>
      </w:r>
      <w:r w:rsidR="00100FA2" w:rsidRPr="002022D4">
        <w:rPr>
          <w:szCs w:val="22"/>
        </w:rPr>
        <w:t xml:space="preserve">by </w:t>
      </w:r>
      <w:r w:rsidR="00D410CC" w:rsidRPr="002022D4">
        <w:rPr>
          <w:szCs w:val="22"/>
        </w:rPr>
        <w:t xml:space="preserve">the </w:t>
      </w:r>
      <w:r w:rsidR="0048517A" w:rsidRPr="002022D4">
        <w:rPr>
          <w:i/>
          <w:szCs w:val="22"/>
        </w:rPr>
        <w:t xml:space="preserve">VRS Fraud Prevention </w:t>
      </w:r>
      <w:r w:rsidR="00D410CC" w:rsidRPr="002022D4">
        <w:rPr>
          <w:i/>
          <w:szCs w:val="22"/>
        </w:rPr>
        <w:t xml:space="preserve">Order </w:t>
      </w:r>
      <w:r w:rsidR="00D410CC" w:rsidRPr="002022D4">
        <w:rPr>
          <w:szCs w:val="22"/>
        </w:rPr>
        <w:t>for each call.</w:t>
      </w:r>
    </w:p>
    <w:p w14:paraId="6A142833" w14:textId="77777777" w:rsidR="00D410CC" w:rsidRPr="002022D4" w:rsidRDefault="00D410CC" w:rsidP="002255B8">
      <w:pPr>
        <w:pStyle w:val="ParaNum"/>
        <w:widowControl/>
        <w:numPr>
          <w:ilvl w:val="0"/>
          <w:numId w:val="0"/>
        </w:numPr>
        <w:ind w:left="360"/>
        <w:jc w:val="left"/>
        <w:rPr>
          <w:szCs w:val="22"/>
        </w:rPr>
      </w:pPr>
      <w:r w:rsidRPr="002022D4">
        <w:rPr>
          <w:szCs w:val="22"/>
        </w:rPr>
        <w:t>The implementation will be performed on a one-time basis.</w:t>
      </w:r>
    </w:p>
    <w:p w14:paraId="22570E76" w14:textId="04CB1002" w:rsidR="00D410CC" w:rsidRPr="002022D4" w:rsidRDefault="00D410CC" w:rsidP="002255B8">
      <w:pPr>
        <w:pStyle w:val="ParaNum"/>
        <w:widowControl/>
        <w:numPr>
          <w:ilvl w:val="0"/>
          <w:numId w:val="0"/>
        </w:numPr>
        <w:ind w:left="720"/>
        <w:jc w:val="left"/>
        <w:rPr>
          <w:szCs w:val="22"/>
        </w:rPr>
      </w:pPr>
      <w:r w:rsidRPr="002022D4">
        <w:rPr>
          <w:b/>
          <w:szCs w:val="22"/>
        </w:rPr>
        <w:t>Number of Responses</w:t>
      </w:r>
      <w:r w:rsidR="008032BF" w:rsidRPr="002022D4">
        <w:rPr>
          <w:b/>
          <w:szCs w:val="22"/>
        </w:rPr>
        <w:t xml:space="preserve"> (One-time)</w:t>
      </w:r>
      <w:r w:rsidRPr="002022D4">
        <w:rPr>
          <w:b/>
          <w:szCs w:val="22"/>
        </w:rPr>
        <w:t>:</w:t>
      </w:r>
      <w:r w:rsidRPr="002022D4">
        <w:rPr>
          <w:szCs w:val="22"/>
        </w:rPr>
        <w:t xml:space="preserve"> </w:t>
      </w:r>
      <w:r w:rsidR="00513AD8" w:rsidRPr="002022D4">
        <w:rPr>
          <w:szCs w:val="22"/>
        </w:rPr>
        <w:t>3</w:t>
      </w:r>
      <w:r w:rsidR="009D6CAD" w:rsidRPr="002022D4">
        <w:rPr>
          <w:szCs w:val="22"/>
        </w:rPr>
        <w:t xml:space="preserve"> respondent</w:t>
      </w:r>
      <w:r w:rsidR="00513AD8" w:rsidRPr="002022D4">
        <w:rPr>
          <w:szCs w:val="22"/>
        </w:rPr>
        <w:t>s</w:t>
      </w:r>
      <w:r w:rsidR="009D6CAD" w:rsidRPr="002022D4">
        <w:rPr>
          <w:szCs w:val="22"/>
        </w:rPr>
        <w:t xml:space="preserve"> (</w:t>
      </w:r>
      <w:r w:rsidR="009605FC" w:rsidRPr="002022D4">
        <w:rPr>
          <w:szCs w:val="22"/>
        </w:rPr>
        <w:t xml:space="preserve">each </w:t>
      </w:r>
      <w:r w:rsidR="009D6CAD" w:rsidRPr="002022D4">
        <w:rPr>
          <w:szCs w:val="22"/>
        </w:rPr>
        <w:t>provider offering one form of TRS)</w:t>
      </w:r>
    </w:p>
    <w:p w14:paraId="00D287DB" w14:textId="7D31CB07" w:rsidR="00D410CC" w:rsidRPr="002022D4" w:rsidRDefault="00D410CC" w:rsidP="002255B8">
      <w:pPr>
        <w:pStyle w:val="ParaNum"/>
        <w:widowControl/>
        <w:numPr>
          <w:ilvl w:val="0"/>
          <w:numId w:val="0"/>
        </w:numPr>
        <w:ind w:left="720"/>
        <w:jc w:val="left"/>
        <w:rPr>
          <w:szCs w:val="22"/>
        </w:rPr>
      </w:pPr>
      <w:r w:rsidRPr="002022D4">
        <w:rPr>
          <w:b/>
          <w:szCs w:val="22"/>
        </w:rPr>
        <w:t xml:space="preserve">Number of Burden Hours (One-time):  </w:t>
      </w:r>
      <w:r w:rsidR="0007443D" w:rsidRPr="002022D4">
        <w:rPr>
          <w:szCs w:val="22"/>
        </w:rPr>
        <w:t>75</w:t>
      </w:r>
      <w:r w:rsidRPr="002022D4">
        <w:rPr>
          <w:szCs w:val="22"/>
        </w:rPr>
        <w:t xml:space="preserve"> hrs:</w:t>
      </w:r>
    </w:p>
    <w:p w14:paraId="27B29EDF" w14:textId="7A46D57C" w:rsidR="00D410CC" w:rsidRPr="002022D4" w:rsidRDefault="00D410CC" w:rsidP="002255B8">
      <w:pPr>
        <w:pStyle w:val="ParaNum"/>
        <w:widowControl/>
        <w:numPr>
          <w:ilvl w:val="0"/>
          <w:numId w:val="0"/>
        </w:numPr>
        <w:ind w:left="360"/>
        <w:jc w:val="left"/>
        <w:rPr>
          <w:szCs w:val="22"/>
        </w:rPr>
      </w:pPr>
      <w:r w:rsidRPr="002022D4">
        <w:rPr>
          <w:szCs w:val="22"/>
        </w:rPr>
        <w:t xml:space="preserve">One form of TRS: </w:t>
      </w:r>
      <w:r w:rsidR="009605FC" w:rsidRPr="002022D4">
        <w:rPr>
          <w:szCs w:val="22"/>
        </w:rPr>
        <w:t xml:space="preserve"> </w:t>
      </w:r>
      <w:r w:rsidR="0007443D" w:rsidRPr="002022D4">
        <w:rPr>
          <w:szCs w:val="22"/>
        </w:rPr>
        <w:t>3</w:t>
      </w:r>
      <w:r w:rsidR="009D6CAD" w:rsidRPr="002022D4">
        <w:rPr>
          <w:szCs w:val="22"/>
        </w:rPr>
        <w:t xml:space="preserve"> </w:t>
      </w:r>
      <w:r w:rsidRPr="002022D4">
        <w:rPr>
          <w:szCs w:val="22"/>
        </w:rPr>
        <w:t>respondent</w:t>
      </w:r>
      <w:r w:rsidR="009605FC" w:rsidRPr="002022D4">
        <w:rPr>
          <w:szCs w:val="22"/>
        </w:rPr>
        <w:t>s</w:t>
      </w:r>
      <w:r w:rsidRPr="002022D4">
        <w:rPr>
          <w:szCs w:val="22"/>
        </w:rPr>
        <w:t xml:space="preserve"> x 1 form of TRS x 25 hrs/form of TRS = </w:t>
      </w:r>
      <w:r w:rsidR="0007443D" w:rsidRPr="002022D4">
        <w:rPr>
          <w:szCs w:val="22"/>
        </w:rPr>
        <w:t>75</w:t>
      </w:r>
      <w:r w:rsidR="009D6CAD" w:rsidRPr="002022D4">
        <w:rPr>
          <w:szCs w:val="22"/>
        </w:rPr>
        <w:t xml:space="preserve"> </w:t>
      </w:r>
      <w:r w:rsidRPr="002022D4">
        <w:rPr>
          <w:szCs w:val="22"/>
        </w:rPr>
        <w:t>hrs</w:t>
      </w:r>
    </w:p>
    <w:p w14:paraId="438B3ACB" w14:textId="75AEBC59" w:rsidR="00D410CC" w:rsidRPr="002022D4" w:rsidRDefault="00D410CC" w:rsidP="00D410CC">
      <w:pPr>
        <w:pStyle w:val="ParaNum"/>
        <w:widowControl/>
        <w:numPr>
          <w:ilvl w:val="0"/>
          <w:numId w:val="0"/>
        </w:numPr>
        <w:ind w:left="360"/>
        <w:jc w:val="left"/>
        <w:rPr>
          <w:szCs w:val="22"/>
        </w:rPr>
      </w:pPr>
      <w:r w:rsidRPr="002022D4">
        <w:rPr>
          <w:szCs w:val="22"/>
        </w:rPr>
        <w:t xml:space="preserve">The Commission assumes that respondents will use “in-house” personnel </w:t>
      </w:r>
      <w:r w:rsidR="0007056F" w:rsidRPr="002022D4">
        <w:rPr>
          <w:szCs w:val="22"/>
        </w:rPr>
        <w:t xml:space="preserve">(GS-15 step 5) </w:t>
      </w:r>
      <w:r w:rsidRPr="002022D4">
        <w:rPr>
          <w:szCs w:val="22"/>
        </w:rPr>
        <w:t>whose pay is comparable to senior level federal employees to implement technology that supports automatic call data collection.</w:t>
      </w:r>
      <w:r w:rsidR="00566013" w:rsidRPr="002022D4">
        <w:rPr>
          <w:szCs w:val="22"/>
        </w:rPr>
        <w:t xml:space="preserve">  </w:t>
      </w:r>
      <w:r w:rsidRPr="002022D4">
        <w:rPr>
          <w:szCs w:val="22"/>
        </w:rPr>
        <w:t>The Commission estimates respondents’ costs to be about $</w:t>
      </w:r>
      <w:r w:rsidR="00245E2F" w:rsidRPr="002022D4">
        <w:rPr>
          <w:szCs w:val="22"/>
        </w:rPr>
        <w:t>71.56</w:t>
      </w:r>
      <w:r w:rsidRPr="002022D4">
        <w:rPr>
          <w:szCs w:val="22"/>
        </w:rPr>
        <w:t xml:space="preserve"> per hour to complete.</w:t>
      </w:r>
    </w:p>
    <w:p w14:paraId="4F5B5812" w14:textId="61A5EF44" w:rsidR="00D410CC" w:rsidRPr="002022D4" w:rsidRDefault="00D410CC" w:rsidP="00D410CC">
      <w:pPr>
        <w:pStyle w:val="ParaNum"/>
        <w:widowControl/>
        <w:numPr>
          <w:ilvl w:val="0"/>
          <w:numId w:val="0"/>
        </w:numPr>
        <w:ind w:left="360"/>
        <w:jc w:val="left"/>
        <w:rPr>
          <w:szCs w:val="22"/>
        </w:rPr>
      </w:pPr>
      <w:r w:rsidRPr="002022D4">
        <w:rPr>
          <w:b/>
          <w:szCs w:val="22"/>
        </w:rPr>
        <w:t xml:space="preserve"> “In-House” Cost</w:t>
      </w:r>
      <w:r w:rsidR="008032BF" w:rsidRPr="002022D4">
        <w:rPr>
          <w:b/>
          <w:szCs w:val="22"/>
        </w:rPr>
        <w:t xml:space="preserve"> (One-time)</w:t>
      </w:r>
      <w:r w:rsidRPr="002022D4">
        <w:rPr>
          <w:b/>
          <w:szCs w:val="22"/>
        </w:rPr>
        <w:t>:</w:t>
      </w:r>
      <w:r w:rsidRPr="002022D4">
        <w:rPr>
          <w:szCs w:val="22"/>
        </w:rPr>
        <w:t xml:space="preserve">  </w:t>
      </w:r>
      <w:r w:rsidR="0007443D" w:rsidRPr="002022D4">
        <w:rPr>
          <w:szCs w:val="22"/>
        </w:rPr>
        <w:t>75</w:t>
      </w:r>
      <w:r w:rsidR="009D6CAD" w:rsidRPr="002022D4">
        <w:rPr>
          <w:szCs w:val="22"/>
        </w:rPr>
        <w:t xml:space="preserve"> </w:t>
      </w:r>
      <w:r w:rsidRPr="002022D4">
        <w:rPr>
          <w:szCs w:val="22"/>
        </w:rPr>
        <w:t>hrs x $</w:t>
      </w:r>
      <w:r w:rsidR="00245E2F" w:rsidRPr="002022D4">
        <w:rPr>
          <w:szCs w:val="22"/>
        </w:rPr>
        <w:t>71.56</w:t>
      </w:r>
      <w:r w:rsidRPr="008E0FF3">
        <w:rPr>
          <w:szCs w:val="22"/>
        </w:rPr>
        <w:t>/hr = $</w:t>
      </w:r>
      <w:r w:rsidR="0007443D" w:rsidRPr="008E0FF3">
        <w:rPr>
          <w:szCs w:val="22"/>
        </w:rPr>
        <w:t>5,</w:t>
      </w:r>
      <w:r w:rsidR="00245E2F" w:rsidRPr="008E0FF3">
        <w:rPr>
          <w:szCs w:val="22"/>
        </w:rPr>
        <w:t>367</w:t>
      </w:r>
    </w:p>
    <w:p w14:paraId="7E4E9648" w14:textId="77777777" w:rsidR="00D410CC" w:rsidRPr="002022D4" w:rsidRDefault="00D410CC" w:rsidP="00D410CC">
      <w:pPr>
        <w:pStyle w:val="ParaNum"/>
        <w:widowControl/>
        <w:numPr>
          <w:ilvl w:val="0"/>
          <w:numId w:val="0"/>
        </w:numPr>
        <w:ind w:left="360"/>
        <w:jc w:val="left"/>
        <w:rPr>
          <w:szCs w:val="22"/>
        </w:rPr>
      </w:pPr>
      <w:r w:rsidRPr="002022D4">
        <w:rPr>
          <w:b/>
          <w:szCs w:val="22"/>
        </w:rPr>
        <w:t xml:space="preserve">Annualized Burdens -- </w:t>
      </w:r>
      <w:r w:rsidRPr="002022D4">
        <w:rPr>
          <w:szCs w:val="22"/>
        </w:rPr>
        <w:t>Though respondents will incur the burdens estimated in this section on a one-time basis, for purposes of cumulative burden estimates, these one-time estimates are annualized over the three-year period for which the Commission seeks approval for this collection.  Therefore:</w:t>
      </w:r>
    </w:p>
    <w:p w14:paraId="27E85001" w14:textId="2117756A" w:rsidR="00D410CC" w:rsidRPr="002022D4" w:rsidRDefault="00D410CC" w:rsidP="00D410CC">
      <w:pPr>
        <w:pStyle w:val="ParaNum"/>
        <w:widowControl/>
        <w:numPr>
          <w:ilvl w:val="0"/>
          <w:numId w:val="0"/>
        </w:numPr>
        <w:ind w:left="360"/>
        <w:jc w:val="left"/>
        <w:rPr>
          <w:b/>
          <w:szCs w:val="22"/>
        </w:rPr>
      </w:pPr>
      <w:r w:rsidRPr="002022D4">
        <w:rPr>
          <w:b/>
          <w:szCs w:val="22"/>
        </w:rPr>
        <w:t>Total Annual</w:t>
      </w:r>
      <w:r w:rsidR="00A73AFA" w:rsidRPr="002022D4">
        <w:rPr>
          <w:b/>
          <w:szCs w:val="22"/>
        </w:rPr>
        <w:t>ized</w:t>
      </w:r>
      <w:r w:rsidRPr="002022D4">
        <w:rPr>
          <w:b/>
          <w:szCs w:val="22"/>
        </w:rPr>
        <w:t xml:space="preserve"> Number of Responses: </w:t>
      </w:r>
      <w:r w:rsidR="0007443D" w:rsidRPr="002022D4">
        <w:rPr>
          <w:szCs w:val="22"/>
        </w:rPr>
        <w:t>3</w:t>
      </w:r>
      <w:r w:rsidRPr="002022D4">
        <w:rPr>
          <w:szCs w:val="22"/>
        </w:rPr>
        <w:t xml:space="preserve">/3 = </w:t>
      </w:r>
      <w:r w:rsidR="001D4329" w:rsidRPr="002022D4">
        <w:rPr>
          <w:szCs w:val="22"/>
        </w:rPr>
        <w:t>1</w:t>
      </w:r>
      <w:r w:rsidRPr="002022D4">
        <w:rPr>
          <w:szCs w:val="22"/>
        </w:rPr>
        <w:t xml:space="preserve"> response/yr</w:t>
      </w:r>
    </w:p>
    <w:p w14:paraId="1651F5FB" w14:textId="1C0027C5" w:rsidR="00D410CC" w:rsidRPr="002022D4" w:rsidRDefault="00D410CC" w:rsidP="00D410CC">
      <w:pPr>
        <w:pStyle w:val="ParaNum"/>
        <w:widowControl/>
        <w:numPr>
          <w:ilvl w:val="0"/>
          <w:numId w:val="0"/>
        </w:numPr>
        <w:ind w:left="360"/>
        <w:jc w:val="left"/>
        <w:rPr>
          <w:b/>
          <w:szCs w:val="22"/>
        </w:rPr>
      </w:pPr>
      <w:r w:rsidRPr="002022D4">
        <w:rPr>
          <w:b/>
          <w:szCs w:val="22"/>
        </w:rPr>
        <w:t>Total Annual</w:t>
      </w:r>
      <w:r w:rsidR="00A73AFA" w:rsidRPr="002022D4">
        <w:rPr>
          <w:b/>
          <w:szCs w:val="22"/>
        </w:rPr>
        <w:t>ized</w:t>
      </w:r>
      <w:r w:rsidRPr="002022D4">
        <w:rPr>
          <w:b/>
          <w:szCs w:val="22"/>
        </w:rPr>
        <w:t xml:space="preserve"> Number Burden Hours: </w:t>
      </w:r>
      <w:r w:rsidR="0007443D" w:rsidRPr="002022D4">
        <w:rPr>
          <w:szCs w:val="22"/>
        </w:rPr>
        <w:t>75</w:t>
      </w:r>
      <w:r w:rsidR="0007056F" w:rsidRPr="002022D4">
        <w:rPr>
          <w:szCs w:val="22"/>
        </w:rPr>
        <w:t xml:space="preserve"> </w:t>
      </w:r>
      <w:r w:rsidRPr="002022D4">
        <w:rPr>
          <w:szCs w:val="22"/>
        </w:rPr>
        <w:t xml:space="preserve">hrs/3 = </w:t>
      </w:r>
      <w:r w:rsidR="0007443D" w:rsidRPr="002022D4">
        <w:rPr>
          <w:szCs w:val="22"/>
        </w:rPr>
        <w:t>25</w:t>
      </w:r>
      <w:r w:rsidRPr="002022D4">
        <w:rPr>
          <w:szCs w:val="22"/>
        </w:rPr>
        <w:t xml:space="preserve"> hrs/yr</w:t>
      </w:r>
    </w:p>
    <w:p w14:paraId="615659D3" w14:textId="5E7DEF39" w:rsidR="00D410CC" w:rsidRPr="002022D4" w:rsidRDefault="00D410CC" w:rsidP="00D410CC">
      <w:pPr>
        <w:pStyle w:val="ParaNum"/>
        <w:widowControl/>
        <w:numPr>
          <w:ilvl w:val="0"/>
          <w:numId w:val="0"/>
        </w:numPr>
        <w:ind w:left="360"/>
        <w:jc w:val="left"/>
        <w:rPr>
          <w:b/>
          <w:szCs w:val="22"/>
        </w:rPr>
      </w:pPr>
      <w:r w:rsidRPr="002022D4">
        <w:rPr>
          <w:b/>
          <w:szCs w:val="22"/>
        </w:rPr>
        <w:t>Total Annual</w:t>
      </w:r>
      <w:r w:rsidR="00A73AFA" w:rsidRPr="002022D4">
        <w:rPr>
          <w:b/>
          <w:szCs w:val="22"/>
        </w:rPr>
        <w:t>ized</w:t>
      </w:r>
      <w:r w:rsidRPr="002022D4">
        <w:rPr>
          <w:b/>
          <w:szCs w:val="22"/>
        </w:rPr>
        <w:t xml:space="preserve"> “In-House” Cost: </w:t>
      </w:r>
      <w:r w:rsidRPr="002022D4">
        <w:rPr>
          <w:szCs w:val="22"/>
        </w:rPr>
        <w:t>$</w:t>
      </w:r>
      <w:r w:rsidR="0007443D" w:rsidRPr="008E0FF3">
        <w:rPr>
          <w:szCs w:val="22"/>
        </w:rPr>
        <w:t>5,</w:t>
      </w:r>
      <w:r w:rsidR="00245E2F" w:rsidRPr="008E0FF3">
        <w:rPr>
          <w:szCs w:val="22"/>
        </w:rPr>
        <w:t>367</w:t>
      </w:r>
      <w:r w:rsidRPr="008E0FF3">
        <w:rPr>
          <w:szCs w:val="22"/>
        </w:rPr>
        <w:t>/3 = $</w:t>
      </w:r>
      <w:r w:rsidR="0007443D" w:rsidRPr="008E0FF3">
        <w:rPr>
          <w:szCs w:val="22"/>
        </w:rPr>
        <w:t>1,</w:t>
      </w:r>
      <w:r w:rsidR="00245E2F" w:rsidRPr="008E0FF3">
        <w:rPr>
          <w:szCs w:val="22"/>
        </w:rPr>
        <w:t>789</w:t>
      </w:r>
      <w:r w:rsidRPr="008E0FF3">
        <w:rPr>
          <w:szCs w:val="22"/>
        </w:rPr>
        <w:t>/yr</w:t>
      </w:r>
    </w:p>
    <w:p w14:paraId="48C0E3F8" w14:textId="77777777" w:rsidR="00D410CC" w:rsidRPr="002022D4" w:rsidRDefault="00D410CC" w:rsidP="002255B8">
      <w:pPr>
        <w:pStyle w:val="ParaNum"/>
        <w:widowControl/>
        <w:numPr>
          <w:ilvl w:val="0"/>
          <w:numId w:val="0"/>
        </w:numPr>
        <w:ind w:left="720"/>
        <w:jc w:val="left"/>
        <w:rPr>
          <w:szCs w:val="22"/>
        </w:rPr>
      </w:pPr>
      <w:r w:rsidRPr="002022D4">
        <w:rPr>
          <w:b/>
          <w:szCs w:val="22"/>
        </w:rPr>
        <w:t xml:space="preserve">E. </w:t>
      </w:r>
      <w:r w:rsidRPr="002022D4">
        <w:rPr>
          <w:b/>
          <w:i/>
          <w:szCs w:val="22"/>
        </w:rPr>
        <w:t xml:space="preserve"> Record Retention</w:t>
      </w:r>
    </w:p>
    <w:p w14:paraId="2AF685A6" w14:textId="06337275" w:rsidR="00D410CC" w:rsidRPr="002022D4" w:rsidRDefault="00D410CC" w:rsidP="002255B8">
      <w:pPr>
        <w:pStyle w:val="ParaNum"/>
        <w:widowControl/>
        <w:numPr>
          <w:ilvl w:val="0"/>
          <w:numId w:val="0"/>
        </w:numPr>
        <w:ind w:left="1080"/>
        <w:jc w:val="left"/>
        <w:rPr>
          <w:szCs w:val="22"/>
        </w:rPr>
      </w:pPr>
      <w:r w:rsidRPr="002022D4">
        <w:rPr>
          <w:b/>
          <w:szCs w:val="22"/>
        </w:rPr>
        <w:t xml:space="preserve">Annual Number of Respondents: </w:t>
      </w:r>
      <w:r w:rsidR="003914A6" w:rsidRPr="002022D4">
        <w:rPr>
          <w:b/>
          <w:szCs w:val="22"/>
        </w:rPr>
        <w:t>10</w:t>
      </w:r>
    </w:p>
    <w:p w14:paraId="4E720200" w14:textId="6755500F" w:rsidR="00D410CC" w:rsidRPr="002022D4" w:rsidRDefault="001D4329" w:rsidP="00D410CC">
      <w:pPr>
        <w:pStyle w:val="ParaNum"/>
        <w:widowControl/>
        <w:numPr>
          <w:ilvl w:val="0"/>
          <w:numId w:val="0"/>
        </w:numPr>
        <w:ind w:left="360"/>
        <w:jc w:val="left"/>
        <w:rPr>
          <w:szCs w:val="22"/>
        </w:rPr>
      </w:pPr>
      <w:r w:rsidRPr="002022D4">
        <w:rPr>
          <w:szCs w:val="22"/>
        </w:rPr>
        <w:t xml:space="preserve">The Commission </w:t>
      </w:r>
      <w:r w:rsidR="00E773A8" w:rsidRPr="002022D4">
        <w:rPr>
          <w:szCs w:val="22"/>
        </w:rPr>
        <w:t>estimate</w:t>
      </w:r>
      <w:r w:rsidRPr="002022D4">
        <w:rPr>
          <w:szCs w:val="22"/>
        </w:rPr>
        <w:t>s</w:t>
      </w:r>
      <w:r w:rsidR="00E773A8" w:rsidRPr="002022D4">
        <w:rPr>
          <w:szCs w:val="22"/>
        </w:rPr>
        <w:t xml:space="preserve"> that there </w:t>
      </w:r>
      <w:r w:rsidR="00F12FB0" w:rsidRPr="002022D4">
        <w:rPr>
          <w:szCs w:val="22"/>
        </w:rPr>
        <w:t>are</w:t>
      </w:r>
      <w:r w:rsidR="00D410CC" w:rsidRPr="002022D4">
        <w:rPr>
          <w:szCs w:val="22"/>
        </w:rPr>
        <w:t xml:space="preserve"> </w:t>
      </w:r>
      <w:r w:rsidR="00F12FB0" w:rsidRPr="002022D4">
        <w:rPr>
          <w:szCs w:val="22"/>
        </w:rPr>
        <w:t>10</w:t>
      </w:r>
      <w:r w:rsidR="00DB6E78" w:rsidRPr="002022D4">
        <w:rPr>
          <w:szCs w:val="22"/>
        </w:rPr>
        <w:t xml:space="preserve"> </w:t>
      </w:r>
      <w:r w:rsidR="00D410CC" w:rsidRPr="002022D4">
        <w:rPr>
          <w:szCs w:val="22"/>
        </w:rPr>
        <w:t xml:space="preserve">unique providers (respondents) that provide VRS, IP Relay, or IP CTS.  </w:t>
      </w:r>
      <w:r w:rsidR="00E773A8" w:rsidRPr="002022D4">
        <w:rPr>
          <w:szCs w:val="22"/>
        </w:rPr>
        <w:t xml:space="preserve">1 </w:t>
      </w:r>
      <w:r w:rsidR="00D410CC" w:rsidRPr="002022D4">
        <w:rPr>
          <w:szCs w:val="22"/>
        </w:rPr>
        <w:t>provide</w:t>
      </w:r>
      <w:r w:rsidR="00E773A8" w:rsidRPr="002022D4">
        <w:rPr>
          <w:szCs w:val="22"/>
        </w:rPr>
        <w:t>s</w:t>
      </w:r>
      <w:r w:rsidR="00D410CC" w:rsidRPr="002022D4">
        <w:rPr>
          <w:szCs w:val="22"/>
        </w:rPr>
        <w:t xml:space="preserve"> </w:t>
      </w:r>
      <w:r w:rsidR="00E773A8" w:rsidRPr="002022D4">
        <w:rPr>
          <w:szCs w:val="22"/>
        </w:rPr>
        <w:t>two forms (</w:t>
      </w:r>
      <w:r w:rsidR="00D410CC" w:rsidRPr="002022D4">
        <w:rPr>
          <w:szCs w:val="22"/>
        </w:rPr>
        <w:t>IP Relay and IP CTS</w:t>
      </w:r>
      <w:r w:rsidR="00E773A8" w:rsidRPr="002022D4">
        <w:rPr>
          <w:szCs w:val="22"/>
        </w:rPr>
        <w:t>)</w:t>
      </w:r>
      <w:r w:rsidR="00F12FB0" w:rsidRPr="002022D4">
        <w:rPr>
          <w:szCs w:val="22"/>
        </w:rPr>
        <w:t>, and</w:t>
      </w:r>
      <w:r w:rsidR="008020B5" w:rsidRPr="002022D4">
        <w:rPr>
          <w:szCs w:val="22"/>
        </w:rPr>
        <w:t xml:space="preserve"> </w:t>
      </w:r>
      <w:r w:rsidR="00F12FB0" w:rsidRPr="002022D4">
        <w:rPr>
          <w:szCs w:val="22"/>
        </w:rPr>
        <w:t>9</w:t>
      </w:r>
      <w:r w:rsidR="00533BA0" w:rsidRPr="002022D4">
        <w:rPr>
          <w:szCs w:val="22"/>
        </w:rPr>
        <w:t xml:space="preserve"> </w:t>
      </w:r>
      <w:r w:rsidR="00D410CC" w:rsidRPr="002022D4">
        <w:rPr>
          <w:szCs w:val="22"/>
        </w:rPr>
        <w:t xml:space="preserve">provide </w:t>
      </w:r>
      <w:r w:rsidR="008020B5" w:rsidRPr="002022D4">
        <w:rPr>
          <w:szCs w:val="22"/>
        </w:rPr>
        <w:t xml:space="preserve">one </w:t>
      </w:r>
      <w:r w:rsidR="00E773A8" w:rsidRPr="002022D4">
        <w:rPr>
          <w:szCs w:val="22"/>
        </w:rPr>
        <w:t>form (</w:t>
      </w:r>
      <w:r w:rsidR="00F12FB0" w:rsidRPr="002022D4">
        <w:rPr>
          <w:szCs w:val="22"/>
        </w:rPr>
        <w:t>5</w:t>
      </w:r>
      <w:r w:rsidR="00D410CC" w:rsidRPr="002022D4">
        <w:rPr>
          <w:szCs w:val="22"/>
        </w:rPr>
        <w:t xml:space="preserve">VRS and </w:t>
      </w:r>
      <w:r w:rsidR="00F12FB0" w:rsidRPr="002022D4">
        <w:rPr>
          <w:szCs w:val="22"/>
        </w:rPr>
        <w:t>4</w:t>
      </w:r>
      <w:r w:rsidR="00E773A8" w:rsidRPr="002022D4">
        <w:rPr>
          <w:szCs w:val="22"/>
        </w:rPr>
        <w:t xml:space="preserve"> IP CTS</w:t>
      </w:r>
      <w:r w:rsidR="00533BA0" w:rsidRPr="002022D4">
        <w:rPr>
          <w:szCs w:val="22"/>
        </w:rPr>
        <w:t>)</w:t>
      </w:r>
      <w:r w:rsidR="00D410CC" w:rsidRPr="002022D4">
        <w:rPr>
          <w:szCs w:val="22"/>
        </w:rPr>
        <w:t>.</w:t>
      </w:r>
      <w:r w:rsidR="003914A6" w:rsidRPr="002022D4">
        <w:rPr>
          <w:rStyle w:val="FootnoteReference"/>
          <w:szCs w:val="22"/>
        </w:rPr>
        <w:footnoteReference w:id="22"/>
      </w:r>
      <w:r w:rsidR="00D410CC" w:rsidRPr="002022D4">
        <w:rPr>
          <w:szCs w:val="22"/>
        </w:rPr>
        <w:t xml:space="preserve"> </w:t>
      </w:r>
    </w:p>
    <w:p w14:paraId="7877EE88" w14:textId="57FA21C9" w:rsidR="003914A6" w:rsidRPr="002022D4" w:rsidRDefault="00D410CC" w:rsidP="002255B8">
      <w:pPr>
        <w:pStyle w:val="ParaNum"/>
        <w:widowControl/>
        <w:numPr>
          <w:ilvl w:val="0"/>
          <w:numId w:val="0"/>
        </w:numPr>
        <w:ind w:left="1080"/>
        <w:jc w:val="left"/>
        <w:rPr>
          <w:szCs w:val="22"/>
        </w:rPr>
      </w:pPr>
      <w:r w:rsidRPr="002022D4">
        <w:rPr>
          <w:b/>
          <w:szCs w:val="22"/>
        </w:rPr>
        <w:t>Annual Number of Responses:</w:t>
      </w:r>
      <w:r w:rsidRPr="002022D4">
        <w:rPr>
          <w:szCs w:val="22"/>
        </w:rPr>
        <w:t xml:space="preserve"> </w:t>
      </w:r>
      <w:r w:rsidR="005313DD" w:rsidRPr="002022D4">
        <w:rPr>
          <w:szCs w:val="22"/>
        </w:rPr>
        <w:t xml:space="preserve"> 11 responses/yr</w:t>
      </w:r>
    </w:p>
    <w:p w14:paraId="06C3ABE5" w14:textId="49FCCDFC" w:rsidR="00D410CC" w:rsidRPr="002022D4" w:rsidRDefault="00D410CC" w:rsidP="00D410CC">
      <w:pPr>
        <w:pStyle w:val="ParaNum"/>
        <w:widowControl/>
        <w:numPr>
          <w:ilvl w:val="0"/>
          <w:numId w:val="0"/>
        </w:numPr>
        <w:ind w:left="360"/>
        <w:jc w:val="left"/>
        <w:rPr>
          <w:szCs w:val="22"/>
        </w:rPr>
      </w:pPr>
      <w:r w:rsidRPr="002022D4">
        <w:rPr>
          <w:szCs w:val="22"/>
        </w:rPr>
        <w:t>(</w:t>
      </w:r>
      <w:r w:rsidR="00E773A8" w:rsidRPr="002022D4">
        <w:rPr>
          <w:szCs w:val="22"/>
        </w:rPr>
        <w:t xml:space="preserve">1 </w:t>
      </w:r>
      <w:r w:rsidRPr="002022D4">
        <w:rPr>
          <w:szCs w:val="22"/>
        </w:rPr>
        <w:t xml:space="preserve">provider x </w:t>
      </w:r>
      <w:r w:rsidR="003914A6" w:rsidRPr="002022D4">
        <w:rPr>
          <w:szCs w:val="22"/>
        </w:rPr>
        <w:t>2</w:t>
      </w:r>
      <w:r w:rsidRPr="002022D4">
        <w:rPr>
          <w:szCs w:val="22"/>
        </w:rPr>
        <w:t xml:space="preserve"> responses) + (</w:t>
      </w:r>
      <w:r w:rsidR="003914A6" w:rsidRPr="002022D4">
        <w:rPr>
          <w:szCs w:val="22"/>
        </w:rPr>
        <w:t>9</w:t>
      </w:r>
      <w:r w:rsidR="00E773A8" w:rsidRPr="002022D4">
        <w:rPr>
          <w:szCs w:val="22"/>
        </w:rPr>
        <w:t xml:space="preserve"> </w:t>
      </w:r>
      <w:r w:rsidRPr="002022D4">
        <w:rPr>
          <w:szCs w:val="22"/>
        </w:rPr>
        <w:t xml:space="preserve">providers x 1 response) = </w:t>
      </w:r>
      <w:r w:rsidR="00E773A8" w:rsidRPr="002022D4">
        <w:rPr>
          <w:szCs w:val="22"/>
        </w:rPr>
        <w:t>1</w:t>
      </w:r>
      <w:r w:rsidR="003914A6" w:rsidRPr="002022D4">
        <w:rPr>
          <w:szCs w:val="22"/>
        </w:rPr>
        <w:t>1</w:t>
      </w:r>
      <w:r w:rsidR="00E773A8" w:rsidRPr="002022D4">
        <w:rPr>
          <w:szCs w:val="22"/>
        </w:rPr>
        <w:t xml:space="preserve"> </w:t>
      </w:r>
      <w:r w:rsidRPr="002022D4">
        <w:rPr>
          <w:szCs w:val="22"/>
        </w:rPr>
        <w:t xml:space="preserve">responses/yr </w:t>
      </w:r>
    </w:p>
    <w:p w14:paraId="1BA62744" w14:textId="3CCF50BF" w:rsidR="00D410CC" w:rsidRPr="002022D4" w:rsidRDefault="00D410CC" w:rsidP="002255B8">
      <w:pPr>
        <w:pStyle w:val="ParaNum"/>
        <w:widowControl/>
        <w:numPr>
          <w:ilvl w:val="0"/>
          <w:numId w:val="0"/>
        </w:numPr>
        <w:ind w:left="1080"/>
        <w:jc w:val="left"/>
        <w:rPr>
          <w:szCs w:val="22"/>
        </w:rPr>
      </w:pPr>
      <w:r w:rsidRPr="002022D4">
        <w:rPr>
          <w:b/>
          <w:szCs w:val="22"/>
        </w:rPr>
        <w:t>Annual Number of Burden Hours:</w:t>
      </w:r>
      <w:r w:rsidRPr="002022D4">
        <w:rPr>
          <w:szCs w:val="22"/>
        </w:rPr>
        <w:t xml:space="preserve"> </w:t>
      </w:r>
      <w:r w:rsidR="00305C9F" w:rsidRPr="002022D4">
        <w:rPr>
          <w:szCs w:val="22"/>
        </w:rPr>
        <w:t>1</w:t>
      </w:r>
      <w:r w:rsidR="00DD2602" w:rsidRPr="002022D4">
        <w:rPr>
          <w:szCs w:val="22"/>
        </w:rPr>
        <w:t>0</w:t>
      </w:r>
      <w:r w:rsidR="00305C9F" w:rsidRPr="002022D4">
        <w:rPr>
          <w:szCs w:val="22"/>
        </w:rPr>
        <w:t xml:space="preserve"> </w:t>
      </w:r>
      <w:r w:rsidRPr="002022D4">
        <w:rPr>
          <w:szCs w:val="22"/>
        </w:rPr>
        <w:t xml:space="preserve">hrs + </w:t>
      </w:r>
      <w:r w:rsidR="00DD2602" w:rsidRPr="002022D4">
        <w:rPr>
          <w:szCs w:val="22"/>
        </w:rPr>
        <w:t>4</w:t>
      </w:r>
      <w:r w:rsidR="00305C9F" w:rsidRPr="002022D4">
        <w:rPr>
          <w:szCs w:val="22"/>
        </w:rPr>
        <w:t xml:space="preserve">5 </w:t>
      </w:r>
      <w:r w:rsidRPr="002022D4">
        <w:rPr>
          <w:szCs w:val="22"/>
        </w:rPr>
        <w:t xml:space="preserve">hrs = </w:t>
      </w:r>
      <w:r w:rsidR="00DD2602" w:rsidRPr="002022D4">
        <w:rPr>
          <w:szCs w:val="22"/>
        </w:rPr>
        <w:t>55</w:t>
      </w:r>
      <w:r w:rsidR="00305C9F" w:rsidRPr="002022D4">
        <w:rPr>
          <w:szCs w:val="22"/>
        </w:rPr>
        <w:t xml:space="preserve"> </w:t>
      </w:r>
      <w:r w:rsidRPr="002022D4">
        <w:rPr>
          <w:szCs w:val="22"/>
        </w:rPr>
        <w:t>hrs/yr</w:t>
      </w:r>
    </w:p>
    <w:p w14:paraId="503D2296" w14:textId="7603F3A1" w:rsidR="00D410CC" w:rsidRPr="002022D4" w:rsidRDefault="00D410CC" w:rsidP="00D410CC">
      <w:pPr>
        <w:pStyle w:val="ParaNum"/>
        <w:widowControl/>
        <w:numPr>
          <w:ilvl w:val="0"/>
          <w:numId w:val="0"/>
        </w:numPr>
        <w:ind w:left="360"/>
        <w:jc w:val="left"/>
        <w:rPr>
          <w:szCs w:val="22"/>
        </w:rPr>
      </w:pPr>
      <w:r w:rsidRPr="002022D4">
        <w:rPr>
          <w:szCs w:val="22"/>
        </w:rPr>
        <w:t>The Commission estimates that each respondent will require approximately 5 hours per form of Internet-based TRS to retain</w:t>
      </w:r>
      <w:r w:rsidR="00DD2602" w:rsidRPr="002022D4">
        <w:rPr>
          <w:szCs w:val="22"/>
        </w:rPr>
        <w:t xml:space="preserve"> for five years</w:t>
      </w:r>
      <w:r w:rsidRPr="002022D4">
        <w:rPr>
          <w:szCs w:val="22"/>
        </w:rPr>
        <w:t xml:space="preserve"> its call detail records, other records that support its claims for payment from the Fund, and those records used to substantiate the costs and expense data submitted in the annual relay service data request form.  Though the record keeping requirement entails record retention for five years, the burden is incurred once per year as new records are added and those older than five years are purged.</w:t>
      </w:r>
    </w:p>
    <w:p w14:paraId="34898FAC" w14:textId="37A6F883" w:rsidR="00D410CC" w:rsidRPr="002022D4" w:rsidRDefault="00DD2602" w:rsidP="00D410CC">
      <w:pPr>
        <w:pStyle w:val="ParaNum"/>
        <w:widowControl/>
        <w:numPr>
          <w:ilvl w:val="0"/>
          <w:numId w:val="0"/>
        </w:numPr>
        <w:ind w:left="360"/>
        <w:jc w:val="left"/>
        <w:rPr>
          <w:szCs w:val="22"/>
        </w:rPr>
      </w:pPr>
      <w:r w:rsidRPr="002022D4">
        <w:rPr>
          <w:szCs w:val="22"/>
        </w:rPr>
        <w:t>1</w:t>
      </w:r>
      <w:r w:rsidR="00E773A8" w:rsidRPr="002022D4">
        <w:rPr>
          <w:szCs w:val="22"/>
        </w:rPr>
        <w:t xml:space="preserve"> </w:t>
      </w:r>
      <w:r w:rsidR="00D410CC" w:rsidRPr="002022D4">
        <w:rPr>
          <w:szCs w:val="22"/>
        </w:rPr>
        <w:t xml:space="preserve">respondent x 2 forms of TRS x 5 hrs/form of TRS = </w:t>
      </w:r>
      <w:r w:rsidRPr="002022D4">
        <w:rPr>
          <w:szCs w:val="22"/>
        </w:rPr>
        <w:t>1</w:t>
      </w:r>
      <w:r w:rsidR="00E773A8" w:rsidRPr="002022D4">
        <w:rPr>
          <w:szCs w:val="22"/>
        </w:rPr>
        <w:t xml:space="preserve">0 </w:t>
      </w:r>
      <w:r w:rsidR="00D410CC" w:rsidRPr="002022D4">
        <w:rPr>
          <w:szCs w:val="22"/>
        </w:rPr>
        <w:t>hrs/yr</w:t>
      </w:r>
    </w:p>
    <w:p w14:paraId="1C599C05" w14:textId="45518C2C" w:rsidR="00D410CC" w:rsidRPr="002022D4" w:rsidRDefault="00DD2602" w:rsidP="00D410CC">
      <w:pPr>
        <w:pStyle w:val="ParaNum"/>
        <w:widowControl/>
        <w:numPr>
          <w:ilvl w:val="0"/>
          <w:numId w:val="0"/>
        </w:numPr>
        <w:ind w:left="360"/>
        <w:jc w:val="left"/>
        <w:rPr>
          <w:szCs w:val="22"/>
        </w:rPr>
      </w:pPr>
      <w:r w:rsidRPr="002022D4">
        <w:rPr>
          <w:szCs w:val="22"/>
        </w:rPr>
        <w:t>9</w:t>
      </w:r>
      <w:r w:rsidR="00E773A8" w:rsidRPr="002022D4">
        <w:rPr>
          <w:szCs w:val="22"/>
        </w:rPr>
        <w:t xml:space="preserve"> </w:t>
      </w:r>
      <w:r w:rsidR="00D410CC" w:rsidRPr="002022D4">
        <w:rPr>
          <w:szCs w:val="22"/>
        </w:rPr>
        <w:t xml:space="preserve">respondents x 1 form of TRS x 5 hrs/form of TRS = </w:t>
      </w:r>
      <w:r w:rsidRPr="002022D4">
        <w:rPr>
          <w:szCs w:val="22"/>
        </w:rPr>
        <w:t>4</w:t>
      </w:r>
      <w:r w:rsidR="00305C9F" w:rsidRPr="002022D4">
        <w:rPr>
          <w:szCs w:val="22"/>
        </w:rPr>
        <w:t>5</w:t>
      </w:r>
      <w:r w:rsidR="00E773A8" w:rsidRPr="002022D4">
        <w:rPr>
          <w:szCs w:val="22"/>
        </w:rPr>
        <w:t xml:space="preserve"> </w:t>
      </w:r>
      <w:r w:rsidR="00D410CC" w:rsidRPr="002022D4">
        <w:rPr>
          <w:szCs w:val="22"/>
        </w:rPr>
        <w:t>hrs/yr</w:t>
      </w:r>
    </w:p>
    <w:p w14:paraId="3BC27B5C" w14:textId="204F4902" w:rsidR="00D410CC" w:rsidRPr="002022D4" w:rsidRDefault="00D410CC" w:rsidP="00D410CC">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F837F8" w:rsidRPr="002022D4">
        <w:rPr>
          <w:szCs w:val="22"/>
        </w:rPr>
        <w:t xml:space="preserve">(GS-15 step 5) </w:t>
      </w:r>
      <w:r w:rsidRPr="002022D4">
        <w:rPr>
          <w:szCs w:val="22"/>
        </w:rPr>
        <w:t>for record keeping.</w:t>
      </w:r>
      <w:r w:rsidR="000533FF" w:rsidRPr="002022D4">
        <w:rPr>
          <w:szCs w:val="22"/>
        </w:rPr>
        <w:t xml:space="preserve">  </w:t>
      </w:r>
      <w:r w:rsidRPr="002022D4">
        <w:rPr>
          <w:szCs w:val="22"/>
        </w:rPr>
        <w:t>The Commission estimates respondents’ costs to be about $</w:t>
      </w:r>
      <w:r w:rsidR="00F444A8" w:rsidRPr="002022D4">
        <w:rPr>
          <w:szCs w:val="22"/>
        </w:rPr>
        <w:t>71.56</w:t>
      </w:r>
      <w:r w:rsidRPr="002022D4">
        <w:rPr>
          <w:szCs w:val="22"/>
        </w:rPr>
        <w:t xml:space="preserve"> per hour to complete.</w:t>
      </w:r>
    </w:p>
    <w:p w14:paraId="2F034BBE" w14:textId="403E00F9" w:rsidR="00D410CC" w:rsidRPr="002022D4" w:rsidRDefault="00D410CC" w:rsidP="002255B8">
      <w:pPr>
        <w:pStyle w:val="ParaNum"/>
        <w:widowControl/>
        <w:numPr>
          <w:ilvl w:val="0"/>
          <w:numId w:val="0"/>
        </w:numPr>
        <w:ind w:left="1080"/>
        <w:jc w:val="left"/>
        <w:rPr>
          <w:b/>
          <w:szCs w:val="22"/>
        </w:rPr>
      </w:pPr>
      <w:r w:rsidRPr="002022D4">
        <w:rPr>
          <w:b/>
          <w:szCs w:val="22"/>
        </w:rPr>
        <w:t>Annual “In-House” Cost:</w:t>
      </w:r>
      <w:r w:rsidRPr="002022D4">
        <w:rPr>
          <w:szCs w:val="22"/>
        </w:rPr>
        <w:t xml:space="preserve">  </w:t>
      </w:r>
      <w:r w:rsidR="00F444A8" w:rsidRPr="002022D4">
        <w:rPr>
          <w:szCs w:val="22"/>
        </w:rPr>
        <w:t>55</w:t>
      </w:r>
      <w:r w:rsidR="00305C9F" w:rsidRPr="002022D4">
        <w:rPr>
          <w:szCs w:val="22"/>
        </w:rPr>
        <w:t xml:space="preserve"> </w:t>
      </w:r>
      <w:r w:rsidRPr="002022D4">
        <w:rPr>
          <w:szCs w:val="22"/>
        </w:rPr>
        <w:t>hrs/yr x $</w:t>
      </w:r>
      <w:r w:rsidR="00245E2F" w:rsidRPr="002022D4">
        <w:rPr>
          <w:szCs w:val="22"/>
        </w:rPr>
        <w:t>71.56</w:t>
      </w:r>
      <w:r w:rsidRPr="002022D4">
        <w:rPr>
          <w:szCs w:val="22"/>
        </w:rPr>
        <w:t xml:space="preserve"> = $</w:t>
      </w:r>
      <w:r w:rsidR="00F444A8" w:rsidRPr="002022D4">
        <w:rPr>
          <w:szCs w:val="22"/>
        </w:rPr>
        <w:t>3,935.80</w:t>
      </w:r>
    </w:p>
    <w:p w14:paraId="2C7D9144" w14:textId="77777777" w:rsidR="006062B4" w:rsidRPr="002022D4" w:rsidRDefault="00B12CD9" w:rsidP="002255B8">
      <w:pPr>
        <w:pStyle w:val="ParaNum"/>
        <w:widowControl/>
        <w:numPr>
          <w:ilvl w:val="0"/>
          <w:numId w:val="0"/>
        </w:numPr>
        <w:ind w:left="720"/>
        <w:jc w:val="left"/>
        <w:rPr>
          <w:i/>
          <w:szCs w:val="22"/>
        </w:rPr>
      </w:pPr>
      <w:r w:rsidRPr="002022D4">
        <w:rPr>
          <w:b/>
          <w:szCs w:val="22"/>
        </w:rPr>
        <w:t>F</w:t>
      </w:r>
      <w:r w:rsidR="006062B4" w:rsidRPr="002022D4">
        <w:rPr>
          <w:b/>
          <w:szCs w:val="22"/>
        </w:rPr>
        <w:t>.</w:t>
      </w:r>
      <w:r w:rsidR="006062B4" w:rsidRPr="002022D4">
        <w:rPr>
          <w:b/>
          <w:i/>
          <w:szCs w:val="22"/>
        </w:rPr>
        <w:t xml:space="preserve">  </w:t>
      </w:r>
      <w:r w:rsidR="006062B4" w:rsidRPr="002022D4">
        <w:rPr>
          <w:b/>
          <w:i/>
        </w:rPr>
        <w:t>Third-</w:t>
      </w:r>
      <w:r w:rsidR="006062B4" w:rsidRPr="002022D4">
        <w:rPr>
          <w:b/>
          <w:i/>
          <w:szCs w:val="22"/>
        </w:rPr>
        <w:t>party</w:t>
      </w:r>
      <w:r w:rsidR="006062B4" w:rsidRPr="002022D4">
        <w:rPr>
          <w:b/>
          <w:i/>
        </w:rPr>
        <w:t xml:space="preserve"> Agreements</w:t>
      </w:r>
      <w:r w:rsidR="00F311A4" w:rsidRPr="002022D4">
        <w:rPr>
          <w:b/>
          <w:i/>
        </w:rPr>
        <w:t xml:space="preserve"> </w:t>
      </w:r>
    </w:p>
    <w:p w14:paraId="683A9DFD" w14:textId="66BF07D8" w:rsidR="006062B4" w:rsidRPr="002022D4" w:rsidRDefault="006062B4" w:rsidP="002255B8">
      <w:pPr>
        <w:pStyle w:val="ParaNum"/>
        <w:widowControl/>
        <w:numPr>
          <w:ilvl w:val="0"/>
          <w:numId w:val="0"/>
        </w:numPr>
        <w:ind w:left="1080"/>
        <w:jc w:val="left"/>
        <w:rPr>
          <w:b/>
          <w:szCs w:val="22"/>
        </w:rPr>
      </w:pPr>
      <w:r w:rsidRPr="002022D4">
        <w:rPr>
          <w:b/>
          <w:szCs w:val="22"/>
        </w:rPr>
        <w:t xml:space="preserve">Annual Number of Respondents: </w:t>
      </w:r>
      <w:r w:rsidR="006F3980" w:rsidRPr="002022D4">
        <w:rPr>
          <w:b/>
          <w:szCs w:val="22"/>
        </w:rPr>
        <w:t>5</w:t>
      </w:r>
      <w:r w:rsidR="009E69A1" w:rsidRPr="002022D4">
        <w:rPr>
          <w:b/>
          <w:szCs w:val="22"/>
        </w:rPr>
        <w:t xml:space="preserve"> </w:t>
      </w:r>
      <w:r w:rsidR="00305C9F" w:rsidRPr="002022D4">
        <w:rPr>
          <w:b/>
          <w:szCs w:val="22"/>
        </w:rPr>
        <w:t>(VRS)</w:t>
      </w:r>
    </w:p>
    <w:p w14:paraId="2BCBED45" w14:textId="77777777" w:rsidR="006062B4" w:rsidRPr="002022D4" w:rsidRDefault="006062B4" w:rsidP="00B12CD9">
      <w:pPr>
        <w:pStyle w:val="ParaNum"/>
        <w:widowControl/>
        <w:numPr>
          <w:ilvl w:val="0"/>
          <w:numId w:val="0"/>
        </w:numPr>
        <w:ind w:left="360"/>
        <w:jc w:val="left"/>
        <w:rPr>
          <w:szCs w:val="22"/>
        </w:rPr>
      </w:pPr>
      <w:r w:rsidRPr="002022D4">
        <w:rPr>
          <w:szCs w:val="22"/>
        </w:rPr>
        <w:t xml:space="preserve">(1)  The Commission estimates that each respondent will require approximately 5 hours per year to </w:t>
      </w:r>
      <w:r w:rsidRPr="002022D4">
        <w:rPr>
          <w:rFonts w:cs="Arial"/>
        </w:rPr>
        <w:t xml:space="preserve">maintain copies of all third-party contracts or agreements so that copies of these agreements containing detailed information will be available to the Commission and the TRS Fund administrator upon request.  </w:t>
      </w:r>
    </w:p>
    <w:p w14:paraId="495A3B4B" w14:textId="1FF1A8DF" w:rsidR="009B0DA8" w:rsidRPr="002022D4" w:rsidRDefault="009B0DA8" w:rsidP="002255B8">
      <w:pPr>
        <w:pStyle w:val="ParaNum"/>
        <w:widowControl/>
        <w:numPr>
          <w:ilvl w:val="0"/>
          <w:numId w:val="0"/>
        </w:numPr>
        <w:ind w:left="1080"/>
        <w:jc w:val="left"/>
        <w:rPr>
          <w:b/>
          <w:szCs w:val="22"/>
        </w:rPr>
      </w:pPr>
      <w:r w:rsidRPr="002022D4">
        <w:rPr>
          <w:b/>
          <w:szCs w:val="22"/>
        </w:rPr>
        <w:t>Annual Number of Burden Hours:</w:t>
      </w:r>
      <w:r w:rsidRPr="002022D4">
        <w:rPr>
          <w:szCs w:val="22"/>
        </w:rPr>
        <w:t xml:space="preserve">  </w:t>
      </w:r>
      <w:r w:rsidR="006F3980" w:rsidRPr="002022D4">
        <w:rPr>
          <w:szCs w:val="22"/>
        </w:rPr>
        <w:t>5</w:t>
      </w:r>
      <w:r w:rsidR="00305C9F" w:rsidRPr="002022D4">
        <w:rPr>
          <w:szCs w:val="22"/>
        </w:rPr>
        <w:t xml:space="preserve"> </w:t>
      </w:r>
      <w:r w:rsidRPr="002022D4">
        <w:rPr>
          <w:szCs w:val="22"/>
        </w:rPr>
        <w:t xml:space="preserve">respondents x 5 hrs x 1/yr = </w:t>
      </w:r>
      <w:r w:rsidR="006F3980" w:rsidRPr="002022D4">
        <w:rPr>
          <w:szCs w:val="22"/>
        </w:rPr>
        <w:t>2</w:t>
      </w:r>
      <w:r w:rsidR="0007443D" w:rsidRPr="002022D4">
        <w:rPr>
          <w:szCs w:val="22"/>
        </w:rPr>
        <w:t>5</w:t>
      </w:r>
      <w:r w:rsidR="00305C9F" w:rsidRPr="002022D4">
        <w:rPr>
          <w:szCs w:val="22"/>
        </w:rPr>
        <w:t xml:space="preserve"> </w:t>
      </w:r>
      <w:r w:rsidRPr="002022D4">
        <w:rPr>
          <w:szCs w:val="22"/>
        </w:rPr>
        <w:t>hrs/yr</w:t>
      </w:r>
    </w:p>
    <w:p w14:paraId="25A1942C" w14:textId="2ACE476D" w:rsidR="006062B4" w:rsidRPr="002022D4" w:rsidRDefault="006062B4" w:rsidP="002255B8">
      <w:pPr>
        <w:pStyle w:val="ParaNum"/>
        <w:widowControl/>
        <w:numPr>
          <w:ilvl w:val="0"/>
          <w:numId w:val="0"/>
        </w:numPr>
        <w:ind w:left="1080"/>
        <w:jc w:val="left"/>
        <w:rPr>
          <w:b/>
          <w:szCs w:val="22"/>
        </w:rPr>
      </w:pPr>
      <w:r w:rsidRPr="002022D4">
        <w:rPr>
          <w:b/>
          <w:szCs w:val="22"/>
        </w:rPr>
        <w:t xml:space="preserve">Annual Number of Responses: </w:t>
      </w:r>
      <w:r w:rsidR="006F3980" w:rsidRPr="002022D4">
        <w:rPr>
          <w:szCs w:val="22"/>
        </w:rPr>
        <w:t>5</w:t>
      </w:r>
      <w:r w:rsidR="00305C9F" w:rsidRPr="002022D4">
        <w:rPr>
          <w:szCs w:val="22"/>
        </w:rPr>
        <w:t xml:space="preserve"> </w:t>
      </w:r>
      <w:r w:rsidRPr="002022D4">
        <w:rPr>
          <w:szCs w:val="22"/>
        </w:rPr>
        <w:t xml:space="preserve">respondents x 1 response x 1/yr = </w:t>
      </w:r>
      <w:r w:rsidR="006F3980" w:rsidRPr="002022D4">
        <w:rPr>
          <w:szCs w:val="22"/>
        </w:rPr>
        <w:t>5</w:t>
      </w:r>
      <w:r w:rsidR="00305C9F" w:rsidRPr="002022D4">
        <w:rPr>
          <w:szCs w:val="22"/>
        </w:rPr>
        <w:t xml:space="preserve"> </w:t>
      </w:r>
      <w:r w:rsidRPr="002022D4">
        <w:rPr>
          <w:szCs w:val="22"/>
        </w:rPr>
        <w:t>responses/yr</w:t>
      </w:r>
    </w:p>
    <w:p w14:paraId="15C4D598" w14:textId="25B816D1" w:rsidR="006062B4" w:rsidRPr="002022D4" w:rsidRDefault="006062B4" w:rsidP="00B12CD9">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F837F8" w:rsidRPr="002022D4">
        <w:rPr>
          <w:szCs w:val="22"/>
        </w:rPr>
        <w:t xml:space="preserve">(GS-15 step 5) </w:t>
      </w:r>
      <w:r w:rsidRPr="002022D4">
        <w:rPr>
          <w:szCs w:val="22"/>
        </w:rPr>
        <w:t xml:space="preserve">to </w:t>
      </w:r>
      <w:r w:rsidRPr="002022D4">
        <w:rPr>
          <w:rFonts w:cs="Arial"/>
        </w:rPr>
        <w:t>maintain copies of all third-party contracts or agreements</w:t>
      </w:r>
      <w:r w:rsidRPr="002022D4">
        <w:rPr>
          <w:szCs w:val="22"/>
        </w:rPr>
        <w:t>.</w:t>
      </w:r>
      <w:r w:rsidR="0077105D" w:rsidRPr="002022D4">
        <w:rPr>
          <w:szCs w:val="22"/>
        </w:rPr>
        <w:t xml:space="preserve">  </w:t>
      </w:r>
      <w:r w:rsidRPr="002022D4">
        <w:rPr>
          <w:szCs w:val="22"/>
        </w:rPr>
        <w:t>The Commission estimates respondents’ costs to be about $</w:t>
      </w:r>
      <w:r w:rsidR="00F444A8" w:rsidRPr="002022D4">
        <w:rPr>
          <w:szCs w:val="22"/>
        </w:rPr>
        <w:t>71.56</w:t>
      </w:r>
      <w:r w:rsidRPr="002022D4">
        <w:rPr>
          <w:szCs w:val="22"/>
        </w:rPr>
        <w:t xml:space="preserve"> per hour to complete.</w:t>
      </w:r>
    </w:p>
    <w:p w14:paraId="3B42F027" w14:textId="06F3FA5E" w:rsidR="006062B4" w:rsidRPr="002022D4" w:rsidRDefault="006062B4" w:rsidP="002255B8">
      <w:pPr>
        <w:pStyle w:val="ParaNum"/>
        <w:widowControl/>
        <w:numPr>
          <w:ilvl w:val="0"/>
          <w:numId w:val="0"/>
        </w:numPr>
        <w:ind w:left="1080"/>
        <w:jc w:val="left"/>
        <w:rPr>
          <w:szCs w:val="22"/>
        </w:rPr>
      </w:pPr>
      <w:r w:rsidRPr="002022D4">
        <w:rPr>
          <w:b/>
          <w:szCs w:val="22"/>
        </w:rPr>
        <w:t>Annual “In-House” Cost:</w:t>
      </w:r>
      <w:r w:rsidRPr="002022D4">
        <w:rPr>
          <w:szCs w:val="22"/>
        </w:rPr>
        <w:t xml:space="preserve">  </w:t>
      </w:r>
      <w:r w:rsidR="0077105D" w:rsidRPr="002022D4">
        <w:rPr>
          <w:szCs w:val="22"/>
        </w:rPr>
        <w:t>2</w:t>
      </w:r>
      <w:r w:rsidR="006F3A2C" w:rsidRPr="002022D4">
        <w:rPr>
          <w:szCs w:val="22"/>
        </w:rPr>
        <w:t>5</w:t>
      </w:r>
      <w:r w:rsidR="00305C9F" w:rsidRPr="002022D4">
        <w:rPr>
          <w:szCs w:val="22"/>
        </w:rPr>
        <w:t xml:space="preserve"> </w:t>
      </w:r>
      <w:r w:rsidRPr="002022D4">
        <w:rPr>
          <w:szCs w:val="22"/>
        </w:rPr>
        <w:t>hrs/yr x $</w:t>
      </w:r>
      <w:r w:rsidR="00F444A8" w:rsidRPr="002022D4">
        <w:rPr>
          <w:szCs w:val="22"/>
        </w:rPr>
        <w:t>71.56</w:t>
      </w:r>
      <w:r w:rsidRPr="008E0FF3">
        <w:rPr>
          <w:szCs w:val="22"/>
        </w:rPr>
        <w:t xml:space="preserve"> = $</w:t>
      </w:r>
      <w:r w:rsidR="00F444A8" w:rsidRPr="008E0FF3">
        <w:rPr>
          <w:szCs w:val="22"/>
        </w:rPr>
        <w:t>1,789</w:t>
      </w:r>
    </w:p>
    <w:p w14:paraId="1203CA08" w14:textId="77777777" w:rsidR="006062B4" w:rsidRPr="002022D4" w:rsidRDefault="006062B4" w:rsidP="00B12CD9">
      <w:pPr>
        <w:pStyle w:val="ParaNum"/>
        <w:widowControl/>
        <w:numPr>
          <w:ilvl w:val="0"/>
          <w:numId w:val="0"/>
        </w:numPr>
        <w:tabs>
          <w:tab w:val="num" w:pos="720"/>
        </w:tabs>
        <w:ind w:left="360"/>
        <w:jc w:val="left"/>
        <w:rPr>
          <w:rFonts w:cs="Arial"/>
        </w:rPr>
      </w:pPr>
      <w:r w:rsidRPr="002022D4">
        <w:rPr>
          <w:rFonts w:cs="Arial"/>
        </w:rPr>
        <w:t xml:space="preserve">(2) The Commission estimates that each respondent will require </w:t>
      </w:r>
      <w:r w:rsidR="00305C9F" w:rsidRPr="002022D4">
        <w:rPr>
          <w:rFonts w:cs="Arial"/>
        </w:rPr>
        <w:t xml:space="preserve">5 </w:t>
      </w:r>
      <w:r w:rsidRPr="002022D4">
        <w:rPr>
          <w:rFonts w:cs="Arial"/>
        </w:rPr>
        <w:t>hours to describe all agreements in connection with marketing and outreach activities, including those involving sponsorships, financial endorsements, awards, and gifts made by the provider to any individual or entity, in the providers’ annual submissions to the TRS Fund administrator.</w:t>
      </w:r>
      <w:r w:rsidR="00305C9F" w:rsidRPr="002022D4">
        <w:rPr>
          <w:rFonts w:cs="Arial"/>
        </w:rPr>
        <w:t xml:space="preserve"> </w:t>
      </w:r>
    </w:p>
    <w:p w14:paraId="366A61C9" w14:textId="050771EF" w:rsidR="006062B4" w:rsidRPr="002022D4" w:rsidRDefault="006062B4" w:rsidP="002255B8">
      <w:pPr>
        <w:pStyle w:val="ParaNum"/>
        <w:widowControl/>
        <w:numPr>
          <w:ilvl w:val="0"/>
          <w:numId w:val="0"/>
        </w:numPr>
        <w:ind w:left="1080"/>
        <w:jc w:val="left"/>
        <w:rPr>
          <w:b/>
          <w:szCs w:val="22"/>
        </w:rPr>
      </w:pPr>
      <w:r w:rsidRPr="002022D4">
        <w:rPr>
          <w:b/>
          <w:szCs w:val="22"/>
        </w:rPr>
        <w:t>Annual Number of Responses:</w:t>
      </w:r>
      <w:r w:rsidRPr="002022D4">
        <w:rPr>
          <w:szCs w:val="22"/>
        </w:rPr>
        <w:t xml:space="preserve">  </w:t>
      </w:r>
      <w:r w:rsidR="00AB208B" w:rsidRPr="002022D4">
        <w:rPr>
          <w:szCs w:val="22"/>
        </w:rPr>
        <w:t xml:space="preserve">5 </w:t>
      </w:r>
      <w:r w:rsidRPr="002022D4">
        <w:rPr>
          <w:szCs w:val="22"/>
        </w:rPr>
        <w:t xml:space="preserve">respondents x 1 response x 1/yr = </w:t>
      </w:r>
      <w:r w:rsidR="00AB208B" w:rsidRPr="002022D4">
        <w:rPr>
          <w:szCs w:val="22"/>
        </w:rPr>
        <w:t>5</w:t>
      </w:r>
      <w:r w:rsidRPr="002022D4">
        <w:rPr>
          <w:szCs w:val="22"/>
        </w:rPr>
        <w:t xml:space="preserve"> responses/yr</w:t>
      </w:r>
    </w:p>
    <w:p w14:paraId="2A361D6F" w14:textId="7021E24E" w:rsidR="006062B4" w:rsidRPr="002022D4" w:rsidRDefault="006062B4" w:rsidP="002255B8">
      <w:pPr>
        <w:pStyle w:val="ParaNum"/>
        <w:widowControl/>
        <w:numPr>
          <w:ilvl w:val="0"/>
          <w:numId w:val="0"/>
        </w:numPr>
        <w:ind w:left="1080"/>
        <w:jc w:val="left"/>
        <w:rPr>
          <w:szCs w:val="22"/>
        </w:rPr>
      </w:pPr>
      <w:r w:rsidRPr="002022D4">
        <w:rPr>
          <w:b/>
          <w:szCs w:val="22"/>
        </w:rPr>
        <w:t>Annual Number of Burden Hours:</w:t>
      </w:r>
      <w:r w:rsidRPr="002022D4">
        <w:rPr>
          <w:szCs w:val="22"/>
        </w:rPr>
        <w:t xml:space="preserve"> </w:t>
      </w:r>
      <w:r w:rsidR="00AB208B" w:rsidRPr="002022D4">
        <w:rPr>
          <w:szCs w:val="22"/>
        </w:rPr>
        <w:t>5</w:t>
      </w:r>
      <w:r w:rsidR="00305C9F" w:rsidRPr="002022D4">
        <w:rPr>
          <w:szCs w:val="22"/>
        </w:rPr>
        <w:t xml:space="preserve"> </w:t>
      </w:r>
      <w:r w:rsidRPr="002022D4">
        <w:rPr>
          <w:szCs w:val="22"/>
        </w:rPr>
        <w:t xml:space="preserve">respondents x </w:t>
      </w:r>
      <w:r w:rsidR="00305C9F" w:rsidRPr="002022D4">
        <w:rPr>
          <w:szCs w:val="22"/>
        </w:rPr>
        <w:t xml:space="preserve">5 </w:t>
      </w:r>
      <w:r w:rsidRPr="002022D4">
        <w:rPr>
          <w:szCs w:val="22"/>
        </w:rPr>
        <w:t xml:space="preserve">hrs x 1/yr = </w:t>
      </w:r>
      <w:r w:rsidR="00AB208B" w:rsidRPr="002022D4">
        <w:rPr>
          <w:szCs w:val="22"/>
        </w:rPr>
        <w:t>2</w:t>
      </w:r>
      <w:r w:rsidR="006F3A2C" w:rsidRPr="002022D4">
        <w:rPr>
          <w:szCs w:val="22"/>
        </w:rPr>
        <w:t>5</w:t>
      </w:r>
      <w:r w:rsidR="00305C9F" w:rsidRPr="002022D4">
        <w:rPr>
          <w:szCs w:val="22"/>
        </w:rPr>
        <w:t xml:space="preserve"> </w:t>
      </w:r>
      <w:r w:rsidRPr="002022D4">
        <w:rPr>
          <w:szCs w:val="22"/>
        </w:rPr>
        <w:t xml:space="preserve">hrs/yr </w:t>
      </w:r>
    </w:p>
    <w:p w14:paraId="0DA16A41" w14:textId="58D8AECE" w:rsidR="007F76E7" w:rsidRPr="002022D4" w:rsidRDefault="006062B4" w:rsidP="00363E8E">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F837F8" w:rsidRPr="002022D4">
        <w:rPr>
          <w:szCs w:val="22"/>
        </w:rPr>
        <w:t xml:space="preserve">(GS-15 step 5) </w:t>
      </w:r>
      <w:r w:rsidRPr="002022D4">
        <w:rPr>
          <w:szCs w:val="22"/>
        </w:rPr>
        <w:t>to describe in details all agreements in the providers’ annual submissions to the TRS Fund administrator.</w:t>
      </w:r>
      <w:r w:rsidR="00A470C8" w:rsidRPr="002022D4">
        <w:rPr>
          <w:szCs w:val="22"/>
        </w:rPr>
        <w:t xml:space="preserve">  </w:t>
      </w:r>
      <w:r w:rsidRPr="002022D4">
        <w:rPr>
          <w:szCs w:val="22"/>
        </w:rPr>
        <w:t>The Commission estimates respondents’ costs to be about $</w:t>
      </w:r>
      <w:r w:rsidR="00F444A8" w:rsidRPr="002022D4">
        <w:rPr>
          <w:szCs w:val="22"/>
        </w:rPr>
        <w:t>71.56</w:t>
      </w:r>
      <w:r w:rsidRPr="002022D4">
        <w:rPr>
          <w:szCs w:val="22"/>
        </w:rPr>
        <w:t xml:space="preserve"> per hour to complete.</w:t>
      </w:r>
    </w:p>
    <w:p w14:paraId="047606E0" w14:textId="0595C183" w:rsidR="007F76E7" w:rsidRPr="002022D4" w:rsidRDefault="007F76E7" w:rsidP="002255B8">
      <w:pPr>
        <w:pStyle w:val="ParaNum"/>
        <w:widowControl/>
        <w:numPr>
          <w:ilvl w:val="0"/>
          <w:numId w:val="0"/>
        </w:numPr>
        <w:ind w:left="1080"/>
        <w:jc w:val="left"/>
        <w:rPr>
          <w:szCs w:val="22"/>
        </w:rPr>
      </w:pPr>
      <w:r w:rsidRPr="002022D4">
        <w:rPr>
          <w:b/>
          <w:szCs w:val="22"/>
        </w:rPr>
        <w:t>Annual “In-House” Cost:</w:t>
      </w:r>
      <w:r w:rsidRPr="002022D4">
        <w:rPr>
          <w:szCs w:val="22"/>
        </w:rPr>
        <w:t xml:space="preserve">  </w:t>
      </w:r>
      <w:r w:rsidR="00A470C8" w:rsidRPr="002022D4">
        <w:rPr>
          <w:szCs w:val="22"/>
        </w:rPr>
        <w:t>2</w:t>
      </w:r>
      <w:r w:rsidRPr="002022D4">
        <w:rPr>
          <w:szCs w:val="22"/>
        </w:rPr>
        <w:t>5 hrs/yr x $</w:t>
      </w:r>
      <w:r w:rsidR="00F444A8" w:rsidRPr="002022D4">
        <w:rPr>
          <w:szCs w:val="22"/>
        </w:rPr>
        <w:t>71.56</w:t>
      </w:r>
      <w:r w:rsidRPr="008E0FF3">
        <w:rPr>
          <w:szCs w:val="22"/>
        </w:rPr>
        <w:t xml:space="preserve"> = $</w:t>
      </w:r>
      <w:r w:rsidR="00F444A8" w:rsidRPr="008E0FF3">
        <w:rPr>
          <w:szCs w:val="22"/>
        </w:rPr>
        <w:t>1,789</w:t>
      </w:r>
    </w:p>
    <w:p w14:paraId="3EF268E3" w14:textId="221C30D1" w:rsidR="00F837F8" w:rsidRPr="002022D4" w:rsidRDefault="00F837F8" w:rsidP="00363E8E">
      <w:pPr>
        <w:pStyle w:val="ParaNum"/>
        <w:widowControl/>
        <w:numPr>
          <w:ilvl w:val="0"/>
          <w:numId w:val="0"/>
        </w:numPr>
        <w:ind w:left="360"/>
        <w:jc w:val="left"/>
        <w:rPr>
          <w:szCs w:val="22"/>
        </w:rPr>
      </w:pPr>
      <w:r w:rsidRPr="002022D4">
        <w:rPr>
          <w:b/>
          <w:szCs w:val="22"/>
        </w:rPr>
        <w:t xml:space="preserve">Total Annual Number of Responses: </w:t>
      </w:r>
      <w:r w:rsidR="00C07E1E" w:rsidRPr="002022D4">
        <w:rPr>
          <w:szCs w:val="22"/>
        </w:rPr>
        <w:t xml:space="preserve">5 </w:t>
      </w:r>
      <w:r w:rsidRPr="002022D4">
        <w:rPr>
          <w:szCs w:val="22"/>
        </w:rPr>
        <w:t xml:space="preserve">+ </w:t>
      </w:r>
      <w:r w:rsidR="00C07E1E" w:rsidRPr="002022D4">
        <w:rPr>
          <w:szCs w:val="22"/>
        </w:rPr>
        <w:t>5</w:t>
      </w:r>
      <w:r w:rsidRPr="002022D4">
        <w:rPr>
          <w:szCs w:val="22"/>
        </w:rPr>
        <w:t xml:space="preserve"> = 1</w:t>
      </w:r>
      <w:r w:rsidR="00C07E1E" w:rsidRPr="002022D4">
        <w:rPr>
          <w:szCs w:val="22"/>
        </w:rPr>
        <w:t>0</w:t>
      </w:r>
    </w:p>
    <w:p w14:paraId="74AE9811" w14:textId="6043F314" w:rsidR="00F837F8" w:rsidRPr="002022D4" w:rsidRDefault="00F837F8" w:rsidP="00363E8E">
      <w:pPr>
        <w:pStyle w:val="ParaNum"/>
        <w:widowControl/>
        <w:numPr>
          <w:ilvl w:val="0"/>
          <w:numId w:val="0"/>
        </w:numPr>
        <w:ind w:left="360"/>
        <w:jc w:val="left"/>
        <w:rPr>
          <w:szCs w:val="22"/>
        </w:rPr>
      </w:pPr>
      <w:r w:rsidRPr="002022D4">
        <w:rPr>
          <w:b/>
          <w:szCs w:val="22"/>
        </w:rPr>
        <w:t xml:space="preserve">Total Annual Number Burden Hours: </w:t>
      </w:r>
      <w:r w:rsidR="00C07E1E" w:rsidRPr="002022D4">
        <w:rPr>
          <w:szCs w:val="22"/>
        </w:rPr>
        <w:t>2</w:t>
      </w:r>
      <w:r w:rsidRPr="002022D4">
        <w:rPr>
          <w:szCs w:val="22"/>
        </w:rPr>
        <w:t xml:space="preserve">5 + </w:t>
      </w:r>
      <w:r w:rsidR="00C07E1E" w:rsidRPr="002022D4">
        <w:rPr>
          <w:szCs w:val="22"/>
        </w:rPr>
        <w:t>2</w:t>
      </w:r>
      <w:r w:rsidRPr="002022D4">
        <w:rPr>
          <w:szCs w:val="22"/>
        </w:rPr>
        <w:t xml:space="preserve">5 = </w:t>
      </w:r>
      <w:r w:rsidR="00C07E1E" w:rsidRPr="002022D4">
        <w:rPr>
          <w:szCs w:val="22"/>
        </w:rPr>
        <w:t>5</w:t>
      </w:r>
      <w:r w:rsidRPr="002022D4">
        <w:rPr>
          <w:szCs w:val="22"/>
        </w:rPr>
        <w:t>0 hrs</w:t>
      </w:r>
    </w:p>
    <w:p w14:paraId="690CA894" w14:textId="7D30702D" w:rsidR="00F837F8" w:rsidRPr="002022D4" w:rsidRDefault="00F837F8" w:rsidP="00363E8E">
      <w:pPr>
        <w:pStyle w:val="ParaNum"/>
        <w:widowControl/>
        <w:numPr>
          <w:ilvl w:val="0"/>
          <w:numId w:val="0"/>
        </w:numPr>
        <w:ind w:left="360"/>
        <w:jc w:val="left"/>
        <w:rPr>
          <w:szCs w:val="22"/>
        </w:rPr>
      </w:pPr>
      <w:r w:rsidRPr="002022D4">
        <w:rPr>
          <w:b/>
          <w:szCs w:val="22"/>
        </w:rPr>
        <w:t xml:space="preserve">Total Annual “In-House” Cost: </w:t>
      </w:r>
      <w:r w:rsidRPr="002022D4">
        <w:rPr>
          <w:szCs w:val="22"/>
        </w:rPr>
        <w:t>$</w:t>
      </w:r>
      <w:r w:rsidR="00F444A8" w:rsidRPr="002022D4">
        <w:rPr>
          <w:szCs w:val="22"/>
        </w:rPr>
        <w:t>1,789</w:t>
      </w:r>
      <w:r w:rsidRPr="008E0FF3">
        <w:rPr>
          <w:szCs w:val="22"/>
        </w:rPr>
        <w:t xml:space="preserve"> + </w:t>
      </w:r>
      <w:r w:rsidR="00F444A8" w:rsidRPr="008E0FF3">
        <w:rPr>
          <w:szCs w:val="22"/>
        </w:rPr>
        <w:t>1,789</w:t>
      </w:r>
      <w:r w:rsidRPr="008E0FF3">
        <w:rPr>
          <w:szCs w:val="22"/>
        </w:rPr>
        <w:t xml:space="preserve"> = $</w:t>
      </w:r>
      <w:r w:rsidR="00F444A8" w:rsidRPr="008E0FF3">
        <w:rPr>
          <w:szCs w:val="22"/>
        </w:rPr>
        <w:t>3,578</w:t>
      </w:r>
    </w:p>
    <w:p w14:paraId="5729E499" w14:textId="77777777" w:rsidR="006062B4" w:rsidRPr="002022D4" w:rsidRDefault="00B12CD9" w:rsidP="002255B8">
      <w:pPr>
        <w:pStyle w:val="ParaNum"/>
        <w:widowControl/>
        <w:numPr>
          <w:ilvl w:val="0"/>
          <w:numId w:val="0"/>
        </w:numPr>
        <w:tabs>
          <w:tab w:val="left" w:pos="1170"/>
        </w:tabs>
        <w:ind w:left="720" w:firstLine="360"/>
        <w:jc w:val="left"/>
        <w:rPr>
          <w:b/>
          <w:i/>
          <w:szCs w:val="22"/>
        </w:rPr>
      </w:pPr>
      <w:r w:rsidRPr="002022D4">
        <w:rPr>
          <w:rFonts w:cs="Arial"/>
          <w:b/>
        </w:rPr>
        <w:t>G</w:t>
      </w:r>
      <w:r w:rsidR="006062B4" w:rsidRPr="002022D4">
        <w:rPr>
          <w:rFonts w:cs="Arial"/>
          <w:b/>
        </w:rPr>
        <w:t xml:space="preserve">. </w:t>
      </w:r>
      <w:r w:rsidRPr="002022D4">
        <w:rPr>
          <w:rFonts w:cs="Arial"/>
          <w:b/>
        </w:rPr>
        <w:t xml:space="preserve">  </w:t>
      </w:r>
      <w:r w:rsidR="006062B4" w:rsidRPr="002022D4">
        <w:rPr>
          <w:b/>
          <w:i/>
          <w:szCs w:val="22"/>
        </w:rPr>
        <w:t>Whistleblower Protection</w:t>
      </w:r>
      <w:r w:rsidR="00F311A4" w:rsidRPr="002022D4">
        <w:rPr>
          <w:b/>
          <w:i/>
          <w:szCs w:val="22"/>
        </w:rPr>
        <w:t xml:space="preserve"> </w:t>
      </w:r>
    </w:p>
    <w:p w14:paraId="7D339E44" w14:textId="29D13516" w:rsidR="006062B4" w:rsidRPr="002022D4" w:rsidRDefault="006062B4" w:rsidP="002255B8">
      <w:pPr>
        <w:pStyle w:val="ParaNum"/>
        <w:widowControl/>
        <w:numPr>
          <w:ilvl w:val="0"/>
          <w:numId w:val="0"/>
        </w:numPr>
        <w:ind w:left="1080" w:firstLine="360"/>
        <w:jc w:val="left"/>
        <w:rPr>
          <w:rFonts w:cs="Arial"/>
        </w:rPr>
      </w:pPr>
      <w:r w:rsidRPr="002022D4">
        <w:rPr>
          <w:b/>
          <w:szCs w:val="22"/>
        </w:rPr>
        <w:t xml:space="preserve">Annual Number of Respondents: </w:t>
      </w:r>
      <w:r w:rsidR="009E69A1" w:rsidRPr="002022D4">
        <w:rPr>
          <w:b/>
          <w:szCs w:val="22"/>
        </w:rPr>
        <w:t>1</w:t>
      </w:r>
      <w:r w:rsidR="00185FDD" w:rsidRPr="002022D4">
        <w:rPr>
          <w:b/>
          <w:szCs w:val="22"/>
        </w:rPr>
        <w:t>0</w:t>
      </w:r>
    </w:p>
    <w:p w14:paraId="404B8AFE" w14:textId="77777777" w:rsidR="006062B4" w:rsidRPr="002022D4" w:rsidRDefault="006062B4" w:rsidP="00B12CD9">
      <w:pPr>
        <w:pStyle w:val="ParaNum"/>
        <w:widowControl/>
        <w:numPr>
          <w:ilvl w:val="0"/>
          <w:numId w:val="0"/>
        </w:numPr>
        <w:ind w:left="360"/>
        <w:jc w:val="left"/>
        <w:rPr>
          <w:szCs w:val="22"/>
        </w:rPr>
      </w:pPr>
      <w:r w:rsidRPr="002022D4">
        <w:rPr>
          <w:szCs w:val="22"/>
        </w:rPr>
        <w:t xml:space="preserve">The Commission estimates that each respondent will require 3 hours to distribute information about whistleblower protections, including the right to notify the Commission’s Office of Inspector General or its Enforcement Bureau, to all TRS employees and contractors, in writing.  Such notification can be distributed in employee handbooks, policies and procedures manuals, or bulletin board postings – either online or in hard copy.  </w:t>
      </w:r>
    </w:p>
    <w:p w14:paraId="2D200884" w14:textId="70E68EB0" w:rsidR="006062B4" w:rsidRPr="002022D4" w:rsidRDefault="006062B4" w:rsidP="002255B8">
      <w:pPr>
        <w:pStyle w:val="ParaNum"/>
        <w:widowControl/>
        <w:numPr>
          <w:ilvl w:val="0"/>
          <w:numId w:val="0"/>
        </w:numPr>
        <w:ind w:left="1080"/>
        <w:jc w:val="left"/>
        <w:rPr>
          <w:szCs w:val="22"/>
        </w:rPr>
      </w:pPr>
      <w:r w:rsidRPr="002022D4">
        <w:rPr>
          <w:b/>
          <w:szCs w:val="22"/>
        </w:rPr>
        <w:t>Annual Number of Responses</w:t>
      </w:r>
      <w:r w:rsidRPr="002022D4">
        <w:rPr>
          <w:szCs w:val="22"/>
        </w:rPr>
        <w:t xml:space="preserve"> </w:t>
      </w:r>
      <w:r w:rsidRPr="002022D4">
        <w:rPr>
          <w:b/>
          <w:szCs w:val="22"/>
        </w:rPr>
        <w:t>(1 response/form of TRS x one per year</w:t>
      </w:r>
      <w:r w:rsidR="00CD3EA7" w:rsidRPr="002022D4">
        <w:rPr>
          <w:b/>
          <w:szCs w:val="22"/>
        </w:rPr>
        <w:t>)</w:t>
      </w:r>
      <w:r w:rsidR="00835002" w:rsidRPr="002022D4">
        <w:rPr>
          <w:b/>
          <w:szCs w:val="22"/>
        </w:rPr>
        <w:t xml:space="preserve">:  </w:t>
      </w:r>
      <w:r w:rsidR="00835002" w:rsidRPr="002022D4">
        <w:rPr>
          <w:szCs w:val="22"/>
        </w:rPr>
        <w:t>17 responses/yr</w:t>
      </w:r>
    </w:p>
    <w:p w14:paraId="40F38C6A" w14:textId="7D7764E7" w:rsidR="006062B4" w:rsidRPr="002022D4" w:rsidRDefault="00305C9F" w:rsidP="00B12CD9">
      <w:pPr>
        <w:pStyle w:val="ParaNum"/>
        <w:widowControl/>
        <w:numPr>
          <w:ilvl w:val="0"/>
          <w:numId w:val="0"/>
        </w:numPr>
        <w:ind w:left="360"/>
        <w:jc w:val="left"/>
        <w:rPr>
          <w:szCs w:val="22"/>
        </w:rPr>
      </w:pPr>
      <w:r w:rsidRPr="002022D4">
        <w:rPr>
          <w:szCs w:val="22"/>
        </w:rPr>
        <w:t xml:space="preserve">5 </w:t>
      </w:r>
      <w:r w:rsidR="006062B4" w:rsidRPr="002022D4">
        <w:rPr>
          <w:szCs w:val="22"/>
        </w:rPr>
        <w:t xml:space="preserve">forms of TRS (1 provider) + </w:t>
      </w:r>
      <w:r w:rsidRPr="002022D4">
        <w:rPr>
          <w:szCs w:val="22"/>
        </w:rPr>
        <w:t xml:space="preserve">4 </w:t>
      </w:r>
      <w:r w:rsidR="006062B4" w:rsidRPr="002022D4">
        <w:rPr>
          <w:szCs w:val="22"/>
        </w:rPr>
        <w:t xml:space="preserve">forms of TRS (1 provider) + </w:t>
      </w:r>
      <w:r w:rsidRPr="002022D4">
        <w:rPr>
          <w:szCs w:val="22"/>
        </w:rPr>
        <w:t xml:space="preserve">1 </w:t>
      </w:r>
      <w:r w:rsidR="006062B4" w:rsidRPr="002022D4">
        <w:rPr>
          <w:szCs w:val="22"/>
        </w:rPr>
        <w:t>forms of TRS (</w:t>
      </w:r>
      <w:r w:rsidR="00835002" w:rsidRPr="002022D4">
        <w:rPr>
          <w:szCs w:val="22"/>
        </w:rPr>
        <w:t>8</w:t>
      </w:r>
      <w:r w:rsidRPr="002022D4">
        <w:rPr>
          <w:szCs w:val="22"/>
        </w:rPr>
        <w:t xml:space="preserve"> </w:t>
      </w:r>
      <w:r w:rsidR="006062B4" w:rsidRPr="002022D4">
        <w:rPr>
          <w:szCs w:val="22"/>
        </w:rPr>
        <w:t xml:space="preserve">providers) = </w:t>
      </w:r>
      <w:r w:rsidRPr="002022D4">
        <w:rPr>
          <w:szCs w:val="22"/>
        </w:rPr>
        <w:t xml:space="preserve">5 </w:t>
      </w:r>
      <w:r w:rsidR="006062B4" w:rsidRPr="002022D4">
        <w:rPr>
          <w:szCs w:val="22"/>
        </w:rPr>
        <w:t xml:space="preserve">+ </w:t>
      </w:r>
      <w:r w:rsidRPr="002022D4">
        <w:rPr>
          <w:szCs w:val="22"/>
        </w:rPr>
        <w:t xml:space="preserve">4 </w:t>
      </w:r>
      <w:r w:rsidR="006062B4" w:rsidRPr="002022D4">
        <w:rPr>
          <w:szCs w:val="22"/>
        </w:rPr>
        <w:t xml:space="preserve">+ </w:t>
      </w:r>
      <w:r w:rsidR="00835002" w:rsidRPr="002022D4">
        <w:rPr>
          <w:szCs w:val="22"/>
        </w:rPr>
        <w:t>8</w:t>
      </w:r>
      <w:r w:rsidRPr="002022D4">
        <w:rPr>
          <w:szCs w:val="22"/>
        </w:rPr>
        <w:t xml:space="preserve"> </w:t>
      </w:r>
      <w:r w:rsidR="006062B4" w:rsidRPr="002022D4">
        <w:rPr>
          <w:szCs w:val="22"/>
        </w:rPr>
        <w:t xml:space="preserve">= </w:t>
      </w:r>
      <w:r w:rsidR="00835002" w:rsidRPr="002022D4">
        <w:rPr>
          <w:szCs w:val="22"/>
        </w:rPr>
        <w:t>17</w:t>
      </w:r>
      <w:r w:rsidRPr="002022D4">
        <w:rPr>
          <w:szCs w:val="22"/>
        </w:rPr>
        <w:t xml:space="preserve"> </w:t>
      </w:r>
      <w:r w:rsidR="006062B4" w:rsidRPr="002022D4">
        <w:rPr>
          <w:szCs w:val="22"/>
        </w:rPr>
        <w:t xml:space="preserve">x 1/year = </w:t>
      </w:r>
      <w:r w:rsidR="00835002" w:rsidRPr="002022D4">
        <w:rPr>
          <w:szCs w:val="22"/>
        </w:rPr>
        <w:t>17</w:t>
      </w:r>
      <w:r w:rsidRPr="002022D4">
        <w:rPr>
          <w:szCs w:val="22"/>
        </w:rPr>
        <w:t xml:space="preserve"> </w:t>
      </w:r>
      <w:r w:rsidR="006062B4" w:rsidRPr="002022D4">
        <w:rPr>
          <w:szCs w:val="22"/>
        </w:rPr>
        <w:t>responses/yr</w:t>
      </w:r>
    </w:p>
    <w:p w14:paraId="5A5E9DE4" w14:textId="6F1EF72B" w:rsidR="007C610E" w:rsidRPr="002022D4" w:rsidRDefault="007C610E" w:rsidP="00B12CD9">
      <w:pPr>
        <w:pStyle w:val="ParaNum"/>
        <w:widowControl/>
        <w:numPr>
          <w:ilvl w:val="0"/>
          <w:numId w:val="0"/>
        </w:numPr>
        <w:ind w:left="360"/>
        <w:jc w:val="left"/>
        <w:rPr>
          <w:szCs w:val="22"/>
        </w:rPr>
      </w:pPr>
      <w:r w:rsidRPr="002022D4">
        <w:rPr>
          <w:b/>
          <w:szCs w:val="22"/>
        </w:rPr>
        <w:t>Annual Number of Burden Hours</w:t>
      </w:r>
      <w:r w:rsidRPr="002022D4">
        <w:rPr>
          <w:szCs w:val="22"/>
        </w:rPr>
        <w:t xml:space="preserve">:  15 + </w:t>
      </w:r>
      <w:r w:rsidR="00305C9F" w:rsidRPr="002022D4">
        <w:rPr>
          <w:szCs w:val="22"/>
        </w:rPr>
        <w:t xml:space="preserve">12 </w:t>
      </w:r>
      <w:r w:rsidRPr="002022D4">
        <w:rPr>
          <w:szCs w:val="22"/>
        </w:rPr>
        <w:t xml:space="preserve">+ </w:t>
      </w:r>
      <w:r w:rsidR="006F3A2C" w:rsidRPr="002022D4">
        <w:rPr>
          <w:szCs w:val="22"/>
        </w:rPr>
        <w:t>2</w:t>
      </w:r>
      <w:r w:rsidR="002E78FD" w:rsidRPr="002022D4">
        <w:rPr>
          <w:szCs w:val="22"/>
        </w:rPr>
        <w:t>4</w:t>
      </w:r>
      <w:r w:rsidR="00305C9F" w:rsidRPr="002022D4">
        <w:rPr>
          <w:szCs w:val="22"/>
        </w:rPr>
        <w:t xml:space="preserve"> </w:t>
      </w:r>
      <w:r w:rsidRPr="002022D4">
        <w:rPr>
          <w:szCs w:val="22"/>
        </w:rPr>
        <w:t xml:space="preserve">= </w:t>
      </w:r>
      <w:r w:rsidR="002E78FD" w:rsidRPr="002022D4">
        <w:rPr>
          <w:szCs w:val="22"/>
        </w:rPr>
        <w:t>51</w:t>
      </w:r>
      <w:r w:rsidR="00305C9F" w:rsidRPr="002022D4">
        <w:rPr>
          <w:szCs w:val="22"/>
        </w:rPr>
        <w:t xml:space="preserve"> </w:t>
      </w:r>
      <w:r w:rsidRPr="002022D4">
        <w:rPr>
          <w:szCs w:val="22"/>
        </w:rPr>
        <w:t>hrs/yr</w:t>
      </w:r>
    </w:p>
    <w:p w14:paraId="7ADC166E" w14:textId="77777777" w:rsidR="006062B4" w:rsidRPr="002022D4" w:rsidRDefault="006062B4" w:rsidP="00B12CD9">
      <w:pPr>
        <w:pStyle w:val="ParaNum"/>
        <w:widowControl/>
        <w:numPr>
          <w:ilvl w:val="0"/>
          <w:numId w:val="0"/>
        </w:numPr>
        <w:ind w:left="360"/>
        <w:jc w:val="left"/>
        <w:rPr>
          <w:szCs w:val="22"/>
        </w:rPr>
      </w:pPr>
      <w:r w:rsidRPr="002022D4">
        <w:rPr>
          <w:szCs w:val="22"/>
        </w:rPr>
        <w:t>The Commission estimates that each respondent will require approximately 3 hours to distribute information about whistleblower protections for each form of TRS on an annual basis:</w:t>
      </w:r>
    </w:p>
    <w:p w14:paraId="68557BA9" w14:textId="77777777" w:rsidR="00B12CD9" w:rsidRPr="002022D4" w:rsidRDefault="00B12CD9" w:rsidP="00B12CD9">
      <w:pPr>
        <w:pStyle w:val="ParaNum"/>
        <w:widowControl/>
        <w:numPr>
          <w:ilvl w:val="0"/>
          <w:numId w:val="7"/>
        </w:numPr>
        <w:tabs>
          <w:tab w:val="clear" w:pos="360"/>
          <w:tab w:val="num" w:pos="2160"/>
        </w:tabs>
        <w:ind w:left="2160"/>
        <w:jc w:val="left"/>
        <w:rPr>
          <w:szCs w:val="22"/>
        </w:rPr>
      </w:pPr>
      <w:r w:rsidRPr="002022D4">
        <w:rPr>
          <w:szCs w:val="22"/>
        </w:rPr>
        <w:t>Five forms of TRS: 1 respondent x 5 forms of TRS x 3 hrs per distribution = 15 hrs/yr</w:t>
      </w:r>
    </w:p>
    <w:p w14:paraId="3275EC6B" w14:textId="77777777" w:rsidR="00B12CD9" w:rsidRPr="002022D4" w:rsidRDefault="00B12CD9" w:rsidP="00B12CD9">
      <w:pPr>
        <w:pStyle w:val="ParaNum"/>
        <w:widowControl/>
        <w:numPr>
          <w:ilvl w:val="0"/>
          <w:numId w:val="7"/>
        </w:numPr>
        <w:tabs>
          <w:tab w:val="clear" w:pos="360"/>
          <w:tab w:val="num" w:pos="2160"/>
        </w:tabs>
        <w:ind w:left="2160"/>
        <w:jc w:val="left"/>
        <w:rPr>
          <w:szCs w:val="22"/>
        </w:rPr>
      </w:pPr>
      <w:r w:rsidRPr="002022D4">
        <w:rPr>
          <w:szCs w:val="22"/>
        </w:rPr>
        <w:t xml:space="preserve">Four forms of TRS: </w:t>
      </w:r>
      <w:r w:rsidR="00305C9F" w:rsidRPr="002022D4">
        <w:rPr>
          <w:szCs w:val="22"/>
        </w:rPr>
        <w:t xml:space="preserve">1 </w:t>
      </w:r>
      <w:r w:rsidRPr="002022D4">
        <w:rPr>
          <w:szCs w:val="22"/>
        </w:rPr>
        <w:t xml:space="preserve">respondents x 4 forms of TRS x 3 hrs per distribution = </w:t>
      </w:r>
      <w:r w:rsidR="00305C9F" w:rsidRPr="002022D4">
        <w:rPr>
          <w:szCs w:val="22"/>
        </w:rPr>
        <w:t xml:space="preserve">12 </w:t>
      </w:r>
      <w:r w:rsidRPr="002022D4">
        <w:rPr>
          <w:szCs w:val="22"/>
        </w:rPr>
        <w:t>hrs/yr</w:t>
      </w:r>
    </w:p>
    <w:p w14:paraId="046114A6" w14:textId="3F1AF810" w:rsidR="00B12CD9" w:rsidRPr="002022D4" w:rsidRDefault="00B12CD9" w:rsidP="00B12CD9">
      <w:pPr>
        <w:pStyle w:val="ParaNum"/>
        <w:widowControl/>
        <w:numPr>
          <w:ilvl w:val="0"/>
          <w:numId w:val="7"/>
        </w:numPr>
        <w:tabs>
          <w:tab w:val="clear" w:pos="360"/>
          <w:tab w:val="num" w:pos="2160"/>
        </w:tabs>
        <w:ind w:left="2160"/>
        <w:jc w:val="left"/>
        <w:rPr>
          <w:szCs w:val="22"/>
        </w:rPr>
      </w:pPr>
      <w:r w:rsidRPr="002022D4">
        <w:rPr>
          <w:szCs w:val="22"/>
        </w:rPr>
        <w:t xml:space="preserve">One form of TRS: </w:t>
      </w:r>
      <w:r w:rsidR="002E78FD" w:rsidRPr="002022D4">
        <w:rPr>
          <w:szCs w:val="22"/>
        </w:rPr>
        <w:t>8</w:t>
      </w:r>
      <w:r w:rsidR="00305C9F" w:rsidRPr="002022D4">
        <w:rPr>
          <w:szCs w:val="22"/>
        </w:rPr>
        <w:t xml:space="preserve"> </w:t>
      </w:r>
      <w:r w:rsidRPr="002022D4">
        <w:rPr>
          <w:szCs w:val="22"/>
        </w:rPr>
        <w:t xml:space="preserve">respondents x 1 form of TRS x 3 hrs per distribution = </w:t>
      </w:r>
      <w:r w:rsidR="006F3A2C" w:rsidRPr="002022D4">
        <w:rPr>
          <w:szCs w:val="22"/>
        </w:rPr>
        <w:t>2</w:t>
      </w:r>
      <w:r w:rsidR="002E78FD" w:rsidRPr="002022D4">
        <w:rPr>
          <w:szCs w:val="22"/>
        </w:rPr>
        <w:t>4</w:t>
      </w:r>
      <w:r w:rsidR="00305C9F" w:rsidRPr="002022D4">
        <w:rPr>
          <w:szCs w:val="22"/>
        </w:rPr>
        <w:t xml:space="preserve"> </w:t>
      </w:r>
      <w:r w:rsidRPr="002022D4">
        <w:rPr>
          <w:szCs w:val="22"/>
        </w:rPr>
        <w:t>hrs/yr</w:t>
      </w:r>
    </w:p>
    <w:p w14:paraId="138BD49C" w14:textId="464C6269" w:rsidR="006062B4" w:rsidRPr="002022D4" w:rsidRDefault="006062B4" w:rsidP="00B12CD9">
      <w:pPr>
        <w:pStyle w:val="ParaNum"/>
        <w:widowControl/>
        <w:numPr>
          <w:ilvl w:val="0"/>
          <w:numId w:val="0"/>
        </w:numPr>
        <w:ind w:left="360"/>
        <w:jc w:val="left"/>
        <w:rPr>
          <w:szCs w:val="22"/>
        </w:rPr>
      </w:pPr>
      <w:r w:rsidRPr="002022D4">
        <w:rPr>
          <w:szCs w:val="22"/>
        </w:rPr>
        <w:t xml:space="preserve">The Commission assumes that respondents will use “in-house” personnel whose pay is comparable to senior level federal employees </w:t>
      </w:r>
      <w:r w:rsidR="00266921" w:rsidRPr="002022D4">
        <w:rPr>
          <w:szCs w:val="22"/>
        </w:rPr>
        <w:t xml:space="preserve">(GS-15 step 5) </w:t>
      </w:r>
      <w:r w:rsidRPr="002022D4">
        <w:rPr>
          <w:szCs w:val="22"/>
        </w:rPr>
        <w:t>to distribute information about whistleblower protections.</w:t>
      </w:r>
      <w:r w:rsidR="00A73AFA" w:rsidRPr="002022D4">
        <w:rPr>
          <w:szCs w:val="22"/>
        </w:rPr>
        <w:t xml:space="preserve">  </w:t>
      </w:r>
      <w:r w:rsidRPr="002022D4">
        <w:rPr>
          <w:szCs w:val="22"/>
        </w:rPr>
        <w:t>The Commission estimates respondents’ costs to be about $</w:t>
      </w:r>
      <w:r w:rsidR="00355641" w:rsidRPr="002022D4">
        <w:rPr>
          <w:szCs w:val="22"/>
        </w:rPr>
        <w:t>71.56</w:t>
      </w:r>
      <w:r w:rsidRPr="002022D4">
        <w:rPr>
          <w:szCs w:val="22"/>
        </w:rPr>
        <w:t xml:space="preserve"> per hour to complete.</w:t>
      </w:r>
    </w:p>
    <w:p w14:paraId="766818DB" w14:textId="691C5029" w:rsidR="00C07B56" w:rsidRPr="008E0FF3" w:rsidRDefault="006062B4" w:rsidP="000F6111">
      <w:pPr>
        <w:ind w:left="360"/>
        <w:rPr>
          <w:sz w:val="22"/>
          <w:szCs w:val="22"/>
        </w:rPr>
      </w:pPr>
      <w:r w:rsidRPr="008E0FF3">
        <w:rPr>
          <w:b/>
          <w:sz w:val="22"/>
          <w:szCs w:val="22"/>
        </w:rPr>
        <w:t>Annual “In-House” Cost:</w:t>
      </w:r>
      <w:r w:rsidRPr="008E0FF3">
        <w:rPr>
          <w:sz w:val="22"/>
          <w:szCs w:val="22"/>
        </w:rPr>
        <w:t xml:space="preserve">  </w:t>
      </w:r>
      <w:r w:rsidR="00A73AFA" w:rsidRPr="008E0FF3">
        <w:rPr>
          <w:sz w:val="22"/>
          <w:szCs w:val="22"/>
        </w:rPr>
        <w:t>51</w:t>
      </w:r>
      <w:r w:rsidR="00305C9F" w:rsidRPr="008E0FF3">
        <w:rPr>
          <w:sz w:val="22"/>
          <w:szCs w:val="22"/>
        </w:rPr>
        <w:t xml:space="preserve"> </w:t>
      </w:r>
      <w:r w:rsidRPr="008E0FF3">
        <w:rPr>
          <w:sz w:val="22"/>
          <w:szCs w:val="22"/>
        </w:rPr>
        <w:t>hrs x $</w:t>
      </w:r>
      <w:r w:rsidR="00F444A8" w:rsidRPr="008E0FF3">
        <w:rPr>
          <w:sz w:val="22"/>
          <w:szCs w:val="22"/>
        </w:rPr>
        <w:t>71.56</w:t>
      </w:r>
      <w:r w:rsidRPr="008E0FF3">
        <w:rPr>
          <w:sz w:val="22"/>
          <w:szCs w:val="22"/>
        </w:rPr>
        <w:t>/hr = $</w:t>
      </w:r>
      <w:r w:rsidR="00355641" w:rsidRPr="008E0FF3">
        <w:rPr>
          <w:sz w:val="22"/>
          <w:szCs w:val="22"/>
        </w:rPr>
        <w:t>3,649.56</w:t>
      </w:r>
    </w:p>
    <w:p w14:paraId="128E8A40" w14:textId="77777777" w:rsidR="00C07B56" w:rsidRPr="002022D4" w:rsidRDefault="00C07B56" w:rsidP="000F6111">
      <w:pPr>
        <w:ind w:left="360"/>
        <w:rPr>
          <w:b/>
          <w:sz w:val="22"/>
          <w:szCs w:val="22"/>
          <w:u w:val="single"/>
        </w:rPr>
      </w:pPr>
    </w:p>
    <w:p w14:paraId="015A7EB6" w14:textId="77777777" w:rsidR="00F1588E" w:rsidRPr="002022D4" w:rsidRDefault="00CD3EA7" w:rsidP="000F6111">
      <w:pPr>
        <w:ind w:left="360"/>
        <w:rPr>
          <w:b/>
          <w:sz w:val="22"/>
          <w:szCs w:val="22"/>
          <w:u w:val="single"/>
        </w:rPr>
      </w:pPr>
      <w:r w:rsidRPr="002022D4">
        <w:rPr>
          <w:b/>
          <w:sz w:val="22"/>
          <w:szCs w:val="22"/>
          <w:u w:val="single"/>
        </w:rPr>
        <w:t xml:space="preserve">ANNUAL </w:t>
      </w:r>
      <w:r w:rsidR="00F1588E" w:rsidRPr="002022D4">
        <w:rPr>
          <w:b/>
          <w:sz w:val="22"/>
          <w:szCs w:val="22"/>
          <w:u w:val="single"/>
        </w:rPr>
        <w:t>TOTAL</w:t>
      </w:r>
      <w:r w:rsidRPr="002022D4">
        <w:rPr>
          <w:b/>
          <w:sz w:val="22"/>
          <w:szCs w:val="22"/>
          <w:u w:val="single"/>
        </w:rPr>
        <w:t>S</w:t>
      </w:r>
      <w:r w:rsidR="00F1588E" w:rsidRPr="002022D4">
        <w:rPr>
          <w:b/>
          <w:sz w:val="22"/>
          <w:szCs w:val="22"/>
          <w:u w:val="single"/>
        </w:rPr>
        <w:t xml:space="preserve"> FOR INFORMATION COLLECTION REQUIREMENTS:</w:t>
      </w:r>
    </w:p>
    <w:p w14:paraId="07BBCE35" w14:textId="77777777" w:rsidR="000F6111" w:rsidRPr="002022D4" w:rsidRDefault="000F6111" w:rsidP="000F6111">
      <w:pPr>
        <w:ind w:left="720" w:hanging="360"/>
        <w:rPr>
          <w:b/>
          <w:sz w:val="22"/>
          <w:szCs w:val="22"/>
        </w:rPr>
      </w:pPr>
    </w:p>
    <w:p w14:paraId="4AE282AC" w14:textId="64B314B5" w:rsidR="00F1588E" w:rsidRPr="002022D4" w:rsidRDefault="00F1588E" w:rsidP="000F6111">
      <w:pPr>
        <w:ind w:left="720" w:hanging="360"/>
        <w:rPr>
          <w:b/>
          <w:sz w:val="22"/>
          <w:szCs w:val="22"/>
        </w:rPr>
      </w:pPr>
      <w:r w:rsidRPr="002022D4">
        <w:rPr>
          <w:b/>
          <w:sz w:val="22"/>
          <w:szCs w:val="22"/>
        </w:rPr>
        <w:t>Total</w:t>
      </w:r>
      <w:r w:rsidR="00DB2686" w:rsidRPr="002022D4">
        <w:rPr>
          <w:b/>
          <w:sz w:val="22"/>
          <w:szCs w:val="22"/>
        </w:rPr>
        <w:t xml:space="preserve"> of Annual </w:t>
      </w:r>
      <w:r w:rsidRPr="002022D4">
        <w:rPr>
          <w:b/>
          <w:sz w:val="22"/>
          <w:szCs w:val="22"/>
        </w:rPr>
        <w:t>Number of Respondents:</w:t>
      </w:r>
      <w:r w:rsidR="00F5050B" w:rsidRPr="002022D4">
        <w:rPr>
          <w:sz w:val="22"/>
          <w:szCs w:val="22"/>
        </w:rPr>
        <w:t xml:space="preserve">  =</w:t>
      </w:r>
      <w:r w:rsidRPr="002022D4">
        <w:rPr>
          <w:b/>
          <w:sz w:val="22"/>
          <w:szCs w:val="22"/>
        </w:rPr>
        <w:t xml:space="preserve"> </w:t>
      </w:r>
      <w:r w:rsidR="00E1309E" w:rsidRPr="002022D4">
        <w:rPr>
          <w:b/>
          <w:sz w:val="22"/>
          <w:szCs w:val="22"/>
        </w:rPr>
        <w:t>1</w:t>
      </w:r>
      <w:r w:rsidR="00486008">
        <w:rPr>
          <w:b/>
          <w:sz w:val="22"/>
          <w:szCs w:val="22"/>
        </w:rPr>
        <w:t>0</w:t>
      </w:r>
      <w:r w:rsidR="005816E3" w:rsidRPr="002022D4">
        <w:rPr>
          <w:b/>
          <w:sz w:val="22"/>
          <w:szCs w:val="22"/>
        </w:rPr>
        <w:t xml:space="preserve"> </w:t>
      </w:r>
    </w:p>
    <w:p w14:paraId="6EBBE765" w14:textId="77777777" w:rsidR="000F6111" w:rsidRPr="002022D4" w:rsidRDefault="000F6111" w:rsidP="00DB2686">
      <w:pPr>
        <w:ind w:left="720" w:hanging="360"/>
        <w:rPr>
          <w:b/>
          <w:sz w:val="22"/>
          <w:szCs w:val="22"/>
        </w:rPr>
      </w:pPr>
    </w:p>
    <w:p w14:paraId="39A90D38" w14:textId="32FBD5A3" w:rsidR="00867B8E" w:rsidRPr="002022D4" w:rsidRDefault="00F1588E" w:rsidP="00DB2686">
      <w:pPr>
        <w:ind w:left="720" w:hanging="360"/>
        <w:rPr>
          <w:b/>
          <w:sz w:val="22"/>
          <w:szCs w:val="22"/>
        </w:rPr>
      </w:pPr>
      <w:r w:rsidRPr="002022D4">
        <w:rPr>
          <w:b/>
          <w:sz w:val="22"/>
          <w:szCs w:val="22"/>
        </w:rPr>
        <w:t xml:space="preserve">Total </w:t>
      </w:r>
      <w:r w:rsidR="00DB2686" w:rsidRPr="002022D4">
        <w:rPr>
          <w:b/>
          <w:sz w:val="22"/>
          <w:szCs w:val="22"/>
        </w:rPr>
        <w:t xml:space="preserve">Annual </w:t>
      </w:r>
      <w:r w:rsidRPr="002022D4">
        <w:rPr>
          <w:b/>
          <w:sz w:val="22"/>
          <w:szCs w:val="22"/>
        </w:rPr>
        <w:t xml:space="preserve">Number of Responses: </w:t>
      </w:r>
      <w:r w:rsidR="00355641" w:rsidRPr="002022D4">
        <w:rPr>
          <w:b/>
          <w:sz w:val="22"/>
          <w:szCs w:val="22"/>
        </w:rPr>
        <w:t>669</w:t>
      </w:r>
    </w:p>
    <w:p w14:paraId="256CFD2E" w14:textId="6ACD3BA9" w:rsidR="00891F76" w:rsidRPr="002022D4" w:rsidRDefault="00891F76" w:rsidP="00DB2686">
      <w:pPr>
        <w:ind w:left="720" w:hanging="360"/>
        <w:rPr>
          <w:b/>
          <w:sz w:val="22"/>
          <w:szCs w:val="22"/>
        </w:rPr>
      </w:pPr>
    </w:p>
    <w:p w14:paraId="77F26B07" w14:textId="477B2156" w:rsidR="00867B8E" w:rsidRPr="002022D4" w:rsidRDefault="00F1588E" w:rsidP="00DB2686">
      <w:pPr>
        <w:ind w:left="720" w:hanging="360"/>
        <w:rPr>
          <w:b/>
          <w:sz w:val="22"/>
          <w:szCs w:val="22"/>
        </w:rPr>
      </w:pPr>
      <w:r w:rsidRPr="002022D4">
        <w:rPr>
          <w:b/>
          <w:sz w:val="22"/>
          <w:szCs w:val="22"/>
        </w:rPr>
        <w:t xml:space="preserve">Total </w:t>
      </w:r>
      <w:r w:rsidR="00DB2686" w:rsidRPr="002022D4">
        <w:rPr>
          <w:b/>
          <w:sz w:val="22"/>
          <w:szCs w:val="22"/>
        </w:rPr>
        <w:t xml:space="preserve">of </w:t>
      </w:r>
      <w:r w:rsidRPr="002022D4">
        <w:rPr>
          <w:b/>
          <w:sz w:val="22"/>
          <w:szCs w:val="22"/>
        </w:rPr>
        <w:t>Annual</w:t>
      </w:r>
      <w:r w:rsidR="00DB2686" w:rsidRPr="002022D4">
        <w:rPr>
          <w:b/>
          <w:sz w:val="22"/>
          <w:szCs w:val="22"/>
        </w:rPr>
        <w:t xml:space="preserve"> </w:t>
      </w:r>
      <w:r w:rsidRPr="002022D4">
        <w:rPr>
          <w:b/>
          <w:sz w:val="22"/>
          <w:szCs w:val="22"/>
        </w:rPr>
        <w:t xml:space="preserve">Burden Hours: </w:t>
      </w:r>
      <w:r w:rsidR="00611DF8" w:rsidRPr="002022D4">
        <w:rPr>
          <w:b/>
          <w:sz w:val="22"/>
          <w:szCs w:val="22"/>
        </w:rPr>
        <w:t>1,841</w:t>
      </w:r>
      <w:r w:rsidRPr="002022D4">
        <w:rPr>
          <w:b/>
          <w:sz w:val="22"/>
          <w:szCs w:val="22"/>
        </w:rPr>
        <w:t xml:space="preserve"> </w:t>
      </w:r>
    </w:p>
    <w:p w14:paraId="2A00D7BE" w14:textId="431AB211" w:rsidR="00FB0A32" w:rsidRPr="002022D4" w:rsidRDefault="00FB0A32" w:rsidP="00DB2686">
      <w:pPr>
        <w:ind w:left="720" w:hanging="360"/>
        <w:rPr>
          <w:b/>
          <w:sz w:val="22"/>
          <w:szCs w:val="22"/>
        </w:rPr>
      </w:pPr>
    </w:p>
    <w:p w14:paraId="19AA3809" w14:textId="7249FE14" w:rsidR="00125FFF" w:rsidRPr="002022D4" w:rsidRDefault="00F1588E" w:rsidP="00DB2686">
      <w:pPr>
        <w:ind w:left="720" w:hanging="360"/>
        <w:rPr>
          <w:b/>
          <w:sz w:val="22"/>
          <w:szCs w:val="22"/>
        </w:rPr>
      </w:pPr>
      <w:r w:rsidRPr="002022D4">
        <w:rPr>
          <w:b/>
          <w:sz w:val="22"/>
          <w:szCs w:val="22"/>
        </w:rPr>
        <w:t xml:space="preserve">Total </w:t>
      </w:r>
      <w:r w:rsidR="00DB2686" w:rsidRPr="002022D4">
        <w:rPr>
          <w:b/>
          <w:sz w:val="22"/>
          <w:szCs w:val="22"/>
        </w:rPr>
        <w:t xml:space="preserve">of </w:t>
      </w:r>
      <w:r w:rsidRPr="002022D4">
        <w:rPr>
          <w:b/>
          <w:sz w:val="22"/>
          <w:szCs w:val="22"/>
        </w:rPr>
        <w:t xml:space="preserve">Annual “In-House” Costs:  </w:t>
      </w:r>
      <w:r w:rsidR="00D87EEC" w:rsidRPr="002022D4">
        <w:rPr>
          <w:b/>
          <w:sz w:val="22"/>
          <w:szCs w:val="22"/>
        </w:rPr>
        <w:t>$197,434.04</w:t>
      </w:r>
    </w:p>
    <w:p w14:paraId="1F93BEDA" w14:textId="2A66D0DB" w:rsidR="00F1588E" w:rsidRPr="002022D4" w:rsidRDefault="00F1588E" w:rsidP="00DB2686">
      <w:pPr>
        <w:ind w:left="720" w:hanging="360"/>
        <w:rPr>
          <w:b/>
          <w:sz w:val="22"/>
          <w:szCs w:val="22"/>
        </w:rPr>
      </w:pPr>
    </w:p>
    <w:p w14:paraId="020D8498" w14:textId="77777777" w:rsidR="00B8108A" w:rsidRPr="002022D4" w:rsidRDefault="00B8108A" w:rsidP="00B8108A">
      <w:pPr>
        <w:rPr>
          <w:b/>
          <w:sz w:val="22"/>
          <w:szCs w:val="22"/>
        </w:rPr>
      </w:pPr>
    </w:p>
    <w:p w14:paraId="5BA47510" w14:textId="77777777" w:rsidR="00E657D7" w:rsidRPr="002022D4" w:rsidRDefault="00B8108A" w:rsidP="00B8108A">
      <w:pPr>
        <w:rPr>
          <w:sz w:val="22"/>
          <w:szCs w:val="22"/>
        </w:rPr>
      </w:pPr>
      <w:r w:rsidRPr="002022D4">
        <w:rPr>
          <w:sz w:val="22"/>
          <w:szCs w:val="22"/>
        </w:rPr>
        <w:t xml:space="preserve">13.  </w:t>
      </w:r>
      <w:r w:rsidR="006A1D00" w:rsidRPr="002022D4">
        <w:rPr>
          <w:sz w:val="22"/>
          <w:szCs w:val="22"/>
        </w:rPr>
        <w:t xml:space="preserve">The Commission estimates that </w:t>
      </w:r>
      <w:r w:rsidR="00164C70" w:rsidRPr="002022D4">
        <w:rPr>
          <w:sz w:val="22"/>
          <w:szCs w:val="22"/>
        </w:rPr>
        <w:t>TRS</w:t>
      </w:r>
      <w:r w:rsidR="0041467C" w:rsidRPr="002022D4">
        <w:rPr>
          <w:sz w:val="22"/>
          <w:szCs w:val="22"/>
        </w:rPr>
        <w:t xml:space="preserve"> providers </w:t>
      </w:r>
      <w:r w:rsidR="006A1D00" w:rsidRPr="002022D4">
        <w:rPr>
          <w:sz w:val="22"/>
          <w:szCs w:val="22"/>
        </w:rPr>
        <w:t xml:space="preserve">will incur </w:t>
      </w:r>
      <w:r w:rsidR="00E657D7" w:rsidRPr="002022D4">
        <w:rPr>
          <w:sz w:val="22"/>
          <w:szCs w:val="22"/>
        </w:rPr>
        <w:t>some cost for the following:</w:t>
      </w:r>
    </w:p>
    <w:p w14:paraId="4F2BC958" w14:textId="77777777" w:rsidR="00E657D7" w:rsidRPr="002022D4" w:rsidRDefault="00E657D7" w:rsidP="00E657D7">
      <w:pPr>
        <w:ind w:firstLine="720"/>
        <w:rPr>
          <w:sz w:val="22"/>
          <w:szCs w:val="22"/>
        </w:rPr>
      </w:pPr>
    </w:p>
    <w:p w14:paraId="5DD82057" w14:textId="06461C0F" w:rsidR="00E657D7" w:rsidRPr="002022D4" w:rsidRDefault="00E657D7" w:rsidP="009B3874">
      <w:pPr>
        <w:tabs>
          <w:tab w:val="left" w:pos="360"/>
          <w:tab w:val="left" w:pos="720"/>
        </w:tabs>
        <w:ind w:left="360"/>
        <w:rPr>
          <w:sz w:val="22"/>
          <w:szCs w:val="22"/>
        </w:rPr>
      </w:pPr>
      <w:r w:rsidRPr="002022D4">
        <w:rPr>
          <w:sz w:val="22"/>
          <w:szCs w:val="22"/>
        </w:rPr>
        <w:t xml:space="preserve">(1) </w:t>
      </w:r>
      <w:r w:rsidR="00477BF2" w:rsidRPr="002022D4">
        <w:rPr>
          <w:sz w:val="22"/>
          <w:szCs w:val="22"/>
        </w:rPr>
        <w:t>I</w:t>
      </w:r>
      <w:r w:rsidRPr="002022D4">
        <w:rPr>
          <w:sz w:val="22"/>
          <w:szCs w:val="22"/>
        </w:rPr>
        <w:t>mplementation of technological infrastructure – likely software -- to automatically capture</w:t>
      </w:r>
      <w:r w:rsidR="00353679" w:rsidRPr="002022D4">
        <w:rPr>
          <w:sz w:val="22"/>
          <w:szCs w:val="22"/>
        </w:rPr>
        <w:t xml:space="preserve"> the session and</w:t>
      </w:r>
      <w:r w:rsidR="00353679" w:rsidRPr="002022D4">
        <w:rPr>
          <w:szCs w:val="22"/>
        </w:rPr>
        <w:t xml:space="preserve"> </w:t>
      </w:r>
      <w:r w:rsidRPr="002022D4">
        <w:rPr>
          <w:sz w:val="22"/>
          <w:szCs w:val="22"/>
        </w:rPr>
        <w:t>the conversation time</w:t>
      </w:r>
      <w:r w:rsidR="00BC3820" w:rsidRPr="002022D4">
        <w:rPr>
          <w:sz w:val="22"/>
          <w:szCs w:val="22"/>
        </w:rPr>
        <w:t>s</w:t>
      </w:r>
      <w:r w:rsidRPr="002022D4">
        <w:rPr>
          <w:sz w:val="22"/>
          <w:szCs w:val="22"/>
        </w:rPr>
        <w:t xml:space="preserve">, to the nearest second, </w:t>
      </w:r>
      <w:r w:rsidR="00BC3820" w:rsidRPr="002022D4">
        <w:rPr>
          <w:sz w:val="22"/>
          <w:szCs w:val="22"/>
        </w:rPr>
        <w:t xml:space="preserve">and all other data required </w:t>
      </w:r>
      <w:r w:rsidRPr="002022D4">
        <w:rPr>
          <w:sz w:val="22"/>
          <w:szCs w:val="22"/>
        </w:rPr>
        <w:t>for each TRS call</w:t>
      </w:r>
      <w:r w:rsidR="00477BF2" w:rsidRPr="002022D4">
        <w:rPr>
          <w:sz w:val="22"/>
          <w:szCs w:val="22"/>
        </w:rPr>
        <w:t>, per 12(D)</w:t>
      </w:r>
      <w:r w:rsidR="002D5E37" w:rsidRPr="002022D4">
        <w:rPr>
          <w:sz w:val="22"/>
          <w:szCs w:val="22"/>
        </w:rPr>
        <w:t xml:space="preserve"> above</w:t>
      </w:r>
      <w:r w:rsidRPr="002022D4">
        <w:rPr>
          <w:sz w:val="22"/>
          <w:szCs w:val="22"/>
        </w:rPr>
        <w:t>; and</w:t>
      </w:r>
    </w:p>
    <w:p w14:paraId="475D8E9C" w14:textId="77777777" w:rsidR="00E657D7" w:rsidRPr="002022D4" w:rsidRDefault="00E657D7" w:rsidP="00E657D7">
      <w:pPr>
        <w:ind w:left="1350"/>
        <w:rPr>
          <w:sz w:val="22"/>
          <w:szCs w:val="22"/>
        </w:rPr>
      </w:pPr>
    </w:p>
    <w:p w14:paraId="6B34CAD0" w14:textId="3D2805EA" w:rsidR="00E657D7" w:rsidRPr="002022D4" w:rsidRDefault="002D5E37" w:rsidP="009B3874">
      <w:pPr>
        <w:ind w:left="360"/>
        <w:rPr>
          <w:sz w:val="22"/>
          <w:szCs w:val="22"/>
        </w:rPr>
      </w:pPr>
      <w:r w:rsidRPr="002022D4">
        <w:rPr>
          <w:sz w:val="22"/>
          <w:szCs w:val="22"/>
        </w:rPr>
        <w:t xml:space="preserve">The </w:t>
      </w:r>
      <w:r w:rsidR="00E657D7" w:rsidRPr="002022D4">
        <w:rPr>
          <w:sz w:val="22"/>
          <w:szCs w:val="22"/>
        </w:rPr>
        <w:t>Commission estimates conservatively at this juncture that</w:t>
      </w:r>
      <w:r w:rsidR="00773D0A" w:rsidRPr="002022D4">
        <w:rPr>
          <w:sz w:val="22"/>
          <w:szCs w:val="22"/>
        </w:rPr>
        <w:t xml:space="preserve"> the </w:t>
      </w:r>
      <w:r w:rsidR="006F3A2C" w:rsidRPr="002022D4">
        <w:rPr>
          <w:sz w:val="22"/>
          <w:szCs w:val="22"/>
        </w:rPr>
        <w:t>3</w:t>
      </w:r>
      <w:r w:rsidR="00773D0A" w:rsidRPr="002022D4">
        <w:rPr>
          <w:sz w:val="22"/>
          <w:szCs w:val="22"/>
        </w:rPr>
        <w:t xml:space="preserve"> new potential </w:t>
      </w:r>
      <w:r w:rsidR="00E657D7" w:rsidRPr="002022D4">
        <w:rPr>
          <w:sz w:val="22"/>
          <w:szCs w:val="22"/>
        </w:rPr>
        <w:t>respondent</w:t>
      </w:r>
      <w:r w:rsidR="00513AD8" w:rsidRPr="002022D4">
        <w:rPr>
          <w:sz w:val="22"/>
          <w:szCs w:val="22"/>
        </w:rPr>
        <w:t>s</w:t>
      </w:r>
      <w:r w:rsidR="00E657D7" w:rsidRPr="002022D4">
        <w:rPr>
          <w:sz w:val="22"/>
          <w:szCs w:val="22"/>
        </w:rPr>
        <w:t xml:space="preserve"> will purchase such software at up to $5,000</w:t>
      </w:r>
      <w:r w:rsidR="00773D0A" w:rsidRPr="002022D4">
        <w:rPr>
          <w:sz w:val="22"/>
          <w:szCs w:val="22"/>
        </w:rPr>
        <w:t xml:space="preserve">.  </w:t>
      </w:r>
      <w:r w:rsidR="00E657D7" w:rsidRPr="002022D4">
        <w:rPr>
          <w:sz w:val="22"/>
          <w:szCs w:val="22"/>
        </w:rPr>
        <w:t>The Commission further estimates that such software would have a useful life of 10 years.</w:t>
      </w:r>
    </w:p>
    <w:p w14:paraId="63558D17" w14:textId="77777777" w:rsidR="00E657D7" w:rsidRPr="002022D4" w:rsidRDefault="00E657D7" w:rsidP="00E657D7">
      <w:pPr>
        <w:ind w:left="360"/>
        <w:rPr>
          <w:sz w:val="22"/>
          <w:szCs w:val="22"/>
        </w:rPr>
      </w:pPr>
    </w:p>
    <w:p w14:paraId="64128B30" w14:textId="447AF40F" w:rsidR="00E657D7" w:rsidRPr="002022D4" w:rsidRDefault="006F3A2C" w:rsidP="00E657D7">
      <w:pPr>
        <w:ind w:left="360"/>
        <w:rPr>
          <w:sz w:val="22"/>
          <w:szCs w:val="22"/>
        </w:rPr>
      </w:pPr>
      <w:r w:rsidRPr="002022D4">
        <w:rPr>
          <w:sz w:val="22"/>
          <w:szCs w:val="22"/>
        </w:rPr>
        <w:t>3</w:t>
      </w:r>
      <w:r w:rsidR="00305C9F" w:rsidRPr="002022D4">
        <w:rPr>
          <w:sz w:val="22"/>
          <w:szCs w:val="22"/>
        </w:rPr>
        <w:t xml:space="preserve"> </w:t>
      </w:r>
      <w:r w:rsidR="001216D8" w:rsidRPr="002022D4">
        <w:rPr>
          <w:sz w:val="22"/>
          <w:szCs w:val="22"/>
        </w:rPr>
        <w:t xml:space="preserve">new potential </w:t>
      </w:r>
      <w:r w:rsidR="00036365">
        <w:rPr>
          <w:sz w:val="22"/>
          <w:szCs w:val="22"/>
        </w:rPr>
        <w:t>respondent x $5,000/</w:t>
      </w:r>
      <w:r w:rsidR="00E657D7" w:rsidRPr="002022D4">
        <w:rPr>
          <w:sz w:val="22"/>
          <w:szCs w:val="22"/>
        </w:rPr>
        <w:t>10 yrs = $</w:t>
      </w:r>
      <w:r w:rsidRPr="002022D4">
        <w:rPr>
          <w:sz w:val="22"/>
          <w:szCs w:val="22"/>
        </w:rPr>
        <w:t>1,</w:t>
      </w:r>
      <w:r w:rsidR="00305C9F" w:rsidRPr="002022D4">
        <w:rPr>
          <w:sz w:val="22"/>
          <w:szCs w:val="22"/>
        </w:rPr>
        <w:t>500</w:t>
      </w:r>
      <w:r w:rsidR="00E657D7" w:rsidRPr="002022D4">
        <w:rPr>
          <w:sz w:val="22"/>
          <w:szCs w:val="22"/>
        </w:rPr>
        <w:t>/yr</w:t>
      </w:r>
    </w:p>
    <w:p w14:paraId="3672967E" w14:textId="77777777" w:rsidR="00477BF2" w:rsidRPr="002022D4" w:rsidRDefault="00477BF2" w:rsidP="00E657D7">
      <w:pPr>
        <w:ind w:left="360"/>
        <w:rPr>
          <w:sz w:val="22"/>
          <w:szCs w:val="22"/>
        </w:rPr>
      </w:pPr>
    </w:p>
    <w:p w14:paraId="65042262" w14:textId="4377B57A" w:rsidR="00477BF2" w:rsidRPr="002022D4" w:rsidRDefault="00477BF2" w:rsidP="00477BF2">
      <w:pPr>
        <w:ind w:left="360"/>
        <w:rPr>
          <w:sz w:val="22"/>
          <w:szCs w:val="22"/>
        </w:rPr>
      </w:pPr>
      <w:r w:rsidRPr="002022D4">
        <w:rPr>
          <w:sz w:val="22"/>
          <w:szCs w:val="22"/>
        </w:rPr>
        <w:t>(2)</w:t>
      </w:r>
      <w:r w:rsidRPr="002022D4">
        <w:rPr>
          <w:sz w:val="22"/>
          <w:szCs w:val="22"/>
        </w:rPr>
        <w:tab/>
      </w:r>
      <w:r w:rsidR="00A97934" w:rsidRPr="002022D4">
        <w:rPr>
          <w:sz w:val="22"/>
          <w:szCs w:val="22"/>
        </w:rPr>
        <w:t>R</w:t>
      </w:r>
      <w:r w:rsidRPr="002022D4">
        <w:rPr>
          <w:sz w:val="22"/>
          <w:szCs w:val="22"/>
        </w:rPr>
        <w:t>ecord storage facilities for retaining records for five years, per 12(E) above.</w:t>
      </w:r>
    </w:p>
    <w:p w14:paraId="6AA7F5CC" w14:textId="77777777" w:rsidR="00477BF2" w:rsidRPr="002022D4" w:rsidRDefault="00477BF2" w:rsidP="00477BF2">
      <w:pPr>
        <w:ind w:left="1350"/>
        <w:rPr>
          <w:sz w:val="22"/>
          <w:szCs w:val="22"/>
        </w:rPr>
      </w:pPr>
    </w:p>
    <w:p w14:paraId="488D780A" w14:textId="7DB4E1B8" w:rsidR="00E657D7" w:rsidRPr="002022D4" w:rsidRDefault="00E657D7" w:rsidP="00477BF2">
      <w:pPr>
        <w:ind w:left="360"/>
        <w:rPr>
          <w:sz w:val="22"/>
          <w:szCs w:val="22"/>
        </w:rPr>
      </w:pPr>
      <w:r w:rsidRPr="002022D4">
        <w:rPr>
          <w:sz w:val="22"/>
          <w:szCs w:val="22"/>
        </w:rPr>
        <w:t>The Commission estimates that</w:t>
      </w:r>
      <w:r w:rsidR="00773D0A" w:rsidRPr="002022D4">
        <w:rPr>
          <w:sz w:val="22"/>
          <w:szCs w:val="22"/>
        </w:rPr>
        <w:t xml:space="preserve"> the </w:t>
      </w:r>
      <w:r w:rsidR="00A97934" w:rsidRPr="002022D4">
        <w:rPr>
          <w:sz w:val="22"/>
          <w:szCs w:val="22"/>
        </w:rPr>
        <w:t>10</w:t>
      </w:r>
      <w:r w:rsidR="00773D0A" w:rsidRPr="002022D4">
        <w:rPr>
          <w:sz w:val="22"/>
          <w:szCs w:val="22"/>
        </w:rPr>
        <w:t xml:space="preserve"> </w:t>
      </w:r>
      <w:r w:rsidRPr="002022D4">
        <w:rPr>
          <w:sz w:val="22"/>
          <w:szCs w:val="22"/>
        </w:rPr>
        <w:t>respondent</w:t>
      </w:r>
      <w:r w:rsidR="006F3A2C" w:rsidRPr="002022D4">
        <w:rPr>
          <w:sz w:val="22"/>
          <w:szCs w:val="22"/>
        </w:rPr>
        <w:t>s</w:t>
      </w:r>
      <w:r w:rsidRPr="002022D4">
        <w:rPr>
          <w:sz w:val="22"/>
          <w:szCs w:val="22"/>
        </w:rPr>
        <w:t xml:space="preserve"> will need to spend $2,600 per year for additional server space, memory, communications, and backup/recovery service</w:t>
      </w:r>
      <w:r w:rsidR="00305C9F" w:rsidRPr="002022D4">
        <w:rPr>
          <w:sz w:val="22"/>
          <w:szCs w:val="22"/>
        </w:rPr>
        <w:t>, including maintenance,</w:t>
      </w:r>
      <w:r w:rsidRPr="002022D4">
        <w:rPr>
          <w:sz w:val="22"/>
          <w:szCs w:val="22"/>
        </w:rPr>
        <w:t xml:space="preserve"> associated with a requirement to retain records for five years, per 12(E) above.</w:t>
      </w:r>
    </w:p>
    <w:p w14:paraId="7642E4CE" w14:textId="77777777" w:rsidR="00E657D7" w:rsidRPr="002022D4" w:rsidRDefault="00E657D7" w:rsidP="00E657D7">
      <w:pPr>
        <w:ind w:left="360"/>
        <w:rPr>
          <w:sz w:val="22"/>
          <w:szCs w:val="22"/>
        </w:rPr>
      </w:pPr>
    </w:p>
    <w:p w14:paraId="7F50B67B" w14:textId="1D90719A" w:rsidR="00E657D7" w:rsidRPr="002022D4" w:rsidRDefault="00A97934" w:rsidP="00E657D7">
      <w:pPr>
        <w:ind w:left="360"/>
        <w:rPr>
          <w:sz w:val="22"/>
          <w:szCs w:val="22"/>
          <w:lang w:val="fr-FR"/>
        </w:rPr>
      </w:pPr>
      <w:r w:rsidRPr="002022D4">
        <w:rPr>
          <w:sz w:val="22"/>
          <w:szCs w:val="22"/>
          <w:lang w:val="fr-FR"/>
        </w:rPr>
        <w:t>10</w:t>
      </w:r>
      <w:r w:rsidR="00036365">
        <w:rPr>
          <w:sz w:val="22"/>
          <w:szCs w:val="22"/>
          <w:lang w:val="fr-FR"/>
        </w:rPr>
        <w:t xml:space="preserve"> respondents </w:t>
      </w:r>
      <w:r w:rsidR="00E657D7" w:rsidRPr="002022D4">
        <w:rPr>
          <w:sz w:val="22"/>
          <w:szCs w:val="22"/>
          <w:lang w:val="fr-FR"/>
        </w:rPr>
        <w:t>x $2,600</w:t>
      </w:r>
      <w:r w:rsidR="00773D0A" w:rsidRPr="002022D4" w:rsidDel="00773D0A">
        <w:rPr>
          <w:sz w:val="22"/>
          <w:szCs w:val="22"/>
          <w:lang w:val="fr-FR"/>
        </w:rPr>
        <w:t xml:space="preserve"> </w:t>
      </w:r>
      <w:r w:rsidR="00E657D7" w:rsidRPr="002022D4">
        <w:rPr>
          <w:sz w:val="22"/>
          <w:szCs w:val="22"/>
          <w:lang w:val="fr-FR"/>
        </w:rPr>
        <w:t>/yr = $</w:t>
      </w:r>
      <w:r w:rsidRPr="002022D4">
        <w:rPr>
          <w:sz w:val="22"/>
          <w:szCs w:val="22"/>
          <w:lang w:val="fr-FR"/>
        </w:rPr>
        <w:t>26,0</w:t>
      </w:r>
      <w:r w:rsidR="006F3A2C" w:rsidRPr="002022D4">
        <w:rPr>
          <w:sz w:val="22"/>
          <w:szCs w:val="22"/>
          <w:lang w:val="fr-FR"/>
        </w:rPr>
        <w:t>00</w:t>
      </w:r>
      <w:r w:rsidR="00E657D7" w:rsidRPr="002022D4">
        <w:rPr>
          <w:sz w:val="22"/>
          <w:szCs w:val="22"/>
          <w:lang w:val="fr-FR"/>
        </w:rPr>
        <w:t>/yr</w:t>
      </w:r>
    </w:p>
    <w:p w14:paraId="5675926E" w14:textId="77777777" w:rsidR="00E657D7" w:rsidRPr="002022D4" w:rsidRDefault="00E657D7" w:rsidP="00E657D7">
      <w:pPr>
        <w:ind w:left="360"/>
        <w:rPr>
          <w:sz w:val="22"/>
          <w:szCs w:val="22"/>
          <w:lang w:val="fr-FR"/>
        </w:rPr>
      </w:pPr>
    </w:p>
    <w:p w14:paraId="777F68A3" w14:textId="77777777" w:rsidR="00E657D7" w:rsidRPr="002022D4" w:rsidRDefault="00E657D7" w:rsidP="001020C8">
      <w:pPr>
        <w:numPr>
          <w:ilvl w:val="0"/>
          <w:numId w:val="4"/>
        </w:numPr>
        <w:tabs>
          <w:tab w:val="clear" w:pos="1710"/>
        </w:tabs>
        <w:ind w:left="1080" w:hanging="720"/>
        <w:rPr>
          <w:sz w:val="22"/>
          <w:szCs w:val="22"/>
        </w:rPr>
      </w:pPr>
      <w:r w:rsidRPr="002022D4">
        <w:rPr>
          <w:sz w:val="22"/>
          <w:szCs w:val="22"/>
        </w:rPr>
        <w:t>Total annualized capital/start-up costs: $</w:t>
      </w:r>
      <w:r w:rsidR="006F3A2C" w:rsidRPr="002022D4">
        <w:rPr>
          <w:sz w:val="22"/>
          <w:szCs w:val="22"/>
        </w:rPr>
        <w:t>1,</w:t>
      </w:r>
      <w:r w:rsidR="00B43DCC" w:rsidRPr="002022D4">
        <w:rPr>
          <w:sz w:val="22"/>
          <w:szCs w:val="22"/>
        </w:rPr>
        <w:t>500</w:t>
      </w:r>
    </w:p>
    <w:p w14:paraId="6DDE3DE2" w14:textId="77777777" w:rsidR="00E657D7" w:rsidRPr="002022D4" w:rsidRDefault="00E657D7" w:rsidP="00E657D7">
      <w:pPr>
        <w:ind w:left="1080" w:hanging="720"/>
        <w:rPr>
          <w:sz w:val="22"/>
          <w:szCs w:val="22"/>
        </w:rPr>
      </w:pPr>
    </w:p>
    <w:p w14:paraId="01F8ECEF" w14:textId="5F7C8369" w:rsidR="00E657D7" w:rsidRPr="002022D4" w:rsidRDefault="00E657D7" w:rsidP="001020C8">
      <w:pPr>
        <w:numPr>
          <w:ilvl w:val="0"/>
          <w:numId w:val="4"/>
        </w:numPr>
        <w:tabs>
          <w:tab w:val="clear" w:pos="1710"/>
        </w:tabs>
        <w:ind w:left="1080" w:hanging="720"/>
        <w:rPr>
          <w:sz w:val="22"/>
          <w:szCs w:val="22"/>
        </w:rPr>
      </w:pPr>
      <w:r w:rsidRPr="002022D4">
        <w:rPr>
          <w:sz w:val="22"/>
          <w:szCs w:val="22"/>
        </w:rPr>
        <w:t>Total annual costs (operation and maintenance): $</w:t>
      </w:r>
      <w:r w:rsidR="00A97934" w:rsidRPr="002022D4">
        <w:rPr>
          <w:sz w:val="22"/>
          <w:szCs w:val="22"/>
        </w:rPr>
        <w:t>26,0</w:t>
      </w:r>
      <w:r w:rsidR="006F3A2C" w:rsidRPr="002022D4">
        <w:rPr>
          <w:sz w:val="22"/>
          <w:szCs w:val="22"/>
        </w:rPr>
        <w:t>00</w:t>
      </w:r>
    </w:p>
    <w:p w14:paraId="45A63A9B" w14:textId="77777777" w:rsidR="00E657D7" w:rsidRPr="002022D4" w:rsidRDefault="00E657D7" w:rsidP="00E657D7">
      <w:pPr>
        <w:ind w:left="1080" w:hanging="720"/>
        <w:rPr>
          <w:sz w:val="22"/>
          <w:szCs w:val="22"/>
        </w:rPr>
      </w:pPr>
    </w:p>
    <w:p w14:paraId="1523257B" w14:textId="5E1EE150" w:rsidR="00E657D7" w:rsidRPr="002022D4" w:rsidRDefault="00E657D7" w:rsidP="002255B8">
      <w:pPr>
        <w:numPr>
          <w:ilvl w:val="0"/>
          <w:numId w:val="4"/>
        </w:numPr>
        <w:tabs>
          <w:tab w:val="clear" w:pos="1710"/>
        </w:tabs>
        <w:ind w:left="1080" w:hanging="720"/>
        <w:rPr>
          <w:sz w:val="22"/>
          <w:szCs w:val="22"/>
        </w:rPr>
      </w:pPr>
      <w:r w:rsidRPr="002022D4">
        <w:rPr>
          <w:sz w:val="22"/>
          <w:szCs w:val="22"/>
        </w:rPr>
        <w:t xml:space="preserve">Total annualized costs requested:  </w:t>
      </w:r>
      <w:r w:rsidR="002B1DC8" w:rsidRPr="002022D4">
        <w:rPr>
          <w:sz w:val="22"/>
          <w:szCs w:val="22"/>
        </w:rPr>
        <w:t>$1,500 + $</w:t>
      </w:r>
      <w:r w:rsidR="00DE0D27" w:rsidRPr="002022D4">
        <w:rPr>
          <w:sz w:val="22"/>
          <w:szCs w:val="22"/>
        </w:rPr>
        <w:t>26,0</w:t>
      </w:r>
      <w:r w:rsidR="002B1DC8" w:rsidRPr="002022D4">
        <w:rPr>
          <w:sz w:val="22"/>
          <w:szCs w:val="22"/>
        </w:rPr>
        <w:t xml:space="preserve">00 = </w:t>
      </w:r>
      <w:r w:rsidR="00147C7B" w:rsidRPr="002022D4">
        <w:rPr>
          <w:b/>
          <w:sz w:val="22"/>
          <w:szCs w:val="22"/>
        </w:rPr>
        <w:t>$</w:t>
      </w:r>
      <w:r w:rsidR="007A6DC2" w:rsidRPr="002022D4">
        <w:rPr>
          <w:b/>
          <w:sz w:val="22"/>
          <w:szCs w:val="22"/>
        </w:rPr>
        <w:t>27,5</w:t>
      </w:r>
      <w:r w:rsidR="006F3A2C" w:rsidRPr="002022D4">
        <w:rPr>
          <w:b/>
          <w:sz w:val="22"/>
          <w:szCs w:val="22"/>
        </w:rPr>
        <w:t>00</w:t>
      </w:r>
    </w:p>
    <w:p w14:paraId="006189A6" w14:textId="77777777" w:rsidR="00A631C7" w:rsidRPr="002022D4" w:rsidRDefault="00A631C7" w:rsidP="00A631C7">
      <w:pPr>
        <w:rPr>
          <w:sz w:val="22"/>
          <w:szCs w:val="22"/>
        </w:rPr>
      </w:pPr>
    </w:p>
    <w:p w14:paraId="38EA4DFE" w14:textId="77777777" w:rsidR="007E3EB2" w:rsidRPr="002022D4" w:rsidRDefault="00EB4755" w:rsidP="007E3EB2">
      <w:pPr>
        <w:tabs>
          <w:tab w:val="left" w:pos="360"/>
        </w:tabs>
        <w:ind w:left="360" w:hanging="360"/>
        <w:rPr>
          <w:sz w:val="22"/>
          <w:szCs w:val="22"/>
        </w:rPr>
      </w:pPr>
      <w:r w:rsidRPr="002022D4">
        <w:rPr>
          <w:sz w:val="22"/>
          <w:szCs w:val="22"/>
        </w:rPr>
        <w:t>14.</w:t>
      </w:r>
      <w:r w:rsidRPr="002022D4">
        <w:rPr>
          <w:sz w:val="22"/>
          <w:szCs w:val="22"/>
        </w:rPr>
        <w:tab/>
      </w:r>
      <w:r w:rsidR="007E3EB2" w:rsidRPr="002022D4">
        <w:rPr>
          <w:sz w:val="22"/>
          <w:szCs w:val="22"/>
        </w:rPr>
        <w:t>The Commission believes that the costs to the Federal government emanating from these final information collections will involve:</w:t>
      </w:r>
      <w:r w:rsidR="007E3EB2" w:rsidRPr="002022D4">
        <w:rPr>
          <w:rStyle w:val="FootnoteReference"/>
          <w:sz w:val="20"/>
        </w:rPr>
        <w:footnoteReference w:id="23"/>
      </w:r>
      <w:r w:rsidR="007E3EB2" w:rsidRPr="002022D4">
        <w:rPr>
          <w:sz w:val="22"/>
          <w:szCs w:val="22"/>
        </w:rPr>
        <w:t xml:space="preserve"> </w:t>
      </w:r>
    </w:p>
    <w:p w14:paraId="0FBED4F5" w14:textId="77777777" w:rsidR="007E3EB2" w:rsidRPr="002022D4" w:rsidRDefault="007E3EB2" w:rsidP="007E3EB2">
      <w:pPr>
        <w:tabs>
          <w:tab w:val="left" w:pos="360"/>
        </w:tabs>
        <w:rPr>
          <w:sz w:val="22"/>
          <w:szCs w:val="22"/>
        </w:rPr>
      </w:pPr>
    </w:p>
    <w:p w14:paraId="26FC680A" w14:textId="61B6982C" w:rsidR="007E3EB2" w:rsidRPr="002022D4" w:rsidRDefault="007E3EB2" w:rsidP="007E3EB2">
      <w:pPr>
        <w:ind w:left="360"/>
        <w:rPr>
          <w:sz w:val="22"/>
          <w:szCs w:val="22"/>
        </w:rPr>
      </w:pPr>
      <w:r w:rsidRPr="002022D4">
        <w:rPr>
          <w:sz w:val="22"/>
          <w:szCs w:val="22"/>
        </w:rPr>
        <w:t xml:space="preserve">(a) </w:t>
      </w:r>
      <w:r w:rsidR="00E05F75" w:rsidRPr="002022D4">
        <w:rPr>
          <w:sz w:val="22"/>
          <w:szCs w:val="22"/>
        </w:rPr>
        <w:t>I</w:t>
      </w:r>
      <w:r w:rsidRPr="002022D4">
        <w:rPr>
          <w:sz w:val="22"/>
          <w:szCs w:val="22"/>
        </w:rPr>
        <w:t xml:space="preserve">nitial staff review of the call data information and speed of answer compliance data, and of existing and new call center information; and </w:t>
      </w:r>
    </w:p>
    <w:p w14:paraId="3C30017A" w14:textId="77777777" w:rsidR="007E3EB2" w:rsidRPr="002022D4" w:rsidRDefault="007E3EB2" w:rsidP="007E3EB2">
      <w:pPr>
        <w:tabs>
          <w:tab w:val="left" w:pos="360"/>
        </w:tabs>
        <w:rPr>
          <w:sz w:val="22"/>
          <w:szCs w:val="22"/>
        </w:rPr>
      </w:pPr>
    </w:p>
    <w:p w14:paraId="18B587DB" w14:textId="34F8AF38" w:rsidR="007E3EB2" w:rsidRPr="002022D4" w:rsidRDefault="007E3EB2" w:rsidP="007E3EB2">
      <w:pPr>
        <w:ind w:left="360"/>
        <w:rPr>
          <w:sz w:val="22"/>
          <w:szCs w:val="22"/>
        </w:rPr>
      </w:pPr>
      <w:r w:rsidRPr="002022D4">
        <w:rPr>
          <w:sz w:val="22"/>
          <w:szCs w:val="22"/>
        </w:rPr>
        <w:t xml:space="preserve">(b) </w:t>
      </w:r>
      <w:r w:rsidR="00E05F75" w:rsidRPr="002022D4">
        <w:rPr>
          <w:sz w:val="22"/>
          <w:szCs w:val="22"/>
        </w:rPr>
        <w:t>S</w:t>
      </w:r>
      <w:r w:rsidRPr="002022D4">
        <w:rPr>
          <w:sz w:val="22"/>
          <w:szCs w:val="22"/>
        </w:rPr>
        <w:t>enior staff review of issues identified and escalated from the initial staff review of information and data.</w:t>
      </w:r>
    </w:p>
    <w:p w14:paraId="07298A92" w14:textId="77777777" w:rsidR="007E3EB2" w:rsidRPr="002022D4" w:rsidRDefault="007E3EB2" w:rsidP="007E3EB2">
      <w:pPr>
        <w:ind w:left="720" w:hanging="720"/>
        <w:rPr>
          <w:sz w:val="22"/>
          <w:szCs w:val="22"/>
        </w:rPr>
      </w:pPr>
    </w:p>
    <w:p w14:paraId="5FB5A461" w14:textId="41C4C4CC" w:rsidR="007E3EB2" w:rsidRPr="002022D4" w:rsidRDefault="007E3EB2" w:rsidP="007E3EB2">
      <w:pPr>
        <w:ind w:left="360"/>
        <w:rPr>
          <w:sz w:val="22"/>
          <w:szCs w:val="22"/>
        </w:rPr>
      </w:pPr>
      <w:r w:rsidRPr="002022D4">
        <w:rPr>
          <w:sz w:val="22"/>
          <w:szCs w:val="22"/>
        </w:rPr>
        <w:t>(a)  The Commission will use staff attorneys at the GS-14/5 level to review this information.  The Commission estimates the time to review this information will be approximately 12 hours per month = 144 hours annually.</w:t>
      </w:r>
    </w:p>
    <w:p w14:paraId="567016EC" w14:textId="77777777" w:rsidR="007E3EB2" w:rsidRPr="002022D4" w:rsidRDefault="007E3EB2" w:rsidP="007E3EB2">
      <w:pPr>
        <w:ind w:left="450" w:hanging="90"/>
        <w:rPr>
          <w:sz w:val="22"/>
          <w:szCs w:val="22"/>
        </w:rPr>
      </w:pPr>
    </w:p>
    <w:p w14:paraId="252C34FA" w14:textId="6AC815D1" w:rsidR="007E3EB2" w:rsidRPr="002022D4" w:rsidRDefault="007E3EB2" w:rsidP="007E3EB2">
      <w:pPr>
        <w:ind w:left="360"/>
        <w:rPr>
          <w:sz w:val="22"/>
          <w:szCs w:val="22"/>
        </w:rPr>
      </w:pPr>
      <w:r w:rsidRPr="002022D4">
        <w:rPr>
          <w:sz w:val="22"/>
          <w:szCs w:val="22"/>
        </w:rPr>
        <w:t>144 hrs x $</w:t>
      </w:r>
      <w:r w:rsidR="00D87EEC" w:rsidRPr="002022D4">
        <w:rPr>
          <w:sz w:val="22"/>
          <w:szCs w:val="22"/>
        </w:rPr>
        <w:t>60.83</w:t>
      </w:r>
      <w:r w:rsidRPr="008E0FF3">
        <w:rPr>
          <w:sz w:val="22"/>
          <w:szCs w:val="22"/>
        </w:rPr>
        <w:t>/hr = $8,</w:t>
      </w:r>
      <w:r w:rsidR="00D87EEC" w:rsidRPr="008E0FF3">
        <w:rPr>
          <w:sz w:val="22"/>
          <w:szCs w:val="22"/>
        </w:rPr>
        <w:t>759.52</w:t>
      </w:r>
    </w:p>
    <w:p w14:paraId="2BF91B1C" w14:textId="77777777" w:rsidR="007E3EB2" w:rsidRPr="002022D4" w:rsidRDefault="007E3EB2" w:rsidP="007E3EB2">
      <w:pPr>
        <w:ind w:left="360"/>
        <w:rPr>
          <w:sz w:val="22"/>
          <w:szCs w:val="22"/>
        </w:rPr>
      </w:pPr>
    </w:p>
    <w:p w14:paraId="0E91D52B" w14:textId="77777777" w:rsidR="007E3EB2" w:rsidRPr="002022D4" w:rsidRDefault="007E3EB2" w:rsidP="007E3EB2">
      <w:pPr>
        <w:ind w:left="360"/>
        <w:rPr>
          <w:sz w:val="22"/>
          <w:szCs w:val="22"/>
        </w:rPr>
      </w:pPr>
      <w:r w:rsidRPr="002022D4">
        <w:rPr>
          <w:sz w:val="22"/>
          <w:szCs w:val="22"/>
        </w:rPr>
        <w:t>(b)  The Commission will use staff attorneys at the GS-15/5 level to review escalated issues and information.  The Commission estimates the time to review this information will be approximately 25 hours per month = 300 hours annually.</w:t>
      </w:r>
    </w:p>
    <w:p w14:paraId="0BAB9DDA" w14:textId="77777777" w:rsidR="007E3EB2" w:rsidRPr="002022D4" w:rsidRDefault="007E3EB2" w:rsidP="007E3EB2">
      <w:pPr>
        <w:rPr>
          <w:sz w:val="22"/>
          <w:szCs w:val="22"/>
        </w:rPr>
      </w:pPr>
    </w:p>
    <w:p w14:paraId="51D375C2" w14:textId="710CC564" w:rsidR="007E3EB2" w:rsidRPr="002022D4" w:rsidRDefault="007E3EB2" w:rsidP="007E3EB2">
      <w:pPr>
        <w:ind w:left="360"/>
        <w:rPr>
          <w:sz w:val="22"/>
          <w:szCs w:val="22"/>
        </w:rPr>
      </w:pPr>
      <w:r w:rsidRPr="002022D4">
        <w:rPr>
          <w:sz w:val="22"/>
          <w:szCs w:val="22"/>
        </w:rPr>
        <w:t>300 hrs x $</w:t>
      </w:r>
      <w:r w:rsidR="00D87EEC" w:rsidRPr="002022D4">
        <w:rPr>
          <w:sz w:val="22"/>
          <w:szCs w:val="22"/>
        </w:rPr>
        <w:t>71.56</w:t>
      </w:r>
      <w:r w:rsidRPr="008E0FF3">
        <w:rPr>
          <w:sz w:val="22"/>
          <w:szCs w:val="22"/>
        </w:rPr>
        <w:t>/hr = $</w:t>
      </w:r>
      <w:r w:rsidR="00D87EEC" w:rsidRPr="008E0FF3">
        <w:rPr>
          <w:sz w:val="22"/>
          <w:szCs w:val="22"/>
        </w:rPr>
        <w:t>21,468</w:t>
      </w:r>
    </w:p>
    <w:p w14:paraId="38596AD8" w14:textId="77777777" w:rsidR="007E3EB2" w:rsidRPr="002022D4" w:rsidRDefault="007E3EB2" w:rsidP="007E3EB2">
      <w:pPr>
        <w:ind w:left="450" w:hanging="90"/>
        <w:rPr>
          <w:sz w:val="22"/>
          <w:szCs w:val="22"/>
        </w:rPr>
      </w:pPr>
      <w:r w:rsidRPr="002022D4">
        <w:rPr>
          <w:sz w:val="22"/>
          <w:szCs w:val="22"/>
        </w:rPr>
        <w:tab/>
      </w:r>
      <w:r w:rsidRPr="002022D4">
        <w:rPr>
          <w:sz w:val="22"/>
          <w:szCs w:val="22"/>
        </w:rPr>
        <w:tab/>
        <w:t xml:space="preserve">  </w:t>
      </w:r>
      <w:r w:rsidRPr="002022D4">
        <w:rPr>
          <w:sz w:val="22"/>
          <w:szCs w:val="22"/>
        </w:rPr>
        <w:tab/>
      </w:r>
      <w:r w:rsidRPr="002022D4">
        <w:rPr>
          <w:sz w:val="22"/>
          <w:szCs w:val="22"/>
        </w:rPr>
        <w:tab/>
      </w:r>
      <w:r w:rsidRPr="002022D4">
        <w:rPr>
          <w:sz w:val="22"/>
          <w:szCs w:val="22"/>
        </w:rPr>
        <w:tab/>
        <w:t xml:space="preserve">  </w:t>
      </w:r>
      <w:r w:rsidRPr="002022D4">
        <w:rPr>
          <w:sz w:val="22"/>
          <w:szCs w:val="22"/>
        </w:rPr>
        <w:tab/>
        <w:t xml:space="preserve">             </w:t>
      </w:r>
    </w:p>
    <w:p w14:paraId="5964B25D" w14:textId="49F670F1" w:rsidR="0033433D" w:rsidRPr="002022D4" w:rsidRDefault="007E3EB2" w:rsidP="007E3EB2">
      <w:pPr>
        <w:ind w:left="360" w:hanging="360"/>
        <w:rPr>
          <w:sz w:val="22"/>
          <w:szCs w:val="22"/>
        </w:rPr>
      </w:pPr>
      <w:r w:rsidRPr="002022D4">
        <w:rPr>
          <w:sz w:val="22"/>
          <w:szCs w:val="22"/>
        </w:rPr>
        <w:tab/>
        <w:t xml:space="preserve"> </w:t>
      </w:r>
      <w:r w:rsidRPr="002022D4">
        <w:rPr>
          <w:b/>
          <w:sz w:val="22"/>
          <w:szCs w:val="22"/>
        </w:rPr>
        <w:t>Total Cost to the Federal Government:</w:t>
      </w:r>
      <w:r w:rsidRPr="002022D4">
        <w:rPr>
          <w:sz w:val="22"/>
          <w:szCs w:val="22"/>
        </w:rPr>
        <w:t xml:space="preserve">  $</w:t>
      </w:r>
      <w:r w:rsidR="00D87EEC" w:rsidRPr="002022D4">
        <w:rPr>
          <w:sz w:val="22"/>
          <w:szCs w:val="22"/>
        </w:rPr>
        <w:t xml:space="preserve">8,759 </w:t>
      </w:r>
      <w:r w:rsidRPr="008E0FF3">
        <w:rPr>
          <w:sz w:val="22"/>
          <w:szCs w:val="22"/>
        </w:rPr>
        <w:t>+ $</w:t>
      </w:r>
      <w:r w:rsidR="00D87EEC" w:rsidRPr="008E0FF3">
        <w:rPr>
          <w:sz w:val="22"/>
          <w:szCs w:val="22"/>
        </w:rPr>
        <w:t xml:space="preserve">21,468 </w:t>
      </w:r>
      <w:r w:rsidRPr="008E0FF3">
        <w:rPr>
          <w:sz w:val="22"/>
          <w:szCs w:val="22"/>
        </w:rPr>
        <w:t xml:space="preserve">= </w:t>
      </w:r>
      <w:r w:rsidRPr="008E0FF3">
        <w:rPr>
          <w:b/>
          <w:sz w:val="22"/>
          <w:szCs w:val="22"/>
        </w:rPr>
        <w:t>$</w:t>
      </w:r>
      <w:r w:rsidR="00D87EEC" w:rsidRPr="008E0FF3">
        <w:rPr>
          <w:b/>
          <w:sz w:val="22"/>
          <w:szCs w:val="22"/>
        </w:rPr>
        <w:t>30,227</w:t>
      </w:r>
      <w:r w:rsidR="00296AD0" w:rsidRPr="002022D4">
        <w:rPr>
          <w:sz w:val="22"/>
          <w:szCs w:val="22"/>
        </w:rPr>
        <w:t xml:space="preserve">  </w:t>
      </w:r>
    </w:p>
    <w:p w14:paraId="071B8815" w14:textId="77777777" w:rsidR="0033433D" w:rsidRPr="002022D4" w:rsidRDefault="0033433D" w:rsidP="00FF6772">
      <w:pPr>
        <w:ind w:left="450" w:hanging="90"/>
        <w:rPr>
          <w:sz w:val="22"/>
          <w:szCs w:val="22"/>
        </w:rPr>
      </w:pPr>
    </w:p>
    <w:p w14:paraId="3D4D0515" w14:textId="2A63A5C4" w:rsidR="00136349" w:rsidRPr="002022D4" w:rsidRDefault="00EB4755" w:rsidP="00136349">
      <w:pPr>
        <w:ind w:left="360" w:hanging="360"/>
        <w:rPr>
          <w:sz w:val="22"/>
          <w:szCs w:val="22"/>
        </w:rPr>
      </w:pPr>
      <w:r w:rsidRPr="002022D4">
        <w:rPr>
          <w:sz w:val="22"/>
          <w:szCs w:val="22"/>
        </w:rPr>
        <w:t>15.</w:t>
      </w:r>
      <w:r w:rsidR="00E32193" w:rsidRPr="002022D4">
        <w:rPr>
          <w:sz w:val="22"/>
          <w:szCs w:val="22"/>
        </w:rPr>
        <w:t xml:space="preserve">  </w:t>
      </w:r>
      <w:r w:rsidR="00136349" w:rsidRPr="002022D4">
        <w:rPr>
          <w:sz w:val="22"/>
          <w:szCs w:val="22"/>
        </w:rPr>
        <w:t>The Commission re-evaluated the assessment of the burdens for this information collection and determined there ha</w:t>
      </w:r>
      <w:r w:rsidR="00910282">
        <w:rPr>
          <w:sz w:val="22"/>
          <w:szCs w:val="22"/>
        </w:rPr>
        <w:t>ve</w:t>
      </w:r>
      <w:r w:rsidR="00136349" w:rsidRPr="002022D4">
        <w:rPr>
          <w:sz w:val="22"/>
          <w:szCs w:val="22"/>
        </w:rPr>
        <w:t xml:space="preserve"> been </w:t>
      </w:r>
      <w:r w:rsidR="001F757B" w:rsidRPr="002022D4">
        <w:rPr>
          <w:sz w:val="22"/>
          <w:szCs w:val="22"/>
        </w:rPr>
        <w:t>adjustments</w:t>
      </w:r>
      <w:r w:rsidR="00A4125B" w:rsidRPr="002022D4">
        <w:rPr>
          <w:sz w:val="22"/>
          <w:szCs w:val="22"/>
        </w:rPr>
        <w:t xml:space="preserve"> </w:t>
      </w:r>
      <w:r w:rsidR="001F757B" w:rsidRPr="002022D4">
        <w:rPr>
          <w:sz w:val="22"/>
          <w:szCs w:val="22"/>
        </w:rPr>
        <w:t>to</w:t>
      </w:r>
      <w:r w:rsidR="00A4125B" w:rsidRPr="002022D4">
        <w:rPr>
          <w:sz w:val="22"/>
          <w:szCs w:val="22"/>
        </w:rPr>
        <w:t xml:space="preserve"> </w:t>
      </w:r>
      <w:r w:rsidR="00136349" w:rsidRPr="002022D4">
        <w:rPr>
          <w:sz w:val="22"/>
          <w:szCs w:val="22"/>
        </w:rPr>
        <w:t xml:space="preserve">the total annual number of respondents of </w:t>
      </w:r>
      <w:r w:rsidR="00136349" w:rsidRPr="008E0FF3">
        <w:rPr>
          <w:b/>
          <w:sz w:val="22"/>
          <w:szCs w:val="22"/>
        </w:rPr>
        <w:t>-</w:t>
      </w:r>
      <w:r w:rsidR="00A4125B" w:rsidRPr="008E0FF3">
        <w:rPr>
          <w:b/>
          <w:sz w:val="22"/>
          <w:szCs w:val="22"/>
        </w:rPr>
        <w:t>3</w:t>
      </w:r>
      <w:r w:rsidR="00136349" w:rsidRPr="002022D4">
        <w:rPr>
          <w:b/>
          <w:sz w:val="22"/>
          <w:szCs w:val="22"/>
        </w:rPr>
        <w:t xml:space="preserve">, </w:t>
      </w:r>
      <w:r w:rsidR="00A4125B" w:rsidRPr="008E0FF3">
        <w:rPr>
          <w:sz w:val="22"/>
          <w:szCs w:val="22"/>
        </w:rPr>
        <w:t xml:space="preserve">from 13 to 10, </w:t>
      </w:r>
      <w:r w:rsidR="009B21C6" w:rsidRPr="002022D4">
        <w:rPr>
          <w:sz w:val="22"/>
          <w:szCs w:val="22"/>
        </w:rPr>
        <w:t>to</w:t>
      </w:r>
      <w:r w:rsidR="00136349" w:rsidRPr="002022D4">
        <w:rPr>
          <w:sz w:val="22"/>
          <w:szCs w:val="22"/>
        </w:rPr>
        <w:t xml:space="preserve"> the total annual number of responses of </w:t>
      </w:r>
      <w:r w:rsidR="001216D8" w:rsidRPr="008E0FF3">
        <w:rPr>
          <w:sz w:val="22"/>
          <w:szCs w:val="22"/>
        </w:rPr>
        <w:t>-</w:t>
      </w:r>
      <w:r w:rsidR="00A4125B" w:rsidRPr="008E0FF3">
        <w:rPr>
          <w:b/>
          <w:sz w:val="22"/>
          <w:szCs w:val="22"/>
        </w:rPr>
        <w:t>313</w:t>
      </w:r>
      <w:r w:rsidR="00136349" w:rsidRPr="008E0FF3">
        <w:rPr>
          <w:b/>
          <w:sz w:val="22"/>
          <w:szCs w:val="22"/>
        </w:rPr>
        <w:t>,</w:t>
      </w:r>
      <w:r w:rsidR="00A4125B" w:rsidRPr="002022D4">
        <w:rPr>
          <w:sz w:val="22"/>
          <w:szCs w:val="22"/>
        </w:rPr>
        <w:t xml:space="preserve"> from 982 to 669, </w:t>
      </w:r>
      <w:r w:rsidR="009B21C6" w:rsidRPr="002022D4">
        <w:rPr>
          <w:sz w:val="22"/>
          <w:szCs w:val="22"/>
        </w:rPr>
        <w:t>to t</w:t>
      </w:r>
      <w:r w:rsidR="00136349" w:rsidRPr="002022D4">
        <w:rPr>
          <w:sz w:val="22"/>
          <w:szCs w:val="22"/>
        </w:rPr>
        <w:t xml:space="preserve">he total annual burden hours </w:t>
      </w:r>
      <w:r w:rsidR="001216D8" w:rsidRPr="002022D4">
        <w:rPr>
          <w:sz w:val="22"/>
          <w:szCs w:val="22"/>
        </w:rPr>
        <w:t xml:space="preserve">of </w:t>
      </w:r>
      <w:r w:rsidR="00136349" w:rsidRPr="008E0FF3">
        <w:rPr>
          <w:b/>
          <w:sz w:val="22"/>
          <w:szCs w:val="22"/>
        </w:rPr>
        <w:t>-</w:t>
      </w:r>
      <w:r w:rsidR="00A4125B" w:rsidRPr="008E0FF3">
        <w:rPr>
          <w:b/>
          <w:sz w:val="22"/>
          <w:szCs w:val="22"/>
        </w:rPr>
        <w:t>882</w:t>
      </w:r>
      <w:r w:rsidR="00136349" w:rsidRPr="002022D4">
        <w:rPr>
          <w:b/>
          <w:sz w:val="22"/>
          <w:szCs w:val="22"/>
        </w:rPr>
        <w:t>,</w:t>
      </w:r>
      <w:r w:rsidR="00A4125B" w:rsidRPr="002022D4">
        <w:rPr>
          <w:b/>
          <w:sz w:val="22"/>
          <w:szCs w:val="22"/>
        </w:rPr>
        <w:t xml:space="preserve"> </w:t>
      </w:r>
      <w:r w:rsidR="00A4125B" w:rsidRPr="002022D4">
        <w:rPr>
          <w:sz w:val="22"/>
          <w:szCs w:val="22"/>
        </w:rPr>
        <w:t>from 2,723 to 1,841,</w:t>
      </w:r>
      <w:r w:rsidR="00136349" w:rsidRPr="002022D4">
        <w:rPr>
          <w:b/>
          <w:sz w:val="22"/>
          <w:szCs w:val="22"/>
        </w:rPr>
        <w:t xml:space="preserve"> </w:t>
      </w:r>
      <w:r w:rsidR="001216D8" w:rsidRPr="002022D4">
        <w:rPr>
          <w:sz w:val="22"/>
          <w:szCs w:val="22"/>
        </w:rPr>
        <w:t xml:space="preserve">and </w:t>
      </w:r>
      <w:r w:rsidR="009B21C6" w:rsidRPr="002022D4">
        <w:rPr>
          <w:sz w:val="22"/>
          <w:szCs w:val="22"/>
        </w:rPr>
        <w:t xml:space="preserve">to </w:t>
      </w:r>
      <w:r w:rsidR="00136349" w:rsidRPr="002022D4">
        <w:rPr>
          <w:sz w:val="22"/>
          <w:szCs w:val="22"/>
        </w:rPr>
        <w:t>the total annual cost of</w:t>
      </w:r>
      <w:r w:rsidR="009B21C6" w:rsidRPr="002022D4">
        <w:rPr>
          <w:sz w:val="22"/>
          <w:szCs w:val="22"/>
        </w:rPr>
        <w:t xml:space="preserve"> </w:t>
      </w:r>
      <w:r w:rsidR="00A4125B" w:rsidRPr="008E0FF3">
        <w:rPr>
          <w:b/>
          <w:sz w:val="22"/>
          <w:szCs w:val="22"/>
        </w:rPr>
        <w:t>+$18,200</w:t>
      </w:r>
      <w:r w:rsidR="00A4125B" w:rsidRPr="002022D4">
        <w:rPr>
          <w:sz w:val="22"/>
          <w:szCs w:val="22"/>
        </w:rPr>
        <w:t>, from $9,300 to $27,500</w:t>
      </w:r>
      <w:r w:rsidR="00136349" w:rsidRPr="002022D4">
        <w:rPr>
          <w:sz w:val="22"/>
          <w:szCs w:val="22"/>
        </w:rPr>
        <w:t>.</w:t>
      </w:r>
      <w:r w:rsidR="00A4125B" w:rsidRPr="002022D4">
        <w:rPr>
          <w:sz w:val="22"/>
          <w:szCs w:val="22"/>
        </w:rPr>
        <w:t xml:space="preserve">  There are no program changes.</w:t>
      </w:r>
      <w:r w:rsidR="00136349" w:rsidRPr="002022D4">
        <w:rPr>
          <w:sz w:val="22"/>
          <w:szCs w:val="22"/>
        </w:rPr>
        <w:t xml:space="preserve">  </w:t>
      </w:r>
    </w:p>
    <w:p w14:paraId="63967189" w14:textId="77777777" w:rsidR="00B312EE" w:rsidRPr="002022D4" w:rsidRDefault="00B312EE" w:rsidP="003E47E4">
      <w:pPr>
        <w:ind w:left="360" w:hanging="360"/>
        <w:rPr>
          <w:sz w:val="22"/>
          <w:szCs w:val="22"/>
        </w:rPr>
      </w:pPr>
    </w:p>
    <w:p w14:paraId="1D8E8AEF" w14:textId="77777777" w:rsidR="00C63344" w:rsidRPr="002022D4" w:rsidRDefault="00EB4755" w:rsidP="00875887">
      <w:pPr>
        <w:tabs>
          <w:tab w:val="left" w:pos="360"/>
        </w:tabs>
        <w:rPr>
          <w:sz w:val="22"/>
          <w:szCs w:val="22"/>
        </w:rPr>
      </w:pPr>
      <w:r w:rsidRPr="002022D4">
        <w:rPr>
          <w:sz w:val="22"/>
          <w:szCs w:val="22"/>
        </w:rPr>
        <w:t>16.</w:t>
      </w:r>
      <w:r w:rsidRPr="002022D4">
        <w:rPr>
          <w:sz w:val="22"/>
          <w:szCs w:val="22"/>
        </w:rPr>
        <w:tab/>
      </w:r>
      <w:r w:rsidR="00C63344" w:rsidRPr="002022D4">
        <w:rPr>
          <w:sz w:val="22"/>
          <w:szCs w:val="22"/>
        </w:rPr>
        <w:t>There are no plans to publish the result</w:t>
      </w:r>
      <w:r w:rsidR="00257386" w:rsidRPr="002022D4">
        <w:rPr>
          <w:sz w:val="22"/>
          <w:szCs w:val="22"/>
        </w:rPr>
        <w:t>s</w:t>
      </w:r>
      <w:r w:rsidR="00C63344" w:rsidRPr="002022D4">
        <w:rPr>
          <w:sz w:val="22"/>
          <w:szCs w:val="22"/>
        </w:rPr>
        <w:t xml:space="preserve"> of the collection of information.</w:t>
      </w:r>
    </w:p>
    <w:p w14:paraId="0074B776" w14:textId="77777777" w:rsidR="00C63344" w:rsidRPr="002022D4" w:rsidRDefault="00C63344" w:rsidP="003E47E4">
      <w:pPr>
        <w:ind w:left="360" w:hanging="360"/>
        <w:rPr>
          <w:sz w:val="22"/>
          <w:szCs w:val="22"/>
        </w:rPr>
      </w:pPr>
    </w:p>
    <w:p w14:paraId="18AEEC08" w14:textId="442F439E" w:rsidR="00C63344" w:rsidRPr="002022D4" w:rsidRDefault="00EB4755" w:rsidP="00875887">
      <w:pPr>
        <w:ind w:left="360" w:hanging="360"/>
        <w:rPr>
          <w:sz w:val="22"/>
          <w:szCs w:val="22"/>
        </w:rPr>
      </w:pPr>
      <w:r w:rsidRPr="002022D4">
        <w:rPr>
          <w:sz w:val="22"/>
          <w:szCs w:val="22"/>
        </w:rPr>
        <w:t>17.</w:t>
      </w:r>
      <w:r w:rsidRPr="002022D4">
        <w:rPr>
          <w:sz w:val="22"/>
          <w:szCs w:val="22"/>
        </w:rPr>
        <w:tab/>
      </w:r>
      <w:r w:rsidR="00283DD2" w:rsidRPr="002022D4">
        <w:rPr>
          <w:sz w:val="22"/>
          <w:szCs w:val="22"/>
        </w:rPr>
        <w:t xml:space="preserve">The Commission is not seeking approval not to display the expiration date for OMB approval of this </w:t>
      </w:r>
      <w:r w:rsidR="00E814F8" w:rsidRPr="002022D4">
        <w:rPr>
          <w:sz w:val="22"/>
          <w:szCs w:val="22"/>
        </w:rPr>
        <w:t xml:space="preserve">collection of </w:t>
      </w:r>
      <w:r w:rsidR="00283DD2" w:rsidRPr="002022D4">
        <w:rPr>
          <w:sz w:val="22"/>
          <w:szCs w:val="22"/>
        </w:rPr>
        <w:t>information</w:t>
      </w:r>
      <w:r w:rsidR="00E369C2" w:rsidRPr="002022D4">
        <w:rPr>
          <w:sz w:val="22"/>
          <w:szCs w:val="22"/>
        </w:rPr>
        <w:t xml:space="preserve"> because the collection does not include a form number</w:t>
      </w:r>
      <w:r w:rsidR="00283DD2" w:rsidRPr="002022D4">
        <w:rPr>
          <w:sz w:val="22"/>
          <w:szCs w:val="22"/>
        </w:rPr>
        <w:t>.</w:t>
      </w:r>
    </w:p>
    <w:p w14:paraId="09A1B14C" w14:textId="77777777" w:rsidR="00283DD2" w:rsidRPr="002022D4" w:rsidRDefault="00283DD2" w:rsidP="00FF6772">
      <w:pPr>
        <w:ind w:left="360" w:hanging="360"/>
        <w:rPr>
          <w:sz w:val="22"/>
          <w:szCs w:val="22"/>
        </w:rPr>
      </w:pPr>
    </w:p>
    <w:p w14:paraId="1B1B6D0B" w14:textId="1BA778F1" w:rsidR="00DB6DE0" w:rsidRPr="002022D4" w:rsidRDefault="00EB4755" w:rsidP="00C07B56">
      <w:pPr>
        <w:ind w:left="360" w:hanging="360"/>
        <w:rPr>
          <w:color w:val="000000"/>
          <w:sz w:val="22"/>
        </w:rPr>
      </w:pPr>
      <w:r w:rsidRPr="002022D4">
        <w:rPr>
          <w:sz w:val="22"/>
          <w:szCs w:val="22"/>
        </w:rPr>
        <w:t>18.</w:t>
      </w:r>
      <w:r w:rsidRPr="002022D4">
        <w:rPr>
          <w:sz w:val="22"/>
          <w:szCs w:val="22"/>
        </w:rPr>
        <w:tab/>
      </w:r>
      <w:r w:rsidR="00DB6DE0" w:rsidRPr="002022D4">
        <w:rPr>
          <w:rFonts w:cs="Arial"/>
          <w:color w:val="000000"/>
          <w:sz w:val="22"/>
        </w:rPr>
        <w:t xml:space="preserve">There are no exceptions to the </w:t>
      </w:r>
      <w:r w:rsidR="00A4125B" w:rsidRPr="002022D4">
        <w:rPr>
          <w:rFonts w:cs="Arial"/>
          <w:color w:val="000000"/>
          <w:sz w:val="22"/>
        </w:rPr>
        <w:t>C</w:t>
      </w:r>
      <w:r w:rsidR="00DB6DE0" w:rsidRPr="002022D4">
        <w:rPr>
          <w:rFonts w:cs="Arial"/>
          <w:color w:val="000000"/>
          <w:sz w:val="22"/>
        </w:rPr>
        <w:t xml:space="preserve">ertification </w:t>
      </w:r>
      <w:r w:rsidR="00A4125B" w:rsidRPr="002022D4">
        <w:rPr>
          <w:rFonts w:cs="Arial"/>
          <w:color w:val="000000"/>
          <w:sz w:val="22"/>
        </w:rPr>
        <w:t>S</w:t>
      </w:r>
      <w:r w:rsidR="00DB6DE0" w:rsidRPr="002022D4">
        <w:rPr>
          <w:rFonts w:cs="Arial"/>
          <w:color w:val="000000"/>
          <w:sz w:val="22"/>
        </w:rPr>
        <w:t>tatement.</w:t>
      </w:r>
    </w:p>
    <w:p w14:paraId="0632F237" w14:textId="77777777" w:rsidR="008673CA" w:rsidRPr="002022D4" w:rsidRDefault="008673CA" w:rsidP="00FF6772">
      <w:pPr>
        <w:ind w:left="360" w:hanging="360"/>
        <w:rPr>
          <w:b/>
          <w:sz w:val="22"/>
          <w:szCs w:val="22"/>
        </w:rPr>
      </w:pPr>
    </w:p>
    <w:p w14:paraId="6B82CE14" w14:textId="77777777" w:rsidR="00283DD2" w:rsidRPr="002022D4" w:rsidRDefault="00283DD2" w:rsidP="00FF6772">
      <w:pPr>
        <w:ind w:left="360" w:hanging="360"/>
        <w:rPr>
          <w:b/>
          <w:sz w:val="22"/>
          <w:szCs w:val="22"/>
        </w:rPr>
      </w:pPr>
      <w:r w:rsidRPr="002022D4">
        <w:rPr>
          <w:b/>
          <w:sz w:val="22"/>
          <w:szCs w:val="22"/>
        </w:rPr>
        <w:t>B.</w:t>
      </w:r>
      <w:r w:rsidRPr="002022D4">
        <w:rPr>
          <w:b/>
          <w:sz w:val="22"/>
          <w:szCs w:val="22"/>
        </w:rPr>
        <w:tab/>
        <w:t>Collections of Information Employing Statistical Methods</w:t>
      </w:r>
    </w:p>
    <w:p w14:paraId="1428D043" w14:textId="77777777" w:rsidR="00283DD2" w:rsidRPr="002022D4" w:rsidRDefault="00283DD2" w:rsidP="00FF6772">
      <w:pPr>
        <w:ind w:left="360" w:hanging="360"/>
        <w:rPr>
          <w:b/>
          <w:sz w:val="22"/>
          <w:szCs w:val="22"/>
        </w:rPr>
      </w:pPr>
    </w:p>
    <w:p w14:paraId="7CCA674A" w14:textId="77777777" w:rsidR="00444719" w:rsidRPr="0069738C" w:rsidRDefault="00283DD2" w:rsidP="00881EF7">
      <w:pPr>
        <w:ind w:left="360"/>
        <w:rPr>
          <w:b/>
          <w:sz w:val="22"/>
          <w:szCs w:val="22"/>
        </w:rPr>
      </w:pPr>
      <w:r w:rsidRPr="002022D4">
        <w:rPr>
          <w:sz w:val="22"/>
          <w:szCs w:val="22"/>
        </w:rPr>
        <w:t>The Commission does not anticipate that the collection of information will employ statistical methods.</w:t>
      </w:r>
    </w:p>
    <w:sectPr w:rsidR="00444719" w:rsidRPr="0069738C">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A843A" w14:textId="77777777" w:rsidR="002255B8" w:rsidRDefault="002255B8">
      <w:r>
        <w:separator/>
      </w:r>
    </w:p>
  </w:endnote>
  <w:endnote w:type="continuationSeparator" w:id="0">
    <w:p w14:paraId="3D410D4F" w14:textId="77777777" w:rsidR="002255B8" w:rsidRDefault="0022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2F151" w14:textId="77777777" w:rsidR="002255B8" w:rsidRDefault="002255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09F9F" w14:textId="77777777" w:rsidR="002255B8" w:rsidRDefault="00225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331B" w14:textId="2CACE66E" w:rsidR="002255B8" w:rsidRDefault="002255B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140DF">
      <w:rPr>
        <w:rStyle w:val="PageNumber"/>
        <w:noProof/>
        <w:sz w:val="20"/>
      </w:rPr>
      <w:t>1</w:t>
    </w:r>
    <w:r>
      <w:rPr>
        <w:rStyle w:val="PageNumber"/>
        <w:sz w:val="20"/>
      </w:rPr>
      <w:fldChar w:fldCharType="end"/>
    </w:r>
  </w:p>
  <w:p w14:paraId="205658DE" w14:textId="77777777" w:rsidR="002255B8" w:rsidRDefault="00225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70DEE" w14:textId="77777777" w:rsidR="002255B8" w:rsidRDefault="002255B8">
      <w:r>
        <w:separator/>
      </w:r>
    </w:p>
  </w:footnote>
  <w:footnote w:type="continuationSeparator" w:id="0">
    <w:p w14:paraId="312F6476" w14:textId="77777777" w:rsidR="002255B8" w:rsidRDefault="002255B8">
      <w:r>
        <w:continuationSeparator/>
      </w:r>
    </w:p>
  </w:footnote>
  <w:footnote w:id="1">
    <w:p w14:paraId="1BAD4716" w14:textId="79BEB74E" w:rsidR="002255B8" w:rsidRDefault="002255B8" w:rsidP="00A923C8">
      <w:pPr>
        <w:spacing w:after="120"/>
        <w:rPr>
          <w:sz w:val="20"/>
        </w:rPr>
      </w:pPr>
      <w:r>
        <w:rPr>
          <w:rStyle w:val="FootnoteReference"/>
        </w:rPr>
        <w:footnoteRef/>
      </w:r>
      <w:r>
        <w:t xml:space="preserve"> </w:t>
      </w:r>
      <w:r>
        <w:rPr>
          <w:sz w:val="20"/>
        </w:rPr>
        <w:t>Telecommunications relay services (TRS) is defined as:</w:t>
      </w:r>
    </w:p>
    <w:p w14:paraId="618CE84A" w14:textId="77777777" w:rsidR="002255B8" w:rsidRDefault="002255B8" w:rsidP="00A923C8">
      <w:pPr>
        <w:spacing w:after="120"/>
        <w:ind w:left="720" w:right="720"/>
        <w:rPr>
          <w:sz w:val="20"/>
        </w:rPr>
      </w:pPr>
      <w:r>
        <w:rPr>
          <w:sz w:val="20"/>
        </w:rPr>
        <w:t>. . .  telephone transmission services that provide the ability for an individual who is deaf, hard of hearing, deaf-blind, or who has a speech disability to engage in communication by wire or radio with one or more individuals, in a manner that is functionally equivalent to the ability of a hearing individual who does not have a speech disability to communicate using voice communication services by wire or radio.</w:t>
      </w:r>
    </w:p>
    <w:p w14:paraId="37DABD94" w14:textId="06B3C5AE" w:rsidR="002255B8" w:rsidRDefault="002255B8" w:rsidP="002255B8">
      <w:pPr>
        <w:pStyle w:val="FootnoteText"/>
        <w:spacing w:after="120"/>
      </w:pPr>
      <w:r>
        <w:t xml:space="preserve">47 U.S.C. § 225(a)(3) (as amended by the Twenty-First Century Communications and Video Accessibility Act of 2010 (CVAA), Pub. L. No. 111-260, § 103(b), 124 Stat. 2751, 2755 (2010); Pub. L. No. 111-265 (technical amendments to CVAA)).  The Interstate TRS Fund compensates eligible providers of interstate TRS and Internet-based TRS (iTRS) for their reasonable costs of providing these services.  </w:t>
      </w:r>
      <w:r>
        <w:rPr>
          <w:i/>
        </w:rPr>
        <w:t xml:space="preserve">See </w:t>
      </w:r>
      <w:r>
        <w:t>47 CFR § 64.604(c)(5)(iii).</w:t>
      </w:r>
    </w:p>
  </w:footnote>
  <w:footnote w:id="2">
    <w:p w14:paraId="5DA7A0B8" w14:textId="77777777" w:rsidR="002255B8" w:rsidRPr="002B7618" w:rsidRDefault="002255B8" w:rsidP="00A923C8">
      <w:pPr>
        <w:pStyle w:val="FootnoteText"/>
        <w:spacing w:after="120"/>
      </w:pPr>
      <w:r>
        <w:rPr>
          <w:rStyle w:val="FootnoteReference"/>
        </w:rPr>
        <w:footnoteRef/>
      </w:r>
      <w:r>
        <w:t xml:space="preserve"> </w:t>
      </w:r>
      <w:r w:rsidRPr="002B7618">
        <w:t>47 U.S.C. § 225(b)(1).</w:t>
      </w:r>
    </w:p>
  </w:footnote>
  <w:footnote w:id="3">
    <w:p w14:paraId="02CD9767" w14:textId="77777777" w:rsidR="002255B8" w:rsidRPr="00177C2C" w:rsidRDefault="002255B8" w:rsidP="00833653">
      <w:pPr>
        <w:pStyle w:val="FootnoteText"/>
        <w:spacing w:after="120"/>
      </w:pPr>
      <w:r w:rsidRPr="00177C2C">
        <w:rPr>
          <w:rStyle w:val="FootnoteReference"/>
        </w:rPr>
        <w:footnoteRef/>
      </w:r>
      <w:r w:rsidRPr="00177C2C">
        <w:t xml:space="preserve"> </w:t>
      </w:r>
      <w:r w:rsidRPr="002B7618">
        <w:t>47 U.S.C. § 225(d)(2).</w:t>
      </w:r>
    </w:p>
  </w:footnote>
  <w:footnote w:id="4">
    <w:p w14:paraId="2435F4C1" w14:textId="59874DDD" w:rsidR="002255B8" w:rsidRDefault="002255B8" w:rsidP="009C35CE">
      <w:pPr>
        <w:pStyle w:val="FootnoteText"/>
        <w:spacing w:after="120"/>
      </w:pPr>
      <w:r>
        <w:rPr>
          <w:rStyle w:val="FootnoteReference"/>
        </w:rPr>
        <w:footnoteRef/>
      </w:r>
      <w:r>
        <w:t xml:space="preserve"> </w:t>
      </w:r>
      <w:r w:rsidRPr="00964AF2">
        <w:rPr>
          <w:i/>
        </w:rPr>
        <w:t>Telecommunications Relay Services for Individuals with Hearing and Speech Disabilities</w:t>
      </w:r>
      <w:r>
        <w:t>,</w:t>
      </w:r>
      <w:r w:rsidRPr="00964AF2">
        <w:t xml:space="preserve"> Report and Order and Further Notice of Proposed Rulemaking, </w:t>
      </w:r>
      <w:r>
        <w:t>15 FCC Rcd 5140, 5152-54, paras. 21-27 (2000); 47 CFR § 64.601(a)(40) (defining VRS).</w:t>
      </w:r>
    </w:p>
  </w:footnote>
  <w:footnote w:id="5">
    <w:p w14:paraId="267A1326" w14:textId="77777777" w:rsidR="002255B8" w:rsidRPr="009C67F3" w:rsidRDefault="002255B8" w:rsidP="002255B8">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Report and Order and Further Notice of Proposed Rulemaking, 26 FCC Rcd 5545 (2011) (</w:t>
      </w:r>
      <w:r>
        <w:rPr>
          <w:i/>
          <w:szCs w:val="22"/>
          <w:lang w:val="en"/>
        </w:rPr>
        <w:t>VRS Fraud Prevention Order</w:t>
      </w:r>
      <w:r>
        <w:rPr>
          <w:szCs w:val="22"/>
          <w:lang w:val="en"/>
        </w:rPr>
        <w:t>).</w:t>
      </w:r>
    </w:p>
  </w:footnote>
  <w:footnote w:id="6">
    <w:p w14:paraId="343D598B" w14:textId="77777777" w:rsidR="002255B8" w:rsidRDefault="002255B8" w:rsidP="002255B8">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Report and Order and Order, 26 FCC Rcd 110898 (2011) (</w:t>
      </w:r>
      <w:r>
        <w:rPr>
          <w:i/>
          <w:szCs w:val="22"/>
          <w:lang w:val="en"/>
        </w:rPr>
        <w:t>VRS Certification Order</w:t>
      </w:r>
      <w:r>
        <w:rPr>
          <w:szCs w:val="22"/>
          <w:lang w:val="en"/>
        </w:rPr>
        <w:t>).</w:t>
      </w:r>
    </w:p>
  </w:footnote>
  <w:footnote w:id="7">
    <w:p w14:paraId="30A100F0" w14:textId="77777777" w:rsidR="002255B8" w:rsidRDefault="002255B8" w:rsidP="002255B8">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Memorandum Opinion and Order, Order, and Further Notice of Proposed Rulemaking, 26 FCC Rcd 14895 (2011) (</w:t>
      </w:r>
      <w:r>
        <w:rPr>
          <w:i/>
          <w:szCs w:val="22"/>
          <w:lang w:val="en"/>
        </w:rPr>
        <w:t>Second VRS Certification Order</w:t>
      </w:r>
      <w:r>
        <w:rPr>
          <w:szCs w:val="22"/>
          <w:lang w:val="en"/>
        </w:rPr>
        <w:t>).</w:t>
      </w:r>
    </w:p>
  </w:footnote>
  <w:footnote w:id="8">
    <w:p w14:paraId="2BADD00E" w14:textId="52BD4EB4" w:rsidR="002255B8" w:rsidRPr="00110B7F" w:rsidRDefault="002255B8">
      <w:pPr>
        <w:pStyle w:val="FootnoteText"/>
      </w:pPr>
      <w:r>
        <w:rPr>
          <w:rStyle w:val="FootnoteReference"/>
        </w:rPr>
        <w:footnoteRef/>
      </w:r>
      <w:r>
        <w:t xml:space="preserve"> 47 CFR § 64.604(c)(5)(iii)(D)(</w:t>
      </w:r>
      <w:r>
        <w:rPr>
          <w:i/>
        </w:rPr>
        <w:t>5</w:t>
      </w:r>
      <w:r>
        <w:t>).</w:t>
      </w:r>
    </w:p>
  </w:footnote>
  <w:footnote w:id="9">
    <w:p w14:paraId="724575CA" w14:textId="77777777" w:rsidR="002255B8" w:rsidRDefault="002255B8" w:rsidP="002255B8">
      <w:pPr>
        <w:pStyle w:val="FootnoteText"/>
        <w:spacing w:after="120"/>
      </w:pPr>
      <w:r>
        <w:rPr>
          <w:rStyle w:val="FootnoteReference"/>
        </w:rPr>
        <w:footnoteRef/>
      </w:r>
      <w:r>
        <w:t xml:space="preserve"> 47 CFR § 64.604(c)(5)(iii)(N)(</w:t>
      </w:r>
      <w:r>
        <w:rPr>
          <w:i/>
        </w:rPr>
        <w:t>2</w:t>
      </w:r>
      <w:r>
        <w:t>).</w:t>
      </w:r>
    </w:p>
  </w:footnote>
  <w:footnote w:id="10">
    <w:p w14:paraId="6DC4B619" w14:textId="77777777" w:rsidR="002255B8" w:rsidRDefault="002255B8" w:rsidP="002255B8">
      <w:pPr>
        <w:pStyle w:val="FootnoteText"/>
        <w:spacing w:after="120"/>
      </w:pPr>
      <w:r>
        <w:rPr>
          <w:rStyle w:val="FootnoteReference"/>
        </w:rPr>
        <w:footnoteRef/>
      </w:r>
      <w:r>
        <w:t xml:space="preserve"> 47 CFR § 64.604(c)(5)(iii)(N)(</w:t>
      </w:r>
      <w:r>
        <w:rPr>
          <w:i/>
        </w:rPr>
        <w:t>2</w:t>
      </w:r>
      <w:r>
        <w:t>)(</w:t>
      </w:r>
      <w:r>
        <w:rPr>
          <w:i/>
        </w:rPr>
        <w:t>iii</w:t>
      </w:r>
      <w:r>
        <w:t>).</w:t>
      </w:r>
    </w:p>
  </w:footnote>
  <w:footnote w:id="11">
    <w:p w14:paraId="2E8AD6B1" w14:textId="77777777" w:rsidR="002255B8" w:rsidRDefault="002255B8" w:rsidP="002255B8">
      <w:pPr>
        <w:pStyle w:val="FootnoteText"/>
        <w:spacing w:after="120"/>
      </w:pPr>
      <w:r>
        <w:rPr>
          <w:rStyle w:val="FootnoteReference"/>
        </w:rPr>
        <w:footnoteRef/>
      </w:r>
      <w:r>
        <w:t xml:space="preserve"> 47 CFR § 64.604(c)(5)(iii)(D)(</w:t>
      </w:r>
      <w:r>
        <w:rPr>
          <w:i/>
        </w:rPr>
        <w:t>2</w:t>
      </w:r>
      <w:r>
        <w:t>).</w:t>
      </w:r>
    </w:p>
  </w:footnote>
  <w:footnote w:id="12">
    <w:p w14:paraId="1F5B16A6" w14:textId="68E55FF9" w:rsidR="002255B8" w:rsidRDefault="002255B8" w:rsidP="002255B8">
      <w:pPr>
        <w:pStyle w:val="FootnoteText"/>
        <w:spacing w:after="120"/>
      </w:pPr>
      <w:r>
        <w:rPr>
          <w:rStyle w:val="FootnoteReference"/>
        </w:rPr>
        <w:footnoteRef/>
      </w:r>
      <w:r>
        <w:t xml:space="preserve"> 47 CFR § 64.604(c)(5)(iii)(D)(</w:t>
      </w:r>
      <w:r>
        <w:rPr>
          <w:i/>
        </w:rPr>
        <w:t>3</w:t>
      </w:r>
      <w:r>
        <w:t xml:space="preserve">); </w:t>
      </w:r>
      <w:r>
        <w:rPr>
          <w:i/>
        </w:rPr>
        <w:t>VRS Fraud Prevention Order</w:t>
      </w:r>
      <w:r>
        <w:t>, 26 FCC Rcd at 5580, para. 74.</w:t>
      </w:r>
    </w:p>
  </w:footnote>
  <w:footnote w:id="13">
    <w:p w14:paraId="56FA6E12" w14:textId="77777777" w:rsidR="002255B8" w:rsidRDefault="002255B8" w:rsidP="002255B8">
      <w:pPr>
        <w:pStyle w:val="FootnoteText"/>
        <w:spacing w:after="120"/>
      </w:pPr>
      <w:r>
        <w:rPr>
          <w:rStyle w:val="FootnoteReference"/>
        </w:rPr>
        <w:footnoteRef/>
      </w:r>
      <w:r>
        <w:t xml:space="preserve"> 47 CFR § 64.604(c)(5)(iii)(D)(</w:t>
      </w:r>
      <w:r>
        <w:rPr>
          <w:i/>
        </w:rPr>
        <w:t>4</w:t>
      </w:r>
      <w:r>
        <w:t>).</w:t>
      </w:r>
    </w:p>
  </w:footnote>
  <w:footnote w:id="14">
    <w:p w14:paraId="605D9E06" w14:textId="77777777" w:rsidR="002255B8" w:rsidRDefault="002255B8" w:rsidP="002255B8">
      <w:pPr>
        <w:pStyle w:val="FootnoteText"/>
        <w:spacing w:after="120"/>
      </w:pPr>
      <w:r>
        <w:rPr>
          <w:rStyle w:val="FootnoteReference"/>
        </w:rPr>
        <w:footnoteRef/>
      </w:r>
      <w:r>
        <w:t xml:space="preserve"> 47 CFR § 64.604(c)(5)(iii)(D)(</w:t>
      </w:r>
      <w:r>
        <w:rPr>
          <w:i/>
        </w:rPr>
        <w:t>7</w:t>
      </w:r>
      <w:r>
        <w:t>).</w:t>
      </w:r>
    </w:p>
  </w:footnote>
  <w:footnote w:id="15">
    <w:p w14:paraId="02844531" w14:textId="77777777" w:rsidR="002255B8" w:rsidRDefault="002255B8" w:rsidP="002255B8">
      <w:pPr>
        <w:pStyle w:val="FootnoteText"/>
        <w:spacing w:after="120"/>
      </w:pPr>
      <w:r>
        <w:rPr>
          <w:rStyle w:val="FootnoteReference"/>
        </w:rPr>
        <w:footnoteRef/>
      </w:r>
      <w:r>
        <w:t xml:space="preserve"> 47 CFR § 64.604(c)(5)(iii)(N)(</w:t>
      </w:r>
      <w:r>
        <w:rPr>
          <w:i/>
        </w:rPr>
        <w:t>1</w:t>
      </w:r>
      <w:r>
        <w:t>)(</w:t>
      </w:r>
      <w:r>
        <w:rPr>
          <w:i/>
        </w:rPr>
        <w:t>v</w:t>
      </w:r>
      <w:r>
        <w:t>).</w:t>
      </w:r>
    </w:p>
  </w:footnote>
  <w:footnote w:id="16">
    <w:p w14:paraId="275F29B1" w14:textId="77777777" w:rsidR="002255B8" w:rsidRDefault="002255B8" w:rsidP="002255B8">
      <w:pPr>
        <w:pStyle w:val="FootnoteText"/>
        <w:spacing w:after="120"/>
      </w:pPr>
      <w:r>
        <w:rPr>
          <w:rStyle w:val="FootnoteReference"/>
        </w:rPr>
        <w:footnoteRef/>
      </w:r>
      <w:r>
        <w:t xml:space="preserve"> 47 CFR § 64.606(a)(2)(ii)(E).</w:t>
      </w:r>
    </w:p>
  </w:footnote>
  <w:footnote w:id="17">
    <w:p w14:paraId="08CF2A52" w14:textId="77777777" w:rsidR="002255B8" w:rsidRDefault="002255B8" w:rsidP="002255B8">
      <w:pPr>
        <w:pStyle w:val="FootnoteText"/>
        <w:spacing w:after="120"/>
      </w:pPr>
      <w:r>
        <w:rPr>
          <w:rStyle w:val="FootnoteReference"/>
        </w:rPr>
        <w:footnoteRef/>
      </w:r>
      <w:r>
        <w:t xml:space="preserve"> 47 CFR § 64.604(c)(5)(iii)(M).</w:t>
      </w:r>
    </w:p>
  </w:footnote>
  <w:footnote w:id="18">
    <w:p w14:paraId="5D73CD94" w14:textId="73917D4A" w:rsidR="002255B8" w:rsidRPr="00A10219" w:rsidRDefault="002255B8" w:rsidP="002255B8">
      <w:pPr>
        <w:tabs>
          <w:tab w:val="left" w:pos="-720"/>
        </w:tabs>
        <w:suppressAutoHyphens/>
        <w:spacing w:after="120"/>
        <w:rPr>
          <w:spacing w:val="-3"/>
          <w:sz w:val="20"/>
        </w:rPr>
      </w:pPr>
      <w:r w:rsidRPr="000541B3">
        <w:rPr>
          <w:rStyle w:val="FootnoteReference"/>
          <w:sz w:val="20"/>
        </w:rPr>
        <w:footnoteRef/>
      </w:r>
      <w:r w:rsidRPr="000541B3">
        <w:rPr>
          <w:sz w:val="20"/>
        </w:rPr>
        <w:t xml:space="preserve"> Although t</w:t>
      </w:r>
      <w:r w:rsidRPr="000541B3">
        <w:rPr>
          <w:spacing w:val="-3"/>
          <w:sz w:val="20"/>
        </w:rPr>
        <w:t>he FCC has no direct involvement in the collection of this</w:t>
      </w:r>
      <w:r w:rsidRPr="00A10219">
        <w:rPr>
          <w:spacing w:val="-3"/>
          <w:sz w:val="20"/>
        </w:rPr>
        <w:t xml:space="preserve"> information on individuals or households, the Commission does require the TRS providers to abide by the requirements of </w:t>
      </w:r>
      <w:r w:rsidRPr="00A10219">
        <w:rPr>
          <w:sz w:val="20"/>
        </w:rPr>
        <w:t xml:space="preserve">47 </w:t>
      </w:r>
      <w:r>
        <w:rPr>
          <w:sz w:val="20"/>
        </w:rPr>
        <w:t>CFR</w:t>
      </w:r>
      <w:r w:rsidRPr="00A10219">
        <w:rPr>
          <w:sz w:val="20"/>
        </w:rPr>
        <w:t xml:space="preserve"> 64.604(a)(2), which </w:t>
      </w:r>
      <w:r w:rsidRPr="00A10219">
        <w:rPr>
          <w:spacing w:val="-3"/>
          <w:sz w:val="20"/>
        </w:rPr>
        <w:t>states that:</w:t>
      </w:r>
    </w:p>
    <w:p w14:paraId="7C743D3C" w14:textId="2F8070F3" w:rsidR="002255B8" w:rsidRPr="006E1E56" w:rsidRDefault="002255B8" w:rsidP="002255B8">
      <w:pPr>
        <w:spacing w:after="120"/>
        <w:ind w:left="720" w:right="720"/>
        <w:rPr>
          <w:rFonts w:cs="Arial"/>
          <w:sz w:val="20"/>
        </w:rPr>
      </w:pPr>
      <w:r w:rsidRPr="006E1E56">
        <w:rPr>
          <w:rFonts w:cs="Arial"/>
          <w:sz w:val="20"/>
        </w:rPr>
        <w:t>CAs are prohibited from disclosing the content of any relayed conversation regardless of content, and with a limited exception for Speech-to-Speech CAs, from keeping records of the content of any conversation beyond the duration of a call, even if to do so would be inconsistent with state or local law;</w:t>
      </w:r>
    </w:p>
    <w:p w14:paraId="3F8F8DD1" w14:textId="6D79F7DC" w:rsidR="002255B8" w:rsidRPr="006E1E56" w:rsidRDefault="002255B8" w:rsidP="002255B8">
      <w:pPr>
        <w:spacing w:after="120"/>
        <w:ind w:left="720" w:right="720"/>
        <w:rPr>
          <w:rFonts w:cs="Arial"/>
          <w:sz w:val="20"/>
        </w:rPr>
      </w:pPr>
      <w:r w:rsidRPr="006E1E56">
        <w:rPr>
          <w:rFonts w:cs="Arial"/>
          <w:sz w:val="20"/>
        </w:rPr>
        <w:t>CAs are prohibited from intentionally altering a relayed conversation and, to the extent that it is not inconsistent with federal, state or local law regarding use of telephone company facilities for illegal purposes, must relay all conversation verbatim unless the relay user specifically requests summarization, or if the user requests interpretation of an ASL call;</w:t>
      </w:r>
      <w:r>
        <w:rPr>
          <w:rFonts w:cs="Arial"/>
          <w:sz w:val="20"/>
        </w:rPr>
        <w:t xml:space="preserve"> and</w:t>
      </w:r>
    </w:p>
    <w:p w14:paraId="79406931" w14:textId="15F20CF7" w:rsidR="002255B8" w:rsidRDefault="002255B8" w:rsidP="002255B8">
      <w:pPr>
        <w:pStyle w:val="FootnoteText"/>
        <w:spacing w:after="120"/>
        <w:ind w:left="720" w:right="720"/>
      </w:pPr>
      <w:r w:rsidRPr="006E1E56" w:rsidDel="00814154">
        <w:rPr>
          <w:rFonts w:cs="Arial"/>
        </w:rPr>
        <w:t xml:space="preserve"> </w:t>
      </w:r>
      <w:r w:rsidRPr="006E1E56">
        <w:rPr>
          <w:rFonts w:cs="Arial"/>
        </w:rPr>
        <w:t>Appropriate measures must be taken by relay providers to ensure that confidentiality of TRS users is maintained.</w:t>
      </w:r>
    </w:p>
  </w:footnote>
  <w:footnote w:id="19">
    <w:p w14:paraId="4B6B4970" w14:textId="65CAE858" w:rsidR="002255B8" w:rsidRPr="00D6220B" w:rsidRDefault="002255B8" w:rsidP="00DB786B">
      <w:pPr>
        <w:pStyle w:val="FootnoteText"/>
      </w:pPr>
      <w:r>
        <w:rPr>
          <w:rStyle w:val="FootnoteReference"/>
        </w:rPr>
        <w:footnoteRef/>
      </w:r>
      <w:r>
        <w:t xml:space="preserve"> 47 CFR § 64.604(c)(5)(iii)(D)(</w:t>
      </w:r>
      <w:r>
        <w:rPr>
          <w:i/>
        </w:rPr>
        <w:t>4</w:t>
      </w:r>
      <w:r>
        <w:t>).</w:t>
      </w:r>
    </w:p>
  </w:footnote>
  <w:footnote w:id="20">
    <w:p w14:paraId="3710733A" w14:textId="40499D83" w:rsidR="002255B8" w:rsidRPr="00267207" w:rsidRDefault="002255B8" w:rsidP="002255B8">
      <w:pPr>
        <w:tabs>
          <w:tab w:val="left" w:pos="-720"/>
        </w:tabs>
        <w:suppressAutoHyphens/>
        <w:spacing w:after="120"/>
        <w:rPr>
          <w:sz w:val="20"/>
        </w:rPr>
      </w:pPr>
      <w:r w:rsidRPr="00267207">
        <w:rPr>
          <w:rStyle w:val="FootnoteReference"/>
          <w:sz w:val="20"/>
        </w:rPr>
        <w:footnoteRef/>
      </w:r>
      <w:r w:rsidRPr="00267207">
        <w:rPr>
          <w:sz w:val="20"/>
        </w:rPr>
        <w:t xml:space="preserve"> The Commission believes that 47 </w:t>
      </w:r>
      <w:r>
        <w:rPr>
          <w:sz w:val="20"/>
        </w:rPr>
        <w:t>CFR</w:t>
      </w:r>
      <w:r w:rsidRPr="00267207">
        <w:rPr>
          <w:sz w:val="20"/>
        </w:rPr>
        <w:t xml:space="preserve"> 64.604(a)(2) provides sufficient safeguards to protect the information on individuals or households that providers collect as part of their responsibilities, which relieves the Commission of its requirement to complete a privacy impact assessment.</w:t>
      </w:r>
    </w:p>
  </w:footnote>
  <w:footnote w:id="21">
    <w:p w14:paraId="096FC5FA" w14:textId="5D76411D" w:rsidR="002255B8" w:rsidRDefault="002255B8" w:rsidP="002255B8">
      <w:pPr>
        <w:pStyle w:val="FootnoteText"/>
        <w:spacing w:after="120"/>
      </w:pPr>
      <w:r>
        <w:rPr>
          <w:rStyle w:val="FootnoteReference"/>
        </w:rPr>
        <w:footnoteRef/>
      </w:r>
      <w:r>
        <w:t xml:space="preserve"> Two of the VRS providers are under common ownership, and one of the IP CTS providers is a wholly-owned subsidiary of the one of the other VRS providers.  These providers are all considered separate respondents for the purpose of this information collection.</w:t>
      </w:r>
    </w:p>
  </w:footnote>
  <w:footnote w:id="22">
    <w:p w14:paraId="2A626CF5" w14:textId="6841EE86" w:rsidR="002255B8" w:rsidRDefault="002255B8" w:rsidP="002255B8">
      <w:pPr>
        <w:pStyle w:val="FootnoteText"/>
        <w:spacing w:after="120"/>
      </w:pPr>
      <w:r>
        <w:rPr>
          <w:rStyle w:val="FootnoteReference"/>
        </w:rPr>
        <w:footnoteRef/>
      </w:r>
      <w:r>
        <w:t xml:space="preserve"> Two of the VRS providers are under common ownership, and one of the IP CTS providers is a wholly-owned subsidiary of the one of the other VRS providers.  These providers are all considered separate respondents for the purpose of this information collection.</w:t>
      </w:r>
    </w:p>
  </w:footnote>
  <w:footnote w:id="23">
    <w:p w14:paraId="53AA722A" w14:textId="29600C06" w:rsidR="002255B8" w:rsidRDefault="002255B8" w:rsidP="007E3EB2">
      <w:pPr>
        <w:pStyle w:val="FootnoteText"/>
      </w:pPr>
      <w:r>
        <w:rPr>
          <w:rStyle w:val="FootnoteReference"/>
        </w:rPr>
        <w:footnoteRef/>
      </w:r>
      <w:r>
        <w:t xml:space="preserve"> The costs estimated here are in addition to the much-greater time and costs associated with the Fund administrator’s review of such data and information.  While working under contract with the Federal government and at the direction of the Commission, the costs associated with the Fund administrator’s work related to the final information collections are not taken into account in the estimated costs to the Federal Government pursuant to Question 14 of the Supporting Statement, because the Fund administrator is compensated from the TRS Fund.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6C912" w14:textId="77777777" w:rsidR="002255B8" w:rsidRDefault="002255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CA5D5" w14:textId="77777777" w:rsidR="002255B8" w:rsidRDefault="00225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D3B2F" w14:textId="47E19B22" w:rsidR="002255B8" w:rsidRDefault="002255B8">
    <w:pPr>
      <w:pStyle w:val="Header"/>
      <w:rPr>
        <w:b/>
      </w:rPr>
    </w:pPr>
    <w:r>
      <w:rPr>
        <w:b/>
      </w:rPr>
      <w:t>3060-1145</w:t>
    </w:r>
    <w:r>
      <w:rPr>
        <w:b/>
      </w:rPr>
      <w:tab/>
    </w:r>
    <w:r>
      <w:rPr>
        <w:b/>
      </w:rPr>
      <w:tab/>
      <w:t>July 2017</w:t>
    </w:r>
  </w:p>
  <w:p w14:paraId="5E6461DA" w14:textId="77777777" w:rsidR="002255B8" w:rsidRDefault="002255B8">
    <w:pPr>
      <w:pStyle w:val="Header"/>
      <w:rPr>
        <w:b/>
      </w:rPr>
    </w:pPr>
    <w:r w:rsidRPr="00470FFB">
      <w:rPr>
        <w:b/>
      </w:rPr>
      <w:t>Structure and Practices of the Video Relay Service Program</w:t>
    </w:r>
    <w:r>
      <w:rPr>
        <w:b/>
      </w:rPr>
      <w:t>; CG Docket No. 10-51</w:t>
    </w:r>
  </w:p>
  <w:p w14:paraId="4C0AC8A1" w14:textId="77777777" w:rsidR="002255B8" w:rsidRDefault="002255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3614" w14:textId="77777777" w:rsidR="002255B8" w:rsidRDefault="002255B8">
    <w:pPr>
      <w:pStyle w:val="Header"/>
      <w:rPr>
        <w:b/>
      </w:rPr>
    </w:pPr>
    <w:r>
      <w:rPr>
        <w:b/>
      </w:rPr>
      <w:t>3060-0519</w:t>
    </w:r>
    <w:r>
      <w:rPr>
        <w:b/>
      </w:rPr>
      <w:tab/>
    </w:r>
    <w:r>
      <w:rPr>
        <w:b/>
      </w:rPr>
      <w:tab/>
      <w:t>September 2002</w:t>
    </w:r>
  </w:p>
  <w:p w14:paraId="6ADE554F" w14:textId="77777777" w:rsidR="002255B8" w:rsidRDefault="002255B8">
    <w:pPr>
      <w:pStyle w:val="Header"/>
      <w:rPr>
        <w:b/>
      </w:rPr>
    </w:pPr>
    <w:r>
      <w:rPr>
        <w:b/>
      </w:rPr>
      <w:t>Rules and Regulations Implementing the Telephone Consumer Protect Act (TCPA)</w:t>
    </w:r>
  </w:p>
  <w:p w14:paraId="6E7BB2CE" w14:textId="77777777" w:rsidR="002255B8" w:rsidRDefault="002255B8">
    <w:pPr>
      <w:pStyle w:val="Header"/>
      <w:rPr>
        <w:b/>
      </w:rPr>
    </w:pPr>
    <w:r>
      <w:rPr>
        <w:b/>
      </w:rPr>
      <w:t>of 1991, CG Docket No. 02-278 and CC Docket No. 92-90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F4C"/>
    <w:multiLevelType w:val="hybridMultilevel"/>
    <w:tmpl w:val="96DCF5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0F4D04"/>
    <w:multiLevelType w:val="hybridMultilevel"/>
    <w:tmpl w:val="6E82D6B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56134"/>
    <w:multiLevelType w:val="hybridMultilevel"/>
    <w:tmpl w:val="C30E8F0A"/>
    <w:lvl w:ilvl="0" w:tplc="983A5B78">
      <w:start w:val="1"/>
      <w:numFmt w:val="decimal"/>
      <w:lvlText w:val="(%1)"/>
      <w:lvlJc w:val="left"/>
      <w:pPr>
        <w:tabs>
          <w:tab w:val="num" w:pos="720"/>
        </w:tabs>
        <w:ind w:left="720" w:hanging="360"/>
      </w:pPr>
      <w:rPr>
        <w:rFonts w:hint="default"/>
      </w:rPr>
    </w:lvl>
    <w:lvl w:ilvl="1" w:tplc="0DAA7328">
      <w:start w:val="2"/>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4253F0"/>
    <w:multiLevelType w:val="hybridMultilevel"/>
    <w:tmpl w:val="DC38F9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D93C52"/>
    <w:multiLevelType w:val="hybridMultilevel"/>
    <w:tmpl w:val="080CEDA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C86836"/>
    <w:multiLevelType w:val="hybridMultilevel"/>
    <w:tmpl w:val="546AF458"/>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3E5344"/>
    <w:multiLevelType w:val="hybridMultilevel"/>
    <w:tmpl w:val="1EE211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F37770"/>
    <w:multiLevelType w:val="hybridMultilevel"/>
    <w:tmpl w:val="5D388B7A"/>
    <w:lvl w:ilvl="0" w:tplc="0409000F">
      <w:start w:val="1"/>
      <w:numFmt w:val="decimal"/>
      <w:lvlText w:val="%1."/>
      <w:lvlJc w:val="left"/>
      <w:pPr>
        <w:tabs>
          <w:tab w:val="num" w:pos="720"/>
        </w:tabs>
        <w:ind w:left="720" w:hanging="360"/>
      </w:pPr>
      <w:rPr>
        <w:rFonts w:hint="default"/>
      </w:rPr>
    </w:lvl>
    <w:lvl w:ilvl="1" w:tplc="43CEBAE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32BC1039"/>
    <w:multiLevelType w:val="hybridMultilevel"/>
    <w:tmpl w:val="1CB48A9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nsid w:val="35512940"/>
    <w:multiLevelType w:val="hybridMultilevel"/>
    <w:tmpl w:val="9FF40056"/>
    <w:lvl w:ilvl="0" w:tplc="0409000F">
      <w:start w:val="1"/>
      <w:numFmt w:val="decimal"/>
      <w:lvlText w:val="%1."/>
      <w:lvlJc w:val="left"/>
      <w:pPr>
        <w:tabs>
          <w:tab w:val="num" w:pos="720"/>
        </w:tabs>
        <w:ind w:left="720" w:hanging="360"/>
      </w:pPr>
      <w:rPr>
        <w:rFonts w:hint="default"/>
      </w:rPr>
    </w:lvl>
    <w:lvl w:ilvl="1" w:tplc="58A297DE">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3A00B3"/>
    <w:multiLevelType w:val="hybridMultilevel"/>
    <w:tmpl w:val="6A549E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80427"/>
    <w:multiLevelType w:val="hybridMultilevel"/>
    <w:tmpl w:val="DA7C6C18"/>
    <w:lvl w:ilvl="0" w:tplc="2ED4FC98">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774343"/>
    <w:multiLevelType w:val="hybridMultilevel"/>
    <w:tmpl w:val="6BB217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580798A"/>
    <w:multiLevelType w:val="hybridMultilevel"/>
    <w:tmpl w:val="7DFED6DA"/>
    <w:lvl w:ilvl="0" w:tplc="2E3295DE">
      <w:start w:val="1"/>
      <w:numFmt w:val="upperLetter"/>
      <w:lvlText w:val="%1."/>
      <w:lvlJc w:val="left"/>
      <w:pPr>
        <w:tabs>
          <w:tab w:val="num" w:pos="990"/>
        </w:tabs>
        <w:ind w:left="990" w:hanging="360"/>
      </w:pPr>
      <w:rPr>
        <w:rFonts w:hint="default"/>
        <w:i w:val="0"/>
      </w:rPr>
    </w:lvl>
    <w:lvl w:ilvl="1" w:tplc="1570A748">
      <w:start w:val="1"/>
      <w:numFmt w:val="decimal"/>
      <w:lvlText w:val="(%2)"/>
      <w:lvlJc w:val="left"/>
      <w:pPr>
        <w:tabs>
          <w:tab w:val="num" w:pos="1725"/>
        </w:tabs>
        <w:ind w:left="1725" w:hanging="375"/>
      </w:pPr>
      <w:rPr>
        <w:rFonts w:hint="default"/>
      </w:rPr>
    </w:lvl>
    <w:lvl w:ilvl="2" w:tplc="145C922A">
      <w:start w:val="10"/>
      <w:numFmt w:val="decimal"/>
      <w:lvlText w:val="%3."/>
      <w:lvlJc w:val="left"/>
      <w:pPr>
        <w:tabs>
          <w:tab w:val="num" w:pos="2610"/>
        </w:tabs>
        <w:ind w:left="2610" w:hanging="360"/>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4E5565AF"/>
    <w:multiLevelType w:val="hybridMultilevel"/>
    <w:tmpl w:val="9320DD92"/>
    <w:lvl w:ilvl="0" w:tplc="A7CA7DF2">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7">
    <w:nsid w:val="60933EA2"/>
    <w:multiLevelType w:val="multilevel"/>
    <w:tmpl w:val="DC38F9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1182925"/>
    <w:multiLevelType w:val="singleLevel"/>
    <w:tmpl w:val="0CAC94BE"/>
    <w:lvl w:ilvl="0">
      <w:start w:val="1"/>
      <w:numFmt w:val="decimal"/>
      <w:pStyle w:val="ParaNum"/>
      <w:lvlText w:val="%1."/>
      <w:lvlJc w:val="left"/>
      <w:pPr>
        <w:tabs>
          <w:tab w:val="num" w:pos="1080"/>
        </w:tabs>
        <w:ind w:left="0" w:firstLine="720"/>
      </w:pPr>
      <w:rPr>
        <w:b w:val="0"/>
      </w:rPr>
    </w:lvl>
  </w:abstractNum>
  <w:abstractNum w:abstractNumId="19">
    <w:nsid w:val="78D5641C"/>
    <w:multiLevelType w:val="hybridMultilevel"/>
    <w:tmpl w:val="E75AF9D6"/>
    <w:lvl w:ilvl="0" w:tplc="62C474D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AF441B4"/>
    <w:multiLevelType w:val="hybridMultilevel"/>
    <w:tmpl w:val="328A64F2"/>
    <w:lvl w:ilvl="0" w:tplc="CC94059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B26579"/>
    <w:multiLevelType w:val="hybridMultilevel"/>
    <w:tmpl w:val="32740F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8"/>
  </w:num>
  <w:num w:numId="2">
    <w:abstractNumId w:val="8"/>
  </w:num>
  <w:num w:numId="3">
    <w:abstractNumId w:val="10"/>
  </w:num>
  <w:num w:numId="4">
    <w:abstractNumId w:val="16"/>
  </w:num>
  <w:num w:numId="5">
    <w:abstractNumId w:val="1"/>
  </w:num>
  <w:num w:numId="6">
    <w:abstractNumId w:val="9"/>
  </w:num>
  <w:num w:numId="7">
    <w:abstractNumId w:val="21"/>
  </w:num>
  <w:num w:numId="8">
    <w:abstractNumId w:val="13"/>
  </w:num>
  <w:num w:numId="9">
    <w:abstractNumId w:val="12"/>
  </w:num>
  <w:num w:numId="10">
    <w:abstractNumId w:val="2"/>
  </w:num>
  <w:num w:numId="11">
    <w:abstractNumId w:val="6"/>
  </w:num>
  <w:num w:numId="12">
    <w:abstractNumId w:val="0"/>
  </w:num>
  <w:num w:numId="13">
    <w:abstractNumId w:val="3"/>
  </w:num>
  <w:num w:numId="14">
    <w:abstractNumId w:val="15"/>
  </w:num>
  <w:num w:numId="15">
    <w:abstractNumId w:val="11"/>
  </w:num>
  <w:num w:numId="16">
    <w:abstractNumId w:val="14"/>
  </w:num>
  <w:num w:numId="17">
    <w:abstractNumId w:val="5"/>
  </w:num>
  <w:num w:numId="18">
    <w:abstractNumId w:val="17"/>
  </w:num>
  <w:num w:numId="19">
    <w:abstractNumId w:val="4"/>
  </w:num>
  <w:num w:numId="20">
    <w:abstractNumId w:val="7"/>
  </w:num>
  <w:num w:numId="21">
    <w:abstractNumId w:val="19"/>
  </w:num>
  <w:num w:numId="22">
    <w:abstractNumId w:val="20"/>
  </w:num>
  <w:num w:numId="23">
    <w:abstractNumId w:val="18"/>
  </w:num>
  <w:num w:numId="24">
    <w:abstractNumId w:val="18"/>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37"/>
    <w:rsid w:val="000029B6"/>
    <w:rsid w:val="00004766"/>
    <w:rsid w:val="00005544"/>
    <w:rsid w:val="00005878"/>
    <w:rsid w:val="00006BAB"/>
    <w:rsid w:val="0001141C"/>
    <w:rsid w:val="00012034"/>
    <w:rsid w:val="00012EF4"/>
    <w:rsid w:val="000144C0"/>
    <w:rsid w:val="00017DD0"/>
    <w:rsid w:val="00021653"/>
    <w:rsid w:val="00026F93"/>
    <w:rsid w:val="00033F5F"/>
    <w:rsid w:val="00034E66"/>
    <w:rsid w:val="00034F0D"/>
    <w:rsid w:val="00036365"/>
    <w:rsid w:val="00036F30"/>
    <w:rsid w:val="00040CA5"/>
    <w:rsid w:val="00041531"/>
    <w:rsid w:val="000418E7"/>
    <w:rsid w:val="00042EB9"/>
    <w:rsid w:val="00043E39"/>
    <w:rsid w:val="00043FCD"/>
    <w:rsid w:val="000440C7"/>
    <w:rsid w:val="00044E76"/>
    <w:rsid w:val="00046472"/>
    <w:rsid w:val="00047D5A"/>
    <w:rsid w:val="00047D6A"/>
    <w:rsid w:val="00051A9E"/>
    <w:rsid w:val="000533FF"/>
    <w:rsid w:val="000541B3"/>
    <w:rsid w:val="000561DD"/>
    <w:rsid w:val="00056542"/>
    <w:rsid w:val="000578AF"/>
    <w:rsid w:val="000611E7"/>
    <w:rsid w:val="00061A0B"/>
    <w:rsid w:val="00062BCE"/>
    <w:rsid w:val="000631DA"/>
    <w:rsid w:val="0006430C"/>
    <w:rsid w:val="00064332"/>
    <w:rsid w:val="000657B3"/>
    <w:rsid w:val="00066C18"/>
    <w:rsid w:val="00067B05"/>
    <w:rsid w:val="0007056F"/>
    <w:rsid w:val="00072236"/>
    <w:rsid w:val="00073648"/>
    <w:rsid w:val="0007443D"/>
    <w:rsid w:val="000747A2"/>
    <w:rsid w:val="00076093"/>
    <w:rsid w:val="000766B7"/>
    <w:rsid w:val="00076A3F"/>
    <w:rsid w:val="0007729E"/>
    <w:rsid w:val="0008045F"/>
    <w:rsid w:val="000826CB"/>
    <w:rsid w:val="0008454E"/>
    <w:rsid w:val="00086FE5"/>
    <w:rsid w:val="00090BA3"/>
    <w:rsid w:val="00092B96"/>
    <w:rsid w:val="00092EB6"/>
    <w:rsid w:val="000936F9"/>
    <w:rsid w:val="000A0E18"/>
    <w:rsid w:val="000A1B58"/>
    <w:rsid w:val="000A49E6"/>
    <w:rsid w:val="000A677A"/>
    <w:rsid w:val="000A6C27"/>
    <w:rsid w:val="000A7E1F"/>
    <w:rsid w:val="000B5191"/>
    <w:rsid w:val="000C0D30"/>
    <w:rsid w:val="000C11D9"/>
    <w:rsid w:val="000C16D3"/>
    <w:rsid w:val="000C54B4"/>
    <w:rsid w:val="000C5DC3"/>
    <w:rsid w:val="000C6E21"/>
    <w:rsid w:val="000D0F18"/>
    <w:rsid w:val="000D0F3C"/>
    <w:rsid w:val="000D2ED5"/>
    <w:rsid w:val="000D6A04"/>
    <w:rsid w:val="000D7051"/>
    <w:rsid w:val="000D7919"/>
    <w:rsid w:val="000E3791"/>
    <w:rsid w:val="000E41B3"/>
    <w:rsid w:val="000E45A9"/>
    <w:rsid w:val="000E4F0C"/>
    <w:rsid w:val="000E5180"/>
    <w:rsid w:val="000E7473"/>
    <w:rsid w:val="000F2171"/>
    <w:rsid w:val="000F2424"/>
    <w:rsid w:val="000F34A2"/>
    <w:rsid w:val="000F352B"/>
    <w:rsid w:val="000F3AFE"/>
    <w:rsid w:val="000F4F1F"/>
    <w:rsid w:val="000F6111"/>
    <w:rsid w:val="001009A1"/>
    <w:rsid w:val="00100FA2"/>
    <w:rsid w:val="00100FFB"/>
    <w:rsid w:val="0010100E"/>
    <w:rsid w:val="001020C8"/>
    <w:rsid w:val="00104996"/>
    <w:rsid w:val="00106362"/>
    <w:rsid w:val="001068F7"/>
    <w:rsid w:val="00106AAD"/>
    <w:rsid w:val="001072F1"/>
    <w:rsid w:val="00107DCD"/>
    <w:rsid w:val="00107E2B"/>
    <w:rsid w:val="00110B7F"/>
    <w:rsid w:val="0011145A"/>
    <w:rsid w:val="00113058"/>
    <w:rsid w:val="0011397C"/>
    <w:rsid w:val="001140DF"/>
    <w:rsid w:val="001154BF"/>
    <w:rsid w:val="00116A64"/>
    <w:rsid w:val="001216D8"/>
    <w:rsid w:val="0012547B"/>
    <w:rsid w:val="00125FFF"/>
    <w:rsid w:val="00126170"/>
    <w:rsid w:val="001268EE"/>
    <w:rsid w:val="00127759"/>
    <w:rsid w:val="001278A8"/>
    <w:rsid w:val="001328D4"/>
    <w:rsid w:val="00133755"/>
    <w:rsid w:val="00133B94"/>
    <w:rsid w:val="00134221"/>
    <w:rsid w:val="001342F5"/>
    <w:rsid w:val="00134D95"/>
    <w:rsid w:val="00136349"/>
    <w:rsid w:val="00140074"/>
    <w:rsid w:val="00141063"/>
    <w:rsid w:val="00141569"/>
    <w:rsid w:val="00142204"/>
    <w:rsid w:val="00145F48"/>
    <w:rsid w:val="00147C7B"/>
    <w:rsid w:val="0015162C"/>
    <w:rsid w:val="001530DB"/>
    <w:rsid w:val="00154DFD"/>
    <w:rsid w:val="00155597"/>
    <w:rsid w:val="001557E8"/>
    <w:rsid w:val="00155907"/>
    <w:rsid w:val="00156C74"/>
    <w:rsid w:val="001625A3"/>
    <w:rsid w:val="001626A9"/>
    <w:rsid w:val="001633A8"/>
    <w:rsid w:val="00163E34"/>
    <w:rsid w:val="00164C70"/>
    <w:rsid w:val="00165982"/>
    <w:rsid w:val="00165EB7"/>
    <w:rsid w:val="00167075"/>
    <w:rsid w:val="00171B1E"/>
    <w:rsid w:val="001724AD"/>
    <w:rsid w:val="00172671"/>
    <w:rsid w:val="00173E53"/>
    <w:rsid w:val="00174767"/>
    <w:rsid w:val="001761D9"/>
    <w:rsid w:val="00177C2C"/>
    <w:rsid w:val="00177DCE"/>
    <w:rsid w:val="00182731"/>
    <w:rsid w:val="00183067"/>
    <w:rsid w:val="00185FDD"/>
    <w:rsid w:val="00186E21"/>
    <w:rsid w:val="00187120"/>
    <w:rsid w:val="00187B08"/>
    <w:rsid w:val="00191687"/>
    <w:rsid w:val="0019188C"/>
    <w:rsid w:val="00192492"/>
    <w:rsid w:val="00196425"/>
    <w:rsid w:val="00196867"/>
    <w:rsid w:val="001A1643"/>
    <w:rsid w:val="001A4ADC"/>
    <w:rsid w:val="001A7231"/>
    <w:rsid w:val="001B02AA"/>
    <w:rsid w:val="001B0896"/>
    <w:rsid w:val="001B0924"/>
    <w:rsid w:val="001B4261"/>
    <w:rsid w:val="001B43BC"/>
    <w:rsid w:val="001B4F06"/>
    <w:rsid w:val="001B4F2F"/>
    <w:rsid w:val="001B59CC"/>
    <w:rsid w:val="001B5B78"/>
    <w:rsid w:val="001C0158"/>
    <w:rsid w:val="001C05AD"/>
    <w:rsid w:val="001C1B2B"/>
    <w:rsid w:val="001C2619"/>
    <w:rsid w:val="001C2B16"/>
    <w:rsid w:val="001C353C"/>
    <w:rsid w:val="001D041F"/>
    <w:rsid w:val="001D06DB"/>
    <w:rsid w:val="001D2CA0"/>
    <w:rsid w:val="001D369F"/>
    <w:rsid w:val="001D4329"/>
    <w:rsid w:val="001D4C85"/>
    <w:rsid w:val="001D7082"/>
    <w:rsid w:val="001D71EA"/>
    <w:rsid w:val="001D798F"/>
    <w:rsid w:val="001D7DE7"/>
    <w:rsid w:val="001E1C7B"/>
    <w:rsid w:val="001E3940"/>
    <w:rsid w:val="001E4320"/>
    <w:rsid w:val="001E6A67"/>
    <w:rsid w:val="001E6CC7"/>
    <w:rsid w:val="001E7DD4"/>
    <w:rsid w:val="001F07EB"/>
    <w:rsid w:val="001F2AA9"/>
    <w:rsid w:val="001F2E80"/>
    <w:rsid w:val="001F3E94"/>
    <w:rsid w:val="001F757B"/>
    <w:rsid w:val="001F792C"/>
    <w:rsid w:val="00201CDD"/>
    <w:rsid w:val="002022D4"/>
    <w:rsid w:val="002026E8"/>
    <w:rsid w:val="00203776"/>
    <w:rsid w:val="002045E4"/>
    <w:rsid w:val="0021289F"/>
    <w:rsid w:val="00220526"/>
    <w:rsid w:val="00222F7D"/>
    <w:rsid w:val="00223518"/>
    <w:rsid w:val="002255B8"/>
    <w:rsid w:val="00226BE7"/>
    <w:rsid w:val="00231751"/>
    <w:rsid w:val="002323B6"/>
    <w:rsid w:val="002336A6"/>
    <w:rsid w:val="002340F8"/>
    <w:rsid w:val="00237D0A"/>
    <w:rsid w:val="0024253E"/>
    <w:rsid w:val="0024334C"/>
    <w:rsid w:val="00245E2F"/>
    <w:rsid w:val="00246666"/>
    <w:rsid w:val="00251C74"/>
    <w:rsid w:val="00257386"/>
    <w:rsid w:val="00257DF4"/>
    <w:rsid w:val="002616B0"/>
    <w:rsid w:val="00263FC7"/>
    <w:rsid w:val="0026465A"/>
    <w:rsid w:val="00266292"/>
    <w:rsid w:val="00266921"/>
    <w:rsid w:val="00267207"/>
    <w:rsid w:val="00275970"/>
    <w:rsid w:val="002773B8"/>
    <w:rsid w:val="00277656"/>
    <w:rsid w:val="0028143D"/>
    <w:rsid w:val="00282D81"/>
    <w:rsid w:val="00283AF0"/>
    <w:rsid w:val="00283DD2"/>
    <w:rsid w:val="002841B6"/>
    <w:rsid w:val="00285F11"/>
    <w:rsid w:val="00286E54"/>
    <w:rsid w:val="00286FC8"/>
    <w:rsid w:val="00287FD0"/>
    <w:rsid w:val="00290EA2"/>
    <w:rsid w:val="00293A12"/>
    <w:rsid w:val="00294062"/>
    <w:rsid w:val="002946D2"/>
    <w:rsid w:val="00294A67"/>
    <w:rsid w:val="00295F32"/>
    <w:rsid w:val="00296AD0"/>
    <w:rsid w:val="00296DE2"/>
    <w:rsid w:val="002973B0"/>
    <w:rsid w:val="00297603"/>
    <w:rsid w:val="002A5404"/>
    <w:rsid w:val="002A7947"/>
    <w:rsid w:val="002B006F"/>
    <w:rsid w:val="002B095C"/>
    <w:rsid w:val="002B1D0D"/>
    <w:rsid w:val="002B1DC8"/>
    <w:rsid w:val="002B2AFD"/>
    <w:rsid w:val="002B48DF"/>
    <w:rsid w:val="002B59D2"/>
    <w:rsid w:val="002B6378"/>
    <w:rsid w:val="002B6C0D"/>
    <w:rsid w:val="002B7618"/>
    <w:rsid w:val="002B7D9E"/>
    <w:rsid w:val="002C1156"/>
    <w:rsid w:val="002C1496"/>
    <w:rsid w:val="002C32E7"/>
    <w:rsid w:val="002C3373"/>
    <w:rsid w:val="002C4564"/>
    <w:rsid w:val="002C5164"/>
    <w:rsid w:val="002C5208"/>
    <w:rsid w:val="002C63DE"/>
    <w:rsid w:val="002D56E4"/>
    <w:rsid w:val="002D5E37"/>
    <w:rsid w:val="002D61DD"/>
    <w:rsid w:val="002D71E1"/>
    <w:rsid w:val="002E09B2"/>
    <w:rsid w:val="002E353C"/>
    <w:rsid w:val="002E78FD"/>
    <w:rsid w:val="002F3405"/>
    <w:rsid w:val="002F47D0"/>
    <w:rsid w:val="002F7069"/>
    <w:rsid w:val="00300660"/>
    <w:rsid w:val="00301986"/>
    <w:rsid w:val="00301B87"/>
    <w:rsid w:val="003032B7"/>
    <w:rsid w:val="003050C3"/>
    <w:rsid w:val="00305654"/>
    <w:rsid w:val="00305C9F"/>
    <w:rsid w:val="0030650F"/>
    <w:rsid w:val="00306526"/>
    <w:rsid w:val="00310260"/>
    <w:rsid w:val="003127FD"/>
    <w:rsid w:val="00322127"/>
    <w:rsid w:val="00325E83"/>
    <w:rsid w:val="00331A10"/>
    <w:rsid w:val="003325D7"/>
    <w:rsid w:val="00332768"/>
    <w:rsid w:val="00332FF7"/>
    <w:rsid w:val="0033427C"/>
    <w:rsid w:val="0033433D"/>
    <w:rsid w:val="0034199E"/>
    <w:rsid w:val="00341E62"/>
    <w:rsid w:val="00342596"/>
    <w:rsid w:val="00342951"/>
    <w:rsid w:val="0034406C"/>
    <w:rsid w:val="003457C1"/>
    <w:rsid w:val="00350AA5"/>
    <w:rsid w:val="0035236D"/>
    <w:rsid w:val="0035286F"/>
    <w:rsid w:val="00353418"/>
    <w:rsid w:val="00353679"/>
    <w:rsid w:val="00355641"/>
    <w:rsid w:val="00357AEE"/>
    <w:rsid w:val="00360EB3"/>
    <w:rsid w:val="003621B4"/>
    <w:rsid w:val="0036338E"/>
    <w:rsid w:val="003638D1"/>
    <w:rsid w:val="00363E8E"/>
    <w:rsid w:val="003669D3"/>
    <w:rsid w:val="00370409"/>
    <w:rsid w:val="003741EE"/>
    <w:rsid w:val="00381C77"/>
    <w:rsid w:val="00382412"/>
    <w:rsid w:val="00382499"/>
    <w:rsid w:val="00382A17"/>
    <w:rsid w:val="00384885"/>
    <w:rsid w:val="0038570E"/>
    <w:rsid w:val="00385A61"/>
    <w:rsid w:val="0038624F"/>
    <w:rsid w:val="00387666"/>
    <w:rsid w:val="0038786E"/>
    <w:rsid w:val="0039027F"/>
    <w:rsid w:val="00390CFE"/>
    <w:rsid w:val="003914A6"/>
    <w:rsid w:val="00392976"/>
    <w:rsid w:val="00393A22"/>
    <w:rsid w:val="003A0D5E"/>
    <w:rsid w:val="003A0F6F"/>
    <w:rsid w:val="003A1DC0"/>
    <w:rsid w:val="003A4BA8"/>
    <w:rsid w:val="003A4E49"/>
    <w:rsid w:val="003A7FC0"/>
    <w:rsid w:val="003B0740"/>
    <w:rsid w:val="003B0BE7"/>
    <w:rsid w:val="003B169A"/>
    <w:rsid w:val="003B793F"/>
    <w:rsid w:val="003C3B16"/>
    <w:rsid w:val="003C679E"/>
    <w:rsid w:val="003C6A43"/>
    <w:rsid w:val="003C75D5"/>
    <w:rsid w:val="003C779C"/>
    <w:rsid w:val="003D193B"/>
    <w:rsid w:val="003E1E44"/>
    <w:rsid w:val="003E47E4"/>
    <w:rsid w:val="003E6056"/>
    <w:rsid w:val="003E6ABE"/>
    <w:rsid w:val="003E7783"/>
    <w:rsid w:val="003F19B0"/>
    <w:rsid w:val="003F2523"/>
    <w:rsid w:val="003F47F9"/>
    <w:rsid w:val="003F48ED"/>
    <w:rsid w:val="003F5D69"/>
    <w:rsid w:val="003F5F5D"/>
    <w:rsid w:val="0040324B"/>
    <w:rsid w:val="004108D4"/>
    <w:rsid w:val="0041268D"/>
    <w:rsid w:val="00412DA3"/>
    <w:rsid w:val="004143DE"/>
    <w:rsid w:val="0041467C"/>
    <w:rsid w:val="00414969"/>
    <w:rsid w:val="0041654F"/>
    <w:rsid w:val="0041706C"/>
    <w:rsid w:val="00417DAF"/>
    <w:rsid w:val="00417F92"/>
    <w:rsid w:val="00422527"/>
    <w:rsid w:val="00424B64"/>
    <w:rsid w:val="0042728A"/>
    <w:rsid w:val="0043142B"/>
    <w:rsid w:val="00434F37"/>
    <w:rsid w:val="00436FBE"/>
    <w:rsid w:val="00443400"/>
    <w:rsid w:val="00444719"/>
    <w:rsid w:val="00445965"/>
    <w:rsid w:val="00446437"/>
    <w:rsid w:val="00447D05"/>
    <w:rsid w:val="004510AC"/>
    <w:rsid w:val="00452288"/>
    <w:rsid w:val="00454ECE"/>
    <w:rsid w:val="00455810"/>
    <w:rsid w:val="0046291E"/>
    <w:rsid w:val="00465338"/>
    <w:rsid w:val="00465AD5"/>
    <w:rsid w:val="00465BEA"/>
    <w:rsid w:val="004669B6"/>
    <w:rsid w:val="00467B07"/>
    <w:rsid w:val="00470FFB"/>
    <w:rsid w:val="00472511"/>
    <w:rsid w:val="004729D3"/>
    <w:rsid w:val="00473222"/>
    <w:rsid w:val="00474DC2"/>
    <w:rsid w:val="00475024"/>
    <w:rsid w:val="00477BF2"/>
    <w:rsid w:val="00477CE5"/>
    <w:rsid w:val="004836B9"/>
    <w:rsid w:val="00485143"/>
    <w:rsid w:val="0048517A"/>
    <w:rsid w:val="00486008"/>
    <w:rsid w:val="00494F8D"/>
    <w:rsid w:val="00497916"/>
    <w:rsid w:val="004A0028"/>
    <w:rsid w:val="004A1713"/>
    <w:rsid w:val="004A5707"/>
    <w:rsid w:val="004B31E9"/>
    <w:rsid w:val="004C1335"/>
    <w:rsid w:val="004C4A4F"/>
    <w:rsid w:val="004C5053"/>
    <w:rsid w:val="004C57AD"/>
    <w:rsid w:val="004C5AA1"/>
    <w:rsid w:val="004C5F5C"/>
    <w:rsid w:val="004D1B95"/>
    <w:rsid w:val="004D2475"/>
    <w:rsid w:val="004D26F5"/>
    <w:rsid w:val="004D3C92"/>
    <w:rsid w:val="004D58F8"/>
    <w:rsid w:val="004E3169"/>
    <w:rsid w:val="004E5141"/>
    <w:rsid w:val="004E5174"/>
    <w:rsid w:val="004E5B7A"/>
    <w:rsid w:val="004E640F"/>
    <w:rsid w:val="004F35CF"/>
    <w:rsid w:val="004F3F82"/>
    <w:rsid w:val="004F432B"/>
    <w:rsid w:val="004F668D"/>
    <w:rsid w:val="004F70F2"/>
    <w:rsid w:val="00501FD8"/>
    <w:rsid w:val="00503515"/>
    <w:rsid w:val="005036F5"/>
    <w:rsid w:val="00503796"/>
    <w:rsid w:val="005057BC"/>
    <w:rsid w:val="00505A29"/>
    <w:rsid w:val="005105E6"/>
    <w:rsid w:val="00511D5F"/>
    <w:rsid w:val="00512C0F"/>
    <w:rsid w:val="00513AD8"/>
    <w:rsid w:val="00520462"/>
    <w:rsid w:val="005233B3"/>
    <w:rsid w:val="00526217"/>
    <w:rsid w:val="00526CAA"/>
    <w:rsid w:val="005303D4"/>
    <w:rsid w:val="00530ED5"/>
    <w:rsid w:val="00531220"/>
    <w:rsid w:val="005312E3"/>
    <w:rsid w:val="005313DD"/>
    <w:rsid w:val="00531827"/>
    <w:rsid w:val="00533BA0"/>
    <w:rsid w:val="00534549"/>
    <w:rsid w:val="005357D8"/>
    <w:rsid w:val="00535BFD"/>
    <w:rsid w:val="005425D1"/>
    <w:rsid w:val="0054366E"/>
    <w:rsid w:val="00544FAC"/>
    <w:rsid w:val="00547038"/>
    <w:rsid w:val="005476C3"/>
    <w:rsid w:val="00550189"/>
    <w:rsid w:val="0055048D"/>
    <w:rsid w:val="00550687"/>
    <w:rsid w:val="005559AA"/>
    <w:rsid w:val="005566A4"/>
    <w:rsid w:val="005608F0"/>
    <w:rsid w:val="005612D1"/>
    <w:rsid w:val="005618A9"/>
    <w:rsid w:val="00564A37"/>
    <w:rsid w:val="00564F94"/>
    <w:rsid w:val="0056574F"/>
    <w:rsid w:val="005658E0"/>
    <w:rsid w:val="00566013"/>
    <w:rsid w:val="00574B6D"/>
    <w:rsid w:val="00576A25"/>
    <w:rsid w:val="0057756D"/>
    <w:rsid w:val="005775D7"/>
    <w:rsid w:val="00580987"/>
    <w:rsid w:val="005816E3"/>
    <w:rsid w:val="00581EA9"/>
    <w:rsid w:val="0059037F"/>
    <w:rsid w:val="005917DD"/>
    <w:rsid w:val="005922DA"/>
    <w:rsid w:val="00592511"/>
    <w:rsid w:val="00593EB0"/>
    <w:rsid w:val="00596ADB"/>
    <w:rsid w:val="00596E50"/>
    <w:rsid w:val="005A1DD7"/>
    <w:rsid w:val="005A2235"/>
    <w:rsid w:val="005A50B0"/>
    <w:rsid w:val="005A64A8"/>
    <w:rsid w:val="005B28E6"/>
    <w:rsid w:val="005B3809"/>
    <w:rsid w:val="005B52CB"/>
    <w:rsid w:val="005B7333"/>
    <w:rsid w:val="005C39CA"/>
    <w:rsid w:val="005C45B3"/>
    <w:rsid w:val="005D11A0"/>
    <w:rsid w:val="005D55AF"/>
    <w:rsid w:val="005D6B4E"/>
    <w:rsid w:val="005D7E48"/>
    <w:rsid w:val="005E1BE3"/>
    <w:rsid w:val="005E22B7"/>
    <w:rsid w:val="005E2E2E"/>
    <w:rsid w:val="005E36EC"/>
    <w:rsid w:val="005E66AB"/>
    <w:rsid w:val="005E6C3E"/>
    <w:rsid w:val="005F0341"/>
    <w:rsid w:val="005F0B0E"/>
    <w:rsid w:val="005F150E"/>
    <w:rsid w:val="005F2667"/>
    <w:rsid w:val="005F66D5"/>
    <w:rsid w:val="005F773D"/>
    <w:rsid w:val="006008E7"/>
    <w:rsid w:val="00601967"/>
    <w:rsid w:val="00601FBC"/>
    <w:rsid w:val="00603A64"/>
    <w:rsid w:val="0060491A"/>
    <w:rsid w:val="00604C36"/>
    <w:rsid w:val="00606026"/>
    <w:rsid w:val="006062B4"/>
    <w:rsid w:val="0061033D"/>
    <w:rsid w:val="00610521"/>
    <w:rsid w:val="00611DF8"/>
    <w:rsid w:val="0061222C"/>
    <w:rsid w:val="00621446"/>
    <w:rsid w:val="00621FEB"/>
    <w:rsid w:val="00630CBC"/>
    <w:rsid w:val="00631755"/>
    <w:rsid w:val="00632E41"/>
    <w:rsid w:val="0063327C"/>
    <w:rsid w:val="00633491"/>
    <w:rsid w:val="006367F8"/>
    <w:rsid w:val="00636C23"/>
    <w:rsid w:val="00640F8A"/>
    <w:rsid w:val="00641DCA"/>
    <w:rsid w:val="00642DB3"/>
    <w:rsid w:val="00642FF2"/>
    <w:rsid w:val="00644DBD"/>
    <w:rsid w:val="00645E57"/>
    <w:rsid w:val="00650466"/>
    <w:rsid w:val="00650D26"/>
    <w:rsid w:val="00651E68"/>
    <w:rsid w:val="006527CA"/>
    <w:rsid w:val="00655936"/>
    <w:rsid w:val="006561C4"/>
    <w:rsid w:val="006602C9"/>
    <w:rsid w:val="00660EAC"/>
    <w:rsid w:val="00663333"/>
    <w:rsid w:val="0066398E"/>
    <w:rsid w:val="00664185"/>
    <w:rsid w:val="00664467"/>
    <w:rsid w:val="006665C6"/>
    <w:rsid w:val="00667D7C"/>
    <w:rsid w:val="00673ABE"/>
    <w:rsid w:val="006765C9"/>
    <w:rsid w:val="006775BA"/>
    <w:rsid w:val="00680942"/>
    <w:rsid w:val="006810A1"/>
    <w:rsid w:val="00681B6E"/>
    <w:rsid w:val="006821E3"/>
    <w:rsid w:val="00684D9F"/>
    <w:rsid w:val="00685594"/>
    <w:rsid w:val="00687110"/>
    <w:rsid w:val="006874D5"/>
    <w:rsid w:val="00693BBF"/>
    <w:rsid w:val="00694B57"/>
    <w:rsid w:val="006950A4"/>
    <w:rsid w:val="0069738C"/>
    <w:rsid w:val="006A0491"/>
    <w:rsid w:val="006A143B"/>
    <w:rsid w:val="006A1D00"/>
    <w:rsid w:val="006A279F"/>
    <w:rsid w:val="006A2A63"/>
    <w:rsid w:val="006A56A8"/>
    <w:rsid w:val="006A6257"/>
    <w:rsid w:val="006B03C3"/>
    <w:rsid w:val="006B109E"/>
    <w:rsid w:val="006B1667"/>
    <w:rsid w:val="006B3157"/>
    <w:rsid w:val="006B5D0B"/>
    <w:rsid w:val="006C0303"/>
    <w:rsid w:val="006C27AE"/>
    <w:rsid w:val="006C6641"/>
    <w:rsid w:val="006C7B79"/>
    <w:rsid w:val="006D019D"/>
    <w:rsid w:val="006D25D5"/>
    <w:rsid w:val="006D3E4D"/>
    <w:rsid w:val="006D463F"/>
    <w:rsid w:val="006D549B"/>
    <w:rsid w:val="006D59BF"/>
    <w:rsid w:val="006D645A"/>
    <w:rsid w:val="006D7FE9"/>
    <w:rsid w:val="006E0CE0"/>
    <w:rsid w:val="006E1B78"/>
    <w:rsid w:val="006E1E56"/>
    <w:rsid w:val="006E4850"/>
    <w:rsid w:val="006E579A"/>
    <w:rsid w:val="006E5F48"/>
    <w:rsid w:val="006F288B"/>
    <w:rsid w:val="006F32B0"/>
    <w:rsid w:val="006F3980"/>
    <w:rsid w:val="006F3A2C"/>
    <w:rsid w:val="006F63C1"/>
    <w:rsid w:val="0070061B"/>
    <w:rsid w:val="00701144"/>
    <w:rsid w:val="00701572"/>
    <w:rsid w:val="00702B13"/>
    <w:rsid w:val="007049C5"/>
    <w:rsid w:val="00706B7E"/>
    <w:rsid w:val="00710798"/>
    <w:rsid w:val="007126D2"/>
    <w:rsid w:val="007168E3"/>
    <w:rsid w:val="007205F0"/>
    <w:rsid w:val="0072119C"/>
    <w:rsid w:val="007243C7"/>
    <w:rsid w:val="00725B08"/>
    <w:rsid w:val="007309F0"/>
    <w:rsid w:val="00732934"/>
    <w:rsid w:val="00733DCF"/>
    <w:rsid w:val="00734CD1"/>
    <w:rsid w:val="00735BB7"/>
    <w:rsid w:val="00737EDC"/>
    <w:rsid w:val="0074438A"/>
    <w:rsid w:val="0074493C"/>
    <w:rsid w:val="007472DF"/>
    <w:rsid w:val="00754156"/>
    <w:rsid w:val="00754159"/>
    <w:rsid w:val="0075497E"/>
    <w:rsid w:val="00754C70"/>
    <w:rsid w:val="007608B1"/>
    <w:rsid w:val="0076103F"/>
    <w:rsid w:val="00762AAF"/>
    <w:rsid w:val="00764A16"/>
    <w:rsid w:val="00765A3F"/>
    <w:rsid w:val="0077105D"/>
    <w:rsid w:val="00772239"/>
    <w:rsid w:val="007728F5"/>
    <w:rsid w:val="00773D0A"/>
    <w:rsid w:val="00774728"/>
    <w:rsid w:val="00780BAA"/>
    <w:rsid w:val="00780E3E"/>
    <w:rsid w:val="00783A49"/>
    <w:rsid w:val="0078427E"/>
    <w:rsid w:val="0078536A"/>
    <w:rsid w:val="00785B8C"/>
    <w:rsid w:val="00786F4C"/>
    <w:rsid w:val="00787B71"/>
    <w:rsid w:val="00791EEB"/>
    <w:rsid w:val="00792D3F"/>
    <w:rsid w:val="007932E9"/>
    <w:rsid w:val="007944AA"/>
    <w:rsid w:val="007951D9"/>
    <w:rsid w:val="00795F46"/>
    <w:rsid w:val="00796EAA"/>
    <w:rsid w:val="007A2B8D"/>
    <w:rsid w:val="007A39E4"/>
    <w:rsid w:val="007A6660"/>
    <w:rsid w:val="007A6DC2"/>
    <w:rsid w:val="007A72D1"/>
    <w:rsid w:val="007A7F68"/>
    <w:rsid w:val="007B0B6F"/>
    <w:rsid w:val="007B1ACB"/>
    <w:rsid w:val="007B1C10"/>
    <w:rsid w:val="007B212E"/>
    <w:rsid w:val="007B301F"/>
    <w:rsid w:val="007B43DF"/>
    <w:rsid w:val="007C0611"/>
    <w:rsid w:val="007C0927"/>
    <w:rsid w:val="007C0D40"/>
    <w:rsid w:val="007C19ED"/>
    <w:rsid w:val="007C1AF9"/>
    <w:rsid w:val="007C2B07"/>
    <w:rsid w:val="007C2CAF"/>
    <w:rsid w:val="007C5DB0"/>
    <w:rsid w:val="007C5EB9"/>
    <w:rsid w:val="007C610E"/>
    <w:rsid w:val="007C69CE"/>
    <w:rsid w:val="007D06DE"/>
    <w:rsid w:val="007D0994"/>
    <w:rsid w:val="007D21F3"/>
    <w:rsid w:val="007E11CF"/>
    <w:rsid w:val="007E3EB2"/>
    <w:rsid w:val="007E62EA"/>
    <w:rsid w:val="007E68B2"/>
    <w:rsid w:val="007E7956"/>
    <w:rsid w:val="007F5D3F"/>
    <w:rsid w:val="007F6DF4"/>
    <w:rsid w:val="007F7239"/>
    <w:rsid w:val="007F76E7"/>
    <w:rsid w:val="008008C0"/>
    <w:rsid w:val="008020B5"/>
    <w:rsid w:val="00802242"/>
    <w:rsid w:val="00802C5C"/>
    <w:rsid w:val="008032BF"/>
    <w:rsid w:val="00805536"/>
    <w:rsid w:val="00805F39"/>
    <w:rsid w:val="008101C1"/>
    <w:rsid w:val="00810B94"/>
    <w:rsid w:val="00810C7E"/>
    <w:rsid w:val="00810F31"/>
    <w:rsid w:val="008154F1"/>
    <w:rsid w:val="00816483"/>
    <w:rsid w:val="00817194"/>
    <w:rsid w:val="00820AA0"/>
    <w:rsid w:val="00821DD5"/>
    <w:rsid w:val="00822906"/>
    <w:rsid w:val="00822F62"/>
    <w:rsid w:val="0083363C"/>
    <w:rsid w:val="00833653"/>
    <w:rsid w:val="00835002"/>
    <w:rsid w:val="0083506B"/>
    <w:rsid w:val="00835DA4"/>
    <w:rsid w:val="00836F0B"/>
    <w:rsid w:val="00844E6E"/>
    <w:rsid w:val="0084500E"/>
    <w:rsid w:val="008464AA"/>
    <w:rsid w:val="00846714"/>
    <w:rsid w:val="00847983"/>
    <w:rsid w:val="008535E7"/>
    <w:rsid w:val="00853701"/>
    <w:rsid w:val="00861CBD"/>
    <w:rsid w:val="00862B1F"/>
    <w:rsid w:val="00863FDA"/>
    <w:rsid w:val="00865600"/>
    <w:rsid w:val="008673CA"/>
    <w:rsid w:val="00867B8E"/>
    <w:rsid w:val="00870023"/>
    <w:rsid w:val="00871099"/>
    <w:rsid w:val="00871DA0"/>
    <w:rsid w:val="00872A79"/>
    <w:rsid w:val="00872D7D"/>
    <w:rsid w:val="008734DF"/>
    <w:rsid w:val="00875887"/>
    <w:rsid w:val="0088026F"/>
    <w:rsid w:val="00880A4B"/>
    <w:rsid w:val="00881EF7"/>
    <w:rsid w:val="008830CD"/>
    <w:rsid w:val="008849C7"/>
    <w:rsid w:val="00890811"/>
    <w:rsid w:val="008919ED"/>
    <w:rsid w:val="00891F76"/>
    <w:rsid w:val="00894F25"/>
    <w:rsid w:val="00894FA4"/>
    <w:rsid w:val="00897200"/>
    <w:rsid w:val="00897556"/>
    <w:rsid w:val="008A1665"/>
    <w:rsid w:val="008A61E4"/>
    <w:rsid w:val="008A6451"/>
    <w:rsid w:val="008A70F5"/>
    <w:rsid w:val="008A743C"/>
    <w:rsid w:val="008B1629"/>
    <w:rsid w:val="008B4A8C"/>
    <w:rsid w:val="008B5DF6"/>
    <w:rsid w:val="008B6EE6"/>
    <w:rsid w:val="008C1030"/>
    <w:rsid w:val="008C15ED"/>
    <w:rsid w:val="008C1FBC"/>
    <w:rsid w:val="008C5754"/>
    <w:rsid w:val="008C68BA"/>
    <w:rsid w:val="008D00C9"/>
    <w:rsid w:val="008D00F9"/>
    <w:rsid w:val="008D0340"/>
    <w:rsid w:val="008D3732"/>
    <w:rsid w:val="008D38C0"/>
    <w:rsid w:val="008D6421"/>
    <w:rsid w:val="008E0FF3"/>
    <w:rsid w:val="008E1E83"/>
    <w:rsid w:val="008E2EF7"/>
    <w:rsid w:val="008E2FCB"/>
    <w:rsid w:val="008E6F88"/>
    <w:rsid w:val="008E700A"/>
    <w:rsid w:val="008F24AB"/>
    <w:rsid w:val="008F3116"/>
    <w:rsid w:val="008F5D59"/>
    <w:rsid w:val="008F784F"/>
    <w:rsid w:val="0090296F"/>
    <w:rsid w:val="00903165"/>
    <w:rsid w:val="00904203"/>
    <w:rsid w:val="00905275"/>
    <w:rsid w:val="00907F8F"/>
    <w:rsid w:val="00910282"/>
    <w:rsid w:val="009142CF"/>
    <w:rsid w:val="0091572B"/>
    <w:rsid w:val="00915E86"/>
    <w:rsid w:val="00915ECF"/>
    <w:rsid w:val="00916E13"/>
    <w:rsid w:val="0092359B"/>
    <w:rsid w:val="00923779"/>
    <w:rsid w:val="00924D77"/>
    <w:rsid w:val="0092639E"/>
    <w:rsid w:val="0093021C"/>
    <w:rsid w:val="0093147E"/>
    <w:rsid w:val="00933C6C"/>
    <w:rsid w:val="009340AC"/>
    <w:rsid w:val="0093440A"/>
    <w:rsid w:val="00934E73"/>
    <w:rsid w:val="00937D35"/>
    <w:rsid w:val="00940D4C"/>
    <w:rsid w:val="00940DB9"/>
    <w:rsid w:val="00941B2D"/>
    <w:rsid w:val="00941F0F"/>
    <w:rsid w:val="00942076"/>
    <w:rsid w:val="00942A4A"/>
    <w:rsid w:val="00947713"/>
    <w:rsid w:val="00952E0B"/>
    <w:rsid w:val="00953C95"/>
    <w:rsid w:val="00957317"/>
    <w:rsid w:val="00957CF4"/>
    <w:rsid w:val="009605FC"/>
    <w:rsid w:val="00961157"/>
    <w:rsid w:val="00966A58"/>
    <w:rsid w:val="00971077"/>
    <w:rsid w:val="0097112D"/>
    <w:rsid w:val="00973B8F"/>
    <w:rsid w:val="0097768E"/>
    <w:rsid w:val="00982B22"/>
    <w:rsid w:val="009830E2"/>
    <w:rsid w:val="00983DF9"/>
    <w:rsid w:val="00984253"/>
    <w:rsid w:val="00985C9B"/>
    <w:rsid w:val="00986380"/>
    <w:rsid w:val="00987BEB"/>
    <w:rsid w:val="00990B63"/>
    <w:rsid w:val="00991911"/>
    <w:rsid w:val="00991F15"/>
    <w:rsid w:val="00992CCD"/>
    <w:rsid w:val="0099316C"/>
    <w:rsid w:val="00993721"/>
    <w:rsid w:val="00994158"/>
    <w:rsid w:val="0099454D"/>
    <w:rsid w:val="00995637"/>
    <w:rsid w:val="00995676"/>
    <w:rsid w:val="009A1730"/>
    <w:rsid w:val="009A1A61"/>
    <w:rsid w:val="009A421E"/>
    <w:rsid w:val="009A427B"/>
    <w:rsid w:val="009A5B3A"/>
    <w:rsid w:val="009B08F9"/>
    <w:rsid w:val="009B0DA8"/>
    <w:rsid w:val="009B0E1B"/>
    <w:rsid w:val="009B1A25"/>
    <w:rsid w:val="009B21C6"/>
    <w:rsid w:val="009B3874"/>
    <w:rsid w:val="009B3BD4"/>
    <w:rsid w:val="009C05BF"/>
    <w:rsid w:val="009C0F66"/>
    <w:rsid w:val="009C2741"/>
    <w:rsid w:val="009C35CE"/>
    <w:rsid w:val="009C38C7"/>
    <w:rsid w:val="009C422F"/>
    <w:rsid w:val="009C504D"/>
    <w:rsid w:val="009C6212"/>
    <w:rsid w:val="009C67F3"/>
    <w:rsid w:val="009D00F8"/>
    <w:rsid w:val="009D44BE"/>
    <w:rsid w:val="009D6CAD"/>
    <w:rsid w:val="009E142E"/>
    <w:rsid w:val="009E1C21"/>
    <w:rsid w:val="009E446F"/>
    <w:rsid w:val="009E488B"/>
    <w:rsid w:val="009E5382"/>
    <w:rsid w:val="009E69A1"/>
    <w:rsid w:val="009E7D88"/>
    <w:rsid w:val="009F442B"/>
    <w:rsid w:val="009F5360"/>
    <w:rsid w:val="009F6B55"/>
    <w:rsid w:val="00A00256"/>
    <w:rsid w:val="00A003FE"/>
    <w:rsid w:val="00A014CA"/>
    <w:rsid w:val="00A02D4A"/>
    <w:rsid w:val="00A02EBB"/>
    <w:rsid w:val="00A03B48"/>
    <w:rsid w:val="00A07EB0"/>
    <w:rsid w:val="00A10219"/>
    <w:rsid w:val="00A11EFA"/>
    <w:rsid w:val="00A12DEF"/>
    <w:rsid w:val="00A13730"/>
    <w:rsid w:val="00A144EC"/>
    <w:rsid w:val="00A166E0"/>
    <w:rsid w:val="00A1763F"/>
    <w:rsid w:val="00A17E6F"/>
    <w:rsid w:val="00A20A4E"/>
    <w:rsid w:val="00A20C1D"/>
    <w:rsid w:val="00A21781"/>
    <w:rsid w:val="00A224F6"/>
    <w:rsid w:val="00A2318C"/>
    <w:rsid w:val="00A26BB9"/>
    <w:rsid w:val="00A32ED5"/>
    <w:rsid w:val="00A33A2F"/>
    <w:rsid w:val="00A33B79"/>
    <w:rsid w:val="00A3434B"/>
    <w:rsid w:val="00A354D8"/>
    <w:rsid w:val="00A4125B"/>
    <w:rsid w:val="00A470C8"/>
    <w:rsid w:val="00A50F97"/>
    <w:rsid w:val="00A51ABA"/>
    <w:rsid w:val="00A52B62"/>
    <w:rsid w:val="00A531D7"/>
    <w:rsid w:val="00A544D0"/>
    <w:rsid w:val="00A557A1"/>
    <w:rsid w:val="00A566F8"/>
    <w:rsid w:val="00A57F06"/>
    <w:rsid w:val="00A61806"/>
    <w:rsid w:val="00A623DA"/>
    <w:rsid w:val="00A631C7"/>
    <w:rsid w:val="00A63B8E"/>
    <w:rsid w:val="00A647FA"/>
    <w:rsid w:val="00A64A3C"/>
    <w:rsid w:val="00A6541C"/>
    <w:rsid w:val="00A666C5"/>
    <w:rsid w:val="00A66B58"/>
    <w:rsid w:val="00A701C2"/>
    <w:rsid w:val="00A717F7"/>
    <w:rsid w:val="00A72AEF"/>
    <w:rsid w:val="00A73AFA"/>
    <w:rsid w:val="00A81009"/>
    <w:rsid w:val="00A818EA"/>
    <w:rsid w:val="00A82018"/>
    <w:rsid w:val="00A831E7"/>
    <w:rsid w:val="00A84517"/>
    <w:rsid w:val="00A87382"/>
    <w:rsid w:val="00A87C61"/>
    <w:rsid w:val="00A90381"/>
    <w:rsid w:val="00A923C8"/>
    <w:rsid w:val="00A9241F"/>
    <w:rsid w:val="00A929A7"/>
    <w:rsid w:val="00A9725B"/>
    <w:rsid w:val="00A97934"/>
    <w:rsid w:val="00AA1C8B"/>
    <w:rsid w:val="00AA1E4D"/>
    <w:rsid w:val="00AA25D7"/>
    <w:rsid w:val="00AA3DC8"/>
    <w:rsid w:val="00AA45AD"/>
    <w:rsid w:val="00AA5230"/>
    <w:rsid w:val="00AA5CFB"/>
    <w:rsid w:val="00AB091E"/>
    <w:rsid w:val="00AB0E16"/>
    <w:rsid w:val="00AB208B"/>
    <w:rsid w:val="00AB390B"/>
    <w:rsid w:val="00AC2489"/>
    <w:rsid w:val="00AC2653"/>
    <w:rsid w:val="00AC44D1"/>
    <w:rsid w:val="00AC4E25"/>
    <w:rsid w:val="00AD0667"/>
    <w:rsid w:val="00AD5047"/>
    <w:rsid w:val="00AD6150"/>
    <w:rsid w:val="00AD6DA0"/>
    <w:rsid w:val="00AE1676"/>
    <w:rsid w:val="00AE2FA3"/>
    <w:rsid w:val="00AE33BA"/>
    <w:rsid w:val="00AE4517"/>
    <w:rsid w:val="00AE4DEF"/>
    <w:rsid w:val="00AE5178"/>
    <w:rsid w:val="00AE54E0"/>
    <w:rsid w:val="00AF01D5"/>
    <w:rsid w:val="00AF2BCC"/>
    <w:rsid w:val="00AF6080"/>
    <w:rsid w:val="00AF6DF6"/>
    <w:rsid w:val="00AF7D6B"/>
    <w:rsid w:val="00B01652"/>
    <w:rsid w:val="00B108AA"/>
    <w:rsid w:val="00B12CD9"/>
    <w:rsid w:val="00B131EB"/>
    <w:rsid w:val="00B13522"/>
    <w:rsid w:val="00B1579F"/>
    <w:rsid w:val="00B176E5"/>
    <w:rsid w:val="00B178BF"/>
    <w:rsid w:val="00B20D65"/>
    <w:rsid w:val="00B210EB"/>
    <w:rsid w:val="00B21904"/>
    <w:rsid w:val="00B233A3"/>
    <w:rsid w:val="00B2491C"/>
    <w:rsid w:val="00B256AA"/>
    <w:rsid w:val="00B25BE7"/>
    <w:rsid w:val="00B26106"/>
    <w:rsid w:val="00B276A8"/>
    <w:rsid w:val="00B30F78"/>
    <w:rsid w:val="00B312EE"/>
    <w:rsid w:val="00B31AF5"/>
    <w:rsid w:val="00B32908"/>
    <w:rsid w:val="00B3297B"/>
    <w:rsid w:val="00B32A6D"/>
    <w:rsid w:val="00B33A5D"/>
    <w:rsid w:val="00B34CF5"/>
    <w:rsid w:val="00B34D0B"/>
    <w:rsid w:val="00B34DBD"/>
    <w:rsid w:val="00B41237"/>
    <w:rsid w:val="00B4259F"/>
    <w:rsid w:val="00B43733"/>
    <w:rsid w:val="00B43DCC"/>
    <w:rsid w:val="00B43F90"/>
    <w:rsid w:val="00B449C2"/>
    <w:rsid w:val="00B44DC7"/>
    <w:rsid w:val="00B4553A"/>
    <w:rsid w:val="00B46109"/>
    <w:rsid w:val="00B47B0E"/>
    <w:rsid w:val="00B514AA"/>
    <w:rsid w:val="00B52A84"/>
    <w:rsid w:val="00B545F4"/>
    <w:rsid w:val="00B54B34"/>
    <w:rsid w:val="00B56100"/>
    <w:rsid w:val="00B56406"/>
    <w:rsid w:val="00B60D0C"/>
    <w:rsid w:val="00B60FF6"/>
    <w:rsid w:val="00B6109E"/>
    <w:rsid w:val="00B64BF3"/>
    <w:rsid w:val="00B676A1"/>
    <w:rsid w:val="00B71686"/>
    <w:rsid w:val="00B749E3"/>
    <w:rsid w:val="00B758D0"/>
    <w:rsid w:val="00B8108A"/>
    <w:rsid w:val="00B849DC"/>
    <w:rsid w:val="00B8723A"/>
    <w:rsid w:val="00B90025"/>
    <w:rsid w:val="00B9009E"/>
    <w:rsid w:val="00B9117C"/>
    <w:rsid w:val="00B92BA3"/>
    <w:rsid w:val="00B941D6"/>
    <w:rsid w:val="00B96559"/>
    <w:rsid w:val="00B96ADB"/>
    <w:rsid w:val="00B97436"/>
    <w:rsid w:val="00BA0178"/>
    <w:rsid w:val="00BA2C68"/>
    <w:rsid w:val="00BA334D"/>
    <w:rsid w:val="00BA3373"/>
    <w:rsid w:val="00BA354A"/>
    <w:rsid w:val="00BA4A01"/>
    <w:rsid w:val="00BA65BE"/>
    <w:rsid w:val="00BA68C1"/>
    <w:rsid w:val="00BA6958"/>
    <w:rsid w:val="00BB06D2"/>
    <w:rsid w:val="00BB0939"/>
    <w:rsid w:val="00BB256D"/>
    <w:rsid w:val="00BB5747"/>
    <w:rsid w:val="00BB60FA"/>
    <w:rsid w:val="00BB7D5A"/>
    <w:rsid w:val="00BB7FF8"/>
    <w:rsid w:val="00BC2485"/>
    <w:rsid w:val="00BC3820"/>
    <w:rsid w:val="00BC3A91"/>
    <w:rsid w:val="00BC6385"/>
    <w:rsid w:val="00BC63D6"/>
    <w:rsid w:val="00BC70B3"/>
    <w:rsid w:val="00BC7F25"/>
    <w:rsid w:val="00BC7F8A"/>
    <w:rsid w:val="00BD0561"/>
    <w:rsid w:val="00BD141F"/>
    <w:rsid w:val="00BD2409"/>
    <w:rsid w:val="00BD473B"/>
    <w:rsid w:val="00BD650C"/>
    <w:rsid w:val="00BE1743"/>
    <w:rsid w:val="00BE31FA"/>
    <w:rsid w:val="00BE332B"/>
    <w:rsid w:val="00BE6FB3"/>
    <w:rsid w:val="00BF5C43"/>
    <w:rsid w:val="00BF5EE5"/>
    <w:rsid w:val="00BF728B"/>
    <w:rsid w:val="00C00CA7"/>
    <w:rsid w:val="00C04C2F"/>
    <w:rsid w:val="00C04C35"/>
    <w:rsid w:val="00C06E87"/>
    <w:rsid w:val="00C07B56"/>
    <w:rsid w:val="00C07E1E"/>
    <w:rsid w:val="00C1046B"/>
    <w:rsid w:val="00C10C99"/>
    <w:rsid w:val="00C13858"/>
    <w:rsid w:val="00C13FD5"/>
    <w:rsid w:val="00C15DE2"/>
    <w:rsid w:val="00C16798"/>
    <w:rsid w:val="00C21F7A"/>
    <w:rsid w:val="00C2458A"/>
    <w:rsid w:val="00C268C7"/>
    <w:rsid w:val="00C26C2F"/>
    <w:rsid w:val="00C3088D"/>
    <w:rsid w:val="00C31AE0"/>
    <w:rsid w:val="00C41408"/>
    <w:rsid w:val="00C45DE3"/>
    <w:rsid w:val="00C4641B"/>
    <w:rsid w:val="00C50AA2"/>
    <w:rsid w:val="00C63344"/>
    <w:rsid w:val="00C6345B"/>
    <w:rsid w:val="00C65080"/>
    <w:rsid w:val="00C65B64"/>
    <w:rsid w:val="00C7124C"/>
    <w:rsid w:val="00C71850"/>
    <w:rsid w:val="00C71DA4"/>
    <w:rsid w:val="00C720A6"/>
    <w:rsid w:val="00C733BB"/>
    <w:rsid w:val="00C7387B"/>
    <w:rsid w:val="00C77AFC"/>
    <w:rsid w:val="00C815DD"/>
    <w:rsid w:val="00C82596"/>
    <w:rsid w:val="00C82B76"/>
    <w:rsid w:val="00C82C3F"/>
    <w:rsid w:val="00C8487D"/>
    <w:rsid w:val="00C85249"/>
    <w:rsid w:val="00C86590"/>
    <w:rsid w:val="00C86E8E"/>
    <w:rsid w:val="00C87DB8"/>
    <w:rsid w:val="00C90761"/>
    <w:rsid w:val="00C9221E"/>
    <w:rsid w:val="00C92B96"/>
    <w:rsid w:val="00C932FD"/>
    <w:rsid w:val="00C95730"/>
    <w:rsid w:val="00C9746C"/>
    <w:rsid w:val="00CA288D"/>
    <w:rsid w:val="00CA5FFB"/>
    <w:rsid w:val="00CB0F35"/>
    <w:rsid w:val="00CB3313"/>
    <w:rsid w:val="00CB3488"/>
    <w:rsid w:val="00CB47D2"/>
    <w:rsid w:val="00CB7234"/>
    <w:rsid w:val="00CB7551"/>
    <w:rsid w:val="00CC0BD2"/>
    <w:rsid w:val="00CC11CE"/>
    <w:rsid w:val="00CC26AD"/>
    <w:rsid w:val="00CC3E83"/>
    <w:rsid w:val="00CC5454"/>
    <w:rsid w:val="00CC5713"/>
    <w:rsid w:val="00CC6EAD"/>
    <w:rsid w:val="00CC737A"/>
    <w:rsid w:val="00CD1E97"/>
    <w:rsid w:val="00CD2CC4"/>
    <w:rsid w:val="00CD3739"/>
    <w:rsid w:val="00CD3EA7"/>
    <w:rsid w:val="00CD42DC"/>
    <w:rsid w:val="00CD49C9"/>
    <w:rsid w:val="00CD54CA"/>
    <w:rsid w:val="00CD5D9A"/>
    <w:rsid w:val="00CD5DF0"/>
    <w:rsid w:val="00CD6404"/>
    <w:rsid w:val="00CE020E"/>
    <w:rsid w:val="00CE1BEB"/>
    <w:rsid w:val="00CE39E6"/>
    <w:rsid w:val="00CE3BFE"/>
    <w:rsid w:val="00CE3CBD"/>
    <w:rsid w:val="00CE4A61"/>
    <w:rsid w:val="00CE4CFA"/>
    <w:rsid w:val="00CF264C"/>
    <w:rsid w:val="00CF26BE"/>
    <w:rsid w:val="00CF3E3D"/>
    <w:rsid w:val="00CF61AD"/>
    <w:rsid w:val="00CF6C50"/>
    <w:rsid w:val="00D00F0A"/>
    <w:rsid w:val="00D017EC"/>
    <w:rsid w:val="00D0507F"/>
    <w:rsid w:val="00D058E2"/>
    <w:rsid w:val="00D066E2"/>
    <w:rsid w:val="00D13A9E"/>
    <w:rsid w:val="00D13E77"/>
    <w:rsid w:val="00D1423F"/>
    <w:rsid w:val="00D159FE"/>
    <w:rsid w:val="00D2113D"/>
    <w:rsid w:val="00D21C57"/>
    <w:rsid w:val="00D22E11"/>
    <w:rsid w:val="00D235E0"/>
    <w:rsid w:val="00D237A5"/>
    <w:rsid w:val="00D27A4E"/>
    <w:rsid w:val="00D27E55"/>
    <w:rsid w:val="00D31B8F"/>
    <w:rsid w:val="00D328BC"/>
    <w:rsid w:val="00D337EB"/>
    <w:rsid w:val="00D34EA5"/>
    <w:rsid w:val="00D36DFF"/>
    <w:rsid w:val="00D371DB"/>
    <w:rsid w:val="00D401B4"/>
    <w:rsid w:val="00D410CC"/>
    <w:rsid w:val="00D4154A"/>
    <w:rsid w:val="00D439A1"/>
    <w:rsid w:val="00D44E2E"/>
    <w:rsid w:val="00D45AF0"/>
    <w:rsid w:val="00D4640B"/>
    <w:rsid w:val="00D47432"/>
    <w:rsid w:val="00D479DC"/>
    <w:rsid w:val="00D47ABC"/>
    <w:rsid w:val="00D52256"/>
    <w:rsid w:val="00D548DC"/>
    <w:rsid w:val="00D57420"/>
    <w:rsid w:val="00D6152B"/>
    <w:rsid w:val="00D61F2E"/>
    <w:rsid w:val="00D62C69"/>
    <w:rsid w:val="00D634DD"/>
    <w:rsid w:val="00D63B5A"/>
    <w:rsid w:val="00D67566"/>
    <w:rsid w:val="00D718C4"/>
    <w:rsid w:val="00D72996"/>
    <w:rsid w:val="00D77F24"/>
    <w:rsid w:val="00D80D98"/>
    <w:rsid w:val="00D826F6"/>
    <w:rsid w:val="00D82A14"/>
    <w:rsid w:val="00D8539E"/>
    <w:rsid w:val="00D857BD"/>
    <w:rsid w:val="00D85CCC"/>
    <w:rsid w:val="00D87EEC"/>
    <w:rsid w:val="00D9048B"/>
    <w:rsid w:val="00D918D0"/>
    <w:rsid w:val="00D91B91"/>
    <w:rsid w:val="00D93CEC"/>
    <w:rsid w:val="00D94428"/>
    <w:rsid w:val="00D9679C"/>
    <w:rsid w:val="00D9704A"/>
    <w:rsid w:val="00D974DB"/>
    <w:rsid w:val="00D9778C"/>
    <w:rsid w:val="00D97897"/>
    <w:rsid w:val="00DA0A77"/>
    <w:rsid w:val="00DA1BFF"/>
    <w:rsid w:val="00DA2137"/>
    <w:rsid w:val="00DA2A42"/>
    <w:rsid w:val="00DA33F5"/>
    <w:rsid w:val="00DA34D0"/>
    <w:rsid w:val="00DA5554"/>
    <w:rsid w:val="00DA678B"/>
    <w:rsid w:val="00DA7975"/>
    <w:rsid w:val="00DB15B0"/>
    <w:rsid w:val="00DB2686"/>
    <w:rsid w:val="00DB355D"/>
    <w:rsid w:val="00DB3BE6"/>
    <w:rsid w:val="00DB40C9"/>
    <w:rsid w:val="00DB4BC1"/>
    <w:rsid w:val="00DB5561"/>
    <w:rsid w:val="00DB6B68"/>
    <w:rsid w:val="00DB6DE0"/>
    <w:rsid w:val="00DB6E78"/>
    <w:rsid w:val="00DB71FD"/>
    <w:rsid w:val="00DB734B"/>
    <w:rsid w:val="00DB786B"/>
    <w:rsid w:val="00DB7C3B"/>
    <w:rsid w:val="00DC1AE5"/>
    <w:rsid w:val="00DC28C7"/>
    <w:rsid w:val="00DC2D21"/>
    <w:rsid w:val="00DC59AE"/>
    <w:rsid w:val="00DC60C0"/>
    <w:rsid w:val="00DC6D03"/>
    <w:rsid w:val="00DD0560"/>
    <w:rsid w:val="00DD1A6C"/>
    <w:rsid w:val="00DD238C"/>
    <w:rsid w:val="00DD2602"/>
    <w:rsid w:val="00DD276A"/>
    <w:rsid w:val="00DD3C01"/>
    <w:rsid w:val="00DD46F3"/>
    <w:rsid w:val="00DD5E54"/>
    <w:rsid w:val="00DD6C97"/>
    <w:rsid w:val="00DD6D29"/>
    <w:rsid w:val="00DE0D27"/>
    <w:rsid w:val="00DE1431"/>
    <w:rsid w:val="00DE15A9"/>
    <w:rsid w:val="00DE1DC1"/>
    <w:rsid w:val="00DE5E8B"/>
    <w:rsid w:val="00DE6EDC"/>
    <w:rsid w:val="00DF137D"/>
    <w:rsid w:val="00DF1B75"/>
    <w:rsid w:val="00DF26A2"/>
    <w:rsid w:val="00DF338E"/>
    <w:rsid w:val="00DF41D4"/>
    <w:rsid w:val="00E02068"/>
    <w:rsid w:val="00E02234"/>
    <w:rsid w:val="00E05F75"/>
    <w:rsid w:val="00E11062"/>
    <w:rsid w:val="00E11331"/>
    <w:rsid w:val="00E1309E"/>
    <w:rsid w:val="00E13326"/>
    <w:rsid w:val="00E1395C"/>
    <w:rsid w:val="00E14230"/>
    <w:rsid w:val="00E155FE"/>
    <w:rsid w:val="00E15AA5"/>
    <w:rsid w:val="00E1673D"/>
    <w:rsid w:val="00E16E8D"/>
    <w:rsid w:val="00E17903"/>
    <w:rsid w:val="00E22868"/>
    <w:rsid w:val="00E22E8F"/>
    <w:rsid w:val="00E23218"/>
    <w:rsid w:val="00E236E5"/>
    <w:rsid w:val="00E254DF"/>
    <w:rsid w:val="00E32193"/>
    <w:rsid w:val="00E344BA"/>
    <w:rsid w:val="00E346CB"/>
    <w:rsid w:val="00E35303"/>
    <w:rsid w:val="00E3670F"/>
    <w:rsid w:val="00E369C2"/>
    <w:rsid w:val="00E36D4C"/>
    <w:rsid w:val="00E373A8"/>
    <w:rsid w:val="00E375D1"/>
    <w:rsid w:val="00E41FC3"/>
    <w:rsid w:val="00E4612F"/>
    <w:rsid w:val="00E46515"/>
    <w:rsid w:val="00E51DF7"/>
    <w:rsid w:val="00E52555"/>
    <w:rsid w:val="00E54E65"/>
    <w:rsid w:val="00E55610"/>
    <w:rsid w:val="00E56A49"/>
    <w:rsid w:val="00E57C0C"/>
    <w:rsid w:val="00E620BC"/>
    <w:rsid w:val="00E628AA"/>
    <w:rsid w:val="00E63887"/>
    <w:rsid w:val="00E63DE4"/>
    <w:rsid w:val="00E641C9"/>
    <w:rsid w:val="00E64DE0"/>
    <w:rsid w:val="00E65530"/>
    <w:rsid w:val="00E65756"/>
    <w:rsid w:val="00E657D7"/>
    <w:rsid w:val="00E6626A"/>
    <w:rsid w:val="00E73EC7"/>
    <w:rsid w:val="00E74E1B"/>
    <w:rsid w:val="00E76272"/>
    <w:rsid w:val="00E773A8"/>
    <w:rsid w:val="00E807B3"/>
    <w:rsid w:val="00E814F8"/>
    <w:rsid w:val="00E816B6"/>
    <w:rsid w:val="00E82595"/>
    <w:rsid w:val="00E832E4"/>
    <w:rsid w:val="00E8433D"/>
    <w:rsid w:val="00E94451"/>
    <w:rsid w:val="00E94B4C"/>
    <w:rsid w:val="00E9617B"/>
    <w:rsid w:val="00E96866"/>
    <w:rsid w:val="00EA2032"/>
    <w:rsid w:val="00EA2143"/>
    <w:rsid w:val="00EA328C"/>
    <w:rsid w:val="00EA77B4"/>
    <w:rsid w:val="00EB0381"/>
    <w:rsid w:val="00EB21BB"/>
    <w:rsid w:val="00EB2986"/>
    <w:rsid w:val="00EB2F8E"/>
    <w:rsid w:val="00EB2FDD"/>
    <w:rsid w:val="00EB432A"/>
    <w:rsid w:val="00EB4755"/>
    <w:rsid w:val="00EB548D"/>
    <w:rsid w:val="00EC10D6"/>
    <w:rsid w:val="00EC176B"/>
    <w:rsid w:val="00EC2986"/>
    <w:rsid w:val="00EC4390"/>
    <w:rsid w:val="00EC6819"/>
    <w:rsid w:val="00EC74BA"/>
    <w:rsid w:val="00EC7EB8"/>
    <w:rsid w:val="00ED22F6"/>
    <w:rsid w:val="00ED3CE4"/>
    <w:rsid w:val="00ED505F"/>
    <w:rsid w:val="00ED6106"/>
    <w:rsid w:val="00ED7548"/>
    <w:rsid w:val="00EE193D"/>
    <w:rsid w:val="00EE300D"/>
    <w:rsid w:val="00EE40A0"/>
    <w:rsid w:val="00EE4347"/>
    <w:rsid w:val="00EE673F"/>
    <w:rsid w:val="00EF178B"/>
    <w:rsid w:val="00EF42E7"/>
    <w:rsid w:val="00EF6C9D"/>
    <w:rsid w:val="00F00F4A"/>
    <w:rsid w:val="00F03A9D"/>
    <w:rsid w:val="00F051A6"/>
    <w:rsid w:val="00F069C8"/>
    <w:rsid w:val="00F07144"/>
    <w:rsid w:val="00F1270D"/>
    <w:rsid w:val="00F12808"/>
    <w:rsid w:val="00F12FB0"/>
    <w:rsid w:val="00F13BC2"/>
    <w:rsid w:val="00F13D32"/>
    <w:rsid w:val="00F1588E"/>
    <w:rsid w:val="00F17623"/>
    <w:rsid w:val="00F17717"/>
    <w:rsid w:val="00F22A46"/>
    <w:rsid w:val="00F22C05"/>
    <w:rsid w:val="00F22E10"/>
    <w:rsid w:val="00F23824"/>
    <w:rsid w:val="00F2383C"/>
    <w:rsid w:val="00F2488D"/>
    <w:rsid w:val="00F265B9"/>
    <w:rsid w:val="00F311A4"/>
    <w:rsid w:val="00F34C00"/>
    <w:rsid w:val="00F3549A"/>
    <w:rsid w:val="00F36B45"/>
    <w:rsid w:val="00F3781B"/>
    <w:rsid w:val="00F41F93"/>
    <w:rsid w:val="00F42658"/>
    <w:rsid w:val="00F437FF"/>
    <w:rsid w:val="00F44092"/>
    <w:rsid w:val="00F44131"/>
    <w:rsid w:val="00F444A8"/>
    <w:rsid w:val="00F465BC"/>
    <w:rsid w:val="00F4735C"/>
    <w:rsid w:val="00F5050B"/>
    <w:rsid w:val="00F5371A"/>
    <w:rsid w:val="00F576CD"/>
    <w:rsid w:val="00F61518"/>
    <w:rsid w:val="00F64908"/>
    <w:rsid w:val="00F64EC0"/>
    <w:rsid w:val="00F65063"/>
    <w:rsid w:val="00F70977"/>
    <w:rsid w:val="00F72872"/>
    <w:rsid w:val="00F72B7C"/>
    <w:rsid w:val="00F730E4"/>
    <w:rsid w:val="00F7390A"/>
    <w:rsid w:val="00F75A91"/>
    <w:rsid w:val="00F775BF"/>
    <w:rsid w:val="00F81407"/>
    <w:rsid w:val="00F837F8"/>
    <w:rsid w:val="00F83E5B"/>
    <w:rsid w:val="00F8537C"/>
    <w:rsid w:val="00F918DB"/>
    <w:rsid w:val="00F92A83"/>
    <w:rsid w:val="00F93C37"/>
    <w:rsid w:val="00F941A4"/>
    <w:rsid w:val="00F96A83"/>
    <w:rsid w:val="00FA077E"/>
    <w:rsid w:val="00FA1418"/>
    <w:rsid w:val="00FA2FA6"/>
    <w:rsid w:val="00FA4615"/>
    <w:rsid w:val="00FA5971"/>
    <w:rsid w:val="00FB0A32"/>
    <w:rsid w:val="00FB161A"/>
    <w:rsid w:val="00FB17FE"/>
    <w:rsid w:val="00FB70CA"/>
    <w:rsid w:val="00FC007E"/>
    <w:rsid w:val="00FC72DE"/>
    <w:rsid w:val="00FD0E51"/>
    <w:rsid w:val="00FD2178"/>
    <w:rsid w:val="00FD2503"/>
    <w:rsid w:val="00FD3524"/>
    <w:rsid w:val="00FD3EB6"/>
    <w:rsid w:val="00FD55B8"/>
    <w:rsid w:val="00FD6605"/>
    <w:rsid w:val="00FD7B17"/>
    <w:rsid w:val="00FE1D6B"/>
    <w:rsid w:val="00FE21E8"/>
    <w:rsid w:val="00FE3990"/>
    <w:rsid w:val="00FE42A5"/>
    <w:rsid w:val="00FE5371"/>
    <w:rsid w:val="00FE73CF"/>
    <w:rsid w:val="00FF1151"/>
    <w:rsid w:val="00FF1478"/>
    <w:rsid w:val="00FF1D42"/>
    <w:rsid w:val="00FF330A"/>
    <w:rsid w:val="00FF5BDA"/>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7F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ParaNum"/>
    <w:qFormat/>
    <w:rsid w:val="00EA77B4"/>
    <w:pPr>
      <w:keepNext/>
      <w:widowControl w:val="0"/>
      <w:numPr>
        <w:numId w:val="2"/>
      </w:numPr>
      <w:tabs>
        <w:tab w:val="clear" w:pos="720"/>
        <w:tab w:val="left" w:pos="360"/>
      </w:tabs>
      <w:suppressAutoHyphens/>
      <w:spacing w:after="220"/>
      <w:ind w:left="360" w:hanging="360"/>
      <w:jc w:val="both"/>
      <w:outlineLvl w:val="0"/>
    </w:pPr>
    <w:rPr>
      <w:rFonts w:ascii="Times New Roman Bold" w:hAnsi="Times New Roman Bold"/>
      <w:b/>
      <w:caps/>
      <w:snapToGrid w:val="0"/>
      <w:kern w:val="28"/>
      <w:sz w:val="22"/>
    </w:rPr>
  </w:style>
  <w:style w:type="paragraph" w:styleId="Heading2">
    <w:name w:val="heading 2"/>
    <w:aliases w:val="Heading 2 Char"/>
    <w:basedOn w:val="Normal"/>
    <w:next w:val="ParaNum"/>
    <w:qFormat/>
    <w:rsid w:val="00EA77B4"/>
    <w:pPr>
      <w:keepNext/>
      <w:widowControl w:val="0"/>
      <w:numPr>
        <w:ilvl w:val="1"/>
        <w:numId w:val="2"/>
      </w:numPr>
      <w:tabs>
        <w:tab w:val="clear" w:pos="1440"/>
        <w:tab w:val="num" w:pos="720"/>
      </w:tabs>
      <w:spacing w:after="220"/>
      <w:ind w:left="720" w:hanging="360"/>
      <w:jc w:val="both"/>
      <w:outlineLvl w:val="1"/>
    </w:pPr>
    <w:rPr>
      <w:b/>
      <w:snapToGrid w:val="0"/>
      <w:kern w:val="28"/>
      <w:sz w:val="22"/>
    </w:rPr>
  </w:style>
  <w:style w:type="paragraph" w:styleId="Heading3">
    <w:name w:val="heading 3"/>
    <w:basedOn w:val="Normal"/>
    <w:next w:val="ParaNum"/>
    <w:qFormat/>
    <w:rsid w:val="00EA77B4"/>
    <w:pPr>
      <w:keepNext/>
      <w:widowControl w:val="0"/>
      <w:numPr>
        <w:ilvl w:val="2"/>
        <w:numId w:val="2"/>
      </w:numPr>
      <w:tabs>
        <w:tab w:val="clear" w:pos="2160"/>
        <w:tab w:val="left" w:pos="1080"/>
      </w:tabs>
      <w:spacing w:after="220"/>
      <w:ind w:left="1080" w:hanging="360"/>
      <w:jc w:val="both"/>
      <w:outlineLvl w:val="2"/>
    </w:pPr>
    <w:rPr>
      <w:b/>
      <w:snapToGrid w:val="0"/>
      <w:kern w:val="28"/>
      <w:sz w:val="22"/>
    </w:rPr>
  </w:style>
  <w:style w:type="paragraph" w:styleId="Heading4">
    <w:name w:val="heading 4"/>
    <w:aliases w:val="Heading 4 Char"/>
    <w:basedOn w:val="Normal"/>
    <w:next w:val="ParaNum"/>
    <w:qFormat/>
    <w:rsid w:val="00EA77B4"/>
    <w:pPr>
      <w:keepNext/>
      <w:widowControl w:val="0"/>
      <w:numPr>
        <w:ilvl w:val="3"/>
        <w:numId w:val="2"/>
      </w:numPr>
      <w:tabs>
        <w:tab w:val="clear" w:pos="2880"/>
        <w:tab w:val="left" w:pos="1440"/>
      </w:tabs>
      <w:spacing w:after="220"/>
      <w:ind w:left="1440" w:hanging="360"/>
      <w:jc w:val="both"/>
      <w:outlineLvl w:val="3"/>
    </w:pPr>
    <w:rPr>
      <w:b/>
      <w:snapToGrid w:val="0"/>
      <w:kern w:val="28"/>
      <w:sz w:val="22"/>
    </w:rPr>
  </w:style>
  <w:style w:type="paragraph" w:styleId="Heading5">
    <w:name w:val="heading 5"/>
    <w:basedOn w:val="Normal"/>
    <w:next w:val="ParaNum"/>
    <w:qFormat/>
    <w:rsid w:val="00EA77B4"/>
    <w:pPr>
      <w:keepNext/>
      <w:widowControl w:val="0"/>
      <w:numPr>
        <w:ilvl w:val="4"/>
        <w:numId w:val="2"/>
      </w:numPr>
      <w:tabs>
        <w:tab w:val="clear" w:pos="3600"/>
        <w:tab w:val="left" w:pos="1800"/>
      </w:tabs>
      <w:suppressAutoHyphens/>
      <w:spacing w:after="220"/>
      <w:ind w:left="1800" w:hanging="360"/>
      <w:jc w:val="both"/>
      <w:outlineLvl w:val="4"/>
    </w:pPr>
    <w:rPr>
      <w:b/>
      <w:snapToGrid w:val="0"/>
      <w:kern w:val="28"/>
      <w:sz w:val="22"/>
    </w:rPr>
  </w:style>
  <w:style w:type="paragraph" w:styleId="Heading6">
    <w:name w:val="heading 6"/>
    <w:basedOn w:val="Normal"/>
    <w:next w:val="ParaNum"/>
    <w:qFormat/>
    <w:rsid w:val="00EA77B4"/>
    <w:pPr>
      <w:widowControl w:val="0"/>
      <w:numPr>
        <w:ilvl w:val="5"/>
        <w:numId w:val="2"/>
      </w:numPr>
      <w:tabs>
        <w:tab w:val="clear" w:pos="4320"/>
        <w:tab w:val="left" w:pos="2160"/>
      </w:tabs>
      <w:spacing w:after="220"/>
      <w:ind w:left="2160" w:hanging="360"/>
      <w:jc w:val="both"/>
      <w:outlineLvl w:val="5"/>
    </w:pPr>
    <w:rPr>
      <w:b/>
      <w:snapToGrid w:val="0"/>
      <w:kern w:val="28"/>
      <w:sz w:val="22"/>
    </w:rPr>
  </w:style>
  <w:style w:type="paragraph" w:styleId="Heading7">
    <w:name w:val="heading 7"/>
    <w:basedOn w:val="Normal"/>
    <w:next w:val="ParaNum"/>
    <w:qFormat/>
    <w:rsid w:val="00EA77B4"/>
    <w:pPr>
      <w:widowControl w:val="0"/>
      <w:numPr>
        <w:ilvl w:val="6"/>
        <w:numId w:val="2"/>
      </w:numPr>
      <w:tabs>
        <w:tab w:val="clear" w:pos="5040"/>
        <w:tab w:val="left" w:pos="2520"/>
      </w:tabs>
      <w:spacing w:after="240"/>
      <w:ind w:left="2520" w:hanging="360"/>
      <w:jc w:val="both"/>
      <w:outlineLvl w:val="6"/>
    </w:pPr>
    <w:rPr>
      <w:b/>
      <w:snapToGrid w:val="0"/>
      <w:kern w:val="28"/>
      <w:sz w:val="22"/>
    </w:rPr>
  </w:style>
  <w:style w:type="paragraph" w:styleId="Heading8">
    <w:name w:val="heading 8"/>
    <w:basedOn w:val="Normal"/>
    <w:next w:val="ParaNum"/>
    <w:qFormat/>
    <w:rsid w:val="00EA77B4"/>
    <w:pPr>
      <w:widowControl w:val="0"/>
      <w:numPr>
        <w:ilvl w:val="7"/>
        <w:numId w:val="2"/>
      </w:numPr>
      <w:tabs>
        <w:tab w:val="clear" w:pos="5400"/>
        <w:tab w:val="left" w:pos="2880"/>
      </w:tabs>
      <w:spacing w:after="240"/>
      <w:ind w:left="2880" w:hanging="360"/>
      <w:jc w:val="both"/>
      <w:outlineLvl w:val="7"/>
    </w:pPr>
    <w:rPr>
      <w:b/>
      <w:snapToGrid w:val="0"/>
      <w:kern w:val="28"/>
      <w:sz w:val="22"/>
    </w:rPr>
  </w:style>
  <w:style w:type="paragraph" w:styleId="Heading9">
    <w:name w:val="heading 9"/>
    <w:basedOn w:val="Normal"/>
    <w:next w:val="ParaNum"/>
    <w:qFormat/>
    <w:rsid w:val="00EA77B4"/>
    <w:pPr>
      <w:widowControl w:val="0"/>
      <w:numPr>
        <w:ilvl w:val="8"/>
        <w:numId w:val="2"/>
      </w:numPr>
      <w:tabs>
        <w:tab w:val="clear" w:pos="6120"/>
        <w:tab w:val="left" w:pos="3240"/>
      </w:tabs>
      <w:spacing w:after="240"/>
      <w:ind w:left="3240" w:hanging="36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1 Char Char,Footnote Text Char Char Char Char,Footnote Text Char1 Char Char Char Char,Footnote Text Char Char Char Char Char Char,Footnote Text Char2,Footnote Text Char1 Char,fn"/>
    <w:basedOn w:val="Normal"/>
    <w:link w:val="FootnoteTextChar1"/>
    <w:rPr>
      <w:sz w:val="20"/>
    </w:rPr>
  </w:style>
  <w:style w:type="character" w:styleId="FootnoteReference">
    <w:name w:val="footnote reference"/>
    <w:aliases w:val="Style 12,(NECG) Footnote Reference,Appel note de bas de p,Style 124,o,fr,Style 3,Style 13,FR,Style 17,Style 6,Footnote Reference/"/>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rsid w:val="00EA77B4"/>
    <w:pPr>
      <w:widowControl w:val="0"/>
      <w:numPr>
        <w:numId w:val="1"/>
      </w:numPr>
      <w:spacing w:after="220"/>
      <w:jc w:val="both"/>
    </w:pPr>
    <w:rPr>
      <w:snapToGrid w:val="0"/>
      <w:kern w:val="28"/>
      <w:sz w:val="22"/>
    </w:rPr>
  </w:style>
  <w:style w:type="character" w:customStyle="1" w:styleId="FootnoteTextChar1">
    <w:name w:val="Footnote Text Char1"/>
    <w:aliases w:val="Footnote Text Char Char,Footnote Text Char2 Char Char,Footnote Text Char1 Char Char Char,Footnote Text Char Char Char Char Char,Footnote Text Char1 Char Char Char Char Char,Footnote Text Char Char Char Char Char Char Char,fn Char"/>
    <w:link w:val="FootnoteText"/>
    <w:rsid w:val="00EA77B4"/>
    <w:rPr>
      <w:lang w:val="en-US" w:eastAsia="en-US" w:bidi="ar-SA"/>
    </w:rPr>
  </w:style>
  <w:style w:type="character" w:customStyle="1" w:styleId="ParaNumChar">
    <w:name w:val="ParaNum Char"/>
    <w:link w:val="ParaNum"/>
    <w:rsid w:val="00ED3CE4"/>
    <w:rPr>
      <w:snapToGrid w:val="0"/>
      <w:kern w:val="28"/>
      <w:sz w:val="22"/>
      <w:lang w:val="en-US" w:eastAsia="en-US" w:bidi="ar-SA"/>
    </w:rPr>
  </w:style>
  <w:style w:type="character" w:customStyle="1" w:styleId="FootnoteTextChar1Char1">
    <w:name w:val="Footnote Text Char1 Char1"/>
    <w:aliases w:val="Footnote Text Char Char Char1,Footnote Text Char5 Char Char Char,Footnote Text Char2 Char4 Char Char Char2,Footnote Text Char5 Char Char Char Char Char1,Footnote Text Char3 Char1 Char2 Char Char Char Char1"/>
    <w:rsid w:val="00D1423F"/>
    <w:rPr>
      <w:lang w:val="en-US" w:eastAsia="en-US" w:bidi="ar-SA"/>
    </w:rPr>
  </w:style>
  <w:style w:type="character" w:customStyle="1" w:styleId="ParaNumChar1">
    <w:name w:val="ParaNum Char1"/>
    <w:locked/>
    <w:rsid w:val="00447D05"/>
    <w:rPr>
      <w:rFonts w:ascii="Times New Roman" w:hAnsi="Times New Roman" w:cs="Times New Roman"/>
      <w:sz w:val="24"/>
      <w:szCs w:val="24"/>
    </w:rPr>
  </w:style>
  <w:style w:type="character" w:styleId="CommentReference">
    <w:name w:val="annotation reference"/>
    <w:semiHidden/>
    <w:rsid w:val="0033427C"/>
    <w:rPr>
      <w:sz w:val="16"/>
      <w:szCs w:val="16"/>
    </w:rPr>
  </w:style>
  <w:style w:type="paragraph" w:styleId="CommentText">
    <w:name w:val="annotation text"/>
    <w:basedOn w:val="Normal"/>
    <w:semiHidden/>
    <w:rsid w:val="0033427C"/>
    <w:rPr>
      <w:sz w:val="20"/>
    </w:rPr>
  </w:style>
  <w:style w:type="paragraph" w:styleId="CommentSubject">
    <w:name w:val="annotation subject"/>
    <w:basedOn w:val="CommentText"/>
    <w:next w:val="CommentText"/>
    <w:semiHidden/>
    <w:rsid w:val="0033427C"/>
    <w:rPr>
      <w:b/>
      <w:bCs/>
    </w:rPr>
  </w:style>
  <w:style w:type="character" w:customStyle="1" w:styleId="FootnoteTextChar3Char">
    <w:name w:val="Footnote Text Char3 Char"/>
    <w:aliases w:val="Footnote Text Char2 Char1 Char,Footnote Text Char Char Char2 Char,Footnote Text Char1 Char2 Char Char1 Char,Footnote Text Char Char Char2 Char Char Char,Footnote Text Char1 Char2 Char Char1 Char Char Char"/>
    <w:semiHidden/>
    <w:locked/>
    <w:rsid w:val="001B02AA"/>
    <w:rPr>
      <w:lang w:val="en-US" w:eastAsia="en-US" w:bidi="ar-SA"/>
    </w:rPr>
  </w:style>
  <w:style w:type="character" w:customStyle="1" w:styleId="ParaNumCharChar">
    <w:name w:val="ParaNum Char Char"/>
    <w:rsid w:val="000C54B4"/>
    <w:rPr>
      <w:snapToGrid w:val="0"/>
      <w:kern w:val="28"/>
      <w:sz w:val="22"/>
      <w:lang w:val="en-US" w:eastAsia="en-US" w:bidi="ar-SA"/>
    </w:rPr>
  </w:style>
  <w:style w:type="paragraph" w:styleId="Revision">
    <w:name w:val="Revision"/>
    <w:hidden/>
    <w:uiPriority w:val="99"/>
    <w:semiHidden/>
    <w:rsid w:val="00073648"/>
    <w:rPr>
      <w:sz w:val="24"/>
    </w:rPr>
  </w:style>
  <w:style w:type="character" w:styleId="Hyperlink">
    <w:name w:val="Hyperlink"/>
    <w:rsid w:val="00D72996"/>
    <w:rPr>
      <w:color w:val="0000FF"/>
      <w:u w:val="single"/>
    </w:rPr>
  </w:style>
  <w:style w:type="paragraph" w:styleId="ListParagraph">
    <w:name w:val="List Paragraph"/>
    <w:basedOn w:val="Normal"/>
    <w:uiPriority w:val="34"/>
    <w:qFormat/>
    <w:rsid w:val="002D5E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ParaNum"/>
    <w:qFormat/>
    <w:rsid w:val="00EA77B4"/>
    <w:pPr>
      <w:keepNext/>
      <w:widowControl w:val="0"/>
      <w:numPr>
        <w:numId w:val="2"/>
      </w:numPr>
      <w:tabs>
        <w:tab w:val="clear" w:pos="720"/>
        <w:tab w:val="left" w:pos="360"/>
      </w:tabs>
      <w:suppressAutoHyphens/>
      <w:spacing w:after="220"/>
      <w:ind w:left="360" w:hanging="360"/>
      <w:jc w:val="both"/>
      <w:outlineLvl w:val="0"/>
    </w:pPr>
    <w:rPr>
      <w:rFonts w:ascii="Times New Roman Bold" w:hAnsi="Times New Roman Bold"/>
      <w:b/>
      <w:caps/>
      <w:snapToGrid w:val="0"/>
      <w:kern w:val="28"/>
      <w:sz w:val="22"/>
    </w:rPr>
  </w:style>
  <w:style w:type="paragraph" w:styleId="Heading2">
    <w:name w:val="heading 2"/>
    <w:aliases w:val="Heading 2 Char"/>
    <w:basedOn w:val="Normal"/>
    <w:next w:val="ParaNum"/>
    <w:qFormat/>
    <w:rsid w:val="00EA77B4"/>
    <w:pPr>
      <w:keepNext/>
      <w:widowControl w:val="0"/>
      <w:numPr>
        <w:ilvl w:val="1"/>
        <w:numId w:val="2"/>
      </w:numPr>
      <w:tabs>
        <w:tab w:val="clear" w:pos="1440"/>
        <w:tab w:val="num" w:pos="720"/>
      </w:tabs>
      <w:spacing w:after="220"/>
      <w:ind w:left="720" w:hanging="360"/>
      <w:jc w:val="both"/>
      <w:outlineLvl w:val="1"/>
    </w:pPr>
    <w:rPr>
      <w:b/>
      <w:snapToGrid w:val="0"/>
      <w:kern w:val="28"/>
      <w:sz w:val="22"/>
    </w:rPr>
  </w:style>
  <w:style w:type="paragraph" w:styleId="Heading3">
    <w:name w:val="heading 3"/>
    <w:basedOn w:val="Normal"/>
    <w:next w:val="ParaNum"/>
    <w:qFormat/>
    <w:rsid w:val="00EA77B4"/>
    <w:pPr>
      <w:keepNext/>
      <w:widowControl w:val="0"/>
      <w:numPr>
        <w:ilvl w:val="2"/>
        <w:numId w:val="2"/>
      </w:numPr>
      <w:tabs>
        <w:tab w:val="clear" w:pos="2160"/>
        <w:tab w:val="left" w:pos="1080"/>
      </w:tabs>
      <w:spacing w:after="220"/>
      <w:ind w:left="1080" w:hanging="360"/>
      <w:jc w:val="both"/>
      <w:outlineLvl w:val="2"/>
    </w:pPr>
    <w:rPr>
      <w:b/>
      <w:snapToGrid w:val="0"/>
      <w:kern w:val="28"/>
      <w:sz w:val="22"/>
    </w:rPr>
  </w:style>
  <w:style w:type="paragraph" w:styleId="Heading4">
    <w:name w:val="heading 4"/>
    <w:aliases w:val="Heading 4 Char"/>
    <w:basedOn w:val="Normal"/>
    <w:next w:val="ParaNum"/>
    <w:qFormat/>
    <w:rsid w:val="00EA77B4"/>
    <w:pPr>
      <w:keepNext/>
      <w:widowControl w:val="0"/>
      <w:numPr>
        <w:ilvl w:val="3"/>
        <w:numId w:val="2"/>
      </w:numPr>
      <w:tabs>
        <w:tab w:val="clear" w:pos="2880"/>
        <w:tab w:val="left" w:pos="1440"/>
      </w:tabs>
      <w:spacing w:after="220"/>
      <w:ind w:left="1440" w:hanging="360"/>
      <w:jc w:val="both"/>
      <w:outlineLvl w:val="3"/>
    </w:pPr>
    <w:rPr>
      <w:b/>
      <w:snapToGrid w:val="0"/>
      <w:kern w:val="28"/>
      <w:sz w:val="22"/>
    </w:rPr>
  </w:style>
  <w:style w:type="paragraph" w:styleId="Heading5">
    <w:name w:val="heading 5"/>
    <w:basedOn w:val="Normal"/>
    <w:next w:val="ParaNum"/>
    <w:qFormat/>
    <w:rsid w:val="00EA77B4"/>
    <w:pPr>
      <w:keepNext/>
      <w:widowControl w:val="0"/>
      <w:numPr>
        <w:ilvl w:val="4"/>
        <w:numId w:val="2"/>
      </w:numPr>
      <w:tabs>
        <w:tab w:val="clear" w:pos="3600"/>
        <w:tab w:val="left" w:pos="1800"/>
      </w:tabs>
      <w:suppressAutoHyphens/>
      <w:spacing w:after="220"/>
      <w:ind w:left="1800" w:hanging="360"/>
      <w:jc w:val="both"/>
      <w:outlineLvl w:val="4"/>
    </w:pPr>
    <w:rPr>
      <w:b/>
      <w:snapToGrid w:val="0"/>
      <w:kern w:val="28"/>
      <w:sz w:val="22"/>
    </w:rPr>
  </w:style>
  <w:style w:type="paragraph" w:styleId="Heading6">
    <w:name w:val="heading 6"/>
    <w:basedOn w:val="Normal"/>
    <w:next w:val="ParaNum"/>
    <w:qFormat/>
    <w:rsid w:val="00EA77B4"/>
    <w:pPr>
      <w:widowControl w:val="0"/>
      <w:numPr>
        <w:ilvl w:val="5"/>
        <w:numId w:val="2"/>
      </w:numPr>
      <w:tabs>
        <w:tab w:val="clear" w:pos="4320"/>
        <w:tab w:val="left" w:pos="2160"/>
      </w:tabs>
      <w:spacing w:after="220"/>
      <w:ind w:left="2160" w:hanging="360"/>
      <w:jc w:val="both"/>
      <w:outlineLvl w:val="5"/>
    </w:pPr>
    <w:rPr>
      <w:b/>
      <w:snapToGrid w:val="0"/>
      <w:kern w:val="28"/>
      <w:sz w:val="22"/>
    </w:rPr>
  </w:style>
  <w:style w:type="paragraph" w:styleId="Heading7">
    <w:name w:val="heading 7"/>
    <w:basedOn w:val="Normal"/>
    <w:next w:val="ParaNum"/>
    <w:qFormat/>
    <w:rsid w:val="00EA77B4"/>
    <w:pPr>
      <w:widowControl w:val="0"/>
      <w:numPr>
        <w:ilvl w:val="6"/>
        <w:numId w:val="2"/>
      </w:numPr>
      <w:tabs>
        <w:tab w:val="clear" w:pos="5040"/>
        <w:tab w:val="left" w:pos="2520"/>
      </w:tabs>
      <w:spacing w:after="240"/>
      <w:ind w:left="2520" w:hanging="360"/>
      <w:jc w:val="both"/>
      <w:outlineLvl w:val="6"/>
    </w:pPr>
    <w:rPr>
      <w:b/>
      <w:snapToGrid w:val="0"/>
      <w:kern w:val="28"/>
      <w:sz w:val="22"/>
    </w:rPr>
  </w:style>
  <w:style w:type="paragraph" w:styleId="Heading8">
    <w:name w:val="heading 8"/>
    <w:basedOn w:val="Normal"/>
    <w:next w:val="ParaNum"/>
    <w:qFormat/>
    <w:rsid w:val="00EA77B4"/>
    <w:pPr>
      <w:widowControl w:val="0"/>
      <w:numPr>
        <w:ilvl w:val="7"/>
        <w:numId w:val="2"/>
      </w:numPr>
      <w:tabs>
        <w:tab w:val="clear" w:pos="5400"/>
        <w:tab w:val="left" w:pos="2880"/>
      </w:tabs>
      <w:spacing w:after="240"/>
      <w:ind w:left="2880" w:hanging="360"/>
      <w:jc w:val="both"/>
      <w:outlineLvl w:val="7"/>
    </w:pPr>
    <w:rPr>
      <w:b/>
      <w:snapToGrid w:val="0"/>
      <w:kern w:val="28"/>
      <w:sz w:val="22"/>
    </w:rPr>
  </w:style>
  <w:style w:type="paragraph" w:styleId="Heading9">
    <w:name w:val="heading 9"/>
    <w:basedOn w:val="Normal"/>
    <w:next w:val="ParaNum"/>
    <w:qFormat/>
    <w:rsid w:val="00EA77B4"/>
    <w:pPr>
      <w:widowControl w:val="0"/>
      <w:numPr>
        <w:ilvl w:val="8"/>
        <w:numId w:val="2"/>
      </w:numPr>
      <w:tabs>
        <w:tab w:val="clear" w:pos="6120"/>
        <w:tab w:val="left" w:pos="3240"/>
      </w:tabs>
      <w:spacing w:after="240"/>
      <w:ind w:left="3240" w:hanging="36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1 Char Char,Footnote Text Char Char Char Char,Footnote Text Char1 Char Char Char Char,Footnote Text Char Char Char Char Char Char,Footnote Text Char2,Footnote Text Char1 Char,fn"/>
    <w:basedOn w:val="Normal"/>
    <w:link w:val="FootnoteTextChar1"/>
    <w:rPr>
      <w:sz w:val="20"/>
    </w:rPr>
  </w:style>
  <w:style w:type="character" w:styleId="FootnoteReference">
    <w:name w:val="footnote reference"/>
    <w:aliases w:val="Style 12,(NECG) Footnote Reference,Appel note de bas de p,Style 124,o,fr,Style 3,Style 13,FR,Style 17,Style 6,Footnote Reference/"/>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rsid w:val="00EA77B4"/>
    <w:pPr>
      <w:widowControl w:val="0"/>
      <w:numPr>
        <w:numId w:val="1"/>
      </w:numPr>
      <w:spacing w:after="220"/>
      <w:jc w:val="both"/>
    </w:pPr>
    <w:rPr>
      <w:snapToGrid w:val="0"/>
      <w:kern w:val="28"/>
      <w:sz w:val="22"/>
    </w:rPr>
  </w:style>
  <w:style w:type="character" w:customStyle="1" w:styleId="FootnoteTextChar1">
    <w:name w:val="Footnote Text Char1"/>
    <w:aliases w:val="Footnote Text Char Char,Footnote Text Char2 Char Char,Footnote Text Char1 Char Char Char,Footnote Text Char Char Char Char Char,Footnote Text Char1 Char Char Char Char Char,Footnote Text Char Char Char Char Char Char Char,fn Char"/>
    <w:link w:val="FootnoteText"/>
    <w:rsid w:val="00EA77B4"/>
    <w:rPr>
      <w:lang w:val="en-US" w:eastAsia="en-US" w:bidi="ar-SA"/>
    </w:rPr>
  </w:style>
  <w:style w:type="character" w:customStyle="1" w:styleId="ParaNumChar">
    <w:name w:val="ParaNum Char"/>
    <w:link w:val="ParaNum"/>
    <w:rsid w:val="00ED3CE4"/>
    <w:rPr>
      <w:snapToGrid w:val="0"/>
      <w:kern w:val="28"/>
      <w:sz w:val="22"/>
      <w:lang w:val="en-US" w:eastAsia="en-US" w:bidi="ar-SA"/>
    </w:rPr>
  </w:style>
  <w:style w:type="character" w:customStyle="1" w:styleId="FootnoteTextChar1Char1">
    <w:name w:val="Footnote Text Char1 Char1"/>
    <w:aliases w:val="Footnote Text Char Char Char1,Footnote Text Char5 Char Char Char,Footnote Text Char2 Char4 Char Char Char2,Footnote Text Char5 Char Char Char Char Char1,Footnote Text Char3 Char1 Char2 Char Char Char Char1"/>
    <w:rsid w:val="00D1423F"/>
    <w:rPr>
      <w:lang w:val="en-US" w:eastAsia="en-US" w:bidi="ar-SA"/>
    </w:rPr>
  </w:style>
  <w:style w:type="character" w:customStyle="1" w:styleId="ParaNumChar1">
    <w:name w:val="ParaNum Char1"/>
    <w:locked/>
    <w:rsid w:val="00447D05"/>
    <w:rPr>
      <w:rFonts w:ascii="Times New Roman" w:hAnsi="Times New Roman" w:cs="Times New Roman"/>
      <w:sz w:val="24"/>
      <w:szCs w:val="24"/>
    </w:rPr>
  </w:style>
  <w:style w:type="character" w:styleId="CommentReference">
    <w:name w:val="annotation reference"/>
    <w:semiHidden/>
    <w:rsid w:val="0033427C"/>
    <w:rPr>
      <w:sz w:val="16"/>
      <w:szCs w:val="16"/>
    </w:rPr>
  </w:style>
  <w:style w:type="paragraph" w:styleId="CommentText">
    <w:name w:val="annotation text"/>
    <w:basedOn w:val="Normal"/>
    <w:semiHidden/>
    <w:rsid w:val="0033427C"/>
    <w:rPr>
      <w:sz w:val="20"/>
    </w:rPr>
  </w:style>
  <w:style w:type="paragraph" w:styleId="CommentSubject">
    <w:name w:val="annotation subject"/>
    <w:basedOn w:val="CommentText"/>
    <w:next w:val="CommentText"/>
    <w:semiHidden/>
    <w:rsid w:val="0033427C"/>
    <w:rPr>
      <w:b/>
      <w:bCs/>
    </w:rPr>
  </w:style>
  <w:style w:type="character" w:customStyle="1" w:styleId="FootnoteTextChar3Char">
    <w:name w:val="Footnote Text Char3 Char"/>
    <w:aliases w:val="Footnote Text Char2 Char1 Char,Footnote Text Char Char Char2 Char,Footnote Text Char1 Char2 Char Char1 Char,Footnote Text Char Char Char2 Char Char Char,Footnote Text Char1 Char2 Char Char1 Char Char Char"/>
    <w:semiHidden/>
    <w:locked/>
    <w:rsid w:val="001B02AA"/>
    <w:rPr>
      <w:lang w:val="en-US" w:eastAsia="en-US" w:bidi="ar-SA"/>
    </w:rPr>
  </w:style>
  <w:style w:type="character" w:customStyle="1" w:styleId="ParaNumCharChar">
    <w:name w:val="ParaNum Char Char"/>
    <w:rsid w:val="000C54B4"/>
    <w:rPr>
      <w:snapToGrid w:val="0"/>
      <w:kern w:val="28"/>
      <w:sz w:val="22"/>
      <w:lang w:val="en-US" w:eastAsia="en-US" w:bidi="ar-SA"/>
    </w:rPr>
  </w:style>
  <w:style w:type="paragraph" w:styleId="Revision">
    <w:name w:val="Revision"/>
    <w:hidden/>
    <w:uiPriority w:val="99"/>
    <w:semiHidden/>
    <w:rsid w:val="00073648"/>
    <w:rPr>
      <w:sz w:val="24"/>
    </w:rPr>
  </w:style>
  <w:style w:type="character" w:styleId="Hyperlink">
    <w:name w:val="Hyperlink"/>
    <w:rsid w:val="00D72996"/>
    <w:rPr>
      <w:color w:val="0000FF"/>
      <w:u w:val="single"/>
    </w:rPr>
  </w:style>
  <w:style w:type="paragraph" w:styleId="ListParagraph">
    <w:name w:val="List Paragraph"/>
    <w:basedOn w:val="Normal"/>
    <w:uiPriority w:val="34"/>
    <w:qFormat/>
    <w:rsid w:val="002D5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BDA8-343C-47C2-9AAF-8B29451E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cp:lastModifiedBy>SYSTEM</cp:lastModifiedBy>
  <cp:revision>2</cp:revision>
  <cp:lastPrinted>2017-04-18T22:09:00Z</cp:lastPrinted>
  <dcterms:created xsi:type="dcterms:W3CDTF">2017-07-18T12:48:00Z</dcterms:created>
  <dcterms:modified xsi:type="dcterms:W3CDTF">2017-07-18T12:48:00Z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