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407" w:rsidRDefault="00224407" w:rsidP="00224407">
      <w:pPr>
        <w:suppressAutoHyphens/>
        <w:rPr>
          <w:sz w:val="24"/>
          <w:szCs w:val="24"/>
        </w:rPr>
      </w:pPr>
      <w:bookmarkStart w:id="0" w:name="_GoBack"/>
      <w:bookmarkEnd w:id="0"/>
    </w:p>
    <w:p w:rsidR="00224407" w:rsidRPr="003B2AD2" w:rsidRDefault="00224407" w:rsidP="00224407">
      <w:pPr>
        <w:suppressAutoHyphens/>
        <w:rPr>
          <w:sz w:val="24"/>
          <w:szCs w:val="24"/>
        </w:rPr>
      </w:pPr>
      <w:r w:rsidRPr="003B2AD2">
        <w:rPr>
          <w:sz w:val="24"/>
          <w:szCs w:val="24"/>
        </w:rPr>
        <w:t>SUPPORTING STATEMENT FOR NEW AND REVISED INFORMATION COLLECTIONS</w:t>
      </w:r>
    </w:p>
    <w:p w:rsidR="00224407" w:rsidRPr="003B2AD2" w:rsidRDefault="00224407" w:rsidP="00224407">
      <w:pPr>
        <w:suppressAutoHyphens/>
        <w:rPr>
          <w:sz w:val="24"/>
          <w:szCs w:val="24"/>
        </w:rPr>
      </w:pPr>
    </w:p>
    <w:p w:rsidR="00224407" w:rsidRDefault="00224407" w:rsidP="00224407">
      <w:pPr>
        <w:tabs>
          <w:tab w:val="center" w:pos="4680"/>
        </w:tabs>
        <w:suppressAutoHyphens/>
        <w:outlineLvl w:val="0"/>
        <w:rPr>
          <w:sz w:val="24"/>
          <w:szCs w:val="24"/>
        </w:rPr>
      </w:pPr>
      <w:r w:rsidRPr="003B2AD2">
        <w:rPr>
          <w:sz w:val="24"/>
          <w:szCs w:val="24"/>
        </w:rPr>
        <w:tab/>
        <w:t xml:space="preserve">OMB CONTROL NUMBER </w:t>
      </w:r>
      <w:r>
        <w:rPr>
          <w:sz w:val="24"/>
          <w:szCs w:val="24"/>
        </w:rPr>
        <w:t>3038-0081</w:t>
      </w:r>
    </w:p>
    <w:p w:rsidR="00224407" w:rsidRDefault="00224407" w:rsidP="00224407">
      <w:pPr>
        <w:tabs>
          <w:tab w:val="center" w:pos="4680"/>
        </w:tabs>
        <w:suppressAutoHyphens/>
        <w:outlineLvl w:val="0"/>
        <w:rPr>
          <w:sz w:val="24"/>
          <w:szCs w:val="24"/>
        </w:rPr>
      </w:pPr>
    </w:p>
    <w:p w:rsidR="00224407" w:rsidRDefault="00224407" w:rsidP="00224407">
      <w:pPr>
        <w:tabs>
          <w:tab w:val="center" w:pos="4680"/>
        </w:tabs>
        <w:suppressAutoHyphens/>
        <w:outlineLvl w:val="0"/>
        <w:rPr>
          <w:sz w:val="24"/>
          <w:szCs w:val="24"/>
        </w:rPr>
      </w:pPr>
    </w:p>
    <w:p w:rsidR="00224407" w:rsidRDefault="00224407" w:rsidP="00224407">
      <w:pPr>
        <w:ind w:firstLine="720"/>
        <w:rPr>
          <w:sz w:val="24"/>
          <w:szCs w:val="24"/>
        </w:rPr>
      </w:pPr>
      <w:r>
        <w:rPr>
          <w:sz w:val="24"/>
          <w:szCs w:val="24"/>
        </w:rPr>
        <w:t xml:space="preserve">This supporting statement covers two separate </w:t>
      </w:r>
      <w:r w:rsidR="001D0298">
        <w:rPr>
          <w:sz w:val="24"/>
          <w:szCs w:val="24"/>
        </w:rPr>
        <w:t xml:space="preserve">information collections for two </w:t>
      </w:r>
      <w:r>
        <w:rPr>
          <w:sz w:val="24"/>
          <w:szCs w:val="24"/>
        </w:rPr>
        <w:t>final rulemakings: (</w:t>
      </w:r>
      <w:r w:rsidR="008441DB">
        <w:rPr>
          <w:sz w:val="24"/>
          <w:szCs w:val="24"/>
        </w:rPr>
        <w:t>a</w:t>
      </w:r>
      <w:r>
        <w:rPr>
          <w:sz w:val="24"/>
          <w:szCs w:val="24"/>
        </w:rPr>
        <w:t xml:space="preserve">) </w:t>
      </w:r>
      <w:r w:rsidRPr="000E3FC5">
        <w:rPr>
          <w:sz w:val="24"/>
          <w:szCs w:val="24"/>
        </w:rPr>
        <w:t>Derivatives Clearing Organization General Provisions and Core Principles</w:t>
      </w:r>
      <w:r>
        <w:rPr>
          <w:sz w:val="24"/>
          <w:szCs w:val="24"/>
        </w:rPr>
        <w:t xml:space="preserve"> and (</w:t>
      </w:r>
      <w:r w:rsidR="008441DB">
        <w:rPr>
          <w:sz w:val="24"/>
          <w:szCs w:val="24"/>
        </w:rPr>
        <w:t>b</w:t>
      </w:r>
      <w:r>
        <w:rPr>
          <w:sz w:val="24"/>
          <w:szCs w:val="24"/>
        </w:rPr>
        <w:t>) Derivatives Clearing Organizations and International Standards.</w:t>
      </w:r>
    </w:p>
    <w:p w:rsidR="00224407" w:rsidRPr="003B2AD2" w:rsidRDefault="00224407" w:rsidP="00224407">
      <w:pPr>
        <w:tabs>
          <w:tab w:val="center" w:pos="4680"/>
        </w:tabs>
        <w:suppressAutoHyphens/>
        <w:outlineLvl w:val="0"/>
        <w:rPr>
          <w:sz w:val="24"/>
          <w:szCs w:val="24"/>
        </w:rPr>
      </w:pPr>
      <w:r>
        <w:rPr>
          <w:sz w:val="24"/>
          <w:szCs w:val="24"/>
        </w:rPr>
        <w:tab/>
      </w:r>
    </w:p>
    <w:p w:rsidR="00224407" w:rsidRPr="003B2AD2" w:rsidRDefault="00224407" w:rsidP="00224407">
      <w:pPr>
        <w:tabs>
          <w:tab w:val="left" w:pos="-720"/>
        </w:tabs>
        <w:suppressAutoHyphens/>
        <w:outlineLvl w:val="0"/>
        <w:rPr>
          <w:sz w:val="24"/>
          <w:szCs w:val="24"/>
        </w:rPr>
      </w:pPr>
      <w:r w:rsidRPr="003B2AD2">
        <w:rPr>
          <w:sz w:val="24"/>
          <w:szCs w:val="24"/>
          <w:u w:val="single"/>
        </w:rPr>
        <w:t>Justification</w:t>
      </w:r>
    </w:p>
    <w:p w:rsidR="00224407" w:rsidRPr="003B2AD2" w:rsidRDefault="00224407" w:rsidP="00224407">
      <w:pPr>
        <w:tabs>
          <w:tab w:val="left" w:pos="-720"/>
        </w:tabs>
        <w:suppressAutoHyphens/>
        <w:rPr>
          <w:sz w:val="24"/>
          <w:szCs w:val="24"/>
        </w:rPr>
      </w:pPr>
    </w:p>
    <w:p w:rsidR="00224407" w:rsidRPr="003B2AD2" w:rsidRDefault="00224407" w:rsidP="00224407">
      <w:pPr>
        <w:tabs>
          <w:tab w:val="left" w:pos="-720"/>
          <w:tab w:val="left" w:pos="0"/>
        </w:tabs>
        <w:suppressAutoHyphens/>
        <w:ind w:left="720" w:hanging="720"/>
        <w:rPr>
          <w:sz w:val="24"/>
          <w:szCs w:val="24"/>
        </w:rPr>
      </w:pPr>
      <w:r w:rsidRPr="003B2AD2">
        <w:rPr>
          <w:sz w:val="24"/>
          <w:szCs w:val="24"/>
        </w:rPr>
        <w:t>1.</w:t>
      </w:r>
      <w:r w:rsidRPr="003B2AD2">
        <w:rPr>
          <w:sz w:val="24"/>
          <w:szCs w:val="24"/>
        </w:rPr>
        <w:tab/>
      </w:r>
      <w:r w:rsidRPr="003B2AD2">
        <w:rPr>
          <w:sz w:val="24"/>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3B2AD2">
        <w:rPr>
          <w:sz w:val="24"/>
          <w:szCs w:val="24"/>
        </w:rPr>
        <w:t>.</w:t>
      </w:r>
    </w:p>
    <w:p w:rsidR="00224407" w:rsidRPr="003B2AD2" w:rsidRDefault="00224407" w:rsidP="00224407">
      <w:pPr>
        <w:tabs>
          <w:tab w:val="left" w:pos="-720"/>
          <w:tab w:val="left" w:pos="0"/>
        </w:tabs>
        <w:suppressAutoHyphens/>
        <w:ind w:left="720" w:hanging="720"/>
        <w:rPr>
          <w:sz w:val="24"/>
          <w:szCs w:val="24"/>
        </w:rPr>
      </w:pPr>
    </w:p>
    <w:p w:rsidR="00224407" w:rsidRPr="00F31415" w:rsidRDefault="00224407" w:rsidP="00224407">
      <w:pPr>
        <w:numPr>
          <w:ilvl w:val="0"/>
          <w:numId w:val="1"/>
        </w:numPr>
        <w:tabs>
          <w:tab w:val="left" w:pos="-720"/>
          <w:tab w:val="left" w:pos="0"/>
        </w:tabs>
        <w:suppressAutoHyphens/>
        <w:rPr>
          <w:sz w:val="24"/>
          <w:szCs w:val="24"/>
        </w:rPr>
      </w:pPr>
      <w:r>
        <w:rPr>
          <w:bCs/>
          <w:sz w:val="24"/>
          <w:szCs w:val="24"/>
        </w:rPr>
        <w:t xml:space="preserve">Derivatives Clearing Organization General </w:t>
      </w:r>
      <w:r w:rsidR="008441DB">
        <w:rPr>
          <w:bCs/>
          <w:sz w:val="24"/>
          <w:szCs w:val="24"/>
        </w:rPr>
        <w:t>P</w:t>
      </w:r>
      <w:r>
        <w:rPr>
          <w:bCs/>
          <w:sz w:val="24"/>
          <w:szCs w:val="24"/>
        </w:rPr>
        <w:t xml:space="preserve">rovisions and Core Principles (the “DCO Final Rule”): </w:t>
      </w:r>
      <w:r w:rsidR="00337E4E" w:rsidRPr="0089052E">
        <w:rPr>
          <w:sz w:val="24"/>
          <w:szCs w:val="24"/>
        </w:rPr>
        <w:t>S</w:t>
      </w:r>
      <w:r w:rsidR="00337E4E" w:rsidRPr="00826013">
        <w:rPr>
          <w:sz w:val="24"/>
          <w:szCs w:val="24"/>
        </w:rPr>
        <w:t>ection 725(c) of the Dodd-Frank Act amended Section 5b(c)(2) of the C</w:t>
      </w:r>
      <w:r w:rsidR="00337E4E">
        <w:rPr>
          <w:sz w:val="24"/>
          <w:szCs w:val="24"/>
        </w:rPr>
        <w:t>EA to allow the Commission to establish regulatory standards for compliance with the derivative clearing organization (“DCO”) c</w:t>
      </w:r>
      <w:r w:rsidR="00337E4E" w:rsidRPr="00826013">
        <w:rPr>
          <w:sz w:val="24"/>
          <w:szCs w:val="24"/>
        </w:rPr>
        <w:t xml:space="preserve">ore </w:t>
      </w:r>
      <w:r w:rsidR="00337E4E">
        <w:rPr>
          <w:sz w:val="24"/>
          <w:szCs w:val="24"/>
        </w:rPr>
        <w:t>p</w:t>
      </w:r>
      <w:r w:rsidR="00337E4E" w:rsidRPr="00826013">
        <w:rPr>
          <w:sz w:val="24"/>
          <w:szCs w:val="24"/>
        </w:rPr>
        <w:t>rinciples</w:t>
      </w:r>
      <w:r w:rsidR="00337E4E">
        <w:rPr>
          <w:sz w:val="24"/>
          <w:szCs w:val="24"/>
        </w:rPr>
        <w:t xml:space="preserve">. Accordingly, the Commission adopted a final rule to set specific </w:t>
      </w:r>
      <w:r w:rsidR="00337E4E" w:rsidRPr="00826013">
        <w:rPr>
          <w:sz w:val="24"/>
          <w:szCs w:val="24"/>
        </w:rPr>
        <w:t>standards for compliance with DCO Core Principles</w:t>
      </w:r>
      <w:r w:rsidR="00337E4E">
        <w:rPr>
          <w:sz w:val="24"/>
          <w:szCs w:val="24"/>
        </w:rPr>
        <w:t>.</w:t>
      </w:r>
      <w:r w:rsidR="00337E4E" w:rsidRPr="00BB739C">
        <w:rPr>
          <w:sz w:val="24"/>
          <w:szCs w:val="24"/>
          <w:vertAlign w:val="superscript"/>
        </w:rPr>
        <w:footnoteReference w:id="1"/>
      </w:r>
      <w:r w:rsidR="00337E4E">
        <w:rPr>
          <w:sz w:val="24"/>
          <w:szCs w:val="24"/>
        </w:rPr>
        <w:t xml:space="preserve">  Additionally, s</w:t>
      </w:r>
      <w:r w:rsidRPr="00AE3BDE">
        <w:rPr>
          <w:bCs/>
          <w:sz w:val="24"/>
          <w:szCs w:val="24"/>
        </w:rPr>
        <w:t>ection 725(b) of the Dodd-Frank Act</w:t>
      </w:r>
      <w:r w:rsidR="00337E4E">
        <w:rPr>
          <w:bCs/>
          <w:sz w:val="24"/>
          <w:szCs w:val="24"/>
        </w:rPr>
        <w:t xml:space="preserve">, </w:t>
      </w:r>
      <w:r w:rsidR="00643A4B">
        <w:rPr>
          <w:bCs/>
          <w:sz w:val="24"/>
          <w:szCs w:val="24"/>
        </w:rPr>
        <w:t xml:space="preserve">which </w:t>
      </w:r>
      <w:r w:rsidR="00337E4E">
        <w:rPr>
          <w:bCs/>
          <w:sz w:val="24"/>
          <w:szCs w:val="24"/>
        </w:rPr>
        <w:t xml:space="preserve">also </w:t>
      </w:r>
      <w:r w:rsidRPr="00AE3BDE">
        <w:rPr>
          <w:bCs/>
          <w:sz w:val="24"/>
          <w:szCs w:val="24"/>
        </w:rPr>
        <w:t xml:space="preserve"> amended </w:t>
      </w:r>
      <w:r>
        <w:rPr>
          <w:bCs/>
          <w:sz w:val="24"/>
          <w:szCs w:val="24"/>
        </w:rPr>
        <w:t>s</w:t>
      </w:r>
      <w:r w:rsidRPr="00AE3BDE">
        <w:rPr>
          <w:bCs/>
          <w:sz w:val="24"/>
          <w:szCs w:val="24"/>
        </w:rPr>
        <w:t>ection 5b of the C</w:t>
      </w:r>
      <w:r>
        <w:rPr>
          <w:bCs/>
          <w:sz w:val="24"/>
          <w:szCs w:val="24"/>
        </w:rPr>
        <w:t>ommodity Exchange Act (“C</w:t>
      </w:r>
      <w:r w:rsidRPr="00AE3BDE">
        <w:rPr>
          <w:bCs/>
          <w:sz w:val="24"/>
          <w:szCs w:val="24"/>
        </w:rPr>
        <w:t>EA</w:t>
      </w:r>
      <w:r>
        <w:rPr>
          <w:bCs/>
          <w:sz w:val="24"/>
          <w:szCs w:val="24"/>
        </w:rPr>
        <w:t>”)</w:t>
      </w:r>
      <w:r w:rsidR="00337E4E">
        <w:rPr>
          <w:bCs/>
          <w:sz w:val="24"/>
          <w:szCs w:val="24"/>
        </w:rPr>
        <w:t>,</w:t>
      </w:r>
      <w:r>
        <w:rPr>
          <w:rStyle w:val="FootnoteReference"/>
          <w:bCs/>
          <w:sz w:val="24"/>
          <w:szCs w:val="24"/>
        </w:rPr>
        <w:footnoteReference w:id="2"/>
      </w:r>
      <w:r w:rsidRPr="00AE3BDE">
        <w:rPr>
          <w:bCs/>
          <w:sz w:val="24"/>
          <w:szCs w:val="24"/>
        </w:rPr>
        <w:t xml:space="preserve"> </w:t>
      </w:r>
      <w:r>
        <w:rPr>
          <w:bCs/>
          <w:sz w:val="24"/>
          <w:szCs w:val="24"/>
        </w:rPr>
        <w:t xml:space="preserve"> require</w:t>
      </w:r>
      <w:r w:rsidR="00337E4E">
        <w:rPr>
          <w:bCs/>
          <w:sz w:val="24"/>
          <w:szCs w:val="24"/>
        </w:rPr>
        <w:t>s</w:t>
      </w:r>
      <w:r>
        <w:rPr>
          <w:bCs/>
          <w:sz w:val="24"/>
          <w:szCs w:val="24"/>
        </w:rPr>
        <w:t xml:space="preserve"> a DCO </w:t>
      </w:r>
      <w:r w:rsidRPr="00AE3BDE">
        <w:rPr>
          <w:bCs/>
          <w:sz w:val="24"/>
          <w:szCs w:val="24"/>
        </w:rPr>
        <w:t xml:space="preserve">to designate an individual as a </w:t>
      </w:r>
      <w:r>
        <w:rPr>
          <w:bCs/>
          <w:sz w:val="24"/>
          <w:szCs w:val="24"/>
        </w:rPr>
        <w:t>chief compliance officer (“</w:t>
      </w:r>
      <w:r w:rsidRPr="00AE3BDE">
        <w:rPr>
          <w:bCs/>
          <w:sz w:val="24"/>
          <w:szCs w:val="24"/>
        </w:rPr>
        <w:t>CCO</w:t>
      </w:r>
      <w:r>
        <w:rPr>
          <w:bCs/>
          <w:sz w:val="24"/>
          <w:szCs w:val="24"/>
        </w:rPr>
        <w:t>”)</w:t>
      </w:r>
      <w:r w:rsidRPr="00AE3BDE">
        <w:rPr>
          <w:bCs/>
          <w:sz w:val="24"/>
          <w:szCs w:val="24"/>
        </w:rPr>
        <w:t xml:space="preserve"> who will be responsible for filing an annual report that describes the DCO’s compliance activities</w:t>
      </w:r>
      <w:r w:rsidRPr="00AE3BDE">
        <w:rPr>
          <w:sz w:val="24"/>
          <w:szCs w:val="24"/>
        </w:rPr>
        <w:t xml:space="preserve">.  Accordingly, the </w:t>
      </w:r>
      <w:r w:rsidRPr="00AC39ED">
        <w:rPr>
          <w:sz w:val="24"/>
          <w:szCs w:val="24"/>
        </w:rPr>
        <w:t xml:space="preserve">Commission </w:t>
      </w:r>
      <w:r>
        <w:rPr>
          <w:sz w:val="24"/>
          <w:szCs w:val="24"/>
        </w:rPr>
        <w:t xml:space="preserve">published </w:t>
      </w:r>
      <w:r w:rsidRPr="00AC39ED">
        <w:rPr>
          <w:sz w:val="24"/>
          <w:szCs w:val="24"/>
        </w:rPr>
        <w:t xml:space="preserve">regulations that would require the appointment of a CCO, the filing of an annual report and </w:t>
      </w:r>
      <w:r>
        <w:rPr>
          <w:sz w:val="24"/>
          <w:szCs w:val="24"/>
        </w:rPr>
        <w:t xml:space="preserve">adherence to </w:t>
      </w:r>
      <w:r w:rsidRPr="00AC39ED">
        <w:rPr>
          <w:sz w:val="24"/>
          <w:szCs w:val="24"/>
        </w:rPr>
        <w:t>certain recordkeeping requirements</w:t>
      </w:r>
      <w:r>
        <w:rPr>
          <w:sz w:val="24"/>
          <w:szCs w:val="24"/>
        </w:rPr>
        <w:t xml:space="preserve"> (“</w:t>
      </w:r>
      <w:r w:rsidR="008441DB">
        <w:rPr>
          <w:sz w:val="24"/>
          <w:szCs w:val="24"/>
        </w:rPr>
        <w:t>DCO Final Rule</w:t>
      </w:r>
      <w:r>
        <w:rPr>
          <w:sz w:val="24"/>
          <w:szCs w:val="24"/>
        </w:rPr>
        <w:t>)</w:t>
      </w:r>
      <w:r w:rsidRPr="00AC39ED">
        <w:rPr>
          <w:sz w:val="24"/>
          <w:szCs w:val="24"/>
        </w:rPr>
        <w:t>.</w:t>
      </w:r>
      <w:r>
        <w:rPr>
          <w:rStyle w:val="FootnoteReference"/>
          <w:sz w:val="24"/>
          <w:szCs w:val="24"/>
        </w:rPr>
        <w:footnoteReference w:id="3"/>
      </w:r>
      <w:r w:rsidRPr="00AC39ED">
        <w:rPr>
          <w:sz w:val="24"/>
          <w:szCs w:val="24"/>
        </w:rPr>
        <w:t xml:space="preserve">  The information collected </w:t>
      </w:r>
      <w:r>
        <w:rPr>
          <w:sz w:val="24"/>
          <w:szCs w:val="24"/>
        </w:rPr>
        <w:t xml:space="preserve">pursuant to those regulations </w:t>
      </w:r>
      <w:r w:rsidRPr="00AC39ED">
        <w:rPr>
          <w:sz w:val="24"/>
          <w:szCs w:val="24"/>
        </w:rPr>
        <w:t>is necessary for the Commission to evaluate whether DCOs are</w:t>
      </w:r>
      <w:r>
        <w:rPr>
          <w:sz w:val="24"/>
          <w:szCs w:val="24"/>
        </w:rPr>
        <w:t xml:space="preserve"> </w:t>
      </w:r>
      <w:r w:rsidRPr="00AC39ED">
        <w:rPr>
          <w:sz w:val="24"/>
          <w:szCs w:val="24"/>
        </w:rPr>
        <w:t xml:space="preserve">complying </w:t>
      </w:r>
      <w:r>
        <w:rPr>
          <w:sz w:val="24"/>
          <w:szCs w:val="24"/>
        </w:rPr>
        <w:t xml:space="preserve">with </w:t>
      </w:r>
      <w:r w:rsidRPr="00AC39ED">
        <w:rPr>
          <w:sz w:val="24"/>
          <w:szCs w:val="24"/>
        </w:rPr>
        <w:t>Commission regulations.</w:t>
      </w:r>
      <w:r>
        <w:rPr>
          <w:sz w:val="24"/>
          <w:szCs w:val="24"/>
        </w:rPr>
        <w:t xml:space="preserve">  OMB assigned Control Number 3038-0081 to the information collection involved in the Section 725(b) Regulations.    </w:t>
      </w:r>
    </w:p>
    <w:p w:rsidR="00224407" w:rsidRPr="00AC39ED" w:rsidRDefault="00224407" w:rsidP="00224407">
      <w:pPr>
        <w:tabs>
          <w:tab w:val="left" w:pos="-720"/>
          <w:tab w:val="left" w:pos="0"/>
        </w:tabs>
        <w:suppressAutoHyphens/>
        <w:ind w:left="720"/>
        <w:rPr>
          <w:sz w:val="24"/>
          <w:szCs w:val="24"/>
        </w:rPr>
      </w:pPr>
    </w:p>
    <w:p w:rsidR="00224407" w:rsidRPr="00224407" w:rsidRDefault="00224407" w:rsidP="00224407">
      <w:pPr>
        <w:pStyle w:val="ListParagraph"/>
        <w:numPr>
          <w:ilvl w:val="0"/>
          <w:numId w:val="1"/>
        </w:numPr>
        <w:tabs>
          <w:tab w:val="left" w:pos="-720"/>
          <w:tab w:val="left" w:pos="0"/>
        </w:tabs>
        <w:suppressAutoHyphens/>
        <w:rPr>
          <w:sz w:val="24"/>
          <w:szCs w:val="24"/>
        </w:rPr>
      </w:pPr>
      <w:r w:rsidRPr="00224407">
        <w:rPr>
          <w:sz w:val="24"/>
          <w:szCs w:val="24"/>
        </w:rPr>
        <w:t>Derivatives Clearing Organizations and International Standards (the “SIDCO-Subpart C DCO Final Rule”):</w:t>
      </w:r>
      <w:r>
        <w:rPr>
          <w:sz w:val="24"/>
          <w:szCs w:val="24"/>
        </w:rPr>
        <w:t xml:space="preserve"> </w:t>
      </w:r>
      <w:r w:rsidR="008441DB">
        <w:rPr>
          <w:sz w:val="24"/>
          <w:szCs w:val="24"/>
        </w:rPr>
        <w:t>The Commission adopted f</w:t>
      </w:r>
      <w:r w:rsidRPr="00224407">
        <w:rPr>
          <w:sz w:val="24"/>
          <w:szCs w:val="24"/>
        </w:rPr>
        <w:t>inal regulations that establish additional standards for compliance with the DCO core principles set forth in section 5b(c)(2) of the CEA</w:t>
      </w:r>
      <w:r>
        <w:rPr>
          <w:rStyle w:val="FootnoteReference"/>
          <w:sz w:val="24"/>
          <w:szCs w:val="24"/>
        </w:rPr>
        <w:footnoteReference w:id="4"/>
      </w:r>
      <w:r w:rsidRPr="00224407">
        <w:rPr>
          <w:sz w:val="24"/>
          <w:szCs w:val="24"/>
        </w:rPr>
        <w:t xml:space="preserve"> for systemically important DCOs (“SIDCOs”)</w:t>
      </w:r>
      <w:r>
        <w:rPr>
          <w:rStyle w:val="FootnoteReference"/>
          <w:sz w:val="24"/>
          <w:szCs w:val="24"/>
        </w:rPr>
        <w:footnoteReference w:id="5"/>
      </w:r>
      <w:r w:rsidRPr="00224407">
        <w:rPr>
          <w:sz w:val="24"/>
          <w:szCs w:val="24"/>
        </w:rPr>
        <w:t xml:space="preserve"> and DCOs that </w:t>
      </w:r>
      <w:r w:rsidRPr="00224407">
        <w:rPr>
          <w:sz w:val="24"/>
          <w:szCs w:val="24"/>
        </w:rPr>
        <w:lastRenderedPageBreak/>
        <w:t>elect to opt-in to the SIDCO regulatory requirements (“Subpart C DCOs”) (the “SIDCO</w:t>
      </w:r>
      <w:r w:rsidR="008441DB">
        <w:rPr>
          <w:sz w:val="24"/>
          <w:szCs w:val="24"/>
        </w:rPr>
        <w:t>-Subpart C DCO Final Rule</w:t>
      </w:r>
      <w:r w:rsidRPr="00224407">
        <w:rPr>
          <w:sz w:val="24"/>
          <w:szCs w:val="24"/>
        </w:rPr>
        <w:t>”).  The additional requirements set forth in the SIDCO</w:t>
      </w:r>
      <w:r w:rsidR="008441DB">
        <w:rPr>
          <w:sz w:val="24"/>
          <w:szCs w:val="24"/>
        </w:rPr>
        <w:t>-</w:t>
      </w:r>
      <w:r w:rsidRPr="00224407">
        <w:rPr>
          <w:sz w:val="24"/>
          <w:szCs w:val="24"/>
        </w:rPr>
        <w:t xml:space="preserve">Subpart C DCO </w:t>
      </w:r>
      <w:r w:rsidR="008441DB">
        <w:rPr>
          <w:sz w:val="24"/>
          <w:szCs w:val="24"/>
        </w:rPr>
        <w:t>Final Rule</w:t>
      </w:r>
      <w:r w:rsidRPr="00224407">
        <w:rPr>
          <w:sz w:val="24"/>
          <w:szCs w:val="24"/>
        </w:rPr>
        <w:t xml:space="preserve"> are consistent with certain international standards, namely, the Principles for Financial Market Infrastructures (“PFMIs”) published by the Committee on Payment and Settlement Systems and the Board of the International Organization of Securities Commissions (“IOSCO”).</w:t>
      </w:r>
      <w:r>
        <w:rPr>
          <w:rStyle w:val="FootnoteReference"/>
          <w:sz w:val="24"/>
          <w:szCs w:val="24"/>
        </w:rPr>
        <w:footnoteReference w:id="6"/>
      </w:r>
      <w:r w:rsidRPr="00224407">
        <w:rPr>
          <w:sz w:val="24"/>
          <w:szCs w:val="24"/>
        </w:rPr>
        <w:t xml:space="preserve">  The </w:t>
      </w:r>
      <w:r w:rsidR="00CD7AE9">
        <w:rPr>
          <w:sz w:val="24"/>
          <w:szCs w:val="24"/>
        </w:rPr>
        <w:t>SIDCO-Subpart C DCO Final Rule</w:t>
      </w:r>
      <w:r w:rsidRPr="00224407">
        <w:rPr>
          <w:sz w:val="24"/>
          <w:szCs w:val="24"/>
        </w:rPr>
        <w:t xml:space="preserve"> include recordkeeping and reporting requirements that are collections of information requiring approval under the PRA.</w:t>
      </w:r>
      <w:r>
        <w:rPr>
          <w:rStyle w:val="FootnoteReference"/>
          <w:sz w:val="24"/>
          <w:szCs w:val="24"/>
        </w:rPr>
        <w:footnoteReference w:id="7"/>
      </w:r>
    </w:p>
    <w:p w:rsidR="00224407" w:rsidRDefault="00224407" w:rsidP="00224407">
      <w:pPr>
        <w:tabs>
          <w:tab w:val="left" w:pos="-720"/>
          <w:tab w:val="left" w:pos="0"/>
        </w:tabs>
        <w:suppressAutoHyphens/>
        <w:ind w:left="720"/>
        <w:rPr>
          <w:sz w:val="24"/>
          <w:szCs w:val="24"/>
        </w:rPr>
      </w:pPr>
    </w:p>
    <w:p w:rsidR="00224407" w:rsidRDefault="00224407" w:rsidP="00224407">
      <w:pPr>
        <w:tabs>
          <w:tab w:val="left" w:pos="-720"/>
          <w:tab w:val="left" w:pos="0"/>
        </w:tabs>
        <w:suppressAutoHyphens/>
        <w:ind w:left="1080"/>
        <w:rPr>
          <w:sz w:val="24"/>
          <w:szCs w:val="24"/>
        </w:rPr>
      </w:pPr>
      <w:r>
        <w:rPr>
          <w:sz w:val="24"/>
          <w:szCs w:val="24"/>
        </w:rPr>
        <w:t>While Subpart A and Subpart B of part 39 of the Commission’s regulations incorporate the vast majority of the standards set forth in the PFMIs,</w:t>
      </w:r>
      <w:r>
        <w:rPr>
          <w:rStyle w:val="FootnoteReference"/>
          <w:sz w:val="24"/>
          <w:szCs w:val="24"/>
        </w:rPr>
        <w:footnoteReference w:id="8"/>
      </w:r>
      <w:r>
        <w:rPr>
          <w:sz w:val="24"/>
          <w:szCs w:val="24"/>
        </w:rPr>
        <w:t xml:space="preserve"> the Commission has recognized that, in certain instances, the standards set forth in the PFMIs may not be fully covered by the requirements set forth in Subpart A and Subpart B.  The Subpart C regulations, as amended by this final rulemaking, address any remaining gaps between existing regulations and the PFMI standards.</w:t>
      </w:r>
      <w:r w:rsidR="00174AFD">
        <w:rPr>
          <w:sz w:val="24"/>
          <w:szCs w:val="24"/>
        </w:rPr>
        <w:t xml:space="preserve">  </w:t>
      </w:r>
      <w:r>
        <w:rPr>
          <w:sz w:val="24"/>
          <w:szCs w:val="24"/>
        </w:rPr>
        <w:t>T</w:t>
      </w:r>
      <w:r w:rsidRPr="00AC39ED">
        <w:rPr>
          <w:sz w:val="24"/>
          <w:szCs w:val="24"/>
        </w:rPr>
        <w:t xml:space="preserve">he information that would be collected </w:t>
      </w:r>
      <w:r>
        <w:rPr>
          <w:sz w:val="24"/>
          <w:szCs w:val="24"/>
        </w:rPr>
        <w:t xml:space="preserve">under these final SIDCO/Subpart C DCO Regulations </w:t>
      </w:r>
      <w:r w:rsidRPr="00AC39ED">
        <w:rPr>
          <w:sz w:val="24"/>
          <w:szCs w:val="24"/>
        </w:rPr>
        <w:t xml:space="preserve">is necessary for the Commission to </w:t>
      </w:r>
      <w:r>
        <w:rPr>
          <w:sz w:val="24"/>
          <w:szCs w:val="24"/>
        </w:rPr>
        <w:t xml:space="preserve">determine whether a DCO meets the Subpart C DCO standards that have been finalized therein and is likely to be able to maintain compliance with such standards; to </w:t>
      </w:r>
      <w:r w:rsidRPr="00AC39ED">
        <w:rPr>
          <w:sz w:val="24"/>
          <w:szCs w:val="24"/>
        </w:rPr>
        <w:t xml:space="preserve">evaluate whether </w:t>
      </w:r>
      <w:r>
        <w:rPr>
          <w:sz w:val="24"/>
          <w:szCs w:val="24"/>
        </w:rPr>
        <w:t xml:space="preserve">SIDCOs and Subpart C </w:t>
      </w:r>
      <w:r w:rsidRPr="00AC39ED">
        <w:rPr>
          <w:sz w:val="24"/>
          <w:szCs w:val="24"/>
        </w:rPr>
        <w:t>DCOs are</w:t>
      </w:r>
      <w:r>
        <w:rPr>
          <w:sz w:val="24"/>
          <w:szCs w:val="24"/>
        </w:rPr>
        <w:t xml:space="preserve"> </w:t>
      </w:r>
      <w:r w:rsidRPr="00AC39ED">
        <w:rPr>
          <w:sz w:val="24"/>
          <w:szCs w:val="24"/>
        </w:rPr>
        <w:t xml:space="preserve">complying </w:t>
      </w:r>
      <w:r>
        <w:rPr>
          <w:sz w:val="24"/>
          <w:szCs w:val="24"/>
        </w:rPr>
        <w:t xml:space="preserve">with </w:t>
      </w:r>
      <w:r w:rsidRPr="00AC39ED">
        <w:rPr>
          <w:sz w:val="24"/>
          <w:szCs w:val="24"/>
        </w:rPr>
        <w:t>Commission regulations</w:t>
      </w:r>
      <w:r>
        <w:rPr>
          <w:sz w:val="24"/>
          <w:szCs w:val="24"/>
        </w:rPr>
        <w:t xml:space="preserve">; </w:t>
      </w:r>
      <w:r w:rsidRPr="00F02CFA">
        <w:rPr>
          <w:sz w:val="24"/>
          <w:szCs w:val="24"/>
        </w:rPr>
        <w:t xml:space="preserve">and </w:t>
      </w:r>
      <w:r>
        <w:rPr>
          <w:sz w:val="24"/>
          <w:szCs w:val="24"/>
        </w:rPr>
        <w:t xml:space="preserve">to </w:t>
      </w:r>
      <w:r w:rsidRPr="00F02CFA">
        <w:rPr>
          <w:sz w:val="24"/>
          <w:szCs w:val="24"/>
        </w:rPr>
        <w:t>perform risk analyses with respect to SIDCO</w:t>
      </w:r>
      <w:r>
        <w:rPr>
          <w:sz w:val="24"/>
          <w:szCs w:val="24"/>
        </w:rPr>
        <w:t>s and Subpart C</w:t>
      </w:r>
      <w:r w:rsidRPr="00F02CFA">
        <w:rPr>
          <w:sz w:val="24"/>
          <w:szCs w:val="24"/>
        </w:rPr>
        <w:t xml:space="preserve"> DCO</w:t>
      </w:r>
      <w:r>
        <w:rPr>
          <w:sz w:val="24"/>
          <w:szCs w:val="24"/>
        </w:rPr>
        <w:t>s</w:t>
      </w:r>
      <w:r w:rsidRPr="00F02CFA">
        <w:rPr>
          <w:sz w:val="24"/>
          <w:szCs w:val="24"/>
        </w:rPr>
        <w:t>.</w:t>
      </w:r>
    </w:p>
    <w:p w:rsidR="00224407" w:rsidRPr="003B2AD2" w:rsidRDefault="00224407" w:rsidP="00224407">
      <w:pPr>
        <w:tabs>
          <w:tab w:val="left" w:pos="-720"/>
          <w:tab w:val="left" w:pos="0"/>
        </w:tabs>
        <w:suppressAutoHyphens/>
        <w:ind w:left="720"/>
        <w:rPr>
          <w:sz w:val="24"/>
          <w:szCs w:val="24"/>
        </w:rPr>
      </w:pPr>
      <w:r w:rsidRPr="003B2AD2">
        <w:rPr>
          <w:sz w:val="24"/>
          <w:szCs w:val="24"/>
        </w:rPr>
        <w:tab/>
        <w:t xml:space="preserve"> </w:t>
      </w:r>
    </w:p>
    <w:p w:rsidR="00224407" w:rsidRDefault="00224407" w:rsidP="00224407">
      <w:pPr>
        <w:tabs>
          <w:tab w:val="left" w:pos="-720"/>
        </w:tabs>
        <w:suppressAutoHyphens/>
        <w:ind w:left="720" w:hanging="720"/>
        <w:rPr>
          <w:sz w:val="24"/>
          <w:szCs w:val="24"/>
        </w:rPr>
      </w:pPr>
      <w:r w:rsidRPr="003B2AD2">
        <w:rPr>
          <w:sz w:val="24"/>
          <w:szCs w:val="24"/>
        </w:rPr>
        <w:t>2.</w:t>
      </w:r>
      <w:r w:rsidRPr="003B2AD2">
        <w:rPr>
          <w:sz w:val="24"/>
          <w:szCs w:val="24"/>
        </w:rPr>
        <w:tab/>
      </w:r>
      <w:r w:rsidRPr="003B2AD2">
        <w:rPr>
          <w:sz w:val="24"/>
          <w:szCs w:val="24"/>
          <w:u w:val="single"/>
        </w:rPr>
        <w:t>Indicate how, by whom, and for what purpose the dat</w:t>
      </w:r>
      <w:r>
        <w:rPr>
          <w:sz w:val="24"/>
          <w:szCs w:val="24"/>
          <w:u w:val="single"/>
        </w:rPr>
        <w:t>a</w:t>
      </w:r>
      <w:r w:rsidRPr="003B2AD2">
        <w:rPr>
          <w:sz w:val="24"/>
          <w:szCs w:val="24"/>
          <w:u w:val="single"/>
        </w:rPr>
        <w:t xml:space="preserve"> would be used.  Except for a new collection, indicate the actual use the agency has made of the information received from the current collection</w:t>
      </w:r>
      <w:r w:rsidRPr="003B2AD2">
        <w:rPr>
          <w:sz w:val="24"/>
          <w:szCs w:val="24"/>
        </w:rPr>
        <w:t>.</w:t>
      </w:r>
    </w:p>
    <w:p w:rsidR="00224407" w:rsidRDefault="00224407" w:rsidP="00224407">
      <w:pPr>
        <w:tabs>
          <w:tab w:val="left" w:pos="-720"/>
        </w:tabs>
        <w:suppressAutoHyphens/>
        <w:ind w:left="720" w:hanging="720"/>
        <w:rPr>
          <w:sz w:val="24"/>
          <w:szCs w:val="24"/>
        </w:rPr>
      </w:pPr>
    </w:p>
    <w:p w:rsidR="00224407" w:rsidRDefault="00224407" w:rsidP="002969FE">
      <w:pPr>
        <w:numPr>
          <w:ilvl w:val="0"/>
          <w:numId w:val="2"/>
        </w:numPr>
        <w:tabs>
          <w:tab w:val="left" w:pos="-720"/>
        </w:tabs>
        <w:suppressAutoHyphens/>
        <w:rPr>
          <w:sz w:val="24"/>
          <w:szCs w:val="24"/>
        </w:rPr>
      </w:pPr>
      <w:r w:rsidRPr="00E61873">
        <w:rPr>
          <w:sz w:val="24"/>
          <w:szCs w:val="24"/>
        </w:rPr>
        <w:t>The information</w:t>
      </w:r>
      <w:r>
        <w:rPr>
          <w:sz w:val="24"/>
          <w:szCs w:val="24"/>
        </w:rPr>
        <w:t xml:space="preserve"> collected in the</w:t>
      </w:r>
      <w:r w:rsidR="002969FE" w:rsidRPr="002969FE">
        <w:rPr>
          <w:sz w:val="24"/>
          <w:szCs w:val="24"/>
        </w:rPr>
        <w:t xml:space="preserve"> DCO Final Rule</w:t>
      </w:r>
      <w:r w:rsidR="002969FE" w:rsidRPr="002969FE" w:rsidDel="002969FE">
        <w:rPr>
          <w:sz w:val="24"/>
          <w:szCs w:val="24"/>
        </w:rPr>
        <w:t xml:space="preserve"> </w:t>
      </w:r>
      <w:r>
        <w:rPr>
          <w:sz w:val="24"/>
          <w:szCs w:val="24"/>
        </w:rPr>
        <w:t xml:space="preserve">is </w:t>
      </w:r>
      <w:r w:rsidRPr="00E61873">
        <w:rPr>
          <w:sz w:val="24"/>
          <w:szCs w:val="24"/>
        </w:rPr>
        <w:t xml:space="preserve">analyzed by </w:t>
      </w:r>
      <w:r>
        <w:rPr>
          <w:sz w:val="24"/>
          <w:szCs w:val="24"/>
        </w:rPr>
        <w:t xml:space="preserve">the </w:t>
      </w:r>
      <w:r w:rsidRPr="00E61873">
        <w:rPr>
          <w:sz w:val="24"/>
          <w:szCs w:val="24"/>
        </w:rPr>
        <w:t xml:space="preserve">Commission </w:t>
      </w:r>
      <w:r>
        <w:rPr>
          <w:sz w:val="24"/>
          <w:szCs w:val="24"/>
        </w:rPr>
        <w:t xml:space="preserve">and its </w:t>
      </w:r>
      <w:r w:rsidRPr="00E61873">
        <w:rPr>
          <w:sz w:val="24"/>
          <w:szCs w:val="24"/>
        </w:rPr>
        <w:t xml:space="preserve">staff to determine whether DCOs are in compliance </w:t>
      </w:r>
      <w:r>
        <w:rPr>
          <w:sz w:val="24"/>
          <w:szCs w:val="24"/>
        </w:rPr>
        <w:t xml:space="preserve">Commission </w:t>
      </w:r>
      <w:r w:rsidRPr="00E61873">
        <w:rPr>
          <w:sz w:val="24"/>
          <w:szCs w:val="24"/>
        </w:rPr>
        <w:t>regulations.</w:t>
      </w:r>
    </w:p>
    <w:p w:rsidR="00224407" w:rsidRDefault="00224407" w:rsidP="00224407">
      <w:pPr>
        <w:tabs>
          <w:tab w:val="left" w:pos="-720"/>
        </w:tabs>
        <w:suppressAutoHyphens/>
        <w:ind w:left="720" w:hanging="720"/>
        <w:rPr>
          <w:sz w:val="24"/>
          <w:szCs w:val="24"/>
        </w:rPr>
      </w:pPr>
    </w:p>
    <w:p w:rsidR="00224407" w:rsidRPr="005D79A9" w:rsidRDefault="00224407" w:rsidP="00721DDA">
      <w:pPr>
        <w:numPr>
          <w:ilvl w:val="0"/>
          <w:numId w:val="2"/>
        </w:numPr>
        <w:tabs>
          <w:tab w:val="left" w:pos="-720"/>
          <w:tab w:val="left" w:pos="0"/>
        </w:tabs>
        <w:suppressAutoHyphens/>
        <w:rPr>
          <w:sz w:val="24"/>
          <w:szCs w:val="24"/>
        </w:rPr>
      </w:pPr>
      <w:r w:rsidRPr="00C33318">
        <w:rPr>
          <w:sz w:val="24"/>
          <w:szCs w:val="24"/>
        </w:rPr>
        <w:t xml:space="preserve">With respect to the </w:t>
      </w:r>
      <w:r>
        <w:rPr>
          <w:sz w:val="24"/>
          <w:szCs w:val="24"/>
        </w:rPr>
        <w:t>SIDCO/Subpart C DCO Regulations</w:t>
      </w:r>
      <w:r w:rsidRPr="00242DE5">
        <w:rPr>
          <w:sz w:val="24"/>
          <w:szCs w:val="24"/>
        </w:rPr>
        <w:t>, the information collection</w:t>
      </w:r>
      <w:r>
        <w:rPr>
          <w:sz w:val="24"/>
          <w:szCs w:val="24"/>
        </w:rPr>
        <w:t xml:space="preserve"> </w:t>
      </w:r>
      <w:r w:rsidRPr="00242DE5">
        <w:rPr>
          <w:sz w:val="24"/>
          <w:szCs w:val="24"/>
        </w:rPr>
        <w:t>associated with the</w:t>
      </w:r>
      <w:r>
        <w:rPr>
          <w:sz w:val="24"/>
          <w:szCs w:val="24"/>
        </w:rPr>
        <w:t>se</w:t>
      </w:r>
      <w:r w:rsidRPr="00242DE5">
        <w:rPr>
          <w:sz w:val="24"/>
          <w:szCs w:val="24"/>
        </w:rPr>
        <w:t xml:space="preserve"> </w:t>
      </w:r>
      <w:r>
        <w:rPr>
          <w:sz w:val="24"/>
          <w:szCs w:val="24"/>
        </w:rPr>
        <w:t xml:space="preserve">final </w:t>
      </w:r>
      <w:r w:rsidRPr="00242DE5">
        <w:rPr>
          <w:sz w:val="24"/>
          <w:szCs w:val="24"/>
        </w:rPr>
        <w:t xml:space="preserve">regulations </w:t>
      </w:r>
      <w:r>
        <w:rPr>
          <w:sz w:val="24"/>
          <w:szCs w:val="24"/>
        </w:rPr>
        <w:t xml:space="preserve">will be used </w:t>
      </w:r>
      <w:r w:rsidR="00721DDA">
        <w:rPr>
          <w:sz w:val="24"/>
          <w:szCs w:val="24"/>
        </w:rPr>
        <w:t xml:space="preserve">by the Commission </w:t>
      </w:r>
      <w:r>
        <w:rPr>
          <w:sz w:val="24"/>
          <w:szCs w:val="24"/>
        </w:rPr>
        <w:t xml:space="preserve">to determine whether a DCO that has elected to become subject to the Subpart C regulations meets the Subpart C standards that have been adopted in the final regulations.  The information collection also is </w:t>
      </w:r>
      <w:r w:rsidRPr="00242DE5">
        <w:rPr>
          <w:sz w:val="24"/>
          <w:szCs w:val="24"/>
        </w:rPr>
        <w:t>designed to be coordinated with various risk management practices</w:t>
      </w:r>
      <w:r>
        <w:rPr>
          <w:sz w:val="24"/>
          <w:szCs w:val="24"/>
        </w:rPr>
        <w:t xml:space="preserve"> (including governance, financial resource, liquidity, default, and recovery and wind-down practices) that are consistent with the goals of the Dodd-Frank Act and the PFMIs.  It will </w:t>
      </w:r>
      <w:r w:rsidRPr="006266FB">
        <w:rPr>
          <w:sz w:val="24"/>
          <w:szCs w:val="24"/>
        </w:rPr>
        <w:t>permit the Commission and its staff to review such practices</w:t>
      </w:r>
      <w:r>
        <w:rPr>
          <w:sz w:val="24"/>
          <w:szCs w:val="24"/>
        </w:rPr>
        <w:t>,</w:t>
      </w:r>
      <w:r w:rsidRPr="006266FB">
        <w:rPr>
          <w:sz w:val="24"/>
          <w:szCs w:val="24"/>
        </w:rPr>
        <w:t xml:space="preserve"> and to determine whether a SIDCO or Subpart C DCO is in compliance</w:t>
      </w:r>
      <w:r w:rsidRPr="00242DE5">
        <w:rPr>
          <w:sz w:val="24"/>
          <w:szCs w:val="24"/>
        </w:rPr>
        <w:t xml:space="preserve"> with the Commission’s regulations</w:t>
      </w:r>
      <w:r>
        <w:rPr>
          <w:sz w:val="24"/>
          <w:szCs w:val="24"/>
        </w:rPr>
        <w:t>.</w:t>
      </w:r>
    </w:p>
    <w:p w:rsidR="00224407" w:rsidRPr="003B2AD2" w:rsidRDefault="00224407" w:rsidP="00224407">
      <w:pPr>
        <w:tabs>
          <w:tab w:val="left" w:pos="-720"/>
        </w:tabs>
        <w:suppressAutoHyphens/>
        <w:ind w:left="720" w:hanging="720"/>
        <w:rPr>
          <w:sz w:val="24"/>
          <w:szCs w:val="24"/>
        </w:rPr>
      </w:pPr>
      <w:r w:rsidRPr="003B2AD2">
        <w:rPr>
          <w:sz w:val="24"/>
          <w:szCs w:val="24"/>
        </w:rPr>
        <w:tab/>
      </w:r>
    </w:p>
    <w:p w:rsidR="00224407" w:rsidRDefault="00224407" w:rsidP="00224407">
      <w:pPr>
        <w:tabs>
          <w:tab w:val="left" w:pos="-720"/>
          <w:tab w:val="left" w:pos="0"/>
        </w:tabs>
        <w:suppressAutoHyphens/>
        <w:ind w:left="720" w:hanging="720"/>
        <w:rPr>
          <w:sz w:val="24"/>
          <w:szCs w:val="24"/>
          <w:u w:val="single"/>
        </w:rPr>
      </w:pPr>
      <w:r w:rsidRPr="003B2AD2">
        <w:rPr>
          <w:sz w:val="24"/>
          <w:szCs w:val="24"/>
        </w:rPr>
        <w:t>3.</w:t>
      </w:r>
      <w:r w:rsidRPr="003B2AD2">
        <w:rPr>
          <w:sz w:val="24"/>
          <w:szCs w:val="24"/>
        </w:rPr>
        <w:tab/>
      </w:r>
      <w:r w:rsidRPr="003B2AD2">
        <w:rPr>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24407" w:rsidRDefault="00224407" w:rsidP="00224407">
      <w:pPr>
        <w:tabs>
          <w:tab w:val="left" w:pos="-720"/>
          <w:tab w:val="left" w:pos="0"/>
        </w:tabs>
        <w:suppressAutoHyphens/>
        <w:ind w:left="720" w:hanging="720"/>
        <w:rPr>
          <w:sz w:val="24"/>
          <w:szCs w:val="24"/>
          <w:u w:val="single"/>
        </w:rPr>
      </w:pPr>
    </w:p>
    <w:p w:rsidR="00224407" w:rsidRDefault="00224407" w:rsidP="002969FE">
      <w:pPr>
        <w:numPr>
          <w:ilvl w:val="0"/>
          <w:numId w:val="3"/>
        </w:numPr>
        <w:tabs>
          <w:tab w:val="left" w:pos="-720"/>
          <w:tab w:val="left" w:pos="0"/>
        </w:tabs>
        <w:suppressAutoHyphens/>
        <w:rPr>
          <w:sz w:val="24"/>
          <w:szCs w:val="24"/>
        </w:rPr>
      </w:pPr>
      <w:r>
        <w:rPr>
          <w:sz w:val="24"/>
          <w:szCs w:val="24"/>
        </w:rPr>
        <w:t xml:space="preserve">With respect to the </w:t>
      </w:r>
      <w:r w:rsidR="002969FE" w:rsidRPr="002969FE">
        <w:rPr>
          <w:sz w:val="24"/>
          <w:szCs w:val="24"/>
        </w:rPr>
        <w:t>DCO Final Rule</w:t>
      </w:r>
      <w:r>
        <w:rPr>
          <w:sz w:val="24"/>
          <w:szCs w:val="24"/>
        </w:rPr>
        <w:t xml:space="preserve">, the required information may be filed electronically.  </w:t>
      </w:r>
    </w:p>
    <w:p w:rsidR="00224407" w:rsidRDefault="00224407" w:rsidP="00224407">
      <w:pPr>
        <w:tabs>
          <w:tab w:val="left" w:pos="-720"/>
          <w:tab w:val="left" w:pos="0"/>
        </w:tabs>
        <w:suppressAutoHyphens/>
        <w:ind w:left="720" w:hanging="720"/>
        <w:rPr>
          <w:sz w:val="24"/>
          <w:szCs w:val="24"/>
        </w:rPr>
      </w:pPr>
    </w:p>
    <w:p w:rsidR="00224407" w:rsidRPr="006C6E3E" w:rsidRDefault="00224407" w:rsidP="00224407">
      <w:pPr>
        <w:numPr>
          <w:ilvl w:val="0"/>
          <w:numId w:val="3"/>
        </w:numPr>
        <w:tabs>
          <w:tab w:val="left" w:pos="-720"/>
          <w:tab w:val="left" w:pos="0"/>
        </w:tabs>
        <w:suppressAutoHyphens/>
        <w:rPr>
          <w:sz w:val="24"/>
          <w:szCs w:val="24"/>
        </w:rPr>
      </w:pPr>
      <w:r>
        <w:rPr>
          <w:sz w:val="24"/>
          <w:szCs w:val="24"/>
        </w:rPr>
        <w:t>With respect to the SIDCO/Subpart C DCO Regulations, the reporting requirements may be effected electronically, and the recordkeeping may be maintained in the same manner.</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s>
        <w:suppressAutoHyphens/>
        <w:ind w:left="720" w:hanging="720"/>
        <w:rPr>
          <w:sz w:val="24"/>
          <w:szCs w:val="24"/>
        </w:rPr>
      </w:pPr>
      <w:r w:rsidRPr="003B2AD2">
        <w:rPr>
          <w:sz w:val="24"/>
          <w:szCs w:val="24"/>
        </w:rPr>
        <w:t>4.</w:t>
      </w:r>
      <w:r w:rsidRPr="003B2AD2">
        <w:rPr>
          <w:sz w:val="24"/>
          <w:szCs w:val="24"/>
        </w:rPr>
        <w:tab/>
      </w:r>
      <w:r w:rsidRPr="003B2AD2">
        <w:rPr>
          <w:sz w:val="24"/>
          <w:szCs w:val="24"/>
          <w:u w:val="single"/>
        </w:rPr>
        <w:t>Describe efforts to identify duplication.  Show specifically why any similar information already available cannot be used or modified for use for the purposes described in Item 2 above</w:t>
      </w:r>
      <w:r w:rsidRPr="003B2AD2">
        <w:rPr>
          <w:sz w:val="24"/>
          <w:szCs w:val="24"/>
        </w:rPr>
        <w:t>.</w:t>
      </w:r>
    </w:p>
    <w:p w:rsidR="00224407" w:rsidRDefault="00224407" w:rsidP="00224407">
      <w:pPr>
        <w:tabs>
          <w:tab w:val="left" w:pos="-720"/>
          <w:tab w:val="left" w:pos="0"/>
        </w:tabs>
        <w:suppressAutoHyphens/>
        <w:ind w:left="720" w:hanging="720"/>
        <w:rPr>
          <w:sz w:val="24"/>
          <w:szCs w:val="24"/>
        </w:rPr>
      </w:pPr>
    </w:p>
    <w:p w:rsidR="00224407" w:rsidRPr="003B2AD2" w:rsidRDefault="00224407" w:rsidP="00224407">
      <w:pPr>
        <w:tabs>
          <w:tab w:val="left" w:pos="-720"/>
          <w:tab w:val="left" w:pos="0"/>
        </w:tabs>
        <w:suppressAutoHyphens/>
        <w:ind w:left="720" w:hanging="720"/>
        <w:rPr>
          <w:sz w:val="24"/>
          <w:szCs w:val="24"/>
        </w:rPr>
      </w:pPr>
      <w:r>
        <w:rPr>
          <w:sz w:val="24"/>
          <w:szCs w:val="24"/>
        </w:rPr>
        <w:tab/>
        <w:t xml:space="preserve">The required information with respect both to the </w:t>
      </w:r>
      <w:r w:rsidR="002969FE" w:rsidRPr="002969FE">
        <w:rPr>
          <w:sz w:val="24"/>
          <w:szCs w:val="24"/>
        </w:rPr>
        <w:t xml:space="preserve">DCO Final Rule </w:t>
      </w:r>
      <w:r>
        <w:rPr>
          <w:sz w:val="24"/>
          <w:szCs w:val="24"/>
        </w:rPr>
        <w:t xml:space="preserve"> and the SIDCO/Subpart C DCO Regulations is not already collected by the Commission for any other purpose, collected by any other agency, or available for public disclosure through any other source.  </w:t>
      </w:r>
      <w:r>
        <w:rPr>
          <w:sz w:val="24"/>
          <w:szCs w:val="24"/>
        </w:rPr>
        <w:tab/>
      </w:r>
      <w:r>
        <w:rPr>
          <w:sz w:val="24"/>
          <w:szCs w:val="24"/>
        </w:rPr>
        <w:tab/>
      </w:r>
    </w:p>
    <w:p w:rsidR="00224407" w:rsidRPr="003B2AD2" w:rsidRDefault="00224407" w:rsidP="00224407">
      <w:pPr>
        <w:tabs>
          <w:tab w:val="left" w:pos="-720"/>
        </w:tabs>
        <w:suppressAutoHyphens/>
        <w:rPr>
          <w:sz w:val="24"/>
          <w:szCs w:val="24"/>
        </w:rPr>
      </w:pPr>
      <w:r w:rsidRPr="003B2AD2">
        <w:rPr>
          <w:sz w:val="24"/>
          <w:szCs w:val="24"/>
        </w:rPr>
        <w:tab/>
      </w:r>
    </w:p>
    <w:p w:rsidR="00224407" w:rsidRDefault="00224407" w:rsidP="00224407">
      <w:pPr>
        <w:tabs>
          <w:tab w:val="left" w:pos="-720"/>
          <w:tab w:val="left" w:pos="0"/>
        </w:tabs>
        <w:suppressAutoHyphens/>
        <w:ind w:left="720" w:hanging="720"/>
        <w:rPr>
          <w:sz w:val="24"/>
          <w:szCs w:val="24"/>
        </w:rPr>
      </w:pPr>
      <w:r w:rsidRPr="003B2AD2">
        <w:rPr>
          <w:sz w:val="24"/>
          <w:szCs w:val="24"/>
        </w:rPr>
        <w:t>5.</w:t>
      </w:r>
      <w:r w:rsidRPr="003B2AD2">
        <w:rPr>
          <w:sz w:val="24"/>
          <w:szCs w:val="24"/>
        </w:rPr>
        <w:tab/>
      </w:r>
      <w:r w:rsidRPr="003B2AD2">
        <w:rPr>
          <w:sz w:val="24"/>
          <w:szCs w:val="24"/>
          <w:u w:val="single"/>
        </w:rPr>
        <w:t>If the collection of information involves small business or other small entities (Item 5 of OMB From 83-I), describe the methods used to minimize burden</w:t>
      </w:r>
      <w:r w:rsidRPr="003B2AD2">
        <w:rPr>
          <w:sz w:val="24"/>
          <w:szCs w:val="24"/>
        </w:rPr>
        <w:t>.</w:t>
      </w:r>
    </w:p>
    <w:p w:rsidR="00224407" w:rsidRDefault="00224407" w:rsidP="00224407">
      <w:pPr>
        <w:tabs>
          <w:tab w:val="left" w:pos="-720"/>
          <w:tab w:val="left" w:pos="0"/>
        </w:tabs>
        <w:suppressAutoHyphens/>
        <w:ind w:left="720" w:hanging="720"/>
        <w:rPr>
          <w:sz w:val="24"/>
          <w:szCs w:val="24"/>
        </w:rPr>
      </w:pPr>
    </w:p>
    <w:p w:rsidR="00224407" w:rsidRPr="003B2AD2" w:rsidRDefault="00224407" w:rsidP="00224407">
      <w:pPr>
        <w:tabs>
          <w:tab w:val="left" w:pos="-720"/>
          <w:tab w:val="left" w:pos="0"/>
        </w:tabs>
        <w:suppressAutoHyphens/>
        <w:ind w:left="720" w:hanging="720"/>
        <w:rPr>
          <w:sz w:val="24"/>
          <w:szCs w:val="24"/>
        </w:rPr>
      </w:pPr>
      <w:r>
        <w:rPr>
          <w:sz w:val="24"/>
          <w:szCs w:val="24"/>
        </w:rPr>
        <w:tab/>
        <w:t xml:space="preserve">The required information with respect both to the </w:t>
      </w:r>
      <w:r w:rsidR="002969FE" w:rsidRPr="002969FE">
        <w:rPr>
          <w:sz w:val="24"/>
          <w:szCs w:val="24"/>
        </w:rPr>
        <w:t>DCO Final Rule</w:t>
      </w:r>
      <w:r w:rsidR="002969FE" w:rsidRPr="002969FE" w:rsidDel="002969FE">
        <w:rPr>
          <w:sz w:val="24"/>
          <w:szCs w:val="24"/>
        </w:rPr>
        <w:t xml:space="preserve"> </w:t>
      </w:r>
      <w:r>
        <w:rPr>
          <w:sz w:val="24"/>
          <w:szCs w:val="24"/>
        </w:rPr>
        <w:t xml:space="preserve">and the SIDCO/Subpart C DCO Regulations does not involve any small businesses or other small entities. </w:t>
      </w:r>
    </w:p>
    <w:p w:rsidR="00224407" w:rsidRPr="003B2AD2" w:rsidRDefault="00224407" w:rsidP="00224407">
      <w:pPr>
        <w:tabs>
          <w:tab w:val="left" w:pos="-720"/>
        </w:tabs>
        <w:suppressAutoHyphens/>
        <w:rPr>
          <w:sz w:val="24"/>
          <w:szCs w:val="24"/>
        </w:rPr>
      </w:pPr>
      <w:r w:rsidRPr="003B2AD2">
        <w:rPr>
          <w:sz w:val="24"/>
          <w:szCs w:val="24"/>
        </w:rPr>
        <w:tab/>
      </w:r>
    </w:p>
    <w:p w:rsidR="00224407" w:rsidRDefault="00224407" w:rsidP="00224407">
      <w:pPr>
        <w:tabs>
          <w:tab w:val="left" w:pos="-720"/>
          <w:tab w:val="left" w:pos="0"/>
        </w:tabs>
        <w:suppressAutoHyphens/>
        <w:ind w:left="720" w:hanging="720"/>
        <w:rPr>
          <w:sz w:val="24"/>
          <w:szCs w:val="24"/>
        </w:rPr>
      </w:pPr>
      <w:r w:rsidRPr="003B2AD2">
        <w:rPr>
          <w:sz w:val="24"/>
          <w:szCs w:val="24"/>
        </w:rPr>
        <w:t>6.</w:t>
      </w:r>
      <w:r w:rsidRPr="003B2AD2">
        <w:rPr>
          <w:sz w:val="24"/>
          <w:szCs w:val="24"/>
        </w:rPr>
        <w:tab/>
      </w:r>
      <w:r w:rsidRPr="003B2AD2">
        <w:rPr>
          <w:sz w:val="24"/>
          <w:szCs w:val="24"/>
          <w:u w:val="single"/>
        </w:rPr>
        <w:t xml:space="preserve">Describe the consequence to the Federal Program or policy </w:t>
      </w:r>
      <w:r w:rsidRPr="003B2AD2">
        <w:rPr>
          <w:sz w:val="24"/>
          <w:szCs w:val="24"/>
        </w:rPr>
        <w:tab/>
      </w:r>
      <w:r w:rsidRPr="003B2AD2">
        <w:rPr>
          <w:sz w:val="24"/>
          <w:szCs w:val="24"/>
          <w:u w:val="single"/>
        </w:rPr>
        <w:t>activities if the collection were conducted less frequently as well as any technical or legal obstacles to reducing burden</w:t>
      </w:r>
      <w:r w:rsidRPr="003B2AD2">
        <w:rPr>
          <w:sz w:val="24"/>
          <w:szCs w:val="24"/>
        </w:rPr>
        <w:t>.</w:t>
      </w:r>
    </w:p>
    <w:p w:rsidR="00224407" w:rsidRDefault="00224407" w:rsidP="00224407">
      <w:pPr>
        <w:tabs>
          <w:tab w:val="left" w:pos="-720"/>
          <w:tab w:val="left" w:pos="0"/>
        </w:tabs>
        <w:suppressAutoHyphens/>
        <w:ind w:left="720" w:hanging="720"/>
        <w:rPr>
          <w:sz w:val="24"/>
          <w:szCs w:val="24"/>
        </w:rPr>
      </w:pPr>
    </w:p>
    <w:p w:rsidR="00224407" w:rsidRDefault="00224407" w:rsidP="00224407">
      <w:pPr>
        <w:numPr>
          <w:ilvl w:val="0"/>
          <w:numId w:val="4"/>
        </w:numPr>
        <w:tabs>
          <w:tab w:val="left" w:pos="-720"/>
          <w:tab w:val="left" w:pos="0"/>
        </w:tabs>
        <w:suppressAutoHyphens/>
        <w:rPr>
          <w:sz w:val="24"/>
          <w:szCs w:val="24"/>
        </w:rPr>
      </w:pPr>
      <w:r>
        <w:rPr>
          <w:sz w:val="24"/>
          <w:szCs w:val="24"/>
        </w:rPr>
        <w:t xml:space="preserve">With respect to the </w:t>
      </w:r>
      <w:r w:rsidR="002969FE" w:rsidRPr="002969FE">
        <w:rPr>
          <w:sz w:val="24"/>
          <w:szCs w:val="24"/>
        </w:rPr>
        <w:t>DCO Final Rule</w:t>
      </w:r>
      <w:r>
        <w:rPr>
          <w:sz w:val="24"/>
          <w:szCs w:val="24"/>
        </w:rPr>
        <w:t xml:space="preserve">, the CEA, as amended by the Dodd-Frank Act, requires a report to be submitted annually to the Commission.  </w:t>
      </w:r>
      <w:r w:rsidRPr="00B35608">
        <w:rPr>
          <w:sz w:val="24"/>
          <w:szCs w:val="24"/>
        </w:rPr>
        <w:t>If the collection w</w:t>
      </w:r>
      <w:r>
        <w:rPr>
          <w:sz w:val="24"/>
          <w:szCs w:val="24"/>
        </w:rPr>
        <w:t>as</w:t>
      </w:r>
      <w:r w:rsidRPr="00B35608">
        <w:rPr>
          <w:sz w:val="24"/>
          <w:szCs w:val="24"/>
        </w:rPr>
        <w:t xml:space="preserve"> conducted less frequently, </w:t>
      </w:r>
      <w:r>
        <w:rPr>
          <w:sz w:val="24"/>
          <w:szCs w:val="24"/>
        </w:rPr>
        <w:t>it would not comport with the requirements of the CEA.  In addition, the Commission requires an annual report to obtain timely information that is necessary to ensure that DCOs remain in compliance with Commission regulations.</w:t>
      </w:r>
    </w:p>
    <w:p w:rsidR="00224407" w:rsidRDefault="00224407" w:rsidP="00224407">
      <w:pPr>
        <w:tabs>
          <w:tab w:val="left" w:pos="-720"/>
          <w:tab w:val="left" w:pos="0"/>
        </w:tabs>
        <w:suppressAutoHyphens/>
        <w:ind w:left="720" w:hanging="720"/>
        <w:rPr>
          <w:sz w:val="24"/>
          <w:szCs w:val="24"/>
        </w:rPr>
      </w:pPr>
    </w:p>
    <w:p w:rsidR="00224407" w:rsidRPr="00174AFD" w:rsidRDefault="00224407" w:rsidP="00174AFD">
      <w:pPr>
        <w:pStyle w:val="ListParagraph"/>
        <w:numPr>
          <w:ilvl w:val="0"/>
          <w:numId w:val="4"/>
        </w:numPr>
        <w:tabs>
          <w:tab w:val="left" w:pos="-720"/>
          <w:tab w:val="left" w:pos="0"/>
        </w:tabs>
        <w:suppressAutoHyphens/>
        <w:rPr>
          <w:sz w:val="24"/>
          <w:szCs w:val="24"/>
        </w:rPr>
      </w:pPr>
      <w:r w:rsidRPr="00174AFD">
        <w:rPr>
          <w:sz w:val="24"/>
          <w:szCs w:val="24"/>
        </w:rPr>
        <w:t>With respect to the SIDCO/Subpart C DCO Regulations, as noted above,</w:t>
      </w:r>
      <w:r>
        <w:rPr>
          <w:rStyle w:val="FootnoteReference"/>
          <w:sz w:val="24"/>
          <w:szCs w:val="24"/>
        </w:rPr>
        <w:footnoteReference w:id="9"/>
      </w:r>
      <w:r w:rsidRPr="00174AFD">
        <w:rPr>
          <w:sz w:val="24"/>
          <w:szCs w:val="24"/>
        </w:rPr>
        <w:t xml:space="preserve"> Section 804 of the Dodd-Frank Act requires the Council to designate those FMUs that the Council determines are, or are likely to become, systemically important (meaning that a failure or disruption to the functioning of the FMU could create or increase the risk of significant liquidity or credit problems spreading among financial institutions or markets and, thereby threaten the stability of the U.S. financial system).  Section 805 of the Dodd-Frank Act directs the Commission to consider relevant international standards and existing prudential requirements when prescribing risk management standards governing the operations related to payment, clearing, and settlement activities for FMUs that are:  (a) designated as systemically important by the Council and (b) engaged in activities for which the Commission is the Supervisory Agency.  Two of the FMUs that have been designated as systemically important under Title VIII of the Dodd-Frank Act are CFTC-registered DCOs for which the Commission is the Supervisory Agency.  In addition, Section 752 of the Dodd-Frank Act, directs the Commission to consult and coordinate with foreign regulatory authorities on the establishment of consistent international standards with respect to the regulation of, among other things, swaps, futures, and options transactions. </w:t>
      </w:r>
    </w:p>
    <w:p w:rsidR="00224407" w:rsidRDefault="00224407" w:rsidP="00224407">
      <w:pPr>
        <w:tabs>
          <w:tab w:val="left" w:pos="-720"/>
          <w:tab w:val="left" w:pos="0"/>
        </w:tabs>
        <w:suppressAutoHyphens/>
        <w:ind w:left="1080" w:hanging="720"/>
        <w:rPr>
          <w:sz w:val="24"/>
          <w:szCs w:val="24"/>
        </w:rPr>
      </w:pPr>
    </w:p>
    <w:p w:rsidR="00224407" w:rsidRPr="003B2AD2" w:rsidRDefault="00224407" w:rsidP="00224407">
      <w:pPr>
        <w:tabs>
          <w:tab w:val="left" w:pos="-720"/>
          <w:tab w:val="left" w:pos="0"/>
        </w:tabs>
        <w:suppressAutoHyphens/>
        <w:ind w:left="1080" w:hanging="720"/>
        <w:rPr>
          <w:sz w:val="24"/>
          <w:szCs w:val="24"/>
        </w:rPr>
      </w:pPr>
      <w:r>
        <w:rPr>
          <w:sz w:val="24"/>
          <w:szCs w:val="24"/>
        </w:rPr>
        <w:tab/>
        <w:t>If the collections contained in the final SIDCO/Subpart C DCO Regulations were conducted less frequently, the implementation of regulations consistent with these provisions of the Dodd-Frank Act and relevant international standards would be undermined, as would the ability of the Commission to ensure that SIDCOs and Subpart C DCOs are in compliance with Commission regulations and have established appropriate risk management practices.</w:t>
      </w:r>
    </w:p>
    <w:p w:rsidR="00224407" w:rsidRPr="003B2AD2" w:rsidRDefault="00224407" w:rsidP="00224407">
      <w:pPr>
        <w:tabs>
          <w:tab w:val="left" w:pos="-720"/>
        </w:tabs>
        <w:suppressAutoHyphens/>
        <w:rPr>
          <w:sz w:val="24"/>
          <w:szCs w:val="24"/>
        </w:rPr>
      </w:pPr>
      <w:r w:rsidRPr="003B2AD2">
        <w:rPr>
          <w:sz w:val="24"/>
          <w:szCs w:val="24"/>
        </w:rPr>
        <w:t xml:space="preserve"> </w:t>
      </w:r>
      <w:r w:rsidRPr="003B2AD2">
        <w:rPr>
          <w:sz w:val="24"/>
          <w:szCs w:val="24"/>
        </w:rPr>
        <w:tab/>
      </w:r>
    </w:p>
    <w:p w:rsidR="00224407" w:rsidRPr="003B2AD2" w:rsidRDefault="00224407" w:rsidP="00224407">
      <w:pPr>
        <w:tabs>
          <w:tab w:val="left" w:pos="-720"/>
          <w:tab w:val="left" w:pos="0"/>
        </w:tabs>
        <w:suppressAutoHyphens/>
        <w:ind w:left="720" w:hanging="720"/>
        <w:rPr>
          <w:sz w:val="24"/>
          <w:szCs w:val="24"/>
        </w:rPr>
      </w:pPr>
      <w:r w:rsidRPr="003B2AD2">
        <w:rPr>
          <w:sz w:val="24"/>
          <w:szCs w:val="24"/>
        </w:rPr>
        <w:t>7.</w:t>
      </w:r>
      <w:r w:rsidRPr="003B2AD2">
        <w:rPr>
          <w:sz w:val="24"/>
          <w:szCs w:val="24"/>
        </w:rPr>
        <w:tab/>
      </w:r>
      <w:r w:rsidRPr="003B2AD2">
        <w:rPr>
          <w:sz w:val="24"/>
          <w:szCs w:val="24"/>
          <w:u w:val="single"/>
        </w:rPr>
        <w:t>Explain any special circumstances that require the collection to be conducted in a manner</w:t>
      </w:r>
      <w:r w:rsidRPr="003B2AD2">
        <w:rPr>
          <w:sz w:val="24"/>
          <w:szCs w:val="24"/>
        </w:rPr>
        <w:t>:</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requiring respondents to report information to the agency more often than quarterly;</w:t>
      </w:r>
    </w:p>
    <w:p w:rsidR="00224407" w:rsidRDefault="00224407" w:rsidP="00224407">
      <w:pPr>
        <w:tabs>
          <w:tab w:val="left" w:pos="-720"/>
          <w:tab w:val="left" w:pos="0"/>
          <w:tab w:val="left" w:pos="720"/>
        </w:tabs>
        <w:suppressAutoHyphens/>
        <w:ind w:left="1440" w:hanging="1440"/>
        <w:rPr>
          <w:sz w:val="24"/>
          <w:szCs w:val="24"/>
        </w:rPr>
      </w:pPr>
    </w:p>
    <w:p w:rsidR="00224407" w:rsidRDefault="00224407" w:rsidP="00224407">
      <w:pPr>
        <w:numPr>
          <w:ilvl w:val="0"/>
          <w:numId w:val="5"/>
        </w:numPr>
        <w:tabs>
          <w:tab w:val="left" w:pos="-720"/>
        </w:tabs>
        <w:suppressAutoHyphens/>
        <w:rPr>
          <w:sz w:val="24"/>
          <w:szCs w:val="24"/>
        </w:rPr>
      </w:pPr>
      <w:r w:rsidRPr="00B35608">
        <w:rPr>
          <w:sz w:val="24"/>
          <w:szCs w:val="24"/>
        </w:rPr>
        <w:t xml:space="preserve">The </w:t>
      </w:r>
      <w:r w:rsidR="00D15E60">
        <w:rPr>
          <w:sz w:val="24"/>
          <w:szCs w:val="24"/>
        </w:rPr>
        <w:t xml:space="preserve"> DCO Final Rule</w:t>
      </w:r>
      <w:r w:rsidRPr="00B35608">
        <w:rPr>
          <w:sz w:val="24"/>
          <w:szCs w:val="24"/>
        </w:rPr>
        <w:t xml:space="preserve"> require</w:t>
      </w:r>
      <w:r w:rsidR="00B023E2">
        <w:rPr>
          <w:sz w:val="24"/>
          <w:szCs w:val="24"/>
        </w:rPr>
        <w:t>s</w:t>
      </w:r>
      <w:r w:rsidRPr="00B35608">
        <w:rPr>
          <w:sz w:val="24"/>
          <w:szCs w:val="24"/>
        </w:rPr>
        <w:t xml:space="preserve"> DCOs to report information to the Commission on a</w:t>
      </w:r>
      <w:r>
        <w:rPr>
          <w:sz w:val="24"/>
          <w:szCs w:val="24"/>
        </w:rPr>
        <w:t xml:space="preserve">n annual </w:t>
      </w:r>
      <w:r w:rsidRPr="00B35608">
        <w:rPr>
          <w:sz w:val="24"/>
          <w:szCs w:val="24"/>
        </w:rPr>
        <w:t>basis</w:t>
      </w:r>
      <w:r>
        <w:rPr>
          <w:sz w:val="24"/>
          <w:szCs w:val="24"/>
        </w:rPr>
        <w:t>,</w:t>
      </w:r>
      <w:r w:rsidRPr="00B35608">
        <w:rPr>
          <w:sz w:val="24"/>
          <w:szCs w:val="24"/>
        </w:rPr>
        <w:t xml:space="preserve"> but </w:t>
      </w:r>
      <w:r>
        <w:rPr>
          <w:sz w:val="24"/>
          <w:szCs w:val="24"/>
        </w:rPr>
        <w:t xml:space="preserve">would </w:t>
      </w:r>
      <w:r w:rsidRPr="00B35608">
        <w:rPr>
          <w:sz w:val="24"/>
          <w:szCs w:val="24"/>
        </w:rPr>
        <w:t xml:space="preserve">allow the Commission to collect information at other times as necessary.  This provision is designed to address the need </w:t>
      </w:r>
      <w:r>
        <w:rPr>
          <w:sz w:val="24"/>
          <w:szCs w:val="24"/>
        </w:rPr>
        <w:t>for the Commission to ensure that DCOs remain in compliance with Commission regulations</w:t>
      </w:r>
      <w:r w:rsidRPr="00B35608">
        <w:rPr>
          <w:sz w:val="24"/>
          <w:szCs w:val="24"/>
        </w:rPr>
        <w:t>.</w:t>
      </w:r>
    </w:p>
    <w:p w:rsidR="00224407" w:rsidRDefault="00224407" w:rsidP="00224407">
      <w:pPr>
        <w:tabs>
          <w:tab w:val="left" w:pos="-720"/>
        </w:tabs>
        <w:suppressAutoHyphens/>
        <w:ind w:left="1440"/>
        <w:rPr>
          <w:sz w:val="24"/>
          <w:szCs w:val="24"/>
        </w:rPr>
      </w:pPr>
    </w:p>
    <w:p w:rsidR="00224407" w:rsidRPr="006C6E3E" w:rsidRDefault="00224407" w:rsidP="00224407">
      <w:pPr>
        <w:numPr>
          <w:ilvl w:val="0"/>
          <w:numId w:val="5"/>
        </w:numPr>
        <w:tabs>
          <w:tab w:val="left" w:pos="-720"/>
        </w:tabs>
        <w:suppressAutoHyphens/>
        <w:rPr>
          <w:sz w:val="24"/>
          <w:szCs w:val="24"/>
        </w:rPr>
      </w:pPr>
      <w:r>
        <w:rPr>
          <w:sz w:val="24"/>
          <w:szCs w:val="24"/>
        </w:rPr>
        <w:t>The SIDCO/Subpart C DCO Regulations do not require DCOs to report information to the Commission more frequently than quarterly.  Many of the requirements are one-time events, particularly those related to a DCO opting-into compliance with the Subpart C regulations (</w:t>
      </w:r>
      <w:r w:rsidRPr="0079131B">
        <w:rPr>
          <w:i/>
          <w:sz w:val="24"/>
          <w:szCs w:val="24"/>
        </w:rPr>
        <w:t>e.g</w:t>
      </w:r>
      <w:r>
        <w:rPr>
          <w:sz w:val="24"/>
          <w:szCs w:val="24"/>
        </w:rPr>
        <w:t xml:space="preserve">., requirements involving the preparation and filing of a Subpart C Election Form).  </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requiring respondents to prepare a written response to a collection of information in fewer than 30 days after receipt of it:</w:t>
      </w:r>
    </w:p>
    <w:p w:rsidR="00224407" w:rsidRDefault="00224407" w:rsidP="00224407">
      <w:pPr>
        <w:tabs>
          <w:tab w:val="left" w:pos="-720"/>
          <w:tab w:val="left" w:pos="0"/>
          <w:tab w:val="left" w:pos="720"/>
        </w:tabs>
        <w:suppressAutoHyphens/>
        <w:ind w:left="1440" w:hanging="1440"/>
        <w:rPr>
          <w:sz w:val="24"/>
          <w:szCs w:val="24"/>
          <w:u w:val="single"/>
        </w:rPr>
      </w:pPr>
    </w:p>
    <w:p w:rsidR="00224407" w:rsidRDefault="00224407" w:rsidP="00224407">
      <w:pPr>
        <w:tabs>
          <w:tab w:val="left" w:pos="-720"/>
          <w:tab w:val="left" w:pos="0"/>
          <w:tab w:val="left" w:pos="720"/>
        </w:tabs>
        <w:suppressAutoHyphens/>
        <w:ind w:left="1440"/>
        <w:rPr>
          <w:sz w:val="24"/>
          <w:szCs w:val="24"/>
        </w:rPr>
      </w:pPr>
      <w:r>
        <w:rPr>
          <w:sz w:val="24"/>
          <w:szCs w:val="24"/>
        </w:rPr>
        <w:t>With respect to the</w:t>
      </w:r>
      <w:r w:rsidR="00D15E60">
        <w:rPr>
          <w:sz w:val="24"/>
          <w:szCs w:val="24"/>
        </w:rPr>
        <w:t xml:space="preserve"> DCO Final Rule</w:t>
      </w:r>
      <w:r>
        <w:rPr>
          <w:sz w:val="24"/>
          <w:szCs w:val="24"/>
        </w:rPr>
        <w:t xml:space="preserve"> and the SIDCO/Subpart C DCO Regulations, in</w:t>
      </w:r>
      <w:r w:rsidRPr="00B35608">
        <w:rPr>
          <w:sz w:val="24"/>
          <w:szCs w:val="24"/>
        </w:rPr>
        <w:t xml:space="preserve"> order for the Commission to assess adequately whether a DCO is in compliance </w:t>
      </w:r>
      <w:r w:rsidR="00B023E2">
        <w:rPr>
          <w:sz w:val="24"/>
          <w:szCs w:val="24"/>
        </w:rPr>
        <w:t xml:space="preserve">with the </w:t>
      </w:r>
      <w:r>
        <w:rPr>
          <w:sz w:val="24"/>
          <w:szCs w:val="24"/>
        </w:rPr>
        <w:t>Commission regulations</w:t>
      </w:r>
      <w:r w:rsidRPr="00B35608">
        <w:rPr>
          <w:sz w:val="24"/>
          <w:szCs w:val="24"/>
        </w:rPr>
        <w:t>, a DCO might be required to prepare a written response to a collection of information in fewer than 30 days</w:t>
      </w:r>
      <w:r>
        <w:rPr>
          <w:sz w:val="24"/>
          <w:szCs w:val="24"/>
        </w:rPr>
        <w:t>,</w:t>
      </w:r>
      <w:r w:rsidRPr="00B35608">
        <w:rPr>
          <w:sz w:val="24"/>
          <w:szCs w:val="24"/>
        </w:rPr>
        <w:t xml:space="preserve"> depending on the exigency of the situation.</w:t>
      </w:r>
      <w:r>
        <w:rPr>
          <w:sz w:val="24"/>
          <w:szCs w:val="24"/>
        </w:rPr>
        <w:t xml:space="preserve">  Prompt attention may be particularly important with respect to SIDCOs, in light of the potential impact that a SIDCO’s failure could have on the U.S. financial system.  </w:t>
      </w:r>
    </w:p>
    <w:p w:rsidR="00224407" w:rsidRPr="00B35608" w:rsidRDefault="00224407" w:rsidP="00224407">
      <w:pPr>
        <w:tabs>
          <w:tab w:val="left" w:pos="-720"/>
          <w:tab w:val="left" w:pos="0"/>
          <w:tab w:val="left" w:pos="720"/>
        </w:tabs>
        <w:suppressAutoHyphens/>
        <w:ind w:left="1440" w:hanging="1440"/>
        <w:rPr>
          <w:sz w:val="24"/>
          <w:szCs w:val="24"/>
        </w:rPr>
      </w:pPr>
    </w:p>
    <w:p w:rsidR="00224407"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more that an original and two copies of any document</w:t>
      </w:r>
      <w:r w:rsidRPr="003B2AD2">
        <w:rPr>
          <w:sz w:val="24"/>
          <w:szCs w:val="24"/>
        </w:rPr>
        <w:t>;</w:t>
      </w:r>
    </w:p>
    <w:p w:rsidR="00224407" w:rsidRDefault="00224407" w:rsidP="00224407">
      <w:pPr>
        <w:tabs>
          <w:tab w:val="left" w:pos="-720"/>
          <w:tab w:val="left" w:pos="0"/>
          <w:tab w:val="left" w:pos="720"/>
        </w:tabs>
        <w:suppressAutoHyphens/>
        <w:ind w:left="1440" w:hanging="1440"/>
        <w:rPr>
          <w:sz w:val="24"/>
          <w:szCs w:val="24"/>
        </w:rPr>
      </w:pPr>
      <w:r>
        <w:rPr>
          <w:sz w:val="24"/>
          <w:szCs w:val="24"/>
        </w:rPr>
        <w:tab/>
      </w:r>
    </w:p>
    <w:p w:rsidR="00D15E60" w:rsidRDefault="00224407" w:rsidP="00224407">
      <w:pPr>
        <w:tabs>
          <w:tab w:val="left" w:pos="-720"/>
          <w:tab w:val="left" w:pos="0"/>
          <w:tab w:val="left" w:pos="720"/>
        </w:tabs>
        <w:suppressAutoHyphens/>
        <w:ind w:left="1440" w:hanging="1440"/>
        <w:rPr>
          <w:sz w:val="24"/>
          <w:szCs w:val="24"/>
        </w:rPr>
      </w:pPr>
      <w:r>
        <w:rPr>
          <w:sz w:val="24"/>
          <w:szCs w:val="24"/>
        </w:rPr>
        <w:tab/>
      </w:r>
      <w:r>
        <w:rPr>
          <w:sz w:val="24"/>
          <w:szCs w:val="24"/>
        </w:rPr>
        <w:tab/>
        <w:t xml:space="preserve">With respect both to the </w:t>
      </w:r>
      <w:r w:rsidR="00D15E60" w:rsidRPr="00D15E60">
        <w:rPr>
          <w:sz w:val="24"/>
          <w:szCs w:val="24"/>
        </w:rPr>
        <w:t>DCO Final Rule</w:t>
      </w:r>
      <w:r w:rsidR="00D15E60" w:rsidRPr="00D15E60" w:rsidDel="00D15E60">
        <w:rPr>
          <w:sz w:val="24"/>
          <w:szCs w:val="24"/>
        </w:rPr>
        <w:t xml:space="preserve"> </w:t>
      </w:r>
      <w:r>
        <w:rPr>
          <w:sz w:val="24"/>
          <w:szCs w:val="24"/>
        </w:rPr>
        <w:t xml:space="preserve">and SIDCO/Subpart C DCO Regulations, </w:t>
      </w:r>
      <w:r w:rsidRPr="00B35608">
        <w:rPr>
          <w:sz w:val="24"/>
          <w:szCs w:val="24"/>
        </w:rPr>
        <w:t>DCOs are required to submit only single copies of documents.</w:t>
      </w:r>
    </w:p>
    <w:p w:rsidR="00224407" w:rsidRPr="003B2AD2" w:rsidRDefault="00224407" w:rsidP="00224407">
      <w:pPr>
        <w:tabs>
          <w:tab w:val="left" w:pos="-720"/>
          <w:tab w:val="left" w:pos="0"/>
          <w:tab w:val="left" w:pos="720"/>
        </w:tabs>
        <w:suppressAutoHyphens/>
        <w:ind w:left="1440" w:hanging="1440"/>
        <w:rPr>
          <w:sz w:val="24"/>
          <w:szCs w:val="24"/>
        </w:rPr>
      </w:pPr>
      <w:r>
        <w:rPr>
          <w:sz w:val="24"/>
          <w:szCs w:val="24"/>
        </w:rPr>
        <w:tab/>
      </w:r>
      <w:r>
        <w:rPr>
          <w:sz w:val="24"/>
          <w:szCs w:val="24"/>
        </w:rPr>
        <w:tab/>
        <w:t xml:space="preserve"> </w:t>
      </w:r>
    </w:p>
    <w:p w:rsidR="00224407"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retain records other than health, medical, government contract, grant-in-aid, or tax records, for more than three years</w:t>
      </w:r>
      <w:r w:rsidRPr="003B2AD2">
        <w:rPr>
          <w:sz w:val="24"/>
          <w:szCs w:val="24"/>
        </w:rPr>
        <w:t>;</w:t>
      </w:r>
    </w:p>
    <w:p w:rsidR="00224407" w:rsidRDefault="00224407" w:rsidP="00224407">
      <w:pPr>
        <w:tabs>
          <w:tab w:val="left" w:pos="-720"/>
          <w:tab w:val="left" w:pos="0"/>
          <w:tab w:val="left" w:pos="720"/>
        </w:tabs>
        <w:suppressAutoHyphens/>
        <w:ind w:left="1440" w:hanging="1440"/>
        <w:rPr>
          <w:sz w:val="24"/>
          <w:szCs w:val="24"/>
        </w:rPr>
      </w:pPr>
    </w:p>
    <w:p w:rsidR="00224407" w:rsidRPr="00B35608" w:rsidRDefault="00224407" w:rsidP="00224407">
      <w:pPr>
        <w:tabs>
          <w:tab w:val="left" w:pos="-720"/>
        </w:tabs>
        <w:suppressAutoHyphens/>
        <w:ind w:left="1440"/>
        <w:rPr>
          <w:sz w:val="24"/>
          <w:szCs w:val="24"/>
        </w:rPr>
      </w:pPr>
      <w:r>
        <w:rPr>
          <w:sz w:val="24"/>
          <w:szCs w:val="24"/>
        </w:rPr>
        <w:t xml:space="preserve">The CEA explicitly requires record retention by DCOs for more than three years.  </w:t>
      </w:r>
      <w:r w:rsidRPr="00B35608">
        <w:rPr>
          <w:sz w:val="24"/>
          <w:szCs w:val="24"/>
        </w:rPr>
        <w:t xml:space="preserve">A DCO is required by </w:t>
      </w:r>
      <w:r>
        <w:rPr>
          <w:sz w:val="24"/>
          <w:szCs w:val="24"/>
        </w:rPr>
        <w:t>c</w:t>
      </w:r>
      <w:r w:rsidRPr="00B35608">
        <w:rPr>
          <w:sz w:val="24"/>
          <w:szCs w:val="24"/>
        </w:rPr>
        <w:t xml:space="preserve">ore </w:t>
      </w:r>
      <w:r>
        <w:rPr>
          <w:sz w:val="24"/>
          <w:szCs w:val="24"/>
        </w:rPr>
        <w:t>p</w:t>
      </w:r>
      <w:r w:rsidRPr="00B35608">
        <w:rPr>
          <w:sz w:val="24"/>
          <w:szCs w:val="24"/>
        </w:rPr>
        <w:t xml:space="preserve">rinciple K to maintain records of all activities related to its business as a DCO in a form and manner that is acceptable to the Commission for a period of not less than 5 years. </w:t>
      </w:r>
      <w:r>
        <w:rPr>
          <w:sz w:val="24"/>
          <w:szCs w:val="24"/>
        </w:rPr>
        <w:t xml:space="preserve"> This is applicable both the </w:t>
      </w:r>
      <w:r w:rsidR="00D15E60" w:rsidRPr="00D15E60">
        <w:rPr>
          <w:sz w:val="24"/>
          <w:szCs w:val="24"/>
        </w:rPr>
        <w:t>DCO Final Rule</w:t>
      </w:r>
      <w:r w:rsidR="00D15E60" w:rsidRPr="00D15E60" w:rsidDel="00D15E60">
        <w:rPr>
          <w:sz w:val="24"/>
          <w:szCs w:val="24"/>
        </w:rPr>
        <w:t xml:space="preserve"> </w:t>
      </w:r>
      <w:r>
        <w:rPr>
          <w:sz w:val="24"/>
          <w:szCs w:val="24"/>
        </w:rPr>
        <w:t>and SIDCO/Subpart C DCO Regulations.</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in connection with a statistical survey, that is not designed to produce valid and reliable results that can be generalized to the universe of study</w:t>
      </w:r>
      <w:r w:rsidRPr="003B2AD2">
        <w:rPr>
          <w:sz w:val="24"/>
          <w:szCs w:val="24"/>
        </w:rPr>
        <w:t xml:space="preserve">; </w:t>
      </w:r>
    </w:p>
    <w:p w:rsidR="00224407" w:rsidRDefault="00224407" w:rsidP="00224407">
      <w:pPr>
        <w:tabs>
          <w:tab w:val="left" w:pos="-720"/>
          <w:tab w:val="left" w:pos="0"/>
          <w:tab w:val="left" w:pos="720"/>
        </w:tabs>
        <w:suppressAutoHyphens/>
        <w:ind w:left="1440" w:hanging="1440"/>
        <w:rPr>
          <w:sz w:val="24"/>
          <w:szCs w:val="24"/>
        </w:rPr>
      </w:pPr>
    </w:p>
    <w:p w:rsidR="00224407" w:rsidRPr="003B2AD2" w:rsidRDefault="00224407" w:rsidP="00224407">
      <w:pPr>
        <w:tabs>
          <w:tab w:val="left" w:pos="-720"/>
          <w:tab w:val="left" w:pos="0"/>
          <w:tab w:val="left" w:pos="720"/>
        </w:tabs>
        <w:suppressAutoHyphens/>
        <w:ind w:left="1440" w:hanging="1440"/>
        <w:rPr>
          <w:sz w:val="24"/>
          <w:szCs w:val="24"/>
        </w:rPr>
      </w:pPr>
      <w:r>
        <w:rPr>
          <w:sz w:val="24"/>
          <w:szCs w:val="24"/>
        </w:rPr>
        <w:tab/>
      </w:r>
      <w:r>
        <w:rPr>
          <w:sz w:val="24"/>
          <w:szCs w:val="24"/>
        </w:rPr>
        <w:tab/>
        <w:t xml:space="preserve">No statistical surveys are involved in either the </w:t>
      </w:r>
      <w:r w:rsidR="00D15E60">
        <w:rPr>
          <w:sz w:val="24"/>
          <w:szCs w:val="24"/>
        </w:rPr>
        <w:t>DCO Final Rule</w:t>
      </w:r>
      <w:r>
        <w:rPr>
          <w:sz w:val="24"/>
          <w:szCs w:val="24"/>
        </w:rPr>
        <w:t xml:space="preserve"> or the SIDCO/Subpart C DCO Regulations.</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the use of a statistical data classification that has not been reviewed and approved by OMB</w:t>
      </w:r>
      <w:r w:rsidRPr="003B2AD2">
        <w:rPr>
          <w:sz w:val="24"/>
          <w:szCs w:val="24"/>
        </w:rPr>
        <w:t>;</w:t>
      </w:r>
    </w:p>
    <w:p w:rsidR="00224407" w:rsidRDefault="00224407" w:rsidP="00224407">
      <w:pPr>
        <w:tabs>
          <w:tab w:val="left" w:pos="-720"/>
          <w:tab w:val="left" w:pos="0"/>
          <w:tab w:val="left" w:pos="720"/>
        </w:tabs>
        <w:suppressAutoHyphens/>
        <w:ind w:left="1440" w:hanging="1440"/>
        <w:rPr>
          <w:sz w:val="24"/>
          <w:szCs w:val="24"/>
        </w:rPr>
      </w:pPr>
    </w:p>
    <w:p w:rsidR="00224407" w:rsidRPr="003B2AD2" w:rsidRDefault="00224407" w:rsidP="00224407">
      <w:pPr>
        <w:tabs>
          <w:tab w:val="left" w:pos="-720"/>
          <w:tab w:val="left" w:pos="0"/>
          <w:tab w:val="left" w:pos="720"/>
        </w:tabs>
        <w:suppressAutoHyphens/>
        <w:ind w:left="1440" w:hanging="1440"/>
        <w:rPr>
          <w:sz w:val="24"/>
          <w:szCs w:val="24"/>
        </w:rPr>
      </w:pPr>
      <w:r>
        <w:rPr>
          <w:sz w:val="24"/>
          <w:szCs w:val="24"/>
        </w:rPr>
        <w:tab/>
      </w:r>
      <w:r>
        <w:rPr>
          <w:sz w:val="24"/>
          <w:szCs w:val="24"/>
        </w:rPr>
        <w:tab/>
        <w:t xml:space="preserve">Neither the requirements of the </w:t>
      </w:r>
      <w:r w:rsidR="00D15E60">
        <w:rPr>
          <w:sz w:val="24"/>
          <w:szCs w:val="24"/>
        </w:rPr>
        <w:t>DCO Final Rule</w:t>
      </w:r>
      <w:r>
        <w:rPr>
          <w:sz w:val="24"/>
          <w:szCs w:val="24"/>
        </w:rPr>
        <w:t xml:space="preserve"> nor the requirements of the SIDCO/Subpart C Regulations involve the use of statistical data classification.</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24407" w:rsidRDefault="00224407" w:rsidP="00224407">
      <w:pPr>
        <w:tabs>
          <w:tab w:val="left" w:pos="-720"/>
          <w:tab w:val="left" w:pos="0"/>
          <w:tab w:val="left" w:pos="720"/>
        </w:tabs>
        <w:suppressAutoHyphens/>
        <w:ind w:left="1440" w:hanging="1440"/>
        <w:rPr>
          <w:sz w:val="24"/>
          <w:szCs w:val="24"/>
          <w:u w:val="single"/>
        </w:rPr>
      </w:pPr>
    </w:p>
    <w:p w:rsidR="00224407" w:rsidRPr="00F658F1" w:rsidRDefault="00224407" w:rsidP="00224407">
      <w:pPr>
        <w:tabs>
          <w:tab w:val="left" w:pos="-720"/>
          <w:tab w:val="left" w:pos="0"/>
          <w:tab w:val="left" w:pos="720"/>
        </w:tabs>
        <w:suppressAutoHyphens/>
        <w:ind w:left="1440" w:hanging="1440"/>
        <w:rPr>
          <w:sz w:val="24"/>
          <w:szCs w:val="24"/>
        </w:rPr>
      </w:pPr>
      <w:r>
        <w:rPr>
          <w:sz w:val="24"/>
          <w:szCs w:val="24"/>
        </w:rPr>
        <w:tab/>
      </w:r>
      <w:r>
        <w:rPr>
          <w:sz w:val="24"/>
          <w:szCs w:val="24"/>
        </w:rPr>
        <w:tab/>
        <w:t>The Commission and its staff do not make unsupportable pledges of confidentiality in any circumstance.</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3B2AD2">
        <w:rPr>
          <w:sz w:val="24"/>
          <w:szCs w:val="24"/>
        </w:rPr>
        <w:t>.</w:t>
      </w:r>
    </w:p>
    <w:p w:rsidR="00224407" w:rsidRDefault="00224407" w:rsidP="00224407">
      <w:pPr>
        <w:tabs>
          <w:tab w:val="left" w:pos="-720"/>
          <w:tab w:val="left" w:pos="0"/>
          <w:tab w:val="left" w:pos="720"/>
        </w:tabs>
        <w:suppressAutoHyphens/>
        <w:ind w:left="1440" w:hanging="1440"/>
        <w:rPr>
          <w:sz w:val="24"/>
          <w:szCs w:val="24"/>
        </w:rPr>
      </w:pPr>
    </w:p>
    <w:p w:rsidR="00224407" w:rsidRDefault="00224407" w:rsidP="00224407">
      <w:pPr>
        <w:tabs>
          <w:tab w:val="left" w:pos="-720"/>
          <w:tab w:val="left" w:pos="0"/>
          <w:tab w:val="left" w:pos="720"/>
        </w:tabs>
        <w:suppressAutoHyphens/>
        <w:ind w:left="1440" w:hanging="1440"/>
        <w:rPr>
          <w:sz w:val="24"/>
          <w:szCs w:val="24"/>
        </w:rPr>
      </w:pPr>
      <w:r>
        <w:rPr>
          <w:sz w:val="24"/>
          <w:szCs w:val="24"/>
        </w:rPr>
        <w:tab/>
      </w:r>
      <w:r>
        <w:rPr>
          <w:sz w:val="24"/>
          <w:szCs w:val="24"/>
        </w:rPr>
        <w:tab/>
      </w:r>
      <w:r w:rsidR="00D57770" w:rsidRPr="00D57770">
        <w:rPr>
          <w:sz w:val="24"/>
          <w:szCs w:val="24"/>
        </w:rPr>
        <w:t>The Commission has procedures to protect the confidentiality of an applicant’s or registrant’s data.  These are set forth in the Commission’s regulations at parts 145 and 147 of title 17 of the Code of Federal Regulations.</w:t>
      </w:r>
    </w:p>
    <w:p w:rsidR="00224407" w:rsidRDefault="00224407" w:rsidP="00224407">
      <w:pPr>
        <w:tabs>
          <w:tab w:val="left" w:pos="-720"/>
          <w:tab w:val="left" w:pos="0"/>
          <w:tab w:val="left" w:pos="720"/>
        </w:tabs>
        <w:suppressAutoHyphens/>
        <w:ind w:left="1440" w:hanging="1440"/>
        <w:rPr>
          <w:sz w:val="24"/>
          <w:szCs w:val="24"/>
        </w:rPr>
      </w:pPr>
    </w:p>
    <w:p w:rsidR="00224407" w:rsidRPr="003B2AD2" w:rsidRDefault="00224407" w:rsidP="00174AFD">
      <w:pPr>
        <w:tabs>
          <w:tab w:val="left" w:pos="-720"/>
          <w:tab w:val="left" w:pos="0"/>
          <w:tab w:val="left" w:pos="720"/>
        </w:tabs>
        <w:suppressAutoHyphens/>
        <w:ind w:left="1440" w:hanging="1440"/>
        <w:rPr>
          <w:sz w:val="24"/>
          <w:szCs w:val="24"/>
        </w:rPr>
      </w:pPr>
      <w:r>
        <w:rPr>
          <w:sz w:val="24"/>
          <w:szCs w:val="24"/>
        </w:rPr>
        <w:tab/>
      </w:r>
      <w:r>
        <w:rPr>
          <w:sz w:val="24"/>
          <w:szCs w:val="24"/>
        </w:rPr>
        <w:tab/>
      </w:r>
    </w:p>
    <w:p w:rsidR="00224407" w:rsidRPr="008511BA" w:rsidRDefault="00224407" w:rsidP="00224407">
      <w:pPr>
        <w:tabs>
          <w:tab w:val="left" w:pos="-720"/>
          <w:tab w:val="left" w:pos="0"/>
        </w:tabs>
        <w:suppressAutoHyphens/>
        <w:ind w:left="720" w:hanging="720"/>
        <w:rPr>
          <w:sz w:val="24"/>
          <w:szCs w:val="24"/>
          <w:u w:val="single"/>
        </w:rPr>
      </w:pPr>
      <w:r w:rsidRPr="003B2AD2">
        <w:rPr>
          <w:sz w:val="24"/>
          <w:szCs w:val="24"/>
        </w:rPr>
        <w:t>8.</w:t>
      </w:r>
      <w:r w:rsidRPr="003B2AD2">
        <w:rPr>
          <w:sz w:val="24"/>
          <w:szCs w:val="24"/>
        </w:rPr>
        <w:tab/>
      </w:r>
      <w:r w:rsidRPr="003B2AD2">
        <w:rPr>
          <w:sz w:val="24"/>
          <w:szCs w:val="24"/>
          <w:u w:val="single"/>
        </w:rPr>
        <w:t>If a</w:t>
      </w:r>
      <w:r w:rsidRPr="00717C54">
        <w:rPr>
          <w:sz w:val="24"/>
          <w:szCs w:val="24"/>
          <w:u w:val="single"/>
        </w:rPr>
        <w:t>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w:t>
      </w:r>
      <w:r w:rsidRPr="008511BA">
        <w:rPr>
          <w:sz w:val="24"/>
          <w:szCs w:val="24"/>
          <w:u w:val="single"/>
        </w:rPr>
        <w:t>cy in response to these comments.  Specifically address comments received on cost and hour burden.</w:t>
      </w:r>
    </w:p>
    <w:p w:rsidR="00224407" w:rsidRPr="00490890" w:rsidRDefault="00224407" w:rsidP="00224407">
      <w:pPr>
        <w:tabs>
          <w:tab w:val="left" w:pos="-720"/>
          <w:tab w:val="left" w:pos="0"/>
        </w:tabs>
        <w:suppressAutoHyphens/>
        <w:ind w:left="720" w:hanging="720"/>
        <w:rPr>
          <w:sz w:val="24"/>
          <w:szCs w:val="24"/>
          <w:u w:val="single"/>
        </w:rPr>
      </w:pPr>
    </w:p>
    <w:p w:rsidR="00174AFD" w:rsidRDefault="00D57770" w:rsidP="00224407">
      <w:pPr>
        <w:tabs>
          <w:tab w:val="left" w:pos="-720"/>
        </w:tabs>
        <w:suppressAutoHyphens/>
        <w:rPr>
          <w:sz w:val="24"/>
          <w:szCs w:val="24"/>
        </w:rPr>
      </w:pPr>
      <w:r w:rsidRPr="00D57770">
        <w:rPr>
          <w:sz w:val="24"/>
          <w:szCs w:val="24"/>
        </w:rPr>
        <w:t>With respect both to the DCO Final Rule and SIDCO/Subpart C DCO Regulations</w:t>
      </w:r>
      <w:r>
        <w:rPr>
          <w:sz w:val="24"/>
          <w:szCs w:val="24"/>
        </w:rPr>
        <w:t>, a</w:t>
      </w:r>
      <w:r w:rsidRPr="00D57770">
        <w:rPr>
          <w:sz w:val="24"/>
          <w:szCs w:val="24"/>
        </w:rPr>
        <w:t xml:space="preserve"> copy of the Federal Register notice soliciting comments on this collection (82 Fed. Reg. </w:t>
      </w:r>
      <w:r>
        <w:rPr>
          <w:sz w:val="24"/>
          <w:szCs w:val="24"/>
        </w:rPr>
        <w:t>24688</w:t>
      </w:r>
      <w:r w:rsidRPr="00D57770">
        <w:rPr>
          <w:sz w:val="24"/>
          <w:szCs w:val="24"/>
        </w:rPr>
        <w:t xml:space="preserve">, </w:t>
      </w:r>
      <w:r>
        <w:rPr>
          <w:sz w:val="24"/>
          <w:szCs w:val="24"/>
        </w:rPr>
        <w:t>May 30</w:t>
      </w:r>
      <w:r w:rsidRPr="00D57770">
        <w:rPr>
          <w:sz w:val="24"/>
          <w:szCs w:val="24"/>
        </w:rPr>
        <w:t>, 2017) is attached.  The Commission received no comments.</w:t>
      </w:r>
    </w:p>
    <w:p w:rsidR="00224407" w:rsidRPr="003B2AD2" w:rsidRDefault="00D57770" w:rsidP="00224407">
      <w:pPr>
        <w:tabs>
          <w:tab w:val="left" w:pos="-720"/>
        </w:tabs>
        <w:suppressAutoHyphens/>
        <w:rPr>
          <w:sz w:val="24"/>
          <w:szCs w:val="24"/>
        </w:rPr>
      </w:pPr>
      <w:r w:rsidRPr="00D57770">
        <w:rPr>
          <w:sz w:val="24"/>
          <w:szCs w:val="24"/>
        </w:rPr>
        <w:tab/>
        <w:t xml:space="preserve">  </w:t>
      </w:r>
    </w:p>
    <w:p w:rsidR="00224407" w:rsidRPr="003B2AD2" w:rsidRDefault="00224407" w:rsidP="00224407">
      <w:pPr>
        <w:tabs>
          <w:tab w:val="left" w:pos="-720"/>
          <w:tab w:val="left" w:pos="0"/>
        </w:tabs>
        <w:suppressAutoHyphens/>
        <w:ind w:left="720" w:hanging="720"/>
        <w:rPr>
          <w:sz w:val="24"/>
          <w:szCs w:val="24"/>
          <w:u w:val="single"/>
        </w:rPr>
      </w:pPr>
      <w:r w:rsidRPr="003B2AD2">
        <w:rPr>
          <w:sz w:val="24"/>
          <w:szCs w:val="24"/>
        </w:rPr>
        <w:tab/>
      </w:r>
      <w:r w:rsidRPr="003B2AD2">
        <w:rPr>
          <w:sz w:val="24"/>
          <w:szCs w:val="24"/>
          <w:u w:val="single"/>
        </w:rPr>
        <w:t>Describe efforts to consult with persons outside the agency to obtain their views on the availability of data, frequency of collection, the clarity of instructions and recordkeeping disclosure, or reporting format (if any</w:t>
      </w:r>
      <w:r>
        <w:rPr>
          <w:sz w:val="24"/>
          <w:szCs w:val="24"/>
          <w:u w:val="single"/>
        </w:rPr>
        <w:t>)</w:t>
      </w:r>
      <w:r w:rsidRPr="003B2AD2">
        <w:rPr>
          <w:sz w:val="24"/>
          <w:szCs w:val="24"/>
          <w:u w:val="single"/>
        </w:rPr>
        <w:t>, and on the data elements to be recorded, disclosed, or reported.</w:t>
      </w:r>
    </w:p>
    <w:p w:rsidR="00224407" w:rsidRDefault="00224407" w:rsidP="00224407">
      <w:pPr>
        <w:tabs>
          <w:tab w:val="left" w:pos="-720"/>
        </w:tabs>
        <w:suppressAutoHyphens/>
        <w:rPr>
          <w:sz w:val="24"/>
          <w:szCs w:val="24"/>
          <w:u w:val="single"/>
        </w:rPr>
      </w:pPr>
    </w:p>
    <w:p w:rsidR="00224407" w:rsidRPr="00F658F1" w:rsidRDefault="00224407" w:rsidP="00224407">
      <w:pPr>
        <w:tabs>
          <w:tab w:val="left" w:pos="-720"/>
        </w:tabs>
        <w:suppressAutoHyphens/>
        <w:ind w:left="720"/>
        <w:rPr>
          <w:sz w:val="24"/>
          <w:szCs w:val="24"/>
        </w:rPr>
      </w:pPr>
      <w:r>
        <w:rPr>
          <w:sz w:val="24"/>
          <w:szCs w:val="24"/>
        </w:rPr>
        <w:t xml:space="preserve">With respect to the </w:t>
      </w:r>
      <w:r w:rsidR="00D15E60">
        <w:rPr>
          <w:sz w:val="24"/>
          <w:szCs w:val="24"/>
        </w:rPr>
        <w:t>DCO Final Rule</w:t>
      </w:r>
      <w:r w:rsidR="00D57770" w:rsidRPr="00D57770">
        <w:t xml:space="preserve"> </w:t>
      </w:r>
      <w:r w:rsidR="00D57770" w:rsidRPr="00D57770">
        <w:rPr>
          <w:sz w:val="24"/>
          <w:szCs w:val="24"/>
        </w:rPr>
        <w:t>and SIDCO/Subpart C DCO Regulations</w:t>
      </w:r>
      <w:r>
        <w:rPr>
          <w:sz w:val="24"/>
          <w:szCs w:val="24"/>
        </w:rPr>
        <w:t xml:space="preserve">, </w:t>
      </w:r>
      <w:r w:rsidR="00D57770">
        <w:rPr>
          <w:sz w:val="24"/>
          <w:szCs w:val="24"/>
        </w:rPr>
        <w:t>a</w:t>
      </w:r>
      <w:r w:rsidR="00D57770" w:rsidRPr="00D57770">
        <w:rPr>
          <w:sz w:val="24"/>
          <w:szCs w:val="24"/>
        </w:rPr>
        <w:t>s set forth above, the Commission affirmatively sought comments on the extension of information collection requirements described herein.</w:t>
      </w:r>
    </w:p>
    <w:p w:rsidR="00224407" w:rsidRPr="003B2AD2" w:rsidRDefault="00224407" w:rsidP="00224407">
      <w:pPr>
        <w:tabs>
          <w:tab w:val="left" w:pos="-720"/>
          <w:tab w:val="left" w:pos="0"/>
        </w:tabs>
        <w:suppressAutoHyphens/>
        <w:ind w:left="720" w:hanging="720"/>
        <w:rPr>
          <w:sz w:val="24"/>
          <w:szCs w:val="24"/>
        </w:rPr>
      </w:pPr>
      <w:r w:rsidRPr="003B2AD2">
        <w:rPr>
          <w:sz w:val="24"/>
          <w:szCs w:val="24"/>
        </w:rPr>
        <w:tab/>
      </w:r>
      <w:r w:rsidRPr="003B2AD2">
        <w:rPr>
          <w:sz w:val="24"/>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3B2AD2">
        <w:rPr>
          <w:sz w:val="24"/>
          <w:szCs w:val="24"/>
        </w:rPr>
        <w:t>.</w:t>
      </w:r>
    </w:p>
    <w:p w:rsidR="00224407" w:rsidRDefault="00224407" w:rsidP="00224407">
      <w:pPr>
        <w:tabs>
          <w:tab w:val="left" w:pos="-720"/>
        </w:tabs>
        <w:suppressAutoHyphens/>
        <w:rPr>
          <w:sz w:val="24"/>
          <w:szCs w:val="24"/>
        </w:rPr>
      </w:pPr>
    </w:p>
    <w:p w:rsidR="00224407" w:rsidRPr="003B2AD2" w:rsidRDefault="00224407" w:rsidP="00224407">
      <w:pPr>
        <w:tabs>
          <w:tab w:val="left" w:pos="-720"/>
        </w:tabs>
        <w:suppressAutoHyphens/>
        <w:rPr>
          <w:sz w:val="24"/>
          <w:szCs w:val="24"/>
        </w:rPr>
      </w:pPr>
      <w:r>
        <w:rPr>
          <w:sz w:val="24"/>
          <w:szCs w:val="24"/>
        </w:rPr>
        <w:tab/>
        <w:t xml:space="preserve">No such circumstances are anticipated. </w:t>
      </w:r>
    </w:p>
    <w:p w:rsidR="00224407" w:rsidRPr="003B2AD2" w:rsidRDefault="00224407" w:rsidP="00224407">
      <w:pPr>
        <w:tabs>
          <w:tab w:val="left" w:pos="-720"/>
        </w:tabs>
        <w:suppressAutoHyphens/>
        <w:rPr>
          <w:sz w:val="24"/>
          <w:szCs w:val="24"/>
        </w:rPr>
      </w:pPr>
    </w:p>
    <w:p w:rsidR="00224407" w:rsidRPr="003B2AD2" w:rsidRDefault="00224407" w:rsidP="00224407">
      <w:pPr>
        <w:tabs>
          <w:tab w:val="left" w:pos="-720"/>
          <w:tab w:val="left" w:pos="0"/>
        </w:tabs>
        <w:suppressAutoHyphens/>
        <w:ind w:left="720" w:hanging="720"/>
        <w:rPr>
          <w:sz w:val="24"/>
          <w:szCs w:val="24"/>
        </w:rPr>
      </w:pPr>
      <w:r w:rsidRPr="003B2AD2">
        <w:rPr>
          <w:sz w:val="24"/>
          <w:szCs w:val="24"/>
        </w:rPr>
        <w:t>9.</w:t>
      </w:r>
      <w:r w:rsidRPr="003B2AD2">
        <w:rPr>
          <w:sz w:val="24"/>
          <w:szCs w:val="24"/>
        </w:rPr>
        <w:tab/>
      </w:r>
      <w:r w:rsidRPr="003B2AD2">
        <w:rPr>
          <w:sz w:val="24"/>
          <w:szCs w:val="24"/>
          <w:u w:val="single"/>
        </w:rPr>
        <w:t>Explain any decision to provide any payment or gift to respondents, other than remuneration of contractors or grantees</w:t>
      </w:r>
      <w:r w:rsidRPr="003B2AD2">
        <w:rPr>
          <w:sz w:val="24"/>
          <w:szCs w:val="24"/>
        </w:rPr>
        <w:t>.</w:t>
      </w:r>
    </w:p>
    <w:p w:rsidR="00224407" w:rsidRDefault="00224407" w:rsidP="00224407">
      <w:pPr>
        <w:tabs>
          <w:tab w:val="left" w:pos="-720"/>
        </w:tabs>
        <w:suppressAutoHyphens/>
        <w:rPr>
          <w:sz w:val="24"/>
          <w:szCs w:val="24"/>
        </w:rPr>
      </w:pPr>
    </w:p>
    <w:p w:rsidR="00224407" w:rsidRPr="003B2AD2" w:rsidRDefault="00224407" w:rsidP="00224407">
      <w:pPr>
        <w:tabs>
          <w:tab w:val="left" w:pos="-720"/>
        </w:tabs>
        <w:suppressAutoHyphens/>
        <w:rPr>
          <w:sz w:val="24"/>
          <w:szCs w:val="24"/>
        </w:rPr>
      </w:pPr>
      <w:r>
        <w:rPr>
          <w:sz w:val="24"/>
          <w:szCs w:val="24"/>
        </w:rPr>
        <w:tab/>
        <w:t xml:space="preserve">This question does not apply. </w:t>
      </w:r>
    </w:p>
    <w:p w:rsidR="00224407" w:rsidRPr="003B2AD2" w:rsidRDefault="00224407" w:rsidP="00224407">
      <w:pPr>
        <w:tabs>
          <w:tab w:val="left" w:pos="-720"/>
        </w:tabs>
        <w:suppressAutoHyphens/>
        <w:rPr>
          <w:sz w:val="24"/>
          <w:szCs w:val="24"/>
        </w:rPr>
      </w:pPr>
      <w:r w:rsidRPr="003B2AD2">
        <w:rPr>
          <w:sz w:val="24"/>
          <w:szCs w:val="24"/>
        </w:rPr>
        <w:t xml:space="preserve">  </w:t>
      </w:r>
    </w:p>
    <w:p w:rsidR="00224407" w:rsidRDefault="00224407" w:rsidP="00224407">
      <w:pPr>
        <w:tabs>
          <w:tab w:val="left" w:pos="-720"/>
          <w:tab w:val="left" w:pos="0"/>
        </w:tabs>
        <w:suppressAutoHyphens/>
        <w:ind w:left="720" w:hanging="720"/>
        <w:rPr>
          <w:sz w:val="24"/>
          <w:szCs w:val="24"/>
        </w:rPr>
      </w:pPr>
      <w:r w:rsidRPr="003B2AD2">
        <w:rPr>
          <w:sz w:val="24"/>
          <w:szCs w:val="24"/>
        </w:rPr>
        <w:t>10.</w:t>
      </w:r>
      <w:r w:rsidRPr="003B2AD2">
        <w:rPr>
          <w:sz w:val="24"/>
          <w:szCs w:val="24"/>
        </w:rPr>
        <w:tab/>
      </w:r>
      <w:r w:rsidRPr="003B2AD2">
        <w:rPr>
          <w:sz w:val="24"/>
          <w:szCs w:val="24"/>
          <w:u w:val="single"/>
        </w:rPr>
        <w:t>Describe any assurance of confidentiality provided to respondents and the basis for the assurance in statute, regulations, or agency policy</w:t>
      </w:r>
      <w:r w:rsidRPr="003B2AD2">
        <w:rPr>
          <w:sz w:val="24"/>
          <w:szCs w:val="24"/>
        </w:rPr>
        <w:t>.</w:t>
      </w:r>
    </w:p>
    <w:p w:rsidR="00224407" w:rsidRDefault="00224407" w:rsidP="00224407">
      <w:pPr>
        <w:tabs>
          <w:tab w:val="left" w:pos="-720"/>
          <w:tab w:val="left" w:pos="0"/>
        </w:tabs>
        <w:suppressAutoHyphens/>
        <w:ind w:left="720" w:hanging="720"/>
        <w:rPr>
          <w:sz w:val="24"/>
          <w:szCs w:val="24"/>
        </w:rPr>
      </w:pPr>
    </w:p>
    <w:p w:rsidR="00D57770" w:rsidRPr="00D57770" w:rsidRDefault="00224407" w:rsidP="00D57770">
      <w:pPr>
        <w:tabs>
          <w:tab w:val="left" w:pos="-720"/>
          <w:tab w:val="left" w:pos="0"/>
        </w:tabs>
        <w:suppressAutoHyphens/>
        <w:ind w:left="720" w:hanging="720"/>
        <w:rPr>
          <w:sz w:val="24"/>
          <w:szCs w:val="24"/>
        </w:rPr>
      </w:pPr>
      <w:r>
        <w:rPr>
          <w:sz w:val="24"/>
          <w:szCs w:val="24"/>
        </w:rPr>
        <w:tab/>
      </w:r>
    </w:p>
    <w:p w:rsidR="00224407" w:rsidRPr="003B2AD2" w:rsidRDefault="00D57770" w:rsidP="00224407">
      <w:pPr>
        <w:tabs>
          <w:tab w:val="left" w:pos="-720"/>
          <w:tab w:val="left" w:pos="0"/>
        </w:tabs>
        <w:suppressAutoHyphens/>
        <w:ind w:left="720" w:hanging="720"/>
        <w:rPr>
          <w:sz w:val="24"/>
          <w:szCs w:val="24"/>
        </w:rPr>
      </w:pPr>
      <w:r>
        <w:rPr>
          <w:sz w:val="24"/>
          <w:szCs w:val="24"/>
        </w:rPr>
        <w:tab/>
      </w:r>
      <w:r w:rsidR="00E45C6E" w:rsidRPr="00E45C6E">
        <w:rPr>
          <w:sz w:val="24"/>
          <w:szCs w:val="24"/>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224407" w:rsidRPr="003B2AD2" w:rsidRDefault="00224407" w:rsidP="00224407">
      <w:pPr>
        <w:tabs>
          <w:tab w:val="left" w:pos="-720"/>
        </w:tabs>
        <w:suppressAutoHyphens/>
        <w:rPr>
          <w:sz w:val="24"/>
          <w:szCs w:val="24"/>
        </w:rPr>
      </w:pPr>
      <w:r w:rsidRPr="003B2AD2">
        <w:rPr>
          <w:sz w:val="24"/>
          <w:szCs w:val="24"/>
        </w:rPr>
        <w:tab/>
        <w:t xml:space="preserve">  </w:t>
      </w:r>
    </w:p>
    <w:p w:rsidR="00224407" w:rsidRDefault="00224407" w:rsidP="00224407">
      <w:pPr>
        <w:tabs>
          <w:tab w:val="left" w:pos="-720"/>
        </w:tabs>
        <w:suppressAutoHyphens/>
        <w:ind w:left="720" w:hanging="720"/>
        <w:rPr>
          <w:sz w:val="24"/>
          <w:szCs w:val="24"/>
        </w:rPr>
      </w:pPr>
      <w:r w:rsidRPr="003B2AD2">
        <w:rPr>
          <w:sz w:val="24"/>
          <w:szCs w:val="24"/>
        </w:rPr>
        <w:t>11.</w:t>
      </w:r>
      <w:r w:rsidRPr="003B2AD2">
        <w:rPr>
          <w:sz w:val="24"/>
          <w:szCs w:val="24"/>
        </w:rPr>
        <w:tab/>
      </w:r>
      <w:r w:rsidRPr="003B2AD2">
        <w:rPr>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B2AD2">
        <w:rPr>
          <w:sz w:val="24"/>
          <w:szCs w:val="24"/>
        </w:rPr>
        <w:t>.</w:t>
      </w:r>
    </w:p>
    <w:p w:rsidR="00224407" w:rsidRDefault="00224407" w:rsidP="00224407">
      <w:pPr>
        <w:tabs>
          <w:tab w:val="left" w:pos="-720"/>
        </w:tabs>
        <w:suppressAutoHyphens/>
        <w:ind w:left="720" w:hanging="720"/>
        <w:rPr>
          <w:sz w:val="24"/>
          <w:szCs w:val="24"/>
        </w:rPr>
      </w:pPr>
    </w:p>
    <w:p w:rsidR="00224407" w:rsidRPr="003B2AD2" w:rsidRDefault="00224407" w:rsidP="00224407">
      <w:pPr>
        <w:tabs>
          <w:tab w:val="left" w:pos="-720"/>
        </w:tabs>
        <w:suppressAutoHyphens/>
        <w:ind w:left="720" w:hanging="720"/>
        <w:rPr>
          <w:sz w:val="24"/>
          <w:szCs w:val="24"/>
        </w:rPr>
      </w:pPr>
      <w:r>
        <w:rPr>
          <w:sz w:val="24"/>
          <w:szCs w:val="24"/>
        </w:rPr>
        <w:tab/>
        <w:t xml:space="preserve">This question does not apply.  None of the required information is sensitive, as that term is used in Question 11.  </w:t>
      </w:r>
    </w:p>
    <w:p w:rsidR="00224407" w:rsidRPr="003B2AD2" w:rsidRDefault="00224407" w:rsidP="00224407">
      <w:pPr>
        <w:tabs>
          <w:tab w:val="left" w:pos="-720"/>
        </w:tabs>
        <w:suppressAutoHyphens/>
        <w:rPr>
          <w:sz w:val="24"/>
          <w:szCs w:val="24"/>
        </w:rPr>
      </w:pPr>
      <w:r w:rsidRPr="003B2AD2">
        <w:rPr>
          <w:sz w:val="24"/>
          <w:szCs w:val="24"/>
        </w:rPr>
        <w:tab/>
      </w:r>
    </w:p>
    <w:p w:rsidR="00224407" w:rsidRPr="003B2AD2" w:rsidRDefault="00224407" w:rsidP="00224407">
      <w:pPr>
        <w:tabs>
          <w:tab w:val="left" w:pos="-720"/>
          <w:tab w:val="left" w:pos="0"/>
        </w:tabs>
        <w:suppressAutoHyphens/>
        <w:ind w:left="720" w:hanging="720"/>
        <w:rPr>
          <w:sz w:val="24"/>
          <w:szCs w:val="24"/>
        </w:rPr>
      </w:pPr>
      <w:r w:rsidRPr="003B2AD2">
        <w:rPr>
          <w:sz w:val="24"/>
          <w:szCs w:val="24"/>
        </w:rPr>
        <w:t>12.</w:t>
      </w:r>
      <w:r w:rsidRPr="003B2AD2">
        <w:rPr>
          <w:sz w:val="24"/>
          <w:szCs w:val="24"/>
        </w:rPr>
        <w:tab/>
      </w:r>
      <w:r w:rsidRPr="003B2AD2">
        <w:rPr>
          <w:sz w:val="24"/>
          <w:szCs w:val="24"/>
          <w:u w:val="single"/>
        </w:rPr>
        <w:t>Provide estimates of the hour burden of the collection of information.  The Statement should</w:t>
      </w:r>
      <w:r w:rsidRPr="003B2AD2">
        <w:rPr>
          <w:sz w:val="24"/>
          <w:szCs w:val="24"/>
        </w:rPr>
        <w:t>:</w:t>
      </w:r>
    </w:p>
    <w:p w:rsidR="00224407" w:rsidRPr="003B2AD2" w:rsidRDefault="00224407" w:rsidP="00224407">
      <w:pPr>
        <w:tabs>
          <w:tab w:val="left" w:pos="-720"/>
        </w:tabs>
        <w:suppressAutoHyphens/>
        <w:rPr>
          <w:sz w:val="24"/>
          <w:szCs w:val="24"/>
        </w:rPr>
      </w:pPr>
    </w:p>
    <w:p w:rsidR="00224407" w:rsidRPr="003B2AD2"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24407" w:rsidRPr="003B2AD2" w:rsidRDefault="00224407" w:rsidP="00224407">
      <w:pPr>
        <w:tabs>
          <w:tab w:val="left" w:pos="-720"/>
        </w:tabs>
        <w:suppressAutoHyphens/>
        <w:rPr>
          <w:sz w:val="24"/>
          <w:szCs w:val="24"/>
        </w:rPr>
      </w:pPr>
    </w:p>
    <w:p w:rsidR="00224407" w:rsidRPr="003B2AD2"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If the request for approval covers more than one form, provide separate hour burden estimates for each form and aggregate the hour burdens in Item 13 of OMB Form 83-I.</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Provide estimates of annualized cost to respondents for the hours burdens for collections of information, identifying and using appropriate wage rate categories.  The cost of contracting ou</w:t>
      </w:r>
      <w:r>
        <w:rPr>
          <w:sz w:val="24"/>
          <w:szCs w:val="24"/>
        </w:rPr>
        <w:t>t</w:t>
      </w:r>
      <w:r w:rsidRPr="003B2AD2">
        <w:rPr>
          <w:sz w:val="24"/>
          <w:szCs w:val="24"/>
        </w:rPr>
        <w:t xml:space="preserve"> or paying outside parties for information collection activities should not be included here.  Instead, this cost should be included in Item 13.</w:t>
      </w:r>
    </w:p>
    <w:p w:rsidR="00224407" w:rsidRDefault="00224407" w:rsidP="00224407">
      <w:pPr>
        <w:tabs>
          <w:tab w:val="left" w:pos="-720"/>
          <w:tab w:val="left" w:pos="0"/>
          <w:tab w:val="left" w:pos="720"/>
        </w:tabs>
        <w:suppressAutoHyphens/>
        <w:ind w:left="1440" w:hanging="1440"/>
        <w:rPr>
          <w:sz w:val="24"/>
          <w:szCs w:val="24"/>
        </w:rPr>
      </w:pPr>
    </w:p>
    <w:p w:rsidR="00643A4B" w:rsidRDefault="00643A4B" w:rsidP="00224407">
      <w:pPr>
        <w:ind w:left="720"/>
        <w:rPr>
          <w:sz w:val="24"/>
          <w:szCs w:val="24"/>
        </w:rPr>
      </w:pPr>
      <w:r>
        <w:rPr>
          <w:sz w:val="24"/>
          <w:szCs w:val="24"/>
        </w:rPr>
        <w:t>S</w:t>
      </w:r>
      <w:r w:rsidRPr="00643A4B">
        <w:rPr>
          <w:sz w:val="24"/>
          <w:szCs w:val="24"/>
        </w:rPr>
        <w:t xml:space="preserve">ee Attachment A.  </w:t>
      </w:r>
    </w:p>
    <w:p w:rsidR="00643A4B" w:rsidRDefault="00643A4B" w:rsidP="00224407">
      <w:pPr>
        <w:ind w:left="720"/>
        <w:rPr>
          <w:sz w:val="24"/>
          <w:szCs w:val="24"/>
        </w:rPr>
      </w:pPr>
    </w:p>
    <w:p w:rsidR="00224407" w:rsidRPr="00704BA2" w:rsidRDefault="00224407" w:rsidP="00224407">
      <w:pPr>
        <w:ind w:left="720"/>
        <w:rPr>
          <w:sz w:val="24"/>
          <w:szCs w:val="24"/>
        </w:rPr>
      </w:pPr>
      <w:r>
        <w:rPr>
          <w:sz w:val="24"/>
          <w:szCs w:val="24"/>
        </w:rPr>
        <w:t xml:space="preserve">In addition to other research, Commission staff discussed the costs associated with the annual report required in the Section 725(b) Regulations with the CCO of a DCO.  The estimates related to the information collection in the SIDCO/Subpart C DCO Regulations are based on the experience of the Commission and its staff with DCOs engaged in related practices since the DCO core principles were first enacted in 2000, and also are provided in Attachment </w:t>
      </w:r>
      <w:r w:rsidR="00643A4B">
        <w:rPr>
          <w:sz w:val="24"/>
          <w:szCs w:val="24"/>
        </w:rPr>
        <w:t>A</w:t>
      </w:r>
      <w:r>
        <w:rPr>
          <w:sz w:val="24"/>
          <w:szCs w:val="24"/>
        </w:rPr>
        <w:t>.</w:t>
      </w:r>
    </w:p>
    <w:p w:rsidR="00224407" w:rsidRPr="00704BA2" w:rsidRDefault="00224407" w:rsidP="00224407">
      <w:pPr>
        <w:tabs>
          <w:tab w:val="left" w:pos="-720"/>
          <w:tab w:val="left" w:pos="0"/>
          <w:tab w:val="left" w:pos="720"/>
        </w:tabs>
        <w:suppressAutoHyphens/>
        <w:ind w:left="720" w:hanging="720"/>
        <w:rPr>
          <w:sz w:val="24"/>
          <w:szCs w:val="24"/>
        </w:rPr>
      </w:pPr>
    </w:p>
    <w:p w:rsidR="00224407" w:rsidRPr="003B2AD2" w:rsidRDefault="00224407" w:rsidP="00224407">
      <w:pPr>
        <w:tabs>
          <w:tab w:val="left" w:pos="-720"/>
          <w:tab w:val="left" w:pos="0"/>
        </w:tabs>
        <w:suppressAutoHyphens/>
        <w:ind w:left="720" w:hanging="720"/>
        <w:rPr>
          <w:sz w:val="24"/>
          <w:szCs w:val="24"/>
        </w:rPr>
      </w:pPr>
      <w:r w:rsidRPr="003B2AD2">
        <w:rPr>
          <w:sz w:val="24"/>
          <w:szCs w:val="24"/>
        </w:rPr>
        <w:t>13.</w:t>
      </w:r>
      <w:r w:rsidRPr="003B2AD2">
        <w:rPr>
          <w:sz w:val="24"/>
          <w:szCs w:val="24"/>
        </w:rPr>
        <w:tab/>
      </w:r>
      <w:r w:rsidRPr="003B2AD2">
        <w:rPr>
          <w:sz w:val="24"/>
          <w:szCs w:val="24"/>
          <w:u w:val="single"/>
        </w:rPr>
        <w:t>Provide an estimate of the total annual cost burden to respondents or record keepers resulting f</w:t>
      </w:r>
      <w:r>
        <w:rPr>
          <w:sz w:val="24"/>
          <w:szCs w:val="24"/>
          <w:u w:val="single"/>
        </w:rPr>
        <w:t>r</w:t>
      </w:r>
      <w:r w:rsidRPr="003B2AD2">
        <w:rPr>
          <w:sz w:val="24"/>
          <w:szCs w:val="24"/>
          <w:u w:val="single"/>
        </w:rPr>
        <w:t>om the collection of information.  (Do not include the cost of any hour burden shown in Items 12 and 14)</w:t>
      </w:r>
      <w:r w:rsidRPr="003B2AD2">
        <w:rPr>
          <w:sz w:val="24"/>
          <w:szCs w:val="24"/>
        </w:rPr>
        <w:t>.</w:t>
      </w:r>
    </w:p>
    <w:p w:rsidR="00224407" w:rsidRPr="003B2AD2" w:rsidRDefault="00224407" w:rsidP="00224407">
      <w:pPr>
        <w:tabs>
          <w:tab w:val="left" w:pos="-720"/>
        </w:tabs>
        <w:suppressAutoHyphens/>
        <w:rPr>
          <w:sz w:val="24"/>
          <w:szCs w:val="24"/>
        </w:rPr>
      </w:pPr>
    </w:p>
    <w:p w:rsidR="00224407" w:rsidRPr="003B2AD2"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24407" w:rsidRPr="003B2AD2" w:rsidRDefault="00224407" w:rsidP="00224407">
      <w:pPr>
        <w:tabs>
          <w:tab w:val="left" w:pos="-720"/>
        </w:tabs>
        <w:suppressAutoHyphens/>
        <w:rPr>
          <w:sz w:val="24"/>
          <w:szCs w:val="24"/>
        </w:rPr>
      </w:pPr>
    </w:p>
    <w:p w:rsidR="00224407" w:rsidRPr="003B2AD2"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24407" w:rsidRPr="003B2AD2" w:rsidRDefault="00224407" w:rsidP="00224407">
      <w:pPr>
        <w:tabs>
          <w:tab w:val="left" w:pos="-720"/>
        </w:tabs>
        <w:suppressAutoHyphens/>
        <w:rPr>
          <w:sz w:val="24"/>
          <w:szCs w:val="24"/>
        </w:rPr>
      </w:pPr>
    </w:p>
    <w:p w:rsidR="00224407" w:rsidRPr="003B2AD2" w:rsidRDefault="00224407" w:rsidP="00224407">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24407" w:rsidRDefault="00224407" w:rsidP="00224407">
      <w:pPr>
        <w:tabs>
          <w:tab w:val="left" w:pos="-720"/>
        </w:tabs>
        <w:suppressAutoHyphens/>
        <w:rPr>
          <w:sz w:val="24"/>
          <w:szCs w:val="24"/>
        </w:rPr>
      </w:pPr>
    </w:p>
    <w:p w:rsidR="00224407" w:rsidRDefault="00224407" w:rsidP="00224407">
      <w:pPr>
        <w:tabs>
          <w:tab w:val="left" w:pos="-720"/>
        </w:tabs>
        <w:suppressAutoHyphens/>
        <w:ind w:left="1440"/>
        <w:rPr>
          <w:sz w:val="24"/>
          <w:szCs w:val="24"/>
        </w:rPr>
      </w:pPr>
      <w:r>
        <w:rPr>
          <w:sz w:val="24"/>
          <w:szCs w:val="24"/>
        </w:rPr>
        <w:t xml:space="preserve">No new start-up or operations and maintenance costs are involved.  </w:t>
      </w:r>
      <w:r w:rsidRPr="00923751">
        <w:rPr>
          <w:sz w:val="24"/>
          <w:szCs w:val="24"/>
          <w:u w:val="single"/>
        </w:rPr>
        <w:t>See</w:t>
      </w:r>
      <w:r>
        <w:rPr>
          <w:sz w:val="24"/>
          <w:szCs w:val="24"/>
        </w:rPr>
        <w:t xml:space="preserve"> Attachment B.  The costs associated with the </w:t>
      </w:r>
      <w:r w:rsidR="00643A4B">
        <w:rPr>
          <w:sz w:val="24"/>
          <w:szCs w:val="24"/>
        </w:rPr>
        <w:t>t</w:t>
      </w:r>
      <w:r w:rsidR="00D15E60">
        <w:rPr>
          <w:sz w:val="24"/>
          <w:szCs w:val="24"/>
        </w:rPr>
        <w:t>he DCO Final Rule</w:t>
      </w:r>
      <w:r>
        <w:rPr>
          <w:sz w:val="24"/>
          <w:szCs w:val="24"/>
        </w:rPr>
        <w:t xml:space="preserve"> and the SIDCO/Subpart C DCO Regulations are provided in the responses to questions 12 and 14.</w:t>
      </w:r>
    </w:p>
    <w:p w:rsidR="00224407" w:rsidRPr="00EF29BA" w:rsidRDefault="00224407" w:rsidP="00224407">
      <w:pPr>
        <w:tabs>
          <w:tab w:val="left" w:pos="-720"/>
        </w:tabs>
        <w:suppressAutoHyphens/>
        <w:ind w:left="1440"/>
        <w:rPr>
          <w:sz w:val="24"/>
          <w:szCs w:val="24"/>
        </w:rPr>
      </w:pPr>
    </w:p>
    <w:p w:rsidR="00224407" w:rsidRDefault="00224407" w:rsidP="00224407">
      <w:pPr>
        <w:tabs>
          <w:tab w:val="left" w:pos="-720"/>
        </w:tabs>
        <w:suppressAutoHyphens/>
        <w:ind w:left="720" w:hanging="720"/>
        <w:rPr>
          <w:sz w:val="24"/>
          <w:szCs w:val="24"/>
        </w:rPr>
      </w:pPr>
      <w:r w:rsidRPr="003B2AD2">
        <w:rPr>
          <w:sz w:val="24"/>
          <w:szCs w:val="24"/>
        </w:rPr>
        <w:t>14.</w:t>
      </w:r>
      <w:r w:rsidRPr="003B2AD2">
        <w:rPr>
          <w:sz w:val="24"/>
          <w:szCs w:val="24"/>
        </w:rPr>
        <w:tab/>
      </w:r>
      <w:r w:rsidRPr="003B2AD2">
        <w:rPr>
          <w:sz w:val="24"/>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3B2AD2">
        <w:rPr>
          <w:sz w:val="24"/>
          <w:szCs w:val="24"/>
        </w:rPr>
        <w:t xml:space="preserve">  </w:t>
      </w:r>
    </w:p>
    <w:p w:rsidR="00224407" w:rsidRDefault="00224407" w:rsidP="00224407">
      <w:pPr>
        <w:tabs>
          <w:tab w:val="left" w:pos="-720"/>
        </w:tabs>
        <w:suppressAutoHyphens/>
        <w:ind w:left="720" w:hanging="720"/>
        <w:rPr>
          <w:sz w:val="24"/>
          <w:szCs w:val="24"/>
        </w:rPr>
      </w:pPr>
    </w:p>
    <w:p w:rsidR="00224407" w:rsidRPr="00F02CFA" w:rsidRDefault="00224407" w:rsidP="00224407">
      <w:pPr>
        <w:numPr>
          <w:ilvl w:val="0"/>
          <w:numId w:val="7"/>
        </w:numPr>
        <w:tabs>
          <w:tab w:val="left" w:pos="-720"/>
        </w:tabs>
        <w:suppressAutoHyphens/>
        <w:rPr>
          <w:sz w:val="24"/>
          <w:szCs w:val="24"/>
        </w:rPr>
      </w:pPr>
      <w:r w:rsidRPr="00F02CFA">
        <w:rPr>
          <w:sz w:val="24"/>
          <w:szCs w:val="24"/>
        </w:rPr>
        <w:t xml:space="preserve">The estimate of the cost to the government per respondent is about $464 per year with respect to the collection contained in the </w:t>
      </w:r>
      <w:r w:rsidR="001D24F6">
        <w:rPr>
          <w:sz w:val="24"/>
          <w:szCs w:val="24"/>
        </w:rPr>
        <w:t>t</w:t>
      </w:r>
      <w:r w:rsidR="00D15E60">
        <w:rPr>
          <w:sz w:val="24"/>
          <w:szCs w:val="24"/>
        </w:rPr>
        <w:t>he DCO Final Rule</w:t>
      </w:r>
      <w:r w:rsidRPr="00F02CFA">
        <w:rPr>
          <w:sz w:val="24"/>
          <w:szCs w:val="24"/>
        </w:rPr>
        <w:t xml:space="preserve">.  This is primarily salaries and benefits for staff to analyze the information received, as follows: one full time equivalent reviewing, for 8 hours each, twelve annuals report at an average salary of $58 per hour.  </w:t>
      </w:r>
    </w:p>
    <w:p w:rsidR="00224407" w:rsidRPr="00F02CFA" w:rsidRDefault="00224407" w:rsidP="00224407">
      <w:pPr>
        <w:tabs>
          <w:tab w:val="left" w:pos="-720"/>
        </w:tabs>
        <w:suppressAutoHyphens/>
        <w:ind w:left="720" w:hanging="720"/>
        <w:rPr>
          <w:sz w:val="24"/>
          <w:szCs w:val="24"/>
        </w:rPr>
      </w:pPr>
      <w:r w:rsidRPr="00F02CFA">
        <w:rPr>
          <w:sz w:val="24"/>
          <w:szCs w:val="24"/>
        </w:rPr>
        <w:tab/>
      </w:r>
    </w:p>
    <w:p w:rsidR="00224407" w:rsidRPr="00F02CFA" w:rsidRDefault="00224407" w:rsidP="00224407">
      <w:pPr>
        <w:numPr>
          <w:ilvl w:val="0"/>
          <w:numId w:val="7"/>
        </w:numPr>
        <w:rPr>
          <w:sz w:val="24"/>
          <w:szCs w:val="24"/>
        </w:rPr>
      </w:pPr>
      <w:r w:rsidRPr="00F02CFA">
        <w:rPr>
          <w:sz w:val="24"/>
          <w:szCs w:val="24"/>
        </w:rPr>
        <w:t xml:space="preserve">The same formula </w:t>
      </w:r>
      <w:r>
        <w:rPr>
          <w:sz w:val="24"/>
          <w:szCs w:val="24"/>
        </w:rPr>
        <w:t xml:space="preserve">generally </w:t>
      </w:r>
      <w:r w:rsidRPr="00F02CFA">
        <w:rPr>
          <w:sz w:val="24"/>
          <w:szCs w:val="24"/>
        </w:rPr>
        <w:t xml:space="preserve">will apply to the collection contained in the </w:t>
      </w:r>
      <w:r>
        <w:rPr>
          <w:sz w:val="24"/>
          <w:szCs w:val="24"/>
        </w:rPr>
        <w:t xml:space="preserve">SIDCO/Subpart C DCO Regulations.  </w:t>
      </w:r>
      <w:r w:rsidRPr="00F02CFA">
        <w:rPr>
          <w:sz w:val="24"/>
          <w:szCs w:val="24"/>
        </w:rPr>
        <w:t xml:space="preserve">The primary cost to the federal government will be the salaries and benefits for staff to process the </w:t>
      </w:r>
      <w:r>
        <w:rPr>
          <w:sz w:val="24"/>
          <w:szCs w:val="24"/>
        </w:rPr>
        <w:t xml:space="preserve">Subpart C Election Forms </w:t>
      </w:r>
      <w:r w:rsidRPr="00F02CFA">
        <w:rPr>
          <w:sz w:val="24"/>
          <w:szCs w:val="24"/>
        </w:rPr>
        <w:t xml:space="preserve">received; periodically review reports, disclosures, and records for compliance with the CEA and these implementing regulations; and perform risk analyses with respect to a SIDCO or </w:t>
      </w:r>
      <w:r>
        <w:rPr>
          <w:sz w:val="24"/>
          <w:szCs w:val="24"/>
        </w:rPr>
        <w:t>Subpart C</w:t>
      </w:r>
      <w:r w:rsidRPr="00F02CFA">
        <w:rPr>
          <w:sz w:val="24"/>
          <w:szCs w:val="24"/>
        </w:rPr>
        <w:t xml:space="preserve"> DCO</w:t>
      </w:r>
      <w:r>
        <w:rPr>
          <w:sz w:val="24"/>
          <w:szCs w:val="24"/>
        </w:rPr>
        <w:t xml:space="preserve"> </w:t>
      </w:r>
      <w:r w:rsidRPr="00F02CFA">
        <w:rPr>
          <w:sz w:val="24"/>
          <w:szCs w:val="24"/>
        </w:rPr>
        <w:t xml:space="preserve">based upon the various safeguards contained in the regulations. </w:t>
      </w:r>
      <w:r>
        <w:rPr>
          <w:sz w:val="24"/>
          <w:szCs w:val="24"/>
        </w:rPr>
        <w:t xml:space="preserve"> </w:t>
      </w:r>
      <w:r w:rsidRPr="00F02CFA">
        <w:rPr>
          <w:sz w:val="24"/>
          <w:szCs w:val="24"/>
        </w:rPr>
        <w:t xml:space="preserve">It is anticipated that these costs will translate into </w:t>
      </w:r>
      <w:r>
        <w:rPr>
          <w:sz w:val="24"/>
          <w:szCs w:val="24"/>
        </w:rPr>
        <w:t>10</w:t>
      </w:r>
      <w:r w:rsidRPr="00F02CFA">
        <w:rPr>
          <w:sz w:val="24"/>
          <w:szCs w:val="24"/>
        </w:rPr>
        <w:t xml:space="preserve"> Commission employees, who will spend approximately 10% of their time performing these tasks. </w:t>
      </w:r>
      <w:r>
        <w:rPr>
          <w:sz w:val="24"/>
          <w:szCs w:val="24"/>
        </w:rPr>
        <w:t xml:space="preserve"> </w:t>
      </w:r>
      <w:r w:rsidRPr="00F02CFA">
        <w:rPr>
          <w:sz w:val="24"/>
          <w:szCs w:val="24"/>
        </w:rPr>
        <w:t>At an estimated combined salary and benefit cost of $75 per hour per employee, the costs to the government will be approximately $156,000.</w:t>
      </w:r>
      <w:r>
        <w:rPr>
          <w:rStyle w:val="FootnoteReference"/>
          <w:sz w:val="24"/>
          <w:szCs w:val="24"/>
        </w:rPr>
        <w:footnoteReference w:id="10"/>
      </w:r>
    </w:p>
    <w:p w:rsidR="00224407" w:rsidRPr="00F02CFA" w:rsidRDefault="00224407" w:rsidP="00224407">
      <w:pPr>
        <w:tabs>
          <w:tab w:val="left" w:pos="-720"/>
        </w:tabs>
        <w:suppressAutoHyphens/>
        <w:rPr>
          <w:sz w:val="24"/>
          <w:szCs w:val="24"/>
        </w:rPr>
      </w:pPr>
    </w:p>
    <w:p w:rsidR="00224407" w:rsidRDefault="00224407" w:rsidP="00224407">
      <w:pPr>
        <w:tabs>
          <w:tab w:val="left" w:pos="-720"/>
          <w:tab w:val="left" w:pos="0"/>
        </w:tabs>
        <w:suppressAutoHyphens/>
        <w:ind w:left="720" w:hanging="720"/>
        <w:rPr>
          <w:sz w:val="24"/>
          <w:szCs w:val="24"/>
        </w:rPr>
      </w:pPr>
      <w:r w:rsidRPr="003B2AD2">
        <w:rPr>
          <w:sz w:val="24"/>
          <w:szCs w:val="24"/>
        </w:rPr>
        <w:t>15.</w:t>
      </w:r>
      <w:r w:rsidRPr="003B2AD2">
        <w:rPr>
          <w:sz w:val="24"/>
          <w:szCs w:val="24"/>
        </w:rPr>
        <w:tab/>
      </w:r>
      <w:r w:rsidRPr="003B2AD2">
        <w:rPr>
          <w:sz w:val="24"/>
          <w:szCs w:val="24"/>
          <w:u w:val="single"/>
        </w:rPr>
        <w:t>Explain the reasons for any program changes or adjustments reported in Items 13 or 14 of the OMB Form 83-I</w:t>
      </w:r>
      <w:r w:rsidRPr="003B2AD2">
        <w:rPr>
          <w:sz w:val="24"/>
          <w:szCs w:val="24"/>
        </w:rPr>
        <w:t>.</w:t>
      </w:r>
    </w:p>
    <w:p w:rsidR="00224407" w:rsidRDefault="00224407" w:rsidP="00224407">
      <w:pPr>
        <w:tabs>
          <w:tab w:val="left" w:pos="-720"/>
          <w:tab w:val="left" w:pos="0"/>
        </w:tabs>
        <w:suppressAutoHyphens/>
        <w:ind w:left="720" w:hanging="720"/>
        <w:rPr>
          <w:sz w:val="24"/>
          <w:szCs w:val="24"/>
        </w:rPr>
      </w:pPr>
    </w:p>
    <w:p w:rsidR="00224407" w:rsidRPr="003B2AD2" w:rsidRDefault="00224407" w:rsidP="00224407">
      <w:pPr>
        <w:tabs>
          <w:tab w:val="left" w:pos="-720"/>
          <w:tab w:val="left" w:pos="0"/>
        </w:tabs>
        <w:suppressAutoHyphens/>
        <w:ind w:left="720" w:hanging="720"/>
        <w:rPr>
          <w:sz w:val="24"/>
          <w:szCs w:val="24"/>
        </w:rPr>
      </w:pPr>
      <w:r>
        <w:rPr>
          <w:sz w:val="24"/>
          <w:szCs w:val="24"/>
        </w:rPr>
        <w:tab/>
      </w:r>
      <w:r w:rsidR="00FA3C27" w:rsidRPr="00FA3C27">
        <w:rPr>
          <w:sz w:val="24"/>
          <w:szCs w:val="24"/>
        </w:rPr>
        <w:t xml:space="preserve">No new start-up or operations and maintenance costs are involved.  </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s>
        <w:suppressAutoHyphens/>
        <w:ind w:left="720" w:hanging="720"/>
        <w:rPr>
          <w:sz w:val="24"/>
          <w:szCs w:val="24"/>
        </w:rPr>
      </w:pPr>
      <w:r w:rsidRPr="003B2AD2">
        <w:rPr>
          <w:sz w:val="24"/>
          <w:szCs w:val="24"/>
        </w:rPr>
        <w:t>16.</w:t>
      </w:r>
      <w:r w:rsidRPr="003B2AD2">
        <w:rPr>
          <w:sz w:val="24"/>
          <w:szCs w:val="24"/>
        </w:rPr>
        <w:tab/>
      </w:r>
      <w:r w:rsidRPr="003B2AD2">
        <w:rPr>
          <w:sz w:val="24"/>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3B2AD2">
        <w:rPr>
          <w:sz w:val="24"/>
          <w:szCs w:val="24"/>
        </w:rPr>
        <w:t>.</w:t>
      </w:r>
    </w:p>
    <w:p w:rsidR="00224407" w:rsidRDefault="00224407" w:rsidP="00224407">
      <w:pPr>
        <w:tabs>
          <w:tab w:val="left" w:pos="-720"/>
          <w:tab w:val="left" w:pos="0"/>
        </w:tabs>
        <w:suppressAutoHyphens/>
        <w:ind w:left="720" w:hanging="720"/>
        <w:rPr>
          <w:sz w:val="24"/>
          <w:szCs w:val="24"/>
        </w:rPr>
      </w:pPr>
    </w:p>
    <w:p w:rsidR="00224407" w:rsidRPr="003B2AD2" w:rsidRDefault="00224407" w:rsidP="00224407">
      <w:pPr>
        <w:tabs>
          <w:tab w:val="left" w:pos="-720"/>
          <w:tab w:val="left" w:pos="0"/>
        </w:tabs>
        <w:suppressAutoHyphens/>
        <w:ind w:left="720" w:hanging="720"/>
        <w:rPr>
          <w:sz w:val="24"/>
          <w:szCs w:val="24"/>
        </w:rPr>
      </w:pPr>
      <w:r>
        <w:rPr>
          <w:sz w:val="24"/>
          <w:szCs w:val="24"/>
        </w:rPr>
        <w:tab/>
        <w:t xml:space="preserve">This question does not apply. </w:t>
      </w:r>
    </w:p>
    <w:p w:rsidR="00224407" w:rsidRPr="003B2AD2" w:rsidRDefault="00224407" w:rsidP="00224407">
      <w:pPr>
        <w:tabs>
          <w:tab w:val="left" w:pos="-720"/>
        </w:tabs>
        <w:suppressAutoHyphens/>
        <w:outlineLvl w:val="0"/>
        <w:rPr>
          <w:sz w:val="24"/>
          <w:szCs w:val="24"/>
        </w:rPr>
      </w:pPr>
    </w:p>
    <w:p w:rsidR="00224407" w:rsidRDefault="00224407" w:rsidP="00224407">
      <w:pPr>
        <w:tabs>
          <w:tab w:val="left" w:pos="-720"/>
          <w:tab w:val="left" w:pos="0"/>
        </w:tabs>
        <w:suppressAutoHyphens/>
        <w:ind w:left="720" w:hanging="720"/>
        <w:rPr>
          <w:sz w:val="24"/>
          <w:szCs w:val="24"/>
        </w:rPr>
      </w:pPr>
      <w:r w:rsidRPr="003B2AD2">
        <w:rPr>
          <w:sz w:val="24"/>
          <w:szCs w:val="24"/>
        </w:rPr>
        <w:t>17.</w:t>
      </w:r>
      <w:r w:rsidRPr="003B2AD2">
        <w:rPr>
          <w:sz w:val="24"/>
          <w:szCs w:val="24"/>
        </w:rPr>
        <w:tab/>
      </w:r>
      <w:r w:rsidRPr="003B2AD2">
        <w:rPr>
          <w:sz w:val="24"/>
          <w:szCs w:val="24"/>
          <w:u w:val="single"/>
        </w:rPr>
        <w:t>If seeking approval to not display the expiration date for OMB approval of the information collection, explain the reasons that display would be inappropriate</w:t>
      </w:r>
      <w:r w:rsidRPr="003B2AD2">
        <w:rPr>
          <w:sz w:val="24"/>
          <w:szCs w:val="24"/>
        </w:rPr>
        <w:t>.</w:t>
      </w:r>
    </w:p>
    <w:p w:rsidR="00224407" w:rsidRDefault="00224407" w:rsidP="00224407">
      <w:pPr>
        <w:tabs>
          <w:tab w:val="left" w:pos="-720"/>
          <w:tab w:val="left" w:pos="0"/>
        </w:tabs>
        <w:suppressAutoHyphens/>
        <w:ind w:left="720" w:hanging="720"/>
        <w:rPr>
          <w:sz w:val="24"/>
          <w:szCs w:val="24"/>
        </w:rPr>
      </w:pPr>
    </w:p>
    <w:p w:rsidR="00224407" w:rsidRPr="003B2AD2" w:rsidRDefault="00224407" w:rsidP="00224407">
      <w:pPr>
        <w:tabs>
          <w:tab w:val="left" w:pos="-720"/>
          <w:tab w:val="left" w:pos="0"/>
        </w:tabs>
        <w:suppressAutoHyphens/>
        <w:ind w:left="720" w:hanging="720"/>
        <w:rPr>
          <w:sz w:val="24"/>
          <w:szCs w:val="24"/>
        </w:rPr>
      </w:pPr>
      <w:r>
        <w:rPr>
          <w:sz w:val="24"/>
          <w:szCs w:val="24"/>
        </w:rPr>
        <w:tab/>
        <w:t>This question does not apply.</w:t>
      </w:r>
    </w:p>
    <w:p w:rsidR="00224407" w:rsidRPr="003B2AD2" w:rsidRDefault="00224407" w:rsidP="00224407">
      <w:pPr>
        <w:tabs>
          <w:tab w:val="left" w:pos="-720"/>
        </w:tabs>
        <w:suppressAutoHyphens/>
        <w:rPr>
          <w:sz w:val="24"/>
          <w:szCs w:val="24"/>
        </w:rPr>
      </w:pPr>
    </w:p>
    <w:p w:rsidR="00224407" w:rsidRDefault="00224407" w:rsidP="00224407">
      <w:pPr>
        <w:tabs>
          <w:tab w:val="left" w:pos="-720"/>
          <w:tab w:val="left" w:pos="0"/>
        </w:tabs>
        <w:suppressAutoHyphens/>
        <w:ind w:left="720" w:hanging="720"/>
        <w:rPr>
          <w:sz w:val="24"/>
          <w:szCs w:val="24"/>
        </w:rPr>
      </w:pPr>
      <w:r w:rsidRPr="003B2AD2">
        <w:rPr>
          <w:sz w:val="24"/>
          <w:szCs w:val="24"/>
        </w:rPr>
        <w:t>18.</w:t>
      </w:r>
      <w:r w:rsidRPr="003B2AD2">
        <w:rPr>
          <w:sz w:val="24"/>
          <w:szCs w:val="24"/>
        </w:rPr>
        <w:tab/>
      </w:r>
      <w:r w:rsidRPr="003B2AD2">
        <w:rPr>
          <w:sz w:val="24"/>
          <w:szCs w:val="24"/>
          <w:u w:val="single"/>
        </w:rPr>
        <w:t>Explain each exception to the certification statement identified in Item 19, "Certification for Paperwork Reduction Act Submissions," of OMB Form 83-I</w:t>
      </w:r>
      <w:r w:rsidRPr="003B2AD2">
        <w:rPr>
          <w:sz w:val="24"/>
          <w:szCs w:val="24"/>
        </w:rPr>
        <w:t>.</w:t>
      </w:r>
    </w:p>
    <w:p w:rsidR="00224407" w:rsidRDefault="00224407" w:rsidP="00224407">
      <w:pPr>
        <w:tabs>
          <w:tab w:val="left" w:pos="-720"/>
          <w:tab w:val="left" w:pos="0"/>
        </w:tabs>
        <w:suppressAutoHyphens/>
        <w:ind w:left="720" w:hanging="720"/>
        <w:rPr>
          <w:sz w:val="24"/>
          <w:szCs w:val="24"/>
        </w:rPr>
      </w:pPr>
    </w:p>
    <w:p w:rsidR="00224407" w:rsidRPr="003B2AD2" w:rsidRDefault="00224407" w:rsidP="00224407">
      <w:pPr>
        <w:tabs>
          <w:tab w:val="left" w:pos="-720"/>
          <w:tab w:val="left" w:pos="0"/>
        </w:tabs>
        <w:suppressAutoHyphens/>
        <w:ind w:left="720" w:hanging="720"/>
        <w:rPr>
          <w:sz w:val="24"/>
          <w:szCs w:val="24"/>
        </w:rPr>
      </w:pPr>
      <w:r>
        <w:rPr>
          <w:sz w:val="24"/>
          <w:szCs w:val="24"/>
        </w:rPr>
        <w:tab/>
        <w:t>This question does not apply.</w:t>
      </w:r>
      <w:r w:rsidRPr="003B2AD2">
        <w:rPr>
          <w:sz w:val="24"/>
          <w:szCs w:val="24"/>
        </w:rPr>
        <w:tab/>
      </w:r>
    </w:p>
    <w:p w:rsidR="00224407" w:rsidRDefault="00224407" w:rsidP="00224407">
      <w:pPr>
        <w:jc w:val="center"/>
        <w:rPr>
          <w:sz w:val="24"/>
          <w:szCs w:val="24"/>
        </w:rPr>
      </w:pPr>
      <w:r>
        <w:rPr>
          <w:rFonts w:ascii="Arial" w:hAnsi="Arial"/>
          <w:sz w:val="24"/>
          <w:szCs w:val="24"/>
        </w:rPr>
        <w:br w:type="page"/>
      </w:r>
      <w:r>
        <w:rPr>
          <w:sz w:val="24"/>
          <w:szCs w:val="24"/>
        </w:rPr>
        <w:t>Attachment A:</w:t>
      </w:r>
    </w:p>
    <w:p w:rsidR="00224407" w:rsidRDefault="00224407" w:rsidP="00224407">
      <w:pPr>
        <w:jc w:val="center"/>
        <w:rPr>
          <w:sz w:val="24"/>
          <w:szCs w:val="24"/>
        </w:rPr>
      </w:pPr>
      <w:r>
        <w:rPr>
          <w:sz w:val="24"/>
          <w:szCs w:val="24"/>
        </w:rPr>
        <w:t>Derivatives Clearing Organization General Provisions and Core Principles</w:t>
      </w:r>
    </w:p>
    <w:p w:rsidR="00224407" w:rsidRDefault="00224407" w:rsidP="00224407">
      <w:pPr>
        <w:rPr>
          <w:sz w:val="24"/>
          <w:szCs w:val="24"/>
        </w:rPr>
      </w:pPr>
    </w:p>
    <w:p w:rsidR="00224407" w:rsidRDefault="00224407" w:rsidP="00224407">
      <w:pPr>
        <w:jc w:val="center"/>
        <w:rPr>
          <w:sz w:val="24"/>
          <w:szCs w:val="24"/>
        </w:rPr>
      </w:pPr>
    </w:p>
    <w:p w:rsidR="00224407" w:rsidRPr="00885A8A" w:rsidRDefault="00247300" w:rsidP="00885A8A">
      <w:pPr>
        <w:pStyle w:val="ListParagraph"/>
        <w:numPr>
          <w:ilvl w:val="0"/>
          <w:numId w:val="9"/>
        </w:numPr>
        <w:jc w:val="center"/>
        <w:rPr>
          <w:sz w:val="24"/>
          <w:szCs w:val="24"/>
        </w:rPr>
      </w:pPr>
      <w:r w:rsidRPr="00885A8A">
        <w:rPr>
          <w:sz w:val="24"/>
          <w:szCs w:val="24"/>
        </w:rPr>
        <w:t xml:space="preserve">DCO Final Rule; </w:t>
      </w:r>
      <w:r w:rsidR="00224407" w:rsidRPr="00885A8A">
        <w:rPr>
          <w:sz w:val="24"/>
          <w:szCs w:val="24"/>
        </w:rPr>
        <w:t xml:space="preserve">Annual Reporting Requirements </w:t>
      </w:r>
    </w:p>
    <w:p w:rsidR="00224407" w:rsidRDefault="00224407" w:rsidP="00224407">
      <w:pPr>
        <w:jc w:val="center"/>
        <w:rPr>
          <w:sz w:val="24"/>
          <w:szCs w:val="24"/>
        </w:rPr>
      </w:pPr>
      <w:r>
        <w:rPr>
          <w:sz w:val="24"/>
          <w:szCs w:val="24"/>
        </w:rPr>
        <w:t xml:space="preserve">For Derivative Clearing Organizations </w:t>
      </w:r>
    </w:p>
    <w:p w:rsidR="008441DB" w:rsidRDefault="008441DB" w:rsidP="0022440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600"/>
        <w:gridCol w:w="1646"/>
        <w:gridCol w:w="1625"/>
        <w:gridCol w:w="1626"/>
        <w:gridCol w:w="1350"/>
      </w:tblGrid>
      <w:tr w:rsidR="00224407" w:rsidRPr="005F4D77" w:rsidTr="00B707A2">
        <w:tc>
          <w:tcPr>
            <w:tcW w:w="1739" w:type="dxa"/>
          </w:tcPr>
          <w:p w:rsidR="00224407" w:rsidRPr="005F4D77" w:rsidRDefault="00224407" w:rsidP="00B707A2">
            <w:pPr>
              <w:rPr>
                <w:sz w:val="24"/>
                <w:szCs w:val="24"/>
              </w:rPr>
            </w:pPr>
            <w:r w:rsidRPr="005F4D77">
              <w:rPr>
                <w:sz w:val="24"/>
                <w:szCs w:val="24"/>
              </w:rPr>
              <w:t xml:space="preserve">Estimated # of Respondents Per Year </w:t>
            </w:r>
          </w:p>
        </w:tc>
        <w:tc>
          <w:tcPr>
            <w:tcW w:w="1615" w:type="dxa"/>
          </w:tcPr>
          <w:p w:rsidR="00224407" w:rsidRPr="005F4D77" w:rsidRDefault="00224407" w:rsidP="00B707A2">
            <w:pPr>
              <w:rPr>
                <w:sz w:val="24"/>
                <w:szCs w:val="24"/>
              </w:rPr>
            </w:pPr>
            <w:r w:rsidRPr="005F4D77">
              <w:rPr>
                <w:sz w:val="24"/>
                <w:szCs w:val="24"/>
              </w:rPr>
              <w:t xml:space="preserve">Reports Annually by Each </w:t>
            </w:r>
          </w:p>
        </w:tc>
        <w:tc>
          <w:tcPr>
            <w:tcW w:w="1659" w:type="dxa"/>
          </w:tcPr>
          <w:p w:rsidR="00224407" w:rsidRPr="005F4D77" w:rsidRDefault="00224407" w:rsidP="00B707A2">
            <w:pPr>
              <w:rPr>
                <w:sz w:val="24"/>
                <w:szCs w:val="24"/>
              </w:rPr>
            </w:pPr>
            <w:r w:rsidRPr="005F4D77">
              <w:rPr>
                <w:sz w:val="24"/>
                <w:szCs w:val="24"/>
              </w:rPr>
              <w:t xml:space="preserve">Total Annual Responses </w:t>
            </w:r>
          </w:p>
        </w:tc>
        <w:tc>
          <w:tcPr>
            <w:tcW w:w="1639" w:type="dxa"/>
          </w:tcPr>
          <w:p w:rsidR="00224407" w:rsidRPr="005F4D77" w:rsidRDefault="00224407" w:rsidP="00B707A2">
            <w:pPr>
              <w:rPr>
                <w:sz w:val="24"/>
                <w:szCs w:val="24"/>
              </w:rPr>
            </w:pPr>
            <w:r w:rsidRPr="005F4D77">
              <w:rPr>
                <w:sz w:val="24"/>
                <w:szCs w:val="24"/>
              </w:rPr>
              <w:t xml:space="preserve">Estimated Average Number of Hours Per Response </w:t>
            </w:r>
          </w:p>
        </w:tc>
        <w:tc>
          <w:tcPr>
            <w:tcW w:w="1640" w:type="dxa"/>
          </w:tcPr>
          <w:p w:rsidR="00224407" w:rsidRPr="005F4D77" w:rsidRDefault="00224407" w:rsidP="00B707A2">
            <w:pPr>
              <w:rPr>
                <w:sz w:val="24"/>
                <w:szCs w:val="24"/>
              </w:rPr>
            </w:pPr>
            <w:r w:rsidRPr="005F4D77">
              <w:rPr>
                <w:sz w:val="24"/>
                <w:szCs w:val="24"/>
              </w:rPr>
              <w:t xml:space="preserve">Estimated Total Number of Hours of Annual Burden in Fiscal Year </w:t>
            </w:r>
          </w:p>
        </w:tc>
        <w:tc>
          <w:tcPr>
            <w:tcW w:w="1284" w:type="dxa"/>
          </w:tcPr>
          <w:p w:rsidR="00224407" w:rsidRPr="005F4D77" w:rsidRDefault="00224407" w:rsidP="00B707A2">
            <w:pPr>
              <w:rPr>
                <w:sz w:val="24"/>
                <w:szCs w:val="24"/>
              </w:rPr>
            </w:pPr>
            <w:r w:rsidRPr="005F4D77">
              <w:rPr>
                <w:sz w:val="24"/>
                <w:szCs w:val="24"/>
              </w:rPr>
              <w:t>Estimated Annual Cost Per Respondent</w:t>
            </w:r>
          </w:p>
        </w:tc>
      </w:tr>
      <w:tr w:rsidR="00224407" w:rsidRPr="005F4D77" w:rsidTr="00B707A2">
        <w:tc>
          <w:tcPr>
            <w:tcW w:w="1739" w:type="dxa"/>
          </w:tcPr>
          <w:p w:rsidR="00224407" w:rsidRPr="005F4D77" w:rsidRDefault="00224407" w:rsidP="00B707A2">
            <w:pPr>
              <w:rPr>
                <w:sz w:val="24"/>
                <w:szCs w:val="24"/>
              </w:rPr>
            </w:pPr>
            <w:r w:rsidRPr="005F4D77">
              <w:rPr>
                <w:sz w:val="24"/>
                <w:szCs w:val="24"/>
              </w:rPr>
              <w:t xml:space="preserve">  12</w:t>
            </w:r>
          </w:p>
        </w:tc>
        <w:tc>
          <w:tcPr>
            <w:tcW w:w="1615" w:type="dxa"/>
          </w:tcPr>
          <w:p w:rsidR="00224407" w:rsidRPr="005F4D77" w:rsidRDefault="00224407" w:rsidP="00B707A2">
            <w:pPr>
              <w:rPr>
                <w:sz w:val="24"/>
                <w:szCs w:val="24"/>
              </w:rPr>
            </w:pPr>
            <w:r>
              <w:rPr>
                <w:sz w:val="24"/>
                <w:szCs w:val="24"/>
              </w:rPr>
              <w:t xml:space="preserve">  1</w:t>
            </w:r>
          </w:p>
        </w:tc>
        <w:tc>
          <w:tcPr>
            <w:tcW w:w="1659" w:type="dxa"/>
          </w:tcPr>
          <w:p w:rsidR="00224407" w:rsidRPr="005F4D77" w:rsidRDefault="00224407" w:rsidP="00B707A2">
            <w:pPr>
              <w:rPr>
                <w:sz w:val="24"/>
                <w:szCs w:val="24"/>
              </w:rPr>
            </w:pPr>
            <w:r w:rsidRPr="005F4D77">
              <w:rPr>
                <w:sz w:val="24"/>
                <w:szCs w:val="24"/>
              </w:rPr>
              <w:t xml:space="preserve">   </w:t>
            </w:r>
            <w:r>
              <w:rPr>
                <w:sz w:val="24"/>
                <w:szCs w:val="24"/>
              </w:rPr>
              <w:t>12</w:t>
            </w:r>
          </w:p>
        </w:tc>
        <w:tc>
          <w:tcPr>
            <w:tcW w:w="1639" w:type="dxa"/>
          </w:tcPr>
          <w:p w:rsidR="00224407" w:rsidRPr="005F4D77" w:rsidRDefault="00224407" w:rsidP="00B707A2">
            <w:pPr>
              <w:rPr>
                <w:sz w:val="24"/>
                <w:szCs w:val="24"/>
              </w:rPr>
            </w:pPr>
            <w:r>
              <w:rPr>
                <w:sz w:val="24"/>
                <w:szCs w:val="24"/>
              </w:rPr>
              <w:t>40-80</w:t>
            </w:r>
          </w:p>
        </w:tc>
        <w:tc>
          <w:tcPr>
            <w:tcW w:w="1640" w:type="dxa"/>
          </w:tcPr>
          <w:p w:rsidR="00224407" w:rsidRPr="005F4D77" w:rsidRDefault="00224407" w:rsidP="00B707A2">
            <w:pPr>
              <w:rPr>
                <w:sz w:val="24"/>
                <w:szCs w:val="24"/>
              </w:rPr>
            </w:pPr>
            <w:r w:rsidRPr="00380A70">
              <w:rPr>
                <w:sz w:val="24"/>
                <w:szCs w:val="24"/>
              </w:rPr>
              <w:t>480-960</w:t>
            </w:r>
          </w:p>
        </w:tc>
        <w:tc>
          <w:tcPr>
            <w:tcW w:w="1284" w:type="dxa"/>
          </w:tcPr>
          <w:p w:rsidR="00224407" w:rsidRPr="005F4D77" w:rsidRDefault="00224407" w:rsidP="00B707A2">
            <w:pPr>
              <w:rPr>
                <w:sz w:val="24"/>
                <w:szCs w:val="24"/>
              </w:rPr>
            </w:pPr>
            <w:r w:rsidRPr="00704BA2">
              <w:rPr>
                <w:sz w:val="24"/>
                <w:szCs w:val="24"/>
              </w:rPr>
              <w:t>$</w:t>
            </w:r>
            <w:r>
              <w:rPr>
                <w:sz w:val="24"/>
                <w:szCs w:val="24"/>
              </w:rPr>
              <w:t xml:space="preserve">4,000 </w:t>
            </w:r>
            <w:r w:rsidRPr="00704BA2">
              <w:rPr>
                <w:sz w:val="24"/>
                <w:szCs w:val="24"/>
              </w:rPr>
              <w:t>to $</w:t>
            </w:r>
            <w:r>
              <w:rPr>
                <w:sz w:val="24"/>
                <w:szCs w:val="24"/>
              </w:rPr>
              <w:t>8,000</w:t>
            </w:r>
          </w:p>
        </w:tc>
      </w:tr>
    </w:tbl>
    <w:p w:rsidR="00224407" w:rsidRDefault="00224407" w:rsidP="00224407">
      <w:pPr>
        <w:rPr>
          <w:sz w:val="24"/>
          <w:szCs w:val="24"/>
        </w:rPr>
      </w:pPr>
    </w:p>
    <w:p w:rsidR="00224407" w:rsidRDefault="00224407">
      <w:pPr>
        <w:spacing w:after="200" w:line="276" w:lineRule="auto"/>
        <w:rPr>
          <w:sz w:val="24"/>
          <w:szCs w:val="24"/>
        </w:rPr>
      </w:pPr>
      <w:r>
        <w:rPr>
          <w:sz w:val="24"/>
          <w:szCs w:val="24"/>
        </w:rPr>
        <w:br w:type="page"/>
      </w:r>
    </w:p>
    <w:p w:rsidR="008441DB" w:rsidRPr="00174AFD" w:rsidRDefault="008441DB" w:rsidP="00885A8A">
      <w:pPr>
        <w:pStyle w:val="ListParagraph"/>
        <w:numPr>
          <w:ilvl w:val="0"/>
          <w:numId w:val="9"/>
        </w:numPr>
        <w:jc w:val="center"/>
        <w:rPr>
          <w:sz w:val="24"/>
          <w:szCs w:val="24"/>
        </w:rPr>
      </w:pPr>
      <w:r w:rsidRPr="00174AFD">
        <w:rPr>
          <w:sz w:val="24"/>
          <w:szCs w:val="24"/>
        </w:rPr>
        <w:t>Derivatives Clearing Organization and International Standards</w:t>
      </w:r>
    </w:p>
    <w:p w:rsidR="00224407" w:rsidRDefault="00224407" w:rsidP="00224407">
      <w:pPr>
        <w:rPr>
          <w:sz w:val="24"/>
          <w:szCs w:val="24"/>
        </w:rPr>
      </w:pPr>
    </w:p>
    <w:p w:rsidR="00224407" w:rsidRDefault="00224407" w:rsidP="00224407">
      <w:pPr>
        <w:rPr>
          <w:sz w:val="24"/>
          <w:szCs w:val="24"/>
        </w:rPr>
      </w:pPr>
    </w:p>
    <w:p w:rsidR="00224407" w:rsidRDefault="00224407" w:rsidP="00224407">
      <w:pPr>
        <w:jc w:val="center"/>
        <w:rPr>
          <w:sz w:val="24"/>
          <w:szCs w:val="24"/>
        </w:rPr>
      </w:pPr>
      <w:r>
        <w:rPr>
          <w:sz w:val="24"/>
          <w:szCs w:val="24"/>
        </w:rPr>
        <w:t>SIDCO/SUBPART C DCO REGULATIONS – REPORTING</w:t>
      </w:r>
    </w:p>
    <w:p w:rsidR="00224407" w:rsidRDefault="00224407" w:rsidP="00224407">
      <w:pPr>
        <w:jc w:val="center"/>
        <w:rPr>
          <w:sz w:val="24"/>
          <w:szCs w:val="24"/>
        </w:rPr>
      </w:pPr>
      <w:r>
        <w:rPr>
          <w:sz w:val="24"/>
          <w:szCs w:val="24"/>
        </w:rPr>
        <w:t>COLLECTION</w:t>
      </w:r>
    </w:p>
    <w:p w:rsidR="00224407" w:rsidRDefault="00224407" w:rsidP="0022440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482"/>
        <w:gridCol w:w="1178"/>
        <w:gridCol w:w="1287"/>
        <w:gridCol w:w="1237"/>
        <w:gridCol w:w="1237"/>
        <w:gridCol w:w="1459"/>
      </w:tblGrid>
      <w:tr w:rsidR="00224407" w:rsidRPr="005F4D77" w:rsidTr="00B707A2">
        <w:tc>
          <w:tcPr>
            <w:tcW w:w="1576" w:type="dxa"/>
          </w:tcPr>
          <w:p w:rsidR="00224407" w:rsidRPr="005F4D77" w:rsidRDefault="00224407" w:rsidP="00B707A2">
            <w:pPr>
              <w:rPr>
                <w:sz w:val="24"/>
                <w:szCs w:val="24"/>
              </w:rPr>
            </w:pPr>
          </w:p>
        </w:tc>
        <w:tc>
          <w:tcPr>
            <w:tcW w:w="1490" w:type="dxa"/>
          </w:tcPr>
          <w:p w:rsidR="00224407" w:rsidRPr="005F4D77" w:rsidRDefault="00224407" w:rsidP="00B707A2">
            <w:pPr>
              <w:rPr>
                <w:sz w:val="24"/>
                <w:szCs w:val="24"/>
              </w:rPr>
            </w:pPr>
            <w:r w:rsidRPr="005F4D77">
              <w:rPr>
                <w:sz w:val="24"/>
                <w:szCs w:val="24"/>
              </w:rPr>
              <w:t xml:space="preserve">Estimated # of Respondents Per Year </w:t>
            </w:r>
          </w:p>
        </w:tc>
        <w:tc>
          <w:tcPr>
            <w:tcW w:w="1192" w:type="dxa"/>
          </w:tcPr>
          <w:p w:rsidR="00224407" w:rsidRPr="005F4D77" w:rsidRDefault="00224407" w:rsidP="00B707A2">
            <w:pPr>
              <w:rPr>
                <w:sz w:val="24"/>
                <w:szCs w:val="24"/>
              </w:rPr>
            </w:pPr>
            <w:r w:rsidRPr="005F4D77">
              <w:rPr>
                <w:sz w:val="24"/>
                <w:szCs w:val="24"/>
              </w:rPr>
              <w:t xml:space="preserve">Reports Annually by Each </w:t>
            </w:r>
          </w:p>
        </w:tc>
        <w:tc>
          <w:tcPr>
            <w:tcW w:w="1299" w:type="dxa"/>
          </w:tcPr>
          <w:p w:rsidR="00224407" w:rsidRPr="005F4D77" w:rsidRDefault="00224407" w:rsidP="00B707A2">
            <w:pPr>
              <w:rPr>
                <w:sz w:val="24"/>
                <w:szCs w:val="24"/>
              </w:rPr>
            </w:pPr>
            <w:r w:rsidRPr="005F4D77">
              <w:rPr>
                <w:sz w:val="24"/>
                <w:szCs w:val="24"/>
              </w:rPr>
              <w:t xml:space="preserve">Total Annual Responses </w:t>
            </w:r>
          </w:p>
        </w:tc>
        <w:tc>
          <w:tcPr>
            <w:tcW w:w="1250" w:type="dxa"/>
          </w:tcPr>
          <w:p w:rsidR="00224407" w:rsidRPr="005F4D77" w:rsidRDefault="00224407" w:rsidP="00B707A2">
            <w:pPr>
              <w:rPr>
                <w:sz w:val="24"/>
                <w:szCs w:val="24"/>
              </w:rPr>
            </w:pPr>
            <w:r w:rsidRPr="005F4D77">
              <w:rPr>
                <w:sz w:val="24"/>
                <w:szCs w:val="24"/>
              </w:rPr>
              <w:t xml:space="preserve">Estimated Average Number of Hours Per Response </w:t>
            </w:r>
          </w:p>
        </w:tc>
        <w:tc>
          <w:tcPr>
            <w:tcW w:w="1250" w:type="dxa"/>
          </w:tcPr>
          <w:p w:rsidR="00224407" w:rsidRPr="005F4D77" w:rsidRDefault="00224407" w:rsidP="00B707A2">
            <w:pPr>
              <w:rPr>
                <w:sz w:val="24"/>
                <w:szCs w:val="24"/>
              </w:rPr>
            </w:pPr>
            <w:r w:rsidRPr="005F4D77">
              <w:rPr>
                <w:sz w:val="24"/>
                <w:szCs w:val="24"/>
              </w:rPr>
              <w:t xml:space="preserve">Estimated Total Number of Hours of Annual Burden in Fiscal Year </w:t>
            </w:r>
          </w:p>
        </w:tc>
        <w:tc>
          <w:tcPr>
            <w:tcW w:w="1519" w:type="dxa"/>
          </w:tcPr>
          <w:p w:rsidR="00224407" w:rsidRPr="005F4D77" w:rsidRDefault="00224407" w:rsidP="00B707A2">
            <w:pPr>
              <w:rPr>
                <w:sz w:val="24"/>
                <w:szCs w:val="24"/>
              </w:rPr>
            </w:pPr>
            <w:r w:rsidRPr="005F4D77">
              <w:rPr>
                <w:sz w:val="24"/>
                <w:szCs w:val="24"/>
              </w:rPr>
              <w:t xml:space="preserve">Estimated Annual Cost </w:t>
            </w:r>
          </w:p>
        </w:tc>
      </w:tr>
      <w:tr w:rsidR="00224407" w:rsidRPr="005F4D77" w:rsidTr="00B707A2">
        <w:tc>
          <w:tcPr>
            <w:tcW w:w="9576" w:type="dxa"/>
            <w:gridSpan w:val="7"/>
          </w:tcPr>
          <w:p w:rsidR="00224407" w:rsidRPr="00242DE5" w:rsidRDefault="00224407" w:rsidP="00B707A2">
            <w:pPr>
              <w:rPr>
                <w:b/>
                <w:sz w:val="24"/>
                <w:szCs w:val="24"/>
              </w:rPr>
            </w:pPr>
            <w:r>
              <w:rPr>
                <w:b/>
                <w:sz w:val="24"/>
                <w:szCs w:val="24"/>
              </w:rPr>
              <w:t xml:space="preserve">Subpart C </w:t>
            </w:r>
            <w:r w:rsidRPr="00242DE5">
              <w:rPr>
                <w:b/>
                <w:sz w:val="24"/>
                <w:szCs w:val="24"/>
              </w:rPr>
              <w:t>DCOs Only</w:t>
            </w:r>
          </w:p>
        </w:tc>
      </w:tr>
      <w:tr w:rsidR="00224407" w:rsidRPr="005F4D77" w:rsidTr="00B707A2">
        <w:tc>
          <w:tcPr>
            <w:tcW w:w="1576" w:type="dxa"/>
          </w:tcPr>
          <w:p w:rsidR="00224407" w:rsidRDefault="00224407" w:rsidP="00B707A2">
            <w:pPr>
              <w:rPr>
                <w:sz w:val="24"/>
                <w:szCs w:val="24"/>
              </w:rPr>
            </w:pPr>
            <w:r>
              <w:rPr>
                <w:sz w:val="24"/>
                <w:szCs w:val="24"/>
              </w:rPr>
              <w:t>Certifications -</w:t>
            </w:r>
          </w:p>
          <w:p w:rsidR="00224407" w:rsidRPr="005F4D77" w:rsidRDefault="00224407" w:rsidP="00B707A2">
            <w:pPr>
              <w:rPr>
                <w:sz w:val="24"/>
                <w:szCs w:val="24"/>
              </w:rPr>
            </w:pPr>
            <w:r>
              <w:rPr>
                <w:sz w:val="24"/>
                <w:szCs w:val="24"/>
              </w:rPr>
              <w:t>Subpart C Election Form</w:t>
            </w:r>
          </w:p>
        </w:tc>
        <w:tc>
          <w:tcPr>
            <w:tcW w:w="1490" w:type="dxa"/>
          </w:tcPr>
          <w:p w:rsidR="00224407" w:rsidRPr="005F4D77" w:rsidRDefault="00224407" w:rsidP="00B707A2">
            <w:pPr>
              <w:rPr>
                <w:sz w:val="24"/>
                <w:szCs w:val="24"/>
              </w:rPr>
            </w:pPr>
            <w:r>
              <w:rPr>
                <w:sz w:val="24"/>
                <w:szCs w:val="24"/>
              </w:rPr>
              <w:t>5</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5</w:t>
            </w:r>
          </w:p>
        </w:tc>
        <w:tc>
          <w:tcPr>
            <w:tcW w:w="1250" w:type="dxa"/>
          </w:tcPr>
          <w:p w:rsidR="00224407" w:rsidRPr="005F4D77" w:rsidRDefault="00224407" w:rsidP="00B707A2">
            <w:pPr>
              <w:rPr>
                <w:sz w:val="24"/>
                <w:szCs w:val="24"/>
              </w:rPr>
            </w:pPr>
            <w:r>
              <w:rPr>
                <w:sz w:val="24"/>
                <w:szCs w:val="24"/>
              </w:rPr>
              <w:t>25</w:t>
            </w:r>
          </w:p>
        </w:tc>
        <w:tc>
          <w:tcPr>
            <w:tcW w:w="1250" w:type="dxa"/>
          </w:tcPr>
          <w:p w:rsidR="00224407" w:rsidRPr="005F4D77" w:rsidRDefault="00224407" w:rsidP="00B707A2">
            <w:pPr>
              <w:rPr>
                <w:sz w:val="24"/>
                <w:szCs w:val="24"/>
              </w:rPr>
            </w:pPr>
            <w:r>
              <w:rPr>
                <w:sz w:val="24"/>
                <w:szCs w:val="24"/>
              </w:rPr>
              <w:t>125</w:t>
            </w:r>
          </w:p>
        </w:tc>
        <w:tc>
          <w:tcPr>
            <w:tcW w:w="1519" w:type="dxa"/>
          </w:tcPr>
          <w:p w:rsidR="00224407" w:rsidRPr="005F4D77" w:rsidRDefault="00224407" w:rsidP="00B707A2">
            <w:pPr>
              <w:rPr>
                <w:sz w:val="24"/>
                <w:szCs w:val="24"/>
              </w:rPr>
            </w:pPr>
            <w:r>
              <w:rPr>
                <w:sz w:val="24"/>
                <w:szCs w:val="24"/>
              </w:rPr>
              <w:t>$10,000</w:t>
            </w:r>
          </w:p>
        </w:tc>
      </w:tr>
      <w:tr w:rsidR="00224407" w:rsidRPr="005F4D77" w:rsidTr="00B707A2">
        <w:tc>
          <w:tcPr>
            <w:tcW w:w="1576" w:type="dxa"/>
          </w:tcPr>
          <w:p w:rsidR="00224407" w:rsidRDefault="00224407" w:rsidP="00B707A2">
            <w:pPr>
              <w:rPr>
                <w:sz w:val="24"/>
                <w:szCs w:val="24"/>
              </w:rPr>
            </w:pPr>
            <w:r>
              <w:rPr>
                <w:sz w:val="24"/>
                <w:szCs w:val="24"/>
              </w:rPr>
              <w:t>Exhibits A thru G -</w:t>
            </w:r>
          </w:p>
          <w:p w:rsidR="00224407" w:rsidRPr="005F4D77" w:rsidRDefault="00224407" w:rsidP="00B707A2">
            <w:pPr>
              <w:rPr>
                <w:sz w:val="24"/>
                <w:szCs w:val="24"/>
              </w:rPr>
            </w:pPr>
            <w:r>
              <w:rPr>
                <w:sz w:val="24"/>
                <w:szCs w:val="24"/>
              </w:rPr>
              <w:t>Subpart C Election Form</w:t>
            </w:r>
          </w:p>
        </w:tc>
        <w:tc>
          <w:tcPr>
            <w:tcW w:w="1490" w:type="dxa"/>
          </w:tcPr>
          <w:p w:rsidR="00224407" w:rsidRPr="005F4D77" w:rsidRDefault="00224407" w:rsidP="00B707A2">
            <w:pPr>
              <w:rPr>
                <w:sz w:val="24"/>
                <w:szCs w:val="24"/>
              </w:rPr>
            </w:pPr>
            <w:r>
              <w:rPr>
                <w:sz w:val="24"/>
                <w:szCs w:val="24"/>
              </w:rPr>
              <w:t>5</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5</w:t>
            </w:r>
          </w:p>
        </w:tc>
        <w:tc>
          <w:tcPr>
            <w:tcW w:w="1250" w:type="dxa"/>
          </w:tcPr>
          <w:p w:rsidR="00224407" w:rsidRPr="005F4D77" w:rsidRDefault="00224407" w:rsidP="00B707A2">
            <w:pPr>
              <w:rPr>
                <w:sz w:val="24"/>
                <w:szCs w:val="24"/>
              </w:rPr>
            </w:pPr>
            <w:r>
              <w:rPr>
                <w:sz w:val="24"/>
                <w:szCs w:val="24"/>
              </w:rPr>
              <w:t>155</w:t>
            </w:r>
          </w:p>
        </w:tc>
        <w:tc>
          <w:tcPr>
            <w:tcW w:w="1250" w:type="dxa"/>
          </w:tcPr>
          <w:p w:rsidR="00224407" w:rsidRPr="005F4D77" w:rsidRDefault="00224407" w:rsidP="00B707A2">
            <w:pPr>
              <w:rPr>
                <w:sz w:val="24"/>
                <w:szCs w:val="24"/>
              </w:rPr>
            </w:pPr>
            <w:r>
              <w:rPr>
                <w:sz w:val="24"/>
                <w:szCs w:val="24"/>
              </w:rPr>
              <w:t>775</w:t>
            </w:r>
          </w:p>
        </w:tc>
        <w:tc>
          <w:tcPr>
            <w:tcW w:w="1519" w:type="dxa"/>
          </w:tcPr>
          <w:p w:rsidR="00224407" w:rsidRPr="005F4D77" w:rsidRDefault="00224407" w:rsidP="00B707A2">
            <w:pPr>
              <w:rPr>
                <w:sz w:val="24"/>
                <w:szCs w:val="24"/>
              </w:rPr>
            </w:pPr>
            <w:r>
              <w:rPr>
                <w:sz w:val="24"/>
                <w:szCs w:val="24"/>
              </w:rPr>
              <w:t>$60,000</w:t>
            </w:r>
          </w:p>
        </w:tc>
      </w:tr>
      <w:tr w:rsidR="00224407" w:rsidRPr="005F4D77" w:rsidTr="00B707A2">
        <w:tc>
          <w:tcPr>
            <w:tcW w:w="1576" w:type="dxa"/>
          </w:tcPr>
          <w:p w:rsidR="00224407" w:rsidRPr="005F4D77" w:rsidRDefault="00224407" w:rsidP="00B707A2">
            <w:pPr>
              <w:rPr>
                <w:sz w:val="24"/>
                <w:szCs w:val="24"/>
              </w:rPr>
            </w:pPr>
            <w:r>
              <w:rPr>
                <w:sz w:val="24"/>
                <w:szCs w:val="24"/>
              </w:rPr>
              <w:t>Disclosure Framework Responses</w:t>
            </w:r>
          </w:p>
        </w:tc>
        <w:tc>
          <w:tcPr>
            <w:tcW w:w="1490" w:type="dxa"/>
          </w:tcPr>
          <w:p w:rsidR="00224407" w:rsidRPr="005F4D77" w:rsidRDefault="00224407" w:rsidP="00B707A2">
            <w:pPr>
              <w:rPr>
                <w:sz w:val="24"/>
                <w:szCs w:val="24"/>
              </w:rPr>
            </w:pPr>
            <w:r>
              <w:rPr>
                <w:sz w:val="24"/>
                <w:szCs w:val="24"/>
              </w:rPr>
              <w:t>5</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5</w:t>
            </w:r>
          </w:p>
        </w:tc>
        <w:tc>
          <w:tcPr>
            <w:tcW w:w="1250" w:type="dxa"/>
          </w:tcPr>
          <w:p w:rsidR="00224407" w:rsidRPr="005F4D77" w:rsidRDefault="00224407" w:rsidP="00B707A2">
            <w:pPr>
              <w:rPr>
                <w:sz w:val="24"/>
                <w:szCs w:val="24"/>
              </w:rPr>
            </w:pPr>
            <w:r>
              <w:rPr>
                <w:sz w:val="24"/>
                <w:szCs w:val="24"/>
              </w:rPr>
              <w:t>200</w:t>
            </w:r>
          </w:p>
        </w:tc>
        <w:tc>
          <w:tcPr>
            <w:tcW w:w="1250" w:type="dxa"/>
          </w:tcPr>
          <w:p w:rsidR="00224407" w:rsidRPr="005F4D77" w:rsidRDefault="00224407" w:rsidP="00B707A2">
            <w:pPr>
              <w:rPr>
                <w:sz w:val="24"/>
                <w:szCs w:val="24"/>
              </w:rPr>
            </w:pPr>
            <w:r>
              <w:rPr>
                <w:sz w:val="24"/>
                <w:szCs w:val="24"/>
              </w:rPr>
              <w:t>1,000</w:t>
            </w:r>
          </w:p>
        </w:tc>
        <w:tc>
          <w:tcPr>
            <w:tcW w:w="1519" w:type="dxa"/>
          </w:tcPr>
          <w:p w:rsidR="00224407" w:rsidRPr="005F4D77" w:rsidRDefault="00224407" w:rsidP="00B707A2">
            <w:pPr>
              <w:rPr>
                <w:sz w:val="24"/>
                <w:szCs w:val="24"/>
              </w:rPr>
            </w:pPr>
            <w:r>
              <w:rPr>
                <w:sz w:val="24"/>
                <w:szCs w:val="24"/>
              </w:rPr>
              <w:t>$80,000</w:t>
            </w:r>
          </w:p>
        </w:tc>
      </w:tr>
      <w:tr w:rsidR="00224407" w:rsidRPr="005F4D77" w:rsidTr="00B707A2">
        <w:tc>
          <w:tcPr>
            <w:tcW w:w="1576" w:type="dxa"/>
          </w:tcPr>
          <w:p w:rsidR="00224407" w:rsidRPr="005F4D77" w:rsidRDefault="00224407" w:rsidP="00B707A2">
            <w:pPr>
              <w:rPr>
                <w:sz w:val="24"/>
                <w:szCs w:val="24"/>
              </w:rPr>
            </w:pPr>
            <w:r>
              <w:rPr>
                <w:sz w:val="24"/>
                <w:szCs w:val="24"/>
              </w:rPr>
              <w:t>Quantitative Information Disclosures</w:t>
            </w:r>
          </w:p>
        </w:tc>
        <w:tc>
          <w:tcPr>
            <w:tcW w:w="1490" w:type="dxa"/>
          </w:tcPr>
          <w:p w:rsidR="00224407" w:rsidRPr="005F4D77" w:rsidRDefault="00224407" w:rsidP="00B707A2">
            <w:pPr>
              <w:rPr>
                <w:sz w:val="24"/>
                <w:szCs w:val="24"/>
              </w:rPr>
            </w:pPr>
            <w:r>
              <w:rPr>
                <w:sz w:val="24"/>
                <w:szCs w:val="24"/>
              </w:rPr>
              <w:t>5</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5</w:t>
            </w:r>
          </w:p>
        </w:tc>
        <w:tc>
          <w:tcPr>
            <w:tcW w:w="1250" w:type="dxa"/>
          </w:tcPr>
          <w:p w:rsidR="00224407" w:rsidRPr="005F4D77" w:rsidRDefault="00224407" w:rsidP="00B707A2">
            <w:pPr>
              <w:rPr>
                <w:sz w:val="24"/>
                <w:szCs w:val="24"/>
              </w:rPr>
            </w:pPr>
            <w:r>
              <w:rPr>
                <w:sz w:val="24"/>
                <w:szCs w:val="24"/>
              </w:rPr>
              <w:t>80</w:t>
            </w:r>
          </w:p>
        </w:tc>
        <w:tc>
          <w:tcPr>
            <w:tcW w:w="1250" w:type="dxa"/>
          </w:tcPr>
          <w:p w:rsidR="00224407" w:rsidRPr="005F4D77" w:rsidRDefault="00224407" w:rsidP="00B707A2">
            <w:pPr>
              <w:rPr>
                <w:sz w:val="24"/>
                <w:szCs w:val="24"/>
              </w:rPr>
            </w:pPr>
            <w:r>
              <w:rPr>
                <w:sz w:val="24"/>
                <w:szCs w:val="24"/>
              </w:rPr>
              <w:t>400</w:t>
            </w:r>
          </w:p>
        </w:tc>
        <w:tc>
          <w:tcPr>
            <w:tcW w:w="1519" w:type="dxa"/>
          </w:tcPr>
          <w:p w:rsidR="00224407" w:rsidRPr="005F4D77" w:rsidRDefault="00224407" w:rsidP="00B707A2">
            <w:pPr>
              <w:rPr>
                <w:sz w:val="24"/>
                <w:szCs w:val="24"/>
              </w:rPr>
            </w:pPr>
            <w:r>
              <w:rPr>
                <w:sz w:val="24"/>
                <w:szCs w:val="24"/>
              </w:rPr>
              <w:t>$32,000</w:t>
            </w:r>
          </w:p>
        </w:tc>
      </w:tr>
      <w:tr w:rsidR="00224407" w:rsidRPr="005F4D77" w:rsidTr="00B707A2">
        <w:tc>
          <w:tcPr>
            <w:tcW w:w="1576" w:type="dxa"/>
          </w:tcPr>
          <w:p w:rsidR="00224407" w:rsidRPr="005F4D77" w:rsidRDefault="00224407" w:rsidP="00B707A2">
            <w:pPr>
              <w:rPr>
                <w:sz w:val="24"/>
                <w:szCs w:val="24"/>
              </w:rPr>
            </w:pPr>
            <w:r>
              <w:rPr>
                <w:sz w:val="24"/>
                <w:szCs w:val="24"/>
              </w:rPr>
              <w:t>Supplemental Information</w:t>
            </w:r>
          </w:p>
        </w:tc>
        <w:tc>
          <w:tcPr>
            <w:tcW w:w="1490" w:type="dxa"/>
          </w:tcPr>
          <w:p w:rsidR="00224407" w:rsidRPr="005F4D77" w:rsidRDefault="00224407" w:rsidP="00B707A2">
            <w:pPr>
              <w:rPr>
                <w:sz w:val="24"/>
                <w:szCs w:val="24"/>
              </w:rPr>
            </w:pPr>
            <w:r>
              <w:rPr>
                <w:sz w:val="24"/>
                <w:szCs w:val="24"/>
              </w:rPr>
              <w:t>5</w:t>
            </w:r>
          </w:p>
        </w:tc>
        <w:tc>
          <w:tcPr>
            <w:tcW w:w="1192" w:type="dxa"/>
          </w:tcPr>
          <w:p w:rsidR="00224407" w:rsidRPr="005F4D77" w:rsidRDefault="00224407" w:rsidP="00B707A2">
            <w:pPr>
              <w:rPr>
                <w:sz w:val="24"/>
                <w:szCs w:val="24"/>
              </w:rPr>
            </w:pPr>
            <w:r>
              <w:rPr>
                <w:sz w:val="24"/>
                <w:szCs w:val="24"/>
              </w:rPr>
              <w:t>5</w:t>
            </w:r>
          </w:p>
        </w:tc>
        <w:tc>
          <w:tcPr>
            <w:tcW w:w="1299" w:type="dxa"/>
          </w:tcPr>
          <w:p w:rsidR="00224407" w:rsidRPr="005F4D77" w:rsidRDefault="00224407" w:rsidP="00B707A2">
            <w:pPr>
              <w:rPr>
                <w:sz w:val="24"/>
                <w:szCs w:val="24"/>
              </w:rPr>
            </w:pPr>
            <w:r>
              <w:rPr>
                <w:sz w:val="24"/>
                <w:szCs w:val="24"/>
              </w:rPr>
              <w:t>25</w:t>
            </w:r>
          </w:p>
        </w:tc>
        <w:tc>
          <w:tcPr>
            <w:tcW w:w="1250" w:type="dxa"/>
          </w:tcPr>
          <w:p w:rsidR="00224407" w:rsidRPr="005F4D77" w:rsidRDefault="00224407" w:rsidP="00B707A2">
            <w:pPr>
              <w:rPr>
                <w:sz w:val="24"/>
                <w:szCs w:val="24"/>
              </w:rPr>
            </w:pPr>
            <w:r>
              <w:rPr>
                <w:sz w:val="24"/>
                <w:szCs w:val="24"/>
              </w:rPr>
              <w:t>45</w:t>
            </w:r>
          </w:p>
        </w:tc>
        <w:tc>
          <w:tcPr>
            <w:tcW w:w="1250" w:type="dxa"/>
          </w:tcPr>
          <w:p w:rsidR="00224407" w:rsidRPr="005F4D77" w:rsidRDefault="00224407" w:rsidP="00B707A2">
            <w:pPr>
              <w:rPr>
                <w:sz w:val="24"/>
                <w:szCs w:val="24"/>
              </w:rPr>
            </w:pPr>
            <w:r>
              <w:rPr>
                <w:sz w:val="24"/>
                <w:szCs w:val="24"/>
              </w:rPr>
              <w:t>1,125</w:t>
            </w:r>
          </w:p>
        </w:tc>
        <w:tc>
          <w:tcPr>
            <w:tcW w:w="1519" w:type="dxa"/>
          </w:tcPr>
          <w:p w:rsidR="00224407" w:rsidRPr="005F4D77" w:rsidRDefault="00224407" w:rsidP="00B707A2">
            <w:pPr>
              <w:rPr>
                <w:sz w:val="24"/>
                <w:szCs w:val="24"/>
              </w:rPr>
            </w:pPr>
            <w:r>
              <w:rPr>
                <w:sz w:val="24"/>
                <w:szCs w:val="24"/>
              </w:rPr>
              <w:t>$90,000</w:t>
            </w:r>
          </w:p>
        </w:tc>
      </w:tr>
      <w:tr w:rsidR="00224407" w:rsidRPr="005F4D77" w:rsidTr="00B707A2">
        <w:tc>
          <w:tcPr>
            <w:tcW w:w="1576" w:type="dxa"/>
          </w:tcPr>
          <w:p w:rsidR="00224407" w:rsidRPr="005F4D77" w:rsidRDefault="00224407" w:rsidP="00B707A2">
            <w:pPr>
              <w:rPr>
                <w:sz w:val="24"/>
                <w:szCs w:val="24"/>
              </w:rPr>
            </w:pPr>
            <w:r>
              <w:rPr>
                <w:sz w:val="24"/>
                <w:szCs w:val="24"/>
              </w:rPr>
              <w:t>Amendments to Subpart C Election Form</w:t>
            </w:r>
          </w:p>
        </w:tc>
        <w:tc>
          <w:tcPr>
            <w:tcW w:w="1490" w:type="dxa"/>
          </w:tcPr>
          <w:p w:rsidR="00224407" w:rsidRPr="005F4D77" w:rsidRDefault="00224407" w:rsidP="00B707A2">
            <w:pPr>
              <w:rPr>
                <w:sz w:val="24"/>
                <w:szCs w:val="24"/>
              </w:rPr>
            </w:pPr>
            <w:r>
              <w:rPr>
                <w:sz w:val="24"/>
                <w:szCs w:val="24"/>
              </w:rPr>
              <w:t>5</w:t>
            </w:r>
          </w:p>
        </w:tc>
        <w:tc>
          <w:tcPr>
            <w:tcW w:w="1192" w:type="dxa"/>
          </w:tcPr>
          <w:p w:rsidR="00224407" w:rsidRPr="005F4D77" w:rsidRDefault="00224407" w:rsidP="00B707A2">
            <w:pPr>
              <w:rPr>
                <w:sz w:val="24"/>
                <w:szCs w:val="24"/>
              </w:rPr>
            </w:pPr>
            <w:r>
              <w:rPr>
                <w:sz w:val="24"/>
                <w:szCs w:val="24"/>
              </w:rPr>
              <w:t>3</w:t>
            </w:r>
          </w:p>
        </w:tc>
        <w:tc>
          <w:tcPr>
            <w:tcW w:w="1299" w:type="dxa"/>
          </w:tcPr>
          <w:p w:rsidR="00224407" w:rsidRPr="005F4D77" w:rsidRDefault="00224407" w:rsidP="00B707A2">
            <w:pPr>
              <w:rPr>
                <w:sz w:val="24"/>
                <w:szCs w:val="24"/>
              </w:rPr>
            </w:pPr>
            <w:r>
              <w:rPr>
                <w:sz w:val="24"/>
                <w:szCs w:val="24"/>
              </w:rPr>
              <w:t>15</w:t>
            </w:r>
          </w:p>
        </w:tc>
        <w:tc>
          <w:tcPr>
            <w:tcW w:w="1250" w:type="dxa"/>
          </w:tcPr>
          <w:p w:rsidR="00224407" w:rsidRPr="005F4D77" w:rsidRDefault="00224407" w:rsidP="00B707A2">
            <w:pPr>
              <w:rPr>
                <w:sz w:val="24"/>
                <w:szCs w:val="24"/>
              </w:rPr>
            </w:pPr>
            <w:r>
              <w:rPr>
                <w:sz w:val="24"/>
                <w:szCs w:val="24"/>
              </w:rPr>
              <w:t>8</w:t>
            </w:r>
          </w:p>
        </w:tc>
        <w:tc>
          <w:tcPr>
            <w:tcW w:w="1250" w:type="dxa"/>
          </w:tcPr>
          <w:p w:rsidR="00224407" w:rsidRPr="005F4D77" w:rsidRDefault="00224407" w:rsidP="00B707A2">
            <w:pPr>
              <w:rPr>
                <w:sz w:val="24"/>
                <w:szCs w:val="24"/>
              </w:rPr>
            </w:pPr>
            <w:r>
              <w:rPr>
                <w:sz w:val="24"/>
                <w:szCs w:val="24"/>
              </w:rPr>
              <w:t>120</w:t>
            </w:r>
          </w:p>
        </w:tc>
        <w:tc>
          <w:tcPr>
            <w:tcW w:w="1519" w:type="dxa"/>
          </w:tcPr>
          <w:p w:rsidR="00224407" w:rsidRPr="005F4D77" w:rsidRDefault="00224407" w:rsidP="00B707A2">
            <w:pPr>
              <w:rPr>
                <w:sz w:val="24"/>
                <w:szCs w:val="24"/>
              </w:rPr>
            </w:pPr>
            <w:r>
              <w:rPr>
                <w:sz w:val="24"/>
                <w:szCs w:val="24"/>
              </w:rPr>
              <w:t>$10,000</w:t>
            </w:r>
          </w:p>
        </w:tc>
      </w:tr>
      <w:tr w:rsidR="00224407" w:rsidRPr="005F4D77" w:rsidTr="00B707A2">
        <w:tc>
          <w:tcPr>
            <w:tcW w:w="1576" w:type="dxa"/>
          </w:tcPr>
          <w:p w:rsidR="00224407" w:rsidRPr="005F4D77" w:rsidRDefault="00224407" w:rsidP="00B707A2">
            <w:pPr>
              <w:rPr>
                <w:sz w:val="24"/>
                <w:szCs w:val="24"/>
              </w:rPr>
            </w:pPr>
            <w:r>
              <w:rPr>
                <w:sz w:val="24"/>
                <w:szCs w:val="24"/>
              </w:rPr>
              <w:t>Withdrawal Notices</w:t>
            </w:r>
          </w:p>
        </w:tc>
        <w:tc>
          <w:tcPr>
            <w:tcW w:w="1490" w:type="dxa"/>
          </w:tcPr>
          <w:p w:rsidR="00224407" w:rsidRPr="005F4D77" w:rsidRDefault="00224407" w:rsidP="00B707A2">
            <w:pPr>
              <w:rPr>
                <w:sz w:val="24"/>
                <w:szCs w:val="24"/>
              </w:rPr>
            </w:pPr>
            <w:r>
              <w:rPr>
                <w:sz w:val="24"/>
                <w:szCs w:val="24"/>
              </w:rPr>
              <w:t>1</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1</w:t>
            </w:r>
          </w:p>
        </w:tc>
        <w:tc>
          <w:tcPr>
            <w:tcW w:w="1250" w:type="dxa"/>
          </w:tcPr>
          <w:p w:rsidR="00224407" w:rsidRPr="005F4D77" w:rsidRDefault="00224407" w:rsidP="00B707A2">
            <w:pPr>
              <w:rPr>
                <w:sz w:val="24"/>
                <w:szCs w:val="24"/>
              </w:rPr>
            </w:pPr>
            <w:r>
              <w:rPr>
                <w:sz w:val="24"/>
                <w:szCs w:val="24"/>
              </w:rPr>
              <w:t>2</w:t>
            </w:r>
          </w:p>
        </w:tc>
        <w:tc>
          <w:tcPr>
            <w:tcW w:w="1250" w:type="dxa"/>
          </w:tcPr>
          <w:p w:rsidR="00224407" w:rsidRPr="005F4D77" w:rsidRDefault="00224407" w:rsidP="00B707A2">
            <w:pPr>
              <w:rPr>
                <w:sz w:val="24"/>
                <w:szCs w:val="24"/>
              </w:rPr>
            </w:pPr>
            <w:r>
              <w:rPr>
                <w:sz w:val="24"/>
                <w:szCs w:val="24"/>
              </w:rPr>
              <w:t>2</w:t>
            </w:r>
          </w:p>
        </w:tc>
        <w:tc>
          <w:tcPr>
            <w:tcW w:w="1519" w:type="dxa"/>
          </w:tcPr>
          <w:p w:rsidR="00224407" w:rsidRPr="005F4D77" w:rsidRDefault="00224407" w:rsidP="00B707A2">
            <w:pPr>
              <w:rPr>
                <w:sz w:val="24"/>
                <w:szCs w:val="24"/>
              </w:rPr>
            </w:pPr>
            <w:r>
              <w:rPr>
                <w:sz w:val="24"/>
                <w:szCs w:val="24"/>
              </w:rPr>
              <w:t>$180</w:t>
            </w:r>
          </w:p>
        </w:tc>
      </w:tr>
      <w:tr w:rsidR="00224407" w:rsidRPr="005F4D77" w:rsidTr="00B707A2">
        <w:tc>
          <w:tcPr>
            <w:tcW w:w="1576" w:type="dxa"/>
          </w:tcPr>
          <w:p w:rsidR="00224407" w:rsidRPr="005F4D77" w:rsidRDefault="00224407" w:rsidP="00B707A2">
            <w:pPr>
              <w:rPr>
                <w:sz w:val="24"/>
                <w:szCs w:val="24"/>
              </w:rPr>
            </w:pPr>
            <w:r>
              <w:rPr>
                <w:sz w:val="24"/>
                <w:szCs w:val="24"/>
              </w:rPr>
              <w:t>Rescission Notices</w:t>
            </w:r>
          </w:p>
        </w:tc>
        <w:tc>
          <w:tcPr>
            <w:tcW w:w="1490" w:type="dxa"/>
          </w:tcPr>
          <w:p w:rsidR="00224407" w:rsidRPr="005F4D77" w:rsidRDefault="00224407" w:rsidP="00B707A2">
            <w:pPr>
              <w:rPr>
                <w:sz w:val="24"/>
                <w:szCs w:val="24"/>
              </w:rPr>
            </w:pPr>
            <w:r>
              <w:rPr>
                <w:sz w:val="24"/>
                <w:szCs w:val="24"/>
              </w:rPr>
              <w:t>1</w:t>
            </w:r>
          </w:p>
        </w:tc>
        <w:tc>
          <w:tcPr>
            <w:tcW w:w="1192" w:type="dxa"/>
          </w:tcPr>
          <w:p w:rsidR="00224407" w:rsidRPr="005F4D77" w:rsidRDefault="00224407" w:rsidP="00B707A2">
            <w:pPr>
              <w:rPr>
                <w:sz w:val="24"/>
                <w:szCs w:val="24"/>
              </w:rPr>
            </w:pPr>
            <w:r>
              <w:rPr>
                <w:sz w:val="24"/>
                <w:szCs w:val="24"/>
              </w:rPr>
              <w:t>75</w:t>
            </w:r>
          </w:p>
        </w:tc>
        <w:tc>
          <w:tcPr>
            <w:tcW w:w="1299" w:type="dxa"/>
          </w:tcPr>
          <w:p w:rsidR="00224407" w:rsidRPr="005F4D77" w:rsidRDefault="00224407" w:rsidP="00B707A2">
            <w:pPr>
              <w:rPr>
                <w:sz w:val="24"/>
                <w:szCs w:val="24"/>
              </w:rPr>
            </w:pPr>
            <w:r>
              <w:rPr>
                <w:sz w:val="24"/>
                <w:szCs w:val="24"/>
              </w:rPr>
              <w:t>75</w:t>
            </w:r>
          </w:p>
        </w:tc>
        <w:tc>
          <w:tcPr>
            <w:tcW w:w="1250" w:type="dxa"/>
          </w:tcPr>
          <w:p w:rsidR="00224407" w:rsidRPr="005F4D77" w:rsidRDefault="00224407" w:rsidP="00B707A2">
            <w:pPr>
              <w:rPr>
                <w:sz w:val="24"/>
                <w:szCs w:val="24"/>
              </w:rPr>
            </w:pPr>
            <w:r>
              <w:rPr>
                <w:sz w:val="24"/>
                <w:szCs w:val="24"/>
              </w:rPr>
              <w:t>3</w:t>
            </w:r>
          </w:p>
        </w:tc>
        <w:tc>
          <w:tcPr>
            <w:tcW w:w="1250" w:type="dxa"/>
          </w:tcPr>
          <w:p w:rsidR="00224407" w:rsidRPr="005F4D77" w:rsidRDefault="00224407" w:rsidP="00B707A2">
            <w:pPr>
              <w:rPr>
                <w:sz w:val="24"/>
                <w:szCs w:val="24"/>
              </w:rPr>
            </w:pPr>
            <w:r>
              <w:rPr>
                <w:sz w:val="24"/>
                <w:szCs w:val="24"/>
              </w:rPr>
              <w:t>225</w:t>
            </w:r>
          </w:p>
        </w:tc>
        <w:tc>
          <w:tcPr>
            <w:tcW w:w="1519" w:type="dxa"/>
          </w:tcPr>
          <w:p w:rsidR="00224407" w:rsidRPr="005F4D77" w:rsidRDefault="00224407" w:rsidP="00B707A2">
            <w:pPr>
              <w:rPr>
                <w:sz w:val="24"/>
                <w:szCs w:val="24"/>
              </w:rPr>
            </w:pPr>
            <w:r>
              <w:rPr>
                <w:sz w:val="24"/>
                <w:szCs w:val="24"/>
              </w:rPr>
              <w:t>$19,000</w:t>
            </w:r>
          </w:p>
        </w:tc>
      </w:tr>
      <w:tr w:rsidR="00224407" w:rsidRPr="005F4D77" w:rsidTr="00B707A2">
        <w:tc>
          <w:tcPr>
            <w:tcW w:w="9576" w:type="dxa"/>
            <w:gridSpan w:val="7"/>
          </w:tcPr>
          <w:p w:rsidR="00224407" w:rsidRPr="00242DE5" w:rsidRDefault="00224407" w:rsidP="00B707A2">
            <w:pPr>
              <w:rPr>
                <w:b/>
                <w:sz w:val="24"/>
                <w:szCs w:val="24"/>
                <w:u w:val="single"/>
              </w:rPr>
            </w:pPr>
            <w:r w:rsidRPr="00242DE5">
              <w:rPr>
                <w:b/>
                <w:sz w:val="24"/>
                <w:szCs w:val="24"/>
                <w:u w:val="single"/>
              </w:rPr>
              <w:t xml:space="preserve">SIDCO and </w:t>
            </w:r>
            <w:r>
              <w:rPr>
                <w:b/>
                <w:sz w:val="24"/>
                <w:szCs w:val="24"/>
                <w:u w:val="single"/>
              </w:rPr>
              <w:t>Subpart C</w:t>
            </w:r>
            <w:r w:rsidRPr="00242DE5">
              <w:rPr>
                <w:b/>
                <w:sz w:val="24"/>
                <w:szCs w:val="24"/>
                <w:u w:val="single"/>
              </w:rPr>
              <w:t xml:space="preserve"> DCOs</w:t>
            </w:r>
          </w:p>
        </w:tc>
      </w:tr>
      <w:tr w:rsidR="00224407" w:rsidRPr="005F4D77" w:rsidTr="00B707A2">
        <w:tc>
          <w:tcPr>
            <w:tcW w:w="1576" w:type="dxa"/>
          </w:tcPr>
          <w:p w:rsidR="00224407" w:rsidRPr="005F4D77" w:rsidRDefault="00224407" w:rsidP="00B707A2">
            <w:pPr>
              <w:rPr>
                <w:sz w:val="24"/>
                <w:szCs w:val="24"/>
              </w:rPr>
            </w:pPr>
            <w:r>
              <w:rPr>
                <w:sz w:val="24"/>
                <w:szCs w:val="24"/>
              </w:rPr>
              <w:t>Written Governance Arrangements</w:t>
            </w:r>
          </w:p>
        </w:tc>
        <w:tc>
          <w:tcPr>
            <w:tcW w:w="1490" w:type="dxa"/>
          </w:tcPr>
          <w:p w:rsidR="00224407" w:rsidRPr="005F4D77" w:rsidRDefault="00224407" w:rsidP="00B707A2">
            <w:pPr>
              <w:rPr>
                <w:sz w:val="24"/>
                <w:szCs w:val="24"/>
              </w:rPr>
            </w:pPr>
            <w:r>
              <w:rPr>
                <w:sz w:val="24"/>
                <w:szCs w:val="24"/>
              </w:rPr>
              <w:t>7</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7</w:t>
            </w:r>
          </w:p>
        </w:tc>
        <w:tc>
          <w:tcPr>
            <w:tcW w:w="1250" w:type="dxa"/>
          </w:tcPr>
          <w:p w:rsidR="00224407" w:rsidRPr="005F4D77" w:rsidRDefault="00224407" w:rsidP="00B707A2">
            <w:pPr>
              <w:rPr>
                <w:sz w:val="24"/>
                <w:szCs w:val="24"/>
              </w:rPr>
            </w:pPr>
            <w:r>
              <w:rPr>
                <w:sz w:val="24"/>
                <w:szCs w:val="24"/>
              </w:rPr>
              <w:t>200</w:t>
            </w:r>
          </w:p>
        </w:tc>
        <w:tc>
          <w:tcPr>
            <w:tcW w:w="1250" w:type="dxa"/>
          </w:tcPr>
          <w:p w:rsidR="00224407" w:rsidRPr="005F4D77" w:rsidRDefault="00224407" w:rsidP="00B707A2">
            <w:pPr>
              <w:rPr>
                <w:sz w:val="24"/>
                <w:szCs w:val="24"/>
              </w:rPr>
            </w:pPr>
            <w:r>
              <w:rPr>
                <w:sz w:val="24"/>
                <w:szCs w:val="24"/>
              </w:rPr>
              <w:t>1,400</w:t>
            </w:r>
          </w:p>
        </w:tc>
        <w:tc>
          <w:tcPr>
            <w:tcW w:w="1519" w:type="dxa"/>
          </w:tcPr>
          <w:p w:rsidR="00224407" w:rsidRPr="005F4D77" w:rsidRDefault="00224407" w:rsidP="00B707A2">
            <w:pPr>
              <w:rPr>
                <w:sz w:val="24"/>
                <w:szCs w:val="24"/>
              </w:rPr>
            </w:pPr>
            <w:r>
              <w:rPr>
                <w:sz w:val="24"/>
                <w:szCs w:val="24"/>
              </w:rPr>
              <w:t>$110,000</w:t>
            </w:r>
          </w:p>
        </w:tc>
      </w:tr>
      <w:tr w:rsidR="00224407" w:rsidRPr="005F4D77" w:rsidTr="00B707A2">
        <w:tc>
          <w:tcPr>
            <w:tcW w:w="1576" w:type="dxa"/>
          </w:tcPr>
          <w:p w:rsidR="00224407" w:rsidRPr="005F4D77" w:rsidRDefault="00224407" w:rsidP="00B707A2">
            <w:pPr>
              <w:rPr>
                <w:sz w:val="24"/>
                <w:szCs w:val="24"/>
              </w:rPr>
            </w:pPr>
            <w:r>
              <w:rPr>
                <w:sz w:val="24"/>
                <w:szCs w:val="24"/>
              </w:rPr>
              <w:t>Governance Disclosures</w:t>
            </w:r>
          </w:p>
        </w:tc>
        <w:tc>
          <w:tcPr>
            <w:tcW w:w="1490" w:type="dxa"/>
          </w:tcPr>
          <w:p w:rsidR="00224407" w:rsidRPr="005F4D77" w:rsidRDefault="00224407" w:rsidP="00B707A2">
            <w:pPr>
              <w:rPr>
                <w:sz w:val="24"/>
                <w:szCs w:val="24"/>
              </w:rPr>
            </w:pPr>
            <w:r>
              <w:rPr>
                <w:sz w:val="24"/>
                <w:szCs w:val="24"/>
              </w:rPr>
              <w:t>7</w:t>
            </w:r>
          </w:p>
        </w:tc>
        <w:tc>
          <w:tcPr>
            <w:tcW w:w="1192" w:type="dxa"/>
          </w:tcPr>
          <w:p w:rsidR="00224407" w:rsidRPr="005F4D77" w:rsidRDefault="00224407" w:rsidP="00B707A2">
            <w:pPr>
              <w:rPr>
                <w:sz w:val="24"/>
                <w:szCs w:val="24"/>
              </w:rPr>
            </w:pPr>
            <w:r>
              <w:rPr>
                <w:sz w:val="24"/>
                <w:szCs w:val="24"/>
              </w:rPr>
              <w:t>6</w:t>
            </w:r>
          </w:p>
        </w:tc>
        <w:tc>
          <w:tcPr>
            <w:tcW w:w="1299" w:type="dxa"/>
          </w:tcPr>
          <w:p w:rsidR="00224407" w:rsidRPr="005F4D77" w:rsidRDefault="00224407" w:rsidP="00B707A2">
            <w:pPr>
              <w:rPr>
                <w:sz w:val="24"/>
                <w:szCs w:val="24"/>
              </w:rPr>
            </w:pPr>
            <w:r>
              <w:rPr>
                <w:sz w:val="24"/>
                <w:szCs w:val="24"/>
              </w:rPr>
              <w:t>42</w:t>
            </w:r>
          </w:p>
        </w:tc>
        <w:tc>
          <w:tcPr>
            <w:tcW w:w="1250" w:type="dxa"/>
          </w:tcPr>
          <w:p w:rsidR="00224407" w:rsidRPr="005F4D77" w:rsidRDefault="00224407" w:rsidP="00B707A2">
            <w:pPr>
              <w:rPr>
                <w:sz w:val="24"/>
                <w:szCs w:val="24"/>
              </w:rPr>
            </w:pPr>
            <w:r>
              <w:rPr>
                <w:sz w:val="24"/>
                <w:szCs w:val="24"/>
              </w:rPr>
              <w:t>3</w:t>
            </w:r>
          </w:p>
        </w:tc>
        <w:tc>
          <w:tcPr>
            <w:tcW w:w="1250" w:type="dxa"/>
          </w:tcPr>
          <w:p w:rsidR="00224407" w:rsidRPr="005F4D77" w:rsidRDefault="00224407" w:rsidP="00B707A2">
            <w:pPr>
              <w:rPr>
                <w:sz w:val="24"/>
                <w:szCs w:val="24"/>
              </w:rPr>
            </w:pPr>
            <w:r>
              <w:rPr>
                <w:sz w:val="24"/>
                <w:szCs w:val="24"/>
              </w:rPr>
              <w:t>126</w:t>
            </w:r>
          </w:p>
        </w:tc>
        <w:tc>
          <w:tcPr>
            <w:tcW w:w="1519" w:type="dxa"/>
          </w:tcPr>
          <w:p w:rsidR="00224407" w:rsidRPr="005F4D77" w:rsidRDefault="00224407" w:rsidP="00B707A2">
            <w:pPr>
              <w:rPr>
                <w:sz w:val="24"/>
                <w:szCs w:val="24"/>
              </w:rPr>
            </w:pPr>
            <w:r>
              <w:rPr>
                <w:sz w:val="24"/>
                <w:szCs w:val="24"/>
              </w:rPr>
              <w:t>$10,000</w:t>
            </w:r>
          </w:p>
        </w:tc>
      </w:tr>
      <w:tr w:rsidR="00224407" w:rsidRPr="005F4D77" w:rsidTr="00B707A2">
        <w:tc>
          <w:tcPr>
            <w:tcW w:w="1576" w:type="dxa"/>
          </w:tcPr>
          <w:p w:rsidR="00224407" w:rsidRDefault="00224407" w:rsidP="00B707A2">
            <w:pPr>
              <w:rPr>
                <w:sz w:val="24"/>
                <w:szCs w:val="24"/>
              </w:rPr>
            </w:pPr>
            <w:r>
              <w:rPr>
                <w:sz w:val="24"/>
                <w:szCs w:val="24"/>
              </w:rPr>
              <w:t>Financial and Liquidity Resource Documentation</w:t>
            </w:r>
          </w:p>
        </w:tc>
        <w:tc>
          <w:tcPr>
            <w:tcW w:w="1490" w:type="dxa"/>
          </w:tcPr>
          <w:p w:rsidR="00224407" w:rsidRDefault="00224407" w:rsidP="00B707A2">
            <w:pPr>
              <w:rPr>
                <w:sz w:val="24"/>
                <w:szCs w:val="24"/>
              </w:rPr>
            </w:pPr>
            <w:r>
              <w:rPr>
                <w:sz w:val="24"/>
                <w:szCs w:val="24"/>
              </w:rPr>
              <w:t>7</w:t>
            </w:r>
          </w:p>
        </w:tc>
        <w:tc>
          <w:tcPr>
            <w:tcW w:w="1192" w:type="dxa"/>
          </w:tcPr>
          <w:p w:rsidR="00224407" w:rsidRDefault="00224407" w:rsidP="00B707A2">
            <w:pPr>
              <w:rPr>
                <w:sz w:val="24"/>
                <w:szCs w:val="24"/>
              </w:rPr>
            </w:pPr>
            <w:r>
              <w:rPr>
                <w:sz w:val="24"/>
                <w:szCs w:val="24"/>
              </w:rPr>
              <w:t>1</w:t>
            </w:r>
          </w:p>
        </w:tc>
        <w:tc>
          <w:tcPr>
            <w:tcW w:w="1299" w:type="dxa"/>
          </w:tcPr>
          <w:p w:rsidR="00224407" w:rsidRDefault="00224407" w:rsidP="00B707A2">
            <w:pPr>
              <w:rPr>
                <w:sz w:val="24"/>
                <w:szCs w:val="24"/>
              </w:rPr>
            </w:pPr>
            <w:r>
              <w:rPr>
                <w:sz w:val="24"/>
                <w:szCs w:val="24"/>
              </w:rPr>
              <w:t>7</w:t>
            </w:r>
          </w:p>
        </w:tc>
        <w:tc>
          <w:tcPr>
            <w:tcW w:w="1250" w:type="dxa"/>
          </w:tcPr>
          <w:p w:rsidR="00224407" w:rsidRDefault="00224407" w:rsidP="00B707A2">
            <w:pPr>
              <w:rPr>
                <w:sz w:val="24"/>
                <w:szCs w:val="24"/>
              </w:rPr>
            </w:pPr>
            <w:r>
              <w:rPr>
                <w:sz w:val="24"/>
                <w:szCs w:val="24"/>
              </w:rPr>
              <w:t>120</w:t>
            </w:r>
          </w:p>
        </w:tc>
        <w:tc>
          <w:tcPr>
            <w:tcW w:w="1250" w:type="dxa"/>
          </w:tcPr>
          <w:p w:rsidR="00224407" w:rsidRDefault="00224407" w:rsidP="00B707A2">
            <w:pPr>
              <w:rPr>
                <w:sz w:val="24"/>
                <w:szCs w:val="24"/>
              </w:rPr>
            </w:pPr>
            <w:r>
              <w:rPr>
                <w:sz w:val="24"/>
                <w:szCs w:val="24"/>
              </w:rPr>
              <w:t>840</w:t>
            </w:r>
          </w:p>
        </w:tc>
        <w:tc>
          <w:tcPr>
            <w:tcW w:w="1519" w:type="dxa"/>
          </w:tcPr>
          <w:p w:rsidR="00224407" w:rsidRDefault="00224407" w:rsidP="00B707A2">
            <w:pPr>
              <w:rPr>
                <w:sz w:val="24"/>
                <w:szCs w:val="24"/>
              </w:rPr>
            </w:pPr>
            <w:r>
              <w:rPr>
                <w:sz w:val="24"/>
                <w:szCs w:val="24"/>
              </w:rPr>
              <w:t>$66,000</w:t>
            </w:r>
          </w:p>
        </w:tc>
      </w:tr>
      <w:tr w:rsidR="00224407" w:rsidRPr="005F4D77" w:rsidTr="00B707A2">
        <w:tc>
          <w:tcPr>
            <w:tcW w:w="1576" w:type="dxa"/>
          </w:tcPr>
          <w:p w:rsidR="00224407" w:rsidRPr="005F4D77" w:rsidRDefault="00224407" w:rsidP="00B707A2">
            <w:pPr>
              <w:rPr>
                <w:sz w:val="24"/>
                <w:szCs w:val="24"/>
              </w:rPr>
            </w:pPr>
            <w:r>
              <w:rPr>
                <w:sz w:val="24"/>
                <w:szCs w:val="24"/>
              </w:rPr>
              <w:t>Stress Test Results</w:t>
            </w:r>
          </w:p>
        </w:tc>
        <w:tc>
          <w:tcPr>
            <w:tcW w:w="1490" w:type="dxa"/>
          </w:tcPr>
          <w:p w:rsidR="00224407" w:rsidRPr="005F4D77" w:rsidRDefault="00224407" w:rsidP="00B707A2">
            <w:pPr>
              <w:rPr>
                <w:sz w:val="24"/>
                <w:szCs w:val="24"/>
              </w:rPr>
            </w:pPr>
            <w:r>
              <w:rPr>
                <w:sz w:val="24"/>
                <w:szCs w:val="24"/>
              </w:rPr>
              <w:t>7</w:t>
            </w:r>
          </w:p>
        </w:tc>
        <w:tc>
          <w:tcPr>
            <w:tcW w:w="1192" w:type="dxa"/>
          </w:tcPr>
          <w:p w:rsidR="00224407" w:rsidRPr="005F4D77" w:rsidRDefault="00224407" w:rsidP="00B707A2">
            <w:pPr>
              <w:rPr>
                <w:sz w:val="24"/>
                <w:szCs w:val="24"/>
              </w:rPr>
            </w:pPr>
            <w:r>
              <w:rPr>
                <w:sz w:val="24"/>
                <w:szCs w:val="24"/>
              </w:rPr>
              <w:t>16</w:t>
            </w:r>
          </w:p>
        </w:tc>
        <w:tc>
          <w:tcPr>
            <w:tcW w:w="1299" w:type="dxa"/>
          </w:tcPr>
          <w:p w:rsidR="00224407" w:rsidRPr="005F4D77" w:rsidRDefault="00224407" w:rsidP="00B707A2">
            <w:pPr>
              <w:rPr>
                <w:sz w:val="24"/>
                <w:szCs w:val="24"/>
              </w:rPr>
            </w:pPr>
            <w:r>
              <w:rPr>
                <w:sz w:val="24"/>
                <w:szCs w:val="24"/>
              </w:rPr>
              <w:t>112</w:t>
            </w:r>
          </w:p>
        </w:tc>
        <w:tc>
          <w:tcPr>
            <w:tcW w:w="1250" w:type="dxa"/>
          </w:tcPr>
          <w:p w:rsidR="00224407" w:rsidRPr="005F4D77" w:rsidRDefault="00224407" w:rsidP="00B707A2">
            <w:pPr>
              <w:rPr>
                <w:sz w:val="24"/>
                <w:szCs w:val="24"/>
              </w:rPr>
            </w:pPr>
            <w:r>
              <w:rPr>
                <w:sz w:val="24"/>
                <w:szCs w:val="24"/>
              </w:rPr>
              <w:t>14</w:t>
            </w:r>
          </w:p>
        </w:tc>
        <w:tc>
          <w:tcPr>
            <w:tcW w:w="1250" w:type="dxa"/>
          </w:tcPr>
          <w:p w:rsidR="00224407" w:rsidRPr="005F4D77" w:rsidRDefault="00224407" w:rsidP="00B707A2">
            <w:pPr>
              <w:rPr>
                <w:sz w:val="24"/>
                <w:szCs w:val="24"/>
              </w:rPr>
            </w:pPr>
            <w:r>
              <w:rPr>
                <w:sz w:val="24"/>
                <w:szCs w:val="24"/>
              </w:rPr>
              <w:t>1,568</w:t>
            </w:r>
          </w:p>
        </w:tc>
        <w:tc>
          <w:tcPr>
            <w:tcW w:w="1519" w:type="dxa"/>
          </w:tcPr>
          <w:p w:rsidR="00224407" w:rsidRPr="005F4D77" w:rsidRDefault="00224407" w:rsidP="00B707A2">
            <w:pPr>
              <w:rPr>
                <w:sz w:val="24"/>
                <w:szCs w:val="24"/>
              </w:rPr>
            </w:pPr>
            <w:r>
              <w:rPr>
                <w:sz w:val="24"/>
                <w:szCs w:val="24"/>
              </w:rPr>
              <w:t>$125,000</w:t>
            </w:r>
          </w:p>
        </w:tc>
      </w:tr>
      <w:tr w:rsidR="00224407" w:rsidRPr="005F4D77" w:rsidTr="00B707A2">
        <w:tc>
          <w:tcPr>
            <w:tcW w:w="1576" w:type="dxa"/>
          </w:tcPr>
          <w:p w:rsidR="00224407" w:rsidRPr="005F4D77" w:rsidRDefault="00224407" w:rsidP="00B707A2">
            <w:pPr>
              <w:rPr>
                <w:sz w:val="24"/>
                <w:szCs w:val="24"/>
              </w:rPr>
            </w:pPr>
            <w:r>
              <w:rPr>
                <w:sz w:val="24"/>
                <w:szCs w:val="24"/>
              </w:rPr>
              <w:t>Disclosure Framework Requirements (SIDCOs Only)</w:t>
            </w:r>
          </w:p>
        </w:tc>
        <w:tc>
          <w:tcPr>
            <w:tcW w:w="1490" w:type="dxa"/>
          </w:tcPr>
          <w:p w:rsidR="00224407" w:rsidRPr="005F4D77" w:rsidRDefault="00224407" w:rsidP="00B707A2">
            <w:pPr>
              <w:rPr>
                <w:sz w:val="24"/>
                <w:szCs w:val="24"/>
              </w:rPr>
            </w:pPr>
            <w:r>
              <w:rPr>
                <w:sz w:val="24"/>
                <w:szCs w:val="24"/>
              </w:rPr>
              <w:t>2</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2</w:t>
            </w:r>
          </w:p>
        </w:tc>
        <w:tc>
          <w:tcPr>
            <w:tcW w:w="1250" w:type="dxa"/>
          </w:tcPr>
          <w:p w:rsidR="00224407" w:rsidRPr="005F4D77" w:rsidRDefault="00224407" w:rsidP="00B707A2">
            <w:pPr>
              <w:rPr>
                <w:sz w:val="24"/>
                <w:szCs w:val="24"/>
              </w:rPr>
            </w:pPr>
            <w:r>
              <w:rPr>
                <w:sz w:val="24"/>
                <w:szCs w:val="24"/>
              </w:rPr>
              <w:t>200</w:t>
            </w:r>
          </w:p>
        </w:tc>
        <w:tc>
          <w:tcPr>
            <w:tcW w:w="1250" w:type="dxa"/>
          </w:tcPr>
          <w:p w:rsidR="00224407" w:rsidRPr="005F4D77" w:rsidRDefault="00224407" w:rsidP="00B707A2">
            <w:pPr>
              <w:rPr>
                <w:sz w:val="24"/>
                <w:szCs w:val="24"/>
              </w:rPr>
            </w:pPr>
            <w:r>
              <w:rPr>
                <w:sz w:val="24"/>
                <w:szCs w:val="24"/>
              </w:rPr>
              <w:t>400</w:t>
            </w:r>
          </w:p>
        </w:tc>
        <w:tc>
          <w:tcPr>
            <w:tcW w:w="1519" w:type="dxa"/>
          </w:tcPr>
          <w:p w:rsidR="00224407" w:rsidRPr="005F4D77" w:rsidRDefault="00224407" w:rsidP="00B707A2">
            <w:pPr>
              <w:rPr>
                <w:sz w:val="24"/>
                <w:szCs w:val="24"/>
              </w:rPr>
            </w:pPr>
            <w:r>
              <w:rPr>
                <w:sz w:val="24"/>
                <w:szCs w:val="24"/>
              </w:rPr>
              <w:t>$32,000</w:t>
            </w:r>
          </w:p>
        </w:tc>
      </w:tr>
      <w:tr w:rsidR="00224407" w:rsidRPr="005F4D77" w:rsidTr="00B707A2">
        <w:tc>
          <w:tcPr>
            <w:tcW w:w="1576" w:type="dxa"/>
          </w:tcPr>
          <w:p w:rsidR="00224407" w:rsidRPr="005F4D77" w:rsidRDefault="00224407" w:rsidP="00B707A2">
            <w:pPr>
              <w:rPr>
                <w:sz w:val="24"/>
                <w:szCs w:val="24"/>
              </w:rPr>
            </w:pPr>
            <w:r>
              <w:rPr>
                <w:sz w:val="24"/>
                <w:szCs w:val="24"/>
              </w:rPr>
              <w:t>Disclosure Framework Requirements (Both)</w:t>
            </w:r>
          </w:p>
        </w:tc>
        <w:tc>
          <w:tcPr>
            <w:tcW w:w="1490" w:type="dxa"/>
          </w:tcPr>
          <w:p w:rsidR="00224407" w:rsidRPr="005F4D77" w:rsidRDefault="00224407" w:rsidP="00B707A2">
            <w:pPr>
              <w:rPr>
                <w:sz w:val="24"/>
                <w:szCs w:val="24"/>
              </w:rPr>
            </w:pPr>
            <w:r>
              <w:rPr>
                <w:sz w:val="24"/>
                <w:szCs w:val="24"/>
              </w:rPr>
              <w:t>7</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7</w:t>
            </w:r>
          </w:p>
        </w:tc>
        <w:tc>
          <w:tcPr>
            <w:tcW w:w="1250" w:type="dxa"/>
          </w:tcPr>
          <w:p w:rsidR="00224407" w:rsidRPr="005F4D77" w:rsidRDefault="00224407" w:rsidP="00B707A2">
            <w:pPr>
              <w:rPr>
                <w:sz w:val="24"/>
                <w:szCs w:val="24"/>
              </w:rPr>
            </w:pPr>
            <w:r>
              <w:rPr>
                <w:sz w:val="24"/>
                <w:szCs w:val="24"/>
              </w:rPr>
              <w:t>80</w:t>
            </w:r>
          </w:p>
        </w:tc>
        <w:tc>
          <w:tcPr>
            <w:tcW w:w="1250" w:type="dxa"/>
          </w:tcPr>
          <w:p w:rsidR="00224407" w:rsidRPr="005F4D77" w:rsidRDefault="00224407" w:rsidP="00B707A2">
            <w:pPr>
              <w:rPr>
                <w:sz w:val="24"/>
                <w:szCs w:val="24"/>
              </w:rPr>
            </w:pPr>
            <w:r>
              <w:rPr>
                <w:sz w:val="24"/>
                <w:szCs w:val="24"/>
              </w:rPr>
              <w:t>560</w:t>
            </w:r>
          </w:p>
        </w:tc>
        <w:tc>
          <w:tcPr>
            <w:tcW w:w="1519" w:type="dxa"/>
          </w:tcPr>
          <w:p w:rsidR="00224407" w:rsidRPr="005F4D77" w:rsidRDefault="00224407" w:rsidP="00B707A2">
            <w:pPr>
              <w:rPr>
                <w:sz w:val="24"/>
                <w:szCs w:val="24"/>
              </w:rPr>
            </w:pPr>
            <w:r>
              <w:rPr>
                <w:sz w:val="24"/>
                <w:szCs w:val="24"/>
              </w:rPr>
              <w:t>$51,000</w:t>
            </w:r>
          </w:p>
        </w:tc>
      </w:tr>
      <w:tr w:rsidR="00224407" w:rsidRPr="005F4D77" w:rsidTr="00B707A2">
        <w:tc>
          <w:tcPr>
            <w:tcW w:w="1576" w:type="dxa"/>
          </w:tcPr>
          <w:p w:rsidR="00224407" w:rsidRPr="005F4D77" w:rsidRDefault="00224407" w:rsidP="00B707A2">
            <w:pPr>
              <w:rPr>
                <w:sz w:val="24"/>
                <w:szCs w:val="24"/>
              </w:rPr>
            </w:pPr>
            <w:r>
              <w:rPr>
                <w:sz w:val="24"/>
                <w:szCs w:val="24"/>
              </w:rPr>
              <w:t>Quantitative Information Disclosures (SIDCOs Only)</w:t>
            </w:r>
          </w:p>
        </w:tc>
        <w:tc>
          <w:tcPr>
            <w:tcW w:w="1490" w:type="dxa"/>
          </w:tcPr>
          <w:p w:rsidR="00224407" w:rsidRPr="005F4D77" w:rsidRDefault="00224407" w:rsidP="00B707A2">
            <w:pPr>
              <w:rPr>
                <w:sz w:val="24"/>
                <w:szCs w:val="24"/>
              </w:rPr>
            </w:pPr>
            <w:r>
              <w:rPr>
                <w:sz w:val="24"/>
                <w:szCs w:val="24"/>
              </w:rPr>
              <w:t>2</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2</w:t>
            </w:r>
          </w:p>
        </w:tc>
        <w:tc>
          <w:tcPr>
            <w:tcW w:w="1250" w:type="dxa"/>
          </w:tcPr>
          <w:p w:rsidR="00224407" w:rsidRPr="005F4D77" w:rsidRDefault="00224407" w:rsidP="00B707A2">
            <w:pPr>
              <w:rPr>
                <w:sz w:val="24"/>
                <w:szCs w:val="24"/>
              </w:rPr>
            </w:pPr>
            <w:r>
              <w:rPr>
                <w:sz w:val="24"/>
                <w:szCs w:val="24"/>
              </w:rPr>
              <w:t>80</w:t>
            </w:r>
          </w:p>
        </w:tc>
        <w:tc>
          <w:tcPr>
            <w:tcW w:w="1250" w:type="dxa"/>
          </w:tcPr>
          <w:p w:rsidR="00224407" w:rsidRPr="005F4D77" w:rsidRDefault="00224407" w:rsidP="00B707A2">
            <w:pPr>
              <w:rPr>
                <w:sz w:val="24"/>
                <w:szCs w:val="24"/>
              </w:rPr>
            </w:pPr>
            <w:r>
              <w:rPr>
                <w:sz w:val="24"/>
                <w:szCs w:val="24"/>
              </w:rPr>
              <w:t>160</w:t>
            </w:r>
          </w:p>
        </w:tc>
        <w:tc>
          <w:tcPr>
            <w:tcW w:w="1519" w:type="dxa"/>
          </w:tcPr>
          <w:p w:rsidR="00224407" w:rsidRPr="005F4D77" w:rsidRDefault="00224407" w:rsidP="00B707A2">
            <w:pPr>
              <w:rPr>
                <w:sz w:val="24"/>
                <w:szCs w:val="24"/>
              </w:rPr>
            </w:pPr>
            <w:r>
              <w:rPr>
                <w:sz w:val="24"/>
                <w:szCs w:val="24"/>
              </w:rPr>
              <w:t>$15,000</w:t>
            </w:r>
          </w:p>
        </w:tc>
      </w:tr>
      <w:tr w:rsidR="00224407" w:rsidRPr="005F4D77" w:rsidTr="00B707A2">
        <w:tc>
          <w:tcPr>
            <w:tcW w:w="1576" w:type="dxa"/>
          </w:tcPr>
          <w:p w:rsidR="00224407" w:rsidRPr="005F4D77" w:rsidRDefault="00224407" w:rsidP="00B707A2">
            <w:pPr>
              <w:rPr>
                <w:sz w:val="24"/>
                <w:szCs w:val="24"/>
              </w:rPr>
            </w:pPr>
            <w:r>
              <w:rPr>
                <w:sz w:val="24"/>
                <w:szCs w:val="24"/>
              </w:rPr>
              <w:t>Quantitative Information Disclosures (Both)</w:t>
            </w:r>
          </w:p>
        </w:tc>
        <w:tc>
          <w:tcPr>
            <w:tcW w:w="1490" w:type="dxa"/>
          </w:tcPr>
          <w:p w:rsidR="00224407" w:rsidRPr="005F4D77" w:rsidRDefault="00224407" w:rsidP="00B707A2">
            <w:pPr>
              <w:rPr>
                <w:sz w:val="24"/>
                <w:szCs w:val="24"/>
              </w:rPr>
            </w:pPr>
            <w:r>
              <w:rPr>
                <w:sz w:val="24"/>
                <w:szCs w:val="24"/>
              </w:rPr>
              <w:t>7</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7</w:t>
            </w:r>
          </w:p>
        </w:tc>
        <w:tc>
          <w:tcPr>
            <w:tcW w:w="1250" w:type="dxa"/>
          </w:tcPr>
          <w:p w:rsidR="00224407" w:rsidRPr="005F4D77" w:rsidRDefault="00224407" w:rsidP="00B707A2">
            <w:pPr>
              <w:rPr>
                <w:sz w:val="24"/>
                <w:szCs w:val="24"/>
              </w:rPr>
            </w:pPr>
            <w:r>
              <w:rPr>
                <w:sz w:val="24"/>
                <w:szCs w:val="24"/>
              </w:rPr>
              <w:t>35</w:t>
            </w:r>
          </w:p>
        </w:tc>
        <w:tc>
          <w:tcPr>
            <w:tcW w:w="1250" w:type="dxa"/>
          </w:tcPr>
          <w:p w:rsidR="00224407" w:rsidRPr="005F4D77" w:rsidRDefault="00224407" w:rsidP="00B707A2">
            <w:pPr>
              <w:rPr>
                <w:sz w:val="24"/>
                <w:szCs w:val="24"/>
              </w:rPr>
            </w:pPr>
            <w:r>
              <w:rPr>
                <w:sz w:val="24"/>
                <w:szCs w:val="24"/>
              </w:rPr>
              <w:t>245</w:t>
            </w:r>
          </w:p>
        </w:tc>
        <w:tc>
          <w:tcPr>
            <w:tcW w:w="1519" w:type="dxa"/>
          </w:tcPr>
          <w:p w:rsidR="00224407" w:rsidRPr="005F4D77" w:rsidRDefault="00224407" w:rsidP="00B707A2">
            <w:pPr>
              <w:rPr>
                <w:sz w:val="24"/>
                <w:szCs w:val="24"/>
              </w:rPr>
            </w:pPr>
            <w:r>
              <w:rPr>
                <w:sz w:val="24"/>
                <w:szCs w:val="24"/>
              </w:rPr>
              <w:t>$22,000</w:t>
            </w:r>
          </w:p>
        </w:tc>
      </w:tr>
      <w:tr w:rsidR="00224407" w:rsidRPr="005F4D77" w:rsidTr="00B707A2">
        <w:tc>
          <w:tcPr>
            <w:tcW w:w="1576" w:type="dxa"/>
          </w:tcPr>
          <w:p w:rsidR="00224407" w:rsidRDefault="00224407" w:rsidP="00B707A2">
            <w:pPr>
              <w:rPr>
                <w:sz w:val="24"/>
                <w:szCs w:val="24"/>
              </w:rPr>
            </w:pPr>
            <w:r>
              <w:rPr>
                <w:sz w:val="24"/>
                <w:szCs w:val="24"/>
              </w:rPr>
              <w:t>Transaction, Segregation, Portability Disclosures</w:t>
            </w:r>
          </w:p>
        </w:tc>
        <w:tc>
          <w:tcPr>
            <w:tcW w:w="1490" w:type="dxa"/>
          </w:tcPr>
          <w:p w:rsidR="00224407" w:rsidRPr="005F4D77" w:rsidRDefault="00224407" w:rsidP="00B707A2">
            <w:pPr>
              <w:rPr>
                <w:sz w:val="24"/>
                <w:szCs w:val="24"/>
              </w:rPr>
            </w:pPr>
            <w:r>
              <w:rPr>
                <w:sz w:val="24"/>
                <w:szCs w:val="24"/>
              </w:rPr>
              <w:t>7</w:t>
            </w:r>
          </w:p>
        </w:tc>
        <w:tc>
          <w:tcPr>
            <w:tcW w:w="1192" w:type="dxa"/>
          </w:tcPr>
          <w:p w:rsidR="00224407" w:rsidRPr="005F4D77" w:rsidRDefault="00224407" w:rsidP="00B707A2">
            <w:pPr>
              <w:rPr>
                <w:sz w:val="24"/>
                <w:szCs w:val="24"/>
              </w:rPr>
            </w:pPr>
            <w:r>
              <w:rPr>
                <w:sz w:val="24"/>
                <w:szCs w:val="24"/>
              </w:rPr>
              <w:t>2</w:t>
            </w:r>
          </w:p>
        </w:tc>
        <w:tc>
          <w:tcPr>
            <w:tcW w:w="1299" w:type="dxa"/>
          </w:tcPr>
          <w:p w:rsidR="00224407" w:rsidRPr="005F4D77" w:rsidRDefault="00224407" w:rsidP="00B707A2">
            <w:pPr>
              <w:rPr>
                <w:sz w:val="24"/>
                <w:szCs w:val="24"/>
              </w:rPr>
            </w:pPr>
            <w:r>
              <w:rPr>
                <w:sz w:val="24"/>
                <w:szCs w:val="24"/>
              </w:rPr>
              <w:t>14</w:t>
            </w:r>
          </w:p>
        </w:tc>
        <w:tc>
          <w:tcPr>
            <w:tcW w:w="1250" w:type="dxa"/>
          </w:tcPr>
          <w:p w:rsidR="00224407" w:rsidRPr="005F4D77" w:rsidRDefault="00224407" w:rsidP="00B707A2">
            <w:pPr>
              <w:rPr>
                <w:sz w:val="24"/>
                <w:szCs w:val="24"/>
              </w:rPr>
            </w:pPr>
            <w:r>
              <w:rPr>
                <w:sz w:val="24"/>
                <w:szCs w:val="24"/>
              </w:rPr>
              <w:t>35</w:t>
            </w:r>
          </w:p>
        </w:tc>
        <w:tc>
          <w:tcPr>
            <w:tcW w:w="1250" w:type="dxa"/>
          </w:tcPr>
          <w:p w:rsidR="00224407" w:rsidRPr="005F4D77" w:rsidRDefault="00224407" w:rsidP="00B707A2">
            <w:pPr>
              <w:rPr>
                <w:sz w:val="24"/>
                <w:szCs w:val="24"/>
              </w:rPr>
            </w:pPr>
            <w:r>
              <w:rPr>
                <w:sz w:val="24"/>
                <w:szCs w:val="24"/>
              </w:rPr>
              <w:t>490</w:t>
            </w:r>
          </w:p>
        </w:tc>
        <w:tc>
          <w:tcPr>
            <w:tcW w:w="1519" w:type="dxa"/>
          </w:tcPr>
          <w:p w:rsidR="00224407" w:rsidRPr="005F4D77" w:rsidRDefault="00224407" w:rsidP="00B707A2">
            <w:pPr>
              <w:rPr>
                <w:sz w:val="24"/>
                <w:szCs w:val="24"/>
              </w:rPr>
            </w:pPr>
            <w:r>
              <w:rPr>
                <w:sz w:val="24"/>
                <w:szCs w:val="24"/>
              </w:rPr>
              <w:t>$47,000</w:t>
            </w:r>
          </w:p>
        </w:tc>
      </w:tr>
      <w:tr w:rsidR="00224407" w:rsidRPr="005F4D77" w:rsidTr="00B707A2">
        <w:tc>
          <w:tcPr>
            <w:tcW w:w="1576" w:type="dxa"/>
          </w:tcPr>
          <w:p w:rsidR="00224407" w:rsidRDefault="00224407" w:rsidP="00B707A2">
            <w:pPr>
              <w:rPr>
                <w:sz w:val="24"/>
                <w:szCs w:val="24"/>
              </w:rPr>
            </w:pPr>
            <w:r>
              <w:rPr>
                <w:sz w:val="24"/>
                <w:szCs w:val="24"/>
              </w:rPr>
              <w:t>Efficiency and Effectiveness Review</w:t>
            </w:r>
          </w:p>
        </w:tc>
        <w:tc>
          <w:tcPr>
            <w:tcW w:w="1490" w:type="dxa"/>
          </w:tcPr>
          <w:p w:rsidR="00224407" w:rsidRPr="005F4D77" w:rsidRDefault="00224407" w:rsidP="00B707A2">
            <w:pPr>
              <w:rPr>
                <w:sz w:val="24"/>
                <w:szCs w:val="24"/>
              </w:rPr>
            </w:pPr>
            <w:r>
              <w:rPr>
                <w:sz w:val="24"/>
                <w:szCs w:val="24"/>
              </w:rPr>
              <w:t>7</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7</w:t>
            </w:r>
          </w:p>
        </w:tc>
        <w:tc>
          <w:tcPr>
            <w:tcW w:w="1250" w:type="dxa"/>
          </w:tcPr>
          <w:p w:rsidR="00224407" w:rsidRPr="005F4D77" w:rsidRDefault="00224407" w:rsidP="00B707A2">
            <w:pPr>
              <w:rPr>
                <w:sz w:val="24"/>
                <w:szCs w:val="24"/>
              </w:rPr>
            </w:pPr>
            <w:r>
              <w:rPr>
                <w:sz w:val="24"/>
                <w:szCs w:val="24"/>
              </w:rPr>
              <w:t>3</w:t>
            </w:r>
          </w:p>
        </w:tc>
        <w:tc>
          <w:tcPr>
            <w:tcW w:w="1250" w:type="dxa"/>
          </w:tcPr>
          <w:p w:rsidR="00224407" w:rsidRPr="005F4D77" w:rsidRDefault="00224407" w:rsidP="00B707A2">
            <w:pPr>
              <w:rPr>
                <w:sz w:val="24"/>
                <w:szCs w:val="24"/>
              </w:rPr>
            </w:pPr>
            <w:r>
              <w:rPr>
                <w:sz w:val="24"/>
                <w:szCs w:val="24"/>
              </w:rPr>
              <w:t>21</w:t>
            </w:r>
          </w:p>
        </w:tc>
        <w:tc>
          <w:tcPr>
            <w:tcW w:w="1519" w:type="dxa"/>
          </w:tcPr>
          <w:p w:rsidR="00224407" w:rsidRPr="005F4D77" w:rsidRDefault="00224407" w:rsidP="00B707A2">
            <w:pPr>
              <w:rPr>
                <w:sz w:val="24"/>
                <w:szCs w:val="24"/>
              </w:rPr>
            </w:pPr>
            <w:r>
              <w:rPr>
                <w:sz w:val="24"/>
                <w:szCs w:val="24"/>
              </w:rPr>
              <w:t>$2,000</w:t>
            </w:r>
          </w:p>
        </w:tc>
      </w:tr>
      <w:tr w:rsidR="00224407" w:rsidRPr="005F4D77" w:rsidTr="00B707A2">
        <w:tc>
          <w:tcPr>
            <w:tcW w:w="1576" w:type="dxa"/>
          </w:tcPr>
          <w:p w:rsidR="00224407" w:rsidRDefault="00224407" w:rsidP="00B707A2">
            <w:pPr>
              <w:rPr>
                <w:sz w:val="24"/>
                <w:szCs w:val="24"/>
              </w:rPr>
            </w:pPr>
            <w:r>
              <w:rPr>
                <w:sz w:val="24"/>
                <w:szCs w:val="24"/>
              </w:rPr>
              <w:t>Recovery and Wind-Down Plan</w:t>
            </w:r>
          </w:p>
        </w:tc>
        <w:tc>
          <w:tcPr>
            <w:tcW w:w="1490" w:type="dxa"/>
          </w:tcPr>
          <w:p w:rsidR="00224407" w:rsidRPr="005F4D77" w:rsidRDefault="00224407" w:rsidP="00B707A2">
            <w:pPr>
              <w:rPr>
                <w:sz w:val="24"/>
                <w:szCs w:val="24"/>
              </w:rPr>
            </w:pPr>
            <w:r>
              <w:rPr>
                <w:sz w:val="24"/>
                <w:szCs w:val="24"/>
              </w:rPr>
              <w:t>7</w:t>
            </w:r>
          </w:p>
        </w:tc>
        <w:tc>
          <w:tcPr>
            <w:tcW w:w="1192" w:type="dxa"/>
          </w:tcPr>
          <w:p w:rsidR="00224407" w:rsidRPr="005F4D77" w:rsidRDefault="00224407" w:rsidP="00B707A2">
            <w:pPr>
              <w:rPr>
                <w:sz w:val="24"/>
                <w:szCs w:val="24"/>
              </w:rPr>
            </w:pPr>
            <w:r>
              <w:rPr>
                <w:sz w:val="24"/>
                <w:szCs w:val="24"/>
              </w:rPr>
              <w:t>1</w:t>
            </w:r>
          </w:p>
        </w:tc>
        <w:tc>
          <w:tcPr>
            <w:tcW w:w="1299" w:type="dxa"/>
          </w:tcPr>
          <w:p w:rsidR="00224407" w:rsidRPr="005F4D77" w:rsidRDefault="00224407" w:rsidP="00B707A2">
            <w:pPr>
              <w:rPr>
                <w:sz w:val="24"/>
                <w:szCs w:val="24"/>
              </w:rPr>
            </w:pPr>
            <w:r>
              <w:rPr>
                <w:sz w:val="24"/>
                <w:szCs w:val="24"/>
              </w:rPr>
              <w:t>7</w:t>
            </w:r>
          </w:p>
        </w:tc>
        <w:tc>
          <w:tcPr>
            <w:tcW w:w="1250" w:type="dxa"/>
          </w:tcPr>
          <w:p w:rsidR="00224407" w:rsidRPr="005F4D77" w:rsidRDefault="00224407" w:rsidP="00B707A2">
            <w:pPr>
              <w:rPr>
                <w:sz w:val="24"/>
                <w:szCs w:val="24"/>
              </w:rPr>
            </w:pPr>
            <w:r>
              <w:rPr>
                <w:sz w:val="24"/>
                <w:szCs w:val="24"/>
              </w:rPr>
              <w:t>480</w:t>
            </w:r>
          </w:p>
        </w:tc>
        <w:tc>
          <w:tcPr>
            <w:tcW w:w="1250" w:type="dxa"/>
          </w:tcPr>
          <w:p w:rsidR="00224407" w:rsidRPr="005F4D77" w:rsidRDefault="00224407" w:rsidP="00B707A2">
            <w:pPr>
              <w:rPr>
                <w:sz w:val="24"/>
                <w:szCs w:val="24"/>
              </w:rPr>
            </w:pPr>
            <w:r>
              <w:rPr>
                <w:sz w:val="24"/>
                <w:szCs w:val="24"/>
              </w:rPr>
              <w:t>3,360</w:t>
            </w:r>
          </w:p>
        </w:tc>
        <w:tc>
          <w:tcPr>
            <w:tcW w:w="1519" w:type="dxa"/>
          </w:tcPr>
          <w:p w:rsidR="00224407" w:rsidRPr="005F4D77" w:rsidRDefault="00224407" w:rsidP="00B707A2">
            <w:pPr>
              <w:rPr>
                <w:sz w:val="24"/>
                <w:szCs w:val="24"/>
              </w:rPr>
            </w:pPr>
            <w:r>
              <w:rPr>
                <w:sz w:val="24"/>
                <w:szCs w:val="24"/>
              </w:rPr>
              <w:t>$310,000</w:t>
            </w:r>
          </w:p>
        </w:tc>
      </w:tr>
      <w:tr w:rsidR="00224407" w:rsidRPr="005F4D77" w:rsidTr="00B707A2">
        <w:tc>
          <w:tcPr>
            <w:tcW w:w="1576" w:type="dxa"/>
          </w:tcPr>
          <w:p w:rsidR="00224407" w:rsidRDefault="00224407" w:rsidP="00B707A2">
            <w:pPr>
              <w:rPr>
                <w:sz w:val="24"/>
                <w:szCs w:val="24"/>
              </w:rPr>
            </w:pPr>
          </w:p>
        </w:tc>
        <w:tc>
          <w:tcPr>
            <w:tcW w:w="1490" w:type="dxa"/>
          </w:tcPr>
          <w:p w:rsidR="00224407" w:rsidRPr="005F4D77" w:rsidRDefault="00224407" w:rsidP="00B707A2">
            <w:pPr>
              <w:rPr>
                <w:sz w:val="24"/>
                <w:szCs w:val="24"/>
              </w:rPr>
            </w:pPr>
          </w:p>
        </w:tc>
        <w:tc>
          <w:tcPr>
            <w:tcW w:w="1192" w:type="dxa"/>
          </w:tcPr>
          <w:p w:rsidR="00224407" w:rsidRPr="005F4D77" w:rsidRDefault="00224407" w:rsidP="00B707A2">
            <w:pPr>
              <w:rPr>
                <w:sz w:val="24"/>
                <w:szCs w:val="24"/>
              </w:rPr>
            </w:pPr>
          </w:p>
        </w:tc>
        <w:tc>
          <w:tcPr>
            <w:tcW w:w="1299" w:type="dxa"/>
          </w:tcPr>
          <w:p w:rsidR="00224407" w:rsidRPr="005F4D77" w:rsidRDefault="00224407" w:rsidP="00B707A2">
            <w:pPr>
              <w:rPr>
                <w:sz w:val="24"/>
                <w:szCs w:val="24"/>
              </w:rPr>
            </w:pPr>
          </w:p>
        </w:tc>
        <w:tc>
          <w:tcPr>
            <w:tcW w:w="1250" w:type="dxa"/>
          </w:tcPr>
          <w:p w:rsidR="00224407" w:rsidRPr="005F4D77" w:rsidRDefault="00224407" w:rsidP="00B707A2">
            <w:pPr>
              <w:rPr>
                <w:sz w:val="24"/>
                <w:szCs w:val="24"/>
              </w:rPr>
            </w:pPr>
          </w:p>
        </w:tc>
        <w:tc>
          <w:tcPr>
            <w:tcW w:w="1250" w:type="dxa"/>
          </w:tcPr>
          <w:p w:rsidR="00224407" w:rsidRPr="005F4D77" w:rsidRDefault="00224407" w:rsidP="00B707A2">
            <w:pPr>
              <w:rPr>
                <w:sz w:val="24"/>
                <w:szCs w:val="24"/>
              </w:rPr>
            </w:pPr>
          </w:p>
        </w:tc>
        <w:tc>
          <w:tcPr>
            <w:tcW w:w="1519" w:type="dxa"/>
          </w:tcPr>
          <w:p w:rsidR="00224407" w:rsidRPr="005F4D77" w:rsidRDefault="00224407" w:rsidP="00B707A2">
            <w:pPr>
              <w:rPr>
                <w:sz w:val="24"/>
                <w:szCs w:val="24"/>
              </w:rPr>
            </w:pPr>
          </w:p>
        </w:tc>
      </w:tr>
      <w:tr w:rsidR="00224407" w:rsidRPr="005F4D77" w:rsidTr="00B707A2">
        <w:tc>
          <w:tcPr>
            <w:tcW w:w="1576" w:type="dxa"/>
          </w:tcPr>
          <w:p w:rsidR="00224407" w:rsidRPr="00242DE5" w:rsidRDefault="00224407" w:rsidP="00B707A2">
            <w:pPr>
              <w:rPr>
                <w:b/>
                <w:sz w:val="24"/>
                <w:szCs w:val="24"/>
              </w:rPr>
            </w:pPr>
            <w:r>
              <w:rPr>
                <w:b/>
                <w:sz w:val="24"/>
                <w:szCs w:val="24"/>
              </w:rPr>
              <w:t>TOTALS</w:t>
            </w:r>
          </w:p>
        </w:tc>
        <w:tc>
          <w:tcPr>
            <w:tcW w:w="1490" w:type="dxa"/>
          </w:tcPr>
          <w:p w:rsidR="00224407" w:rsidRPr="00242DE5" w:rsidRDefault="00224407" w:rsidP="00B707A2">
            <w:pPr>
              <w:rPr>
                <w:b/>
                <w:sz w:val="24"/>
                <w:szCs w:val="24"/>
              </w:rPr>
            </w:pPr>
          </w:p>
        </w:tc>
        <w:tc>
          <w:tcPr>
            <w:tcW w:w="1192" w:type="dxa"/>
          </w:tcPr>
          <w:p w:rsidR="00224407" w:rsidRPr="00E5711D" w:rsidRDefault="00224407" w:rsidP="00B707A2">
            <w:pPr>
              <w:jc w:val="right"/>
              <w:rPr>
                <w:b/>
                <w:sz w:val="24"/>
                <w:szCs w:val="24"/>
              </w:rPr>
            </w:pPr>
            <w:r w:rsidRPr="00E5711D">
              <w:rPr>
                <w:b/>
                <w:sz w:val="24"/>
                <w:szCs w:val="24"/>
              </w:rPr>
              <w:t>1</w:t>
            </w:r>
            <w:r>
              <w:rPr>
                <w:b/>
                <w:sz w:val="24"/>
                <w:szCs w:val="24"/>
              </w:rPr>
              <w:t>20</w:t>
            </w:r>
          </w:p>
        </w:tc>
        <w:tc>
          <w:tcPr>
            <w:tcW w:w="1299" w:type="dxa"/>
          </w:tcPr>
          <w:p w:rsidR="00224407" w:rsidRPr="00E5711D" w:rsidRDefault="00224407" w:rsidP="00B707A2">
            <w:pPr>
              <w:jc w:val="right"/>
              <w:rPr>
                <w:b/>
                <w:sz w:val="24"/>
                <w:szCs w:val="24"/>
              </w:rPr>
            </w:pPr>
            <w:r w:rsidRPr="00E5711D">
              <w:rPr>
                <w:b/>
                <w:sz w:val="24"/>
                <w:szCs w:val="24"/>
              </w:rPr>
              <w:t>3</w:t>
            </w:r>
            <w:r>
              <w:rPr>
                <w:b/>
                <w:sz w:val="24"/>
                <w:szCs w:val="24"/>
              </w:rPr>
              <w:t>50</w:t>
            </w:r>
          </w:p>
        </w:tc>
        <w:tc>
          <w:tcPr>
            <w:tcW w:w="1250" w:type="dxa"/>
          </w:tcPr>
          <w:p w:rsidR="00224407" w:rsidRPr="00E5711D" w:rsidRDefault="00224407" w:rsidP="00B707A2">
            <w:pPr>
              <w:jc w:val="right"/>
              <w:rPr>
                <w:b/>
                <w:sz w:val="24"/>
                <w:szCs w:val="24"/>
              </w:rPr>
            </w:pPr>
            <w:r w:rsidRPr="00E5711D">
              <w:rPr>
                <w:b/>
                <w:sz w:val="24"/>
                <w:szCs w:val="24"/>
              </w:rPr>
              <w:t>1,</w:t>
            </w:r>
            <w:r>
              <w:rPr>
                <w:b/>
                <w:sz w:val="24"/>
                <w:szCs w:val="24"/>
              </w:rPr>
              <w:t>76</w:t>
            </w:r>
            <w:r w:rsidRPr="00E5711D">
              <w:rPr>
                <w:b/>
                <w:sz w:val="24"/>
                <w:szCs w:val="24"/>
              </w:rPr>
              <w:t>8</w:t>
            </w:r>
          </w:p>
        </w:tc>
        <w:tc>
          <w:tcPr>
            <w:tcW w:w="1250" w:type="dxa"/>
          </w:tcPr>
          <w:p w:rsidR="00224407" w:rsidRPr="00E5711D" w:rsidRDefault="00224407" w:rsidP="00B707A2">
            <w:pPr>
              <w:jc w:val="right"/>
              <w:rPr>
                <w:b/>
                <w:sz w:val="24"/>
                <w:szCs w:val="24"/>
              </w:rPr>
            </w:pPr>
            <w:r w:rsidRPr="00E5711D">
              <w:rPr>
                <w:b/>
                <w:sz w:val="24"/>
                <w:szCs w:val="24"/>
              </w:rPr>
              <w:t>12,</w:t>
            </w:r>
            <w:r>
              <w:rPr>
                <w:b/>
                <w:sz w:val="24"/>
                <w:szCs w:val="24"/>
              </w:rPr>
              <w:t>942</w:t>
            </w:r>
          </w:p>
        </w:tc>
        <w:tc>
          <w:tcPr>
            <w:tcW w:w="1519" w:type="dxa"/>
          </w:tcPr>
          <w:p w:rsidR="00224407" w:rsidRPr="00E5711D" w:rsidRDefault="00224407" w:rsidP="00B707A2">
            <w:pPr>
              <w:jc w:val="right"/>
              <w:rPr>
                <w:b/>
                <w:sz w:val="24"/>
                <w:szCs w:val="24"/>
              </w:rPr>
            </w:pPr>
            <w:r w:rsidRPr="00E5711D">
              <w:rPr>
                <w:b/>
                <w:sz w:val="24"/>
                <w:szCs w:val="24"/>
              </w:rPr>
              <w:t>1,0</w:t>
            </w:r>
            <w:r>
              <w:rPr>
                <w:b/>
                <w:sz w:val="24"/>
                <w:szCs w:val="24"/>
              </w:rPr>
              <w:t>91</w:t>
            </w:r>
            <w:r w:rsidRPr="00E5711D">
              <w:rPr>
                <w:b/>
                <w:sz w:val="24"/>
                <w:szCs w:val="24"/>
              </w:rPr>
              <w:t>,180</w:t>
            </w:r>
          </w:p>
        </w:tc>
      </w:tr>
    </w:tbl>
    <w:p w:rsidR="00224407" w:rsidRDefault="00224407" w:rsidP="00224407">
      <w:pPr>
        <w:jc w:val="center"/>
        <w:rPr>
          <w:sz w:val="24"/>
          <w:szCs w:val="24"/>
        </w:rPr>
      </w:pPr>
    </w:p>
    <w:p w:rsidR="00224407" w:rsidRDefault="00224407" w:rsidP="00224407">
      <w:pPr>
        <w:jc w:val="center"/>
        <w:rPr>
          <w:sz w:val="24"/>
          <w:szCs w:val="24"/>
        </w:rPr>
      </w:pPr>
    </w:p>
    <w:p w:rsidR="00224407" w:rsidRDefault="00224407" w:rsidP="00224407">
      <w:pPr>
        <w:jc w:val="center"/>
        <w:rPr>
          <w:sz w:val="24"/>
          <w:szCs w:val="24"/>
        </w:rPr>
      </w:pPr>
      <w:r>
        <w:rPr>
          <w:sz w:val="24"/>
          <w:szCs w:val="24"/>
        </w:rPr>
        <w:t>SIDCO/SUBPART C DCO REGULATIONS – RECORDKEEPING</w:t>
      </w:r>
    </w:p>
    <w:p w:rsidR="00224407" w:rsidRDefault="00224407" w:rsidP="00224407">
      <w:pPr>
        <w:jc w:val="center"/>
        <w:rPr>
          <w:sz w:val="24"/>
          <w:szCs w:val="24"/>
        </w:rPr>
      </w:pPr>
      <w:r>
        <w:rPr>
          <w:sz w:val="24"/>
          <w:szCs w:val="24"/>
        </w:rPr>
        <w:t>COLLECTION</w:t>
      </w:r>
    </w:p>
    <w:p w:rsidR="00224407" w:rsidRDefault="00224407" w:rsidP="00224407">
      <w:pPr>
        <w:jc w:val="cente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30"/>
        <w:gridCol w:w="1170"/>
        <w:gridCol w:w="1260"/>
        <w:gridCol w:w="1350"/>
        <w:gridCol w:w="1620"/>
        <w:gridCol w:w="1170"/>
      </w:tblGrid>
      <w:tr w:rsidR="00224407" w:rsidRPr="005F4D77" w:rsidTr="00B707A2">
        <w:tc>
          <w:tcPr>
            <w:tcW w:w="1548" w:type="dxa"/>
          </w:tcPr>
          <w:p w:rsidR="00224407" w:rsidRPr="005F4D77" w:rsidRDefault="00224407" w:rsidP="00B707A2">
            <w:pPr>
              <w:rPr>
                <w:sz w:val="24"/>
                <w:szCs w:val="24"/>
              </w:rPr>
            </w:pPr>
          </w:p>
        </w:tc>
        <w:tc>
          <w:tcPr>
            <w:tcW w:w="1530" w:type="dxa"/>
          </w:tcPr>
          <w:p w:rsidR="00224407" w:rsidRDefault="00224407" w:rsidP="00B707A2">
            <w:pPr>
              <w:rPr>
                <w:sz w:val="24"/>
                <w:szCs w:val="24"/>
              </w:rPr>
            </w:pPr>
            <w:r w:rsidRPr="005F4D77">
              <w:rPr>
                <w:sz w:val="24"/>
                <w:szCs w:val="24"/>
              </w:rPr>
              <w:t xml:space="preserve">Estimated # of </w:t>
            </w:r>
            <w:r>
              <w:rPr>
                <w:sz w:val="24"/>
                <w:szCs w:val="24"/>
              </w:rPr>
              <w:t>Recordkeepers</w:t>
            </w:r>
            <w:r w:rsidRPr="005F4D77">
              <w:rPr>
                <w:sz w:val="24"/>
                <w:szCs w:val="24"/>
              </w:rPr>
              <w:t xml:space="preserve"> </w:t>
            </w:r>
          </w:p>
          <w:p w:rsidR="00224407" w:rsidRPr="005F4D77" w:rsidRDefault="00224407" w:rsidP="00B707A2">
            <w:pPr>
              <w:rPr>
                <w:sz w:val="24"/>
                <w:szCs w:val="24"/>
              </w:rPr>
            </w:pPr>
            <w:r w:rsidRPr="005F4D77">
              <w:rPr>
                <w:sz w:val="24"/>
                <w:szCs w:val="24"/>
              </w:rPr>
              <w:t xml:space="preserve">Per Year </w:t>
            </w:r>
          </w:p>
        </w:tc>
        <w:tc>
          <w:tcPr>
            <w:tcW w:w="1170" w:type="dxa"/>
          </w:tcPr>
          <w:p w:rsidR="00224407" w:rsidRPr="005F4D77" w:rsidRDefault="00224407" w:rsidP="00B707A2">
            <w:pPr>
              <w:rPr>
                <w:sz w:val="24"/>
                <w:szCs w:val="24"/>
              </w:rPr>
            </w:pPr>
            <w:r>
              <w:rPr>
                <w:sz w:val="24"/>
                <w:szCs w:val="24"/>
              </w:rPr>
              <w:t>Records to Be Kept</w:t>
            </w:r>
            <w:r w:rsidRPr="005F4D77">
              <w:rPr>
                <w:sz w:val="24"/>
                <w:szCs w:val="24"/>
              </w:rPr>
              <w:t xml:space="preserve"> Annually by Each </w:t>
            </w:r>
          </w:p>
        </w:tc>
        <w:tc>
          <w:tcPr>
            <w:tcW w:w="1260" w:type="dxa"/>
          </w:tcPr>
          <w:p w:rsidR="00224407" w:rsidRPr="005F4D77" w:rsidRDefault="00224407" w:rsidP="00B707A2">
            <w:pPr>
              <w:rPr>
                <w:sz w:val="24"/>
                <w:szCs w:val="24"/>
              </w:rPr>
            </w:pPr>
            <w:r w:rsidRPr="005F4D77">
              <w:rPr>
                <w:sz w:val="24"/>
                <w:szCs w:val="24"/>
              </w:rPr>
              <w:t xml:space="preserve">Total Annual Responses </w:t>
            </w:r>
          </w:p>
        </w:tc>
        <w:tc>
          <w:tcPr>
            <w:tcW w:w="1350" w:type="dxa"/>
          </w:tcPr>
          <w:p w:rsidR="00224407" w:rsidRPr="005F4D77" w:rsidRDefault="00224407" w:rsidP="00B707A2">
            <w:pPr>
              <w:rPr>
                <w:sz w:val="24"/>
                <w:szCs w:val="24"/>
              </w:rPr>
            </w:pPr>
            <w:r w:rsidRPr="005F4D77">
              <w:rPr>
                <w:sz w:val="24"/>
                <w:szCs w:val="24"/>
              </w:rPr>
              <w:t xml:space="preserve">Estimated Average Number of Hours Per </w:t>
            </w:r>
            <w:r>
              <w:rPr>
                <w:sz w:val="24"/>
                <w:szCs w:val="24"/>
              </w:rPr>
              <w:t>Record</w:t>
            </w:r>
            <w:r w:rsidRPr="005F4D77">
              <w:rPr>
                <w:sz w:val="24"/>
                <w:szCs w:val="24"/>
              </w:rPr>
              <w:t xml:space="preserve"> </w:t>
            </w:r>
          </w:p>
        </w:tc>
        <w:tc>
          <w:tcPr>
            <w:tcW w:w="1620" w:type="dxa"/>
          </w:tcPr>
          <w:p w:rsidR="00224407" w:rsidRPr="005F4D77" w:rsidRDefault="00224407" w:rsidP="00B707A2">
            <w:pPr>
              <w:rPr>
                <w:sz w:val="24"/>
                <w:szCs w:val="24"/>
              </w:rPr>
            </w:pPr>
            <w:r w:rsidRPr="005F4D77">
              <w:rPr>
                <w:sz w:val="24"/>
                <w:szCs w:val="24"/>
              </w:rPr>
              <w:t xml:space="preserve">Estimated Total Number of Hours of Annual Burden in Fiscal Year </w:t>
            </w:r>
          </w:p>
        </w:tc>
        <w:tc>
          <w:tcPr>
            <w:tcW w:w="1170" w:type="dxa"/>
          </w:tcPr>
          <w:p w:rsidR="00224407" w:rsidRPr="005F4D77" w:rsidRDefault="00224407" w:rsidP="00B707A2">
            <w:pPr>
              <w:rPr>
                <w:sz w:val="24"/>
                <w:szCs w:val="24"/>
              </w:rPr>
            </w:pPr>
            <w:r w:rsidRPr="005F4D77">
              <w:rPr>
                <w:sz w:val="24"/>
                <w:szCs w:val="24"/>
              </w:rPr>
              <w:t xml:space="preserve">Estimated Annual Cost </w:t>
            </w:r>
          </w:p>
        </w:tc>
      </w:tr>
      <w:tr w:rsidR="00224407" w:rsidRPr="005F4D77" w:rsidTr="00B707A2">
        <w:tc>
          <w:tcPr>
            <w:tcW w:w="9648" w:type="dxa"/>
            <w:gridSpan w:val="7"/>
          </w:tcPr>
          <w:p w:rsidR="00224407" w:rsidRPr="00242DE5" w:rsidRDefault="00224407" w:rsidP="00B707A2">
            <w:pPr>
              <w:rPr>
                <w:b/>
                <w:sz w:val="24"/>
                <w:szCs w:val="24"/>
                <w:u w:val="single"/>
              </w:rPr>
            </w:pPr>
            <w:r>
              <w:rPr>
                <w:b/>
                <w:sz w:val="24"/>
                <w:szCs w:val="24"/>
                <w:u w:val="single"/>
              </w:rPr>
              <w:t xml:space="preserve">Subpart C </w:t>
            </w:r>
            <w:r w:rsidRPr="00242DE5">
              <w:rPr>
                <w:b/>
                <w:sz w:val="24"/>
                <w:szCs w:val="24"/>
                <w:u w:val="single"/>
              </w:rPr>
              <w:t>DCOs Only</w:t>
            </w:r>
          </w:p>
        </w:tc>
      </w:tr>
      <w:tr w:rsidR="00224407" w:rsidRPr="005F4D77" w:rsidTr="00B707A2">
        <w:tc>
          <w:tcPr>
            <w:tcW w:w="1548" w:type="dxa"/>
          </w:tcPr>
          <w:p w:rsidR="00224407" w:rsidRPr="005F4D77" w:rsidRDefault="00224407" w:rsidP="00B707A2">
            <w:pPr>
              <w:rPr>
                <w:sz w:val="24"/>
                <w:szCs w:val="24"/>
              </w:rPr>
            </w:pPr>
            <w:r>
              <w:rPr>
                <w:sz w:val="24"/>
                <w:szCs w:val="24"/>
              </w:rPr>
              <w:t>Generally</w:t>
            </w:r>
          </w:p>
        </w:tc>
        <w:tc>
          <w:tcPr>
            <w:tcW w:w="1530" w:type="dxa"/>
          </w:tcPr>
          <w:p w:rsidR="00224407" w:rsidRPr="005F4D77" w:rsidRDefault="00224407" w:rsidP="00B707A2">
            <w:pPr>
              <w:rPr>
                <w:sz w:val="24"/>
                <w:szCs w:val="24"/>
              </w:rPr>
            </w:pPr>
            <w:r>
              <w:rPr>
                <w:sz w:val="24"/>
                <w:szCs w:val="24"/>
              </w:rPr>
              <w:t>5</w:t>
            </w:r>
          </w:p>
        </w:tc>
        <w:tc>
          <w:tcPr>
            <w:tcW w:w="1170" w:type="dxa"/>
          </w:tcPr>
          <w:p w:rsidR="00224407" w:rsidRPr="005F4D77" w:rsidRDefault="00224407" w:rsidP="00B707A2">
            <w:pPr>
              <w:rPr>
                <w:sz w:val="24"/>
                <w:szCs w:val="24"/>
              </w:rPr>
            </w:pPr>
            <w:r>
              <w:rPr>
                <w:sz w:val="24"/>
                <w:szCs w:val="24"/>
              </w:rPr>
              <w:t>82</w:t>
            </w:r>
          </w:p>
        </w:tc>
        <w:tc>
          <w:tcPr>
            <w:tcW w:w="1260" w:type="dxa"/>
          </w:tcPr>
          <w:p w:rsidR="00224407" w:rsidRPr="005F4D77" w:rsidRDefault="00224407" w:rsidP="00B707A2">
            <w:pPr>
              <w:rPr>
                <w:sz w:val="24"/>
                <w:szCs w:val="24"/>
              </w:rPr>
            </w:pPr>
            <w:r>
              <w:rPr>
                <w:sz w:val="24"/>
                <w:szCs w:val="24"/>
              </w:rPr>
              <w:t>410</w:t>
            </w:r>
          </w:p>
        </w:tc>
        <w:tc>
          <w:tcPr>
            <w:tcW w:w="1350" w:type="dxa"/>
          </w:tcPr>
          <w:p w:rsidR="00224407" w:rsidRPr="005F4D77" w:rsidRDefault="00224407" w:rsidP="00B707A2">
            <w:pPr>
              <w:rPr>
                <w:sz w:val="24"/>
                <w:szCs w:val="24"/>
              </w:rPr>
            </w:pPr>
            <w:r>
              <w:rPr>
                <w:sz w:val="24"/>
                <w:szCs w:val="24"/>
              </w:rPr>
              <w:t>1</w:t>
            </w:r>
          </w:p>
        </w:tc>
        <w:tc>
          <w:tcPr>
            <w:tcW w:w="1620" w:type="dxa"/>
          </w:tcPr>
          <w:p w:rsidR="00224407" w:rsidRPr="005F4D77" w:rsidRDefault="00224407" w:rsidP="00B707A2">
            <w:pPr>
              <w:rPr>
                <w:sz w:val="24"/>
                <w:szCs w:val="24"/>
              </w:rPr>
            </w:pPr>
            <w:r>
              <w:rPr>
                <w:sz w:val="24"/>
                <w:szCs w:val="24"/>
              </w:rPr>
              <w:t>2,050</w:t>
            </w:r>
          </w:p>
        </w:tc>
        <w:tc>
          <w:tcPr>
            <w:tcW w:w="1170" w:type="dxa"/>
          </w:tcPr>
          <w:p w:rsidR="00224407" w:rsidRPr="005F4D77" w:rsidRDefault="00224407" w:rsidP="00B707A2">
            <w:pPr>
              <w:rPr>
                <w:sz w:val="24"/>
                <w:szCs w:val="24"/>
              </w:rPr>
            </w:pPr>
            <w:r>
              <w:rPr>
                <w:sz w:val="24"/>
                <w:szCs w:val="24"/>
              </w:rPr>
              <w:t>$50,000</w:t>
            </w:r>
          </w:p>
        </w:tc>
      </w:tr>
      <w:tr w:rsidR="00224407" w:rsidRPr="005F4D77" w:rsidTr="00B707A2">
        <w:tc>
          <w:tcPr>
            <w:tcW w:w="1548" w:type="dxa"/>
          </w:tcPr>
          <w:p w:rsidR="00224407" w:rsidRPr="005F4D77" w:rsidRDefault="00224407" w:rsidP="00B707A2">
            <w:pPr>
              <w:rPr>
                <w:sz w:val="24"/>
                <w:szCs w:val="24"/>
              </w:rPr>
            </w:pPr>
          </w:p>
        </w:tc>
        <w:tc>
          <w:tcPr>
            <w:tcW w:w="1530" w:type="dxa"/>
          </w:tcPr>
          <w:p w:rsidR="00224407" w:rsidRPr="005F4D77" w:rsidRDefault="00224407" w:rsidP="00B707A2">
            <w:pPr>
              <w:rPr>
                <w:sz w:val="24"/>
                <w:szCs w:val="24"/>
              </w:rPr>
            </w:pPr>
          </w:p>
        </w:tc>
        <w:tc>
          <w:tcPr>
            <w:tcW w:w="1170" w:type="dxa"/>
          </w:tcPr>
          <w:p w:rsidR="00224407" w:rsidRPr="005F4D77" w:rsidRDefault="00224407" w:rsidP="00B707A2">
            <w:pPr>
              <w:rPr>
                <w:sz w:val="24"/>
                <w:szCs w:val="24"/>
              </w:rPr>
            </w:pPr>
          </w:p>
        </w:tc>
        <w:tc>
          <w:tcPr>
            <w:tcW w:w="1260" w:type="dxa"/>
          </w:tcPr>
          <w:p w:rsidR="00224407" w:rsidRPr="005F4D77" w:rsidRDefault="00224407" w:rsidP="00B707A2">
            <w:pPr>
              <w:rPr>
                <w:sz w:val="24"/>
                <w:szCs w:val="24"/>
              </w:rPr>
            </w:pPr>
          </w:p>
        </w:tc>
        <w:tc>
          <w:tcPr>
            <w:tcW w:w="1350" w:type="dxa"/>
          </w:tcPr>
          <w:p w:rsidR="00224407" w:rsidRPr="005F4D77" w:rsidRDefault="00224407" w:rsidP="00B707A2">
            <w:pPr>
              <w:rPr>
                <w:sz w:val="24"/>
                <w:szCs w:val="24"/>
              </w:rPr>
            </w:pPr>
          </w:p>
        </w:tc>
        <w:tc>
          <w:tcPr>
            <w:tcW w:w="1620" w:type="dxa"/>
          </w:tcPr>
          <w:p w:rsidR="00224407" w:rsidRPr="005F4D77" w:rsidRDefault="00224407" w:rsidP="00B707A2">
            <w:pPr>
              <w:rPr>
                <w:sz w:val="24"/>
                <w:szCs w:val="24"/>
              </w:rPr>
            </w:pPr>
          </w:p>
        </w:tc>
        <w:tc>
          <w:tcPr>
            <w:tcW w:w="1170" w:type="dxa"/>
          </w:tcPr>
          <w:p w:rsidR="00224407" w:rsidRPr="005F4D77" w:rsidRDefault="00224407" w:rsidP="00B707A2">
            <w:pPr>
              <w:rPr>
                <w:sz w:val="24"/>
                <w:szCs w:val="24"/>
              </w:rPr>
            </w:pPr>
          </w:p>
        </w:tc>
      </w:tr>
      <w:tr w:rsidR="00224407" w:rsidRPr="005F4D77" w:rsidTr="00B707A2">
        <w:tc>
          <w:tcPr>
            <w:tcW w:w="9648" w:type="dxa"/>
            <w:gridSpan w:val="7"/>
          </w:tcPr>
          <w:p w:rsidR="00224407" w:rsidRPr="00242DE5" w:rsidRDefault="00224407" w:rsidP="00B707A2">
            <w:pPr>
              <w:rPr>
                <w:b/>
                <w:sz w:val="24"/>
                <w:szCs w:val="24"/>
              </w:rPr>
            </w:pPr>
            <w:r w:rsidRPr="00242DE5">
              <w:rPr>
                <w:b/>
                <w:sz w:val="24"/>
                <w:szCs w:val="24"/>
              </w:rPr>
              <w:t xml:space="preserve">SIDCOs and </w:t>
            </w:r>
            <w:r>
              <w:rPr>
                <w:b/>
                <w:sz w:val="24"/>
                <w:szCs w:val="24"/>
              </w:rPr>
              <w:t>Subpart C</w:t>
            </w:r>
            <w:r w:rsidRPr="00242DE5">
              <w:rPr>
                <w:b/>
                <w:sz w:val="24"/>
                <w:szCs w:val="24"/>
              </w:rPr>
              <w:t xml:space="preserve"> DCOs</w:t>
            </w:r>
          </w:p>
        </w:tc>
      </w:tr>
      <w:tr w:rsidR="00224407" w:rsidRPr="005F4D77" w:rsidTr="00B707A2">
        <w:tc>
          <w:tcPr>
            <w:tcW w:w="1548" w:type="dxa"/>
          </w:tcPr>
          <w:p w:rsidR="00224407" w:rsidRPr="005F4D77" w:rsidRDefault="00224407" w:rsidP="00B707A2">
            <w:pPr>
              <w:rPr>
                <w:sz w:val="24"/>
                <w:szCs w:val="24"/>
              </w:rPr>
            </w:pPr>
            <w:r>
              <w:rPr>
                <w:sz w:val="24"/>
                <w:szCs w:val="24"/>
              </w:rPr>
              <w:t>Liquidity Resource Due Diligence and Testing</w:t>
            </w:r>
          </w:p>
        </w:tc>
        <w:tc>
          <w:tcPr>
            <w:tcW w:w="1530" w:type="dxa"/>
          </w:tcPr>
          <w:p w:rsidR="00224407" w:rsidRPr="005F4D77" w:rsidRDefault="00224407" w:rsidP="00B707A2">
            <w:pPr>
              <w:rPr>
                <w:sz w:val="24"/>
                <w:szCs w:val="24"/>
              </w:rPr>
            </w:pPr>
            <w:r>
              <w:rPr>
                <w:sz w:val="24"/>
                <w:szCs w:val="24"/>
              </w:rPr>
              <w:t>7</w:t>
            </w:r>
          </w:p>
        </w:tc>
        <w:tc>
          <w:tcPr>
            <w:tcW w:w="1170" w:type="dxa"/>
          </w:tcPr>
          <w:p w:rsidR="00224407" w:rsidRPr="005F4D77" w:rsidRDefault="00224407" w:rsidP="00B707A2">
            <w:pPr>
              <w:rPr>
                <w:sz w:val="24"/>
                <w:szCs w:val="24"/>
              </w:rPr>
            </w:pPr>
            <w:r>
              <w:rPr>
                <w:sz w:val="24"/>
                <w:szCs w:val="24"/>
              </w:rPr>
              <w:t>4</w:t>
            </w:r>
          </w:p>
        </w:tc>
        <w:tc>
          <w:tcPr>
            <w:tcW w:w="1260" w:type="dxa"/>
          </w:tcPr>
          <w:p w:rsidR="00224407" w:rsidRPr="005F4D77" w:rsidRDefault="00224407" w:rsidP="00B707A2">
            <w:pPr>
              <w:rPr>
                <w:sz w:val="24"/>
                <w:szCs w:val="24"/>
              </w:rPr>
            </w:pPr>
            <w:r>
              <w:rPr>
                <w:sz w:val="24"/>
                <w:szCs w:val="24"/>
              </w:rPr>
              <w:t>28</w:t>
            </w:r>
          </w:p>
        </w:tc>
        <w:tc>
          <w:tcPr>
            <w:tcW w:w="1350" w:type="dxa"/>
          </w:tcPr>
          <w:p w:rsidR="00224407" w:rsidRPr="005F4D77" w:rsidRDefault="00224407" w:rsidP="00B707A2">
            <w:pPr>
              <w:rPr>
                <w:sz w:val="24"/>
                <w:szCs w:val="24"/>
              </w:rPr>
            </w:pPr>
            <w:r>
              <w:rPr>
                <w:sz w:val="24"/>
                <w:szCs w:val="24"/>
              </w:rPr>
              <w:t>10</w:t>
            </w:r>
          </w:p>
        </w:tc>
        <w:tc>
          <w:tcPr>
            <w:tcW w:w="1620" w:type="dxa"/>
          </w:tcPr>
          <w:p w:rsidR="00224407" w:rsidRPr="005F4D77" w:rsidRDefault="00224407" w:rsidP="00B707A2">
            <w:pPr>
              <w:rPr>
                <w:sz w:val="24"/>
                <w:szCs w:val="24"/>
              </w:rPr>
            </w:pPr>
            <w:r>
              <w:rPr>
                <w:sz w:val="24"/>
                <w:szCs w:val="24"/>
              </w:rPr>
              <w:t>280</w:t>
            </w:r>
          </w:p>
        </w:tc>
        <w:tc>
          <w:tcPr>
            <w:tcW w:w="1170" w:type="dxa"/>
          </w:tcPr>
          <w:p w:rsidR="00224407" w:rsidRPr="005F4D77" w:rsidRDefault="00224407" w:rsidP="00B707A2">
            <w:pPr>
              <w:rPr>
                <w:sz w:val="24"/>
                <w:szCs w:val="24"/>
              </w:rPr>
            </w:pPr>
            <w:r>
              <w:rPr>
                <w:sz w:val="24"/>
                <w:szCs w:val="24"/>
              </w:rPr>
              <w:t>$5,000</w:t>
            </w:r>
          </w:p>
        </w:tc>
      </w:tr>
      <w:tr w:rsidR="00224407" w:rsidRPr="005F4D77" w:rsidTr="00B707A2">
        <w:tc>
          <w:tcPr>
            <w:tcW w:w="1548" w:type="dxa"/>
          </w:tcPr>
          <w:p w:rsidR="00224407" w:rsidRPr="005F4D77" w:rsidRDefault="00224407" w:rsidP="00B707A2">
            <w:pPr>
              <w:rPr>
                <w:sz w:val="24"/>
                <w:szCs w:val="24"/>
              </w:rPr>
            </w:pPr>
            <w:r>
              <w:rPr>
                <w:sz w:val="24"/>
                <w:szCs w:val="24"/>
              </w:rPr>
              <w:t>Financial and Liquidity Resources, Excluding Due Diligence</w:t>
            </w:r>
          </w:p>
        </w:tc>
        <w:tc>
          <w:tcPr>
            <w:tcW w:w="1530" w:type="dxa"/>
          </w:tcPr>
          <w:p w:rsidR="00224407" w:rsidRPr="005F4D77" w:rsidRDefault="00224407" w:rsidP="00B707A2">
            <w:pPr>
              <w:rPr>
                <w:sz w:val="24"/>
                <w:szCs w:val="24"/>
              </w:rPr>
            </w:pPr>
            <w:r>
              <w:rPr>
                <w:sz w:val="24"/>
                <w:szCs w:val="24"/>
              </w:rPr>
              <w:t>7</w:t>
            </w:r>
          </w:p>
        </w:tc>
        <w:tc>
          <w:tcPr>
            <w:tcW w:w="1170" w:type="dxa"/>
          </w:tcPr>
          <w:p w:rsidR="00224407" w:rsidRPr="005F4D77" w:rsidRDefault="00224407" w:rsidP="00B707A2">
            <w:pPr>
              <w:rPr>
                <w:sz w:val="24"/>
                <w:szCs w:val="24"/>
              </w:rPr>
            </w:pPr>
            <w:r>
              <w:rPr>
                <w:sz w:val="24"/>
                <w:szCs w:val="24"/>
              </w:rPr>
              <w:t>4</w:t>
            </w:r>
          </w:p>
        </w:tc>
        <w:tc>
          <w:tcPr>
            <w:tcW w:w="1260" w:type="dxa"/>
          </w:tcPr>
          <w:p w:rsidR="00224407" w:rsidRPr="005F4D77" w:rsidRDefault="00224407" w:rsidP="00B707A2">
            <w:pPr>
              <w:rPr>
                <w:sz w:val="24"/>
                <w:szCs w:val="24"/>
              </w:rPr>
            </w:pPr>
            <w:r>
              <w:rPr>
                <w:sz w:val="24"/>
                <w:szCs w:val="24"/>
              </w:rPr>
              <w:t>28</w:t>
            </w:r>
          </w:p>
        </w:tc>
        <w:tc>
          <w:tcPr>
            <w:tcW w:w="1350" w:type="dxa"/>
          </w:tcPr>
          <w:p w:rsidR="00224407" w:rsidRPr="005F4D77" w:rsidRDefault="00224407" w:rsidP="00B707A2">
            <w:pPr>
              <w:rPr>
                <w:sz w:val="24"/>
                <w:szCs w:val="24"/>
              </w:rPr>
            </w:pPr>
            <w:r>
              <w:rPr>
                <w:sz w:val="24"/>
                <w:szCs w:val="24"/>
              </w:rPr>
              <w:t>10</w:t>
            </w:r>
          </w:p>
        </w:tc>
        <w:tc>
          <w:tcPr>
            <w:tcW w:w="1620" w:type="dxa"/>
          </w:tcPr>
          <w:p w:rsidR="00224407" w:rsidRPr="005F4D77" w:rsidRDefault="00224407" w:rsidP="00B707A2">
            <w:pPr>
              <w:rPr>
                <w:sz w:val="24"/>
                <w:szCs w:val="24"/>
              </w:rPr>
            </w:pPr>
            <w:r>
              <w:rPr>
                <w:sz w:val="24"/>
                <w:szCs w:val="24"/>
              </w:rPr>
              <w:t>280</w:t>
            </w:r>
          </w:p>
        </w:tc>
        <w:tc>
          <w:tcPr>
            <w:tcW w:w="1170" w:type="dxa"/>
          </w:tcPr>
          <w:p w:rsidR="00224407" w:rsidRPr="005F4D77" w:rsidRDefault="00224407" w:rsidP="00B707A2">
            <w:pPr>
              <w:rPr>
                <w:sz w:val="24"/>
                <w:szCs w:val="24"/>
              </w:rPr>
            </w:pPr>
            <w:r>
              <w:rPr>
                <w:sz w:val="24"/>
                <w:szCs w:val="24"/>
              </w:rPr>
              <w:t>$5,000</w:t>
            </w:r>
          </w:p>
        </w:tc>
      </w:tr>
      <w:tr w:rsidR="00224407" w:rsidRPr="005F4D77" w:rsidTr="00B707A2">
        <w:tc>
          <w:tcPr>
            <w:tcW w:w="1548" w:type="dxa"/>
          </w:tcPr>
          <w:p w:rsidR="00224407" w:rsidRDefault="00224407" w:rsidP="00B707A2">
            <w:pPr>
              <w:rPr>
                <w:sz w:val="24"/>
                <w:szCs w:val="24"/>
              </w:rPr>
            </w:pPr>
            <w:r>
              <w:rPr>
                <w:sz w:val="24"/>
                <w:szCs w:val="24"/>
              </w:rPr>
              <w:t>Generally</w:t>
            </w:r>
          </w:p>
        </w:tc>
        <w:tc>
          <w:tcPr>
            <w:tcW w:w="1530" w:type="dxa"/>
          </w:tcPr>
          <w:p w:rsidR="00224407" w:rsidRPr="005F4D77" w:rsidRDefault="00224407" w:rsidP="00B707A2">
            <w:pPr>
              <w:rPr>
                <w:sz w:val="24"/>
                <w:szCs w:val="24"/>
              </w:rPr>
            </w:pPr>
            <w:r>
              <w:rPr>
                <w:sz w:val="24"/>
                <w:szCs w:val="24"/>
              </w:rPr>
              <w:t>7</w:t>
            </w:r>
          </w:p>
        </w:tc>
        <w:tc>
          <w:tcPr>
            <w:tcW w:w="1170" w:type="dxa"/>
          </w:tcPr>
          <w:p w:rsidR="00224407" w:rsidRPr="005F4D77" w:rsidRDefault="00224407" w:rsidP="00B707A2">
            <w:pPr>
              <w:rPr>
                <w:sz w:val="24"/>
                <w:szCs w:val="24"/>
              </w:rPr>
            </w:pPr>
            <w:r>
              <w:rPr>
                <w:sz w:val="24"/>
                <w:szCs w:val="24"/>
              </w:rPr>
              <w:t>28</w:t>
            </w:r>
          </w:p>
        </w:tc>
        <w:tc>
          <w:tcPr>
            <w:tcW w:w="1260" w:type="dxa"/>
          </w:tcPr>
          <w:p w:rsidR="00224407" w:rsidRPr="005F4D77" w:rsidRDefault="00224407" w:rsidP="00B707A2">
            <w:pPr>
              <w:rPr>
                <w:sz w:val="24"/>
                <w:szCs w:val="24"/>
              </w:rPr>
            </w:pPr>
            <w:r>
              <w:rPr>
                <w:sz w:val="24"/>
                <w:szCs w:val="24"/>
              </w:rPr>
              <w:t>196</w:t>
            </w:r>
          </w:p>
        </w:tc>
        <w:tc>
          <w:tcPr>
            <w:tcW w:w="1350" w:type="dxa"/>
          </w:tcPr>
          <w:p w:rsidR="00224407" w:rsidRPr="005F4D77" w:rsidRDefault="00224407" w:rsidP="00B707A2">
            <w:pPr>
              <w:rPr>
                <w:sz w:val="24"/>
                <w:szCs w:val="24"/>
              </w:rPr>
            </w:pPr>
            <w:r>
              <w:rPr>
                <w:sz w:val="24"/>
                <w:szCs w:val="24"/>
              </w:rPr>
              <w:t>10</w:t>
            </w:r>
          </w:p>
        </w:tc>
        <w:tc>
          <w:tcPr>
            <w:tcW w:w="1620" w:type="dxa"/>
          </w:tcPr>
          <w:p w:rsidR="00224407" w:rsidRPr="005F4D77" w:rsidRDefault="00224407" w:rsidP="00B707A2">
            <w:pPr>
              <w:rPr>
                <w:sz w:val="24"/>
                <w:szCs w:val="24"/>
              </w:rPr>
            </w:pPr>
            <w:r>
              <w:rPr>
                <w:sz w:val="24"/>
                <w:szCs w:val="24"/>
              </w:rPr>
              <w:t>1960</w:t>
            </w:r>
          </w:p>
        </w:tc>
        <w:tc>
          <w:tcPr>
            <w:tcW w:w="1170" w:type="dxa"/>
          </w:tcPr>
          <w:p w:rsidR="00224407" w:rsidRPr="005F4D77" w:rsidRDefault="00224407" w:rsidP="00B707A2">
            <w:pPr>
              <w:rPr>
                <w:sz w:val="24"/>
                <w:szCs w:val="24"/>
              </w:rPr>
            </w:pPr>
            <w:r>
              <w:rPr>
                <w:sz w:val="24"/>
                <w:szCs w:val="24"/>
              </w:rPr>
              <w:t>$33,320</w:t>
            </w:r>
          </w:p>
        </w:tc>
      </w:tr>
      <w:tr w:rsidR="00224407" w:rsidRPr="005F4D77" w:rsidTr="00B707A2">
        <w:tc>
          <w:tcPr>
            <w:tcW w:w="1548" w:type="dxa"/>
          </w:tcPr>
          <w:p w:rsidR="00224407" w:rsidRDefault="00224407" w:rsidP="00B707A2">
            <w:pPr>
              <w:rPr>
                <w:sz w:val="24"/>
                <w:szCs w:val="24"/>
              </w:rPr>
            </w:pPr>
          </w:p>
        </w:tc>
        <w:tc>
          <w:tcPr>
            <w:tcW w:w="1530" w:type="dxa"/>
          </w:tcPr>
          <w:p w:rsidR="00224407" w:rsidRPr="005F4D77" w:rsidRDefault="00224407" w:rsidP="00B707A2">
            <w:pPr>
              <w:rPr>
                <w:sz w:val="24"/>
                <w:szCs w:val="24"/>
              </w:rPr>
            </w:pPr>
          </w:p>
        </w:tc>
        <w:tc>
          <w:tcPr>
            <w:tcW w:w="1170" w:type="dxa"/>
          </w:tcPr>
          <w:p w:rsidR="00224407" w:rsidRPr="005F4D77" w:rsidRDefault="00224407" w:rsidP="00B707A2">
            <w:pPr>
              <w:rPr>
                <w:sz w:val="24"/>
                <w:szCs w:val="24"/>
              </w:rPr>
            </w:pPr>
          </w:p>
        </w:tc>
        <w:tc>
          <w:tcPr>
            <w:tcW w:w="1260" w:type="dxa"/>
          </w:tcPr>
          <w:p w:rsidR="00224407" w:rsidRPr="005F4D77" w:rsidRDefault="00224407" w:rsidP="00B707A2">
            <w:pPr>
              <w:rPr>
                <w:sz w:val="24"/>
                <w:szCs w:val="24"/>
              </w:rPr>
            </w:pPr>
          </w:p>
        </w:tc>
        <w:tc>
          <w:tcPr>
            <w:tcW w:w="1350" w:type="dxa"/>
          </w:tcPr>
          <w:p w:rsidR="00224407" w:rsidRPr="005F4D77" w:rsidRDefault="00224407" w:rsidP="00B707A2">
            <w:pPr>
              <w:rPr>
                <w:sz w:val="24"/>
                <w:szCs w:val="24"/>
              </w:rPr>
            </w:pPr>
          </w:p>
        </w:tc>
        <w:tc>
          <w:tcPr>
            <w:tcW w:w="1620" w:type="dxa"/>
          </w:tcPr>
          <w:p w:rsidR="00224407" w:rsidRPr="005F4D77" w:rsidRDefault="00224407" w:rsidP="00B707A2">
            <w:pPr>
              <w:rPr>
                <w:sz w:val="24"/>
                <w:szCs w:val="24"/>
              </w:rPr>
            </w:pPr>
          </w:p>
        </w:tc>
        <w:tc>
          <w:tcPr>
            <w:tcW w:w="1170" w:type="dxa"/>
          </w:tcPr>
          <w:p w:rsidR="00224407" w:rsidRPr="005F4D77" w:rsidRDefault="00224407" w:rsidP="00B707A2">
            <w:pPr>
              <w:rPr>
                <w:sz w:val="24"/>
                <w:szCs w:val="24"/>
              </w:rPr>
            </w:pPr>
          </w:p>
        </w:tc>
      </w:tr>
      <w:tr w:rsidR="00224407" w:rsidRPr="005F4D77" w:rsidTr="00B707A2">
        <w:tc>
          <w:tcPr>
            <w:tcW w:w="1548" w:type="dxa"/>
          </w:tcPr>
          <w:p w:rsidR="00224407" w:rsidRDefault="00224407" w:rsidP="00B707A2">
            <w:pPr>
              <w:rPr>
                <w:sz w:val="24"/>
                <w:szCs w:val="24"/>
              </w:rPr>
            </w:pPr>
            <w:r>
              <w:rPr>
                <w:b/>
                <w:sz w:val="24"/>
                <w:szCs w:val="24"/>
              </w:rPr>
              <w:t>TOTALS</w:t>
            </w:r>
          </w:p>
        </w:tc>
        <w:tc>
          <w:tcPr>
            <w:tcW w:w="1530" w:type="dxa"/>
          </w:tcPr>
          <w:p w:rsidR="00224407" w:rsidRPr="00242DE5" w:rsidRDefault="00224407" w:rsidP="00B707A2">
            <w:pPr>
              <w:jc w:val="right"/>
              <w:rPr>
                <w:b/>
                <w:sz w:val="24"/>
                <w:szCs w:val="24"/>
              </w:rPr>
            </w:pPr>
          </w:p>
        </w:tc>
        <w:tc>
          <w:tcPr>
            <w:tcW w:w="1170" w:type="dxa"/>
          </w:tcPr>
          <w:p w:rsidR="00224407" w:rsidRPr="00242DE5" w:rsidRDefault="00224407" w:rsidP="00B707A2">
            <w:pPr>
              <w:rPr>
                <w:b/>
                <w:sz w:val="24"/>
                <w:szCs w:val="24"/>
              </w:rPr>
            </w:pPr>
            <w:r>
              <w:rPr>
                <w:b/>
                <w:sz w:val="24"/>
                <w:szCs w:val="24"/>
              </w:rPr>
              <w:t>118</w:t>
            </w:r>
          </w:p>
        </w:tc>
        <w:tc>
          <w:tcPr>
            <w:tcW w:w="1260" w:type="dxa"/>
          </w:tcPr>
          <w:p w:rsidR="00224407" w:rsidRPr="00242DE5" w:rsidRDefault="00224407" w:rsidP="00B707A2">
            <w:pPr>
              <w:rPr>
                <w:b/>
                <w:sz w:val="24"/>
                <w:szCs w:val="24"/>
              </w:rPr>
            </w:pPr>
            <w:r>
              <w:rPr>
                <w:b/>
                <w:sz w:val="24"/>
                <w:szCs w:val="24"/>
              </w:rPr>
              <w:t>662</w:t>
            </w:r>
          </w:p>
        </w:tc>
        <w:tc>
          <w:tcPr>
            <w:tcW w:w="1350" w:type="dxa"/>
          </w:tcPr>
          <w:p w:rsidR="00224407" w:rsidRPr="00242DE5" w:rsidRDefault="00224407" w:rsidP="00B707A2">
            <w:pPr>
              <w:rPr>
                <w:b/>
                <w:sz w:val="24"/>
                <w:szCs w:val="24"/>
              </w:rPr>
            </w:pPr>
            <w:r>
              <w:rPr>
                <w:b/>
                <w:sz w:val="24"/>
                <w:szCs w:val="24"/>
              </w:rPr>
              <w:t>31</w:t>
            </w:r>
          </w:p>
        </w:tc>
        <w:tc>
          <w:tcPr>
            <w:tcW w:w="1620" w:type="dxa"/>
          </w:tcPr>
          <w:p w:rsidR="00224407" w:rsidRPr="00242DE5" w:rsidRDefault="00224407" w:rsidP="00B707A2">
            <w:pPr>
              <w:rPr>
                <w:b/>
                <w:sz w:val="24"/>
                <w:szCs w:val="24"/>
              </w:rPr>
            </w:pPr>
            <w:r>
              <w:rPr>
                <w:b/>
                <w:sz w:val="24"/>
                <w:szCs w:val="24"/>
              </w:rPr>
              <w:t>4570</w:t>
            </w:r>
          </w:p>
        </w:tc>
        <w:tc>
          <w:tcPr>
            <w:tcW w:w="1170" w:type="dxa"/>
          </w:tcPr>
          <w:p w:rsidR="00224407" w:rsidRPr="00242DE5" w:rsidRDefault="00224407" w:rsidP="00B707A2">
            <w:pPr>
              <w:rPr>
                <w:b/>
                <w:sz w:val="24"/>
                <w:szCs w:val="24"/>
              </w:rPr>
            </w:pPr>
            <w:r>
              <w:rPr>
                <w:b/>
                <w:sz w:val="24"/>
                <w:szCs w:val="24"/>
              </w:rPr>
              <w:t>$93,320</w:t>
            </w:r>
          </w:p>
        </w:tc>
      </w:tr>
    </w:tbl>
    <w:p w:rsidR="00224407" w:rsidRDefault="00224407" w:rsidP="00224407">
      <w:pPr>
        <w:jc w:val="center"/>
        <w:rPr>
          <w:sz w:val="24"/>
          <w:szCs w:val="24"/>
        </w:rPr>
      </w:pPr>
    </w:p>
    <w:p w:rsidR="00224407" w:rsidRDefault="00224407" w:rsidP="00224407">
      <w:pPr>
        <w:jc w:val="center"/>
        <w:rPr>
          <w:sz w:val="24"/>
          <w:szCs w:val="24"/>
        </w:rPr>
      </w:pPr>
    </w:p>
    <w:p w:rsidR="00875B1B" w:rsidRDefault="00875B1B"/>
    <w:sectPr w:rsidR="00875B1B" w:rsidSect="009B76EB">
      <w:footerReference w:type="default" r:id="rId8"/>
      <w:pgSz w:w="12240" w:h="15840"/>
      <w:pgMar w:top="1440" w:right="1440" w:bottom="12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3D3" w:rsidRDefault="00C773D3" w:rsidP="00224407">
      <w:r>
        <w:separator/>
      </w:r>
    </w:p>
  </w:endnote>
  <w:endnote w:type="continuationSeparator" w:id="0">
    <w:p w:rsidR="00C773D3" w:rsidRDefault="00C773D3" w:rsidP="0022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46" w:rsidRDefault="00CD7AE9">
    <w:pPr>
      <w:pStyle w:val="Footer"/>
      <w:jc w:val="center"/>
    </w:pPr>
    <w:r>
      <w:fldChar w:fldCharType="begin"/>
    </w:r>
    <w:r>
      <w:instrText xml:space="preserve"> PAGE   \* MERGEFORMAT </w:instrText>
    </w:r>
    <w:r>
      <w:fldChar w:fldCharType="separate"/>
    </w:r>
    <w:r w:rsidR="003C7748">
      <w:rPr>
        <w:noProof/>
      </w:rPr>
      <w:t>1</w:t>
    </w:r>
    <w:r>
      <w:rPr>
        <w:noProof/>
      </w:rPr>
      <w:fldChar w:fldCharType="end"/>
    </w:r>
  </w:p>
  <w:p w:rsidR="000A1446" w:rsidRDefault="003C7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3D3" w:rsidRDefault="00C773D3" w:rsidP="00224407">
      <w:r>
        <w:separator/>
      </w:r>
    </w:p>
  </w:footnote>
  <w:footnote w:type="continuationSeparator" w:id="0">
    <w:p w:rsidR="00C773D3" w:rsidRDefault="00C773D3" w:rsidP="00224407">
      <w:r>
        <w:continuationSeparator/>
      </w:r>
    </w:p>
  </w:footnote>
  <w:footnote w:id="1">
    <w:p w:rsidR="00337E4E" w:rsidRDefault="00337E4E" w:rsidP="00337E4E">
      <w:pPr>
        <w:pStyle w:val="FootnoteText"/>
      </w:pPr>
      <w:r>
        <w:rPr>
          <w:rStyle w:val="FootnoteReference"/>
        </w:rPr>
        <w:footnoteRef/>
      </w:r>
      <w:r>
        <w:t xml:space="preserve"> </w:t>
      </w:r>
      <w:r>
        <w:rPr>
          <w:u w:val="single"/>
        </w:rPr>
        <w:t>See</w:t>
      </w:r>
      <w:r>
        <w:t xml:space="preserve"> Derivatives Clearing Organization General Provisions and Core Principles, 76 FR 69334 (November 8, 2011) (DCO Final Rule).</w:t>
      </w:r>
    </w:p>
    <w:p w:rsidR="00337E4E" w:rsidRDefault="00337E4E" w:rsidP="00337E4E">
      <w:pPr>
        <w:pStyle w:val="FootnoteText"/>
      </w:pPr>
    </w:p>
  </w:footnote>
  <w:footnote w:id="2">
    <w:p w:rsidR="00224407" w:rsidRDefault="00224407" w:rsidP="00224407">
      <w:pPr>
        <w:pStyle w:val="FootnoteText"/>
      </w:pPr>
      <w:r>
        <w:rPr>
          <w:rStyle w:val="FootnoteReference"/>
        </w:rPr>
        <w:footnoteRef/>
      </w:r>
      <w:r>
        <w:t xml:space="preserve"> 7 U.S.C. 7a-1(a).</w:t>
      </w:r>
    </w:p>
    <w:p w:rsidR="00224407" w:rsidRDefault="00224407" w:rsidP="00224407">
      <w:pPr>
        <w:pStyle w:val="FootnoteText"/>
      </w:pPr>
    </w:p>
  </w:footnote>
  <w:footnote w:id="3">
    <w:p w:rsidR="00224407" w:rsidRDefault="00224407" w:rsidP="00224407">
      <w:pPr>
        <w:pStyle w:val="FootnoteText"/>
      </w:pPr>
      <w:r>
        <w:rPr>
          <w:rStyle w:val="FootnoteReference"/>
        </w:rPr>
        <w:footnoteRef/>
      </w:r>
      <w:r>
        <w:t xml:space="preserve"> </w:t>
      </w:r>
      <w:r w:rsidRPr="003057F8">
        <w:rPr>
          <w:u w:val="single"/>
        </w:rPr>
        <w:t>See</w:t>
      </w:r>
      <w:r>
        <w:t xml:space="preserve"> General Regulations and Derivatives Clearing Organizations, 75 FR 77576 (December 13, 2010) (notice of proposed rulemaking) and Derivatives Clearing Organization General Provisions and Core Principles, 76 FR 69334 (November 8, 2011) (final rule).</w:t>
      </w:r>
    </w:p>
    <w:p w:rsidR="00224407" w:rsidRDefault="00224407" w:rsidP="00224407">
      <w:pPr>
        <w:pStyle w:val="FootnoteText"/>
      </w:pPr>
    </w:p>
  </w:footnote>
  <w:footnote w:id="4">
    <w:p w:rsidR="00224407" w:rsidRDefault="00224407" w:rsidP="00224407">
      <w:pPr>
        <w:pStyle w:val="FootnoteText"/>
      </w:pPr>
      <w:r w:rsidRPr="00B702D7">
        <w:rPr>
          <w:rStyle w:val="FootnoteReference"/>
        </w:rPr>
        <w:footnoteRef/>
      </w:r>
      <w:r>
        <w:t xml:space="preserve">7 U.S.C. 7a-1(c)(2)(A).  </w:t>
      </w:r>
      <w:r w:rsidRPr="00B702D7">
        <w:t>Section 725(c) of the Dodd-Frank Act amended Section 5b(c)(2) of the CEA</w:t>
      </w:r>
      <w:r>
        <w:t xml:space="preserve"> </w:t>
      </w:r>
      <w:r w:rsidRPr="00B702D7">
        <w:t xml:space="preserve">which sets forth the core principles </w:t>
      </w:r>
      <w:r>
        <w:t xml:space="preserve">with which </w:t>
      </w:r>
      <w:r w:rsidRPr="00B702D7">
        <w:t>a DCO must comply in order to register and maintain registration with the Commission.</w:t>
      </w:r>
      <w:r>
        <w:t xml:space="preserve">  In furtherance of the goals of the Dodd-Frank Act to reduce risk, increase transparency and promote market integrity, the Commission, pursuant to its enhanced rulemaking authority under section 725(c)(2)(i) of the Dodd-Frank Act, adopted regulations establishing standards for compliance with the DCO core principles.  </w:t>
      </w:r>
      <w:r w:rsidRPr="003C5607">
        <w:rPr>
          <w:u w:val="single"/>
        </w:rPr>
        <w:t>See</w:t>
      </w:r>
      <w:r>
        <w:t xml:space="preserve"> Section 725(c)(2)(i) of the Dodd-Frank Act (giving the Commission explicit authority to promulgate rules regarding the core principles pursuant to its rulemaking authority under Section 8a(5) of the CEA).  </w:t>
      </w:r>
    </w:p>
    <w:p w:rsidR="00224407" w:rsidRPr="00B702D7" w:rsidRDefault="00224407" w:rsidP="00224407">
      <w:pPr>
        <w:pStyle w:val="FootnoteText"/>
      </w:pPr>
    </w:p>
  </w:footnote>
  <w:footnote w:id="5">
    <w:p w:rsidR="00224407" w:rsidRDefault="00224407" w:rsidP="00224407">
      <w:pPr>
        <w:pStyle w:val="FootnoteText"/>
      </w:pPr>
      <w:r w:rsidRPr="00B702D7">
        <w:rPr>
          <w:rStyle w:val="FootnoteReference"/>
        </w:rPr>
        <w:footnoteRef/>
      </w:r>
      <w:r w:rsidRPr="00B702D7">
        <w:t xml:space="preserve"> Section 804 of the Dodd-Frank Act requires the Financial Stability Oversight Council (“Council”) to designate those financial market utilities (“FMUs”) that the Council determines are, or are likely to become, systemically important.</w:t>
      </w:r>
      <w:r>
        <w:t xml:space="preserve">  Title VIII of the Dodd-Frank Act was enacted to mitigate systemic risk in the financial system and promote financial stability.  </w:t>
      </w:r>
      <w:r w:rsidRPr="00B64A8F">
        <w:rPr>
          <w:u w:val="single"/>
        </w:rPr>
        <w:t>See</w:t>
      </w:r>
      <w:r>
        <w:t xml:space="preserve"> Section 802 of the Dodd-Frank Act.  </w:t>
      </w:r>
    </w:p>
    <w:p w:rsidR="00224407" w:rsidRPr="00B702D7" w:rsidRDefault="00224407" w:rsidP="00224407">
      <w:pPr>
        <w:pStyle w:val="FootnoteText"/>
      </w:pPr>
    </w:p>
  </w:footnote>
  <w:footnote w:id="6">
    <w:p w:rsidR="00224407" w:rsidRDefault="00224407" w:rsidP="00224407">
      <w:pPr>
        <w:pStyle w:val="FootnoteText"/>
      </w:pPr>
      <w:r>
        <w:rPr>
          <w:rStyle w:val="FootnoteReference"/>
        </w:rPr>
        <w:footnoteRef/>
      </w:r>
      <w:r>
        <w:t xml:space="preserve"> </w:t>
      </w:r>
      <w:r w:rsidRPr="003C5607">
        <w:rPr>
          <w:u w:val="single"/>
        </w:rPr>
        <w:t>See</w:t>
      </w:r>
      <w:r>
        <w:t xml:space="preserve"> Committee on Payment and Settlement Systems and the Technical Committee of the International Organization of Securities Commissions, </w:t>
      </w:r>
      <w:r w:rsidRPr="003C5607">
        <w:rPr>
          <w:u w:val="single"/>
        </w:rPr>
        <w:t>Principles for Financial Market Infrastructures</w:t>
      </w:r>
      <w:r>
        <w:t xml:space="preserve"> (April 2012).</w:t>
      </w:r>
    </w:p>
    <w:p w:rsidR="00224407" w:rsidRDefault="00224407" w:rsidP="00224407">
      <w:pPr>
        <w:pStyle w:val="FootnoteText"/>
      </w:pPr>
    </w:p>
  </w:footnote>
  <w:footnote w:id="7">
    <w:p w:rsidR="00224407" w:rsidRDefault="00224407" w:rsidP="00224407">
      <w:pPr>
        <w:pStyle w:val="FootnoteText"/>
      </w:pPr>
      <w:r>
        <w:rPr>
          <w:rStyle w:val="FootnoteReference"/>
        </w:rPr>
        <w:footnoteRef/>
      </w:r>
      <w:r>
        <w:t xml:space="preserve"> As noted above, approval of this information collection is being sought as an amendment to collection 3038-0081.  </w:t>
      </w:r>
      <w:r w:rsidRPr="00190EB6">
        <w:rPr>
          <w:u w:val="single"/>
        </w:rPr>
        <w:t>See</w:t>
      </w:r>
      <w:r>
        <w:t xml:space="preserve"> section 1.a </w:t>
      </w:r>
      <w:r w:rsidRPr="00190EB6">
        <w:rPr>
          <w:u w:val="single"/>
        </w:rPr>
        <w:t>supra</w:t>
      </w:r>
      <w:r>
        <w:t>.</w:t>
      </w:r>
    </w:p>
    <w:p w:rsidR="00224407" w:rsidRPr="00190EB6" w:rsidRDefault="00224407" w:rsidP="00224407">
      <w:pPr>
        <w:pStyle w:val="FootnoteText"/>
        <w:rPr>
          <w:sz w:val="24"/>
          <w:szCs w:val="24"/>
        </w:rPr>
      </w:pPr>
    </w:p>
  </w:footnote>
  <w:footnote w:id="8">
    <w:p w:rsidR="00224407" w:rsidRDefault="00224407" w:rsidP="00224407">
      <w:pPr>
        <w:pStyle w:val="FootnoteText"/>
      </w:pPr>
      <w:r>
        <w:rPr>
          <w:rStyle w:val="FootnoteReference"/>
        </w:rPr>
        <w:footnoteRef/>
      </w:r>
      <w:r>
        <w:t xml:space="preserve"> Indeed, Subpart A an Subpart B were informed by the consultative report for the PFMIs.  </w:t>
      </w:r>
      <w:r w:rsidRPr="00835524">
        <w:rPr>
          <w:u w:val="single"/>
        </w:rPr>
        <w:t>See generally</w:t>
      </w:r>
      <w:r>
        <w:t xml:space="preserve"> 76 FR at 69334.  </w:t>
      </w:r>
    </w:p>
    <w:p w:rsidR="00224407" w:rsidRDefault="00224407" w:rsidP="00224407">
      <w:pPr>
        <w:pStyle w:val="FootnoteText"/>
      </w:pPr>
    </w:p>
  </w:footnote>
  <w:footnote w:id="9">
    <w:p w:rsidR="00224407" w:rsidRDefault="00224407" w:rsidP="00224407">
      <w:pPr>
        <w:pStyle w:val="FootnoteText"/>
      </w:pPr>
      <w:r>
        <w:rPr>
          <w:rStyle w:val="FootnoteReference"/>
        </w:rPr>
        <w:footnoteRef/>
      </w:r>
      <w:r>
        <w:t xml:space="preserve"> </w:t>
      </w:r>
      <w:r w:rsidRPr="00E021B0">
        <w:rPr>
          <w:u w:val="single"/>
        </w:rPr>
        <w:t>See</w:t>
      </w:r>
      <w:r>
        <w:t xml:space="preserve"> Section 1.b, n.4 </w:t>
      </w:r>
      <w:r w:rsidRPr="00E021B0">
        <w:rPr>
          <w:u w:val="single"/>
        </w:rPr>
        <w:t>supra</w:t>
      </w:r>
      <w:r>
        <w:t>.</w:t>
      </w:r>
    </w:p>
    <w:p w:rsidR="00224407" w:rsidRDefault="00224407" w:rsidP="00224407">
      <w:pPr>
        <w:pStyle w:val="FootnoteText"/>
      </w:pPr>
    </w:p>
  </w:footnote>
  <w:footnote w:id="10">
    <w:p w:rsidR="00224407" w:rsidRDefault="00224407" w:rsidP="00224407">
      <w:pPr>
        <w:pStyle w:val="FootnoteText"/>
      </w:pPr>
      <w:r>
        <w:rPr>
          <w:rStyle w:val="FootnoteReference"/>
        </w:rPr>
        <w:footnoteRef/>
      </w:r>
      <w:r>
        <w:t xml:space="preserve"> 10 employees x [.10 x 2,080 hours per year] x $75.00 per hours = $156,000.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000"/>
    <w:multiLevelType w:val="hybridMultilevel"/>
    <w:tmpl w:val="13203344"/>
    <w:lvl w:ilvl="0" w:tplc="4162B5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67C95"/>
    <w:multiLevelType w:val="hybridMultilevel"/>
    <w:tmpl w:val="3A4CDD58"/>
    <w:lvl w:ilvl="0" w:tplc="C4F6B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FF428E"/>
    <w:multiLevelType w:val="hybridMultilevel"/>
    <w:tmpl w:val="E586D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625C5"/>
    <w:multiLevelType w:val="hybridMultilevel"/>
    <w:tmpl w:val="F6802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03C50"/>
    <w:multiLevelType w:val="hybridMultilevel"/>
    <w:tmpl w:val="A8BA963C"/>
    <w:lvl w:ilvl="0" w:tplc="B01CD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A83D2B"/>
    <w:multiLevelType w:val="hybridMultilevel"/>
    <w:tmpl w:val="FEC45E16"/>
    <w:lvl w:ilvl="0" w:tplc="15D2A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601C17"/>
    <w:multiLevelType w:val="hybridMultilevel"/>
    <w:tmpl w:val="D73C9904"/>
    <w:lvl w:ilvl="0" w:tplc="2B522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F24193"/>
    <w:multiLevelType w:val="hybridMultilevel"/>
    <w:tmpl w:val="3402B90C"/>
    <w:lvl w:ilvl="0" w:tplc="25323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315FED"/>
    <w:multiLevelType w:val="hybridMultilevel"/>
    <w:tmpl w:val="EE92047A"/>
    <w:lvl w:ilvl="0" w:tplc="D758D0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7"/>
  </w:num>
  <w:num w:numId="4">
    <w:abstractNumId w:val="6"/>
  </w:num>
  <w:num w:numId="5">
    <w:abstractNumId w:val="8"/>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07"/>
    <w:rsid w:val="001014A4"/>
    <w:rsid w:val="00174AFD"/>
    <w:rsid w:val="001C6215"/>
    <w:rsid w:val="001D0298"/>
    <w:rsid w:val="001D24F6"/>
    <w:rsid w:val="00224407"/>
    <w:rsid w:val="00247300"/>
    <w:rsid w:val="002969FE"/>
    <w:rsid w:val="00306AD3"/>
    <w:rsid w:val="00337E4E"/>
    <w:rsid w:val="003C7748"/>
    <w:rsid w:val="004F1719"/>
    <w:rsid w:val="00643A4B"/>
    <w:rsid w:val="00721DDA"/>
    <w:rsid w:val="008441DB"/>
    <w:rsid w:val="00875B1B"/>
    <w:rsid w:val="00885A8A"/>
    <w:rsid w:val="00AA6516"/>
    <w:rsid w:val="00AC6398"/>
    <w:rsid w:val="00B023E2"/>
    <w:rsid w:val="00C773D3"/>
    <w:rsid w:val="00CD7AE9"/>
    <w:rsid w:val="00D15E60"/>
    <w:rsid w:val="00D57770"/>
    <w:rsid w:val="00E45C6E"/>
    <w:rsid w:val="00E7141B"/>
    <w:rsid w:val="00F67E55"/>
    <w:rsid w:val="00FA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0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224407"/>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224407"/>
    <w:rPr>
      <w:rFonts w:ascii="Times New Roman" w:eastAsia="Calibri" w:hAnsi="Times New Roman" w:cs="Times New Roman"/>
      <w:sz w:val="20"/>
      <w:szCs w:val="20"/>
    </w:rPr>
  </w:style>
  <w:style w:type="character" w:styleId="FootnoteReference">
    <w:name w:val="footnote reference"/>
    <w:aliases w:val="fr,Style 19,Style 16,Style 35"/>
    <w:uiPriority w:val="99"/>
    <w:unhideWhenUsed/>
    <w:rsid w:val="00224407"/>
    <w:rPr>
      <w:vertAlign w:val="superscript"/>
    </w:rPr>
  </w:style>
  <w:style w:type="paragraph" w:styleId="Footer">
    <w:name w:val="footer"/>
    <w:basedOn w:val="Normal"/>
    <w:link w:val="FooterChar"/>
    <w:uiPriority w:val="99"/>
    <w:rsid w:val="00224407"/>
    <w:pPr>
      <w:tabs>
        <w:tab w:val="center" w:pos="4680"/>
        <w:tab w:val="right" w:pos="9360"/>
      </w:tabs>
    </w:pPr>
  </w:style>
  <w:style w:type="character" w:customStyle="1" w:styleId="FooterChar">
    <w:name w:val="Footer Char"/>
    <w:basedOn w:val="DefaultParagraphFont"/>
    <w:link w:val="Footer"/>
    <w:uiPriority w:val="99"/>
    <w:rsid w:val="00224407"/>
    <w:rPr>
      <w:rFonts w:ascii="Times New Roman" w:eastAsia="Times New Roman" w:hAnsi="Times New Roman" w:cs="Times New Roman"/>
      <w:sz w:val="20"/>
      <w:szCs w:val="20"/>
    </w:rPr>
  </w:style>
  <w:style w:type="paragraph" w:styleId="ListParagraph">
    <w:name w:val="List Paragraph"/>
    <w:basedOn w:val="Normal"/>
    <w:uiPriority w:val="34"/>
    <w:qFormat/>
    <w:rsid w:val="00224407"/>
    <w:pPr>
      <w:ind w:left="720"/>
    </w:pPr>
  </w:style>
  <w:style w:type="character" w:styleId="CommentReference">
    <w:name w:val="annotation reference"/>
    <w:basedOn w:val="DefaultParagraphFont"/>
    <w:uiPriority w:val="99"/>
    <w:semiHidden/>
    <w:unhideWhenUsed/>
    <w:rsid w:val="001D0298"/>
    <w:rPr>
      <w:sz w:val="16"/>
      <w:szCs w:val="16"/>
    </w:rPr>
  </w:style>
  <w:style w:type="paragraph" w:styleId="CommentText">
    <w:name w:val="annotation text"/>
    <w:basedOn w:val="Normal"/>
    <w:link w:val="CommentTextChar"/>
    <w:uiPriority w:val="99"/>
    <w:semiHidden/>
    <w:unhideWhenUsed/>
    <w:rsid w:val="001D0298"/>
  </w:style>
  <w:style w:type="character" w:customStyle="1" w:styleId="CommentTextChar">
    <w:name w:val="Comment Text Char"/>
    <w:basedOn w:val="DefaultParagraphFont"/>
    <w:link w:val="CommentText"/>
    <w:uiPriority w:val="99"/>
    <w:semiHidden/>
    <w:rsid w:val="001D0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0298"/>
    <w:rPr>
      <w:b/>
      <w:bCs/>
    </w:rPr>
  </w:style>
  <w:style w:type="character" w:customStyle="1" w:styleId="CommentSubjectChar">
    <w:name w:val="Comment Subject Char"/>
    <w:basedOn w:val="CommentTextChar"/>
    <w:link w:val="CommentSubject"/>
    <w:uiPriority w:val="99"/>
    <w:semiHidden/>
    <w:rsid w:val="001D02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0298"/>
    <w:rPr>
      <w:rFonts w:ascii="Tahoma" w:hAnsi="Tahoma" w:cs="Tahoma"/>
      <w:sz w:val="16"/>
      <w:szCs w:val="16"/>
    </w:rPr>
  </w:style>
  <w:style w:type="character" w:customStyle="1" w:styleId="BalloonTextChar">
    <w:name w:val="Balloon Text Char"/>
    <w:basedOn w:val="DefaultParagraphFont"/>
    <w:link w:val="BalloonText"/>
    <w:uiPriority w:val="99"/>
    <w:semiHidden/>
    <w:rsid w:val="001D02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0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224407"/>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224407"/>
    <w:rPr>
      <w:rFonts w:ascii="Times New Roman" w:eastAsia="Calibri" w:hAnsi="Times New Roman" w:cs="Times New Roman"/>
      <w:sz w:val="20"/>
      <w:szCs w:val="20"/>
    </w:rPr>
  </w:style>
  <w:style w:type="character" w:styleId="FootnoteReference">
    <w:name w:val="footnote reference"/>
    <w:aliases w:val="fr,Style 19,Style 16,Style 35"/>
    <w:uiPriority w:val="99"/>
    <w:unhideWhenUsed/>
    <w:rsid w:val="00224407"/>
    <w:rPr>
      <w:vertAlign w:val="superscript"/>
    </w:rPr>
  </w:style>
  <w:style w:type="paragraph" w:styleId="Footer">
    <w:name w:val="footer"/>
    <w:basedOn w:val="Normal"/>
    <w:link w:val="FooterChar"/>
    <w:uiPriority w:val="99"/>
    <w:rsid w:val="00224407"/>
    <w:pPr>
      <w:tabs>
        <w:tab w:val="center" w:pos="4680"/>
        <w:tab w:val="right" w:pos="9360"/>
      </w:tabs>
    </w:pPr>
  </w:style>
  <w:style w:type="character" w:customStyle="1" w:styleId="FooterChar">
    <w:name w:val="Footer Char"/>
    <w:basedOn w:val="DefaultParagraphFont"/>
    <w:link w:val="Footer"/>
    <w:uiPriority w:val="99"/>
    <w:rsid w:val="00224407"/>
    <w:rPr>
      <w:rFonts w:ascii="Times New Roman" w:eastAsia="Times New Roman" w:hAnsi="Times New Roman" w:cs="Times New Roman"/>
      <w:sz w:val="20"/>
      <w:szCs w:val="20"/>
    </w:rPr>
  </w:style>
  <w:style w:type="paragraph" w:styleId="ListParagraph">
    <w:name w:val="List Paragraph"/>
    <w:basedOn w:val="Normal"/>
    <w:uiPriority w:val="34"/>
    <w:qFormat/>
    <w:rsid w:val="00224407"/>
    <w:pPr>
      <w:ind w:left="720"/>
    </w:pPr>
  </w:style>
  <w:style w:type="character" w:styleId="CommentReference">
    <w:name w:val="annotation reference"/>
    <w:basedOn w:val="DefaultParagraphFont"/>
    <w:uiPriority w:val="99"/>
    <w:semiHidden/>
    <w:unhideWhenUsed/>
    <w:rsid w:val="001D0298"/>
    <w:rPr>
      <w:sz w:val="16"/>
      <w:szCs w:val="16"/>
    </w:rPr>
  </w:style>
  <w:style w:type="paragraph" w:styleId="CommentText">
    <w:name w:val="annotation text"/>
    <w:basedOn w:val="Normal"/>
    <w:link w:val="CommentTextChar"/>
    <w:uiPriority w:val="99"/>
    <w:semiHidden/>
    <w:unhideWhenUsed/>
    <w:rsid w:val="001D0298"/>
  </w:style>
  <w:style w:type="character" w:customStyle="1" w:styleId="CommentTextChar">
    <w:name w:val="Comment Text Char"/>
    <w:basedOn w:val="DefaultParagraphFont"/>
    <w:link w:val="CommentText"/>
    <w:uiPriority w:val="99"/>
    <w:semiHidden/>
    <w:rsid w:val="001D0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0298"/>
    <w:rPr>
      <w:b/>
      <w:bCs/>
    </w:rPr>
  </w:style>
  <w:style w:type="character" w:customStyle="1" w:styleId="CommentSubjectChar">
    <w:name w:val="Comment Subject Char"/>
    <w:basedOn w:val="CommentTextChar"/>
    <w:link w:val="CommentSubject"/>
    <w:uiPriority w:val="99"/>
    <w:semiHidden/>
    <w:rsid w:val="001D02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0298"/>
    <w:rPr>
      <w:rFonts w:ascii="Tahoma" w:hAnsi="Tahoma" w:cs="Tahoma"/>
      <w:sz w:val="16"/>
      <w:szCs w:val="16"/>
    </w:rPr>
  </w:style>
  <w:style w:type="character" w:customStyle="1" w:styleId="BalloonTextChar">
    <w:name w:val="Balloon Text Char"/>
    <w:basedOn w:val="DefaultParagraphFont"/>
    <w:link w:val="BalloonText"/>
    <w:uiPriority w:val="99"/>
    <w:semiHidden/>
    <w:rsid w:val="001D02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3691</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Wingate, Tracey</dc:creator>
  <cp:lastModifiedBy>SYSTEM</cp:lastModifiedBy>
  <cp:revision>2</cp:revision>
  <dcterms:created xsi:type="dcterms:W3CDTF">2017-07-27T15:00:00Z</dcterms:created>
  <dcterms:modified xsi:type="dcterms:W3CDTF">2017-07-27T15:00:00Z</dcterms:modified>
</cp:coreProperties>
</file>