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20DF2" w14:textId="77777777" w:rsidR="00E4751A" w:rsidRPr="0039588E" w:rsidRDefault="00E4751A" w:rsidP="00534B6B">
      <w:pPr>
        <w:suppressAutoHyphens/>
        <w:jc w:val="center"/>
        <w:rPr>
          <w:rFonts w:ascii="Times New Roman" w:hAnsi="Times New Roman"/>
          <w:b/>
        </w:rPr>
      </w:pPr>
      <w:bookmarkStart w:id="0" w:name="_GoBack"/>
      <w:bookmarkEnd w:id="0"/>
      <w:r w:rsidRPr="0039588E">
        <w:rPr>
          <w:rFonts w:ascii="Times New Roman" w:hAnsi="Times New Roman"/>
          <w:b/>
        </w:rPr>
        <w:t>SUPPORTING STATEMENT FOR NEW AND</w:t>
      </w:r>
    </w:p>
    <w:p w14:paraId="6A4DB2B6" w14:textId="77777777" w:rsidR="00E4751A" w:rsidRPr="0039588E" w:rsidRDefault="00E4751A" w:rsidP="00534B6B">
      <w:pPr>
        <w:suppressAutoHyphens/>
        <w:spacing w:after="240"/>
        <w:jc w:val="center"/>
        <w:rPr>
          <w:rFonts w:ascii="Times New Roman" w:hAnsi="Times New Roman"/>
          <w:b/>
        </w:rPr>
      </w:pPr>
      <w:r w:rsidRPr="0039588E">
        <w:rPr>
          <w:rFonts w:ascii="Times New Roman" w:hAnsi="Times New Roman"/>
          <w:b/>
        </w:rPr>
        <w:t>REVISED INFORMATION COLLECTIONS</w:t>
      </w:r>
    </w:p>
    <w:p w14:paraId="41CDD9FE" w14:textId="22491028" w:rsidR="00E4751A" w:rsidRPr="0039588E" w:rsidRDefault="00E4751A" w:rsidP="00534B6B">
      <w:pPr>
        <w:tabs>
          <w:tab w:val="center" w:pos="4680"/>
        </w:tabs>
        <w:suppressAutoHyphens/>
        <w:spacing w:after="240"/>
        <w:jc w:val="center"/>
        <w:rPr>
          <w:rFonts w:ascii="Times New Roman" w:hAnsi="Times New Roman"/>
          <w:b/>
        </w:rPr>
      </w:pPr>
      <w:r w:rsidRPr="0039588E">
        <w:rPr>
          <w:rFonts w:ascii="Times New Roman" w:hAnsi="Times New Roman"/>
          <w:b/>
        </w:rPr>
        <w:t>OMB CONTROL NUMBER 3038-00</w:t>
      </w:r>
      <w:r w:rsidR="00355EE3">
        <w:rPr>
          <w:rFonts w:ascii="Times New Roman" w:hAnsi="Times New Roman"/>
          <w:b/>
        </w:rPr>
        <w:t>75</w:t>
      </w:r>
    </w:p>
    <w:p w14:paraId="1130B201" w14:textId="77777777" w:rsidR="00E4751A" w:rsidRPr="0039588E" w:rsidRDefault="00E4751A" w:rsidP="00534B6B">
      <w:pPr>
        <w:pStyle w:val="Heading1"/>
        <w:keepNext w:val="0"/>
        <w:spacing w:after="240"/>
        <w:rPr>
          <w:rFonts w:ascii="Times New Roman" w:hAnsi="Times New Roman"/>
          <w:szCs w:val="24"/>
        </w:rPr>
      </w:pPr>
      <w:r w:rsidRPr="0039588E">
        <w:rPr>
          <w:rFonts w:ascii="Times New Roman" w:hAnsi="Times New Roman"/>
          <w:szCs w:val="24"/>
        </w:rPr>
        <w:t>Justification</w:t>
      </w:r>
    </w:p>
    <w:p w14:paraId="142983D8" w14:textId="77777777"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b/>
        </w:rPr>
        <w:t>1.</w:t>
      </w:r>
      <w:r w:rsidRPr="0039588E">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77A6AA" w14:textId="18B68D6F" w:rsidR="005C6005" w:rsidRDefault="00E4751A" w:rsidP="00D076E7">
      <w:pPr>
        <w:pStyle w:val="Default"/>
        <w:rPr>
          <w:rFonts w:ascii="Times New Roman" w:hAnsi="Times New Roman" w:cs="Times New Roman"/>
        </w:rPr>
      </w:pPr>
      <w:r w:rsidRPr="0039588E">
        <w:rPr>
          <w:rFonts w:ascii="Times New Roman" w:hAnsi="Times New Roman" w:cs="Times New Roman"/>
        </w:rPr>
        <w:tab/>
      </w:r>
      <w:r w:rsidR="00D076E7" w:rsidRPr="00D076E7">
        <w:rPr>
          <w:rFonts w:ascii="Times New Roman" w:hAnsi="Times New Roman" w:cs="Times New Roman"/>
        </w:rPr>
        <w:t>On November 6, 2013, the Commission issued final rules implementing statutory provisions pursuant to Title VII of the Dodd-Frank Wall Street Reform and Consumer Protection Act (“Dodd-Frank Act”) and imposing requirements on SDs and MSPs with respect to the treatment of collateral posted by their counterparties to margin, guarante</w:t>
      </w:r>
      <w:r w:rsidR="005C6005">
        <w:rPr>
          <w:rFonts w:ascii="Times New Roman" w:hAnsi="Times New Roman" w:cs="Times New Roman"/>
        </w:rPr>
        <w:t>e, or secure uncleared swaps.</w:t>
      </w:r>
      <w:r w:rsidR="005C6005">
        <w:rPr>
          <w:rStyle w:val="FootnoteReference"/>
          <w:rFonts w:ascii="Times New Roman" w:hAnsi="Times New Roman"/>
        </w:rPr>
        <w:footnoteReference w:id="2"/>
      </w:r>
      <w:r w:rsidR="005C6005">
        <w:rPr>
          <w:rFonts w:ascii="Times New Roman" w:hAnsi="Times New Roman" w:cs="Times New Roman"/>
        </w:rPr>
        <w:t xml:space="preserve">  </w:t>
      </w:r>
      <w:r w:rsidR="00D076E7" w:rsidRPr="00D076E7">
        <w:rPr>
          <w:rFonts w:ascii="Times New Roman" w:hAnsi="Times New Roman" w:cs="Times New Roman"/>
        </w:rPr>
        <w:t>Additionally, the final rule includes revisions to ensure that, for purposes of subchapter IV of chapter 7 of the Bankruptcy Code, securities held in a portfolio margining account that is a futures account or a Cleared Swaps Customer Account constitute “customer property”; and owners of such acc</w:t>
      </w:r>
      <w:r w:rsidR="005C6005">
        <w:rPr>
          <w:rFonts w:ascii="Times New Roman" w:hAnsi="Times New Roman" w:cs="Times New Roman"/>
        </w:rPr>
        <w:t>ounts constitute “customers.”</w:t>
      </w:r>
      <w:r w:rsidR="005C6005">
        <w:rPr>
          <w:rStyle w:val="FootnoteReference"/>
          <w:rFonts w:ascii="Times New Roman" w:hAnsi="Times New Roman"/>
        </w:rPr>
        <w:footnoteReference w:id="3"/>
      </w:r>
      <w:r w:rsidR="005C6005">
        <w:rPr>
          <w:rFonts w:ascii="Times New Roman" w:hAnsi="Times New Roman" w:cs="Times New Roman"/>
        </w:rPr>
        <w:t xml:space="preserve">  </w:t>
      </w:r>
    </w:p>
    <w:p w14:paraId="02BD807B" w14:textId="2E5C9B17" w:rsidR="005C6005" w:rsidRDefault="005C6005" w:rsidP="00D076E7">
      <w:pPr>
        <w:pStyle w:val="Default"/>
        <w:rPr>
          <w:rFonts w:ascii="Times New Roman" w:hAnsi="Times New Roman" w:cs="Times New Roman"/>
        </w:rPr>
      </w:pPr>
    </w:p>
    <w:p w14:paraId="3AF69A11" w14:textId="118EFCCF" w:rsidR="005C6005" w:rsidRPr="00D076E7" w:rsidRDefault="00D53BFC" w:rsidP="002C3C47">
      <w:pPr>
        <w:pStyle w:val="Default"/>
        <w:ind w:firstLine="720"/>
        <w:rPr>
          <w:rFonts w:ascii="Times New Roman" w:hAnsi="Times New Roman" w:cs="Times New Roman"/>
        </w:rPr>
      </w:pPr>
      <w:r>
        <w:rPr>
          <w:rFonts w:ascii="Times New Roman" w:hAnsi="Times New Roman" w:cs="Times New Roman"/>
        </w:rPr>
        <w:t>Specifically, s</w:t>
      </w:r>
      <w:r w:rsidR="00F24DCA" w:rsidRPr="00081AFB">
        <w:rPr>
          <w:rFonts w:ascii="Times New Roman" w:hAnsi="Times New Roman" w:cs="Times New Roman"/>
        </w:rPr>
        <w:t>ection 724(c) of the Dodd-Frank Act amen</w:t>
      </w:r>
      <w:r w:rsidR="00F24DCA">
        <w:rPr>
          <w:rFonts w:ascii="Times New Roman" w:hAnsi="Times New Roman" w:cs="Times New Roman"/>
        </w:rPr>
        <w:t>ded</w:t>
      </w:r>
      <w:r w:rsidR="00F24DCA" w:rsidRPr="00081AFB">
        <w:rPr>
          <w:rFonts w:ascii="Times New Roman" w:hAnsi="Times New Roman" w:cs="Times New Roman"/>
        </w:rPr>
        <w:t xml:space="preserve"> the </w:t>
      </w:r>
      <w:r w:rsidR="00F24DCA">
        <w:rPr>
          <w:rFonts w:ascii="Times New Roman" w:hAnsi="Times New Roman" w:cs="Times New Roman"/>
        </w:rPr>
        <w:t>Commodity Exchange Act (“</w:t>
      </w:r>
      <w:r w:rsidR="00F24DCA" w:rsidRPr="00081AFB">
        <w:rPr>
          <w:rFonts w:ascii="Times New Roman" w:hAnsi="Times New Roman" w:cs="Times New Roman"/>
        </w:rPr>
        <w:t>CEA</w:t>
      </w:r>
      <w:r w:rsidR="00F24DCA">
        <w:rPr>
          <w:rFonts w:ascii="Times New Roman" w:hAnsi="Times New Roman" w:cs="Times New Roman"/>
        </w:rPr>
        <w:t>”)</w:t>
      </w:r>
      <w:r w:rsidR="00F24DCA" w:rsidRPr="00081AFB">
        <w:rPr>
          <w:rFonts w:ascii="Times New Roman" w:hAnsi="Times New Roman" w:cs="Times New Roman"/>
        </w:rPr>
        <w:t xml:space="preserve"> to add, as section 4s(l) thereof,</w:t>
      </w:r>
      <w:r w:rsidR="00F24DCA">
        <w:rPr>
          <w:rFonts w:ascii="Times New Roman" w:hAnsi="Times New Roman" w:cs="Times New Roman"/>
        </w:rPr>
        <w:t xml:space="preserve"> 7 U.S.C. § 6s(l),</w:t>
      </w:r>
      <w:r w:rsidR="00F24DCA" w:rsidRPr="00081AFB">
        <w:rPr>
          <w:rFonts w:ascii="Times New Roman" w:hAnsi="Times New Roman" w:cs="Times New Roman"/>
        </w:rPr>
        <w:t xml:space="preserve"> provisions concerning th</w:t>
      </w:r>
      <w:r w:rsidR="00F24DCA">
        <w:rPr>
          <w:rFonts w:ascii="Times New Roman" w:hAnsi="Times New Roman" w:cs="Times New Roman"/>
        </w:rPr>
        <w:t xml:space="preserve">e rights of counterparties to </w:t>
      </w:r>
      <w:r w:rsidR="00F24DCA" w:rsidRPr="00081AFB">
        <w:rPr>
          <w:rFonts w:ascii="Times New Roman" w:hAnsi="Times New Roman" w:cs="Times New Roman"/>
        </w:rPr>
        <w:t>s</w:t>
      </w:r>
      <w:r w:rsidR="00F24DCA">
        <w:rPr>
          <w:rFonts w:ascii="Times New Roman" w:hAnsi="Times New Roman" w:cs="Times New Roman"/>
        </w:rPr>
        <w:t>wap dealers (“SDs”)</w:t>
      </w:r>
      <w:r w:rsidR="00F24DCA" w:rsidRPr="00081AFB">
        <w:rPr>
          <w:rFonts w:ascii="Times New Roman" w:hAnsi="Times New Roman" w:cs="Times New Roman"/>
        </w:rPr>
        <w:t xml:space="preserve"> and </w:t>
      </w:r>
      <w:r w:rsidR="00F24DCA">
        <w:rPr>
          <w:rFonts w:ascii="Times New Roman" w:hAnsi="Times New Roman" w:cs="Times New Roman"/>
        </w:rPr>
        <w:t>major swap participants (“</w:t>
      </w:r>
      <w:r w:rsidR="00F24DCA" w:rsidRPr="00081AFB">
        <w:rPr>
          <w:rFonts w:ascii="Times New Roman" w:hAnsi="Times New Roman" w:cs="Times New Roman"/>
        </w:rPr>
        <w:t>MSPs</w:t>
      </w:r>
      <w:r w:rsidR="00F24DCA">
        <w:rPr>
          <w:rFonts w:ascii="Times New Roman" w:hAnsi="Times New Roman" w:cs="Times New Roman"/>
        </w:rPr>
        <w:t>”)</w:t>
      </w:r>
      <w:r w:rsidR="00F24DCA" w:rsidRPr="00081AFB">
        <w:rPr>
          <w:rFonts w:ascii="Times New Roman" w:hAnsi="Times New Roman" w:cs="Times New Roman"/>
        </w:rPr>
        <w:t xml:space="preserve"> with respect to the segregation of collateral supplied for margining, guaranteeing, or securing uncleared swaps.</w:t>
      </w:r>
      <w:r w:rsidR="00F24DCA">
        <w:rPr>
          <w:rFonts w:ascii="Times New Roman" w:hAnsi="Times New Roman" w:cs="Times New Roman"/>
        </w:rPr>
        <w:t xml:space="preserve">  </w:t>
      </w:r>
      <w:r w:rsidR="00D076E7" w:rsidRPr="00D076E7">
        <w:rPr>
          <w:rFonts w:ascii="Times New Roman" w:hAnsi="Times New Roman" w:cs="Times New Roman"/>
        </w:rPr>
        <w:t xml:space="preserve">Section 4s(l) of the CEA sets forth certain requirements concerning the rights of counterparties of SDs and MSPs with respect to the segregation of money, securities, or other property used to margin, guarantee, or otherwise secure uncleared swaps.  Regulation 23.701 implements part of the statutory requirements by specifying that certain information must be provided to counterparties about the terms and conditions of segregation, including price information, to the extent that the SD or MSP has such information, and the identity of one or more independent depositories for segregated collateral.  Regulation 23.704 implements the requirements of CEA Section 4s(l)(4), which dictates that, in certain circumstances, an SD or MSP must report to the counterparty, on a quarterly basis, “that the back office procedures of the swap dealer or major swap participant relating to margin and collateral requirements are in compliance with the agreement of the counterparties.”  </w:t>
      </w:r>
    </w:p>
    <w:p w14:paraId="18F893A1" w14:textId="77777777" w:rsidR="00E4751A" w:rsidRPr="0039588E" w:rsidRDefault="00E4751A" w:rsidP="00AA70DB">
      <w:pPr>
        <w:pStyle w:val="Default"/>
        <w:rPr>
          <w:rFonts w:ascii="Times New Roman" w:hAnsi="Times New Roman" w:cs="Times New Roman"/>
        </w:rPr>
      </w:pPr>
    </w:p>
    <w:p w14:paraId="134452CB"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2.</w:t>
      </w:r>
      <w:r w:rsidRPr="0039588E">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55365892" w14:textId="77777777" w:rsidR="005C6005" w:rsidRDefault="005C6005" w:rsidP="005C6005">
      <w:pPr>
        <w:pStyle w:val="Default"/>
        <w:ind w:firstLine="720"/>
        <w:rPr>
          <w:rFonts w:ascii="Times New Roman" w:hAnsi="Times New Roman" w:cs="Times New Roman"/>
        </w:rPr>
      </w:pPr>
    </w:p>
    <w:p w14:paraId="7DE4AFF3" w14:textId="540779C3" w:rsidR="005C6005" w:rsidRDefault="005C6005" w:rsidP="005C6005">
      <w:pPr>
        <w:pStyle w:val="Default"/>
        <w:ind w:firstLine="720"/>
        <w:rPr>
          <w:rFonts w:ascii="Times New Roman" w:hAnsi="Times New Roman" w:cs="Times New Roman"/>
        </w:rPr>
      </w:pPr>
      <w:r w:rsidRPr="00D076E7">
        <w:rPr>
          <w:rFonts w:ascii="Times New Roman" w:hAnsi="Times New Roman" w:cs="Times New Roman"/>
        </w:rPr>
        <w:lastRenderedPageBreak/>
        <w:t xml:space="preserve">As discussed above, the rules establish </w:t>
      </w:r>
      <w:r w:rsidR="00311F90">
        <w:rPr>
          <w:rFonts w:ascii="Times New Roman" w:hAnsi="Times New Roman" w:cs="Times New Roman"/>
        </w:rPr>
        <w:t xml:space="preserve">third party disclosure </w:t>
      </w:r>
      <w:r w:rsidRPr="00D076E7">
        <w:rPr>
          <w:rFonts w:ascii="Times New Roman" w:hAnsi="Times New Roman" w:cs="Times New Roman"/>
        </w:rPr>
        <w:t xml:space="preserve">requirements that are mandated by Section 4s(l) of the CEA, which states that SDs and MSPs must notify their counterparties of the right to have their initial margin segregated and to maintain the confirmations and elections related to such notices as business records.  The </w:t>
      </w:r>
      <w:r w:rsidR="00311F90">
        <w:rPr>
          <w:rFonts w:ascii="Times New Roman" w:hAnsi="Times New Roman" w:cs="Times New Roman"/>
        </w:rPr>
        <w:t>third party disclosure</w:t>
      </w:r>
      <w:r w:rsidRPr="00D076E7">
        <w:rPr>
          <w:rFonts w:ascii="Times New Roman" w:hAnsi="Times New Roman" w:cs="Times New Roman"/>
        </w:rPr>
        <w:t xml:space="preserve"> requirements are necessary to implement the objectives of Section 4s(1).  </w:t>
      </w:r>
      <w:r w:rsidRPr="0039588E">
        <w:rPr>
          <w:rFonts w:ascii="Times New Roman" w:hAnsi="Times New Roman"/>
        </w:rPr>
        <w:t xml:space="preserve">The data required to be compiled and maintained pursuant to </w:t>
      </w:r>
      <w:r>
        <w:rPr>
          <w:rFonts w:ascii="Times New Roman" w:hAnsi="Times New Roman"/>
        </w:rPr>
        <w:t xml:space="preserve">regulation 23.701 and 23.704 would be used by uncleared swap counterparties </w:t>
      </w:r>
      <w:r w:rsidRPr="0039588E">
        <w:rPr>
          <w:rFonts w:ascii="Times New Roman" w:hAnsi="Times New Roman"/>
        </w:rPr>
        <w:t>(and, in some instances, the CFTC and self-regulatory organizations).</w:t>
      </w:r>
    </w:p>
    <w:p w14:paraId="11751F16" w14:textId="77777777" w:rsidR="005C6005" w:rsidRDefault="005C6005" w:rsidP="005C6005">
      <w:pPr>
        <w:pStyle w:val="Default"/>
        <w:ind w:firstLine="720"/>
        <w:rPr>
          <w:rFonts w:ascii="Times New Roman" w:hAnsi="Times New Roman" w:cs="Times New Roman"/>
        </w:rPr>
      </w:pPr>
    </w:p>
    <w:p w14:paraId="22AFBD0A" w14:textId="132A28F5" w:rsidR="00E4751A" w:rsidRPr="005C6005" w:rsidRDefault="005C6005" w:rsidP="002C3C47">
      <w:pPr>
        <w:pStyle w:val="Default"/>
        <w:ind w:firstLine="720"/>
        <w:rPr>
          <w:rFonts w:ascii="Times New Roman" w:hAnsi="Times New Roman"/>
        </w:rPr>
      </w:pPr>
      <w:r w:rsidRPr="00D076E7">
        <w:rPr>
          <w:rFonts w:ascii="Times New Roman" w:hAnsi="Times New Roman" w:cs="Times New Roman"/>
        </w:rPr>
        <w:t>For example, the information received by uncleared swap counterparties pursuant to Regulation 23.701 would alert counterparties to their statutory right, if they so choose, to have funds or property used as margin in uncleared swaps transactions with SDs and MSPs kept segregated from the property of the SD or MSP.  Likewise, the information provided would further alert counterparties of the need to request such segregation if they wish to exercise this right.  Sim</w:t>
      </w:r>
      <w:r w:rsidR="0015362C">
        <w:rPr>
          <w:rFonts w:ascii="Times New Roman" w:hAnsi="Times New Roman" w:cs="Times New Roman"/>
        </w:rPr>
        <w:t>i</w:t>
      </w:r>
      <w:r w:rsidRPr="00D076E7">
        <w:rPr>
          <w:rFonts w:ascii="Times New Roman" w:hAnsi="Times New Roman" w:cs="Times New Roman"/>
        </w:rPr>
        <w:t xml:space="preserve">larly, the information received by uncleared swap counterparties pursuant to Regulation 23.704 would be used to confirm that the back office procedures followed by a SD or MSP with whom they are dealing comply with the agreement of the parties.  </w:t>
      </w:r>
    </w:p>
    <w:p w14:paraId="5A00C0F1" w14:textId="60115795" w:rsidR="00E4751A" w:rsidRPr="0039588E" w:rsidRDefault="00E4751A" w:rsidP="00F46EB1">
      <w:pPr>
        <w:ind w:firstLine="720"/>
        <w:rPr>
          <w:rFonts w:ascii="Times New Roman" w:hAnsi="Times New Roman"/>
          <w:color w:val="000000"/>
        </w:rPr>
      </w:pPr>
      <w:r w:rsidRPr="0039588E">
        <w:rPr>
          <w:rFonts w:ascii="Times New Roman" w:hAnsi="Times New Roman"/>
          <w:color w:val="000000"/>
        </w:rPr>
        <w:tab/>
      </w:r>
    </w:p>
    <w:p w14:paraId="69F6B5BD"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3.</w:t>
      </w:r>
      <w:r w:rsidRPr="0039588E">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8A70BD9" w14:textId="3F47A7E7" w:rsidR="00E4751A" w:rsidRPr="0039588E" w:rsidRDefault="00E4751A" w:rsidP="00534B6B">
      <w:pPr>
        <w:tabs>
          <w:tab w:val="left" w:pos="-720"/>
          <w:tab w:val="left" w:pos="0"/>
        </w:tabs>
        <w:spacing w:after="240"/>
        <w:rPr>
          <w:rFonts w:ascii="Times New Roman" w:hAnsi="Times New Roman"/>
        </w:rPr>
      </w:pPr>
      <w:r w:rsidRPr="0039588E">
        <w:rPr>
          <w:rFonts w:ascii="Times New Roman" w:hAnsi="Times New Roman"/>
        </w:rPr>
        <w:tab/>
        <w:t xml:space="preserve">The collections of information required by </w:t>
      </w:r>
      <w:r w:rsidR="001160D1">
        <w:rPr>
          <w:rFonts w:ascii="Times New Roman" w:hAnsi="Times New Roman"/>
        </w:rPr>
        <w:t xml:space="preserve">regulations 23.701 and 23.704 </w:t>
      </w:r>
      <w:r w:rsidR="003554FA" w:rsidRPr="0039588E">
        <w:rPr>
          <w:rFonts w:ascii="Times New Roman" w:hAnsi="Times New Roman"/>
        </w:rPr>
        <w:t>may</w:t>
      </w:r>
      <w:r w:rsidRPr="0039588E">
        <w:rPr>
          <w:rFonts w:ascii="Times New Roman" w:hAnsi="Times New Roman"/>
        </w:rPr>
        <w:t xml:space="preserve"> be conducted electronically.  </w:t>
      </w:r>
      <w:r w:rsidRPr="0039588E">
        <w:rPr>
          <w:rFonts w:ascii="Times New Roman" w:hAnsi="Times New Roman"/>
        </w:rPr>
        <w:tab/>
      </w:r>
    </w:p>
    <w:p w14:paraId="7B7E44CB"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4.</w:t>
      </w:r>
      <w:r w:rsidRPr="0039588E">
        <w:rPr>
          <w:rFonts w:ascii="Times New Roman" w:hAnsi="Times New Roman"/>
          <w:b/>
        </w:rPr>
        <w:tab/>
        <w:t>Describe efforts to identify duplication.  Show specifically why any similar information already available cannot be used or modified for use for the purposes described in Item 2 above.</w:t>
      </w:r>
    </w:p>
    <w:p w14:paraId="36220C18" w14:textId="0DEAF698" w:rsidR="00E4751A" w:rsidRPr="0039588E" w:rsidRDefault="00E32DFA" w:rsidP="00534B6B">
      <w:pPr>
        <w:tabs>
          <w:tab w:val="left" w:pos="-720"/>
        </w:tabs>
        <w:spacing w:after="240"/>
        <w:rPr>
          <w:rFonts w:ascii="Times New Roman" w:hAnsi="Times New Roman"/>
        </w:rPr>
      </w:pPr>
      <w:r w:rsidRPr="0039588E">
        <w:rPr>
          <w:rFonts w:ascii="Times New Roman" w:hAnsi="Times New Roman"/>
        </w:rPr>
        <w:tab/>
        <w:t>The</w:t>
      </w:r>
      <w:r w:rsidR="00E4751A" w:rsidRPr="0039588E">
        <w:rPr>
          <w:rFonts w:ascii="Times New Roman" w:hAnsi="Times New Roman"/>
        </w:rPr>
        <w:t xml:space="preserve"> collections of information do not duplicate any existing collection of inf</w:t>
      </w:r>
      <w:r w:rsidRPr="0039588E">
        <w:rPr>
          <w:rFonts w:ascii="Times New Roman" w:hAnsi="Times New Roman"/>
        </w:rPr>
        <w:t xml:space="preserve">ormation.  </w:t>
      </w:r>
      <w:r w:rsidR="00E4751A" w:rsidRPr="0039588E">
        <w:rPr>
          <w:rFonts w:ascii="Times New Roman" w:hAnsi="Times New Roman"/>
        </w:rPr>
        <w:t>No laws or regulations requiring similar collections of information involving the relevant entities currently exist.</w:t>
      </w:r>
    </w:p>
    <w:p w14:paraId="5336C138"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5.</w:t>
      </w:r>
      <w:r w:rsidRPr="0039588E">
        <w:rPr>
          <w:rFonts w:ascii="Times New Roman" w:hAnsi="Times New Roman"/>
          <w:b/>
        </w:rPr>
        <w:tab/>
        <w:t>If the collection of information involves small business or other small entities (Item 5 of OMB From 83-I), describe the methods used to minimize burden.</w:t>
      </w:r>
    </w:p>
    <w:p w14:paraId="769F6CA3" w14:textId="2CB57A04"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This collection of information will not have a significant impact on a substantial number of small entities.</w:t>
      </w:r>
    </w:p>
    <w:p w14:paraId="5D17AD9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6.</w:t>
      </w:r>
      <w:r w:rsidRPr="0039588E">
        <w:rPr>
          <w:rFonts w:ascii="Times New Roman" w:hAnsi="Times New Roman"/>
          <w:b/>
        </w:rPr>
        <w:tab/>
        <w:t>Describe the consequence to the Federal Program or policy activities if the collection were conducted less frequently as well as any technical or legal obstacles to reducing burden.</w:t>
      </w:r>
    </w:p>
    <w:p w14:paraId="706C385F" w14:textId="3DD707D4" w:rsidR="00E4751A" w:rsidRPr="0039588E" w:rsidRDefault="00E4751A" w:rsidP="00950325">
      <w:pPr>
        <w:ind w:firstLine="720"/>
        <w:rPr>
          <w:rFonts w:ascii="Times New Roman" w:hAnsi="Times New Roman"/>
          <w:color w:val="000000"/>
        </w:rPr>
      </w:pPr>
      <w:r w:rsidRPr="0039588E">
        <w:rPr>
          <w:rFonts w:ascii="Times New Roman" w:hAnsi="Times New Roman"/>
        </w:rPr>
        <w:t>If the collection</w:t>
      </w:r>
      <w:r w:rsidR="00827F4D">
        <w:rPr>
          <w:rFonts w:ascii="Times New Roman" w:hAnsi="Times New Roman"/>
        </w:rPr>
        <w:t>s</w:t>
      </w:r>
      <w:r w:rsidRPr="0039588E">
        <w:rPr>
          <w:rFonts w:ascii="Times New Roman" w:hAnsi="Times New Roman"/>
        </w:rPr>
        <w:t xml:space="preserve"> of information required by </w:t>
      </w:r>
      <w:r w:rsidR="00827F4D">
        <w:rPr>
          <w:rFonts w:ascii="Times New Roman" w:hAnsi="Times New Roman"/>
        </w:rPr>
        <w:t xml:space="preserve">regulation 23.701 and 23.704 </w:t>
      </w:r>
      <w:r w:rsidRPr="0039588E">
        <w:rPr>
          <w:rFonts w:ascii="Times New Roman" w:hAnsi="Times New Roman"/>
        </w:rPr>
        <w:t xml:space="preserve">were performed less frequently it would not effectively serve the function of </w:t>
      </w:r>
      <w:r w:rsidRPr="0039588E">
        <w:rPr>
          <w:rFonts w:ascii="Times New Roman" w:hAnsi="Times New Roman"/>
          <w:color w:val="000000"/>
        </w:rPr>
        <w:t xml:space="preserve">helping to ensure that </w:t>
      </w:r>
      <w:r w:rsidR="00827F4D">
        <w:rPr>
          <w:rFonts w:ascii="Times New Roman" w:hAnsi="Times New Roman"/>
          <w:color w:val="000000"/>
        </w:rPr>
        <w:t>counterparties receive the information and protections that they are required to receive under the CEA</w:t>
      </w:r>
      <w:r w:rsidRPr="0039588E">
        <w:rPr>
          <w:rFonts w:ascii="Times New Roman" w:hAnsi="Times New Roman"/>
          <w:color w:val="000000"/>
        </w:rPr>
        <w:t>.</w:t>
      </w:r>
      <w:r w:rsidR="00FF10F1" w:rsidRPr="0039588E">
        <w:rPr>
          <w:rFonts w:ascii="Times New Roman" w:hAnsi="Times New Roman"/>
          <w:color w:val="000000"/>
        </w:rPr>
        <w:t xml:space="preserve">  </w:t>
      </w:r>
    </w:p>
    <w:p w14:paraId="02BB9AA3" w14:textId="77777777" w:rsidR="00000FBD" w:rsidRPr="0039588E" w:rsidRDefault="00000FBD" w:rsidP="00950325">
      <w:pPr>
        <w:ind w:firstLine="720"/>
        <w:rPr>
          <w:rFonts w:ascii="Times New Roman" w:hAnsi="Times New Roman"/>
          <w:color w:val="000000"/>
        </w:rPr>
      </w:pPr>
    </w:p>
    <w:p w14:paraId="722817EF"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7.</w:t>
      </w:r>
      <w:r w:rsidRPr="0039588E">
        <w:rPr>
          <w:rFonts w:ascii="Times New Roman" w:hAnsi="Times New Roman"/>
          <w:b/>
        </w:rPr>
        <w:tab/>
        <w:t>Explain any special circumstances that require the collection to be conducted in a manner:</w:t>
      </w:r>
    </w:p>
    <w:p w14:paraId="072B18ED"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report information to the agency more often than quarterly;</w:t>
      </w:r>
    </w:p>
    <w:p w14:paraId="45C15148" w14:textId="21B3DE46" w:rsidR="00642B6A" w:rsidRPr="0039588E" w:rsidRDefault="00642B6A" w:rsidP="00642B6A">
      <w:pPr>
        <w:tabs>
          <w:tab w:val="left" w:pos="-720"/>
        </w:tabs>
        <w:spacing w:after="240"/>
        <w:rPr>
          <w:rFonts w:ascii="Times New Roman" w:hAnsi="Times New Roman"/>
        </w:rPr>
      </w:pPr>
      <w:r w:rsidRPr="0039588E">
        <w:rPr>
          <w:rFonts w:ascii="Times New Roman" w:hAnsi="Times New Roman"/>
        </w:rPr>
        <w:tab/>
      </w:r>
      <w:r w:rsidR="00CE5720">
        <w:rPr>
          <w:rFonts w:ascii="Times New Roman" w:hAnsi="Times New Roman"/>
        </w:rPr>
        <w:t xml:space="preserve">The collections under regulations 23.701 do not require respondents to report information </w:t>
      </w:r>
      <w:r w:rsidR="004771B9">
        <w:rPr>
          <w:rFonts w:ascii="Times New Roman" w:hAnsi="Times New Roman"/>
        </w:rPr>
        <w:t xml:space="preserve">to the agency </w:t>
      </w:r>
      <w:r w:rsidR="002B0CBB">
        <w:rPr>
          <w:rFonts w:ascii="Times New Roman" w:hAnsi="Times New Roman"/>
        </w:rPr>
        <w:t>more often than quarterly</w:t>
      </w:r>
      <w:r w:rsidR="00311F90">
        <w:rPr>
          <w:rFonts w:ascii="Times New Roman" w:hAnsi="Times New Roman"/>
        </w:rPr>
        <w:t>.  However</w:t>
      </w:r>
      <w:r w:rsidR="004771B9">
        <w:rPr>
          <w:rFonts w:ascii="Times New Roman" w:hAnsi="Times New Roman"/>
        </w:rPr>
        <w:t>, 23.701 requires swap dealers and major swap participants to report to their counterparties prior to the execution of each swap transaction that is not submitted for clearing.  It is possible that a swap dealer or major swap participant could engage in swap transactions that are not submitted for clearing more often than quarterly, which would require them to report to their counterparties more often than quarterly</w:t>
      </w:r>
      <w:r w:rsidR="00CE5720">
        <w:rPr>
          <w:rFonts w:ascii="Times New Roman" w:hAnsi="Times New Roman"/>
        </w:rPr>
        <w:t xml:space="preserve">.  </w:t>
      </w:r>
    </w:p>
    <w:p w14:paraId="1B67F2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prepare a written response to a collection of information in fewer than 30 days after receipt of it:</w:t>
      </w:r>
    </w:p>
    <w:p w14:paraId="04B09CA5" w14:textId="525558EA" w:rsidR="0039588E" w:rsidRPr="0039588E" w:rsidRDefault="00303670" w:rsidP="0039588E">
      <w:pPr>
        <w:tabs>
          <w:tab w:val="left" w:pos="-720"/>
          <w:tab w:val="left" w:pos="0"/>
        </w:tabs>
        <w:spacing w:after="240"/>
        <w:ind w:firstLine="720"/>
        <w:rPr>
          <w:rFonts w:ascii="Times New Roman" w:hAnsi="Times New Roman"/>
          <w:b/>
        </w:rPr>
      </w:pPr>
      <w:r>
        <w:rPr>
          <w:rFonts w:ascii="Times New Roman" w:hAnsi="Times New Roman"/>
        </w:rPr>
        <w:t xml:space="preserve">This does not apply to collections under regulation 23.704.  Regulation 23.701(a) requires swap dealers and major swap dealers, prior to the execution of each swap transaction that is not submitted for clearing, to provide counterparties with notice, inter alia, that they have the right to require that any Initial Margin the counterparty provides in connection with such transactions be segregated in accordance with Commission regulations, as well as the price of segregation for each separate margin custodian.  Similarly, regulation 23.701(d) requires swap dealers and major swap participants, prior to confirming the terms of swaps, to obtain from counterparties confirmation of receipt of the notifications required under 23.701(a).  </w:t>
      </w:r>
      <w:r w:rsidR="003554FA" w:rsidRPr="0039588E">
        <w:rPr>
          <w:rFonts w:ascii="Times New Roman" w:hAnsi="Times New Roman"/>
        </w:rPr>
        <w:t xml:space="preserve">Less frequent reporting </w:t>
      </w:r>
      <w:r>
        <w:rPr>
          <w:rFonts w:ascii="Times New Roman" w:hAnsi="Times New Roman"/>
        </w:rPr>
        <w:t xml:space="preserve">(than before execution of swap transactions or before confirming the terms of any swap) </w:t>
      </w:r>
      <w:r w:rsidR="003554FA" w:rsidRPr="0039588E">
        <w:rPr>
          <w:rFonts w:ascii="Times New Roman" w:hAnsi="Times New Roman"/>
        </w:rPr>
        <w:t xml:space="preserve">would not </w:t>
      </w:r>
      <w:r>
        <w:rPr>
          <w:rFonts w:ascii="Times New Roman" w:hAnsi="Times New Roman"/>
        </w:rPr>
        <w:t xml:space="preserve">be sufficient to ensure that counterparties to SDs and MSPs receive the information in sufficient time for it to be useful to them in making decisions.  </w:t>
      </w:r>
      <w:r w:rsidR="00036F64">
        <w:rPr>
          <w:rFonts w:ascii="Times New Roman" w:hAnsi="Times New Roman"/>
        </w:rPr>
        <w:t>For example, if a swap dealer provided the notification required under 23.701(a)—i.e., that the counterparty has the right to require that Initial Margin be segregated—</w:t>
      </w:r>
      <w:r w:rsidR="00036F64" w:rsidRPr="002C3C47">
        <w:rPr>
          <w:rFonts w:ascii="Times New Roman" w:hAnsi="Times New Roman"/>
          <w:u w:val="single"/>
        </w:rPr>
        <w:t>after</w:t>
      </w:r>
      <w:r w:rsidR="00036F64">
        <w:rPr>
          <w:rFonts w:ascii="Times New Roman" w:hAnsi="Times New Roman"/>
        </w:rPr>
        <w:t xml:space="preserve"> a swap was executed, the information would no longer useful to the counterparty.  </w:t>
      </w:r>
    </w:p>
    <w:p w14:paraId="7DC067AC" w14:textId="067608C9"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more that an original and two copies of any document;</w:t>
      </w:r>
    </w:p>
    <w:p w14:paraId="6093E3B0" w14:textId="7DAE206C" w:rsidR="00642B6A" w:rsidRPr="0039588E" w:rsidRDefault="00DD203B" w:rsidP="00642B6A">
      <w:pPr>
        <w:tabs>
          <w:tab w:val="left" w:pos="-720"/>
          <w:tab w:val="left" w:pos="0"/>
          <w:tab w:val="left" w:pos="720"/>
        </w:tabs>
        <w:spacing w:after="240"/>
        <w:rPr>
          <w:rFonts w:ascii="Times New Roman" w:hAnsi="Times New Roman"/>
          <w:b/>
        </w:rPr>
      </w:pPr>
      <w:r>
        <w:rPr>
          <w:rFonts w:ascii="Times New Roman" w:hAnsi="Times New Roman"/>
        </w:rPr>
        <w:tab/>
      </w:r>
      <w:r w:rsidR="00642B6A" w:rsidRPr="0039588E">
        <w:rPr>
          <w:rFonts w:ascii="Times New Roman" w:hAnsi="Times New Roman"/>
        </w:rPr>
        <w:t>Respondents are not required to submit more than an original and two copies of any documents to the Commission or third parties.</w:t>
      </w:r>
    </w:p>
    <w:p w14:paraId="59563E9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retain records other than health, medical, government contract, grant-in-aid, or tax records, for more than three years;</w:t>
      </w:r>
    </w:p>
    <w:p w14:paraId="60DBA4EE" w14:textId="77777777" w:rsidR="00092BB0" w:rsidRPr="0039588E" w:rsidRDefault="00642B6A" w:rsidP="00092BB0">
      <w:pPr>
        <w:tabs>
          <w:tab w:val="left" w:pos="-720"/>
          <w:tab w:val="left" w:pos="0"/>
          <w:tab w:val="left" w:pos="720"/>
        </w:tabs>
        <w:spacing w:after="240"/>
        <w:jc w:val="both"/>
        <w:rPr>
          <w:rFonts w:ascii="Times New Roman" w:hAnsi="Times New Roman"/>
        </w:rPr>
      </w:pPr>
      <w:r w:rsidRPr="0039588E">
        <w:rPr>
          <w:rFonts w:ascii="Times New Roman" w:hAnsi="Times New Roman"/>
        </w:rPr>
        <w:tab/>
      </w:r>
      <w:r w:rsidR="00092BB0" w:rsidRPr="0039588E">
        <w:rPr>
          <w:rFonts w:ascii="Times New Roman" w:hAnsi="Times New Roman"/>
        </w:rPr>
        <w:t>Commission regulation 1.31 expressly requires that:</w:t>
      </w:r>
    </w:p>
    <w:p w14:paraId="2492C1B6" w14:textId="470D56FE" w:rsidR="00642B6A" w:rsidRPr="0039588E" w:rsidRDefault="00092BB0" w:rsidP="00092BB0">
      <w:pPr>
        <w:tabs>
          <w:tab w:val="left" w:pos="-720"/>
          <w:tab w:val="left" w:pos="0"/>
          <w:tab w:val="left" w:pos="720"/>
        </w:tabs>
        <w:spacing w:after="240"/>
        <w:rPr>
          <w:rFonts w:ascii="Times New Roman" w:hAnsi="Times New Roman"/>
        </w:rPr>
      </w:pPr>
      <w:r w:rsidRPr="0039588E">
        <w:rPr>
          <w:rFonts w:ascii="Times New Roman" w:hAnsi="Times New Roman"/>
        </w:rP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14:paraId="5CAB687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in connection with a statistical survey, that is not designed to produce valid and reliable results that can be generalized to the universe of study; </w:t>
      </w:r>
    </w:p>
    <w:p w14:paraId="2D1E36BD" w14:textId="2A7C3E16" w:rsidR="00642B6A" w:rsidRPr="0039588E" w:rsidRDefault="003554FA" w:rsidP="003554FA">
      <w:pPr>
        <w:tabs>
          <w:tab w:val="left" w:pos="-720"/>
          <w:tab w:val="left" w:pos="0"/>
          <w:tab w:val="left" w:pos="720"/>
        </w:tabs>
        <w:spacing w:after="240"/>
        <w:contextualSpacing/>
        <w:rPr>
          <w:rFonts w:ascii="Times New Roman" w:hAnsi="Times New Roman"/>
        </w:rPr>
      </w:pPr>
      <w:r w:rsidRPr="0039588E">
        <w:rPr>
          <w:rFonts w:ascii="Times New Roman" w:hAnsi="Times New Roman"/>
        </w:rPr>
        <w:tab/>
      </w:r>
      <w:r w:rsidR="00642B6A" w:rsidRPr="0039588E">
        <w:rPr>
          <w:rFonts w:ascii="Times New Roman" w:hAnsi="Times New Roman"/>
        </w:rPr>
        <w:t>Not applicable.</w:t>
      </w:r>
    </w:p>
    <w:p w14:paraId="23165309" w14:textId="77777777" w:rsidR="003554FA" w:rsidRPr="0039588E" w:rsidRDefault="003554FA" w:rsidP="003554FA">
      <w:pPr>
        <w:tabs>
          <w:tab w:val="left" w:pos="-720"/>
          <w:tab w:val="left" w:pos="0"/>
          <w:tab w:val="left" w:pos="720"/>
        </w:tabs>
        <w:spacing w:after="240"/>
        <w:ind w:left="936"/>
        <w:contextualSpacing/>
        <w:rPr>
          <w:rFonts w:ascii="Times New Roman" w:hAnsi="Times New Roman"/>
        </w:rPr>
      </w:pPr>
    </w:p>
    <w:p w14:paraId="36D2852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the use of a statistical data classification that has not been reviewed and approved by OMB;</w:t>
      </w:r>
    </w:p>
    <w:p w14:paraId="7B26BF68" w14:textId="77777777" w:rsidR="00642B6A" w:rsidRPr="0039588E" w:rsidRDefault="00642B6A" w:rsidP="00642B6A">
      <w:pPr>
        <w:tabs>
          <w:tab w:val="left" w:pos="-720"/>
          <w:tab w:val="left" w:pos="0"/>
          <w:tab w:val="left" w:pos="720"/>
        </w:tabs>
        <w:spacing w:after="240"/>
        <w:rPr>
          <w:rFonts w:ascii="Times New Roman" w:hAnsi="Times New Roman"/>
        </w:rPr>
      </w:pPr>
      <w:r w:rsidRPr="0039588E">
        <w:rPr>
          <w:rFonts w:ascii="Times New Roman" w:hAnsi="Times New Roman"/>
        </w:rPr>
        <w:tab/>
        <w:t>Not applicable.</w:t>
      </w:r>
    </w:p>
    <w:p w14:paraId="454A00CE"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4C3DB64" w14:textId="2C0345C0" w:rsidR="003554FA" w:rsidRPr="0039588E" w:rsidRDefault="00642B6A" w:rsidP="003554FA">
      <w:pPr>
        <w:tabs>
          <w:tab w:val="left" w:pos="-720"/>
          <w:tab w:val="left" w:pos="0"/>
          <w:tab w:val="left" w:pos="720"/>
        </w:tabs>
        <w:spacing w:after="240"/>
        <w:ind w:left="720"/>
        <w:rPr>
          <w:rFonts w:ascii="Times New Roman" w:hAnsi="Times New Roman"/>
          <w:b/>
        </w:rPr>
      </w:pPr>
      <w:r w:rsidRPr="0039588E">
        <w:rPr>
          <w:rFonts w:ascii="Times New Roman" w:hAnsi="Times New Roman"/>
        </w:rPr>
        <w:t>The collection does not involve any pledge of confidentiality.</w:t>
      </w:r>
    </w:p>
    <w:p w14:paraId="430DB30E" w14:textId="48C4713B"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78643FE7" w14:textId="1CA2709C" w:rsidR="00E4751A" w:rsidRPr="0039588E" w:rsidRDefault="0039588E" w:rsidP="00092BB0">
      <w:pPr>
        <w:tabs>
          <w:tab w:val="left" w:pos="-720"/>
        </w:tabs>
        <w:spacing w:after="240"/>
        <w:rPr>
          <w:rFonts w:ascii="Times New Roman" w:hAnsi="Times New Roman"/>
        </w:rPr>
      </w:pPr>
      <w:r>
        <w:rPr>
          <w:rFonts w:ascii="Times New Roman" w:hAnsi="Times New Roman"/>
        </w:rPr>
        <w:tab/>
      </w:r>
      <w:r w:rsidR="00642B6A" w:rsidRPr="0039588E">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r w:rsidR="00E4751A" w:rsidRPr="0039588E">
        <w:rPr>
          <w:rFonts w:ascii="Times New Roman" w:hAnsi="Times New Roman"/>
        </w:rPr>
        <w:tab/>
      </w:r>
    </w:p>
    <w:p w14:paraId="38F47FC6"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8.</w:t>
      </w:r>
      <w:r w:rsidRPr="0039588E">
        <w:rPr>
          <w:rFonts w:ascii="Times New Roman" w:hAnsi="Times New Roman"/>
          <w:b/>
        </w:rPr>
        <w:tab/>
        <w:t xml:space="preserve">If applicable, provide a copy and identify the date and page number of publication in the </w:t>
      </w:r>
      <w:r w:rsidRPr="0039588E">
        <w:rPr>
          <w:rFonts w:ascii="Times New Roman" w:hAnsi="Times New Roman"/>
          <w:b/>
          <w:i/>
        </w:rPr>
        <w:t>Federal Register</w:t>
      </w:r>
      <w:r w:rsidRPr="0039588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523F0D" w14:textId="212AEED6" w:rsidR="00E4751A" w:rsidRPr="0039588E" w:rsidRDefault="00E4751A" w:rsidP="00DD203B">
      <w:pPr>
        <w:pStyle w:val="TOC6"/>
        <w:tabs>
          <w:tab w:val="clear" w:pos="9360"/>
          <w:tab w:val="left" w:pos="-720"/>
          <w:tab w:val="left" w:pos="0"/>
        </w:tabs>
        <w:suppressAutoHyphens w:val="0"/>
        <w:spacing w:after="240"/>
        <w:ind w:left="0" w:firstLine="0"/>
        <w:rPr>
          <w:rFonts w:ascii="Times New Roman" w:hAnsi="Times New Roman"/>
          <w:color w:val="000000"/>
        </w:rPr>
      </w:pPr>
      <w:r w:rsidRPr="0039588E">
        <w:rPr>
          <w:rFonts w:ascii="Times New Roman" w:hAnsi="Times New Roman"/>
          <w:szCs w:val="24"/>
        </w:rPr>
        <w:tab/>
        <w:t xml:space="preserve">A copy of the </w:t>
      </w:r>
      <w:r w:rsidRPr="0039588E">
        <w:rPr>
          <w:rFonts w:ascii="Times New Roman" w:hAnsi="Times New Roman"/>
          <w:i/>
          <w:szCs w:val="24"/>
        </w:rPr>
        <w:t>Federal Register</w:t>
      </w:r>
      <w:r w:rsidRPr="0039588E">
        <w:rPr>
          <w:rFonts w:ascii="Times New Roman" w:hAnsi="Times New Roman"/>
          <w:szCs w:val="24"/>
        </w:rPr>
        <w:t xml:space="preserve"> notice soliciting comments on this collection </w:t>
      </w:r>
      <w:r w:rsidR="00092BB0" w:rsidRPr="0039588E">
        <w:rPr>
          <w:rFonts w:ascii="Times New Roman" w:hAnsi="Times New Roman"/>
          <w:szCs w:val="24"/>
        </w:rPr>
        <w:t>(</w:t>
      </w:r>
      <w:r w:rsidR="0039588E">
        <w:rPr>
          <w:rFonts w:ascii="Times New Roman" w:hAnsi="Times New Roman"/>
          <w:szCs w:val="24"/>
        </w:rPr>
        <w:t>82</w:t>
      </w:r>
      <w:r w:rsidR="00092BB0" w:rsidRPr="0039588E">
        <w:rPr>
          <w:rFonts w:ascii="Times New Roman" w:hAnsi="Times New Roman"/>
          <w:szCs w:val="24"/>
        </w:rPr>
        <w:t xml:space="preserve"> Fed. Reg. </w:t>
      </w:r>
      <w:r w:rsidR="00EB167D">
        <w:rPr>
          <w:rFonts w:ascii="Times New Roman" w:hAnsi="Times New Roman"/>
          <w:szCs w:val="24"/>
        </w:rPr>
        <w:t>22118</w:t>
      </w:r>
      <w:r w:rsidR="00092BB0" w:rsidRPr="0039588E">
        <w:rPr>
          <w:rFonts w:ascii="Times New Roman" w:hAnsi="Times New Roman"/>
          <w:szCs w:val="24"/>
        </w:rPr>
        <w:t xml:space="preserve">, </w:t>
      </w:r>
      <w:r w:rsidR="00EB167D">
        <w:rPr>
          <w:rFonts w:ascii="Times New Roman" w:hAnsi="Times New Roman"/>
          <w:szCs w:val="24"/>
        </w:rPr>
        <w:t>May 12</w:t>
      </w:r>
      <w:r w:rsidR="00092BB0" w:rsidRPr="0039588E">
        <w:rPr>
          <w:rFonts w:ascii="Times New Roman" w:hAnsi="Times New Roman"/>
          <w:szCs w:val="24"/>
        </w:rPr>
        <w:t>, 2017)</w:t>
      </w:r>
      <w:r w:rsidR="002D07DC" w:rsidRPr="0039588E">
        <w:rPr>
          <w:rFonts w:ascii="Times New Roman" w:hAnsi="Times New Roman"/>
          <w:szCs w:val="24"/>
        </w:rPr>
        <w:t xml:space="preserve"> </w:t>
      </w:r>
      <w:r w:rsidRPr="0039588E">
        <w:rPr>
          <w:rFonts w:ascii="Times New Roman" w:hAnsi="Times New Roman"/>
          <w:szCs w:val="24"/>
        </w:rPr>
        <w:t>is a</w:t>
      </w:r>
      <w:r w:rsidR="00AE21E0" w:rsidRPr="0039588E">
        <w:rPr>
          <w:rFonts w:ascii="Times New Roman" w:hAnsi="Times New Roman"/>
          <w:szCs w:val="24"/>
        </w:rPr>
        <w:t xml:space="preserve">ttached.  </w:t>
      </w:r>
      <w:r w:rsidRPr="0039588E">
        <w:rPr>
          <w:rFonts w:ascii="Times New Roman" w:hAnsi="Times New Roman"/>
          <w:szCs w:val="24"/>
        </w:rPr>
        <w:t>The</w:t>
      </w:r>
      <w:r w:rsidR="005B13CE" w:rsidRPr="0039588E">
        <w:rPr>
          <w:rFonts w:ascii="Times New Roman" w:hAnsi="Times New Roman"/>
          <w:szCs w:val="24"/>
        </w:rPr>
        <w:t xml:space="preserve"> Commission received no </w:t>
      </w:r>
      <w:r w:rsidR="001E7F85">
        <w:rPr>
          <w:rFonts w:ascii="Times New Roman" w:hAnsi="Times New Roman"/>
          <w:szCs w:val="24"/>
        </w:rPr>
        <w:t xml:space="preserve">relevant </w:t>
      </w:r>
      <w:r w:rsidR="005B13CE" w:rsidRPr="0039588E">
        <w:rPr>
          <w:rFonts w:ascii="Times New Roman" w:hAnsi="Times New Roman"/>
          <w:szCs w:val="24"/>
        </w:rPr>
        <w:t>comments.</w:t>
      </w:r>
      <w:r w:rsidRPr="0039588E">
        <w:rPr>
          <w:rFonts w:ascii="Times New Roman" w:hAnsi="Times New Roman"/>
        </w:rPr>
        <w:tab/>
        <w:t xml:space="preserve">  </w:t>
      </w:r>
    </w:p>
    <w:p w14:paraId="0B49BF73"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7425D92" w14:textId="5B60A7A3" w:rsidR="00E4751A" w:rsidRPr="0039588E" w:rsidRDefault="00E4751A" w:rsidP="00534B6B">
      <w:pPr>
        <w:pStyle w:val="EndnoteText"/>
        <w:tabs>
          <w:tab w:val="left" w:pos="-720"/>
        </w:tabs>
        <w:spacing w:after="240"/>
        <w:rPr>
          <w:rFonts w:ascii="Times New Roman" w:hAnsi="Times New Roman"/>
          <w:szCs w:val="24"/>
        </w:rPr>
      </w:pPr>
      <w:r w:rsidRPr="0039588E">
        <w:rPr>
          <w:rFonts w:ascii="Times New Roman" w:hAnsi="Times New Roman"/>
          <w:szCs w:val="24"/>
        </w:rPr>
        <w:tab/>
      </w:r>
      <w:r w:rsidR="00092BB0" w:rsidRPr="0039588E">
        <w:rPr>
          <w:rFonts w:ascii="Times New Roman" w:hAnsi="Times New Roman"/>
          <w:szCs w:val="24"/>
        </w:rPr>
        <w:t>As set forth above, the Commission affirmatively sought comments on the extension of information collection requirements described herein.</w:t>
      </w:r>
    </w:p>
    <w:p w14:paraId="380C65C2"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EA89466" w14:textId="5B4F8203"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 xml:space="preserve">Does not apply.  </w:t>
      </w:r>
      <w:r w:rsidR="002B0CBB" w:rsidRPr="002B0CBB">
        <w:rPr>
          <w:rFonts w:ascii="Times New Roman" w:hAnsi="Times New Roman"/>
        </w:rPr>
        <w:t xml:space="preserve">No such circumstances are anticipated.  </w:t>
      </w:r>
    </w:p>
    <w:p w14:paraId="3451ED7D"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9.</w:t>
      </w:r>
      <w:r w:rsidRPr="0039588E">
        <w:rPr>
          <w:rFonts w:ascii="Times New Roman" w:hAnsi="Times New Roman"/>
          <w:b/>
        </w:rPr>
        <w:tab/>
        <w:t>Explain any decision to provide any payment or gift to respondents, other than remuneration of contractors or grantees.</w:t>
      </w:r>
    </w:p>
    <w:p w14:paraId="4610A57C" w14:textId="199FCAE9"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07A94E0F"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10.</w:t>
      </w:r>
      <w:r w:rsidRPr="0039588E">
        <w:rPr>
          <w:rFonts w:ascii="Times New Roman" w:hAnsi="Times New Roman"/>
          <w:b/>
        </w:rPr>
        <w:tab/>
        <w:t>Describe any assurance of confidentiality provided to respondents and the basis for the assurance in statute, regulations, or agency policy.</w:t>
      </w:r>
    </w:p>
    <w:p w14:paraId="7166A660" w14:textId="07FC5196" w:rsidR="00B9000F" w:rsidRPr="0039588E" w:rsidRDefault="00E4751A" w:rsidP="00534B6B">
      <w:pPr>
        <w:tabs>
          <w:tab w:val="left" w:pos="-720"/>
        </w:tabs>
        <w:spacing w:after="240"/>
        <w:rPr>
          <w:rFonts w:ascii="Times New Roman" w:hAnsi="Times New Roman"/>
        </w:rPr>
      </w:pPr>
      <w:r w:rsidRPr="0039588E">
        <w:rPr>
          <w:rFonts w:ascii="Times New Roman" w:hAnsi="Times New Roman"/>
          <w:b/>
        </w:rPr>
        <w:tab/>
      </w:r>
      <w:r w:rsidR="00092BB0" w:rsidRPr="0039588E">
        <w:rPr>
          <w:rFonts w:ascii="Times New Roman" w:hAnsi="Times New Roman"/>
        </w:rPr>
        <w:t xml:space="preserve">The Commission does not provide respondents with an assurance of confidentiality beyond that provided by applicable law.  The Commission fully complies with section 8(a)(1) of the </w:t>
      </w:r>
      <w:r w:rsidR="00DD203B">
        <w:rPr>
          <w:rFonts w:ascii="Times New Roman" w:hAnsi="Times New Roman"/>
        </w:rPr>
        <w:t>CEA</w:t>
      </w:r>
      <w:r w:rsidR="00092BB0" w:rsidRPr="0039588E">
        <w:rPr>
          <w:rFonts w:ascii="Times New Roman" w:hAnsi="Times New Roman"/>
        </w:rPr>
        <w:t>, which strictly prohibits the Commission, unless specifically authorized by the C</w:t>
      </w:r>
      <w:r w:rsidR="00DD203B">
        <w:rPr>
          <w:rFonts w:ascii="Times New Roman" w:hAnsi="Times New Roman"/>
        </w:rPr>
        <w:t>EA</w:t>
      </w:r>
      <w:r w:rsidR="00092BB0" w:rsidRPr="0039588E">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 respondent’s data set forth in part</w:t>
      </w:r>
      <w:r w:rsidR="00AF4BC5">
        <w:rPr>
          <w:rFonts w:ascii="Times New Roman" w:hAnsi="Times New Roman"/>
        </w:rPr>
        <w:t>s</w:t>
      </w:r>
      <w:r w:rsidR="00092BB0" w:rsidRPr="0039588E">
        <w:rPr>
          <w:rFonts w:ascii="Times New Roman" w:hAnsi="Times New Roman"/>
        </w:rPr>
        <w:t xml:space="preserve"> 145 </w:t>
      </w:r>
      <w:r w:rsidR="00AF4BC5">
        <w:rPr>
          <w:rFonts w:ascii="Times New Roman" w:hAnsi="Times New Roman"/>
        </w:rPr>
        <w:t xml:space="preserve">and 147 </w:t>
      </w:r>
      <w:r w:rsidR="00092BB0" w:rsidRPr="0039588E">
        <w:rPr>
          <w:rFonts w:ascii="Times New Roman" w:hAnsi="Times New Roman"/>
        </w:rPr>
        <w:t>of the Code of Federal Regulations.</w:t>
      </w:r>
    </w:p>
    <w:p w14:paraId="5981FB20"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11.</w:t>
      </w:r>
      <w:r w:rsidRPr="0039588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8BE2C6" w14:textId="6C8F5A97" w:rsidR="00E4751A" w:rsidRPr="0039588E" w:rsidRDefault="0039588E" w:rsidP="00534B6B">
      <w:pPr>
        <w:tabs>
          <w:tab w:val="left" w:pos="-720"/>
        </w:tabs>
        <w:spacing w:after="240"/>
        <w:rPr>
          <w:rFonts w:ascii="Times New Roman" w:hAnsi="Times New Roman"/>
        </w:rPr>
      </w:pPr>
      <w:r>
        <w:rPr>
          <w:rFonts w:ascii="Times New Roman" w:hAnsi="Times New Roman"/>
        </w:rPr>
        <w:tab/>
      </w:r>
      <w:r w:rsidR="00E4751A" w:rsidRPr="0039588E">
        <w:rPr>
          <w:rFonts w:ascii="Times New Roman" w:hAnsi="Times New Roman"/>
        </w:rPr>
        <w:t xml:space="preserve">The </w:t>
      </w:r>
      <w:r w:rsidR="00642B6A" w:rsidRPr="0039588E">
        <w:rPr>
          <w:rFonts w:ascii="Times New Roman" w:hAnsi="Times New Roman"/>
        </w:rPr>
        <w:t>regulations covered by this collection do not require the giving</w:t>
      </w:r>
      <w:r w:rsidR="00E4751A" w:rsidRPr="0039588E">
        <w:rPr>
          <w:rFonts w:ascii="Times New Roman" w:hAnsi="Times New Roman"/>
        </w:rPr>
        <w:t xml:space="preserve"> of </w:t>
      </w:r>
      <w:r w:rsidR="00642B6A" w:rsidRPr="0039588E">
        <w:rPr>
          <w:rFonts w:ascii="Times New Roman" w:hAnsi="Times New Roman"/>
        </w:rPr>
        <w:t xml:space="preserve">sensitive </w:t>
      </w:r>
      <w:r w:rsidR="00E4751A" w:rsidRPr="0039588E">
        <w:rPr>
          <w:rFonts w:ascii="Times New Roman" w:hAnsi="Times New Roman"/>
        </w:rPr>
        <w:t>information</w:t>
      </w:r>
      <w:r w:rsidR="00642B6A" w:rsidRPr="0039588E">
        <w:rPr>
          <w:rFonts w:ascii="Times New Roman" w:hAnsi="Times New Roman"/>
        </w:rPr>
        <w:t>, as that term is used</w:t>
      </w:r>
      <w:r w:rsidR="00E4751A" w:rsidRPr="0039588E">
        <w:rPr>
          <w:rFonts w:ascii="Times New Roman" w:hAnsi="Times New Roman"/>
        </w:rPr>
        <w:t xml:space="preserve"> in </w:t>
      </w:r>
      <w:r w:rsidR="00642B6A" w:rsidRPr="0039588E">
        <w:rPr>
          <w:rFonts w:ascii="Times New Roman" w:hAnsi="Times New Roman"/>
        </w:rPr>
        <w:t>Question 11.</w:t>
      </w:r>
    </w:p>
    <w:p w14:paraId="1387B234"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12.</w:t>
      </w:r>
      <w:r w:rsidRPr="0039588E">
        <w:rPr>
          <w:rFonts w:ascii="Times New Roman" w:hAnsi="Times New Roman"/>
          <w:b/>
        </w:rPr>
        <w:tab/>
        <w:t>Provide estimates of the hour burden of the collection of information.  The Statement should:</w:t>
      </w:r>
    </w:p>
    <w:p w14:paraId="57CC3A6C"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0EA30A7"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the request for approval covers more than one form, provide separate hour burden estimates for each form and aggregate the hour burdens in Item 13 of OMB Form 83-I.</w:t>
      </w:r>
    </w:p>
    <w:p w14:paraId="43595454"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027F2F" w:rsidRPr="0039588E">
        <w:rPr>
          <w:rFonts w:ascii="Times New Roman" w:hAnsi="Times New Roman"/>
          <w:b/>
        </w:rPr>
        <w:t>out</w:t>
      </w:r>
      <w:r w:rsidRPr="0039588E">
        <w:rPr>
          <w:rFonts w:ascii="Times New Roman" w:hAnsi="Times New Roman"/>
          <w:b/>
        </w:rPr>
        <w:t xml:space="preserve"> or paying outside parties for information collection activities should not be included here.  Instead, this cost should be included in Item 13.</w:t>
      </w:r>
    </w:p>
    <w:p w14:paraId="21FA547A" w14:textId="7DDBFD30" w:rsidR="0039588E" w:rsidRDefault="0039588E" w:rsidP="003C0162">
      <w:pPr>
        <w:ind w:firstLine="720"/>
        <w:rPr>
          <w:rFonts w:ascii="Times New Roman" w:hAnsi="Times New Roman"/>
        </w:rPr>
      </w:pPr>
      <w:r>
        <w:rPr>
          <w:rFonts w:ascii="Times New Roman" w:hAnsi="Times New Roman"/>
          <w:i/>
        </w:rPr>
        <w:t>See</w:t>
      </w:r>
      <w:r>
        <w:rPr>
          <w:rFonts w:ascii="Times New Roman" w:hAnsi="Times New Roman"/>
        </w:rPr>
        <w:t xml:space="preserve"> Attachment A.</w:t>
      </w:r>
    </w:p>
    <w:p w14:paraId="384FC602" w14:textId="77777777" w:rsidR="0039588E" w:rsidRDefault="0039588E" w:rsidP="003C0162">
      <w:pPr>
        <w:ind w:firstLine="720"/>
        <w:rPr>
          <w:rFonts w:ascii="Times New Roman" w:hAnsi="Times New Roman"/>
        </w:rPr>
      </w:pPr>
    </w:p>
    <w:p w14:paraId="12D9E67B" w14:textId="77777777" w:rsidR="000B2D6B" w:rsidRPr="00807CE0" w:rsidRDefault="0039588E" w:rsidP="000B2D6B">
      <w:pPr>
        <w:rPr>
          <w:rFonts w:ascii="Times New Roman" w:hAnsi="Times New Roman"/>
          <w:u w:val="single"/>
        </w:rPr>
      </w:pPr>
      <w:r>
        <w:rPr>
          <w:rFonts w:ascii="Times New Roman" w:hAnsi="Times New Roman"/>
          <w:szCs w:val="20"/>
        </w:rPr>
        <w:tab/>
      </w:r>
      <w:r w:rsidR="000B2D6B">
        <w:rPr>
          <w:rFonts w:ascii="Times New Roman" w:hAnsi="Times New Roman"/>
          <w:u w:val="single"/>
        </w:rPr>
        <w:t>Section 23.701</w:t>
      </w:r>
    </w:p>
    <w:p w14:paraId="4C6BAC1D" w14:textId="77777777" w:rsidR="000B2D6B" w:rsidRDefault="000B2D6B" w:rsidP="000B2D6B">
      <w:pPr>
        <w:ind w:firstLine="720"/>
        <w:rPr>
          <w:rFonts w:ascii="Times New Roman" w:hAnsi="Times New Roman"/>
        </w:rPr>
      </w:pPr>
    </w:p>
    <w:p w14:paraId="59B6AD8C" w14:textId="0E69E483" w:rsidR="000B2D6B" w:rsidRDefault="000B2D6B" w:rsidP="000B2D6B">
      <w:pPr>
        <w:ind w:firstLine="720"/>
        <w:rPr>
          <w:rFonts w:ascii="Times New Roman" w:hAnsi="Times New Roman"/>
        </w:rPr>
      </w:pPr>
      <w:r w:rsidRPr="00807CE0">
        <w:rPr>
          <w:rFonts w:ascii="Times New Roman" w:hAnsi="Times New Roman"/>
        </w:rPr>
        <w:t xml:space="preserve">The Commission </w:t>
      </w:r>
      <w:r w:rsidR="00156D78">
        <w:rPr>
          <w:rFonts w:ascii="Times New Roman" w:hAnsi="Times New Roman"/>
        </w:rPr>
        <w:t>is reducing the estimated number of entities from 125 to 102 to reflect the number of entitie</w:t>
      </w:r>
      <w:r w:rsidR="00566E3D">
        <w:rPr>
          <w:rFonts w:ascii="Times New Roman" w:hAnsi="Times New Roman"/>
        </w:rPr>
        <w:t xml:space="preserve">s that are registered as SDs.  </w:t>
      </w:r>
      <w:r w:rsidR="00156D78">
        <w:rPr>
          <w:rFonts w:ascii="Times New Roman" w:hAnsi="Times New Roman"/>
        </w:rPr>
        <w:t>There are, at the</w:t>
      </w:r>
      <w:r w:rsidR="00566E3D">
        <w:rPr>
          <w:rFonts w:ascii="Times New Roman" w:hAnsi="Times New Roman"/>
        </w:rPr>
        <w:t xml:space="preserve"> time of this writing, no </w:t>
      </w:r>
      <w:r w:rsidR="00745759">
        <w:rPr>
          <w:rFonts w:ascii="Times New Roman" w:hAnsi="Times New Roman"/>
        </w:rPr>
        <w:t xml:space="preserve">registered </w:t>
      </w:r>
      <w:r w:rsidR="00566E3D">
        <w:rPr>
          <w:rFonts w:ascii="Times New Roman" w:hAnsi="Times New Roman"/>
        </w:rPr>
        <w:t>MSPs.</w:t>
      </w:r>
      <w:r w:rsidR="00554EEA">
        <w:rPr>
          <w:rStyle w:val="FootnoteReference"/>
          <w:rFonts w:ascii="Times New Roman" w:hAnsi="Times New Roman"/>
        </w:rPr>
        <w:footnoteReference w:id="4"/>
      </w:r>
      <w:r w:rsidR="00566E3D">
        <w:rPr>
          <w:rFonts w:ascii="Times New Roman" w:hAnsi="Times New Roman"/>
        </w:rPr>
        <w:t xml:space="preserve">  </w:t>
      </w:r>
      <w:r w:rsidR="00156D78">
        <w:rPr>
          <w:rFonts w:ascii="Times New Roman" w:hAnsi="Times New Roman"/>
        </w:rPr>
        <w:t xml:space="preserve">  Otherwise, the Commission believes that the estimates herein align with the previous Commission numbers, with the exception of the reduction in the number of entities affected.  </w:t>
      </w:r>
    </w:p>
    <w:p w14:paraId="63D2313E" w14:textId="3C74932A" w:rsidR="000B2D6B" w:rsidRPr="00807CE0" w:rsidRDefault="000B2D6B" w:rsidP="00347A3B">
      <w:pPr>
        <w:rPr>
          <w:rFonts w:ascii="Times New Roman" w:hAnsi="Times New Roman"/>
        </w:rPr>
      </w:pPr>
    </w:p>
    <w:p w14:paraId="11B80A04" w14:textId="40CFF84E" w:rsidR="000B2D6B" w:rsidRDefault="00B0627B" w:rsidP="000B2D6B">
      <w:pPr>
        <w:ind w:firstLine="720"/>
        <w:rPr>
          <w:rFonts w:ascii="Times New Roman" w:hAnsi="Times New Roman"/>
        </w:rPr>
      </w:pPr>
      <w:r>
        <w:rPr>
          <w:rFonts w:ascii="Times New Roman" w:hAnsi="Times New Roman"/>
        </w:rPr>
        <w:t>T</w:t>
      </w:r>
      <w:r w:rsidR="000B2D6B" w:rsidRPr="00807CE0">
        <w:rPr>
          <w:rFonts w:ascii="Times New Roman" w:hAnsi="Times New Roman"/>
        </w:rPr>
        <w:t xml:space="preserve">he Commission </w:t>
      </w:r>
      <w:r>
        <w:rPr>
          <w:rFonts w:ascii="Times New Roman" w:hAnsi="Times New Roman"/>
        </w:rPr>
        <w:t>continue</w:t>
      </w:r>
      <w:r w:rsidR="00B912FC">
        <w:rPr>
          <w:rFonts w:ascii="Times New Roman" w:hAnsi="Times New Roman"/>
        </w:rPr>
        <w:t>s</w:t>
      </w:r>
      <w:r>
        <w:rPr>
          <w:rFonts w:ascii="Times New Roman" w:hAnsi="Times New Roman"/>
        </w:rPr>
        <w:t xml:space="preserve"> to </w:t>
      </w:r>
      <w:r w:rsidR="000B2D6B" w:rsidRPr="00807CE0">
        <w:rPr>
          <w:rFonts w:ascii="Times New Roman" w:hAnsi="Times New Roman"/>
        </w:rPr>
        <w:t>estimate that disclosure</w:t>
      </w:r>
      <w:r>
        <w:rPr>
          <w:rFonts w:ascii="Times New Roman" w:hAnsi="Times New Roman"/>
        </w:rPr>
        <w:t>s</w:t>
      </w:r>
      <w:r w:rsidR="000B2D6B" w:rsidRPr="00807CE0">
        <w:rPr>
          <w:rFonts w:ascii="Times New Roman" w:hAnsi="Times New Roman"/>
        </w:rPr>
        <w:t xml:space="preserve"> required by regulation 23.701 would require</w:t>
      </w:r>
      <w:r w:rsidR="00156D78">
        <w:rPr>
          <w:rFonts w:ascii="Times New Roman" w:hAnsi="Times New Roman"/>
        </w:rPr>
        <w:t xml:space="preserve"> approximately</w:t>
      </w:r>
      <w:r w:rsidR="00566E3D">
        <w:rPr>
          <w:rFonts w:ascii="Times New Roman" w:hAnsi="Times New Roman"/>
        </w:rPr>
        <w:t xml:space="preserve"> 2</w:t>
      </w:r>
      <w:r w:rsidR="000B2D6B" w:rsidRPr="00807CE0">
        <w:rPr>
          <w:rFonts w:ascii="Times New Roman" w:hAnsi="Times New Roman"/>
        </w:rPr>
        <w:t xml:space="preserve"> hours of work per disclosure, which could be performed by staff with a salary level of approximately $20 per hour.  </w:t>
      </w:r>
      <w:r w:rsidR="00566E3D">
        <w:rPr>
          <w:rFonts w:ascii="Times New Roman" w:hAnsi="Times New Roman"/>
        </w:rPr>
        <w:t>The Commission further estimate</w:t>
      </w:r>
      <w:r w:rsidR="00D2431F">
        <w:rPr>
          <w:rFonts w:ascii="Times New Roman" w:hAnsi="Times New Roman"/>
        </w:rPr>
        <w:t>s</w:t>
      </w:r>
      <w:r w:rsidR="000B2D6B" w:rsidRPr="00807CE0">
        <w:rPr>
          <w:rFonts w:ascii="Times New Roman" w:hAnsi="Times New Roman"/>
        </w:rPr>
        <w:t xml:space="preserve"> that the average dollar cost of the disclosure per hour will be $50, giving a cost of $100 for 2 hours of work.</w:t>
      </w:r>
      <w:r w:rsidR="000B2D6B" w:rsidRPr="00807CE0">
        <w:rPr>
          <w:rStyle w:val="FootnoteReference"/>
          <w:rFonts w:ascii="Times New Roman" w:hAnsi="Times New Roman"/>
        </w:rPr>
        <w:footnoteReference w:id="5"/>
      </w:r>
      <w:r w:rsidR="000B2D6B" w:rsidRPr="00807CE0">
        <w:rPr>
          <w:rFonts w:ascii="Times New Roman" w:hAnsi="Times New Roman"/>
        </w:rPr>
        <w:t xml:space="preserve">  The Commission is adjusting the estimate</w:t>
      </w:r>
      <w:r w:rsidR="00D2431F">
        <w:rPr>
          <w:rFonts w:ascii="Times New Roman" w:hAnsi="Times New Roman"/>
        </w:rPr>
        <w:t>d</w:t>
      </w:r>
      <w:r w:rsidR="000B2D6B" w:rsidRPr="00807CE0">
        <w:rPr>
          <w:rFonts w:ascii="Times New Roman" w:hAnsi="Times New Roman"/>
        </w:rPr>
        <w:t xml:space="preserve"> of number of disclosures per SD per year based on the reduction, noted above, in the estimate of </w:t>
      </w:r>
      <w:r w:rsidR="00566E3D">
        <w:rPr>
          <w:rFonts w:ascii="Times New Roman" w:hAnsi="Times New Roman"/>
        </w:rPr>
        <w:t>the total number of SDs from about 125 to about 102</w:t>
      </w:r>
      <w:r w:rsidR="000B2D6B" w:rsidRPr="00807CE0">
        <w:rPr>
          <w:rFonts w:ascii="Times New Roman" w:hAnsi="Times New Roman"/>
        </w:rPr>
        <w:t xml:space="preserve">.  </w:t>
      </w:r>
      <w:r w:rsidR="00566E3D">
        <w:rPr>
          <w:rFonts w:ascii="Times New Roman" w:hAnsi="Times New Roman"/>
        </w:rPr>
        <w:t>Further</w:t>
      </w:r>
      <w:r w:rsidR="000B2D6B" w:rsidRPr="00807CE0">
        <w:rPr>
          <w:rFonts w:ascii="Times New Roman" w:hAnsi="Times New Roman"/>
        </w:rPr>
        <w:t>, the Commissi</w:t>
      </w:r>
      <w:r w:rsidR="00566E3D">
        <w:rPr>
          <w:rFonts w:ascii="Times New Roman" w:hAnsi="Times New Roman"/>
        </w:rPr>
        <w:t xml:space="preserve">on </w:t>
      </w:r>
      <w:r w:rsidR="007262AA">
        <w:rPr>
          <w:rFonts w:ascii="Times New Roman" w:hAnsi="Times New Roman"/>
        </w:rPr>
        <w:t xml:space="preserve">continues to </w:t>
      </w:r>
      <w:r w:rsidR="00566E3D">
        <w:rPr>
          <w:rFonts w:ascii="Times New Roman" w:hAnsi="Times New Roman"/>
        </w:rPr>
        <w:t>estimate that each SD and MSP would</w:t>
      </w:r>
      <w:r w:rsidR="000B2D6B" w:rsidRPr="00807CE0">
        <w:rPr>
          <w:rFonts w:ascii="Times New Roman" w:hAnsi="Times New Roman"/>
        </w:rPr>
        <w:t xml:space="preserve">, on average, make the disclosure to approximately 1300 counterparties each year.  </w:t>
      </w:r>
    </w:p>
    <w:p w14:paraId="5C6503E8" w14:textId="77777777" w:rsidR="000B2D6B" w:rsidRPr="00807CE0" w:rsidRDefault="000B2D6B" w:rsidP="000B2D6B">
      <w:pPr>
        <w:ind w:firstLine="720"/>
        <w:rPr>
          <w:rFonts w:ascii="Times New Roman" w:hAnsi="Times New Roman"/>
        </w:rPr>
      </w:pPr>
      <w:r w:rsidRPr="00807CE0">
        <w:rPr>
          <w:rFonts w:ascii="Times New Roman" w:hAnsi="Times New Roman"/>
        </w:rPr>
        <w:t xml:space="preserve">      </w:t>
      </w:r>
    </w:p>
    <w:p w14:paraId="2A53CDEC" w14:textId="057592BE" w:rsidR="000B2D6B" w:rsidRPr="00807CE0" w:rsidRDefault="00566E3D" w:rsidP="000B2D6B">
      <w:pPr>
        <w:ind w:firstLine="720"/>
        <w:rPr>
          <w:rFonts w:ascii="Times New Roman" w:hAnsi="Times New Roman"/>
        </w:rPr>
      </w:pPr>
      <w:r>
        <w:rPr>
          <w:rFonts w:ascii="Times New Roman" w:hAnsi="Times New Roman"/>
        </w:rPr>
        <w:t>In the final rule, the Commission estimated that regulation 23.701 would</w:t>
      </w:r>
      <w:r w:rsidR="000B2D6B" w:rsidRPr="00807CE0">
        <w:rPr>
          <w:rFonts w:ascii="Times New Roman" w:hAnsi="Times New Roman"/>
        </w:rPr>
        <w:t xml:space="preserve"> require a total of approximately 162,500 disclosures per year, generating an estimated total annual information collection burden of approximately 325,000 hours and cost of $16,250,000.</w:t>
      </w:r>
      <w:r w:rsidR="00B912FC">
        <w:rPr>
          <w:rStyle w:val="FootnoteReference"/>
          <w:rFonts w:ascii="Times New Roman" w:hAnsi="Times New Roman"/>
        </w:rPr>
        <w:footnoteReference w:id="6"/>
      </w:r>
      <w:r>
        <w:rPr>
          <w:rFonts w:ascii="Times New Roman" w:hAnsi="Times New Roman"/>
        </w:rPr>
        <w:t xml:space="preserve">  After experience with the rule, and based on the reduction of the number of entities affected, the Commission now believes that regulation 23.701 will require a total of approximately 132,600 disclosures per year, generating an estimated total annual information collection burden of approximately 265,200 hours and a cost of $13,260,000.</w:t>
      </w:r>
      <w:r w:rsidR="000B2D6B" w:rsidRPr="00807CE0">
        <w:rPr>
          <w:rFonts w:ascii="Times New Roman" w:hAnsi="Times New Roman"/>
        </w:rPr>
        <w:tab/>
      </w:r>
    </w:p>
    <w:p w14:paraId="6C0FAD20" w14:textId="77777777" w:rsidR="000B2D6B" w:rsidRDefault="000B2D6B" w:rsidP="000B2D6B">
      <w:pPr>
        <w:rPr>
          <w:rFonts w:ascii="Times New Roman" w:hAnsi="Times New Roman"/>
        </w:rPr>
      </w:pPr>
    </w:p>
    <w:p w14:paraId="30718F06" w14:textId="77777777" w:rsidR="000B2D6B" w:rsidRPr="00F93417" w:rsidRDefault="000B2D6B" w:rsidP="00347A3B">
      <w:pPr>
        <w:keepNext/>
        <w:rPr>
          <w:rFonts w:ascii="Times New Roman" w:hAnsi="Times New Roman"/>
          <w:u w:val="single"/>
        </w:rPr>
      </w:pPr>
      <w:r>
        <w:rPr>
          <w:rFonts w:ascii="Times New Roman" w:hAnsi="Times New Roman"/>
          <w:u w:val="single"/>
        </w:rPr>
        <w:t>Section 23.704</w:t>
      </w:r>
    </w:p>
    <w:p w14:paraId="0F88B053" w14:textId="77777777" w:rsidR="000B2D6B" w:rsidRDefault="000B2D6B" w:rsidP="00347A3B">
      <w:pPr>
        <w:keepNext/>
        <w:ind w:firstLine="720"/>
        <w:rPr>
          <w:rFonts w:ascii="Times New Roman" w:hAnsi="Times New Roman"/>
        </w:rPr>
      </w:pPr>
    </w:p>
    <w:p w14:paraId="09E11D26" w14:textId="62F2E7AD" w:rsidR="000B2D6B" w:rsidRDefault="00AC0CF3" w:rsidP="00347A3B">
      <w:pPr>
        <w:keepNext/>
        <w:ind w:firstLine="720"/>
        <w:rPr>
          <w:rFonts w:ascii="Times New Roman" w:hAnsi="Times New Roman"/>
        </w:rPr>
      </w:pPr>
      <w:r>
        <w:rPr>
          <w:rFonts w:ascii="Times New Roman" w:hAnsi="Times New Roman"/>
        </w:rPr>
        <w:t>The Commission</w:t>
      </w:r>
      <w:r w:rsidR="005C17CA">
        <w:rPr>
          <w:rFonts w:ascii="Times New Roman" w:hAnsi="Times New Roman"/>
        </w:rPr>
        <w:t xml:space="preserve"> continues to estimate</w:t>
      </w:r>
      <w:r w:rsidR="004A637A">
        <w:rPr>
          <w:rFonts w:ascii="Times New Roman" w:hAnsi="Times New Roman"/>
        </w:rPr>
        <w:t xml:space="preserve">, </w:t>
      </w:r>
      <w:r w:rsidR="000B2D6B" w:rsidRPr="00807CE0">
        <w:rPr>
          <w:rFonts w:ascii="Times New Roman" w:hAnsi="Times New Roman"/>
        </w:rPr>
        <w:t xml:space="preserve">that regulation 23.704 would require a total </w:t>
      </w:r>
      <w:r>
        <w:rPr>
          <w:rFonts w:ascii="Times New Roman" w:hAnsi="Times New Roman"/>
        </w:rPr>
        <w:t>of approximately 2600</w:t>
      </w:r>
      <w:r w:rsidR="000B2D6B" w:rsidRPr="00807CE0">
        <w:rPr>
          <w:rFonts w:ascii="Times New Roman" w:hAnsi="Times New Roman"/>
        </w:rPr>
        <w:t xml:space="preserve"> disclosures per year</w:t>
      </w:r>
      <w:r w:rsidR="00BE2155">
        <w:rPr>
          <w:rFonts w:ascii="Times New Roman" w:hAnsi="Times New Roman"/>
        </w:rPr>
        <w:t xml:space="preserve"> per</w:t>
      </w:r>
      <w:r w:rsidR="00DE38B4">
        <w:rPr>
          <w:rFonts w:ascii="Times New Roman" w:hAnsi="Times New Roman"/>
        </w:rPr>
        <w:t xml:space="preserve"> </w:t>
      </w:r>
      <w:r w:rsidR="00BE2155">
        <w:rPr>
          <w:rFonts w:ascii="Times New Roman" w:hAnsi="Times New Roman"/>
        </w:rPr>
        <w:t>entity</w:t>
      </w:r>
      <w:r w:rsidR="002C16D5">
        <w:rPr>
          <w:rFonts w:ascii="Times New Roman" w:hAnsi="Times New Roman"/>
        </w:rPr>
        <w:t xml:space="preserve">. </w:t>
      </w:r>
      <w:r w:rsidR="004A637A">
        <w:rPr>
          <w:rFonts w:ascii="Times New Roman" w:hAnsi="Times New Roman"/>
        </w:rPr>
        <w:t xml:space="preserve"> </w:t>
      </w:r>
      <w:r w:rsidR="002C16D5" w:rsidRPr="002C16D5">
        <w:rPr>
          <w:rFonts w:ascii="Times New Roman" w:hAnsi="Times New Roman"/>
        </w:rPr>
        <w:t>Given the reduction in the number of entities from 125 to 102, the Commission believes that regulation 23.704 will require, on an ongoing basis, a total of approximately 265,200 disclosures per year generating an estimated total annual information collection burden of approximately $</w:t>
      </w:r>
      <w:r w:rsidR="00AC108E">
        <w:rPr>
          <w:rFonts w:ascii="Times New Roman" w:hAnsi="Times New Roman"/>
        </w:rPr>
        <w:t>2</w:t>
      </w:r>
      <w:r w:rsidR="002C16D5" w:rsidRPr="002C16D5">
        <w:rPr>
          <w:rFonts w:ascii="Times New Roman" w:hAnsi="Times New Roman"/>
        </w:rPr>
        <w:t>,</w:t>
      </w:r>
      <w:r w:rsidR="00AC108E">
        <w:rPr>
          <w:rFonts w:ascii="Times New Roman" w:hAnsi="Times New Roman"/>
        </w:rPr>
        <w:t>172</w:t>
      </w:r>
      <w:r w:rsidR="002C16D5" w:rsidRPr="002C16D5">
        <w:rPr>
          <w:rFonts w:ascii="Times New Roman" w:hAnsi="Times New Roman"/>
        </w:rPr>
        <w:t>,</w:t>
      </w:r>
      <w:r w:rsidR="00AC108E">
        <w:rPr>
          <w:rFonts w:ascii="Times New Roman" w:hAnsi="Times New Roman"/>
        </w:rPr>
        <w:t>600</w:t>
      </w:r>
      <w:r w:rsidR="002C16D5" w:rsidRPr="002C16D5">
        <w:rPr>
          <w:rFonts w:ascii="Times New Roman" w:hAnsi="Times New Roman"/>
        </w:rPr>
        <w:t xml:space="preserve"> million.</w:t>
      </w:r>
      <w:r w:rsidR="00D2431F">
        <w:rPr>
          <w:rStyle w:val="FootnoteReference"/>
          <w:rFonts w:ascii="Times New Roman" w:hAnsi="Times New Roman"/>
        </w:rPr>
        <w:footnoteReference w:id="7"/>
      </w:r>
      <w:r w:rsidR="000B2D6B" w:rsidRPr="00807CE0">
        <w:rPr>
          <w:rFonts w:ascii="Times New Roman" w:hAnsi="Times New Roman"/>
        </w:rPr>
        <w:t xml:space="preserve">  The Commission is adjusting this estimate based on the reduced estimat</w:t>
      </w:r>
      <w:r>
        <w:rPr>
          <w:rFonts w:ascii="Times New Roman" w:hAnsi="Times New Roman"/>
        </w:rPr>
        <w:t xml:space="preserve">e of the number of affected SDs from 125 to 102, and is continuing to use the final rule’s </w:t>
      </w:r>
      <w:r w:rsidR="000B2D6B" w:rsidRPr="00807CE0">
        <w:rPr>
          <w:rFonts w:ascii="Times New Roman" w:hAnsi="Times New Roman"/>
        </w:rPr>
        <w:t>estimate of 1300 counterpar</w:t>
      </w:r>
      <w:r>
        <w:rPr>
          <w:rFonts w:ascii="Times New Roman" w:hAnsi="Times New Roman"/>
        </w:rPr>
        <w:t xml:space="preserve">ties per SD.  </w:t>
      </w:r>
      <w:r w:rsidR="005C17CA">
        <w:rPr>
          <w:rFonts w:ascii="Times New Roman" w:hAnsi="Times New Roman"/>
        </w:rPr>
        <w:t>T</w:t>
      </w:r>
      <w:r>
        <w:rPr>
          <w:rFonts w:ascii="Times New Roman" w:hAnsi="Times New Roman"/>
        </w:rPr>
        <w:t xml:space="preserve">he Commission </w:t>
      </w:r>
      <w:r w:rsidR="000B2D6B" w:rsidRPr="00807CE0">
        <w:rPr>
          <w:rFonts w:ascii="Times New Roman" w:hAnsi="Times New Roman"/>
        </w:rPr>
        <w:t>assume</w:t>
      </w:r>
      <w:r w:rsidR="005C17CA">
        <w:rPr>
          <w:rFonts w:ascii="Times New Roman" w:hAnsi="Times New Roman"/>
        </w:rPr>
        <w:t>s</w:t>
      </w:r>
      <w:r w:rsidR="000B2D6B" w:rsidRPr="00807CE0">
        <w:rPr>
          <w:rFonts w:ascii="Times New Roman" w:hAnsi="Times New Roman"/>
        </w:rPr>
        <w:t xml:space="preserve"> for purposes of this calculation </w:t>
      </w:r>
      <w:r>
        <w:rPr>
          <w:rFonts w:ascii="Times New Roman" w:hAnsi="Times New Roman"/>
        </w:rPr>
        <w:t>that half of counterparties would</w:t>
      </w:r>
      <w:r w:rsidR="000B2D6B" w:rsidRPr="00807CE0">
        <w:rPr>
          <w:rFonts w:ascii="Times New Roman" w:hAnsi="Times New Roman"/>
        </w:rPr>
        <w:t xml:space="preserve"> </w:t>
      </w:r>
      <w:r>
        <w:rPr>
          <w:rFonts w:ascii="Times New Roman" w:hAnsi="Times New Roman"/>
        </w:rPr>
        <w:t>elect not to segregate, and would</w:t>
      </w:r>
      <w:r w:rsidR="000B2D6B" w:rsidRPr="00807CE0">
        <w:rPr>
          <w:rFonts w:ascii="Times New Roman" w:hAnsi="Times New Roman"/>
        </w:rPr>
        <w:t xml:space="preserve"> receive th</w:t>
      </w:r>
      <w:r>
        <w:rPr>
          <w:rFonts w:ascii="Times New Roman" w:hAnsi="Times New Roman"/>
        </w:rPr>
        <w:t>e required quarterly disclosure, meaning</w:t>
      </w:r>
      <w:r w:rsidR="000B2D6B">
        <w:rPr>
          <w:rFonts w:ascii="Times New Roman" w:hAnsi="Times New Roman"/>
        </w:rPr>
        <w:t xml:space="preserve"> that,</w:t>
      </w:r>
      <w:r>
        <w:rPr>
          <w:rFonts w:ascii="Times New Roman" w:hAnsi="Times New Roman"/>
        </w:rPr>
        <w:t xml:space="preserve"> on average, each SD (or MSP) would</w:t>
      </w:r>
      <w:r w:rsidR="000B2D6B">
        <w:rPr>
          <w:rFonts w:ascii="Times New Roman" w:hAnsi="Times New Roman"/>
        </w:rPr>
        <w:t xml:space="preserve"> make the disclosure to 650 of its counterparties (1/2 of 1300) four times per year, for a total of 2600 disclosures per year.</w:t>
      </w:r>
      <w:r w:rsidR="000B2D6B" w:rsidRPr="00807CE0">
        <w:rPr>
          <w:rFonts w:ascii="Times New Roman" w:hAnsi="Times New Roman"/>
        </w:rPr>
        <w:t xml:space="preserve">  </w:t>
      </w:r>
    </w:p>
    <w:p w14:paraId="1C27E8BD" w14:textId="77777777" w:rsidR="000B2D6B" w:rsidRDefault="000B2D6B" w:rsidP="000B2D6B">
      <w:pPr>
        <w:ind w:firstLine="720"/>
        <w:rPr>
          <w:rFonts w:ascii="Times New Roman" w:hAnsi="Times New Roman"/>
        </w:rPr>
      </w:pPr>
    </w:p>
    <w:p w14:paraId="3B772F7F" w14:textId="76F19802" w:rsidR="000B2D6B" w:rsidRDefault="00745759" w:rsidP="00347A3B">
      <w:pPr>
        <w:ind w:firstLine="720"/>
        <w:rPr>
          <w:rFonts w:ascii="Times New Roman" w:hAnsi="Times New Roman"/>
        </w:rPr>
      </w:pPr>
      <w:r>
        <w:rPr>
          <w:rFonts w:ascii="Times New Roman" w:hAnsi="Times New Roman"/>
        </w:rPr>
        <w:t xml:space="preserve">The </w:t>
      </w:r>
      <w:r w:rsidR="00AC108E">
        <w:rPr>
          <w:rFonts w:ascii="Times New Roman" w:hAnsi="Times New Roman"/>
        </w:rPr>
        <w:t xml:space="preserve">Commission </w:t>
      </w:r>
      <w:r>
        <w:rPr>
          <w:rFonts w:ascii="Times New Roman" w:hAnsi="Times New Roman"/>
        </w:rPr>
        <w:t xml:space="preserve">estimates </w:t>
      </w:r>
      <w:r w:rsidR="00AC108E">
        <w:rPr>
          <w:rFonts w:ascii="Times New Roman" w:hAnsi="Times New Roman"/>
        </w:rPr>
        <w:t>the</w:t>
      </w:r>
      <w:r w:rsidR="000B2D6B" w:rsidRPr="00807CE0">
        <w:rPr>
          <w:rFonts w:ascii="Times New Roman" w:hAnsi="Times New Roman"/>
        </w:rPr>
        <w:t xml:space="preserve"> annual cost </w:t>
      </w:r>
      <w:r w:rsidR="00AC108E">
        <w:rPr>
          <w:rFonts w:ascii="Times New Roman" w:hAnsi="Times New Roman"/>
        </w:rPr>
        <w:t xml:space="preserve">to be </w:t>
      </w:r>
      <w:r w:rsidR="000B2D6B" w:rsidRPr="00807CE0">
        <w:rPr>
          <w:rFonts w:ascii="Times New Roman" w:hAnsi="Times New Roman"/>
        </w:rPr>
        <w:t>$2</w:t>
      </w:r>
      <w:r w:rsidR="00423B6D">
        <w:rPr>
          <w:rFonts w:ascii="Times New Roman" w:hAnsi="Times New Roman"/>
        </w:rPr>
        <w:t>1</w:t>
      </w:r>
      <w:r w:rsidR="000B2D6B" w:rsidRPr="00807CE0">
        <w:rPr>
          <w:rFonts w:ascii="Times New Roman" w:hAnsi="Times New Roman"/>
        </w:rPr>
        <w:t>,300 per SD/MSP comprising eighteen hours for the Chief Compliance Officer with a salary level of approximately $1</w:t>
      </w:r>
      <w:r w:rsidR="00423B6D">
        <w:rPr>
          <w:rFonts w:ascii="Times New Roman" w:hAnsi="Times New Roman"/>
        </w:rPr>
        <w:t>00</w:t>
      </w:r>
      <w:r w:rsidR="000B2D6B" w:rsidRPr="00807CE0">
        <w:rPr>
          <w:rFonts w:ascii="Times New Roman" w:hAnsi="Times New Roman"/>
        </w:rPr>
        <w:t xml:space="preserve"> per hour and the annual cost of 780 hours for junior compliance staff with a salary level of approximately $</w:t>
      </w:r>
      <w:r w:rsidR="00423B6D">
        <w:rPr>
          <w:rFonts w:ascii="Times New Roman" w:hAnsi="Times New Roman"/>
        </w:rPr>
        <w:t>2</w:t>
      </w:r>
      <w:r w:rsidR="000B2D6B" w:rsidRPr="00807CE0">
        <w:rPr>
          <w:rFonts w:ascii="Times New Roman" w:hAnsi="Times New Roman"/>
        </w:rPr>
        <w:t>5 per hour, multiplied by an estimated 1</w:t>
      </w:r>
      <w:r w:rsidR="0037797B">
        <w:rPr>
          <w:rFonts w:ascii="Times New Roman" w:hAnsi="Times New Roman"/>
        </w:rPr>
        <w:t>02</w:t>
      </w:r>
      <w:r w:rsidR="000B2D6B" w:rsidRPr="00807CE0">
        <w:rPr>
          <w:rFonts w:ascii="Times New Roman" w:hAnsi="Times New Roman"/>
        </w:rPr>
        <w:t xml:space="preserve"> SD</w:t>
      </w:r>
      <w:r>
        <w:rPr>
          <w:rFonts w:ascii="Times New Roman" w:hAnsi="Times New Roman"/>
        </w:rPr>
        <w:t>s</w:t>
      </w:r>
      <w:r w:rsidR="000B2D6B" w:rsidRPr="00807CE0">
        <w:rPr>
          <w:rFonts w:ascii="Times New Roman" w:hAnsi="Times New Roman"/>
        </w:rPr>
        <w:t>/MSPs.</w:t>
      </w:r>
      <w:r w:rsidR="00423B6D">
        <w:rPr>
          <w:rStyle w:val="FootnoteReference"/>
          <w:rFonts w:ascii="Times New Roman" w:hAnsi="Times New Roman"/>
        </w:rPr>
        <w:footnoteReference w:id="8"/>
      </w:r>
      <w:r>
        <w:rPr>
          <w:rFonts w:ascii="Times New Roman" w:hAnsi="Times New Roman"/>
        </w:rPr>
        <w:t xml:space="preserve">   </w:t>
      </w:r>
    </w:p>
    <w:p w14:paraId="6665F400" w14:textId="77777777" w:rsidR="000B2D6B" w:rsidRDefault="000B2D6B" w:rsidP="000B2D6B">
      <w:pPr>
        <w:rPr>
          <w:rFonts w:ascii="Times New Roman" w:hAnsi="Times New Roman"/>
        </w:rPr>
      </w:pPr>
    </w:p>
    <w:p w14:paraId="3AD7DDDF" w14:textId="73150363" w:rsidR="00E4751A" w:rsidRPr="0039588E" w:rsidRDefault="00E4751A" w:rsidP="003C0162">
      <w:pPr>
        <w:ind w:firstLine="720"/>
        <w:rPr>
          <w:rFonts w:ascii="Times New Roman" w:hAnsi="Times New Roman"/>
          <w:color w:val="000000"/>
        </w:rPr>
      </w:pPr>
    </w:p>
    <w:p w14:paraId="06679067"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13.</w:t>
      </w:r>
      <w:r w:rsidRPr="0039588E">
        <w:rPr>
          <w:rFonts w:ascii="Times New Roman" w:hAnsi="Times New Roman"/>
          <w:b/>
        </w:rPr>
        <w:tab/>
        <w:t xml:space="preserve">Provide an estimate of the total annual cost burden to respondents or recordkeepers resulting </w:t>
      </w:r>
      <w:r w:rsidR="00027F2F" w:rsidRPr="0039588E">
        <w:rPr>
          <w:rFonts w:ascii="Times New Roman" w:hAnsi="Times New Roman"/>
          <w:b/>
        </w:rPr>
        <w:t>from</w:t>
      </w:r>
      <w:r w:rsidRPr="0039588E">
        <w:rPr>
          <w:rFonts w:ascii="Times New Roman" w:hAnsi="Times New Roman"/>
          <w:b/>
        </w:rPr>
        <w:t xml:space="preserve"> the collection of information.  (Do not include the cost of any hour burden shown in Items 12 and 14).</w:t>
      </w:r>
    </w:p>
    <w:p w14:paraId="4E1B7178"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DCEF53"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6FD5F7C0" w14:textId="77777777" w:rsidR="00E4751A" w:rsidRPr="0039588E" w:rsidRDefault="00E4751A"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39588E">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E8825F7" w14:textId="02637552" w:rsidR="00EC4320" w:rsidRPr="0039588E" w:rsidRDefault="002C16D5" w:rsidP="00EC4320">
      <w:pPr>
        <w:ind w:firstLine="720"/>
        <w:rPr>
          <w:rFonts w:ascii="Times New Roman" w:hAnsi="Times New Roman"/>
          <w:color w:val="000000"/>
        </w:rPr>
      </w:pPr>
      <w:r w:rsidRPr="002C16D5">
        <w:rPr>
          <w:rFonts w:ascii="Times New Roman" w:hAnsi="Times New Roman"/>
          <w:color w:val="000000"/>
        </w:rPr>
        <w:t xml:space="preserve"> </w:t>
      </w:r>
      <w:r w:rsidR="00EC4320" w:rsidRPr="0039588E">
        <w:rPr>
          <w:rFonts w:ascii="Times New Roman" w:hAnsi="Times New Roman"/>
          <w:color w:val="000000"/>
        </w:rPr>
        <w:t>The disclosure</w:t>
      </w:r>
      <w:r w:rsidR="00271B1A">
        <w:rPr>
          <w:rFonts w:ascii="Times New Roman" w:hAnsi="Times New Roman"/>
          <w:color w:val="000000"/>
        </w:rPr>
        <w:t>s</w:t>
      </w:r>
      <w:r w:rsidR="00EC4320" w:rsidRPr="0039588E">
        <w:rPr>
          <w:rFonts w:ascii="Times New Roman" w:hAnsi="Times New Roman"/>
          <w:color w:val="000000"/>
        </w:rPr>
        <w:t xml:space="preserve"> required by </w:t>
      </w:r>
      <w:r w:rsidR="00271B1A">
        <w:rPr>
          <w:rFonts w:ascii="Times New Roman" w:hAnsi="Times New Roman"/>
          <w:color w:val="000000"/>
        </w:rPr>
        <w:t>regulations 23.701 and 23.704</w:t>
      </w:r>
      <w:r w:rsidR="00EC4320" w:rsidRPr="0039588E">
        <w:rPr>
          <w:rFonts w:ascii="Times New Roman" w:hAnsi="Times New Roman"/>
          <w:color w:val="000000"/>
        </w:rPr>
        <w:t xml:space="preserve"> involves information that </w:t>
      </w:r>
      <w:r w:rsidR="00271B1A">
        <w:rPr>
          <w:rFonts w:ascii="Times New Roman" w:hAnsi="Times New Roman"/>
          <w:color w:val="000000"/>
        </w:rPr>
        <w:t>SD</w:t>
      </w:r>
      <w:r w:rsidR="00EC4320" w:rsidRPr="0039588E">
        <w:rPr>
          <w:rFonts w:ascii="Times New Roman" w:hAnsi="Times New Roman"/>
          <w:color w:val="000000"/>
        </w:rPr>
        <w:t>s</w:t>
      </w:r>
      <w:r w:rsidR="00271B1A">
        <w:rPr>
          <w:rFonts w:ascii="Times New Roman" w:hAnsi="Times New Roman"/>
          <w:color w:val="000000"/>
        </w:rPr>
        <w:t xml:space="preserve"> and MSPs</w:t>
      </w:r>
      <w:r w:rsidR="00EC4320" w:rsidRPr="0039588E">
        <w:rPr>
          <w:rFonts w:ascii="Times New Roman" w:hAnsi="Times New Roman"/>
          <w:color w:val="000000"/>
        </w:rPr>
        <w:t xml:space="preserve"> generate and use in the usual and customary ordinary course of their business.  We estimate that the </w:t>
      </w:r>
      <w:r w:rsidR="00271B1A">
        <w:rPr>
          <w:rFonts w:ascii="Times New Roman" w:hAnsi="Times New Roman"/>
          <w:color w:val="000000"/>
        </w:rPr>
        <w:t>required disclosures</w:t>
      </w:r>
      <w:r w:rsidR="002E46E4">
        <w:rPr>
          <w:rFonts w:ascii="Times New Roman" w:hAnsi="Times New Roman"/>
          <w:color w:val="000000"/>
        </w:rPr>
        <w:t xml:space="preserve"> will not r</w:t>
      </w:r>
      <w:r w:rsidR="00271B1A">
        <w:rPr>
          <w:rFonts w:ascii="Times New Roman" w:hAnsi="Times New Roman"/>
          <w:color w:val="000000"/>
        </w:rPr>
        <w:t>equire any</w:t>
      </w:r>
      <w:r w:rsidR="00EC4320" w:rsidRPr="0039588E">
        <w:rPr>
          <w:rFonts w:ascii="Times New Roman" w:hAnsi="Times New Roman"/>
          <w:color w:val="000000"/>
        </w:rPr>
        <w:t xml:space="preserve"> modifications to, </w:t>
      </w:r>
      <w:r w:rsidR="00271B1A">
        <w:rPr>
          <w:rFonts w:ascii="Times New Roman" w:hAnsi="Times New Roman"/>
          <w:color w:val="000000"/>
        </w:rPr>
        <w:t>or any additional</w:t>
      </w:r>
      <w:r w:rsidR="00EC4320" w:rsidRPr="0039588E">
        <w:rPr>
          <w:rFonts w:ascii="Times New Roman" w:hAnsi="Times New Roman"/>
          <w:color w:val="000000"/>
        </w:rPr>
        <w:t xml:space="preserve"> mainte</w:t>
      </w:r>
      <w:r w:rsidR="00EC4320">
        <w:rPr>
          <w:rFonts w:ascii="Times New Roman" w:hAnsi="Times New Roman"/>
          <w:color w:val="000000"/>
        </w:rPr>
        <w:t xml:space="preserve">nance of, </w:t>
      </w:r>
      <w:r w:rsidR="00271B1A">
        <w:rPr>
          <w:rFonts w:ascii="Times New Roman" w:hAnsi="Times New Roman"/>
          <w:color w:val="000000"/>
        </w:rPr>
        <w:t xml:space="preserve">existing </w:t>
      </w:r>
      <w:r w:rsidR="00EC4320">
        <w:rPr>
          <w:rFonts w:ascii="Times New Roman" w:hAnsi="Times New Roman"/>
          <w:color w:val="000000"/>
        </w:rPr>
        <w:t xml:space="preserve">systems </w:t>
      </w:r>
      <w:r w:rsidR="002E46E4">
        <w:rPr>
          <w:rFonts w:ascii="Times New Roman" w:hAnsi="Times New Roman"/>
          <w:color w:val="000000"/>
        </w:rPr>
        <w:t xml:space="preserve">within SDs and MSPs. </w:t>
      </w:r>
    </w:p>
    <w:p w14:paraId="782554B6" w14:textId="77777777" w:rsidR="00EC4320" w:rsidRPr="0039588E" w:rsidRDefault="00EC4320" w:rsidP="00EC4320">
      <w:pPr>
        <w:ind w:firstLine="720"/>
        <w:rPr>
          <w:rFonts w:ascii="Times New Roman" w:hAnsi="Times New Roman"/>
          <w:color w:val="000000"/>
        </w:rPr>
      </w:pPr>
    </w:p>
    <w:p w14:paraId="392742B8" w14:textId="77777777" w:rsidR="00E4751A" w:rsidRPr="0039588E" w:rsidRDefault="00E4751A" w:rsidP="00534B6B">
      <w:pPr>
        <w:tabs>
          <w:tab w:val="left" w:pos="-720"/>
        </w:tabs>
        <w:spacing w:after="240"/>
        <w:rPr>
          <w:rFonts w:ascii="Times New Roman" w:hAnsi="Times New Roman"/>
          <w:b/>
        </w:rPr>
      </w:pPr>
      <w:r w:rsidRPr="0039588E">
        <w:rPr>
          <w:rFonts w:ascii="Times New Roman" w:hAnsi="Times New Roman"/>
          <w:b/>
        </w:rPr>
        <w:t>14.</w:t>
      </w:r>
      <w:r w:rsidRPr="0039588E">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323767BC" w14:textId="619B006B"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 xml:space="preserve">The collection of information is not expected to impose significant annual costs on the Federal Government because it </w:t>
      </w:r>
      <w:r w:rsidR="00E3026F">
        <w:rPr>
          <w:rFonts w:ascii="Times New Roman" w:hAnsi="Times New Roman"/>
        </w:rPr>
        <w:t xml:space="preserve">principally </w:t>
      </w:r>
      <w:r w:rsidRPr="0039588E">
        <w:rPr>
          <w:rFonts w:ascii="Times New Roman" w:hAnsi="Times New Roman"/>
        </w:rPr>
        <w:t>involves a requirement for certain private parties to keep records and make disclosures to other private parties with whom they do business.</w:t>
      </w:r>
    </w:p>
    <w:p w14:paraId="12935770"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15.</w:t>
      </w:r>
      <w:r w:rsidRPr="0039588E">
        <w:rPr>
          <w:rFonts w:ascii="Times New Roman" w:hAnsi="Times New Roman"/>
          <w:b/>
        </w:rPr>
        <w:tab/>
        <w:t>Explain the reasons for any program changes or adjustments reported in Items 13 or 14 of the OMB Form 83-I.</w:t>
      </w:r>
    </w:p>
    <w:p w14:paraId="398E29BF" w14:textId="15456336"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r>
      <w:r w:rsidR="00EC3D9A" w:rsidRPr="0039588E">
        <w:rPr>
          <w:rFonts w:ascii="Times New Roman" w:hAnsi="Times New Roman"/>
        </w:rPr>
        <w:t xml:space="preserve">The burdens have been adjusted to reflect the </w:t>
      </w:r>
      <w:r w:rsidR="00B9000F" w:rsidRPr="0039588E">
        <w:rPr>
          <w:rFonts w:ascii="Times New Roman" w:hAnsi="Times New Roman"/>
        </w:rPr>
        <w:t xml:space="preserve">Commission’s estimate of the </w:t>
      </w:r>
      <w:r w:rsidR="00EC3D9A" w:rsidRPr="0039588E">
        <w:rPr>
          <w:rFonts w:ascii="Times New Roman" w:hAnsi="Times New Roman"/>
        </w:rPr>
        <w:t>current number of affected respondents</w:t>
      </w:r>
      <w:r w:rsidRPr="0039588E">
        <w:rPr>
          <w:rFonts w:ascii="Times New Roman" w:hAnsi="Times New Roman"/>
        </w:rPr>
        <w:t>.</w:t>
      </w:r>
    </w:p>
    <w:p w14:paraId="1DE457DC"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16.</w:t>
      </w:r>
      <w:r w:rsidRPr="0039588E">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C0B53BC"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399831B5" w14:textId="77777777" w:rsidR="00E4751A" w:rsidRPr="0039588E" w:rsidRDefault="00E4751A" w:rsidP="00534B6B">
      <w:pPr>
        <w:tabs>
          <w:tab w:val="left" w:pos="-720"/>
          <w:tab w:val="left" w:pos="0"/>
        </w:tabs>
        <w:spacing w:after="240"/>
        <w:rPr>
          <w:rFonts w:ascii="Times New Roman" w:hAnsi="Times New Roman"/>
          <w:b/>
        </w:rPr>
      </w:pPr>
      <w:r w:rsidRPr="0039588E">
        <w:rPr>
          <w:rFonts w:ascii="Times New Roman" w:hAnsi="Times New Roman"/>
          <w:b/>
        </w:rPr>
        <w:t>17.</w:t>
      </w:r>
      <w:r w:rsidRPr="0039588E">
        <w:rPr>
          <w:rFonts w:ascii="Times New Roman" w:hAnsi="Times New Roman"/>
          <w:b/>
        </w:rPr>
        <w:tab/>
        <w:t>If seeking approval to not display the expiration date for OMB approval of the information collection, explain the reasons that display would be inappropriate.</w:t>
      </w:r>
    </w:p>
    <w:p w14:paraId="1EB7C180" w14:textId="77777777" w:rsidR="00E4751A" w:rsidRPr="0039588E" w:rsidRDefault="00E4751A" w:rsidP="00534B6B">
      <w:pPr>
        <w:tabs>
          <w:tab w:val="left" w:pos="-720"/>
        </w:tabs>
        <w:spacing w:after="240"/>
        <w:rPr>
          <w:rFonts w:ascii="Times New Roman" w:hAnsi="Times New Roman"/>
        </w:rPr>
      </w:pPr>
      <w:r w:rsidRPr="0039588E">
        <w:rPr>
          <w:rFonts w:ascii="Times New Roman" w:hAnsi="Times New Roman"/>
        </w:rPr>
        <w:tab/>
        <w:t>Does not apply.</w:t>
      </w:r>
    </w:p>
    <w:p w14:paraId="0A870FB0" w14:textId="77777777" w:rsidR="00E4751A" w:rsidRPr="0039588E" w:rsidRDefault="00E4751A" w:rsidP="00534B6B">
      <w:pPr>
        <w:keepNext/>
        <w:tabs>
          <w:tab w:val="left" w:pos="-720"/>
          <w:tab w:val="left" w:pos="0"/>
        </w:tabs>
        <w:spacing w:after="240"/>
        <w:rPr>
          <w:rFonts w:ascii="Times New Roman" w:hAnsi="Times New Roman"/>
          <w:b/>
        </w:rPr>
      </w:pPr>
      <w:r w:rsidRPr="0039588E">
        <w:rPr>
          <w:rFonts w:ascii="Times New Roman" w:hAnsi="Times New Roman"/>
          <w:b/>
        </w:rPr>
        <w:t>18.</w:t>
      </w:r>
      <w:r w:rsidRPr="0039588E">
        <w:rPr>
          <w:rFonts w:ascii="Times New Roman" w:hAnsi="Times New Roman"/>
          <w:b/>
        </w:rPr>
        <w:tab/>
        <w:t>Explain each exception to the certification statement identified in Item 19, "Certification for Paperwork Reduction Act Submissions," of OMB Form 83-I.</w:t>
      </w:r>
    </w:p>
    <w:p w14:paraId="7A7191A6" w14:textId="11F6E5E5" w:rsidR="006F4A1E" w:rsidRDefault="00E4751A" w:rsidP="003C0162">
      <w:pPr>
        <w:tabs>
          <w:tab w:val="left" w:pos="-720"/>
        </w:tabs>
        <w:spacing w:after="240"/>
        <w:rPr>
          <w:rFonts w:ascii="Times New Roman" w:hAnsi="Times New Roman"/>
        </w:rPr>
      </w:pPr>
      <w:r w:rsidRPr="0039588E">
        <w:rPr>
          <w:rFonts w:ascii="Times New Roman" w:hAnsi="Times New Roman"/>
        </w:rPr>
        <w:tab/>
        <w:t>Does not apply.</w:t>
      </w:r>
    </w:p>
    <w:p w14:paraId="1EDAAA1C" w14:textId="45BCC65E" w:rsidR="00554EEA" w:rsidRDefault="00554EEA">
      <w:pPr>
        <w:rPr>
          <w:rFonts w:ascii="Times New Roman" w:hAnsi="Times New Roman"/>
        </w:rPr>
      </w:pPr>
      <w:r>
        <w:rPr>
          <w:rFonts w:ascii="Times New Roman" w:hAnsi="Times New Roman"/>
        </w:rPr>
        <w:br w:type="page"/>
      </w:r>
    </w:p>
    <w:p w14:paraId="7612E7F3" w14:textId="77777777" w:rsidR="00554EEA" w:rsidRPr="0039588E" w:rsidRDefault="00554EEA" w:rsidP="003C0162">
      <w:pPr>
        <w:tabs>
          <w:tab w:val="left" w:pos="-720"/>
        </w:tabs>
        <w:spacing w:after="240"/>
        <w:rPr>
          <w:rFonts w:ascii="Times New Roman" w:hAnsi="Times New Roman"/>
        </w:rPr>
      </w:pPr>
    </w:p>
    <w:p w14:paraId="418B63B3" w14:textId="5BEE8706" w:rsidR="006F4A1E" w:rsidRPr="0039588E" w:rsidRDefault="00554EEA" w:rsidP="00BE0485">
      <w:pPr>
        <w:jc w:val="center"/>
        <w:rPr>
          <w:rFonts w:ascii="Times New Roman" w:hAnsi="Times New Roman"/>
        </w:rPr>
      </w:pPr>
      <w:r w:rsidRPr="0039588E">
        <w:rPr>
          <w:rFonts w:ascii="Times New Roman" w:hAnsi="Times New Roman"/>
        </w:rPr>
        <w:t>A</w:t>
      </w:r>
      <w:r>
        <w:rPr>
          <w:rFonts w:ascii="Times New Roman" w:hAnsi="Times New Roman"/>
        </w:rPr>
        <w:t>ttachment</w:t>
      </w:r>
      <w:r w:rsidRPr="0039588E">
        <w:rPr>
          <w:rFonts w:ascii="Times New Roman" w:hAnsi="Times New Roman"/>
        </w:rPr>
        <w:t xml:space="preserve"> </w:t>
      </w:r>
      <w:r w:rsidR="006F4A1E" w:rsidRPr="0039588E">
        <w:rPr>
          <w:rFonts w:ascii="Times New Roman" w:hAnsi="Times New Roman"/>
        </w:rPr>
        <w:t>A</w:t>
      </w:r>
    </w:p>
    <w:p w14:paraId="29C7EBA5" w14:textId="77777777" w:rsidR="00642B6A" w:rsidRPr="0039588E" w:rsidRDefault="00642B6A" w:rsidP="00642B6A">
      <w:pPr>
        <w:jc w:val="center"/>
        <w:rPr>
          <w:rFonts w:ascii="Times New Roman" w:hAnsi="Times New Roman"/>
          <w:b/>
        </w:rPr>
      </w:pPr>
    </w:p>
    <w:p w14:paraId="59DA5197" w14:textId="77777777" w:rsidR="00642B6A" w:rsidRPr="0039588E" w:rsidRDefault="00642B6A" w:rsidP="00642B6A">
      <w:pPr>
        <w:jc w:val="center"/>
        <w:rPr>
          <w:rFonts w:ascii="Times New Roman" w:hAnsi="Times New Roman"/>
          <w:b/>
        </w:rPr>
      </w:pPr>
    </w:p>
    <w:p w14:paraId="2778EEF7" w14:textId="77777777" w:rsidR="00642B6A" w:rsidRPr="0039588E" w:rsidRDefault="00642B6A" w:rsidP="00642B6A">
      <w:pPr>
        <w:spacing w:after="480"/>
        <w:jc w:val="center"/>
        <w:rPr>
          <w:rFonts w:ascii="Times New Roman" w:hAnsi="Times New Roman"/>
          <w:b/>
        </w:rPr>
      </w:pPr>
      <w:r w:rsidRPr="0039588E">
        <w:rPr>
          <w:rFonts w:ascii="Times New Roman" w:hAnsi="Times New Roman"/>
          <w:b/>
        </w:rPr>
        <w:t>OMB Collection File 3038-0091</w:t>
      </w:r>
    </w:p>
    <w:p w14:paraId="0A823AA6" w14:textId="53654579" w:rsidR="00A63EA7" w:rsidRPr="0039588E" w:rsidRDefault="00A63EA7" w:rsidP="006F4A1E">
      <w:pPr>
        <w:spacing w:before="134"/>
        <w:jc w:val="center"/>
        <w:rPr>
          <w:rFonts w:ascii="Times New Roman" w:hAnsi="Times New Roman"/>
          <w:sz w:val="20"/>
          <w:szCs w:val="20"/>
        </w:rPr>
      </w:pPr>
      <w:r w:rsidRPr="0039588E">
        <w:rPr>
          <w:rFonts w:ascii="Times New Roman" w:hAnsi="Times New Roman"/>
          <w:sz w:val="20"/>
          <w:szCs w:val="20"/>
        </w:rPr>
        <w:t>ANNUAL ESTIMATED BURDENS</w:t>
      </w:r>
    </w:p>
    <w:p w14:paraId="4110BAE9" w14:textId="77777777" w:rsidR="00A63EA7" w:rsidRPr="0039588E" w:rsidRDefault="00A63EA7" w:rsidP="006F4A1E">
      <w:pPr>
        <w:spacing w:before="134"/>
        <w:jc w:val="center"/>
        <w:rPr>
          <w:rFonts w:ascii="Times New Roman" w:hAnsi="Times New Roman"/>
          <w:sz w:val="20"/>
          <w:szCs w:val="20"/>
        </w:rPr>
      </w:pPr>
    </w:p>
    <w:p w14:paraId="2126A42C" w14:textId="77777777" w:rsidR="00BE0485" w:rsidRPr="0039588E" w:rsidRDefault="00BE0485" w:rsidP="006F4A1E">
      <w:pPr>
        <w:spacing w:before="3"/>
        <w:rPr>
          <w:rFonts w:ascii="Times New Roman" w:eastAsia="Arial" w:hAnsi="Times New Roman"/>
          <w:sz w:val="16"/>
          <w:szCs w:val="16"/>
        </w:rPr>
      </w:pPr>
    </w:p>
    <w:p w14:paraId="3C92F6AA" w14:textId="77777777" w:rsidR="00BE0485" w:rsidRPr="0039588E" w:rsidRDefault="00BE0485" w:rsidP="006F4A1E">
      <w:pPr>
        <w:spacing w:before="3"/>
        <w:rPr>
          <w:rFonts w:ascii="Times New Roman" w:eastAsia="Arial" w:hAnsi="Times New Roman"/>
          <w:caps/>
          <w:sz w:val="20"/>
          <w:szCs w:val="20"/>
        </w:rPr>
      </w:pPr>
    </w:p>
    <w:p w14:paraId="6D0DA694" w14:textId="4E1E7B45" w:rsidR="00BE0485" w:rsidRPr="0039588E" w:rsidRDefault="00BE0485" w:rsidP="00BE0485">
      <w:pPr>
        <w:spacing w:before="3"/>
        <w:jc w:val="center"/>
        <w:rPr>
          <w:rFonts w:ascii="Times New Roman" w:eastAsia="Arial" w:hAnsi="Times New Roman"/>
          <w:caps/>
          <w:sz w:val="20"/>
          <w:szCs w:val="20"/>
        </w:rPr>
      </w:pPr>
      <w:r w:rsidRPr="0039588E">
        <w:rPr>
          <w:rFonts w:ascii="Times New Roman" w:eastAsia="Arial" w:hAnsi="Times New Roman"/>
          <w:caps/>
          <w:sz w:val="20"/>
          <w:szCs w:val="20"/>
        </w:rPr>
        <w:t>Third-party Disclosure Burden</w:t>
      </w:r>
    </w:p>
    <w:p w14:paraId="6274F975" w14:textId="77777777" w:rsidR="00BE0485" w:rsidRPr="0039588E" w:rsidRDefault="00BE0485" w:rsidP="006F4A1E">
      <w:pPr>
        <w:spacing w:before="3"/>
        <w:rPr>
          <w:rFonts w:ascii="Times New Roman" w:eastAsia="Arial" w:hAnsi="Times New Roman"/>
        </w:rPr>
      </w:pPr>
    </w:p>
    <w:tbl>
      <w:tblPr>
        <w:tblpPr w:leftFromText="180" w:rightFromText="180" w:vertAnchor="page" w:horzAnchor="margin" w:tblpY="5083"/>
        <w:tblW w:w="9892" w:type="dxa"/>
        <w:tblCellMar>
          <w:left w:w="0" w:type="dxa"/>
          <w:right w:w="0" w:type="dxa"/>
        </w:tblCellMar>
        <w:tblLook w:val="01E0" w:firstRow="1" w:lastRow="1" w:firstColumn="1" w:lastColumn="1" w:noHBand="0" w:noVBand="0"/>
      </w:tblPr>
      <w:tblGrid>
        <w:gridCol w:w="1819"/>
        <w:gridCol w:w="1292"/>
        <w:gridCol w:w="978"/>
        <w:gridCol w:w="1074"/>
        <w:gridCol w:w="1380"/>
        <w:gridCol w:w="1136"/>
        <w:gridCol w:w="1029"/>
        <w:gridCol w:w="1184"/>
      </w:tblGrid>
      <w:tr w:rsidR="00260199" w:rsidRPr="0039588E" w14:paraId="05BB3F08" w14:textId="77777777" w:rsidTr="00260199">
        <w:trPr>
          <w:trHeight w:hRule="exact" w:val="880"/>
        </w:trPr>
        <w:tc>
          <w:tcPr>
            <w:tcW w:w="0" w:type="auto"/>
            <w:tcBorders>
              <w:top w:val="single" w:sz="4" w:space="0" w:color="auto"/>
              <w:left w:val="single" w:sz="4" w:space="0" w:color="auto"/>
              <w:bottom w:val="single" w:sz="4" w:space="0" w:color="auto"/>
              <w:right w:val="single" w:sz="4" w:space="0" w:color="auto"/>
            </w:tcBorders>
          </w:tcPr>
          <w:p w14:paraId="059A9630" w14:textId="77777777" w:rsidR="00260199" w:rsidRPr="0039588E" w:rsidRDefault="00260199" w:rsidP="00260199">
            <w:pPr>
              <w:pStyle w:val="TableParagraph"/>
              <w:spacing w:before="10"/>
              <w:rPr>
                <w:rFonts w:ascii="Times New Roman" w:eastAsia="Arial" w:hAnsi="Times New Roman" w:cs="Times New Roman"/>
                <w:sz w:val="16"/>
                <w:szCs w:val="16"/>
              </w:rPr>
            </w:pPr>
          </w:p>
          <w:p w14:paraId="16805009" w14:textId="77777777" w:rsidR="00260199" w:rsidRPr="0039588E" w:rsidRDefault="00260199" w:rsidP="00260199">
            <w:pPr>
              <w:pStyle w:val="TableParagraph"/>
              <w:spacing w:line="160" w:lineRule="exact"/>
              <w:ind w:left="535" w:right="524" w:hanging="90"/>
              <w:rPr>
                <w:rFonts w:ascii="Times New Roman" w:eastAsia="Arial" w:hAnsi="Times New Roman" w:cs="Times New Roman"/>
                <w:sz w:val="16"/>
                <w:szCs w:val="16"/>
              </w:rPr>
            </w:pPr>
            <w:r w:rsidRPr="0039588E">
              <w:rPr>
                <w:rFonts w:ascii="Times New Roman" w:hAnsi="Times New Roman" w:cs="Times New Roman"/>
                <w:sz w:val="16"/>
                <w:szCs w:val="16"/>
              </w:rPr>
              <w:t>Regulations (17</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CFR)</w:t>
            </w:r>
          </w:p>
        </w:tc>
        <w:tc>
          <w:tcPr>
            <w:tcW w:w="0" w:type="auto"/>
            <w:tcBorders>
              <w:top w:val="single" w:sz="4" w:space="0" w:color="auto"/>
              <w:left w:val="single" w:sz="4" w:space="0" w:color="auto"/>
              <w:bottom w:val="single" w:sz="4" w:space="0" w:color="auto"/>
              <w:right w:val="single" w:sz="4" w:space="0" w:color="auto"/>
            </w:tcBorders>
          </w:tcPr>
          <w:p w14:paraId="538B1D45" w14:textId="77777777" w:rsidR="00260199" w:rsidRPr="0039588E" w:rsidRDefault="00260199" w:rsidP="00260199">
            <w:pPr>
              <w:pStyle w:val="TableParagraph"/>
              <w:spacing w:before="11"/>
              <w:rPr>
                <w:rFonts w:ascii="Times New Roman" w:eastAsia="Arial" w:hAnsi="Times New Roman" w:cs="Times New Roman"/>
                <w:sz w:val="16"/>
                <w:szCs w:val="16"/>
              </w:rPr>
            </w:pPr>
          </w:p>
          <w:p w14:paraId="1AEEBC28" w14:textId="77777777" w:rsidR="00260199" w:rsidRPr="0039588E" w:rsidRDefault="00260199" w:rsidP="00260199">
            <w:pPr>
              <w:pStyle w:val="TableParagraph"/>
              <w:spacing w:line="160" w:lineRule="exact"/>
              <w:ind w:left="254" w:right="251" w:hanging="1"/>
              <w:jc w:val="center"/>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of entities</w:t>
            </w:r>
          </w:p>
        </w:tc>
        <w:tc>
          <w:tcPr>
            <w:tcW w:w="0" w:type="auto"/>
            <w:tcBorders>
              <w:top w:val="single" w:sz="4" w:space="0" w:color="auto"/>
              <w:left w:val="single" w:sz="4" w:space="0" w:color="auto"/>
              <w:bottom w:val="single" w:sz="4" w:space="0" w:color="auto"/>
              <w:right w:val="single" w:sz="4" w:space="0" w:color="auto"/>
            </w:tcBorders>
          </w:tcPr>
          <w:p w14:paraId="53B50713" w14:textId="77777777" w:rsidR="00260199" w:rsidRPr="0039588E" w:rsidRDefault="00260199" w:rsidP="00260199">
            <w:pPr>
              <w:pStyle w:val="TableParagraph"/>
              <w:spacing w:before="11"/>
              <w:rPr>
                <w:rFonts w:ascii="Times New Roman" w:eastAsia="Arial" w:hAnsi="Times New Roman" w:cs="Times New Roman"/>
                <w:sz w:val="16"/>
                <w:szCs w:val="16"/>
              </w:rPr>
            </w:pPr>
          </w:p>
          <w:p w14:paraId="62DD34C0" w14:textId="77777777" w:rsidR="00260199" w:rsidRPr="0039588E" w:rsidRDefault="00260199" w:rsidP="00260199">
            <w:pPr>
              <w:pStyle w:val="TableParagraph"/>
              <w:spacing w:line="160" w:lineRule="exact"/>
              <w:ind w:left="107" w:right="105"/>
              <w:jc w:val="center"/>
              <w:rPr>
                <w:rFonts w:ascii="Times New Roman" w:eastAsia="Arial" w:hAnsi="Times New Roman" w:cs="Times New Roman"/>
                <w:sz w:val="16"/>
                <w:szCs w:val="16"/>
              </w:rPr>
            </w:pPr>
            <w:r w:rsidRPr="0039588E">
              <w:rPr>
                <w:rFonts w:ascii="Times New Roman" w:hAnsi="Times New Roman" w:cs="Times New Roman"/>
                <w:sz w:val="16"/>
                <w:szCs w:val="16"/>
              </w:rPr>
              <w:t>Annual responses</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per entity</w:t>
            </w:r>
          </w:p>
        </w:tc>
        <w:tc>
          <w:tcPr>
            <w:tcW w:w="0" w:type="auto"/>
            <w:tcBorders>
              <w:top w:val="single" w:sz="4" w:space="0" w:color="auto"/>
              <w:left w:val="single" w:sz="4" w:space="0" w:color="auto"/>
              <w:bottom w:val="single" w:sz="4" w:space="0" w:color="auto"/>
              <w:right w:val="single" w:sz="4" w:space="0" w:color="auto"/>
            </w:tcBorders>
          </w:tcPr>
          <w:p w14:paraId="5B3D8337" w14:textId="77777777" w:rsidR="00260199" w:rsidRPr="0039588E" w:rsidRDefault="00260199" w:rsidP="00260199">
            <w:pPr>
              <w:pStyle w:val="TableParagraph"/>
              <w:spacing w:before="10"/>
              <w:rPr>
                <w:rFonts w:ascii="Times New Roman" w:eastAsia="Arial" w:hAnsi="Times New Roman" w:cs="Times New Roman"/>
                <w:sz w:val="16"/>
                <w:szCs w:val="16"/>
              </w:rPr>
            </w:pPr>
          </w:p>
          <w:p w14:paraId="61DFAA2C" w14:textId="77777777" w:rsidR="00260199" w:rsidRPr="0039588E" w:rsidRDefault="00260199" w:rsidP="00260199">
            <w:pPr>
              <w:pStyle w:val="TableParagraph"/>
              <w:spacing w:line="160" w:lineRule="exact"/>
              <w:ind w:left="249" w:right="171" w:hanging="76"/>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responses</w:t>
            </w:r>
          </w:p>
        </w:tc>
        <w:tc>
          <w:tcPr>
            <w:tcW w:w="0" w:type="auto"/>
            <w:tcBorders>
              <w:top w:val="single" w:sz="4" w:space="0" w:color="auto"/>
              <w:left w:val="single" w:sz="4" w:space="0" w:color="auto"/>
              <w:bottom w:val="single" w:sz="4" w:space="0" w:color="auto"/>
              <w:right w:val="single" w:sz="4" w:space="0" w:color="auto"/>
            </w:tcBorders>
          </w:tcPr>
          <w:p w14:paraId="5C9047FA" w14:textId="77777777" w:rsidR="00260199" w:rsidRPr="0039588E" w:rsidRDefault="00260199" w:rsidP="00260199">
            <w:pPr>
              <w:pStyle w:val="TableParagraph"/>
              <w:spacing w:before="80" w:line="160" w:lineRule="exact"/>
              <w:ind w:left="254" w:right="252" w:firstLine="8"/>
              <w:jc w:val="both"/>
              <w:rPr>
                <w:rFonts w:ascii="Times New Roman" w:eastAsia="Arial" w:hAnsi="Times New Roman" w:cs="Times New Roman"/>
                <w:sz w:val="16"/>
                <w:szCs w:val="16"/>
              </w:rPr>
            </w:pPr>
            <w:r w:rsidRPr="0039588E">
              <w:rPr>
                <w:rFonts w:ascii="Times New Roman" w:hAnsi="Times New Roman" w:cs="Times New Roman"/>
                <w:sz w:val="16"/>
                <w:szCs w:val="16"/>
              </w:rPr>
              <w:t>Estimated number</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of hours</w:t>
            </w:r>
            <w:r>
              <w:rPr>
                <w:rFonts w:ascii="Times New Roman" w:hAnsi="Times New Roman" w:cs="Times New Roman"/>
                <w:spacing w:val="8"/>
                <w:sz w:val="16"/>
                <w:szCs w:val="16"/>
              </w:rPr>
              <w:t xml:space="preserve"> </w:t>
            </w:r>
            <w:r w:rsidRPr="0039588E">
              <w:rPr>
                <w:rFonts w:ascii="Times New Roman" w:hAnsi="Times New Roman" w:cs="Times New Roman"/>
                <w:sz w:val="16"/>
                <w:szCs w:val="16"/>
              </w:rPr>
              <w:t>per response</w:t>
            </w:r>
          </w:p>
        </w:tc>
        <w:tc>
          <w:tcPr>
            <w:tcW w:w="0" w:type="auto"/>
            <w:tcBorders>
              <w:top w:val="single" w:sz="4" w:space="0" w:color="auto"/>
              <w:left w:val="single" w:sz="4" w:space="0" w:color="auto"/>
              <w:bottom w:val="single" w:sz="4" w:space="0" w:color="auto"/>
              <w:right w:val="single" w:sz="4" w:space="0" w:color="auto"/>
            </w:tcBorders>
          </w:tcPr>
          <w:p w14:paraId="2626348A" w14:textId="77777777" w:rsidR="00260199" w:rsidRPr="0039588E" w:rsidRDefault="00260199" w:rsidP="00260199">
            <w:pPr>
              <w:pStyle w:val="TableParagraph"/>
              <w:spacing w:before="11"/>
              <w:rPr>
                <w:rFonts w:ascii="Times New Roman" w:eastAsia="Arial" w:hAnsi="Times New Roman" w:cs="Times New Roman"/>
                <w:sz w:val="16"/>
                <w:szCs w:val="16"/>
              </w:rPr>
            </w:pPr>
          </w:p>
          <w:p w14:paraId="22BA4922" w14:textId="77777777" w:rsidR="00260199" w:rsidRPr="0039588E" w:rsidRDefault="00260199" w:rsidP="00260199">
            <w:pPr>
              <w:pStyle w:val="TableParagraph"/>
              <w:spacing w:line="160" w:lineRule="exact"/>
              <w:ind w:left="147" w:right="145" w:firstLine="115"/>
              <w:rPr>
                <w:rFonts w:ascii="Times New Roman" w:eastAsia="Arial" w:hAnsi="Times New Roman" w:cs="Times New Roman"/>
                <w:sz w:val="16"/>
                <w:szCs w:val="16"/>
              </w:rPr>
            </w:pPr>
            <w:r w:rsidRPr="0039588E">
              <w:rPr>
                <w:rFonts w:ascii="Times New Roman" w:hAnsi="Times New Roman" w:cs="Times New Roman"/>
                <w:sz w:val="16"/>
                <w:szCs w:val="16"/>
              </w:rPr>
              <w:t>Estimated average</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cost per</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response</w:t>
            </w:r>
          </w:p>
        </w:tc>
        <w:tc>
          <w:tcPr>
            <w:tcW w:w="0" w:type="auto"/>
            <w:tcBorders>
              <w:top w:val="single" w:sz="4" w:space="0" w:color="auto"/>
              <w:left w:val="single" w:sz="4" w:space="0" w:color="auto"/>
              <w:bottom w:val="single" w:sz="4" w:space="0" w:color="auto"/>
              <w:right w:val="single" w:sz="4" w:space="0" w:color="auto"/>
            </w:tcBorders>
          </w:tcPr>
          <w:p w14:paraId="5F945D44" w14:textId="77777777" w:rsidR="00260199" w:rsidRPr="0039588E" w:rsidRDefault="00260199" w:rsidP="00260199">
            <w:pPr>
              <w:pStyle w:val="TableParagraph"/>
              <w:spacing w:before="10"/>
              <w:rPr>
                <w:rFonts w:ascii="Times New Roman" w:eastAsia="Arial" w:hAnsi="Times New Roman" w:cs="Times New Roman"/>
                <w:sz w:val="16"/>
                <w:szCs w:val="16"/>
              </w:rPr>
            </w:pPr>
          </w:p>
          <w:p w14:paraId="59CAD138" w14:textId="77777777" w:rsidR="00260199" w:rsidRPr="0039588E" w:rsidRDefault="00260199" w:rsidP="00260199">
            <w:pPr>
              <w:pStyle w:val="TableParagraph"/>
              <w:spacing w:line="160" w:lineRule="exact"/>
              <w:ind w:left="142" w:right="141" w:firstLine="31"/>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burden-hours</w:t>
            </w:r>
          </w:p>
        </w:tc>
        <w:tc>
          <w:tcPr>
            <w:tcW w:w="0" w:type="auto"/>
            <w:tcBorders>
              <w:top w:val="single" w:sz="4" w:space="0" w:color="auto"/>
              <w:left w:val="single" w:sz="4" w:space="0" w:color="auto"/>
              <w:bottom w:val="single" w:sz="4" w:space="0" w:color="auto"/>
              <w:right w:val="single" w:sz="4" w:space="0" w:color="auto"/>
            </w:tcBorders>
          </w:tcPr>
          <w:p w14:paraId="54C9312D" w14:textId="77777777" w:rsidR="00260199" w:rsidRPr="0039588E" w:rsidRDefault="00260199" w:rsidP="00260199">
            <w:pPr>
              <w:pStyle w:val="TableParagraph"/>
              <w:spacing w:before="10"/>
              <w:rPr>
                <w:rFonts w:ascii="Times New Roman" w:eastAsia="Arial" w:hAnsi="Times New Roman" w:cs="Times New Roman"/>
                <w:sz w:val="16"/>
                <w:szCs w:val="16"/>
              </w:rPr>
            </w:pPr>
          </w:p>
          <w:p w14:paraId="45707166" w14:textId="77777777" w:rsidR="00260199" w:rsidRPr="0039588E" w:rsidRDefault="00260199" w:rsidP="00260199">
            <w:pPr>
              <w:pStyle w:val="TableParagraph"/>
              <w:spacing w:line="160" w:lineRule="exact"/>
              <w:ind w:left="196" w:right="92" w:hanging="23"/>
              <w:rPr>
                <w:rFonts w:ascii="Times New Roman" w:eastAsia="Arial" w:hAnsi="Times New Roman" w:cs="Times New Roman"/>
                <w:sz w:val="16"/>
                <w:szCs w:val="16"/>
              </w:rPr>
            </w:pPr>
            <w:r w:rsidRPr="0039588E">
              <w:rPr>
                <w:rFonts w:ascii="Times New Roman" w:hAnsi="Times New Roman" w:cs="Times New Roman"/>
                <w:sz w:val="16"/>
                <w:szCs w:val="16"/>
              </w:rPr>
              <w:t>Total</w:t>
            </w:r>
            <w:r w:rsidRPr="0039588E">
              <w:rPr>
                <w:rFonts w:ascii="Times New Roman" w:hAnsi="Times New Roman" w:cs="Times New Roman"/>
                <w:spacing w:val="8"/>
                <w:sz w:val="16"/>
                <w:szCs w:val="16"/>
              </w:rPr>
              <w:t xml:space="preserve"> </w:t>
            </w:r>
            <w:r w:rsidRPr="0039588E">
              <w:rPr>
                <w:rFonts w:ascii="Times New Roman" w:hAnsi="Times New Roman" w:cs="Times New Roman"/>
                <w:sz w:val="16"/>
                <w:szCs w:val="16"/>
              </w:rPr>
              <w:t>annual burden-cost</w:t>
            </w:r>
          </w:p>
        </w:tc>
      </w:tr>
      <w:tr w:rsidR="00260199" w:rsidRPr="0039588E" w14:paraId="564BEEC2" w14:textId="77777777" w:rsidTr="00260199">
        <w:trPr>
          <w:trHeight w:hRule="exact" w:val="338"/>
        </w:trPr>
        <w:tc>
          <w:tcPr>
            <w:tcW w:w="0" w:type="auto"/>
            <w:tcBorders>
              <w:top w:val="single" w:sz="4" w:space="0" w:color="auto"/>
              <w:left w:val="single" w:sz="4" w:space="0" w:color="auto"/>
              <w:bottom w:val="single" w:sz="4" w:space="0" w:color="auto"/>
              <w:right w:val="single" w:sz="4" w:space="0" w:color="auto"/>
            </w:tcBorders>
          </w:tcPr>
          <w:p w14:paraId="7B6DDBBC" w14:textId="77777777" w:rsidR="00260199" w:rsidRPr="0039588E" w:rsidRDefault="00260199" w:rsidP="00260199">
            <w:pPr>
              <w:pStyle w:val="TableParagraph"/>
              <w:spacing w:before="78"/>
              <w:ind w:left="5"/>
              <w:rPr>
                <w:rFonts w:ascii="Times New Roman" w:eastAsia="Arial"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3.701</w:t>
            </w:r>
            <w:r w:rsidRPr="0039588E">
              <w:rPr>
                <w:rFonts w:ascii="Times New Roman" w:hAnsi="Times New Roman" w:cs="Times New Roman"/>
                <w:spacing w:val="4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093C697"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102</w:t>
            </w:r>
          </w:p>
        </w:tc>
        <w:tc>
          <w:tcPr>
            <w:tcW w:w="0" w:type="auto"/>
            <w:tcBorders>
              <w:top w:val="single" w:sz="4" w:space="0" w:color="auto"/>
              <w:left w:val="single" w:sz="4" w:space="0" w:color="auto"/>
              <w:bottom w:val="single" w:sz="4" w:space="0" w:color="auto"/>
              <w:right w:val="single" w:sz="4" w:space="0" w:color="auto"/>
            </w:tcBorders>
          </w:tcPr>
          <w:p w14:paraId="00365C1C"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1,300</w:t>
            </w:r>
          </w:p>
        </w:tc>
        <w:tc>
          <w:tcPr>
            <w:tcW w:w="0" w:type="auto"/>
            <w:tcBorders>
              <w:top w:val="single" w:sz="4" w:space="0" w:color="auto"/>
              <w:left w:val="single" w:sz="4" w:space="0" w:color="auto"/>
              <w:bottom w:val="single" w:sz="4" w:space="0" w:color="auto"/>
              <w:right w:val="single" w:sz="4" w:space="0" w:color="auto"/>
            </w:tcBorders>
          </w:tcPr>
          <w:p w14:paraId="40785C10" w14:textId="77777777" w:rsidR="00260199" w:rsidRPr="0039588E" w:rsidRDefault="00260199" w:rsidP="00260199">
            <w:pPr>
              <w:pStyle w:val="TableParagraph"/>
              <w:spacing w:before="78"/>
              <w:ind w:left="329"/>
              <w:jc w:val="both"/>
              <w:rPr>
                <w:rFonts w:ascii="Times New Roman" w:eastAsia="Arial" w:hAnsi="Times New Roman" w:cs="Times New Roman"/>
                <w:sz w:val="16"/>
                <w:szCs w:val="16"/>
              </w:rPr>
            </w:pPr>
            <w:r>
              <w:rPr>
                <w:rFonts w:ascii="Times New Roman" w:hAnsi="Times New Roman" w:cs="Times New Roman"/>
                <w:sz w:val="16"/>
                <w:szCs w:val="16"/>
              </w:rPr>
              <w:t>132,600</w:t>
            </w:r>
          </w:p>
        </w:tc>
        <w:tc>
          <w:tcPr>
            <w:tcW w:w="0" w:type="auto"/>
            <w:tcBorders>
              <w:top w:val="single" w:sz="4" w:space="0" w:color="auto"/>
              <w:left w:val="single" w:sz="4" w:space="0" w:color="auto"/>
              <w:bottom w:val="single" w:sz="4" w:space="0" w:color="auto"/>
              <w:right w:val="single" w:sz="4" w:space="0" w:color="auto"/>
            </w:tcBorders>
          </w:tcPr>
          <w:p w14:paraId="6470AD00"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51A9C366" w14:textId="77777777" w:rsidR="00260199" w:rsidRPr="0039588E" w:rsidRDefault="00260199" w:rsidP="00260199">
            <w:pPr>
              <w:pStyle w:val="TableParagraph"/>
              <w:spacing w:before="78"/>
              <w:rPr>
                <w:rFonts w:ascii="Times New Roman" w:eastAsia="Arial" w:hAnsi="Times New Roman" w:cs="Times New Roman"/>
                <w:sz w:val="16"/>
                <w:szCs w:val="16"/>
              </w:rPr>
            </w:pPr>
            <w:r>
              <w:rPr>
                <w:rFonts w:ascii="Times New Roman" w:hAnsi="Times New Roman" w:cs="Times New Roman"/>
                <w:sz w:val="16"/>
                <w:szCs w:val="16"/>
              </w:rPr>
              <w:t>$100</w:t>
            </w:r>
          </w:p>
        </w:tc>
        <w:tc>
          <w:tcPr>
            <w:tcW w:w="0" w:type="auto"/>
            <w:tcBorders>
              <w:top w:val="single" w:sz="4" w:space="0" w:color="auto"/>
              <w:left w:val="single" w:sz="4" w:space="0" w:color="auto"/>
              <w:bottom w:val="single" w:sz="4" w:space="0" w:color="auto"/>
              <w:right w:val="single" w:sz="4" w:space="0" w:color="auto"/>
            </w:tcBorders>
          </w:tcPr>
          <w:p w14:paraId="78B9F731" w14:textId="77777777" w:rsidR="00260199" w:rsidRPr="0039588E" w:rsidRDefault="00260199" w:rsidP="00260199">
            <w:pPr>
              <w:pStyle w:val="TableParagraph"/>
              <w:spacing w:before="78"/>
              <w:ind w:left="374"/>
              <w:rPr>
                <w:rFonts w:ascii="Times New Roman" w:eastAsia="Arial" w:hAnsi="Times New Roman" w:cs="Times New Roman"/>
                <w:sz w:val="16"/>
                <w:szCs w:val="16"/>
              </w:rPr>
            </w:pPr>
            <w:r>
              <w:rPr>
                <w:rFonts w:ascii="Times New Roman" w:hAnsi="Times New Roman" w:cs="Times New Roman"/>
                <w:sz w:val="16"/>
                <w:szCs w:val="16"/>
              </w:rPr>
              <w:t>265,200</w:t>
            </w:r>
            <w:r w:rsidRPr="00D77DAF">
              <w:rPr>
                <w:rFonts w:ascii="Times New Roman" w:hAnsi="Times New Roman" w:cs="Times New Roman"/>
                <w:sz w:val="16"/>
                <w:szCs w:val="16"/>
              </w:rPr>
              <w:t xml:space="preserve"> </w:t>
            </w:r>
            <w:r>
              <w:rPr>
                <w:rFonts w:ascii="Times New Roman" w:hAnsi="Times New Roman" w:cs="Times New Roman"/>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114D1C86" w14:textId="77777777" w:rsidR="00260199" w:rsidRPr="0039588E" w:rsidRDefault="00260199" w:rsidP="00260199">
            <w:pPr>
              <w:pStyle w:val="TableParagraph"/>
              <w:spacing w:before="78"/>
              <w:ind w:left="284"/>
              <w:jc w:val="both"/>
              <w:rPr>
                <w:rFonts w:ascii="Times New Roman" w:eastAsia="Arial" w:hAnsi="Times New Roman" w:cs="Times New Roman"/>
                <w:sz w:val="16"/>
                <w:szCs w:val="16"/>
              </w:rPr>
            </w:pPr>
            <w:r>
              <w:rPr>
                <w:rFonts w:ascii="Times New Roman" w:hAnsi="Times New Roman" w:cs="Times New Roman"/>
                <w:sz w:val="16"/>
                <w:szCs w:val="16"/>
              </w:rPr>
              <w:t>$13,260,000</w:t>
            </w:r>
          </w:p>
        </w:tc>
      </w:tr>
      <w:tr w:rsidR="00260199" w:rsidRPr="0039588E" w14:paraId="5812C9FA" w14:textId="77777777" w:rsidTr="00260199">
        <w:trPr>
          <w:trHeight w:hRule="exact" w:val="338"/>
        </w:trPr>
        <w:tc>
          <w:tcPr>
            <w:tcW w:w="0" w:type="auto"/>
            <w:tcBorders>
              <w:top w:val="single" w:sz="4" w:space="0" w:color="auto"/>
              <w:left w:val="single" w:sz="4" w:space="0" w:color="auto"/>
              <w:bottom w:val="single" w:sz="4" w:space="0" w:color="auto"/>
              <w:right w:val="single" w:sz="4" w:space="0" w:color="auto"/>
            </w:tcBorders>
          </w:tcPr>
          <w:p w14:paraId="3A137D84" w14:textId="77777777" w:rsidR="00260199" w:rsidRPr="0039588E" w:rsidRDefault="00260199" w:rsidP="00260199">
            <w:pPr>
              <w:pStyle w:val="TableParagraph"/>
              <w:spacing w:before="78"/>
              <w:ind w:left="5"/>
              <w:rPr>
                <w:rFonts w:ascii="Times New Roman" w:hAnsi="Times New Roman" w:cs="Times New Roman"/>
                <w:sz w:val="16"/>
                <w:szCs w:val="16"/>
              </w:rPr>
            </w:pPr>
            <w:r w:rsidRPr="0039588E">
              <w:rPr>
                <w:rFonts w:ascii="Times New Roman" w:hAnsi="Times New Roman" w:cs="Times New Roman"/>
                <w:sz w:val="16"/>
                <w:szCs w:val="16"/>
              </w:rPr>
              <w:t>2</w:t>
            </w:r>
            <w:r>
              <w:rPr>
                <w:rFonts w:ascii="Times New Roman" w:hAnsi="Times New Roman" w:cs="Times New Roman"/>
                <w:sz w:val="16"/>
                <w:szCs w:val="16"/>
              </w:rPr>
              <w:t>3.704</w:t>
            </w:r>
          </w:p>
        </w:tc>
        <w:tc>
          <w:tcPr>
            <w:tcW w:w="0" w:type="auto"/>
            <w:tcBorders>
              <w:top w:val="single" w:sz="4" w:space="0" w:color="auto"/>
              <w:left w:val="single" w:sz="4" w:space="0" w:color="auto"/>
              <w:bottom w:val="single" w:sz="4" w:space="0" w:color="auto"/>
              <w:right w:val="single" w:sz="4" w:space="0" w:color="auto"/>
            </w:tcBorders>
          </w:tcPr>
          <w:p w14:paraId="18C30028"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102</w:t>
            </w:r>
          </w:p>
        </w:tc>
        <w:tc>
          <w:tcPr>
            <w:tcW w:w="0" w:type="auto"/>
            <w:tcBorders>
              <w:top w:val="single" w:sz="4" w:space="0" w:color="auto"/>
              <w:left w:val="single" w:sz="4" w:space="0" w:color="auto"/>
              <w:bottom w:val="single" w:sz="4" w:space="0" w:color="auto"/>
              <w:right w:val="single" w:sz="4" w:space="0" w:color="auto"/>
            </w:tcBorders>
          </w:tcPr>
          <w:p w14:paraId="0BE9B1C9"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2,600*</w:t>
            </w:r>
          </w:p>
        </w:tc>
        <w:tc>
          <w:tcPr>
            <w:tcW w:w="0" w:type="auto"/>
            <w:tcBorders>
              <w:top w:val="single" w:sz="4" w:space="0" w:color="auto"/>
              <w:left w:val="single" w:sz="4" w:space="0" w:color="auto"/>
              <w:bottom w:val="single" w:sz="4" w:space="0" w:color="auto"/>
              <w:right w:val="single" w:sz="4" w:space="0" w:color="auto"/>
            </w:tcBorders>
          </w:tcPr>
          <w:p w14:paraId="1F5628CA" w14:textId="77777777" w:rsidR="00260199" w:rsidRPr="0039588E" w:rsidRDefault="00260199" w:rsidP="00260199">
            <w:pPr>
              <w:pStyle w:val="TableParagraph"/>
              <w:spacing w:before="78"/>
              <w:ind w:left="329"/>
              <w:rPr>
                <w:rFonts w:ascii="Times New Roman" w:hAnsi="Times New Roman" w:cs="Times New Roman"/>
                <w:sz w:val="16"/>
                <w:szCs w:val="16"/>
              </w:rPr>
            </w:pPr>
            <w:r>
              <w:rPr>
                <w:rFonts w:ascii="Times New Roman" w:hAnsi="Times New Roman" w:cs="Times New Roman"/>
                <w:sz w:val="16"/>
                <w:szCs w:val="16"/>
              </w:rPr>
              <w:t>265,200</w:t>
            </w:r>
          </w:p>
        </w:tc>
        <w:tc>
          <w:tcPr>
            <w:tcW w:w="0" w:type="auto"/>
            <w:tcBorders>
              <w:top w:val="single" w:sz="4" w:space="0" w:color="auto"/>
              <w:left w:val="single" w:sz="4" w:space="0" w:color="auto"/>
              <w:bottom w:val="single" w:sz="4" w:space="0" w:color="auto"/>
              <w:right w:val="single" w:sz="4" w:space="0" w:color="auto"/>
            </w:tcBorders>
          </w:tcPr>
          <w:p w14:paraId="47678CC6" w14:textId="77777777"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.31</w:t>
            </w:r>
          </w:p>
        </w:tc>
        <w:tc>
          <w:tcPr>
            <w:tcW w:w="0" w:type="auto"/>
            <w:tcBorders>
              <w:top w:val="single" w:sz="4" w:space="0" w:color="auto"/>
              <w:left w:val="single" w:sz="4" w:space="0" w:color="auto"/>
              <w:bottom w:val="single" w:sz="4" w:space="0" w:color="auto"/>
              <w:right w:val="single" w:sz="4" w:space="0" w:color="auto"/>
            </w:tcBorders>
          </w:tcPr>
          <w:p w14:paraId="6A905507" w14:textId="34C290B9" w:rsidR="00260199" w:rsidRPr="0039588E" w:rsidRDefault="00260199" w:rsidP="00260199">
            <w:pPr>
              <w:pStyle w:val="TableParagraph"/>
              <w:spacing w:before="78"/>
              <w:rPr>
                <w:rFonts w:ascii="Times New Roman" w:hAnsi="Times New Roman" w:cs="Times New Roman"/>
                <w:sz w:val="16"/>
                <w:szCs w:val="16"/>
              </w:rPr>
            </w:pPr>
            <w:r>
              <w:rPr>
                <w:rFonts w:ascii="Times New Roman" w:hAnsi="Times New Roman" w:cs="Times New Roman"/>
                <w:sz w:val="16"/>
                <w:szCs w:val="16"/>
              </w:rPr>
              <w:t>$8.19</w:t>
            </w:r>
            <w:r w:rsidR="004045BA">
              <w:rPr>
                <w:rFonts w:ascii="Times New Roman" w:hAnsi="Times New Roman"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3E1AEA39" w14:textId="77777777" w:rsidR="00260199" w:rsidRPr="0039588E" w:rsidRDefault="00260199" w:rsidP="00260199">
            <w:pPr>
              <w:pStyle w:val="TableParagraph"/>
              <w:spacing w:before="78"/>
              <w:ind w:left="374"/>
              <w:rPr>
                <w:rFonts w:ascii="Times New Roman" w:hAnsi="Times New Roman" w:cs="Times New Roman"/>
                <w:sz w:val="16"/>
                <w:szCs w:val="16"/>
              </w:rPr>
            </w:pPr>
            <w:r>
              <w:rPr>
                <w:rFonts w:ascii="Times New Roman" w:hAnsi="Times New Roman" w:cs="Times New Roman"/>
                <w:sz w:val="16"/>
                <w:szCs w:val="16"/>
              </w:rPr>
              <w:t>82,212</w:t>
            </w:r>
          </w:p>
        </w:tc>
        <w:tc>
          <w:tcPr>
            <w:tcW w:w="0" w:type="auto"/>
            <w:tcBorders>
              <w:top w:val="single" w:sz="4" w:space="0" w:color="auto"/>
              <w:left w:val="single" w:sz="4" w:space="0" w:color="auto"/>
              <w:bottom w:val="single" w:sz="4" w:space="0" w:color="auto"/>
              <w:right w:val="single" w:sz="4" w:space="0" w:color="auto"/>
            </w:tcBorders>
          </w:tcPr>
          <w:p w14:paraId="29987023" w14:textId="77777777" w:rsidR="00260199" w:rsidRPr="0039588E" w:rsidRDefault="00260199" w:rsidP="00260199">
            <w:pPr>
              <w:pStyle w:val="TableParagraph"/>
              <w:spacing w:before="78"/>
              <w:ind w:left="284"/>
              <w:jc w:val="both"/>
              <w:rPr>
                <w:rFonts w:ascii="Times New Roman" w:hAnsi="Times New Roman" w:cs="Times New Roman"/>
                <w:sz w:val="16"/>
                <w:szCs w:val="16"/>
              </w:rPr>
            </w:pPr>
            <w:r w:rsidRPr="00714B02">
              <w:rPr>
                <w:rFonts w:ascii="Times New Roman" w:hAnsi="Times New Roman" w:cs="Times New Roman"/>
                <w:sz w:val="16"/>
                <w:szCs w:val="16"/>
              </w:rPr>
              <w:t>$</w:t>
            </w:r>
            <w:r>
              <w:rPr>
                <w:rFonts w:ascii="Times New Roman" w:hAnsi="Times New Roman" w:cs="Times New Roman"/>
                <w:sz w:val="16"/>
                <w:szCs w:val="16"/>
              </w:rPr>
              <w:t>2,172,600</w:t>
            </w:r>
          </w:p>
        </w:tc>
      </w:tr>
    </w:tbl>
    <w:p w14:paraId="0FD434A8" w14:textId="77777777" w:rsidR="000B2D6B" w:rsidRDefault="000B2D6B" w:rsidP="000B2D6B">
      <w:pPr>
        <w:rPr>
          <w:rFonts w:ascii="Times New Roman" w:hAnsi="Times New Roman"/>
        </w:rPr>
      </w:pPr>
    </w:p>
    <w:p w14:paraId="207AA32A" w14:textId="5F8370EE" w:rsidR="00A45E85" w:rsidRDefault="00A45E85" w:rsidP="000B2D6B">
      <w:pPr>
        <w:rPr>
          <w:rFonts w:ascii="Times New Roman" w:hAnsi="Times New Roman"/>
        </w:rPr>
      </w:pPr>
    </w:p>
    <w:p w14:paraId="12F65980" w14:textId="1B027AA7" w:rsidR="000B2D6B" w:rsidRPr="00081AFB" w:rsidRDefault="000B2D6B" w:rsidP="000B2D6B">
      <w:pPr>
        <w:rPr>
          <w:rFonts w:ascii="Times New Roman" w:hAnsi="Times New Roman"/>
        </w:rPr>
      </w:pPr>
    </w:p>
    <w:p w14:paraId="532767D8" w14:textId="5A8092DD" w:rsidR="0015362C" w:rsidRPr="0039588E" w:rsidRDefault="0015362C" w:rsidP="003C0162">
      <w:pPr>
        <w:tabs>
          <w:tab w:val="left" w:pos="-720"/>
        </w:tabs>
        <w:spacing w:after="240"/>
        <w:rPr>
          <w:rFonts w:ascii="Times New Roman" w:hAnsi="Times New Roman"/>
        </w:rPr>
      </w:pPr>
      <w:r w:rsidRPr="0015362C">
        <w:rPr>
          <w:rFonts w:ascii="Times New Roman" w:hAnsi="Times New Roman"/>
        </w:rPr>
        <w:t>*The 2600 reports per annum estimate is based on each entity making quarterly reports to 650 counterparties (4 x 650 = 2600 reports per year).</w:t>
      </w:r>
    </w:p>
    <w:sectPr w:rsidR="0015362C" w:rsidRPr="0039588E" w:rsidSect="00DF51BA">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A9CFD" w14:textId="77777777" w:rsidR="001D7B20" w:rsidRDefault="001D7B20" w:rsidP="00081AFB">
      <w:r>
        <w:separator/>
      </w:r>
    </w:p>
  </w:endnote>
  <w:endnote w:type="continuationSeparator" w:id="0">
    <w:p w14:paraId="3D26215F" w14:textId="77777777" w:rsidR="001D7B20" w:rsidRDefault="001D7B20" w:rsidP="00081AFB">
      <w:r>
        <w:continuationSeparator/>
      </w:r>
    </w:p>
  </w:endnote>
  <w:endnote w:type="continuationNotice" w:id="1">
    <w:p w14:paraId="3E74588B" w14:textId="77777777" w:rsidR="001D7B20" w:rsidRDefault="001D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1CD42" w14:textId="77777777" w:rsidR="00E4751A" w:rsidRDefault="00027F2F">
    <w:pPr>
      <w:pStyle w:val="Footer"/>
      <w:jc w:val="center"/>
    </w:pPr>
    <w:r>
      <w:fldChar w:fldCharType="begin"/>
    </w:r>
    <w:r>
      <w:instrText xml:space="preserve"> PAGE   \* MERGEFORMAT </w:instrText>
    </w:r>
    <w:r>
      <w:fldChar w:fldCharType="separate"/>
    </w:r>
    <w:r w:rsidR="0058104A">
      <w:rPr>
        <w:noProof/>
      </w:rPr>
      <w:t>10</w:t>
    </w:r>
    <w:r>
      <w:rPr>
        <w:noProof/>
      </w:rPr>
      <w:fldChar w:fldCharType="end"/>
    </w:r>
  </w:p>
  <w:p w14:paraId="1B8C201D" w14:textId="77777777" w:rsidR="00E4751A" w:rsidRDefault="00E47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BEB07" w14:textId="77777777" w:rsidR="001D7B20" w:rsidRDefault="001D7B20" w:rsidP="00081AFB">
      <w:r>
        <w:separator/>
      </w:r>
    </w:p>
  </w:footnote>
  <w:footnote w:type="continuationSeparator" w:id="0">
    <w:p w14:paraId="53598D19" w14:textId="77777777" w:rsidR="001D7B20" w:rsidRDefault="001D7B20" w:rsidP="00081AFB">
      <w:r>
        <w:continuationSeparator/>
      </w:r>
    </w:p>
  </w:footnote>
  <w:footnote w:type="continuationNotice" w:id="1">
    <w:p w14:paraId="2C29AEA0" w14:textId="77777777" w:rsidR="001D7B20" w:rsidRDefault="001D7B20"/>
  </w:footnote>
  <w:footnote w:id="2">
    <w:p w14:paraId="4EA01E57" w14:textId="21122E50" w:rsidR="005C6005" w:rsidRDefault="005C6005">
      <w:pPr>
        <w:pStyle w:val="FootnoteText"/>
      </w:pPr>
      <w:r>
        <w:rPr>
          <w:rStyle w:val="FootnoteReference"/>
        </w:rPr>
        <w:footnoteRef/>
      </w:r>
      <w:r>
        <w:t xml:space="preserve"> </w:t>
      </w:r>
      <w:r w:rsidRPr="005C6005">
        <w:t>78 FR 66621.</w:t>
      </w:r>
    </w:p>
    <w:p w14:paraId="07CDC933" w14:textId="77777777" w:rsidR="004751DE" w:rsidRDefault="004751DE">
      <w:pPr>
        <w:pStyle w:val="FootnoteText"/>
      </w:pPr>
    </w:p>
  </w:footnote>
  <w:footnote w:id="3">
    <w:p w14:paraId="3FC74B99" w14:textId="5B26F451" w:rsidR="005C6005" w:rsidRDefault="005C6005">
      <w:pPr>
        <w:pStyle w:val="FootnoteText"/>
      </w:pPr>
      <w:r>
        <w:rPr>
          <w:rStyle w:val="FootnoteReference"/>
        </w:rPr>
        <w:footnoteRef/>
      </w:r>
      <w:r>
        <w:t xml:space="preserve"> </w:t>
      </w:r>
      <w:r w:rsidRPr="002C3C47">
        <w:rPr>
          <w:u w:val="single"/>
        </w:rPr>
        <w:t>Id.</w:t>
      </w:r>
      <w:r>
        <w:t xml:space="preserve"> </w:t>
      </w:r>
    </w:p>
  </w:footnote>
  <w:footnote w:id="4">
    <w:p w14:paraId="0B05DA48" w14:textId="1C6D0025" w:rsidR="00554EEA" w:rsidRDefault="00554EEA">
      <w:pPr>
        <w:pStyle w:val="FootnoteText"/>
      </w:pPr>
      <w:r>
        <w:rPr>
          <w:rStyle w:val="FootnoteReference"/>
        </w:rPr>
        <w:footnoteRef/>
      </w:r>
      <w:r>
        <w:t xml:space="preserve"> T</w:t>
      </w:r>
      <w:r w:rsidRPr="00554EEA">
        <w:t>he discussion</w:t>
      </w:r>
      <w:r>
        <w:t xml:space="preserve"> </w:t>
      </w:r>
      <w:r w:rsidRPr="00554EEA">
        <w:t xml:space="preserve">would </w:t>
      </w:r>
      <w:r>
        <w:t xml:space="preserve">otherwise also </w:t>
      </w:r>
      <w:r w:rsidRPr="00554EEA">
        <w:t>apply to MSPs</w:t>
      </w:r>
      <w:r>
        <w:t>.</w:t>
      </w:r>
    </w:p>
    <w:p w14:paraId="42E3A0A8" w14:textId="77777777" w:rsidR="00B0627B" w:rsidRDefault="00B0627B">
      <w:pPr>
        <w:pStyle w:val="FootnoteText"/>
      </w:pPr>
    </w:p>
  </w:footnote>
  <w:footnote w:id="5">
    <w:p w14:paraId="74BC41D8" w14:textId="505D9560" w:rsidR="000B2D6B" w:rsidRDefault="000B2D6B" w:rsidP="000B2D6B">
      <w:pPr>
        <w:pStyle w:val="FootnoteText"/>
        <w:spacing w:before="120" w:after="120"/>
      </w:pPr>
      <w:r>
        <w:rPr>
          <w:rStyle w:val="FootnoteReference"/>
        </w:rPr>
        <w:footnoteRef/>
      </w:r>
      <w:r>
        <w:t xml:space="preserve"> </w:t>
      </w:r>
      <w:r w:rsidR="00B0627B">
        <w:t>T</w:t>
      </w:r>
      <w:r w:rsidR="002C1964">
        <w:t xml:space="preserve">his estimate is based on the assumption </w:t>
      </w:r>
      <w:r>
        <w:t>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w:t>
      </w:r>
      <w:r w:rsidR="00C87114">
        <w:t>3</w:t>
      </w:r>
      <w:r>
        <w:t xml:space="preserve"> at </w:t>
      </w:r>
      <w:r w:rsidR="00C87114">
        <w:t>100</w:t>
      </w:r>
      <w:r>
        <w:t xml:space="preserve"> (</w:t>
      </w:r>
      <w:r w:rsidR="00423B6D">
        <w:t>mean</w:t>
      </w:r>
      <w:r>
        <w:t xml:space="preserve"> compensation for a junior level compliance specialist in the survey equaled $</w:t>
      </w:r>
      <w:r w:rsidR="00C87114">
        <w:t>48,100</w:t>
      </w:r>
      <w:r>
        <w:t xml:space="preserve"> per year, an hourly equivalent of approximately $25), </w:t>
      </w:r>
      <w:r w:rsidR="00C87114">
        <w:t>279</w:t>
      </w:r>
      <w:r>
        <w:t xml:space="preserve"> (</w:t>
      </w:r>
      <w:r w:rsidR="00423B6D">
        <w:t xml:space="preserve">mean </w:t>
      </w:r>
      <w:r>
        <w:t>total compensation for a compliance attorney in the survey equaled $13</w:t>
      </w:r>
      <w:r w:rsidR="00C87114">
        <w:t>3</w:t>
      </w:r>
      <w:r w:rsidR="00DE38B4">
        <w:t>,</w:t>
      </w:r>
      <w:r w:rsidR="00C87114">
        <w:t>059</w:t>
      </w:r>
      <w:r>
        <w:t xml:space="preserve"> per year, an hourly equivalent of approximately $65).   </w:t>
      </w:r>
    </w:p>
  </w:footnote>
  <w:footnote w:id="6">
    <w:p w14:paraId="0A8B44AA" w14:textId="2850826D" w:rsidR="00B912FC" w:rsidRDefault="00B912FC">
      <w:pPr>
        <w:pStyle w:val="FootnoteText"/>
      </w:pPr>
      <w:r>
        <w:rPr>
          <w:rStyle w:val="FootnoteReference"/>
        </w:rPr>
        <w:footnoteRef/>
      </w:r>
      <w:r>
        <w:t xml:space="preserve"> 78 FR 66621.</w:t>
      </w:r>
    </w:p>
  </w:footnote>
  <w:footnote w:id="7">
    <w:p w14:paraId="67DF89DE" w14:textId="22F48CE2" w:rsidR="00D2431F" w:rsidRDefault="00D2431F">
      <w:pPr>
        <w:pStyle w:val="FootnoteText"/>
      </w:pPr>
      <w:r>
        <w:rPr>
          <w:rStyle w:val="FootnoteReference"/>
        </w:rPr>
        <w:footnoteRef/>
      </w:r>
      <w:r>
        <w:t xml:space="preserve"> </w:t>
      </w:r>
      <w:r w:rsidRPr="00D2431F">
        <w:t>78 FR 66621</w:t>
      </w:r>
    </w:p>
    <w:p w14:paraId="1ACD6C15" w14:textId="77777777" w:rsidR="00D2431F" w:rsidRDefault="00D2431F">
      <w:pPr>
        <w:pStyle w:val="FootnoteText"/>
      </w:pPr>
    </w:p>
  </w:footnote>
  <w:footnote w:id="8">
    <w:p w14:paraId="1EE21FF2" w14:textId="44689A2B" w:rsidR="00423B6D" w:rsidRDefault="00423B6D">
      <w:pPr>
        <w:pStyle w:val="FootnoteText"/>
      </w:pPr>
      <w:r>
        <w:rPr>
          <w:rStyle w:val="FootnoteReference"/>
        </w:rPr>
        <w:footnoteRef/>
      </w:r>
      <w:r>
        <w:t xml:space="preserve"> </w:t>
      </w:r>
      <w:r w:rsidRPr="00423B6D">
        <w:t>This estimate is based on the assumption that about three quarters of the work will be done by junior level staff with a salary of approximately $25 per hour and that about one quarter of the work will be done by senior level staff with a salary of approximately $100 per hour.  Compare SIFMA, Report on Management and Professional Earnings in the Securities Industry-2013 at 100 (</w:t>
      </w:r>
      <w:r>
        <w:t>mean</w:t>
      </w:r>
      <w:r w:rsidRPr="00423B6D">
        <w:t xml:space="preserve"> total compensation for a junior level compliance specialist in the survey equaled $48,100 per year, an hourly equivalent of approximately $25), 279 (</w:t>
      </w:r>
      <w:r>
        <w:t>mean</w:t>
      </w:r>
      <w:r w:rsidRPr="00423B6D">
        <w:t xml:space="preserve"> total compensation for a compliance attorney in the survey equaled $13</w:t>
      </w:r>
      <w:r>
        <w:t>3,</w:t>
      </w:r>
      <w:r w:rsidRPr="00423B6D">
        <w:t>059 per year, an hourly equivalent of approximately $65)</w:t>
      </w:r>
      <w:r>
        <w:t>, 192 (mean total compensation for chief compliance officer equaled $192,367, an hourly equivalent of</w:t>
      </w:r>
      <w:r w:rsidR="00A8513C">
        <w:t xml:space="preserve"> approximately</w:t>
      </w:r>
      <w:r>
        <w:t xml:space="preserve"> $92</w:t>
      </w:r>
      <w:r w:rsidR="00A8513C">
        <w:t>)</w:t>
      </w:r>
      <w:r w:rsidRPr="00423B6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78AD"/>
    <w:multiLevelType w:val="hybridMultilevel"/>
    <w:tmpl w:val="AC0A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6B"/>
    <w:rsid w:val="00000FBD"/>
    <w:rsid w:val="00005F93"/>
    <w:rsid w:val="000175EB"/>
    <w:rsid w:val="00022558"/>
    <w:rsid w:val="000232F0"/>
    <w:rsid w:val="0002390B"/>
    <w:rsid w:val="000277A5"/>
    <w:rsid w:val="00027F2F"/>
    <w:rsid w:val="00030EBB"/>
    <w:rsid w:val="000341C4"/>
    <w:rsid w:val="00036F64"/>
    <w:rsid w:val="00043B56"/>
    <w:rsid w:val="00057324"/>
    <w:rsid w:val="000576BF"/>
    <w:rsid w:val="000600B6"/>
    <w:rsid w:val="000605D8"/>
    <w:rsid w:val="00063FBB"/>
    <w:rsid w:val="00065329"/>
    <w:rsid w:val="00066884"/>
    <w:rsid w:val="00070821"/>
    <w:rsid w:val="000710CF"/>
    <w:rsid w:val="00072761"/>
    <w:rsid w:val="000803D6"/>
    <w:rsid w:val="00081341"/>
    <w:rsid w:val="00081AFB"/>
    <w:rsid w:val="000835F6"/>
    <w:rsid w:val="0008745D"/>
    <w:rsid w:val="00092BB0"/>
    <w:rsid w:val="00092C9E"/>
    <w:rsid w:val="000939F0"/>
    <w:rsid w:val="000A14AC"/>
    <w:rsid w:val="000A4158"/>
    <w:rsid w:val="000A5629"/>
    <w:rsid w:val="000B23C9"/>
    <w:rsid w:val="000B26DF"/>
    <w:rsid w:val="000B2D6B"/>
    <w:rsid w:val="000B37A1"/>
    <w:rsid w:val="000B7BB7"/>
    <w:rsid w:val="000C0913"/>
    <w:rsid w:val="000C30AD"/>
    <w:rsid w:val="000D0E0C"/>
    <w:rsid w:val="000D7D49"/>
    <w:rsid w:val="000E216C"/>
    <w:rsid w:val="000F3929"/>
    <w:rsid w:val="000F413A"/>
    <w:rsid w:val="000F43CF"/>
    <w:rsid w:val="000F7C4A"/>
    <w:rsid w:val="001157A5"/>
    <w:rsid w:val="001160D1"/>
    <w:rsid w:val="0012393E"/>
    <w:rsid w:val="00124A68"/>
    <w:rsid w:val="00127064"/>
    <w:rsid w:val="00127C19"/>
    <w:rsid w:val="00132FB8"/>
    <w:rsid w:val="0015194E"/>
    <w:rsid w:val="0015362C"/>
    <w:rsid w:val="00156D78"/>
    <w:rsid w:val="0016662F"/>
    <w:rsid w:val="0016738E"/>
    <w:rsid w:val="00171C64"/>
    <w:rsid w:val="001737C1"/>
    <w:rsid w:val="00173E2B"/>
    <w:rsid w:val="0017723B"/>
    <w:rsid w:val="00182FBB"/>
    <w:rsid w:val="00184A5F"/>
    <w:rsid w:val="00186590"/>
    <w:rsid w:val="00190146"/>
    <w:rsid w:val="00193363"/>
    <w:rsid w:val="00196D55"/>
    <w:rsid w:val="001A1542"/>
    <w:rsid w:val="001A21D2"/>
    <w:rsid w:val="001A315C"/>
    <w:rsid w:val="001B1D9B"/>
    <w:rsid w:val="001B40BB"/>
    <w:rsid w:val="001B4D10"/>
    <w:rsid w:val="001C06D6"/>
    <w:rsid w:val="001C5384"/>
    <w:rsid w:val="001D0FB2"/>
    <w:rsid w:val="001D1FAF"/>
    <w:rsid w:val="001D2D8A"/>
    <w:rsid w:val="001D592D"/>
    <w:rsid w:val="001D7B20"/>
    <w:rsid w:val="001E0D04"/>
    <w:rsid w:val="001E7F85"/>
    <w:rsid w:val="001F4DED"/>
    <w:rsid w:val="001F4E89"/>
    <w:rsid w:val="001F5A6A"/>
    <w:rsid w:val="00202FC8"/>
    <w:rsid w:val="002037F6"/>
    <w:rsid w:val="00206095"/>
    <w:rsid w:val="00207384"/>
    <w:rsid w:val="002178C0"/>
    <w:rsid w:val="002331B0"/>
    <w:rsid w:val="00241951"/>
    <w:rsid w:val="002449A1"/>
    <w:rsid w:val="002452D0"/>
    <w:rsid w:val="002469B1"/>
    <w:rsid w:val="00247D20"/>
    <w:rsid w:val="00256058"/>
    <w:rsid w:val="00260199"/>
    <w:rsid w:val="0026401E"/>
    <w:rsid w:val="0026473C"/>
    <w:rsid w:val="00266723"/>
    <w:rsid w:val="00271B1A"/>
    <w:rsid w:val="0027708A"/>
    <w:rsid w:val="0028343E"/>
    <w:rsid w:val="00291769"/>
    <w:rsid w:val="00296AC1"/>
    <w:rsid w:val="00296FFD"/>
    <w:rsid w:val="002A3DCA"/>
    <w:rsid w:val="002B0CBB"/>
    <w:rsid w:val="002B2027"/>
    <w:rsid w:val="002B799D"/>
    <w:rsid w:val="002C013D"/>
    <w:rsid w:val="002C16D5"/>
    <w:rsid w:val="002C1964"/>
    <w:rsid w:val="002C3C47"/>
    <w:rsid w:val="002D07DC"/>
    <w:rsid w:val="002D3E29"/>
    <w:rsid w:val="002D50DC"/>
    <w:rsid w:val="002D69B6"/>
    <w:rsid w:val="002E05BD"/>
    <w:rsid w:val="002E0957"/>
    <w:rsid w:val="002E1502"/>
    <w:rsid w:val="002E46E4"/>
    <w:rsid w:val="002F1336"/>
    <w:rsid w:val="002F2092"/>
    <w:rsid w:val="002F498B"/>
    <w:rsid w:val="002F7400"/>
    <w:rsid w:val="0030293E"/>
    <w:rsid w:val="00303670"/>
    <w:rsid w:val="00307E70"/>
    <w:rsid w:val="00311F90"/>
    <w:rsid w:val="00312367"/>
    <w:rsid w:val="00313D62"/>
    <w:rsid w:val="00313FC4"/>
    <w:rsid w:val="00315A5F"/>
    <w:rsid w:val="00315A79"/>
    <w:rsid w:val="003168A3"/>
    <w:rsid w:val="00322A18"/>
    <w:rsid w:val="0033330D"/>
    <w:rsid w:val="00346CCF"/>
    <w:rsid w:val="00347A3B"/>
    <w:rsid w:val="003541FC"/>
    <w:rsid w:val="003554FA"/>
    <w:rsid w:val="00355CD8"/>
    <w:rsid w:val="00355EE3"/>
    <w:rsid w:val="00370CC3"/>
    <w:rsid w:val="00372F94"/>
    <w:rsid w:val="003742D1"/>
    <w:rsid w:val="0037797B"/>
    <w:rsid w:val="00380D74"/>
    <w:rsid w:val="00383EE8"/>
    <w:rsid w:val="00384824"/>
    <w:rsid w:val="00384ACC"/>
    <w:rsid w:val="00387DE0"/>
    <w:rsid w:val="00390223"/>
    <w:rsid w:val="0039588E"/>
    <w:rsid w:val="003A0074"/>
    <w:rsid w:val="003A04C2"/>
    <w:rsid w:val="003A5236"/>
    <w:rsid w:val="003A65CB"/>
    <w:rsid w:val="003B0295"/>
    <w:rsid w:val="003B1518"/>
    <w:rsid w:val="003B55BF"/>
    <w:rsid w:val="003B60A5"/>
    <w:rsid w:val="003C0162"/>
    <w:rsid w:val="003D2F06"/>
    <w:rsid w:val="003D4314"/>
    <w:rsid w:val="003D49DE"/>
    <w:rsid w:val="003D597E"/>
    <w:rsid w:val="003E256B"/>
    <w:rsid w:val="003E698C"/>
    <w:rsid w:val="003F0037"/>
    <w:rsid w:val="003F308D"/>
    <w:rsid w:val="003F396D"/>
    <w:rsid w:val="003F4662"/>
    <w:rsid w:val="003F7037"/>
    <w:rsid w:val="004024C0"/>
    <w:rsid w:val="00403495"/>
    <w:rsid w:val="00403DB4"/>
    <w:rsid w:val="004045BA"/>
    <w:rsid w:val="004056E1"/>
    <w:rsid w:val="00415146"/>
    <w:rsid w:val="00420535"/>
    <w:rsid w:val="00421D0C"/>
    <w:rsid w:val="00423B6D"/>
    <w:rsid w:val="00427241"/>
    <w:rsid w:val="00431F5B"/>
    <w:rsid w:val="00432DAA"/>
    <w:rsid w:val="0043684B"/>
    <w:rsid w:val="004435EB"/>
    <w:rsid w:val="0044398D"/>
    <w:rsid w:val="00443D7B"/>
    <w:rsid w:val="00446DD6"/>
    <w:rsid w:val="00451227"/>
    <w:rsid w:val="00457CD5"/>
    <w:rsid w:val="00461BE7"/>
    <w:rsid w:val="004751DE"/>
    <w:rsid w:val="00476AB6"/>
    <w:rsid w:val="004771B9"/>
    <w:rsid w:val="00484030"/>
    <w:rsid w:val="00484368"/>
    <w:rsid w:val="0048508A"/>
    <w:rsid w:val="00490A6E"/>
    <w:rsid w:val="0049540F"/>
    <w:rsid w:val="00496FB8"/>
    <w:rsid w:val="004A20DA"/>
    <w:rsid w:val="004A282C"/>
    <w:rsid w:val="004A637A"/>
    <w:rsid w:val="004B251E"/>
    <w:rsid w:val="004B45FE"/>
    <w:rsid w:val="004B7C1F"/>
    <w:rsid w:val="004C493C"/>
    <w:rsid w:val="004D1B91"/>
    <w:rsid w:val="004D2594"/>
    <w:rsid w:val="004D2825"/>
    <w:rsid w:val="004D36F7"/>
    <w:rsid w:val="004D5CBA"/>
    <w:rsid w:val="004E77DC"/>
    <w:rsid w:val="004F3F8B"/>
    <w:rsid w:val="004F5BCC"/>
    <w:rsid w:val="00503C27"/>
    <w:rsid w:val="0051257C"/>
    <w:rsid w:val="00512C9C"/>
    <w:rsid w:val="00517B58"/>
    <w:rsid w:val="00524271"/>
    <w:rsid w:val="00525E95"/>
    <w:rsid w:val="0052625D"/>
    <w:rsid w:val="00526447"/>
    <w:rsid w:val="00533D6F"/>
    <w:rsid w:val="00534983"/>
    <w:rsid w:val="00534B6B"/>
    <w:rsid w:val="00542723"/>
    <w:rsid w:val="005503C6"/>
    <w:rsid w:val="00554EEA"/>
    <w:rsid w:val="00560108"/>
    <w:rsid w:val="005652AC"/>
    <w:rsid w:val="00565921"/>
    <w:rsid w:val="00566E3D"/>
    <w:rsid w:val="00571705"/>
    <w:rsid w:val="00574C2F"/>
    <w:rsid w:val="00576890"/>
    <w:rsid w:val="0058104A"/>
    <w:rsid w:val="00583E5B"/>
    <w:rsid w:val="00585718"/>
    <w:rsid w:val="00586F7E"/>
    <w:rsid w:val="00591252"/>
    <w:rsid w:val="00592165"/>
    <w:rsid w:val="0059221E"/>
    <w:rsid w:val="00596D53"/>
    <w:rsid w:val="005A4D99"/>
    <w:rsid w:val="005A56CC"/>
    <w:rsid w:val="005B0BE6"/>
    <w:rsid w:val="005B1254"/>
    <w:rsid w:val="005B1324"/>
    <w:rsid w:val="005B13CE"/>
    <w:rsid w:val="005B27BA"/>
    <w:rsid w:val="005C09F9"/>
    <w:rsid w:val="005C0DD3"/>
    <w:rsid w:val="005C17CA"/>
    <w:rsid w:val="005C479A"/>
    <w:rsid w:val="005C6005"/>
    <w:rsid w:val="005C61F5"/>
    <w:rsid w:val="005D0314"/>
    <w:rsid w:val="005E211F"/>
    <w:rsid w:val="005E4890"/>
    <w:rsid w:val="005E4E5C"/>
    <w:rsid w:val="005E536C"/>
    <w:rsid w:val="005E6F2E"/>
    <w:rsid w:val="005F4138"/>
    <w:rsid w:val="005F449F"/>
    <w:rsid w:val="005F6628"/>
    <w:rsid w:val="0060418F"/>
    <w:rsid w:val="006046B6"/>
    <w:rsid w:val="00607D38"/>
    <w:rsid w:val="006101E5"/>
    <w:rsid w:val="00612BAB"/>
    <w:rsid w:val="0062259E"/>
    <w:rsid w:val="0062429B"/>
    <w:rsid w:val="006243BC"/>
    <w:rsid w:val="00624A65"/>
    <w:rsid w:val="00625474"/>
    <w:rsid w:val="00634796"/>
    <w:rsid w:val="0063622E"/>
    <w:rsid w:val="006371A5"/>
    <w:rsid w:val="00637711"/>
    <w:rsid w:val="00642B6A"/>
    <w:rsid w:val="006500E8"/>
    <w:rsid w:val="00657545"/>
    <w:rsid w:val="00664257"/>
    <w:rsid w:val="00667CD6"/>
    <w:rsid w:val="00675296"/>
    <w:rsid w:val="00677F55"/>
    <w:rsid w:val="00681DA5"/>
    <w:rsid w:val="00683BB0"/>
    <w:rsid w:val="00687179"/>
    <w:rsid w:val="006929E9"/>
    <w:rsid w:val="00692A25"/>
    <w:rsid w:val="006A05A1"/>
    <w:rsid w:val="006A3336"/>
    <w:rsid w:val="006A6FCF"/>
    <w:rsid w:val="006B734D"/>
    <w:rsid w:val="006C1D44"/>
    <w:rsid w:val="006D0492"/>
    <w:rsid w:val="006D253A"/>
    <w:rsid w:val="006D38A6"/>
    <w:rsid w:val="006D4EA5"/>
    <w:rsid w:val="006D759D"/>
    <w:rsid w:val="006E3F07"/>
    <w:rsid w:val="006F4A1E"/>
    <w:rsid w:val="006F4F75"/>
    <w:rsid w:val="006F6771"/>
    <w:rsid w:val="006F7274"/>
    <w:rsid w:val="007003B8"/>
    <w:rsid w:val="00701D5C"/>
    <w:rsid w:val="007029A9"/>
    <w:rsid w:val="00714B02"/>
    <w:rsid w:val="00716D3D"/>
    <w:rsid w:val="007262AA"/>
    <w:rsid w:val="00733EEE"/>
    <w:rsid w:val="007369F9"/>
    <w:rsid w:val="00737AE7"/>
    <w:rsid w:val="0074513D"/>
    <w:rsid w:val="00745759"/>
    <w:rsid w:val="007536D5"/>
    <w:rsid w:val="00753723"/>
    <w:rsid w:val="00753B6E"/>
    <w:rsid w:val="007602AC"/>
    <w:rsid w:val="0076136F"/>
    <w:rsid w:val="007616A9"/>
    <w:rsid w:val="00773F48"/>
    <w:rsid w:val="00775781"/>
    <w:rsid w:val="00791CF9"/>
    <w:rsid w:val="00793467"/>
    <w:rsid w:val="00794BD7"/>
    <w:rsid w:val="00796330"/>
    <w:rsid w:val="007A49AE"/>
    <w:rsid w:val="007A6E82"/>
    <w:rsid w:val="007A7067"/>
    <w:rsid w:val="007B2CE3"/>
    <w:rsid w:val="007D270C"/>
    <w:rsid w:val="007F2D28"/>
    <w:rsid w:val="007F4A45"/>
    <w:rsid w:val="007F4CC1"/>
    <w:rsid w:val="007F5475"/>
    <w:rsid w:val="00803774"/>
    <w:rsid w:val="00807DB0"/>
    <w:rsid w:val="00810F14"/>
    <w:rsid w:val="008116AF"/>
    <w:rsid w:val="008159FE"/>
    <w:rsid w:val="008207B9"/>
    <w:rsid w:val="00820AE7"/>
    <w:rsid w:val="00827F4D"/>
    <w:rsid w:val="00834DD7"/>
    <w:rsid w:val="00834FF4"/>
    <w:rsid w:val="00840F06"/>
    <w:rsid w:val="00847761"/>
    <w:rsid w:val="00850310"/>
    <w:rsid w:val="008519D2"/>
    <w:rsid w:val="0085370C"/>
    <w:rsid w:val="00855BBD"/>
    <w:rsid w:val="00855C4C"/>
    <w:rsid w:val="00857B0A"/>
    <w:rsid w:val="00860CE6"/>
    <w:rsid w:val="00863A6C"/>
    <w:rsid w:val="00864576"/>
    <w:rsid w:val="008827E0"/>
    <w:rsid w:val="0088767B"/>
    <w:rsid w:val="008A1115"/>
    <w:rsid w:val="008A250C"/>
    <w:rsid w:val="008B4817"/>
    <w:rsid w:val="008B78F7"/>
    <w:rsid w:val="008C1109"/>
    <w:rsid w:val="008C3257"/>
    <w:rsid w:val="008C3CA7"/>
    <w:rsid w:val="008D0546"/>
    <w:rsid w:val="008D761A"/>
    <w:rsid w:val="008E065C"/>
    <w:rsid w:val="008E3461"/>
    <w:rsid w:val="008E7AF8"/>
    <w:rsid w:val="008F1930"/>
    <w:rsid w:val="008F2F98"/>
    <w:rsid w:val="008F6463"/>
    <w:rsid w:val="008F7C7E"/>
    <w:rsid w:val="008F7E0C"/>
    <w:rsid w:val="009025A4"/>
    <w:rsid w:val="0090417E"/>
    <w:rsid w:val="00911285"/>
    <w:rsid w:val="00911EE7"/>
    <w:rsid w:val="009140A7"/>
    <w:rsid w:val="0092012D"/>
    <w:rsid w:val="009220A1"/>
    <w:rsid w:val="0092581A"/>
    <w:rsid w:val="00925FF4"/>
    <w:rsid w:val="009261A7"/>
    <w:rsid w:val="009309EC"/>
    <w:rsid w:val="00932277"/>
    <w:rsid w:val="00936174"/>
    <w:rsid w:val="009367E2"/>
    <w:rsid w:val="00943BB2"/>
    <w:rsid w:val="00944106"/>
    <w:rsid w:val="00944915"/>
    <w:rsid w:val="00945C50"/>
    <w:rsid w:val="009463A1"/>
    <w:rsid w:val="00950325"/>
    <w:rsid w:val="0095732F"/>
    <w:rsid w:val="00957EB4"/>
    <w:rsid w:val="009607C3"/>
    <w:rsid w:val="0096683A"/>
    <w:rsid w:val="009731E1"/>
    <w:rsid w:val="00975E45"/>
    <w:rsid w:val="00981EA1"/>
    <w:rsid w:val="00995D04"/>
    <w:rsid w:val="0099690D"/>
    <w:rsid w:val="009A24BB"/>
    <w:rsid w:val="009B03C3"/>
    <w:rsid w:val="009B2F52"/>
    <w:rsid w:val="009B5165"/>
    <w:rsid w:val="009C0842"/>
    <w:rsid w:val="009D00FB"/>
    <w:rsid w:val="009D187B"/>
    <w:rsid w:val="009D20B4"/>
    <w:rsid w:val="009D3A33"/>
    <w:rsid w:val="009E20E0"/>
    <w:rsid w:val="009F5BE2"/>
    <w:rsid w:val="00A0346E"/>
    <w:rsid w:val="00A05E23"/>
    <w:rsid w:val="00A05F64"/>
    <w:rsid w:val="00A06CDC"/>
    <w:rsid w:val="00A11B9C"/>
    <w:rsid w:val="00A20639"/>
    <w:rsid w:val="00A316CE"/>
    <w:rsid w:val="00A31CC4"/>
    <w:rsid w:val="00A377CE"/>
    <w:rsid w:val="00A44DA3"/>
    <w:rsid w:val="00A45E85"/>
    <w:rsid w:val="00A50199"/>
    <w:rsid w:val="00A61170"/>
    <w:rsid w:val="00A61F7A"/>
    <w:rsid w:val="00A63EA7"/>
    <w:rsid w:val="00A80D36"/>
    <w:rsid w:val="00A83BBD"/>
    <w:rsid w:val="00A8414C"/>
    <w:rsid w:val="00A8513C"/>
    <w:rsid w:val="00A85A5E"/>
    <w:rsid w:val="00A8752C"/>
    <w:rsid w:val="00A87E91"/>
    <w:rsid w:val="00A938FE"/>
    <w:rsid w:val="00A95253"/>
    <w:rsid w:val="00AA0461"/>
    <w:rsid w:val="00AA70DB"/>
    <w:rsid w:val="00AA7EBB"/>
    <w:rsid w:val="00AB0BBC"/>
    <w:rsid w:val="00AC00CC"/>
    <w:rsid w:val="00AC0CF3"/>
    <w:rsid w:val="00AC108E"/>
    <w:rsid w:val="00AC2529"/>
    <w:rsid w:val="00AC59BE"/>
    <w:rsid w:val="00AD074D"/>
    <w:rsid w:val="00AD1B32"/>
    <w:rsid w:val="00AD716A"/>
    <w:rsid w:val="00AD72CD"/>
    <w:rsid w:val="00AD750B"/>
    <w:rsid w:val="00AE21E0"/>
    <w:rsid w:val="00AE4C42"/>
    <w:rsid w:val="00AF4A73"/>
    <w:rsid w:val="00AF4BC5"/>
    <w:rsid w:val="00AF4CFE"/>
    <w:rsid w:val="00AF7D70"/>
    <w:rsid w:val="00B05FA4"/>
    <w:rsid w:val="00B0627B"/>
    <w:rsid w:val="00B22DD7"/>
    <w:rsid w:val="00B22FB7"/>
    <w:rsid w:val="00B24F98"/>
    <w:rsid w:val="00B25901"/>
    <w:rsid w:val="00B30995"/>
    <w:rsid w:val="00B31D59"/>
    <w:rsid w:val="00B36E33"/>
    <w:rsid w:val="00B50EEE"/>
    <w:rsid w:val="00B66F38"/>
    <w:rsid w:val="00B678C4"/>
    <w:rsid w:val="00B72894"/>
    <w:rsid w:val="00B800F8"/>
    <w:rsid w:val="00B9000F"/>
    <w:rsid w:val="00B90175"/>
    <w:rsid w:val="00B912FC"/>
    <w:rsid w:val="00B91704"/>
    <w:rsid w:val="00B91D87"/>
    <w:rsid w:val="00B9402F"/>
    <w:rsid w:val="00BA7889"/>
    <w:rsid w:val="00BB0768"/>
    <w:rsid w:val="00BB23C8"/>
    <w:rsid w:val="00BB4C1A"/>
    <w:rsid w:val="00BC1A92"/>
    <w:rsid w:val="00BC4975"/>
    <w:rsid w:val="00BC5447"/>
    <w:rsid w:val="00BD1DD3"/>
    <w:rsid w:val="00BD4837"/>
    <w:rsid w:val="00BE0485"/>
    <w:rsid w:val="00BE05ED"/>
    <w:rsid w:val="00BE1714"/>
    <w:rsid w:val="00BE2155"/>
    <w:rsid w:val="00BE53E0"/>
    <w:rsid w:val="00BE5ACC"/>
    <w:rsid w:val="00BE6AC8"/>
    <w:rsid w:val="00BF20CC"/>
    <w:rsid w:val="00BF54BE"/>
    <w:rsid w:val="00C077B4"/>
    <w:rsid w:val="00C11681"/>
    <w:rsid w:val="00C173E1"/>
    <w:rsid w:val="00C17C5D"/>
    <w:rsid w:val="00C2325B"/>
    <w:rsid w:val="00C23A3C"/>
    <w:rsid w:val="00C33FC9"/>
    <w:rsid w:val="00C37E53"/>
    <w:rsid w:val="00C424BC"/>
    <w:rsid w:val="00C4280C"/>
    <w:rsid w:val="00C431E2"/>
    <w:rsid w:val="00C43B08"/>
    <w:rsid w:val="00C4606F"/>
    <w:rsid w:val="00C5061C"/>
    <w:rsid w:val="00C50F6D"/>
    <w:rsid w:val="00C50FAC"/>
    <w:rsid w:val="00C60B24"/>
    <w:rsid w:val="00C6498B"/>
    <w:rsid w:val="00C649BE"/>
    <w:rsid w:val="00C705C1"/>
    <w:rsid w:val="00C720DA"/>
    <w:rsid w:val="00C83F82"/>
    <w:rsid w:val="00C87114"/>
    <w:rsid w:val="00C902A1"/>
    <w:rsid w:val="00CA2DB8"/>
    <w:rsid w:val="00CB12A4"/>
    <w:rsid w:val="00CB24FF"/>
    <w:rsid w:val="00CB2BA1"/>
    <w:rsid w:val="00CB7148"/>
    <w:rsid w:val="00CD33C7"/>
    <w:rsid w:val="00CD39A1"/>
    <w:rsid w:val="00CD542F"/>
    <w:rsid w:val="00CE5720"/>
    <w:rsid w:val="00CE6D30"/>
    <w:rsid w:val="00CE6F4B"/>
    <w:rsid w:val="00CF2ED3"/>
    <w:rsid w:val="00CF49D0"/>
    <w:rsid w:val="00CF7673"/>
    <w:rsid w:val="00D02A44"/>
    <w:rsid w:val="00D03F7B"/>
    <w:rsid w:val="00D04857"/>
    <w:rsid w:val="00D05B93"/>
    <w:rsid w:val="00D076E7"/>
    <w:rsid w:val="00D14208"/>
    <w:rsid w:val="00D14348"/>
    <w:rsid w:val="00D17B5B"/>
    <w:rsid w:val="00D20989"/>
    <w:rsid w:val="00D21740"/>
    <w:rsid w:val="00D21E34"/>
    <w:rsid w:val="00D2431F"/>
    <w:rsid w:val="00D24617"/>
    <w:rsid w:val="00D27AE8"/>
    <w:rsid w:val="00D361E6"/>
    <w:rsid w:val="00D40FE0"/>
    <w:rsid w:val="00D41450"/>
    <w:rsid w:val="00D4197D"/>
    <w:rsid w:val="00D443F5"/>
    <w:rsid w:val="00D47805"/>
    <w:rsid w:val="00D52101"/>
    <w:rsid w:val="00D53BFC"/>
    <w:rsid w:val="00D55CAE"/>
    <w:rsid w:val="00D56D12"/>
    <w:rsid w:val="00D603DE"/>
    <w:rsid w:val="00D67916"/>
    <w:rsid w:val="00D77105"/>
    <w:rsid w:val="00D77DAF"/>
    <w:rsid w:val="00D8025D"/>
    <w:rsid w:val="00D90315"/>
    <w:rsid w:val="00D9298D"/>
    <w:rsid w:val="00D93B6B"/>
    <w:rsid w:val="00D93BA9"/>
    <w:rsid w:val="00D96F7B"/>
    <w:rsid w:val="00DA1752"/>
    <w:rsid w:val="00DB03AA"/>
    <w:rsid w:val="00DB1AD1"/>
    <w:rsid w:val="00DB2157"/>
    <w:rsid w:val="00DB6542"/>
    <w:rsid w:val="00DB7297"/>
    <w:rsid w:val="00DC2B99"/>
    <w:rsid w:val="00DC522E"/>
    <w:rsid w:val="00DD203B"/>
    <w:rsid w:val="00DD3C16"/>
    <w:rsid w:val="00DE297F"/>
    <w:rsid w:val="00DE38B4"/>
    <w:rsid w:val="00DF05C5"/>
    <w:rsid w:val="00DF51BA"/>
    <w:rsid w:val="00E013D8"/>
    <w:rsid w:val="00E05D75"/>
    <w:rsid w:val="00E11EED"/>
    <w:rsid w:val="00E1421F"/>
    <w:rsid w:val="00E15010"/>
    <w:rsid w:val="00E17DE8"/>
    <w:rsid w:val="00E22E82"/>
    <w:rsid w:val="00E2335E"/>
    <w:rsid w:val="00E236E5"/>
    <w:rsid w:val="00E240FB"/>
    <w:rsid w:val="00E268D0"/>
    <w:rsid w:val="00E3026F"/>
    <w:rsid w:val="00E313D8"/>
    <w:rsid w:val="00E32DFA"/>
    <w:rsid w:val="00E36FCD"/>
    <w:rsid w:val="00E379FD"/>
    <w:rsid w:val="00E42631"/>
    <w:rsid w:val="00E4298D"/>
    <w:rsid w:val="00E448E4"/>
    <w:rsid w:val="00E4751A"/>
    <w:rsid w:val="00E47729"/>
    <w:rsid w:val="00E54A26"/>
    <w:rsid w:val="00E55422"/>
    <w:rsid w:val="00E605B7"/>
    <w:rsid w:val="00E639DE"/>
    <w:rsid w:val="00E705C2"/>
    <w:rsid w:val="00E707CE"/>
    <w:rsid w:val="00E7495D"/>
    <w:rsid w:val="00E751CF"/>
    <w:rsid w:val="00E86A73"/>
    <w:rsid w:val="00E87F90"/>
    <w:rsid w:val="00E90F3F"/>
    <w:rsid w:val="00E93AF2"/>
    <w:rsid w:val="00E93DA6"/>
    <w:rsid w:val="00E944C1"/>
    <w:rsid w:val="00EA20A3"/>
    <w:rsid w:val="00EA260E"/>
    <w:rsid w:val="00EB167D"/>
    <w:rsid w:val="00EB4997"/>
    <w:rsid w:val="00EB7F98"/>
    <w:rsid w:val="00EC0E5E"/>
    <w:rsid w:val="00EC0E78"/>
    <w:rsid w:val="00EC2551"/>
    <w:rsid w:val="00EC3D9A"/>
    <w:rsid w:val="00EC4320"/>
    <w:rsid w:val="00EC6B80"/>
    <w:rsid w:val="00EC7005"/>
    <w:rsid w:val="00ED0361"/>
    <w:rsid w:val="00ED609B"/>
    <w:rsid w:val="00EE2608"/>
    <w:rsid w:val="00EE44CA"/>
    <w:rsid w:val="00EE4E0D"/>
    <w:rsid w:val="00EE677F"/>
    <w:rsid w:val="00EE7872"/>
    <w:rsid w:val="00EE7D31"/>
    <w:rsid w:val="00EF399B"/>
    <w:rsid w:val="00F023D3"/>
    <w:rsid w:val="00F0405E"/>
    <w:rsid w:val="00F12BA6"/>
    <w:rsid w:val="00F15ED2"/>
    <w:rsid w:val="00F2129C"/>
    <w:rsid w:val="00F24DCA"/>
    <w:rsid w:val="00F24E01"/>
    <w:rsid w:val="00F264B6"/>
    <w:rsid w:val="00F36F82"/>
    <w:rsid w:val="00F378A6"/>
    <w:rsid w:val="00F4258A"/>
    <w:rsid w:val="00F45CC6"/>
    <w:rsid w:val="00F46EB1"/>
    <w:rsid w:val="00F50479"/>
    <w:rsid w:val="00F52D41"/>
    <w:rsid w:val="00F54394"/>
    <w:rsid w:val="00F570E2"/>
    <w:rsid w:val="00F6080E"/>
    <w:rsid w:val="00F62252"/>
    <w:rsid w:val="00F706E4"/>
    <w:rsid w:val="00F70BC4"/>
    <w:rsid w:val="00F72C0C"/>
    <w:rsid w:val="00F80680"/>
    <w:rsid w:val="00F82E77"/>
    <w:rsid w:val="00F8411C"/>
    <w:rsid w:val="00F85FEA"/>
    <w:rsid w:val="00F86BB6"/>
    <w:rsid w:val="00F86F2A"/>
    <w:rsid w:val="00F91BB4"/>
    <w:rsid w:val="00F940C0"/>
    <w:rsid w:val="00F978BB"/>
    <w:rsid w:val="00F97AB2"/>
    <w:rsid w:val="00FA241F"/>
    <w:rsid w:val="00FB404A"/>
    <w:rsid w:val="00FC5158"/>
    <w:rsid w:val="00FC59D7"/>
    <w:rsid w:val="00FC64FD"/>
    <w:rsid w:val="00FD0FBE"/>
    <w:rsid w:val="00FE1133"/>
    <w:rsid w:val="00FE5B63"/>
    <w:rsid w:val="00FE69C2"/>
    <w:rsid w:val="00FF01C2"/>
    <w:rsid w:val="00FF10F1"/>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footnote text" w:locked="1" w:semiHidden="0" w:unhideWhenUsed="0"/>
    <w:lsdException w:name="foot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link w:val="Heading1Char"/>
    <w:uiPriority w:val="99"/>
    <w:qFormat/>
    <w:rsid w:val="00534B6B"/>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5E"/>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sid w:val="00534B6B"/>
    <w:pPr>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uiPriority w:val="99"/>
    <w:semiHidden/>
    <w:rsid w:val="00E9585E"/>
    <w:rPr>
      <w:rFonts w:ascii="Arial" w:hAnsi="Arial"/>
      <w:sz w:val="20"/>
      <w:szCs w:val="20"/>
    </w:rPr>
  </w:style>
  <w:style w:type="paragraph" w:styleId="TOC6">
    <w:name w:val="toc 6"/>
    <w:basedOn w:val="Normal"/>
    <w:next w:val="Normal"/>
    <w:uiPriority w:val="99"/>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customStyle="1" w:styleId="Default">
    <w:name w:val="Default"/>
    <w:uiPriority w:val="99"/>
    <w:rsid w:val="00081AFB"/>
    <w:pPr>
      <w:autoSpaceDE w:val="0"/>
      <w:autoSpaceDN w:val="0"/>
      <w:adjustRightInd w:val="0"/>
    </w:pPr>
    <w:rPr>
      <w:rFonts w:ascii="Arial" w:hAnsi="Arial" w:cs="Arial"/>
      <w:color w:val="000000"/>
      <w:sz w:val="24"/>
      <w:szCs w:val="24"/>
    </w:rPr>
  </w:style>
  <w:style w:type="paragraph" w:styleId="FootnoteText">
    <w:name w:val="footnote text"/>
    <w:aliases w:val="Footnote Text Char,Car Char,fn Char,Footnote Text Char Char Char Char Char Char Char Char Char Char Char Char Char Char Char Char Char Char,Footnote Text Char1 Char,ft,fn,Style 36,Car"/>
    <w:basedOn w:val="Normal"/>
    <w:link w:val="FootnoteTextChar1"/>
    <w:uiPriority w:val="99"/>
    <w:rsid w:val="00081AFB"/>
    <w:rPr>
      <w:rFonts w:ascii="Times New Roman" w:hAnsi="Times New Roman"/>
      <w:sz w:val="20"/>
      <w:szCs w:val="20"/>
    </w:rPr>
  </w:style>
  <w:style w:type="character" w:customStyle="1" w:styleId="FootnoteTextChar1">
    <w:name w:val="Footnote Text Char1"/>
    <w:aliases w:val="Footnote Text Char Char,Car Char Char,fn Char Char,Footnote Text Char Char Char Char Char Char Char Char Char Char Char Char Char Char Char Char Char Char Char,Footnote Text Char1 Char Char,ft Char1,fn Char1,Style 36 Char,Car Char1"/>
    <w:basedOn w:val="DefaultParagraphFont"/>
    <w:link w:val="FootnoteText"/>
    <w:uiPriority w:val="99"/>
    <w:semiHidden/>
    <w:rsid w:val="00E9585E"/>
    <w:rPr>
      <w:rFonts w:ascii="Arial" w:hAnsi="Arial"/>
      <w:sz w:val="20"/>
      <w:szCs w:val="20"/>
    </w:rPr>
  </w:style>
  <w:style w:type="character" w:styleId="FootnoteReference">
    <w:name w:val="footnote reference"/>
    <w:aliases w:val="Style 19,Style 16,fr,Style 35"/>
    <w:basedOn w:val="DefaultParagraphFont"/>
    <w:uiPriority w:val="99"/>
    <w:rsid w:val="00081AFB"/>
    <w:rPr>
      <w:rFonts w:cs="Times New Roman"/>
      <w:vertAlign w:val="superscript"/>
    </w:rPr>
  </w:style>
  <w:style w:type="paragraph" w:styleId="ListParagraph">
    <w:name w:val="List Paragraph"/>
    <w:basedOn w:val="Normal"/>
    <w:uiPriority w:val="99"/>
    <w:qFormat/>
    <w:rsid w:val="00081AFB"/>
    <w:pPr>
      <w:ind w:left="720"/>
      <w:contextualSpacing/>
    </w:pPr>
    <w:rPr>
      <w:rFonts w:ascii="Times New Roman" w:hAnsi="Times New Roman"/>
      <w:szCs w:val="22"/>
    </w:rPr>
  </w:style>
  <w:style w:type="paragraph" w:styleId="Header">
    <w:name w:val="header"/>
    <w:basedOn w:val="Normal"/>
    <w:link w:val="HeaderChar"/>
    <w:uiPriority w:val="99"/>
    <w:rsid w:val="00DF51BA"/>
    <w:pPr>
      <w:tabs>
        <w:tab w:val="center" w:pos="4680"/>
        <w:tab w:val="right" w:pos="9360"/>
      </w:tabs>
    </w:pPr>
  </w:style>
  <w:style w:type="character" w:customStyle="1" w:styleId="HeaderChar">
    <w:name w:val="Header Char"/>
    <w:basedOn w:val="DefaultParagraphFont"/>
    <w:link w:val="Header"/>
    <w:uiPriority w:val="99"/>
    <w:locked/>
    <w:rsid w:val="00DF51BA"/>
    <w:rPr>
      <w:rFonts w:ascii="Arial" w:hAnsi="Arial" w:cs="Times New Roman"/>
      <w:sz w:val="24"/>
      <w:szCs w:val="24"/>
    </w:rPr>
  </w:style>
  <w:style w:type="paragraph" w:styleId="Footer">
    <w:name w:val="footer"/>
    <w:basedOn w:val="Normal"/>
    <w:link w:val="FooterChar"/>
    <w:uiPriority w:val="99"/>
    <w:rsid w:val="00DF51BA"/>
    <w:pPr>
      <w:tabs>
        <w:tab w:val="center" w:pos="4680"/>
        <w:tab w:val="right" w:pos="9360"/>
      </w:tabs>
    </w:pPr>
  </w:style>
  <w:style w:type="character" w:customStyle="1" w:styleId="FooterChar">
    <w:name w:val="Footer Char"/>
    <w:basedOn w:val="DefaultParagraphFont"/>
    <w:link w:val="Footer"/>
    <w:uiPriority w:val="99"/>
    <w:locked/>
    <w:rsid w:val="00DF51BA"/>
    <w:rPr>
      <w:rFonts w:ascii="Arial" w:hAnsi="Arial" w:cs="Times New Roman"/>
      <w:sz w:val="24"/>
      <w:szCs w:val="24"/>
    </w:rPr>
  </w:style>
  <w:style w:type="paragraph" w:customStyle="1" w:styleId="FRBodyText">
    <w:name w:val="FR Body Text"/>
    <w:basedOn w:val="Normal"/>
    <w:uiPriority w:val="99"/>
    <w:rsid w:val="00BD1DD3"/>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066884"/>
    <w:rPr>
      <w:rFonts w:ascii="Tahoma" w:hAnsi="Tahoma" w:cs="Tahoma"/>
      <w:sz w:val="16"/>
      <w:szCs w:val="16"/>
    </w:rPr>
  </w:style>
  <w:style w:type="character" w:customStyle="1" w:styleId="BalloonTextChar">
    <w:name w:val="Balloon Text Char"/>
    <w:basedOn w:val="DefaultParagraphFont"/>
    <w:link w:val="BalloonText"/>
    <w:uiPriority w:val="99"/>
    <w:semiHidden/>
    <w:rsid w:val="00066884"/>
    <w:rPr>
      <w:rFonts w:ascii="Tahoma" w:hAnsi="Tahoma" w:cs="Tahoma"/>
      <w:sz w:val="16"/>
      <w:szCs w:val="16"/>
    </w:rPr>
  </w:style>
  <w:style w:type="character" w:styleId="CommentReference">
    <w:name w:val="annotation reference"/>
    <w:basedOn w:val="DefaultParagraphFont"/>
    <w:uiPriority w:val="99"/>
    <w:semiHidden/>
    <w:unhideWhenUsed/>
    <w:rsid w:val="001C5384"/>
    <w:rPr>
      <w:sz w:val="16"/>
      <w:szCs w:val="16"/>
    </w:rPr>
  </w:style>
  <w:style w:type="paragraph" w:styleId="CommentText">
    <w:name w:val="annotation text"/>
    <w:basedOn w:val="Normal"/>
    <w:link w:val="CommentTextChar"/>
    <w:uiPriority w:val="99"/>
    <w:semiHidden/>
    <w:unhideWhenUsed/>
    <w:rsid w:val="001C5384"/>
    <w:rPr>
      <w:sz w:val="20"/>
      <w:szCs w:val="20"/>
    </w:rPr>
  </w:style>
  <w:style w:type="character" w:customStyle="1" w:styleId="CommentTextChar">
    <w:name w:val="Comment Text Char"/>
    <w:basedOn w:val="DefaultParagraphFont"/>
    <w:link w:val="CommentText"/>
    <w:uiPriority w:val="99"/>
    <w:semiHidden/>
    <w:rsid w:val="001C538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5384"/>
    <w:rPr>
      <w:b/>
      <w:bCs/>
    </w:rPr>
  </w:style>
  <w:style w:type="character" w:customStyle="1" w:styleId="CommentSubjectChar">
    <w:name w:val="Comment Subject Char"/>
    <w:basedOn w:val="CommentTextChar"/>
    <w:link w:val="CommentSubject"/>
    <w:uiPriority w:val="99"/>
    <w:semiHidden/>
    <w:rsid w:val="001C5384"/>
    <w:rPr>
      <w:rFonts w:ascii="Arial" w:hAnsi="Arial"/>
      <w:b/>
      <w:bCs/>
      <w:sz w:val="20"/>
      <w:szCs w:val="20"/>
    </w:rPr>
  </w:style>
  <w:style w:type="character" w:styleId="Hyperlink">
    <w:name w:val="Hyperlink"/>
    <w:basedOn w:val="DefaultParagraphFont"/>
    <w:uiPriority w:val="99"/>
    <w:unhideWhenUsed/>
    <w:rsid w:val="00F82E77"/>
    <w:rPr>
      <w:color w:val="0000FF" w:themeColor="hyperlink"/>
      <w:u w:val="single"/>
    </w:rPr>
  </w:style>
  <w:style w:type="paragraph" w:customStyle="1" w:styleId="TableParagraph">
    <w:name w:val="Table Paragraph"/>
    <w:basedOn w:val="Normal"/>
    <w:uiPriority w:val="1"/>
    <w:qFormat/>
    <w:rsid w:val="006F4A1E"/>
    <w:pPr>
      <w:widowControl w:val="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B13CE"/>
    <w:rPr>
      <w:color w:val="800080" w:themeColor="followedHyperlink"/>
      <w:u w:val="single"/>
    </w:rPr>
  </w:style>
  <w:style w:type="paragraph" w:styleId="Revision">
    <w:name w:val="Revision"/>
    <w:hidden/>
    <w:uiPriority w:val="99"/>
    <w:semiHidden/>
    <w:rsid w:val="00BE0485"/>
    <w:rPr>
      <w:rFonts w:ascii="Arial" w:hAnsi="Arial"/>
      <w:sz w:val="24"/>
      <w:szCs w:val="24"/>
    </w:rPr>
  </w:style>
  <w:style w:type="character" w:customStyle="1" w:styleId="FootnoteTextCharCharCharCharCharCharCharCharCharCharCharCharCharCharCharCharCharCharCharCharChar">
    <w:name w:val="Footnote Text Char Char Char Char Char Char Char Char Char Char Char Char Char Char Char Char Char Char Char Char Char"/>
    <w:aliases w:val="ft Char"/>
    <w:uiPriority w:val="99"/>
    <w:rsid w:val="008A25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2F52-F40C-4DE6-8D30-3183363B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2017-07-21T14:43:00Z</cp:lastPrinted>
  <dcterms:created xsi:type="dcterms:W3CDTF">2017-07-24T16:33:00Z</dcterms:created>
  <dcterms:modified xsi:type="dcterms:W3CDTF">2017-07-24T16:33:00Z</dcterms:modified>
</cp:coreProperties>
</file>