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RP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OMB CONTROL NUMBER 3038-0091</w:t>
      </w:r>
    </w:p>
    <w:p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B6A" w:rsidRP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 xml:space="preserve">Section 724(a) of the Dodd-Frank Wall Street Reform and Consumer Protection Act, P.L. 111-023, 124 stat. 1376, amends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xml:space="preserve">., to add, as section </w:t>
      </w:r>
      <w:proofErr w:type="gramStart"/>
      <w:r w:rsidRPr="00642B6A">
        <w:rPr>
          <w:rFonts w:eastAsia="Times New Roman" w:cs="Times New Roman"/>
          <w:color w:val="000000"/>
          <w:szCs w:val="24"/>
        </w:rPr>
        <w:t>4d(</w:t>
      </w:r>
      <w:proofErr w:type="gramEnd"/>
      <w:r w:rsidRPr="00642B6A">
        <w:rPr>
          <w:rFonts w:eastAsia="Times New Roman" w:cs="Times New Roman"/>
          <w:color w:val="000000"/>
          <w:szCs w:val="24"/>
        </w:rPr>
        <w:t xml:space="preserve">f) thereof, provisions concerning the protection of collateral provided by a cleared swaps customer to margin, guaranty, or secure a swap cleared by or through a derivatives clearing organization (“DCO”).  The Commission implemented customer collateral rules in February 2012 as part 22 of its regulations, which contained collections of information for which an information collection request was submitted.  </w:t>
      </w:r>
    </w:p>
    <w:p w:rsidR="00642B6A" w:rsidRPr="00642B6A" w:rsidRDefault="00642B6A" w:rsidP="00642B6A">
      <w:pPr>
        <w:autoSpaceDE w:val="0"/>
        <w:autoSpaceDN w:val="0"/>
        <w:adjustRightInd w:val="0"/>
        <w:rPr>
          <w:rFonts w:eastAsia="Times New Roman" w:cs="Times New Roman"/>
          <w:color w:val="000000"/>
          <w:szCs w:val="24"/>
        </w:rPr>
      </w:pPr>
    </w:p>
    <w:p w:rsidR="00642B6A" w:rsidRP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The Commission now is proposing rules to enhance certain provisions of its regulations to strengthen the protection of customer collateral held by its registrants, significantly to prevent unauthorized usage of customer funds by FCMs.  This includes proposed modifications to existing rules respecting the collateral of cleared swaps customers.  In particular, the Commission is newly proposing § 22.17 and revising § 22.2(g) of its regulations, which require additions and revisions to this collection with respect to the recordkeeping and reporting associated with each of these rules.  The Commission estimates that the proposal, which builds upon the already existing framework adopted in Part 22, will increase burden hours by approximately 10 minutes per day for an anticipated 100 entities.</w:t>
      </w:r>
    </w:p>
    <w:p w:rsidR="00642B6A" w:rsidRPr="00642B6A" w:rsidRDefault="00642B6A" w:rsidP="00642B6A">
      <w:pPr>
        <w:autoSpaceDE w:val="0"/>
        <w:autoSpaceDN w:val="0"/>
        <w:adjustRightInd w:val="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2.</w:t>
      </w:r>
      <w:r w:rsidRPr="00642B6A">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szCs w:val="24"/>
        </w:rPr>
        <w:t xml:space="preserve">The collection as it was initially proposed required data to be compiled, maintained, and submitted to third parties and the Commission </w:t>
      </w:r>
      <w:r w:rsidRPr="00642B6A" w:rsidDel="005A0340">
        <w:rPr>
          <w:rFonts w:eastAsia="Times New Roman" w:cs="Times New Roman"/>
          <w:szCs w:val="24"/>
        </w:rPr>
        <w:t xml:space="preserve"> </w:t>
      </w:r>
      <w:r w:rsidRPr="00642B6A">
        <w:rPr>
          <w:rFonts w:eastAsia="Times New Roman" w:cs="Times New Roman"/>
          <w:color w:val="000000"/>
          <w:szCs w:val="24"/>
        </w:rPr>
        <w:t>to help ensure that FCMs’ Cleared Swaps Customer Accounts are in compliance at all times with statutory and regulatory requirements for such accounts; to confirm that depositories of cleared swaps customer funds understand their  responsibilities with respect to the protection of such funds; to facilitate risk management, and, in the event of default by an FCM, to enable DCOs and Collecting FCMs to perform their duty, to treat the collateral attributed to each customer of the FCM on an individual basis; and to ensure that customers are informed of the procedures to which accounts containing their swaps collateral may be subject in the event of a default by their FCM.</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 xml:space="preserve">The collection as it will be revised will add reporting and recordkeeping requirements, building upon the information already required to be collected, retained, and reported to </w:t>
      </w:r>
      <w:r w:rsidRPr="00642B6A">
        <w:rPr>
          <w:rFonts w:eastAsia="Times New Roman" w:cs="Times New Roman"/>
          <w:szCs w:val="24"/>
        </w:rPr>
        <w:t xml:space="preserve">enhance the ability of the Commission and the designated self-regulatory organization of an FCM to </w:t>
      </w:r>
      <w:r w:rsidRPr="00642B6A">
        <w:rPr>
          <w:rFonts w:eastAsia="Times New Roman" w:cs="Times New Roman"/>
          <w:szCs w:val="24"/>
        </w:rPr>
        <w:lastRenderedPageBreak/>
        <w:t>identify problematic financial matters in time to avoid market disruptions when an FCM may fail, particularly with respect to the tie-up of customer funds that may result.</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 xml:space="preserve"> </w:t>
      </w:r>
      <w:r w:rsidRPr="00642B6A">
        <w:rPr>
          <w:rFonts w:eastAsia="Times New Roman" w:cs="Times New Roman"/>
          <w:color w:val="000000"/>
          <w:szCs w:val="24"/>
        </w:rPr>
        <w:tab/>
      </w: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3.</w:t>
      </w:r>
      <w:r w:rsidRPr="00642B6A">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szCs w:val="24"/>
        </w:rPr>
        <w:tab/>
        <w:t xml:space="preserve">The collections of information in the proposal may be reported and maintained electronically.  It is expected modest modifications to software, information technology and systems already used by the relevant businesses would be necessary, which are built into the daily burden number estimated by the Commission associated with the newly proposed rules. </w:t>
      </w:r>
      <w:r w:rsidRPr="00642B6A">
        <w:rPr>
          <w:rFonts w:eastAsia="Times New Roman" w:cs="Times New Roman"/>
          <w:szCs w:val="24"/>
        </w:rPr>
        <w:tab/>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proposed collections of information do not duplicate any existing collection of information, but rather build upon business and regulatory compliance practices already in place at an FCM.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This collection of information will not have a significant impact on a substantial number of small entities.  In fact, because of the minimum net capital required to be maintained by an FCM, the Commission has determined that an FCM cannot be a small entity for purposes of the Regulatory Flexibility Act.</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szCs w:val="24"/>
        </w:rPr>
        <w:t>If the collection of information was performed less frequently it would not effectively permit the Commission or an FCM’s designated self-regulatory organization to monitor compliance with the FCM’s obligations to maintain customer collateral separately from its own collateral, which could result in market disruptions, particularly in the event of a tie-up of customer collateral, which has occurred in recent FCM failures.</w:t>
      </w:r>
      <w:r w:rsidRPr="00642B6A" w:rsidDel="00F86753">
        <w:rPr>
          <w:rFonts w:eastAsia="Times New Roman" w:cs="Times New Roman"/>
          <w:color w:val="000000"/>
          <w:szCs w:val="24"/>
        </w:rPr>
        <w:t xml:space="preserve">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Less frequent reporting and recordkeeping would not permit the Commission, or the self-regulatory organizations subject to its oversight, to adequately administer the newly proposed </w:t>
      </w:r>
      <w:r w:rsidRPr="00642B6A">
        <w:rPr>
          <w:rFonts w:eastAsia="Times New Roman" w:cs="Times New Roman"/>
          <w:szCs w:val="24"/>
        </w:rPr>
        <w:lastRenderedPageBreak/>
        <w:t xml:space="preserve">customer protection rules consistently with their purpose, which is supported fully by the CEA as amended, and monitor for compliance with the part 22 regulations that have been implemented consistently with the CEA, as amended.  </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642B6A">
        <w:rPr>
          <w:rFonts w:eastAsia="Times New Roman" w:cs="Times New Roman"/>
          <w:szCs w:val="24"/>
        </w:rPr>
        <w:t>information in fewer than 30 days after receipt of it:</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 with respect to the revisions to the part 22 regulations contained in the Commission’s new proposal.</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submit more that an original and two copies of any document;</w:t>
      </w:r>
    </w:p>
    <w:p w:rsidR="00642B6A" w:rsidRPr="00642B6A" w:rsidRDefault="00642B6A" w:rsidP="00642B6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Respondents are not required to submit more than an original and two copies of any documents to the Commission or third parties.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RPr="00642B6A" w:rsidRDefault="00642B6A" w:rsidP="00642B6A">
      <w:pPr>
        <w:numPr>
          <w:ilvl w:val="0"/>
          <w:numId w:val="1"/>
        </w:numPr>
        <w:tabs>
          <w:tab w:val="left" w:pos="-720"/>
          <w:tab w:val="left" w:pos="0"/>
          <w:tab w:val="left" w:pos="720"/>
        </w:tabs>
        <w:spacing w:after="240"/>
        <w:contextualSpacing/>
        <w:rPr>
          <w:rFonts w:eastAsia="Times New Roman" w:cs="Times New Roman"/>
        </w:rPr>
      </w:pPr>
      <w:r w:rsidRPr="00642B6A">
        <w:rPr>
          <w:rFonts w:eastAsia="Times New Roman" w:cs="Times New Roman"/>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ab/>
      </w:r>
      <w:r w:rsidRPr="00642B6A">
        <w:rPr>
          <w:rFonts w:eastAsia="Times New Roman" w:cs="Times New Roman"/>
          <w:szCs w:val="24"/>
        </w:rPr>
        <w:tab/>
        <w:t xml:space="preserve">The collection does not involve any pledge of </w:t>
      </w:r>
      <w:proofErr w:type="spellStart"/>
      <w:r w:rsidRPr="00642B6A">
        <w:rPr>
          <w:rFonts w:eastAsia="Times New Roman" w:cs="Times New Roman"/>
          <w:szCs w:val="24"/>
        </w:rPr>
        <w:t>confidentiality.</w:t>
      </w:r>
      <w:r w:rsidRPr="00642B6A">
        <w:rPr>
          <w:rFonts w:eastAsia="Times New Roman" w:cs="Times New Roman"/>
          <w:b/>
          <w:szCs w:val="24"/>
        </w:rPr>
        <w:t>requiring</w:t>
      </w:r>
      <w:proofErr w:type="spellEnd"/>
      <w:r w:rsidRPr="00642B6A">
        <w:rPr>
          <w:rFonts w:eastAsia="Times New Roman" w:cs="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642B6A" w:rsidRPr="00642B6A" w:rsidRDefault="00642B6A" w:rsidP="00642B6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Finally, for civil and criminal law enforcement purposes, Commission rule 1.31, 17 C.F.R. § 1.31, requires that:</w:t>
      </w:r>
    </w:p>
    <w:p w:rsidR="00642B6A" w:rsidRPr="00642B6A" w:rsidRDefault="00642B6A" w:rsidP="00642B6A">
      <w:pPr>
        <w:tabs>
          <w:tab w:val="left" w:pos="-720"/>
          <w:tab w:val="left" w:pos="0"/>
          <w:tab w:val="left" w:pos="720"/>
        </w:tabs>
        <w:spacing w:after="240"/>
        <w:ind w:left="1440" w:right="1440"/>
        <w:rPr>
          <w:rFonts w:eastAsia="Times New Roman" w:cs="Times New Roman"/>
          <w:szCs w:val="24"/>
        </w:rPr>
      </w:pPr>
      <w:r w:rsidRPr="00642B6A">
        <w:rPr>
          <w:rFonts w:eastAsia="Times New Roman" w:cs="Times New Roman"/>
          <w:szCs w:val="24"/>
        </w:rPr>
        <w:lastRenderedPageBreak/>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2B6A" w:rsidRPr="00642B6A" w:rsidRDefault="00642B6A"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r w:rsidRPr="00642B6A">
        <w:rPr>
          <w:rFonts w:eastAsia="Times New Roman" w:cs="Times New Roman"/>
          <w:szCs w:val="24"/>
        </w:rPr>
        <w:tab/>
      </w:r>
      <w:r w:rsidRPr="00642B6A">
        <w:rPr>
          <w:rFonts w:eastAsia="Times New Roman" w:cs="Times New Roman"/>
          <w:szCs w:val="24"/>
        </w:rPr>
        <w:tab/>
        <w:t>No such circumstances are anticipated.</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RDefault="0027708A" w:rsidP="00642B6A">
      <w:pPr>
        <w:tabs>
          <w:tab w:val="left" w:pos="-720"/>
        </w:tabs>
        <w:spacing w:after="240"/>
        <w:rPr>
          <w:rFonts w:eastAsia="Times New Roman" w:cs="Times New Roman"/>
          <w:szCs w:val="24"/>
        </w:rPr>
      </w:pPr>
      <w:r>
        <w:rPr>
          <w:rFonts w:eastAsia="Times New Roman" w:cs="Times New Roman"/>
          <w:szCs w:val="24"/>
        </w:rPr>
        <w:tab/>
        <w:t>Not applicable.</w:t>
      </w: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642B6A" w:rsidRPr="00642B6A" w:rsidRDefault="00642B6A" w:rsidP="00642B6A">
      <w:pPr>
        <w:ind w:left="720" w:firstLine="720"/>
        <w:rPr>
          <w:rFonts w:eastAsia="Times New Roman" w:cs="Times New Roman"/>
          <w:szCs w:val="24"/>
        </w:rPr>
      </w:pPr>
      <w:r w:rsidRPr="00642B6A">
        <w:rPr>
          <w:rFonts w:eastAsia="Times New Roman" w:cs="Times New Roman"/>
          <w:b/>
          <w:szCs w:val="24"/>
        </w:rPr>
        <w:tab/>
      </w:r>
    </w:p>
    <w:p w:rsidR="00642B6A" w:rsidRPr="00642B6A" w:rsidRDefault="00642B6A" w:rsidP="00642B6A">
      <w:pPr>
        <w:ind w:firstLine="720"/>
        <w:rPr>
          <w:rFonts w:eastAsia="Times New Roman" w:cs="Times New Roman"/>
          <w:szCs w:val="24"/>
        </w:rPr>
      </w:pPr>
      <w:r w:rsidRPr="00642B6A">
        <w:rPr>
          <w:rFonts w:eastAsia="Times New Roman" w:cs="Times New Roman"/>
          <w:szCs w:val="24"/>
        </w:rP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Moreover, the Commission complies with the Freedom of Information Act regulations it has established, set forth at 17 CFR Part 145, and its Government in the Sunshine Act regulations, set forth at 17 CFR Part 147.</w:t>
      </w:r>
    </w:p>
    <w:p w:rsidR="00642B6A" w:rsidRPr="00642B6A" w:rsidRDefault="00642B6A" w:rsidP="00642B6A">
      <w:pPr>
        <w:tabs>
          <w:tab w:val="left" w:pos="-720"/>
        </w:tabs>
        <w:spacing w:after="240"/>
        <w:rPr>
          <w:rFonts w:eastAsia="Times New Roman" w:cs="Times New Roman"/>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RDefault="00642B6A" w:rsidP="00642B6A">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rsidR="0027708A" w:rsidRPr="00642B6A" w:rsidRDefault="0027708A" w:rsidP="00642B6A">
      <w:pPr>
        <w:tabs>
          <w:tab w:val="left" w:pos="-720"/>
        </w:tabs>
        <w:suppressAutoHyphens/>
        <w:ind w:firstLine="720"/>
        <w:rPr>
          <w:rFonts w:eastAsia="Times New Roman" w:cs="Times New Roman"/>
          <w:szCs w:val="24"/>
        </w:rPr>
      </w:pPr>
      <w:bookmarkStart w:id="0" w:name="_GoBack"/>
      <w:bookmarkEnd w:id="0"/>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szCs w:val="24"/>
        </w:rPr>
        <w:tab/>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The primary costs for requesting and reviewing documents under the existing OMB Collection 3038-0024 and this amendment are the salaries and benefits for attorneys and auditors to analyze the information collected. The proposed amendment will add to existing costs, however, the information collected is of the same type and amount as the existing collection.</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The proposed regulations are designed to enhance the monitoring and security of customer funds that are held by an FCM, to enable the Commission and the self-regulatory organizations subject to its oversight to monitor for compliance with provisions of the CEA and its implementing regulations that provide for the protection of customer collateral.</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642B6A" w:rsidRPr="00642B6A" w:rsidRDefault="00642B6A" w:rsidP="00642B6A">
      <w:pPr>
        <w:rPr>
          <w:rFonts w:eastAsia="Times New Roman" w:cs="Times New Roman"/>
          <w:szCs w:val="24"/>
        </w:rPr>
      </w:pPr>
      <w:r w:rsidRPr="00642B6A">
        <w:rPr>
          <w:rFonts w:eastAsia="Times New Roman" w:cs="Times New Roman"/>
          <w:szCs w:val="24"/>
        </w:rPr>
        <w:br w:type="page"/>
      </w:r>
    </w:p>
    <w:p w:rsidR="00642B6A" w:rsidRPr="00642B6A" w:rsidRDefault="00642B6A" w:rsidP="00642B6A">
      <w:pPr>
        <w:jc w:val="center"/>
        <w:rPr>
          <w:rFonts w:eastAsia="Times New Roman" w:cs="Times New Roman"/>
          <w:b/>
          <w:szCs w:val="24"/>
        </w:rPr>
      </w:pPr>
      <w:r w:rsidRPr="00642B6A">
        <w:rPr>
          <w:rFonts w:eastAsia="Times New Roman" w:cs="Times New Roman"/>
          <w:b/>
          <w:szCs w:val="24"/>
        </w:rPr>
        <w:lastRenderedPageBreak/>
        <w:t>Attachment A</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Part 22 – Disclosure and Retention of Certain Information Relating to</w:t>
      </w: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Cleared Swaps Customer Collateral</w:t>
      </w:r>
    </w:p>
    <w:p w:rsidR="00642B6A" w:rsidRPr="00642B6A" w:rsidRDefault="00642B6A" w:rsidP="00642B6A">
      <w:pPr>
        <w:jc w:val="center"/>
        <w:rPr>
          <w:rFonts w:eastAsia="Times New Roman" w:cs="Times New Roman"/>
          <w:b/>
          <w:szCs w:val="24"/>
        </w:rPr>
      </w:pPr>
    </w:p>
    <w:p w:rsidR="00642B6A" w:rsidRPr="00642B6A" w:rsidRDefault="00642B6A" w:rsidP="00642B6A">
      <w:pPr>
        <w:spacing w:after="480"/>
        <w:jc w:val="center"/>
        <w:rPr>
          <w:rFonts w:eastAsia="Times New Roman" w:cs="Times New Roman"/>
          <w:b/>
          <w:szCs w:val="24"/>
        </w:rPr>
      </w:pPr>
      <w:r w:rsidRPr="00642B6A">
        <w:rPr>
          <w:rFonts w:eastAsia="Times New Roman" w:cs="Times New Roman"/>
          <w:b/>
          <w:szCs w:val="24"/>
        </w:rPr>
        <w:t>OMB Collection File 3038-0091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642B6A" w:rsidRPr="00642B6A" w:rsidTr="00D032BE">
        <w:trPr>
          <w:tblCellSpacing w:w="15" w:type="dxa"/>
        </w:trPr>
        <w:tc>
          <w:tcPr>
            <w:tcW w:w="0" w:type="auto"/>
            <w:vAlign w:val="center"/>
            <w:hideMark/>
          </w:tcPr>
          <w:p w:rsidR="00642B6A" w:rsidRPr="00642B6A" w:rsidRDefault="00642B6A" w:rsidP="00642B6A">
            <w:pPr>
              <w:tabs>
                <w:tab w:val="left" w:pos="-720"/>
                <w:tab w:val="left" w:pos="0"/>
              </w:tabs>
              <w:suppressAutoHyphens/>
              <w:ind w:left="720" w:hanging="720"/>
              <w:rPr>
                <w:rFonts w:eastAsia="Times New Roman" w:cs="Times New Roman"/>
                <w:b/>
                <w:szCs w:val="24"/>
              </w:rPr>
            </w:pPr>
          </w:p>
          <w:p w:rsidR="00642B6A" w:rsidRPr="00642B6A" w:rsidRDefault="00642B6A" w:rsidP="00642B6A">
            <w:pPr>
              <w:tabs>
                <w:tab w:val="left" w:pos="-720"/>
                <w:tab w:val="left" w:pos="0"/>
              </w:tabs>
              <w:suppressAutoHyphens/>
              <w:ind w:left="720" w:hanging="720"/>
              <w:rPr>
                <w:rFonts w:eastAsia="Times New Roman" w:cs="Times New Roman"/>
                <w:b/>
                <w:szCs w:val="24"/>
              </w:rPr>
            </w:pPr>
            <w:r w:rsidRPr="00642B6A">
              <w:rPr>
                <w:rFonts w:eastAsia="Times New Roman" w:cs="Times New Roman"/>
                <w:b/>
                <w:szCs w:val="24"/>
              </w:rPr>
              <w:t xml:space="preserve">Previous Estimated Burden </w:t>
            </w:r>
          </w:p>
          <w:p w:rsidR="00642B6A" w:rsidRPr="00642B6A" w:rsidRDefault="00642B6A" w:rsidP="00642B6A">
            <w:pPr>
              <w:rPr>
                <w:rFonts w:ascii="Arial" w:eastAsia="Times New Roman" w:hAnsi="Arial" w:cs="Arial"/>
                <w:sz w:val="18"/>
                <w:szCs w:val="18"/>
              </w:rPr>
            </w:pPr>
          </w:p>
        </w:tc>
      </w:tr>
    </w:tbl>
    <w:p w:rsidR="00642B6A" w:rsidRPr="00642B6A" w:rsidRDefault="00642B6A" w:rsidP="00642B6A">
      <w:pPr>
        <w:rPr>
          <w:rFonts w:ascii="Arial" w:eastAsia="Times New Roman" w:hAnsi="Arial" w:cs="Arial"/>
          <w:vanish/>
          <w:sz w:val="18"/>
          <w:szCs w:val="18"/>
        </w:rPr>
      </w:pPr>
    </w:p>
    <w:tbl>
      <w:tblPr>
        <w:tblW w:w="9000" w:type="dxa"/>
        <w:tblCellSpacing w:w="7" w:type="dxa"/>
        <w:shd w:val="clear" w:color="auto" w:fill="A9A9A9"/>
        <w:tblCellMar>
          <w:top w:w="15" w:type="dxa"/>
          <w:left w:w="15" w:type="dxa"/>
          <w:bottom w:w="15" w:type="dxa"/>
          <w:right w:w="15" w:type="dxa"/>
        </w:tblCellMar>
        <w:tblLook w:val="04A0" w:firstRow="1" w:lastRow="0" w:firstColumn="1" w:lastColumn="0" w:noHBand="0" w:noVBand="1"/>
      </w:tblPr>
      <w:tblGrid>
        <w:gridCol w:w="2253"/>
        <w:gridCol w:w="2246"/>
        <w:gridCol w:w="2247"/>
        <w:gridCol w:w="2254"/>
      </w:tblGrid>
      <w:tr w:rsidR="00642B6A" w:rsidRPr="00642B6A" w:rsidTr="00D032BE">
        <w:trPr>
          <w:tblCellSpacing w:w="7" w:type="dxa"/>
        </w:trPr>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 </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Requested</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Previously Approved</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09/30/2012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36,500</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36,500</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1,212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1,212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bl>
    <w:p w:rsidR="00642B6A" w:rsidRPr="00642B6A" w:rsidRDefault="00642B6A" w:rsidP="00642B6A">
      <w:pPr>
        <w:tabs>
          <w:tab w:val="left" w:pos="-720"/>
          <w:tab w:val="left" w:pos="0"/>
        </w:tabs>
        <w:suppressAutoHyphens/>
        <w:ind w:left="720" w:hanging="720"/>
        <w:jc w:val="center"/>
        <w:rPr>
          <w:rFonts w:ascii="Arial" w:eastAsia="Times New Roman" w:hAnsi="Arial" w:cs="Times New Roman"/>
          <w:b/>
          <w:szCs w:val="24"/>
        </w:rPr>
      </w:pPr>
    </w:p>
    <w:p w:rsidR="00642B6A" w:rsidRPr="00642B6A" w:rsidRDefault="00642B6A" w:rsidP="00642B6A">
      <w:pPr>
        <w:tabs>
          <w:tab w:val="left" w:pos="-720"/>
          <w:tab w:val="left" w:pos="0"/>
        </w:tabs>
        <w:suppressAutoHyphens/>
        <w:ind w:left="720" w:hanging="720"/>
        <w:jc w:val="center"/>
        <w:rPr>
          <w:rFonts w:ascii="Arial" w:eastAsia="Times New Roman" w:hAnsi="Arial" w:cs="Times New Roman"/>
          <w:b/>
          <w:szCs w:val="24"/>
        </w:rPr>
      </w:pPr>
    </w:p>
    <w:p w:rsidR="00642B6A" w:rsidRPr="00642B6A" w:rsidRDefault="00642B6A" w:rsidP="00642B6A">
      <w:pPr>
        <w:tabs>
          <w:tab w:val="left" w:pos="-720"/>
          <w:tab w:val="left" w:pos="0"/>
        </w:tabs>
        <w:suppressAutoHyphens/>
        <w:ind w:left="720" w:hanging="720"/>
        <w:rPr>
          <w:rFonts w:eastAsia="Times New Roman" w:cs="Times New Roman"/>
          <w:b/>
          <w:szCs w:val="24"/>
        </w:rPr>
      </w:pPr>
      <w:r w:rsidRPr="00642B6A">
        <w:rPr>
          <w:rFonts w:eastAsia="Times New Roman" w:cs="Times New Roman"/>
          <w:b/>
          <w:szCs w:val="24"/>
        </w:rPr>
        <w:t>Amended Estimated Hourly Burden</w:t>
      </w:r>
    </w:p>
    <w:p w:rsidR="00642B6A" w:rsidRPr="00642B6A" w:rsidRDefault="00642B6A" w:rsidP="00642B6A">
      <w:pPr>
        <w:tabs>
          <w:tab w:val="left" w:pos="-720"/>
          <w:tab w:val="left" w:pos="0"/>
        </w:tabs>
        <w:suppressAutoHyphens/>
        <w:ind w:left="720" w:hanging="720"/>
        <w:rPr>
          <w:rFonts w:ascii="Arial" w:eastAsia="Times New Roman" w:hAnsi="Arial" w:cs="Times New Roman"/>
          <w:b/>
          <w:szCs w:val="24"/>
        </w:rPr>
      </w:pPr>
    </w:p>
    <w:tbl>
      <w:tblPr>
        <w:tblW w:w="10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1808"/>
        <w:gridCol w:w="1229"/>
        <w:gridCol w:w="1518"/>
        <w:gridCol w:w="1518"/>
        <w:gridCol w:w="1518"/>
      </w:tblGrid>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Report</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xml:space="preserve">Estimated Number of Respondents </w:t>
            </w: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Reports</w:t>
            </w:r>
          </w:p>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Per period by Each</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xml:space="preserve">Total </w:t>
            </w:r>
          </w:p>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Responses</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Estimated Average Number of Hours per year</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Annual Reporting Burden</w:t>
            </w:r>
          </w:p>
        </w:tc>
      </w:tr>
      <w:tr w:rsidR="00642B6A" w:rsidRPr="00642B6A" w:rsidTr="00D032BE">
        <w:trPr>
          <w:trHeight w:val="998"/>
        </w:trPr>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Existing</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112</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36,500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36,500</w:t>
            </w:r>
          </w:p>
        </w:tc>
      </w:tr>
      <w:tr w:rsidR="00642B6A" w:rsidRPr="00642B6A" w:rsidTr="00D032BE">
        <w:trPr>
          <w:trHeight w:val="395"/>
        </w:trPr>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22.17and 22.2(g)</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100</w:t>
            </w: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 w:val="16"/>
                <w:szCs w:val="16"/>
              </w:rPr>
            </w:pPr>
            <w:r w:rsidRPr="00642B6A">
              <w:rPr>
                <w:rFonts w:ascii="Arial" w:eastAsia="Times New Roman" w:hAnsi="Arial" w:cs="Times New Roman"/>
                <w:b/>
                <w:szCs w:val="24"/>
              </w:rPr>
              <w:t>261</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r>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r>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TOTAL</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26,212</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62,600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62,600</w:t>
            </w:r>
          </w:p>
        </w:tc>
      </w:tr>
    </w:tbl>
    <w:p w:rsidR="00642B6A" w:rsidRPr="00642B6A" w:rsidRDefault="00642B6A" w:rsidP="00642B6A">
      <w:pPr>
        <w:spacing w:after="480"/>
        <w:rPr>
          <w:rFonts w:eastAsia="Times New Roman" w:cs="Times New Roman"/>
          <w:b/>
          <w:szCs w:val="24"/>
        </w:rPr>
      </w:pPr>
    </w:p>
    <w:p w:rsidR="00585718" w:rsidRDefault="00585718"/>
    <w:sectPr w:rsidR="00585718"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576BF"/>
    <w:rsid w:val="00072761"/>
    <w:rsid w:val="000803D6"/>
    <w:rsid w:val="0027708A"/>
    <w:rsid w:val="00307E70"/>
    <w:rsid w:val="00585718"/>
    <w:rsid w:val="00607D38"/>
    <w:rsid w:val="006243BC"/>
    <w:rsid w:val="0063622E"/>
    <w:rsid w:val="00642B6A"/>
    <w:rsid w:val="00667CD6"/>
    <w:rsid w:val="007029A9"/>
    <w:rsid w:val="008F2F98"/>
    <w:rsid w:val="009309EC"/>
    <w:rsid w:val="0099690D"/>
    <w:rsid w:val="009B2F52"/>
    <w:rsid w:val="00AC2529"/>
    <w:rsid w:val="00B91704"/>
    <w:rsid w:val="00BE6AC8"/>
    <w:rsid w:val="00C173E1"/>
    <w:rsid w:val="00C23A3C"/>
    <w:rsid w:val="00D27AE8"/>
    <w:rsid w:val="00DB1AD1"/>
    <w:rsid w:val="00DB7297"/>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2437</Words>
  <Characters>13896</Characters>
  <Application>Microsoft Office Word</Application>
  <DocSecurity>0</DocSecurity>
  <Lines>115</Lines>
  <Paragraphs>32</Paragraphs>
  <ScaleCrop>false</ScaleCrop>
  <Company>CFTC</Company>
  <LinksUpToDate>false</LinksUpToDate>
  <CharactersWithSpaces>16301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WMcobb</cp:lastModifiedBy>
  <cp:revision>2</cp:revision>
  <dcterms:created xsi:type="dcterms:W3CDTF">2012-11-14T20:05:00Z</dcterms:created>
  <dcterms:modified xsi:type="dcterms:W3CDTF">2012-11-14T20:33:00Z</dcterms:modified>
</cp:coreProperties>
</file>