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0946E" w14:textId="77777777" w:rsidR="00D7442B" w:rsidRDefault="00D7442B" w:rsidP="00BD621C">
      <w:pPr>
        <w:pStyle w:val="BodyText"/>
        <w:rPr>
          <w:noProof/>
        </w:rPr>
      </w:pPr>
      <w:bookmarkStart w:id="0" w:name="_GoBack"/>
      <w:bookmarkEnd w:id="0"/>
    </w:p>
    <w:p w14:paraId="2D6B384C" w14:textId="77777777" w:rsidR="00D7442B" w:rsidRDefault="00D7442B" w:rsidP="00BD621C">
      <w:pPr>
        <w:pStyle w:val="BodyText"/>
        <w:rPr>
          <w:noProof/>
        </w:rPr>
      </w:pPr>
    </w:p>
    <w:p w14:paraId="055B8A83" w14:textId="77777777" w:rsidR="00D7442B" w:rsidRDefault="00D7442B" w:rsidP="00BD621C">
      <w:pPr>
        <w:pStyle w:val="BodyText"/>
        <w:rPr>
          <w:noProof/>
        </w:rPr>
      </w:pPr>
    </w:p>
    <w:p w14:paraId="23DD8155" w14:textId="77777777" w:rsidR="00D7442B" w:rsidRDefault="00D7442B" w:rsidP="00BD621C">
      <w:pPr>
        <w:pStyle w:val="BodyText"/>
        <w:rPr>
          <w:noProof/>
        </w:rPr>
      </w:pPr>
    </w:p>
    <w:p w14:paraId="03B76722" w14:textId="77777777" w:rsidR="00D7442B" w:rsidRDefault="00D7442B" w:rsidP="00BD621C">
      <w:pPr>
        <w:pStyle w:val="BodyText"/>
        <w:rPr>
          <w:noProof/>
        </w:rPr>
      </w:pPr>
    </w:p>
    <w:p w14:paraId="7BA1E718" w14:textId="77777777" w:rsidR="009E40FE" w:rsidRDefault="009E40FE" w:rsidP="009E40FE">
      <w:pPr>
        <w:pStyle w:val="CoverTextRed16pt"/>
        <w:ind w:left="0"/>
        <w:jc w:val="center"/>
        <w:rPr>
          <w:noProof/>
        </w:rPr>
      </w:pPr>
      <w:r>
        <w:rPr>
          <w:noProof/>
        </w:rPr>
        <w:t>Supporting Statement for</w:t>
      </w:r>
    </w:p>
    <w:p w14:paraId="0D2B6F8B" w14:textId="77777777" w:rsidR="009E40FE" w:rsidRDefault="009E40FE" w:rsidP="009E40FE">
      <w:pPr>
        <w:pStyle w:val="CoverTextRed16pt"/>
        <w:ind w:left="0"/>
        <w:jc w:val="center"/>
        <w:rPr>
          <w:noProof/>
        </w:rPr>
      </w:pPr>
      <w:r>
        <w:rPr>
          <w:noProof/>
        </w:rPr>
        <w:t>Paper Reduction Act Submission</w:t>
      </w:r>
    </w:p>
    <w:p w14:paraId="0FBCBB45" w14:textId="6A05803F" w:rsidR="001E2CF1" w:rsidRDefault="00DB0075" w:rsidP="00D573BC">
      <w:pPr>
        <w:pStyle w:val="CoverTextRed16pt"/>
        <w:ind w:left="0"/>
        <w:jc w:val="center"/>
        <w:rPr>
          <w:noProof/>
        </w:rPr>
      </w:pPr>
      <w:r>
        <w:rPr>
          <w:noProof/>
        </w:rPr>
        <w:t>E</w:t>
      </w:r>
      <w:r w:rsidRPr="008E0E93">
        <w:rPr>
          <w:noProof/>
        </w:rPr>
        <w:t>valuation of the Section 811 Project Rental Assistance (PRA) Program</w:t>
      </w:r>
      <w:r w:rsidR="00B15544">
        <w:rPr>
          <w:noProof/>
        </w:rPr>
        <w:t xml:space="preserve"> – Phase II</w:t>
      </w:r>
    </w:p>
    <w:p w14:paraId="7015E7A5" w14:textId="473E8EF4" w:rsidR="009E40FE" w:rsidRDefault="009E40FE" w:rsidP="00D573BC">
      <w:pPr>
        <w:pStyle w:val="CoverTextRed16pt"/>
        <w:ind w:left="0"/>
        <w:jc w:val="center"/>
        <w:rPr>
          <w:noProof/>
        </w:rPr>
      </w:pPr>
      <w:r>
        <w:rPr>
          <w:noProof/>
        </w:rPr>
        <w:t>OMB 2528-0309</w:t>
      </w:r>
    </w:p>
    <w:p w14:paraId="5668F86B" w14:textId="4922CC90" w:rsidR="00BD621C" w:rsidRDefault="00BD621C" w:rsidP="00D573BC">
      <w:pPr>
        <w:pStyle w:val="BodyText"/>
        <w:jc w:val="center"/>
        <w:rPr>
          <w:noProof/>
        </w:rPr>
      </w:pPr>
    </w:p>
    <w:p w14:paraId="1D492318" w14:textId="45085197" w:rsidR="00DB0075" w:rsidRDefault="00556640" w:rsidP="00D573BC">
      <w:pPr>
        <w:pStyle w:val="CoverTextRed16pt"/>
        <w:ind w:left="0"/>
        <w:jc w:val="center"/>
        <w:rPr>
          <w:noProof/>
        </w:rPr>
      </w:pPr>
      <w:r>
        <w:rPr>
          <w:noProof/>
        </w:rPr>
        <w:t>Part A</w:t>
      </w:r>
    </w:p>
    <w:p w14:paraId="19D41481" w14:textId="77777777" w:rsidR="00DB0075" w:rsidRDefault="00DB0075" w:rsidP="00D573BC">
      <w:pPr>
        <w:pStyle w:val="CoverTextRed16pt"/>
        <w:ind w:left="0"/>
        <w:jc w:val="center"/>
        <w:rPr>
          <w:noProof/>
        </w:rPr>
      </w:pPr>
    </w:p>
    <w:p w14:paraId="782368F5" w14:textId="3D89D54D" w:rsidR="00DB0075" w:rsidRDefault="007A367B" w:rsidP="00D573BC">
      <w:pPr>
        <w:pStyle w:val="CoverTextRed16pt"/>
        <w:ind w:left="0"/>
        <w:jc w:val="center"/>
        <w:rPr>
          <w:noProof/>
        </w:rPr>
      </w:pPr>
      <w:r>
        <w:rPr>
          <w:noProof/>
        </w:rPr>
        <w:t xml:space="preserve">November </w:t>
      </w:r>
      <w:r w:rsidR="00BA73E5">
        <w:rPr>
          <w:noProof/>
        </w:rPr>
        <w:t>2</w:t>
      </w:r>
      <w:r>
        <w:rPr>
          <w:noProof/>
        </w:rPr>
        <w:t>7</w:t>
      </w:r>
      <w:r w:rsidR="00DB0075">
        <w:rPr>
          <w:noProof/>
        </w:rPr>
        <w:t>, 201</w:t>
      </w:r>
      <w:r w:rsidR="00B15544">
        <w:rPr>
          <w:noProof/>
        </w:rPr>
        <w:t>7</w:t>
      </w:r>
    </w:p>
    <w:p w14:paraId="017E85E1" w14:textId="77777777" w:rsidR="001956E8" w:rsidRDefault="001956E8" w:rsidP="00BD621C">
      <w:pPr>
        <w:pStyle w:val="BodyText"/>
        <w:rPr>
          <w:noProof/>
        </w:rPr>
      </w:pPr>
    </w:p>
    <w:p w14:paraId="6DE2BA6A" w14:textId="77777777" w:rsidR="001956E8" w:rsidRDefault="001956E8" w:rsidP="00BD621C">
      <w:pPr>
        <w:pStyle w:val="BodyText"/>
        <w:rPr>
          <w:noProof/>
        </w:rPr>
      </w:pPr>
    </w:p>
    <w:p w14:paraId="2E165EC2" w14:textId="77777777" w:rsidR="001956E8" w:rsidRDefault="001956E8" w:rsidP="00BD621C">
      <w:pPr>
        <w:pStyle w:val="BodyText"/>
        <w:rPr>
          <w:noProof/>
        </w:rPr>
      </w:pPr>
    </w:p>
    <w:p w14:paraId="2B3E0D39" w14:textId="77777777" w:rsidR="001956E8" w:rsidRDefault="001956E8" w:rsidP="00BD621C">
      <w:pPr>
        <w:pStyle w:val="BodyText"/>
        <w:rPr>
          <w:noProof/>
        </w:rPr>
      </w:pPr>
    </w:p>
    <w:p w14:paraId="068E07E5" w14:textId="77777777" w:rsidR="009565D4" w:rsidRDefault="009565D4" w:rsidP="00BD621C">
      <w:pPr>
        <w:pStyle w:val="BodyText"/>
        <w:rPr>
          <w:noProof/>
        </w:rPr>
      </w:pPr>
    </w:p>
    <w:p w14:paraId="11D19AE9" w14:textId="77777777" w:rsidR="00D7442B" w:rsidRPr="001E2CF1" w:rsidRDefault="00D7442B" w:rsidP="00D7442B">
      <w:pPr>
        <w:pStyle w:val="CoverText-Address"/>
        <w:tabs>
          <w:tab w:val="clear" w:pos="6660"/>
        </w:tabs>
        <w:ind w:left="0" w:right="0"/>
        <w:jc w:val="left"/>
      </w:pPr>
    </w:p>
    <w:p w14:paraId="31309165" w14:textId="77777777" w:rsidR="00157E04" w:rsidRDefault="00157E04" w:rsidP="00D7442B">
      <w:pPr>
        <w:sectPr w:rsidR="00157E04" w:rsidSect="000B4A32">
          <w:footerReference w:type="default" r:id="rId9"/>
          <w:pgSz w:w="12240" w:h="15840" w:code="1"/>
          <w:pgMar w:top="1440" w:right="1440" w:bottom="1440" w:left="1800" w:header="432" w:footer="432" w:gutter="0"/>
          <w:pgNumType w:fmt="lowerRoman" w:start="1"/>
          <w:cols w:space="720"/>
          <w:docGrid w:linePitch="299"/>
        </w:sectPr>
      </w:pPr>
    </w:p>
    <w:p w14:paraId="2F46A4BD" w14:textId="77777777" w:rsidR="00AD7ADA" w:rsidRPr="007E78C1" w:rsidRDefault="00AD7ADA" w:rsidP="00AD7ADA">
      <w:pPr>
        <w:pStyle w:val="Header"/>
      </w:pPr>
      <w:r>
        <w:lastRenderedPageBreak/>
        <w:t>Table of Contents</w:t>
      </w:r>
    </w:p>
    <w:p w14:paraId="442AA05B" w14:textId="5497BEEC" w:rsidR="00836189" w:rsidRDefault="00CD2213">
      <w:pPr>
        <w:pStyle w:val="TOC1"/>
        <w:rPr>
          <w:rFonts w:asciiTheme="minorHAnsi" w:eastAsiaTheme="minorEastAsia" w:hAnsiTheme="minorHAnsi" w:cstheme="minorBidi"/>
          <w:b w:val="0"/>
          <w:szCs w:val="22"/>
        </w:rPr>
      </w:pPr>
      <w:r>
        <w:rPr>
          <w:b w:val="0"/>
        </w:rPr>
        <w:fldChar w:fldCharType="begin"/>
      </w:r>
      <w:r>
        <w:rPr>
          <w:b w:val="0"/>
        </w:rPr>
        <w:instrText xml:space="preserve"> TOC \o "1-3" \h \z \u </w:instrText>
      </w:r>
      <w:r>
        <w:rPr>
          <w:b w:val="0"/>
        </w:rPr>
        <w:fldChar w:fldCharType="separate"/>
      </w:r>
      <w:hyperlink w:anchor="_Toc482188539" w:history="1">
        <w:r w:rsidR="00836189" w:rsidRPr="0000242D">
          <w:rPr>
            <w:rStyle w:val="Hyperlink"/>
            <w:rFonts w:ascii="Arial" w:hAnsi="Arial" w:cs="Arial"/>
          </w:rPr>
          <w:t>A.</w:t>
        </w:r>
        <w:r w:rsidR="00836189">
          <w:rPr>
            <w:rFonts w:asciiTheme="minorHAnsi" w:eastAsiaTheme="minorEastAsia" w:hAnsiTheme="minorHAnsi" w:cstheme="minorBidi"/>
            <w:b w:val="0"/>
            <w:szCs w:val="22"/>
          </w:rPr>
          <w:tab/>
        </w:r>
        <w:r w:rsidR="00836189" w:rsidRPr="0000242D">
          <w:rPr>
            <w:rStyle w:val="Hyperlink"/>
          </w:rPr>
          <w:t>Justification</w:t>
        </w:r>
        <w:r w:rsidR="00836189">
          <w:rPr>
            <w:webHidden/>
          </w:rPr>
          <w:tab/>
        </w:r>
        <w:r w:rsidR="00836189">
          <w:rPr>
            <w:webHidden/>
          </w:rPr>
          <w:fldChar w:fldCharType="begin"/>
        </w:r>
        <w:r w:rsidR="00836189">
          <w:rPr>
            <w:webHidden/>
          </w:rPr>
          <w:instrText xml:space="preserve"> PAGEREF _Toc482188539 \h </w:instrText>
        </w:r>
        <w:r w:rsidR="00836189">
          <w:rPr>
            <w:webHidden/>
          </w:rPr>
        </w:r>
        <w:r w:rsidR="00836189">
          <w:rPr>
            <w:webHidden/>
          </w:rPr>
          <w:fldChar w:fldCharType="separate"/>
        </w:r>
        <w:r w:rsidR="00A62502">
          <w:rPr>
            <w:webHidden/>
          </w:rPr>
          <w:t>2</w:t>
        </w:r>
        <w:r w:rsidR="00836189">
          <w:rPr>
            <w:webHidden/>
          </w:rPr>
          <w:fldChar w:fldCharType="end"/>
        </w:r>
      </w:hyperlink>
    </w:p>
    <w:p w14:paraId="325697A7" w14:textId="1C88FD91" w:rsidR="00836189" w:rsidRDefault="004E016B">
      <w:pPr>
        <w:pStyle w:val="TOC1"/>
        <w:rPr>
          <w:rFonts w:asciiTheme="minorHAnsi" w:eastAsiaTheme="minorEastAsia" w:hAnsiTheme="minorHAnsi" w:cstheme="minorBidi"/>
          <w:b w:val="0"/>
          <w:szCs w:val="22"/>
        </w:rPr>
      </w:pPr>
      <w:hyperlink w:anchor="_Toc482188540" w:history="1">
        <w:r w:rsidR="00836189" w:rsidRPr="0000242D">
          <w:rPr>
            <w:rStyle w:val="Hyperlink"/>
            <w:rFonts w:ascii="Arial" w:hAnsi="Arial" w:cs="Arial"/>
          </w:rPr>
          <w:t>1.</w:t>
        </w:r>
        <w:r w:rsidR="00836189">
          <w:rPr>
            <w:rFonts w:asciiTheme="minorHAnsi" w:eastAsiaTheme="minorEastAsia" w:hAnsiTheme="minorHAnsi" w:cstheme="minorBidi"/>
            <w:b w:val="0"/>
            <w:szCs w:val="22"/>
          </w:rPr>
          <w:tab/>
        </w:r>
        <w:r w:rsidR="00836189" w:rsidRPr="0000242D">
          <w:rPr>
            <w:rStyle w:val="Hyperlink"/>
          </w:rPr>
          <w:t>Circumstances Making the Collection of Information Necessary</w:t>
        </w:r>
        <w:r w:rsidR="00836189">
          <w:rPr>
            <w:webHidden/>
          </w:rPr>
          <w:tab/>
        </w:r>
        <w:r w:rsidR="00836189">
          <w:rPr>
            <w:webHidden/>
          </w:rPr>
          <w:fldChar w:fldCharType="begin"/>
        </w:r>
        <w:r w:rsidR="00836189">
          <w:rPr>
            <w:webHidden/>
          </w:rPr>
          <w:instrText xml:space="preserve"> PAGEREF _Toc482188540 \h </w:instrText>
        </w:r>
        <w:r w:rsidR="00836189">
          <w:rPr>
            <w:webHidden/>
          </w:rPr>
        </w:r>
        <w:r w:rsidR="00836189">
          <w:rPr>
            <w:webHidden/>
          </w:rPr>
          <w:fldChar w:fldCharType="separate"/>
        </w:r>
        <w:r w:rsidR="00A62502">
          <w:rPr>
            <w:webHidden/>
          </w:rPr>
          <w:t>2</w:t>
        </w:r>
        <w:r w:rsidR="00836189">
          <w:rPr>
            <w:webHidden/>
          </w:rPr>
          <w:fldChar w:fldCharType="end"/>
        </w:r>
      </w:hyperlink>
    </w:p>
    <w:p w14:paraId="3F04BE48" w14:textId="63EC3A8C" w:rsidR="00836189" w:rsidRDefault="004E016B">
      <w:pPr>
        <w:pStyle w:val="TOC1"/>
        <w:rPr>
          <w:rFonts w:asciiTheme="minorHAnsi" w:eastAsiaTheme="minorEastAsia" w:hAnsiTheme="minorHAnsi" w:cstheme="minorBidi"/>
          <w:b w:val="0"/>
          <w:szCs w:val="22"/>
        </w:rPr>
      </w:pPr>
      <w:hyperlink w:anchor="_Toc482188541" w:history="1">
        <w:r w:rsidR="00836189" w:rsidRPr="0000242D">
          <w:rPr>
            <w:rStyle w:val="Hyperlink"/>
            <w:rFonts w:ascii="Arial" w:hAnsi="Arial" w:cs="Arial"/>
          </w:rPr>
          <w:t>2.</w:t>
        </w:r>
        <w:r w:rsidR="00836189">
          <w:rPr>
            <w:rFonts w:asciiTheme="minorHAnsi" w:eastAsiaTheme="minorEastAsia" w:hAnsiTheme="minorHAnsi" w:cstheme="minorBidi"/>
            <w:b w:val="0"/>
            <w:szCs w:val="22"/>
          </w:rPr>
          <w:tab/>
        </w:r>
        <w:r w:rsidR="00836189" w:rsidRPr="0000242D">
          <w:rPr>
            <w:rStyle w:val="Hyperlink"/>
          </w:rPr>
          <w:t>Purpose and Use of the Information Collection</w:t>
        </w:r>
        <w:r w:rsidR="00836189">
          <w:rPr>
            <w:webHidden/>
          </w:rPr>
          <w:tab/>
        </w:r>
        <w:r w:rsidR="00836189">
          <w:rPr>
            <w:webHidden/>
          </w:rPr>
          <w:fldChar w:fldCharType="begin"/>
        </w:r>
        <w:r w:rsidR="00836189">
          <w:rPr>
            <w:webHidden/>
          </w:rPr>
          <w:instrText xml:space="preserve"> PAGEREF _Toc482188541 \h </w:instrText>
        </w:r>
        <w:r w:rsidR="00836189">
          <w:rPr>
            <w:webHidden/>
          </w:rPr>
        </w:r>
        <w:r w:rsidR="00836189">
          <w:rPr>
            <w:webHidden/>
          </w:rPr>
          <w:fldChar w:fldCharType="separate"/>
        </w:r>
        <w:r w:rsidR="00A62502">
          <w:rPr>
            <w:webHidden/>
          </w:rPr>
          <w:t>3</w:t>
        </w:r>
        <w:r w:rsidR="00836189">
          <w:rPr>
            <w:webHidden/>
          </w:rPr>
          <w:fldChar w:fldCharType="end"/>
        </w:r>
      </w:hyperlink>
    </w:p>
    <w:p w14:paraId="3404971D" w14:textId="2228D9AB" w:rsidR="00836189" w:rsidRDefault="004E016B">
      <w:pPr>
        <w:pStyle w:val="TOC1"/>
        <w:rPr>
          <w:rFonts w:asciiTheme="minorHAnsi" w:eastAsiaTheme="minorEastAsia" w:hAnsiTheme="minorHAnsi" w:cstheme="minorBidi"/>
          <w:b w:val="0"/>
          <w:szCs w:val="22"/>
        </w:rPr>
      </w:pPr>
      <w:hyperlink w:anchor="_Toc482188542" w:history="1">
        <w:r w:rsidR="00836189" w:rsidRPr="0000242D">
          <w:rPr>
            <w:rStyle w:val="Hyperlink"/>
            <w:rFonts w:ascii="Arial" w:hAnsi="Arial" w:cs="Arial"/>
          </w:rPr>
          <w:t>3.</w:t>
        </w:r>
        <w:r w:rsidR="00836189">
          <w:rPr>
            <w:rFonts w:asciiTheme="minorHAnsi" w:eastAsiaTheme="minorEastAsia" w:hAnsiTheme="minorHAnsi" w:cstheme="minorBidi"/>
            <w:b w:val="0"/>
            <w:szCs w:val="22"/>
          </w:rPr>
          <w:tab/>
        </w:r>
        <w:r w:rsidR="00836189" w:rsidRPr="0000242D">
          <w:rPr>
            <w:rStyle w:val="Hyperlink"/>
          </w:rPr>
          <w:t>Use of Improved Information Technology and Burden Reduction</w:t>
        </w:r>
        <w:r w:rsidR="00836189">
          <w:rPr>
            <w:webHidden/>
          </w:rPr>
          <w:tab/>
        </w:r>
        <w:r w:rsidR="00836189">
          <w:rPr>
            <w:webHidden/>
          </w:rPr>
          <w:fldChar w:fldCharType="begin"/>
        </w:r>
        <w:r w:rsidR="00836189">
          <w:rPr>
            <w:webHidden/>
          </w:rPr>
          <w:instrText xml:space="preserve"> PAGEREF _Toc482188542 \h </w:instrText>
        </w:r>
        <w:r w:rsidR="00836189">
          <w:rPr>
            <w:webHidden/>
          </w:rPr>
        </w:r>
        <w:r w:rsidR="00836189">
          <w:rPr>
            <w:webHidden/>
          </w:rPr>
          <w:fldChar w:fldCharType="separate"/>
        </w:r>
        <w:r w:rsidR="00A62502">
          <w:rPr>
            <w:webHidden/>
          </w:rPr>
          <w:t>9</w:t>
        </w:r>
        <w:r w:rsidR="00836189">
          <w:rPr>
            <w:webHidden/>
          </w:rPr>
          <w:fldChar w:fldCharType="end"/>
        </w:r>
      </w:hyperlink>
    </w:p>
    <w:p w14:paraId="2F260DE6" w14:textId="0D359E64" w:rsidR="00836189" w:rsidRDefault="004E016B">
      <w:pPr>
        <w:pStyle w:val="TOC1"/>
        <w:rPr>
          <w:rFonts w:asciiTheme="minorHAnsi" w:eastAsiaTheme="minorEastAsia" w:hAnsiTheme="minorHAnsi" w:cstheme="minorBidi"/>
          <w:b w:val="0"/>
          <w:szCs w:val="22"/>
        </w:rPr>
      </w:pPr>
      <w:hyperlink w:anchor="_Toc482188543" w:history="1">
        <w:r w:rsidR="00836189" w:rsidRPr="0000242D">
          <w:rPr>
            <w:rStyle w:val="Hyperlink"/>
            <w:rFonts w:ascii="Arial" w:hAnsi="Arial" w:cs="Arial"/>
          </w:rPr>
          <w:t>4.</w:t>
        </w:r>
        <w:r w:rsidR="00836189">
          <w:rPr>
            <w:rFonts w:asciiTheme="minorHAnsi" w:eastAsiaTheme="minorEastAsia" w:hAnsiTheme="minorHAnsi" w:cstheme="minorBidi"/>
            <w:b w:val="0"/>
            <w:szCs w:val="22"/>
          </w:rPr>
          <w:tab/>
        </w:r>
        <w:r w:rsidR="00836189" w:rsidRPr="0000242D">
          <w:rPr>
            <w:rStyle w:val="Hyperlink"/>
          </w:rPr>
          <w:t>Efforts to Identify Duplication and Use of Similar Information</w:t>
        </w:r>
        <w:r w:rsidR="00836189">
          <w:rPr>
            <w:webHidden/>
          </w:rPr>
          <w:tab/>
        </w:r>
        <w:r w:rsidR="00836189">
          <w:rPr>
            <w:webHidden/>
          </w:rPr>
          <w:fldChar w:fldCharType="begin"/>
        </w:r>
        <w:r w:rsidR="00836189">
          <w:rPr>
            <w:webHidden/>
          </w:rPr>
          <w:instrText xml:space="preserve"> PAGEREF _Toc482188543 \h </w:instrText>
        </w:r>
        <w:r w:rsidR="00836189">
          <w:rPr>
            <w:webHidden/>
          </w:rPr>
        </w:r>
        <w:r w:rsidR="00836189">
          <w:rPr>
            <w:webHidden/>
          </w:rPr>
          <w:fldChar w:fldCharType="separate"/>
        </w:r>
        <w:r w:rsidR="00A62502">
          <w:rPr>
            <w:webHidden/>
          </w:rPr>
          <w:t>9</w:t>
        </w:r>
        <w:r w:rsidR="00836189">
          <w:rPr>
            <w:webHidden/>
          </w:rPr>
          <w:fldChar w:fldCharType="end"/>
        </w:r>
      </w:hyperlink>
    </w:p>
    <w:p w14:paraId="61F00CA4" w14:textId="67328EA9" w:rsidR="00836189" w:rsidRDefault="004E016B">
      <w:pPr>
        <w:pStyle w:val="TOC1"/>
        <w:rPr>
          <w:rFonts w:asciiTheme="minorHAnsi" w:eastAsiaTheme="minorEastAsia" w:hAnsiTheme="minorHAnsi" w:cstheme="minorBidi"/>
          <w:b w:val="0"/>
          <w:szCs w:val="22"/>
        </w:rPr>
      </w:pPr>
      <w:hyperlink w:anchor="_Toc482188544" w:history="1">
        <w:r w:rsidR="00836189" w:rsidRPr="0000242D">
          <w:rPr>
            <w:rStyle w:val="Hyperlink"/>
            <w:rFonts w:ascii="Arial" w:hAnsi="Arial" w:cs="Arial"/>
          </w:rPr>
          <w:t>5.</w:t>
        </w:r>
        <w:r w:rsidR="00836189">
          <w:rPr>
            <w:rFonts w:asciiTheme="minorHAnsi" w:eastAsiaTheme="minorEastAsia" w:hAnsiTheme="minorHAnsi" w:cstheme="minorBidi"/>
            <w:b w:val="0"/>
            <w:szCs w:val="22"/>
          </w:rPr>
          <w:tab/>
        </w:r>
        <w:r w:rsidR="00836189" w:rsidRPr="0000242D">
          <w:rPr>
            <w:rStyle w:val="Hyperlink"/>
          </w:rPr>
          <w:t>Impact on Small Businesses or Other Small Entities</w:t>
        </w:r>
        <w:r w:rsidR="00836189">
          <w:rPr>
            <w:webHidden/>
          </w:rPr>
          <w:tab/>
        </w:r>
        <w:r w:rsidR="00836189">
          <w:rPr>
            <w:webHidden/>
          </w:rPr>
          <w:fldChar w:fldCharType="begin"/>
        </w:r>
        <w:r w:rsidR="00836189">
          <w:rPr>
            <w:webHidden/>
          </w:rPr>
          <w:instrText xml:space="preserve"> PAGEREF _Toc482188544 \h </w:instrText>
        </w:r>
        <w:r w:rsidR="00836189">
          <w:rPr>
            <w:webHidden/>
          </w:rPr>
        </w:r>
        <w:r w:rsidR="00836189">
          <w:rPr>
            <w:webHidden/>
          </w:rPr>
          <w:fldChar w:fldCharType="separate"/>
        </w:r>
        <w:r w:rsidR="00A62502">
          <w:rPr>
            <w:webHidden/>
          </w:rPr>
          <w:t>10</w:t>
        </w:r>
        <w:r w:rsidR="00836189">
          <w:rPr>
            <w:webHidden/>
          </w:rPr>
          <w:fldChar w:fldCharType="end"/>
        </w:r>
      </w:hyperlink>
    </w:p>
    <w:p w14:paraId="5121D27C" w14:textId="71C17D15" w:rsidR="00836189" w:rsidRDefault="004E016B">
      <w:pPr>
        <w:pStyle w:val="TOC1"/>
        <w:rPr>
          <w:rFonts w:asciiTheme="minorHAnsi" w:eastAsiaTheme="minorEastAsia" w:hAnsiTheme="minorHAnsi" w:cstheme="minorBidi"/>
          <w:b w:val="0"/>
          <w:szCs w:val="22"/>
        </w:rPr>
      </w:pPr>
      <w:hyperlink w:anchor="_Toc482188545" w:history="1">
        <w:r w:rsidR="00836189" w:rsidRPr="0000242D">
          <w:rPr>
            <w:rStyle w:val="Hyperlink"/>
            <w:rFonts w:ascii="Arial" w:hAnsi="Arial" w:cs="Arial"/>
          </w:rPr>
          <w:t>6.</w:t>
        </w:r>
        <w:r w:rsidR="00836189">
          <w:rPr>
            <w:rFonts w:asciiTheme="minorHAnsi" w:eastAsiaTheme="minorEastAsia" w:hAnsiTheme="minorHAnsi" w:cstheme="minorBidi"/>
            <w:b w:val="0"/>
            <w:szCs w:val="22"/>
          </w:rPr>
          <w:tab/>
        </w:r>
        <w:r w:rsidR="00836189" w:rsidRPr="0000242D">
          <w:rPr>
            <w:rStyle w:val="Hyperlink"/>
          </w:rPr>
          <w:t>Consequences of Collecting the Information Less Frequently</w:t>
        </w:r>
        <w:r w:rsidR="00836189">
          <w:rPr>
            <w:webHidden/>
          </w:rPr>
          <w:tab/>
        </w:r>
        <w:r w:rsidR="00836189">
          <w:rPr>
            <w:webHidden/>
          </w:rPr>
          <w:fldChar w:fldCharType="begin"/>
        </w:r>
        <w:r w:rsidR="00836189">
          <w:rPr>
            <w:webHidden/>
          </w:rPr>
          <w:instrText xml:space="preserve"> PAGEREF _Toc482188545 \h </w:instrText>
        </w:r>
        <w:r w:rsidR="00836189">
          <w:rPr>
            <w:webHidden/>
          </w:rPr>
        </w:r>
        <w:r w:rsidR="00836189">
          <w:rPr>
            <w:webHidden/>
          </w:rPr>
          <w:fldChar w:fldCharType="separate"/>
        </w:r>
        <w:r w:rsidR="00A62502">
          <w:rPr>
            <w:webHidden/>
          </w:rPr>
          <w:t>10</w:t>
        </w:r>
        <w:r w:rsidR="00836189">
          <w:rPr>
            <w:webHidden/>
          </w:rPr>
          <w:fldChar w:fldCharType="end"/>
        </w:r>
      </w:hyperlink>
    </w:p>
    <w:p w14:paraId="1994AFE6" w14:textId="40832CBC" w:rsidR="00836189" w:rsidRDefault="004E016B">
      <w:pPr>
        <w:pStyle w:val="TOC1"/>
        <w:rPr>
          <w:rFonts w:asciiTheme="minorHAnsi" w:eastAsiaTheme="minorEastAsia" w:hAnsiTheme="minorHAnsi" w:cstheme="minorBidi"/>
          <w:b w:val="0"/>
          <w:szCs w:val="22"/>
        </w:rPr>
      </w:pPr>
      <w:hyperlink w:anchor="_Toc482188546" w:history="1">
        <w:r w:rsidR="00836189" w:rsidRPr="0000242D">
          <w:rPr>
            <w:rStyle w:val="Hyperlink"/>
            <w:rFonts w:ascii="Arial" w:hAnsi="Arial" w:cs="Arial"/>
          </w:rPr>
          <w:t>7.</w:t>
        </w:r>
        <w:r w:rsidR="00836189">
          <w:rPr>
            <w:rFonts w:asciiTheme="minorHAnsi" w:eastAsiaTheme="minorEastAsia" w:hAnsiTheme="minorHAnsi" w:cstheme="minorBidi"/>
            <w:b w:val="0"/>
            <w:szCs w:val="22"/>
          </w:rPr>
          <w:tab/>
        </w:r>
        <w:r w:rsidR="00836189" w:rsidRPr="0000242D">
          <w:rPr>
            <w:rStyle w:val="Hyperlink"/>
          </w:rPr>
          <w:t>Special Circumstances Relating to the Guidelines of 5 CFR 1320</w:t>
        </w:r>
        <w:r w:rsidR="00836189">
          <w:rPr>
            <w:webHidden/>
          </w:rPr>
          <w:tab/>
        </w:r>
        <w:r w:rsidR="00836189">
          <w:rPr>
            <w:webHidden/>
          </w:rPr>
          <w:fldChar w:fldCharType="begin"/>
        </w:r>
        <w:r w:rsidR="00836189">
          <w:rPr>
            <w:webHidden/>
          </w:rPr>
          <w:instrText xml:space="preserve"> PAGEREF _Toc482188546 \h </w:instrText>
        </w:r>
        <w:r w:rsidR="00836189">
          <w:rPr>
            <w:webHidden/>
          </w:rPr>
        </w:r>
        <w:r w:rsidR="00836189">
          <w:rPr>
            <w:webHidden/>
          </w:rPr>
          <w:fldChar w:fldCharType="separate"/>
        </w:r>
        <w:r w:rsidR="00A62502">
          <w:rPr>
            <w:webHidden/>
          </w:rPr>
          <w:t>11</w:t>
        </w:r>
        <w:r w:rsidR="00836189">
          <w:rPr>
            <w:webHidden/>
          </w:rPr>
          <w:fldChar w:fldCharType="end"/>
        </w:r>
      </w:hyperlink>
    </w:p>
    <w:p w14:paraId="782CBDA7" w14:textId="5F1DCF80" w:rsidR="00836189" w:rsidRDefault="004E016B">
      <w:pPr>
        <w:pStyle w:val="TOC1"/>
        <w:rPr>
          <w:rFonts w:asciiTheme="minorHAnsi" w:eastAsiaTheme="minorEastAsia" w:hAnsiTheme="minorHAnsi" w:cstheme="minorBidi"/>
          <w:b w:val="0"/>
          <w:szCs w:val="22"/>
        </w:rPr>
      </w:pPr>
      <w:hyperlink w:anchor="_Toc482188547" w:history="1">
        <w:r w:rsidR="00836189" w:rsidRPr="0000242D">
          <w:rPr>
            <w:rStyle w:val="Hyperlink"/>
            <w:rFonts w:ascii="Arial" w:hAnsi="Arial" w:cs="Arial"/>
          </w:rPr>
          <w:t>8.</w:t>
        </w:r>
        <w:r w:rsidR="00836189">
          <w:rPr>
            <w:rFonts w:asciiTheme="minorHAnsi" w:eastAsiaTheme="minorEastAsia" w:hAnsiTheme="minorHAnsi" w:cstheme="minorBidi"/>
            <w:b w:val="0"/>
            <w:szCs w:val="22"/>
          </w:rPr>
          <w:tab/>
        </w:r>
        <w:r w:rsidR="00836189" w:rsidRPr="0000242D">
          <w:rPr>
            <w:rStyle w:val="Hyperlink"/>
          </w:rPr>
          <w:t>Comments in Response to the Federal Register Notice and Efforts to Consult Outside of the Agency</w:t>
        </w:r>
        <w:r w:rsidR="00836189">
          <w:rPr>
            <w:webHidden/>
          </w:rPr>
          <w:tab/>
        </w:r>
        <w:r w:rsidR="00836189">
          <w:rPr>
            <w:webHidden/>
          </w:rPr>
          <w:fldChar w:fldCharType="begin"/>
        </w:r>
        <w:r w:rsidR="00836189">
          <w:rPr>
            <w:webHidden/>
          </w:rPr>
          <w:instrText xml:space="preserve"> PAGEREF _Toc482188547 \h </w:instrText>
        </w:r>
        <w:r w:rsidR="00836189">
          <w:rPr>
            <w:webHidden/>
          </w:rPr>
        </w:r>
        <w:r w:rsidR="00836189">
          <w:rPr>
            <w:webHidden/>
          </w:rPr>
          <w:fldChar w:fldCharType="separate"/>
        </w:r>
        <w:r w:rsidR="00A62502">
          <w:rPr>
            <w:webHidden/>
          </w:rPr>
          <w:t>12</w:t>
        </w:r>
        <w:r w:rsidR="00836189">
          <w:rPr>
            <w:webHidden/>
          </w:rPr>
          <w:fldChar w:fldCharType="end"/>
        </w:r>
      </w:hyperlink>
    </w:p>
    <w:p w14:paraId="6774AB39" w14:textId="5CDBB417" w:rsidR="00836189" w:rsidRDefault="004E016B">
      <w:pPr>
        <w:pStyle w:val="TOC1"/>
        <w:rPr>
          <w:rFonts w:asciiTheme="minorHAnsi" w:eastAsiaTheme="minorEastAsia" w:hAnsiTheme="minorHAnsi" w:cstheme="minorBidi"/>
          <w:b w:val="0"/>
          <w:szCs w:val="22"/>
        </w:rPr>
      </w:pPr>
      <w:hyperlink w:anchor="_Toc482188548" w:history="1">
        <w:r w:rsidR="00836189" w:rsidRPr="0000242D">
          <w:rPr>
            <w:rStyle w:val="Hyperlink"/>
            <w:rFonts w:ascii="Arial" w:hAnsi="Arial" w:cs="Arial"/>
          </w:rPr>
          <w:t>9.</w:t>
        </w:r>
        <w:r w:rsidR="00836189">
          <w:rPr>
            <w:rFonts w:asciiTheme="minorHAnsi" w:eastAsiaTheme="minorEastAsia" w:hAnsiTheme="minorHAnsi" w:cstheme="minorBidi"/>
            <w:b w:val="0"/>
            <w:szCs w:val="22"/>
          </w:rPr>
          <w:tab/>
        </w:r>
        <w:r w:rsidR="00836189" w:rsidRPr="0000242D">
          <w:rPr>
            <w:rStyle w:val="Hyperlink"/>
          </w:rPr>
          <w:t>Explanation of Any Payment or Gift to Respondents</w:t>
        </w:r>
        <w:r w:rsidR="00836189">
          <w:rPr>
            <w:webHidden/>
          </w:rPr>
          <w:tab/>
        </w:r>
        <w:r w:rsidR="00836189">
          <w:rPr>
            <w:webHidden/>
          </w:rPr>
          <w:fldChar w:fldCharType="begin"/>
        </w:r>
        <w:r w:rsidR="00836189">
          <w:rPr>
            <w:webHidden/>
          </w:rPr>
          <w:instrText xml:space="preserve"> PAGEREF _Toc482188548 \h </w:instrText>
        </w:r>
        <w:r w:rsidR="00836189">
          <w:rPr>
            <w:webHidden/>
          </w:rPr>
        </w:r>
        <w:r w:rsidR="00836189">
          <w:rPr>
            <w:webHidden/>
          </w:rPr>
          <w:fldChar w:fldCharType="separate"/>
        </w:r>
        <w:r w:rsidR="00A62502">
          <w:rPr>
            <w:webHidden/>
          </w:rPr>
          <w:t>12</w:t>
        </w:r>
        <w:r w:rsidR="00836189">
          <w:rPr>
            <w:webHidden/>
          </w:rPr>
          <w:fldChar w:fldCharType="end"/>
        </w:r>
      </w:hyperlink>
    </w:p>
    <w:p w14:paraId="01D997C8" w14:textId="438CA142" w:rsidR="00836189" w:rsidRDefault="004E016B">
      <w:pPr>
        <w:pStyle w:val="TOC1"/>
        <w:rPr>
          <w:rFonts w:asciiTheme="minorHAnsi" w:eastAsiaTheme="minorEastAsia" w:hAnsiTheme="minorHAnsi" w:cstheme="minorBidi"/>
          <w:b w:val="0"/>
          <w:szCs w:val="22"/>
        </w:rPr>
      </w:pPr>
      <w:hyperlink w:anchor="_Toc482188549" w:history="1">
        <w:r w:rsidR="00836189" w:rsidRPr="0000242D">
          <w:rPr>
            <w:rStyle w:val="Hyperlink"/>
            <w:rFonts w:ascii="Arial" w:hAnsi="Arial" w:cs="Arial"/>
          </w:rPr>
          <w:t>10.</w:t>
        </w:r>
        <w:r w:rsidR="00836189">
          <w:rPr>
            <w:rFonts w:asciiTheme="minorHAnsi" w:eastAsiaTheme="minorEastAsia" w:hAnsiTheme="minorHAnsi" w:cstheme="minorBidi"/>
            <w:b w:val="0"/>
            <w:szCs w:val="22"/>
          </w:rPr>
          <w:tab/>
        </w:r>
        <w:r w:rsidR="00836189" w:rsidRPr="0000242D">
          <w:rPr>
            <w:rStyle w:val="Hyperlink"/>
          </w:rPr>
          <w:t>Assurances of Confidentiality Provided to Respondents</w:t>
        </w:r>
        <w:r w:rsidR="00836189">
          <w:rPr>
            <w:webHidden/>
          </w:rPr>
          <w:tab/>
        </w:r>
        <w:r w:rsidR="00836189">
          <w:rPr>
            <w:webHidden/>
          </w:rPr>
          <w:fldChar w:fldCharType="begin"/>
        </w:r>
        <w:r w:rsidR="00836189">
          <w:rPr>
            <w:webHidden/>
          </w:rPr>
          <w:instrText xml:space="preserve"> PAGEREF _Toc482188549 \h </w:instrText>
        </w:r>
        <w:r w:rsidR="00836189">
          <w:rPr>
            <w:webHidden/>
          </w:rPr>
        </w:r>
        <w:r w:rsidR="00836189">
          <w:rPr>
            <w:webHidden/>
          </w:rPr>
          <w:fldChar w:fldCharType="separate"/>
        </w:r>
        <w:r w:rsidR="00A62502">
          <w:rPr>
            <w:webHidden/>
          </w:rPr>
          <w:t>12</w:t>
        </w:r>
        <w:r w:rsidR="00836189">
          <w:rPr>
            <w:webHidden/>
          </w:rPr>
          <w:fldChar w:fldCharType="end"/>
        </w:r>
      </w:hyperlink>
    </w:p>
    <w:p w14:paraId="13A0809E" w14:textId="4EC12A37" w:rsidR="00836189" w:rsidRDefault="004E016B">
      <w:pPr>
        <w:pStyle w:val="TOC1"/>
        <w:rPr>
          <w:rFonts w:asciiTheme="minorHAnsi" w:eastAsiaTheme="minorEastAsia" w:hAnsiTheme="minorHAnsi" w:cstheme="minorBidi"/>
          <w:b w:val="0"/>
          <w:szCs w:val="22"/>
        </w:rPr>
      </w:pPr>
      <w:hyperlink w:anchor="_Toc482188550" w:history="1">
        <w:r w:rsidR="00836189" w:rsidRPr="0000242D">
          <w:rPr>
            <w:rStyle w:val="Hyperlink"/>
            <w:rFonts w:ascii="Arial" w:hAnsi="Arial" w:cs="Arial"/>
          </w:rPr>
          <w:t>11.</w:t>
        </w:r>
        <w:r w:rsidR="00836189">
          <w:rPr>
            <w:rFonts w:asciiTheme="minorHAnsi" w:eastAsiaTheme="minorEastAsia" w:hAnsiTheme="minorHAnsi" w:cstheme="minorBidi"/>
            <w:b w:val="0"/>
            <w:szCs w:val="22"/>
          </w:rPr>
          <w:tab/>
        </w:r>
        <w:r w:rsidR="00836189" w:rsidRPr="0000242D">
          <w:rPr>
            <w:rStyle w:val="Hyperlink"/>
          </w:rPr>
          <w:t>Justification of Sensitive Questions</w:t>
        </w:r>
        <w:r w:rsidR="00836189">
          <w:rPr>
            <w:webHidden/>
          </w:rPr>
          <w:tab/>
        </w:r>
        <w:r w:rsidR="00836189">
          <w:rPr>
            <w:webHidden/>
          </w:rPr>
          <w:fldChar w:fldCharType="begin"/>
        </w:r>
        <w:r w:rsidR="00836189">
          <w:rPr>
            <w:webHidden/>
          </w:rPr>
          <w:instrText xml:space="preserve"> PAGEREF _Toc482188550 \h </w:instrText>
        </w:r>
        <w:r w:rsidR="00836189">
          <w:rPr>
            <w:webHidden/>
          </w:rPr>
        </w:r>
        <w:r w:rsidR="00836189">
          <w:rPr>
            <w:webHidden/>
          </w:rPr>
          <w:fldChar w:fldCharType="separate"/>
        </w:r>
        <w:r w:rsidR="00A62502">
          <w:rPr>
            <w:webHidden/>
          </w:rPr>
          <w:t>13</w:t>
        </w:r>
        <w:r w:rsidR="00836189">
          <w:rPr>
            <w:webHidden/>
          </w:rPr>
          <w:fldChar w:fldCharType="end"/>
        </w:r>
      </w:hyperlink>
    </w:p>
    <w:p w14:paraId="0F72E048" w14:textId="5DFF3B86" w:rsidR="00836189" w:rsidRDefault="004E016B">
      <w:pPr>
        <w:pStyle w:val="TOC1"/>
        <w:rPr>
          <w:rFonts w:asciiTheme="minorHAnsi" w:eastAsiaTheme="minorEastAsia" w:hAnsiTheme="minorHAnsi" w:cstheme="minorBidi"/>
          <w:b w:val="0"/>
          <w:szCs w:val="22"/>
        </w:rPr>
      </w:pPr>
      <w:hyperlink w:anchor="_Toc482188551" w:history="1">
        <w:r w:rsidR="00836189" w:rsidRPr="0000242D">
          <w:rPr>
            <w:rStyle w:val="Hyperlink"/>
            <w:rFonts w:ascii="Arial" w:hAnsi="Arial" w:cs="Arial"/>
          </w:rPr>
          <w:t>12.</w:t>
        </w:r>
        <w:r w:rsidR="00836189">
          <w:rPr>
            <w:rFonts w:asciiTheme="minorHAnsi" w:eastAsiaTheme="minorEastAsia" w:hAnsiTheme="minorHAnsi" w:cstheme="minorBidi"/>
            <w:b w:val="0"/>
            <w:szCs w:val="22"/>
          </w:rPr>
          <w:tab/>
        </w:r>
        <w:r w:rsidR="00836189" w:rsidRPr="0000242D">
          <w:rPr>
            <w:rStyle w:val="Hyperlink"/>
          </w:rPr>
          <w:t>Estimates of Annualized Burden Hours and Costs</w:t>
        </w:r>
        <w:r w:rsidR="00836189">
          <w:rPr>
            <w:webHidden/>
          </w:rPr>
          <w:tab/>
        </w:r>
        <w:r w:rsidR="00836189">
          <w:rPr>
            <w:webHidden/>
          </w:rPr>
          <w:fldChar w:fldCharType="begin"/>
        </w:r>
        <w:r w:rsidR="00836189">
          <w:rPr>
            <w:webHidden/>
          </w:rPr>
          <w:instrText xml:space="preserve"> PAGEREF _Toc482188551 \h </w:instrText>
        </w:r>
        <w:r w:rsidR="00836189">
          <w:rPr>
            <w:webHidden/>
          </w:rPr>
        </w:r>
        <w:r w:rsidR="00836189">
          <w:rPr>
            <w:webHidden/>
          </w:rPr>
          <w:fldChar w:fldCharType="separate"/>
        </w:r>
        <w:r w:rsidR="00A62502">
          <w:rPr>
            <w:webHidden/>
          </w:rPr>
          <w:t>14</w:t>
        </w:r>
        <w:r w:rsidR="00836189">
          <w:rPr>
            <w:webHidden/>
          </w:rPr>
          <w:fldChar w:fldCharType="end"/>
        </w:r>
      </w:hyperlink>
    </w:p>
    <w:p w14:paraId="4512DB16" w14:textId="1D8FE443" w:rsidR="00836189" w:rsidRDefault="004E016B">
      <w:pPr>
        <w:pStyle w:val="TOC1"/>
        <w:rPr>
          <w:rFonts w:asciiTheme="minorHAnsi" w:eastAsiaTheme="minorEastAsia" w:hAnsiTheme="minorHAnsi" w:cstheme="minorBidi"/>
          <w:b w:val="0"/>
          <w:szCs w:val="22"/>
        </w:rPr>
      </w:pPr>
      <w:hyperlink w:anchor="_Toc482188552" w:history="1">
        <w:r w:rsidR="00836189" w:rsidRPr="0000242D">
          <w:rPr>
            <w:rStyle w:val="Hyperlink"/>
            <w:rFonts w:ascii="Arial" w:hAnsi="Arial" w:cs="Arial"/>
          </w:rPr>
          <w:t>13.</w:t>
        </w:r>
        <w:r w:rsidR="00836189">
          <w:rPr>
            <w:rFonts w:asciiTheme="minorHAnsi" w:eastAsiaTheme="minorEastAsia" w:hAnsiTheme="minorHAnsi" w:cstheme="minorBidi"/>
            <w:b w:val="0"/>
            <w:szCs w:val="22"/>
          </w:rPr>
          <w:tab/>
        </w:r>
        <w:r w:rsidR="00836189" w:rsidRPr="0000242D">
          <w:rPr>
            <w:rStyle w:val="Hyperlink"/>
          </w:rPr>
          <w:t>Estimates of Other Total Annual Cost Burden to Respondents and Record Keepers</w:t>
        </w:r>
        <w:r w:rsidR="00836189">
          <w:rPr>
            <w:webHidden/>
          </w:rPr>
          <w:tab/>
        </w:r>
        <w:r w:rsidR="00836189">
          <w:rPr>
            <w:webHidden/>
          </w:rPr>
          <w:fldChar w:fldCharType="begin"/>
        </w:r>
        <w:r w:rsidR="00836189">
          <w:rPr>
            <w:webHidden/>
          </w:rPr>
          <w:instrText xml:space="preserve"> PAGEREF _Toc482188552 \h </w:instrText>
        </w:r>
        <w:r w:rsidR="00836189">
          <w:rPr>
            <w:webHidden/>
          </w:rPr>
        </w:r>
        <w:r w:rsidR="00836189">
          <w:rPr>
            <w:webHidden/>
          </w:rPr>
          <w:fldChar w:fldCharType="separate"/>
        </w:r>
        <w:r w:rsidR="00A62502">
          <w:rPr>
            <w:webHidden/>
          </w:rPr>
          <w:t>15</w:t>
        </w:r>
        <w:r w:rsidR="00836189">
          <w:rPr>
            <w:webHidden/>
          </w:rPr>
          <w:fldChar w:fldCharType="end"/>
        </w:r>
      </w:hyperlink>
    </w:p>
    <w:p w14:paraId="7F6BA5EB" w14:textId="628DF0C8" w:rsidR="00836189" w:rsidRDefault="004E016B">
      <w:pPr>
        <w:pStyle w:val="TOC1"/>
        <w:rPr>
          <w:rFonts w:asciiTheme="minorHAnsi" w:eastAsiaTheme="minorEastAsia" w:hAnsiTheme="minorHAnsi" w:cstheme="minorBidi"/>
          <w:b w:val="0"/>
          <w:szCs w:val="22"/>
        </w:rPr>
      </w:pPr>
      <w:hyperlink w:anchor="_Toc482188553" w:history="1">
        <w:r w:rsidR="00836189" w:rsidRPr="0000242D">
          <w:rPr>
            <w:rStyle w:val="Hyperlink"/>
            <w:rFonts w:ascii="Arial" w:hAnsi="Arial" w:cs="Arial"/>
          </w:rPr>
          <w:t>14.</w:t>
        </w:r>
        <w:r w:rsidR="00836189">
          <w:rPr>
            <w:rFonts w:asciiTheme="minorHAnsi" w:eastAsiaTheme="minorEastAsia" w:hAnsiTheme="minorHAnsi" w:cstheme="minorBidi"/>
            <w:b w:val="0"/>
            <w:szCs w:val="22"/>
          </w:rPr>
          <w:tab/>
        </w:r>
        <w:r w:rsidR="00836189" w:rsidRPr="0000242D">
          <w:rPr>
            <w:rStyle w:val="Hyperlink"/>
          </w:rPr>
          <w:t>Annualized Cost to the Federal Government</w:t>
        </w:r>
        <w:r w:rsidR="00836189">
          <w:rPr>
            <w:webHidden/>
          </w:rPr>
          <w:tab/>
        </w:r>
        <w:r w:rsidR="00836189">
          <w:rPr>
            <w:webHidden/>
          </w:rPr>
          <w:fldChar w:fldCharType="begin"/>
        </w:r>
        <w:r w:rsidR="00836189">
          <w:rPr>
            <w:webHidden/>
          </w:rPr>
          <w:instrText xml:space="preserve"> PAGEREF _Toc482188553 \h </w:instrText>
        </w:r>
        <w:r w:rsidR="00836189">
          <w:rPr>
            <w:webHidden/>
          </w:rPr>
        </w:r>
        <w:r w:rsidR="00836189">
          <w:rPr>
            <w:webHidden/>
          </w:rPr>
          <w:fldChar w:fldCharType="separate"/>
        </w:r>
        <w:r w:rsidR="00A62502">
          <w:rPr>
            <w:webHidden/>
          </w:rPr>
          <w:t>15</w:t>
        </w:r>
        <w:r w:rsidR="00836189">
          <w:rPr>
            <w:webHidden/>
          </w:rPr>
          <w:fldChar w:fldCharType="end"/>
        </w:r>
      </w:hyperlink>
    </w:p>
    <w:p w14:paraId="5FC91AC9" w14:textId="13B76E91" w:rsidR="00836189" w:rsidRDefault="004E016B">
      <w:pPr>
        <w:pStyle w:val="TOC1"/>
        <w:rPr>
          <w:rFonts w:asciiTheme="minorHAnsi" w:eastAsiaTheme="minorEastAsia" w:hAnsiTheme="minorHAnsi" w:cstheme="minorBidi"/>
          <w:b w:val="0"/>
          <w:szCs w:val="22"/>
        </w:rPr>
      </w:pPr>
      <w:hyperlink w:anchor="_Toc482188554" w:history="1">
        <w:r w:rsidR="00836189" w:rsidRPr="0000242D">
          <w:rPr>
            <w:rStyle w:val="Hyperlink"/>
            <w:rFonts w:ascii="Arial" w:hAnsi="Arial" w:cs="Arial"/>
          </w:rPr>
          <w:t>15.</w:t>
        </w:r>
        <w:r w:rsidR="00836189">
          <w:rPr>
            <w:rFonts w:asciiTheme="minorHAnsi" w:eastAsiaTheme="minorEastAsia" w:hAnsiTheme="minorHAnsi" w:cstheme="minorBidi"/>
            <w:b w:val="0"/>
            <w:szCs w:val="22"/>
          </w:rPr>
          <w:tab/>
        </w:r>
        <w:r w:rsidR="00836189" w:rsidRPr="0000242D">
          <w:rPr>
            <w:rStyle w:val="Hyperlink"/>
          </w:rPr>
          <w:t>Explanation for Program Changes or Adjustments</w:t>
        </w:r>
        <w:r w:rsidR="00836189">
          <w:rPr>
            <w:webHidden/>
          </w:rPr>
          <w:tab/>
        </w:r>
        <w:r w:rsidR="00836189">
          <w:rPr>
            <w:webHidden/>
          </w:rPr>
          <w:fldChar w:fldCharType="begin"/>
        </w:r>
        <w:r w:rsidR="00836189">
          <w:rPr>
            <w:webHidden/>
          </w:rPr>
          <w:instrText xml:space="preserve"> PAGEREF _Toc482188554 \h </w:instrText>
        </w:r>
        <w:r w:rsidR="00836189">
          <w:rPr>
            <w:webHidden/>
          </w:rPr>
        </w:r>
        <w:r w:rsidR="00836189">
          <w:rPr>
            <w:webHidden/>
          </w:rPr>
          <w:fldChar w:fldCharType="separate"/>
        </w:r>
        <w:r w:rsidR="00A62502">
          <w:rPr>
            <w:webHidden/>
          </w:rPr>
          <w:t>15</w:t>
        </w:r>
        <w:r w:rsidR="00836189">
          <w:rPr>
            <w:webHidden/>
          </w:rPr>
          <w:fldChar w:fldCharType="end"/>
        </w:r>
      </w:hyperlink>
    </w:p>
    <w:p w14:paraId="411578F2" w14:textId="0C747A39" w:rsidR="00836189" w:rsidRDefault="004E016B">
      <w:pPr>
        <w:pStyle w:val="TOC1"/>
        <w:rPr>
          <w:rFonts w:asciiTheme="minorHAnsi" w:eastAsiaTheme="minorEastAsia" w:hAnsiTheme="minorHAnsi" w:cstheme="minorBidi"/>
          <w:b w:val="0"/>
          <w:szCs w:val="22"/>
        </w:rPr>
      </w:pPr>
      <w:hyperlink w:anchor="_Toc482188555" w:history="1">
        <w:r w:rsidR="00836189" w:rsidRPr="0000242D">
          <w:rPr>
            <w:rStyle w:val="Hyperlink"/>
            <w:rFonts w:ascii="Arial" w:hAnsi="Arial" w:cs="Arial"/>
          </w:rPr>
          <w:t>16.</w:t>
        </w:r>
        <w:r w:rsidR="00836189">
          <w:rPr>
            <w:rFonts w:asciiTheme="minorHAnsi" w:eastAsiaTheme="minorEastAsia" w:hAnsiTheme="minorHAnsi" w:cstheme="minorBidi"/>
            <w:b w:val="0"/>
            <w:szCs w:val="22"/>
          </w:rPr>
          <w:tab/>
        </w:r>
        <w:r w:rsidR="00836189" w:rsidRPr="0000242D">
          <w:rPr>
            <w:rStyle w:val="Hyperlink"/>
          </w:rPr>
          <w:t>Plans for Tabulation and Publication and Time Schedule</w:t>
        </w:r>
        <w:r w:rsidR="00836189">
          <w:rPr>
            <w:webHidden/>
          </w:rPr>
          <w:tab/>
        </w:r>
        <w:r w:rsidR="00836189">
          <w:rPr>
            <w:webHidden/>
          </w:rPr>
          <w:fldChar w:fldCharType="begin"/>
        </w:r>
        <w:r w:rsidR="00836189">
          <w:rPr>
            <w:webHidden/>
          </w:rPr>
          <w:instrText xml:space="preserve"> PAGEREF _Toc482188555 \h </w:instrText>
        </w:r>
        <w:r w:rsidR="00836189">
          <w:rPr>
            <w:webHidden/>
          </w:rPr>
        </w:r>
        <w:r w:rsidR="00836189">
          <w:rPr>
            <w:webHidden/>
          </w:rPr>
          <w:fldChar w:fldCharType="separate"/>
        </w:r>
        <w:r w:rsidR="00A62502">
          <w:rPr>
            <w:webHidden/>
          </w:rPr>
          <w:t>15</w:t>
        </w:r>
        <w:r w:rsidR="00836189">
          <w:rPr>
            <w:webHidden/>
          </w:rPr>
          <w:fldChar w:fldCharType="end"/>
        </w:r>
      </w:hyperlink>
    </w:p>
    <w:p w14:paraId="6FCDB347" w14:textId="646E2DC7" w:rsidR="00836189" w:rsidRDefault="004E016B">
      <w:pPr>
        <w:pStyle w:val="TOC1"/>
        <w:rPr>
          <w:rFonts w:asciiTheme="minorHAnsi" w:eastAsiaTheme="minorEastAsia" w:hAnsiTheme="minorHAnsi" w:cstheme="minorBidi"/>
          <w:b w:val="0"/>
          <w:szCs w:val="22"/>
        </w:rPr>
      </w:pPr>
      <w:hyperlink w:anchor="_Toc482188556" w:history="1">
        <w:r w:rsidR="00836189" w:rsidRPr="0000242D">
          <w:rPr>
            <w:rStyle w:val="Hyperlink"/>
            <w:rFonts w:ascii="Arial" w:hAnsi="Arial" w:cs="Arial"/>
          </w:rPr>
          <w:t>17.</w:t>
        </w:r>
        <w:r w:rsidR="00836189">
          <w:rPr>
            <w:rFonts w:asciiTheme="minorHAnsi" w:eastAsiaTheme="minorEastAsia" w:hAnsiTheme="minorHAnsi" w:cstheme="minorBidi"/>
            <w:b w:val="0"/>
            <w:szCs w:val="22"/>
          </w:rPr>
          <w:tab/>
        </w:r>
        <w:r w:rsidR="00836189" w:rsidRPr="0000242D">
          <w:rPr>
            <w:rStyle w:val="Hyperlink"/>
          </w:rPr>
          <w:t>Reason(s) Display of OMB Expiration Date is Inappropriate</w:t>
        </w:r>
        <w:r w:rsidR="00836189">
          <w:rPr>
            <w:webHidden/>
          </w:rPr>
          <w:tab/>
        </w:r>
        <w:r w:rsidR="00836189">
          <w:rPr>
            <w:webHidden/>
          </w:rPr>
          <w:fldChar w:fldCharType="begin"/>
        </w:r>
        <w:r w:rsidR="00836189">
          <w:rPr>
            <w:webHidden/>
          </w:rPr>
          <w:instrText xml:space="preserve"> PAGEREF _Toc482188556 \h </w:instrText>
        </w:r>
        <w:r w:rsidR="00836189">
          <w:rPr>
            <w:webHidden/>
          </w:rPr>
        </w:r>
        <w:r w:rsidR="00836189">
          <w:rPr>
            <w:webHidden/>
          </w:rPr>
          <w:fldChar w:fldCharType="separate"/>
        </w:r>
        <w:r w:rsidR="00A62502">
          <w:rPr>
            <w:webHidden/>
          </w:rPr>
          <w:t>16</w:t>
        </w:r>
        <w:r w:rsidR="00836189">
          <w:rPr>
            <w:webHidden/>
          </w:rPr>
          <w:fldChar w:fldCharType="end"/>
        </w:r>
      </w:hyperlink>
    </w:p>
    <w:p w14:paraId="4163A30E" w14:textId="18BA02A4" w:rsidR="00836189" w:rsidRDefault="004E016B">
      <w:pPr>
        <w:pStyle w:val="TOC1"/>
        <w:rPr>
          <w:rFonts w:asciiTheme="minorHAnsi" w:eastAsiaTheme="minorEastAsia" w:hAnsiTheme="minorHAnsi" w:cstheme="minorBidi"/>
          <w:b w:val="0"/>
          <w:szCs w:val="22"/>
        </w:rPr>
      </w:pPr>
      <w:hyperlink w:anchor="_Toc482188557" w:history="1">
        <w:r w:rsidR="00836189" w:rsidRPr="0000242D">
          <w:rPr>
            <w:rStyle w:val="Hyperlink"/>
            <w:rFonts w:ascii="Arial" w:hAnsi="Arial" w:cs="Arial"/>
          </w:rPr>
          <w:t>18.</w:t>
        </w:r>
        <w:r w:rsidR="00836189">
          <w:rPr>
            <w:rFonts w:asciiTheme="minorHAnsi" w:eastAsiaTheme="minorEastAsia" w:hAnsiTheme="minorHAnsi" w:cstheme="minorBidi"/>
            <w:b w:val="0"/>
            <w:szCs w:val="22"/>
          </w:rPr>
          <w:tab/>
        </w:r>
        <w:r w:rsidR="00836189" w:rsidRPr="0000242D">
          <w:rPr>
            <w:rStyle w:val="Hyperlink"/>
          </w:rPr>
          <w:t>Exceptions to Certification for Paperwork Reduction Act Submissions</w:t>
        </w:r>
        <w:r w:rsidR="00836189">
          <w:rPr>
            <w:webHidden/>
          </w:rPr>
          <w:tab/>
        </w:r>
        <w:r w:rsidR="00836189">
          <w:rPr>
            <w:webHidden/>
          </w:rPr>
          <w:fldChar w:fldCharType="begin"/>
        </w:r>
        <w:r w:rsidR="00836189">
          <w:rPr>
            <w:webHidden/>
          </w:rPr>
          <w:instrText xml:space="preserve"> PAGEREF _Toc482188557 \h </w:instrText>
        </w:r>
        <w:r w:rsidR="00836189">
          <w:rPr>
            <w:webHidden/>
          </w:rPr>
        </w:r>
        <w:r w:rsidR="00836189">
          <w:rPr>
            <w:webHidden/>
          </w:rPr>
          <w:fldChar w:fldCharType="separate"/>
        </w:r>
        <w:r w:rsidR="00A62502">
          <w:rPr>
            <w:webHidden/>
          </w:rPr>
          <w:t>16</w:t>
        </w:r>
        <w:r w:rsidR="00836189">
          <w:rPr>
            <w:webHidden/>
          </w:rPr>
          <w:fldChar w:fldCharType="end"/>
        </w:r>
      </w:hyperlink>
    </w:p>
    <w:p w14:paraId="26731818" w14:textId="77777777" w:rsidR="002D5525" w:rsidRDefault="00CD2213" w:rsidP="00D979EA">
      <w:pPr>
        <w:pStyle w:val="BodyText"/>
        <w:rPr>
          <w:b/>
          <w:noProof/>
        </w:rPr>
      </w:pPr>
      <w:r>
        <w:rPr>
          <w:b/>
          <w:noProof/>
        </w:rPr>
        <w:fldChar w:fldCharType="end"/>
      </w:r>
    </w:p>
    <w:p w14:paraId="2870198D" w14:textId="77777777" w:rsidR="00D50B60" w:rsidRDefault="00D50B60" w:rsidP="00D979EA">
      <w:pPr>
        <w:pStyle w:val="BodyText"/>
        <w:rPr>
          <w:b/>
          <w:noProof/>
        </w:rPr>
      </w:pPr>
    </w:p>
    <w:p w14:paraId="6F90FEFA" w14:textId="77777777" w:rsidR="00D50B60" w:rsidRDefault="00D50B60" w:rsidP="00D979EA">
      <w:pPr>
        <w:pStyle w:val="BodyText"/>
        <w:sectPr w:rsidR="00D50B60" w:rsidSect="000B4A32">
          <w:headerReference w:type="default" r:id="rId10"/>
          <w:footerReference w:type="default" r:id="rId11"/>
          <w:pgSz w:w="12240" w:h="15840" w:code="1"/>
          <w:pgMar w:top="1440" w:right="1440" w:bottom="1440" w:left="1800" w:header="432" w:footer="432" w:gutter="0"/>
          <w:pgNumType w:fmt="lowerRoman" w:start="1"/>
          <w:cols w:space="720"/>
          <w:docGrid w:linePitch="299"/>
        </w:sectPr>
      </w:pPr>
    </w:p>
    <w:p w14:paraId="2892A4F9" w14:textId="77777777" w:rsidR="008E0E93" w:rsidRPr="006C7FAE" w:rsidRDefault="008E0E93" w:rsidP="008E0E93">
      <w:pPr>
        <w:pStyle w:val="Heading1ES"/>
        <w:ind w:left="720"/>
        <w:rPr>
          <w:rFonts w:ascii="Courier" w:hAnsi="Courier"/>
        </w:rPr>
      </w:pPr>
      <w:bookmarkStart w:id="1" w:name="_Toc482188539"/>
      <w:r w:rsidRPr="006C7FAE">
        <w:lastRenderedPageBreak/>
        <w:t>Justification</w:t>
      </w:r>
      <w:bookmarkEnd w:id="1"/>
    </w:p>
    <w:p w14:paraId="1CCFAA84" w14:textId="77777777" w:rsidR="008E0E93" w:rsidRPr="00755C06" w:rsidRDefault="00720335" w:rsidP="008E0E93">
      <w:pPr>
        <w:pStyle w:val="Heading1"/>
      </w:pPr>
      <w:bookmarkStart w:id="2" w:name="_Toc482188540"/>
      <w:r>
        <w:t>C</w:t>
      </w:r>
      <w:r w:rsidR="008E0E93" w:rsidRPr="00755C06">
        <w:t xml:space="preserve">ircumstances </w:t>
      </w:r>
      <w:r>
        <w:t xml:space="preserve">Making </w:t>
      </w:r>
      <w:r w:rsidR="008E0E93" w:rsidRPr="00755C06">
        <w:t xml:space="preserve">the </w:t>
      </w:r>
      <w:r>
        <w:t>Collection of Information N</w:t>
      </w:r>
      <w:r w:rsidR="008E0E93" w:rsidRPr="00755C06">
        <w:t>ecessary</w:t>
      </w:r>
      <w:bookmarkEnd w:id="2"/>
    </w:p>
    <w:p w14:paraId="65CD5D6C" w14:textId="45BD6D2D" w:rsidR="008E0E93" w:rsidRDefault="008E0E93" w:rsidP="00690439">
      <w:pPr>
        <w:keepNext/>
      </w:pPr>
      <w:r>
        <w:t xml:space="preserve">The </w:t>
      </w:r>
      <w:r w:rsidRPr="00755C06">
        <w:t xml:space="preserve">U.S. Department of Housing and Urban </w:t>
      </w:r>
      <w:r>
        <w:t xml:space="preserve">Development (HUD)’s </w:t>
      </w:r>
      <w:r w:rsidRPr="007C34CA">
        <w:t>Office of P</w:t>
      </w:r>
      <w:r>
        <w:t>olicy Research and Development is undertaking</w:t>
      </w:r>
      <w:r w:rsidRPr="007C34CA">
        <w:t xml:space="preserve"> </w:t>
      </w:r>
      <w:r>
        <w:t xml:space="preserve">an evaluation of the </w:t>
      </w:r>
      <w:r w:rsidRPr="007C34CA">
        <w:t>Section 811 Supportive Housing for Per</w:t>
      </w:r>
      <w:r>
        <w:t>sons with Disabilities Project Rental Assistance (</w:t>
      </w:r>
      <w:r w:rsidRPr="007C34CA">
        <w:t>PRA</w:t>
      </w:r>
      <w:r>
        <w:t>)</w:t>
      </w:r>
      <w:r w:rsidRPr="007C34CA">
        <w:t xml:space="preserve"> Program</w:t>
      </w:r>
      <w:r>
        <w:t>. Since 1991, HUD’s</w:t>
      </w:r>
      <w:r w:rsidRPr="00755C06">
        <w:t xml:space="preserve"> Section 811 program has provided capital grants to non-profit sponsors to develop group homes and apartment buildings built specifically for very low</w:t>
      </w:r>
      <w:r w:rsidR="00DB0075">
        <w:t>-</w:t>
      </w:r>
      <w:r w:rsidRPr="00755C06">
        <w:t xml:space="preserve">income </w:t>
      </w:r>
      <w:r w:rsidR="00EA2E0C">
        <w:t xml:space="preserve">non-elderly adults </w:t>
      </w:r>
      <w:r w:rsidRPr="00755C06">
        <w:t xml:space="preserve">with disabilities. This program is known as the Section 811 Project Rental Assistance Contract (PRAC) Program. PRAC properties are primarily group homes or small apartment buildings. </w:t>
      </w:r>
    </w:p>
    <w:p w14:paraId="1285DF6A" w14:textId="246B09FD" w:rsidR="00875CD9" w:rsidRDefault="008E0E93" w:rsidP="00875CD9">
      <w:r w:rsidRPr="00755C06">
        <w:t xml:space="preserve">In 2012, HUD launched a demonstration of a new variation of Section 811 called the PRA Program. The PRA program provides rental assistance funding to state housing agencies to work in partnership with state human services and Medicaid agencies to create community-based supportive housing for </w:t>
      </w:r>
      <w:r w:rsidR="00DB0075">
        <w:t xml:space="preserve">extremely </w:t>
      </w:r>
      <w:r w:rsidR="0001375B">
        <w:t>low</w:t>
      </w:r>
      <w:r w:rsidR="00DB0075">
        <w:t>-</w:t>
      </w:r>
      <w:r w:rsidR="0001375B">
        <w:t xml:space="preserve">income households </w:t>
      </w:r>
      <w:r w:rsidR="00BC4D2E">
        <w:t xml:space="preserve">with </w:t>
      </w:r>
      <w:r w:rsidR="00EA2E0C">
        <w:t xml:space="preserve">non-elderly adults </w:t>
      </w:r>
      <w:r w:rsidR="0001375B">
        <w:t xml:space="preserve">with disabilities </w:t>
      </w:r>
      <w:r w:rsidR="00BC4D2E">
        <w:t xml:space="preserve">including those </w:t>
      </w:r>
      <w:r w:rsidR="0001375B">
        <w:t xml:space="preserve">who are currently in </w:t>
      </w:r>
      <w:r w:rsidR="00B41113">
        <w:t>or a</w:t>
      </w:r>
      <w:r w:rsidR="00DB0075">
        <w:t>t</w:t>
      </w:r>
      <w:r w:rsidR="00B41113">
        <w:t xml:space="preserve"> risk for residing in </w:t>
      </w:r>
      <w:r w:rsidR="0001375B">
        <w:t>institutions</w:t>
      </w:r>
      <w:r w:rsidR="00BC4D2E">
        <w:t xml:space="preserve"> or </w:t>
      </w:r>
      <w:r w:rsidR="0001375B">
        <w:t xml:space="preserve">are </w:t>
      </w:r>
      <w:r w:rsidR="00B41113">
        <w:t xml:space="preserve">currently (or at risk for becoming) </w:t>
      </w:r>
      <w:r w:rsidR="0001375B">
        <w:t xml:space="preserve">homeless. </w:t>
      </w:r>
      <w:r w:rsidR="00924869">
        <w:t>State h</w:t>
      </w:r>
      <w:r w:rsidR="00924869" w:rsidRPr="00924869">
        <w:t xml:space="preserve">ousing agencies </w:t>
      </w:r>
      <w:r w:rsidR="0001375B">
        <w:t>form</w:t>
      </w:r>
      <w:r w:rsidR="00924869" w:rsidRPr="00924869">
        <w:t xml:space="preserve"> an interagency partnership agreement with the state health and human service agency and the state Medicaid provider</w:t>
      </w:r>
      <w:r w:rsidR="00924869">
        <w:t xml:space="preserve"> (if different)</w:t>
      </w:r>
      <w:r w:rsidR="00924869" w:rsidRPr="00924869">
        <w:t xml:space="preserve"> to </w:t>
      </w:r>
      <w:r w:rsidR="00875CD9">
        <w:t xml:space="preserve">identify individuals eligible to reside in PRA-subsidized units and to </w:t>
      </w:r>
      <w:r w:rsidR="00924869" w:rsidRPr="00924869">
        <w:t>provide services and supports d</w:t>
      </w:r>
      <w:r w:rsidR="00875CD9">
        <w:t>irectly to residents</w:t>
      </w:r>
      <w:r w:rsidR="00924869" w:rsidRPr="00924869">
        <w:t xml:space="preserve">. </w:t>
      </w:r>
    </w:p>
    <w:p w14:paraId="34D89D8E" w14:textId="04D6DFB7" w:rsidR="00F11A98" w:rsidRDefault="00BC4D2E" w:rsidP="00305783">
      <w:r>
        <w:t xml:space="preserve">The state housing agencies identify properties </w:t>
      </w:r>
      <w:r w:rsidR="00875CD9">
        <w:t>that are eligible to receive project rental assistance subsidies for a percentage of its units</w:t>
      </w:r>
      <w:r w:rsidR="0047561B">
        <w:t xml:space="preserve">, and the property owners are recruited to agree to rent units to </w:t>
      </w:r>
      <w:r w:rsidR="00DB0075">
        <w:t xml:space="preserve">extremely </w:t>
      </w:r>
      <w:r w:rsidR="0047561B">
        <w:t>low</w:t>
      </w:r>
      <w:r w:rsidR="00DB0075">
        <w:t>-</w:t>
      </w:r>
      <w:r w:rsidR="0047561B">
        <w:t xml:space="preserve">income </w:t>
      </w:r>
      <w:r w:rsidR="00EA2E0C">
        <w:t xml:space="preserve">non-elderly adults </w:t>
      </w:r>
      <w:r w:rsidR="0047561B">
        <w:t>with disabilities</w:t>
      </w:r>
      <w:r w:rsidR="00875CD9">
        <w:t xml:space="preserve">. </w:t>
      </w:r>
      <w:r w:rsidR="00875CD9" w:rsidRPr="00755C06">
        <w:t xml:space="preserve">The PRA program </w:t>
      </w:r>
      <w:r w:rsidR="0047561B">
        <w:t xml:space="preserve">will </w:t>
      </w:r>
      <w:r w:rsidR="00875CD9" w:rsidRPr="00755C06">
        <w:t>provide rental assistance for apartments in affordable housing deve</w:t>
      </w:r>
      <w:r w:rsidR="00875CD9">
        <w:t>lopments where not more than 25 percent</w:t>
      </w:r>
      <w:r w:rsidR="00875CD9" w:rsidRPr="00755C06">
        <w:t xml:space="preserve"> of the units are occupied by people with disabilities.</w:t>
      </w:r>
      <w:r w:rsidR="00875CD9">
        <w:t xml:space="preserve"> T</w:t>
      </w:r>
      <w:r w:rsidR="008E0E93" w:rsidRPr="00755C06">
        <w:t>he goals of the PRA program are to expand the supply of affordable, community-based supportive housing units</w:t>
      </w:r>
      <w:r w:rsidR="0011192D">
        <w:t>, integrating people at risk of homelessness or institutionalization</w:t>
      </w:r>
      <w:r w:rsidR="008E0E93" w:rsidRPr="00755C06">
        <w:t xml:space="preserve"> in</w:t>
      </w:r>
      <w:r w:rsidR="0011192D">
        <w:t>to</w:t>
      </w:r>
      <w:r w:rsidR="008E0E93" w:rsidRPr="00755C06">
        <w:t xml:space="preserve"> developments that house both people with </w:t>
      </w:r>
      <w:r w:rsidR="00B41113">
        <w:t xml:space="preserve">and without </w:t>
      </w:r>
      <w:r w:rsidR="008E0E93" w:rsidRPr="00755C06">
        <w:t xml:space="preserve">disabilities. </w:t>
      </w:r>
    </w:p>
    <w:p w14:paraId="75212554" w14:textId="50681F6E" w:rsidR="008E0E93" w:rsidRDefault="00875CD9" w:rsidP="00305783">
      <w:r w:rsidRPr="00755C06">
        <w:t>There have been two rounds of PRA</w:t>
      </w:r>
      <w:r w:rsidR="00CF0E38">
        <w:t xml:space="preserve"> grants, </w:t>
      </w:r>
      <w:r w:rsidR="0011192D">
        <w:t xml:space="preserve">the first in 2012 and the second in 2013, </w:t>
      </w:r>
      <w:r w:rsidR="00CF0E38">
        <w:t xml:space="preserve">with </w:t>
      </w:r>
      <w:r w:rsidR="00B56BFC">
        <w:t xml:space="preserve">36 </w:t>
      </w:r>
      <w:r w:rsidR="00CF0E38">
        <w:t xml:space="preserve">awards to </w:t>
      </w:r>
      <w:r w:rsidR="00B56BFC">
        <w:t xml:space="preserve">28 </w:t>
      </w:r>
      <w:r w:rsidR="0011192D">
        <w:t>state housing agencies</w:t>
      </w:r>
      <w:r w:rsidR="00B55F27">
        <w:rPr>
          <w:rStyle w:val="FootnoteReference"/>
        </w:rPr>
        <w:footnoteReference w:id="1"/>
      </w:r>
      <w:r w:rsidR="00B55F27">
        <w:t>.</w:t>
      </w:r>
      <w:r w:rsidR="0011192D">
        <w:t xml:space="preserve"> </w:t>
      </w:r>
      <w:r w:rsidR="00B41113" w:rsidRPr="00755C06">
        <w:t>Th</w:t>
      </w:r>
      <w:r w:rsidR="00B41113">
        <w:t>is</w:t>
      </w:r>
      <w:r w:rsidR="00B41113" w:rsidRPr="00755C06">
        <w:t xml:space="preserve"> </w:t>
      </w:r>
      <w:r w:rsidR="008E0E93" w:rsidRPr="00755C06">
        <w:t>study is mandated under the Frank Melville Supportive Housing Investment Act of</w:t>
      </w:r>
      <w:r w:rsidR="008E0E93">
        <w:t xml:space="preserve"> 2010</w:t>
      </w:r>
      <w:r w:rsidR="00F10912">
        <w:t>,</w:t>
      </w:r>
      <w:r w:rsidR="008E0E93" w:rsidRPr="00755C06">
        <w:t xml:space="preserve"> which requires </w:t>
      </w:r>
      <w:r w:rsidR="00B41113">
        <w:t>an evaluation of</w:t>
      </w:r>
      <w:r w:rsidR="00B41113" w:rsidRPr="00755C06">
        <w:t xml:space="preserve"> </w:t>
      </w:r>
      <w:r w:rsidR="008E0E93" w:rsidRPr="00755C06">
        <w:t>the program’s effectiveness</w:t>
      </w:r>
      <w:r w:rsidR="008E0E93">
        <w:t xml:space="preserve">. </w:t>
      </w:r>
      <w:r w:rsidR="008E0E93" w:rsidRPr="00755C06">
        <w:t>This evaluation fo</w:t>
      </w:r>
      <w:r>
        <w:t>cuses on a subset of six s</w:t>
      </w:r>
      <w:r w:rsidR="0011192D">
        <w:t>tate Section 811 PRA programs.</w:t>
      </w:r>
      <w:r>
        <w:t xml:space="preserve"> </w:t>
      </w:r>
      <w:r w:rsidR="008E0E93">
        <w:t xml:space="preserve">The six </w:t>
      </w:r>
      <w:r w:rsidR="008E0E93" w:rsidRPr="00755C06">
        <w:t xml:space="preserve">states </w:t>
      </w:r>
      <w:r w:rsidR="008E0E93">
        <w:t xml:space="preserve">selected </w:t>
      </w:r>
      <w:r w:rsidR="008E0E93" w:rsidRPr="00755C06">
        <w:t xml:space="preserve">to </w:t>
      </w:r>
      <w:r w:rsidR="008E0E93">
        <w:t>be the focus of this</w:t>
      </w:r>
      <w:r w:rsidR="008E0E93" w:rsidRPr="00755C06">
        <w:t xml:space="preserve"> evaluation</w:t>
      </w:r>
      <w:r w:rsidR="008E0E93">
        <w:t xml:space="preserve"> were selected based on</w:t>
      </w:r>
      <w:r w:rsidR="008E0E93" w:rsidRPr="00755C06">
        <w:t xml:space="preserve"> </w:t>
      </w:r>
      <w:r w:rsidR="00F10912">
        <w:t xml:space="preserve">the progress they have made implementing the </w:t>
      </w:r>
      <w:r w:rsidR="008E0E93" w:rsidRPr="00755C06">
        <w:t>PRA program</w:t>
      </w:r>
      <w:r w:rsidR="00B41113">
        <w:t>, specifically</w:t>
      </w:r>
      <w:r w:rsidR="0011192D">
        <w:t>,</w:t>
      </w:r>
      <w:r w:rsidR="00B41113">
        <w:t xml:space="preserve"> the number of units under contract</w:t>
      </w:r>
      <w:r w:rsidR="00F10912">
        <w:t>.</w:t>
      </w:r>
      <w:r w:rsidR="008E0E93" w:rsidRPr="00755C06">
        <w:t xml:space="preserve"> </w:t>
      </w:r>
      <w:r w:rsidR="00F10912">
        <w:t>The states</w:t>
      </w:r>
      <w:r w:rsidR="008E0E93">
        <w:t xml:space="preserve"> are </w:t>
      </w:r>
      <w:r w:rsidR="008E0E93" w:rsidRPr="00755C06">
        <w:t>California, Delaware, Louisiana, Maryland, Minneapolis, and Washington.</w:t>
      </w:r>
      <w:r w:rsidR="000766BA">
        <w:t xml:space="preserve"> </w:t>
      </w:r>
    </w:p>
    <w:p w14:paraId="13A1F211" w14:textId="0CB17196" w:rsidR="007447FC" w:rsidRDefault="007447FC" w:rsidP="00305783">
      <w:r w:rsidRPr="007447FC">
        <w:t>This submission is a su</w:t>
      </w:r>
      <w:r>
        <w:t>bstantial revision of currently-</w:t>
      </w:r>
      <w:r w:rsidRPr="007447FC">
        <w:t>approved</w:t>
      </w:r>
      <w:r>
        <w:t xml:space="preserve"> data</w:t>
      </w:r>
      <w:r w:rsidRPr="007447FC">
        <w:t xml:space="preserve"> collection</w:t>
      </w:r>
      <w:r>
        <w:t xml:space="preserve">. </w:t>
      </w:r>
      <w:r w:rsidRPr="007447FC">
        <w:t xml:space="preserve">This evaluation is </w:t>
      </w:r>
      <w:r w:rsidR="009374ED">
        <w:t>the</w:t>
      </w:r>
      <w:r w:rsidRPr="007447FC">
        <w:t xml:space="preserve"> second phase of a </w:t>
      </w:r>
      <w:r w:rsidR="00EA1546">
        <w:t>mu</w:t>
      </w:r>
      <w:r w:rsidR="008D1295">
        <w:t>l</w:t>
      </w:r>
      <w:r w:rsidR="00EA1546">
        <w:t>ti</w:t>
      </w:r>
      <w:r w:rsidRPr="007447FC">
        <w:t>-phase evaluation. Phase I evaluated the early implementation of the Section 811 PRA Program in the 12 states that were awarded the first round of PRA grants</w:t>
      </w:r>
      <w:r w:rsidR="00B41113">
        <w:t xml:space="preserve"> in 2012</w:t>
      </w:r>
      <w:r w:rsidRPr="007447FC">
        <w:t xml:space="preserve">. </w:t>
      </w:r>
    </w:p>
    <w:p w14:paraId="46D0350A" w14:textId="458AA8D6" w:rsidR="007447FC" w:rsidRDefault="008E0E93" w:rsidP="00305783">
      <w:r w:rsidRPr="005F29B0">
        <w:t xml:space="preserve">This submission requests OMB approval for site visit interviews </w:t>
      </w:r>
      <w:r>
        <w:t xml:space="preserve">and resident surveys </w:t>
      </w:r>
      <w:r w:rsidRPr="005F29B0">
        <w:t xml:space="preserve">that will be conducted between </w:t>
      </w:r>
      <w:r w:rsidR="00225FEC">
        <w:t>September</w:t>
      </w:r>
      <w:r w:rsidR="00225FEC" w:rsidRPr="005F29B0">
        <w:t xml:space="preserve"> </w:t>
      </w:r>
      <w:r w:rsidRPr="005F29B0">
        <w:t>and December 2017</w:t>
      </w:r>
      <w:r w:rsidR="007447FC">
        <w:t xml:space="preserve"> for Phase II of the Section 811 PRA evaluation</w:t>
      </w:r>
      <w:r w:rsidRPr="005F29B0">
        <w:t xml:space="preserve">. The evaluation will include in-person, semi-structured interviews with multiple stakeholders in </w:t>
      </w:r>
      <w:r w:rsidR="007447FC">
        <w:t xml:space="preserve">the </w:t>
      </w:r>
      <w:r w:rsidRPr="005F29B0">
        <w:t>six grantee states</w:t>
      </w:r>
      <w:r w:rsidR="0011192D">
        <w:t xml:space="preserve">. </w:t>
      </w:r>
    </w:p>
    <w:p w14:paraId="3C8FA9AF" w14:textId="77777777" w:rsidR="00FA3D12" w:rsidRPr="00F053B0" w:rsidRDefault="00FA3D12" w:rsidP="00FA3D12">
      <w:r w:rsidRPr="00F053B0">
        <w:t>This Information Colle</w:t>
      </w:r>
      <w:r>
        <w:t>ction Request (ICR) includes four</w:t>
      </w:r>
      <w:r w:rsidRPr="00F053B0">
        <w:t xml:space="preserve"> data collection instruments: </w:t>
      </w:r>
    </w:p>
    <w:p w14:paraId="6E6D6B60" w14:textId="77777777" w:rsidR="008E0E93" w:rsidRDefault="008E0E93" w:rsidP="008356CA">
      <w:pPr>
        <w:numPr>
          <w:ilvl w:val="0"/>
          <w:numId w:val="10"/>
        </w:numPr>
        <w:overflowPunct w:val="0"/>
        <w:autoSpaceDE w:val="0"/>
        <w:autoSpaceDN w:val="0"/>
        <w:adjustRightInd w:val="0"/>
        <w:textAlignment w:val="baseline"/>
        <w:rPr>
          <w:sz w:val="24"/>
          <w:szCs w:val="24"/>
        </w:rPr>
      </w:pPr>
      <w:r>
        <w:rPr>
          <w:sz w:val="24"/>
          <w:szCs w:val="24"/>
        </w:rPr>
        <w:t xml:space="preserve">In-person and telephone interviews with </w:t>
      </w:r>
      <w:r w:rsidRPr="00CA46C9">
        <w:rPr>
          <w:b/>
          <w:i/>
          <w:sz w:val="24"/>
          <w:szCs w:val="24"/>
        </w:rPr>
        <w:t>property owners and managers</w:t>
      </w:r>
      <w:r w:rsidR="00FA3D12" w:rsidRPr="0070725A">
        <w:rPr>
          <w:i/>
          <w:sz w:val="24"/>
          <w:szCs w:val="24"/>
        </w:rPr>
        <w:t xml:space="preserve"> </w:t>
      </w:r>
      <w:r w:rsidR="00FA3D12" w:rsidRPr="0070725A">
        <w:rPr>
          <w:sz w:val="24"/>
          <w:szCs w:val="24"/>
          <w:highlight w:val="green"/>
        </w:rPr>
        <w:t>(Appendix A)</w:t>
      </w:r>
      <w:r w:rsidR="000766BA">
        <w:rPr>
          <w:sz w:val="24"/>
          <w:szCs w:val="24"/>
        </w:rPr>
        <w:t xml:space="preserve"> </w:t>
      </w:r>
    </w:p>
    <w:p w14:paraId="76BD22AE" w14:textId="77777777" w:rsidR="008E0E93" w:rsidRDefault="008E0E93" w:rsidP="008356CA">
      <w:pPr>
        <w:numPr>
          <w:ilvl w:val="0"/>
          <w:numId w:val="10"/>
        </w:numPr>
        <w:overflowPunct w:val="0"/>
        <w:autoSpaceDE w:val="0"/>
        <w:autoSpaceDN w:val="0"/>
        <w:adjustRightInd w:val="0"/>
        <w:textAlignment w:val="baseline"/>
        <w:rPr>
          <w:sz w:val="24"/>
          <w:szCs w:val="24"/>
        </w:rPr>
      </w:pPr>
      <w:r>
        <w:rPr>
          <w:sz w:val="24"/>
          <w:szCs w:val="24"/>
        </w:rPr>
        <w:t xml:space="preserve">In-person and telephone interviews with </w:t>
      </w:r>
      <w:r w:rsidRPr="00CA46C9">
        <w:rPr>
          <w:b/>
          <w:i/>
          <w:sz w:val="24"/>
          <w:szCs w:val="24"/>
        </w:rPr>
        <w:t>service providers</w:t>
      </w:r>
      <w:r w:rsidR="00FA3D12" w:rsidRPr="0070725A">
        <w:rPr>
          <w:i/>
          <w:sz w:val="24"/>
          <w:szCs w:val="24"/>
        </w:rPr>
        <w:t xml:space="preserve"> </w:t>
      </w:r>
      <w:r w:rsidR="00FA3D12" w:rsidRPr="0070725A">
        <w:rPr>
          <w:sz w:val="24"/>
          <w:szCs w:val="24"/>
          <w:highlight w:val="green"/>
        </w:rPr>
        <w:t>(Appendix B)</w:t>
      </w:r>
      <w:r w:rsidR="000766BA">
        <w:rPr>
          <w:sz w:val="24"/>
          <w:szCs w:val="24"/>
        </w:rPr>
        <w:t xml:space="preserve"> </w:t>
      </w:r>
    </w:p>
    <w:p w14:paraId="50E86120" w14:textId="52CE6A07" w:rsidR="008E0E93" w:rsidRDefault="008E0E93" w:rsidP="008356CA">
      <w:pPr>
        <w:numPr>
          <w:ilvl w:val="0"/>
          <w:numId w:val="10"/>
        </w:numPr>
        <w:overflowPunct w:val="0"/>
        <w:autoSpaceDE w:val="0"/>
        <w:autoSpaceDN w:val="0"/>
        <w:adjustRightInd w:val="0"/>
        <w:textAlignment w:val="baseline"/>
        <w:rPr>
          <w:sz w:val="24"/>
          <w:szCs w:val="24"/>
        </w:rPr>
      </w:pPr>
      <w:r>
        <w:rPr>
          <w:sz w:val="24"/>
          <w:szCs w:val="24"/>
        </w:rPr>
        <w:t xml:space="preserve">In-person and telephone interviews with </w:t>
      </w:r>
      <w:r w:rsidRPr="00CA46C9">
        <w:rPr>
          <w:b/>
          <w:i/>
          <w:sz w:val="24"/>
          <w:szCs w:val="24"/>
        </w:rPr>
        <w:t>public housing authority (PHA) staff</w:t>
      </w:r>
      <w:r w:rsidR="00FA3D12" w:rsidRPr="0070725A">
        <w:rPr>
          <w:sz w:val="24"/>
          <w:szCs w:val="24"/>
        </w:rPr>
        <w:t xml:space="preserve"> </w:t>
      </w:r>
      <w:r w:rsidR="00E1494D">
        <w:rPr>
          <w:sz w:val="24"/>
          <w:szCs w:val="24"/>
        </w:rPr>
        <w:t>and managers</w:t>
      </w:r>
      <w:r w:rsidR="00794220">
        <w:rPr>
          <w:sz w:val="24"/>
          <w:szCs w:val="24"/>
        </w:rPr>
        <w:t xml:space="preserve"> </w:t>
      </w:r>
      <w:r w:rsidR="00FA3D12" w:rsidRPr="0070725A">
        <w:rPr>
          <w:sz w:val="24"/>
          <w:szCs w:val="24"/>
          <w:highlight w:val="green"/>
        </w:rPr>
        <w:t>(Appendix C)</w:t>
      </w:r>
      <w:r w:rsidR="000766BA">
        <w:rPr>
          <w:sz w:val="24"/>
          <w:szCs w:val="24"/>
        </w:rPr>
        <w:t xml:space="preserve"> </w:t>
      </w:r>
    </w:p>
    <w:p w14:paraId="7DE2E276" w14:textId="7696EB90" w:rsidR="008E0E93" w:rsidRDefault="008E0E93" w:rsidP="008356CA">
      <w:pPr>
        <w:numPr>
          <w:ilvl w:val="0"/>
          <w:numId w:val="10"/>
        </w:numPr>
        <w:overflowPunct w:val="0"/>
        <w:autoSpaceDE w:val="0"/>
        <w:autoSpaceDN w:val="0"/>
        <w:adjustRightInd w:val="0"/>
        <w:textAlignment w:val="baseline"/>
        <w:rPr>
          <w:sz w:val="24"/>
          <w:szCs w:val="24"/>
        </w:rPr>
      </w:pPr>
      <w:r>
        <w:rPr>
          <w:sz w:val="24"/>
          <w:szCs w:val="24"/>
        </w:rPr>
        <w:t xml:space="preserve">In-person surveys of </w:t>
      </w:r>
      <w:r w:rsidRPr="00CA46C9">
        <w:rPr>
          <w:b/>
          <w:i/>
          <w:sz w:val="24"/>
          <w:szCs w:val="24"/>
        </w:rPr>
        <w:t xml:space="preserve">Section 811 PRA </w:t>
      </w:r>
      <w:r w:rsidR="00E1494D">
        <w:rPr>
          <w:b/>
          <w:i/>
          <w:sz w:val="24"/>
          <w:szCs w:val="24"/>
        </w:rPr>
        <w:t>and</w:t>
      </w:r>
      <w:r w:rsidR="007447FC">
        <w:rPr>
          <w:b/>
          <w:i/>
          <w:sz w:val="24"/>
          <w:szCs w:val="24"/>
        </w:rPr>
        <w:t xml:space="preserve"> PRAC residents</w:t>
      </w:r>
      <w:r w:rsidR="00FA3D12" w:rsidRPr="0070725A">
        <w:rPr>
          <w:sz w:val="24"/>
          <w:szCs w:val="24"/>
        </w:rPr>
        <w:t xml:space="preserve"> </w:t>
      </w:r>
      <w:r w:rsidR="00FA3D12" w:rsidRPr="0070725A">
        <w:rPr>
          <w:sz w:val="24"/>
          <w:szCs w:val="24"/>
          <w:highlight w:val="green"/>
        </w:rPr>
        <w:t>(Appendix D)</w:t>
      </w:r>
      <w:r w:rsidR="000766BA">
        <w:rPr>
          <w:sz w:val="24"/>
          <w:szCs w:val="24"/>
        </w:rPr>
        <w:t xml:space="preserve"> </w:t>
      </w:r>
    </w:p>
    <w:p w14:paraId="0416C0E8" w14:textId="77777777" w:rsidR="008E0E93" w:rsidRDefault="00720335" w:rsidP="006A01DE">
      <w:pPr>
        <w:pStyle w:val="Heading1"/>
      </w:pPr>
      <w:bookmarkStart w:id="3" w:name="_Toc482188541"/>
      <w:r>
        <w:t>P</w:t>
      </w:r>
      <w:r w:rsidR="008E0E93" w:rsidRPr="00755C06">
        <w:t>urpose</w:t>
      </w:r>
      <w:r w:rsidR="00DF5700">
        <w:t xml:space="preserve"> and Use of</w:t>
      </w:r>
      <w:r w:rsidR="008E0E93" w:rsidRPr="00755C06">
        <w:t xml:space="preserve"> </w:t>
      </w:r>
      <w:r w:rsidR="00DF5700">
        <w:t>the Information</w:t>
      </w:r>
      <w:r w:rsidR="008E0E93" w:rsidRPr="00755C06">
        <w:t xml:space="preserve"> </w:t>
      </w:r>
      <w:r w:rsidR="00DF5700">
        <w:t>C</w:t>
      </w:r>
      <w:r w:rsidR="008E0E93" w:rsidRPr="00755C06">
        <w:t>ollection</w:t>
      </w:r>
      <w:bookmarkEnd w:id="3"/>
    </w:p>
    <w:p w14:paraId="77F33774" w14:textId="7345636E" w:rsidR="00A90DEE" w:rsidRPr="00AB4476" w:rsidRDefault="00305783" w:rsidP="00690439">
      <w:pPr>
        <w:keepNext/>
        <w:rPr>
          <w:szCs w:val="22"/>
        </w:rPr>
      </w:pPr>
      <w:r w:rsidRPr="00305783">
        <w:t xml:space="preserve">This </w:t>
      </w:r>
      <w:r>
        <w:t>study</w:t>
      </w:r>
      <w:r w:rsidRPr="00305783">
        <w:t xml:space="preserve"> is </w:t>
      </w:r>
      <w:r w:rsidR="00B41113">
        <w:t>the</w:t>
      </w:r>
      <w:r w:rsidR="00B41113" w:rsidRPr="00305783">
        <w:t xml:space="preserve"> </w:t>
      </w:r>
      <w:r w:rsidRPr="00305783">
        <w:t xml:space="preserve">second phase of a </w:t>
      </w:r>
      <w:r w:rsidR="001D3A12">
        <w:t>multi</w:t>
      </w:r>
      <w:r w:rsidRPr="00305783">
        <w:t xml:space="preserve">-phase evaluation. Phase I </w:t>
      </w:r>
      <w:r>
        <w:t xml:space="preserve">documented the </w:t>
      </w:r>
      <w:r w:rsidRPr="00305783">
        <w:t xml:space="preserve">implementation </w:t>
      </w:r>
      <w:r>
        <w:t>experience of the first</w:t>
      </w:r>
      <w:r w:rsidRPr="00305783">
        <w:t xml:space="preserve"> 12 state housing agencies that were awarded </w:t>
      </w:r>
      <w:r>
        <w:t>the first round of PRA grants.</w:t>
      </w:r>
      <w:r w:rsidR="00B0297F">
        <w:t xml:space="preserve"> </w:t>
      </w:r>
      <w:r>
        <w:t>In Phase II, the</w:t>
      </w:r>
      <w:r w:rsidR="00A90DEE">
        <w:t xml:space="preserve"> evaluation </w:t>
      </w:r>
      <w:r w:rsidR="00156899">
        <w:t xml:space="preserve">is focused on six states selected from </w:t>
      </w:r>
      <w:r w:rsidR="00225FEC">
        <w:t xml:space="preserve">28 </w:t>
      </w:r>
      <w:r w:rsidR="00156899">
        <w:t xml:space="preserve">state grantees from the first and second rounds of PRA funding. The </w:t>
      </w:r>
      <w:r w:rsidR="00156899" w:rsidRPr="00AB4476">
        <w:rPr>
          <w:szCs w:val="22"/>
        </w:rPr>
        <w:t xml:space="preserve">Phase II evaluation </w:t>
      </w:r>
      <w:r w:rsidR="00A90DEE" w:rsidRPr="00AB4476">
        <w:rPr>
          <w:szCs w:val="22"/>
        </w:rPr>
        <w:t xml:space="preserve">has </w:t>
      </w:r>
      <w:r w:rsidR="005D5FA2">
        <w:rPr>
          <w:szCs w:val="22"/>
        </w:rPr>
        <w:t xml:space="preserve">three </w:t>
      </w:r>
      <w:r w:rsidR="00A90DEE" w:rsidRPr="00AB4476">
        <w:rPr>
          <w:szCs w:val="22"/>
        </w:rPr>
        <w:t>components:</w:t>
      </w:r>
      <w:r w:rsidR="000766BA">
        <w:rPr>
          <w:szCs w:val="22"/>
        </w:rPr>
        <w:t xml:space="preserve"> </w:t>
      </w:r>
    </w:p>
    <w:p w14:paraId="48A35FAA" w14:textId="77777777" w:rsidR="00A90DEE" w:rsidRDefault="00A90DEE" w:rsidP="008356CA">
      <w:pPr>
        <w:numPr>
          <w:ilvl w:val="0"/>
          <w:numId w:val="8"/>
        </w:numPr>
        <w:overflowPunct w:val="0"/>
        <w:autoSpaceDE w:val="0"/>
        <w:autoSpaceDN w:val="0"/>
        <w:adjustRightInd w:val="0"/>
        <w:textAlignment w:val="baseline"/>
        <w:rPr>
          <w:szCs w:val="22"/>
        </w:rPr>
      </w:pPr>
      <w:r w:rsidRPr="00AB4476">
        <w:rPr>
          <w:szCs w:val="22"/>
        </w:rPr>
        <w:t xml:space="preserve">An </w:t>
      </w:r>
      <w:r w:rsidRPr="00AB4476">
        <w:rPr>
          <w:b/>
          <w:szCs w:val="22"/>
        </w:rPr>
        <w:t>Implementation Study</w:t>
      </w:r>
      <w:r w:rsidRPr="00AB4476">
        <w:rPr>
          <w:szCs w:val="22"/>
        </w:rPr>
        <w:t xml:space="preserve"> to document the implementation of the PRA program based on interviews with key program administrators and review of PRA program documents and data; </w:t>
      </w:r>
    </w:p>
    <w:p w14:paraId="3E99E6C8" w14:textId="48046B12" w:rsidR="00A90DEE" w:rsidRPr="005D5FA2" w:rsidRDefault="00A90DEE" w:rsidP="005D5FA2">
      <w:pPr>
        <w:numPr>
          <w:ilvl w:val="0"/>
          <w:numId w:val="8"/>
        </w:numPr>
        <w:overflowPunct w:val="0"/>
        <w:autoSpaceDE w:val="0"/>
        <w:autoSpaceDN w:val="0"/>
        <w:adjustRightInd w:val="0"/>
        <w:textAlignment w:val="baseline"/>
        <w:rPr>
          <w:szCs w:val="22"/>
        </w:rPr>
      </w:pPr>
      <w:r w:rsidRPr="005D5FA2">
        <w:rPr>
          <w:szCs w:val="22"/>
        </w:rPr>
        <w:t xml:space="preserve">An </w:t>
      </w:r>
      <w:r w:rsidRPr="005D5FA2">
        <w:rPr>
          <w:b/>
          <w:szCs w:val="22"/>
        </w:rPr>
        <w:t>Impact Study</w:t>
      </w:r>
      <w:r w:rsidRPr="005D5FA2">
        <w:rPr>
          <w:szCs w:val="22"/>
        </w:rPr>
        <w:t xml:space="preserve"> to assess the effects of the PRA program on participants’ quality of life and care, housing and neighborhood, and utilization and access to health services and supports compared to t</w:t>
      </w:r>
      <w:r w:rsidR="005D5FA2" w:rsidRPr="005D5FA2">
        <w:rPr>
          <w:szCs w:val="22"/>
        </w:rPr>
        <w:t xml:space="preserve">hree matched comparison groups.  The impact study includes a </w:t>
      </w:r>
      <w:r w:rsidR="005D5FA2" w:rsidRPr="005D5FA2">
        <w:rPr>
          <w:b/>
          <w:szCs w:val="22"/>
        </w:rPr>
        <w:t xml:space="preserve">Descriptive Analysis </w:t>
      </w:r>
      <w:r w:rsidR="005D5FA2" w:rsidRPr="005D5FA2">
        <w:rPr>
          <w:szCs w:val="22"/>
        </w:rPr>
        <w:t xml:space="preserve">of PRA program outputs for all </w:t>
      </w:r>
      <w:r w:rsidR="00225FEC">
        <w:rPr>
          <w:szCs w:val="22"/>
        </w:rPr>
        <w:t>28</w:t>
      </w:r>
      <w:r w:rsidR="00225FEC" w:rsidRPr="005D5FA2">
        <w:rPr>
          <w:szCs w:val="22"/>
        </w:rPr>
        <w:t xml:space="preserve"> </w:t>
      </w:r>
      <w:r w:rsidR="005D5FA2" w:rsidRPr="005D5FA2">
        <w:rPr>
          <w:szCs w:val="22"/>
        </w:rPr>
        <w:t xml:space="preserve">Section 811 </w:t>
      </w:r>
      <w:r w:rsidR="00225FEC">
        <w:rPr>
          <w:szCs w:val="22"/>
        </w:rPr>
        <w:t xml:space="preserve">PRA </w:t>
      </w:r>
      <w:r w:rsidR="005D5FA2" w:rsidRPr="005D5FA2">
        <w:rPr>
          <w:szCs w:val="22"/>
        </w:rPr>
        <w:t xml:space="preserve">grantees, based on HUD administrative data; </w:t>
      </w:r>
      <w:r w:rsidRPr="005D5FA2">
        <w:rPr>
          <w:szCs w:val="22"/>
        </w:rPr>
        <w:t xml:space="preserve">and </w:t>
      </w:r>
    </w:p>
    <w:p w14:paraId="31376152" w14:textId="77777777" w:rsidR="00AB4476" w:rsidRDefault="00A90DEE" w:rsidP="008356CA">
      <w:pPr>
        <w:numPr>
          <w:ilvl w:val="0"/>
          <w:numId w:val="8"/>
        </w:numPr>
        <w:overflowPunct w:val="0"/>
        <w:autoSpaceDE w:val="0"/>
        <w:autoSpaceDN w:val="0"/>
        <w:adjustRightInd w:val="0"/>
        <w:textAlignment w:val="baseline"/>
        <w:rPr>
          <w:szCs w:val="22"/>
        </w:rPr>
      </w:pPr>
      <w:r w:rsidRPr="00AB4476">
        <w:rPr>
          <w:szCs w:val="22"/>
        </w:rPr>
        <w:t xml:space="preserve">An </w:t>
      </w:r>
      <w:r w:rsidRPr="00AB4476">
        <w:rPr>
          <w:b/>
          <w:szCs w:val="22"/>
        </w:rPr>
        <w:t>Economic Study</w:t>
      </w:r>
      <w:r w:rsidRPr="00AB4476">
        <w:rPr>
          <w:szCs w:val="22"/>
        </w:rPr>
        <w:t xml:space="preserve"> to measure the costs of housing and supportive services provided by the Section 811 PRA program and to attempt to measure the costs of healthcare utilization</w:t>
      </w:r>
      <w:r w:rsidR="0067165F">
        <w:rPr>
          <w:szCs w:val="22"/>
        </w:rPr>
        <w:t xml:space="preserve"> </w:t>
      </w:r>
      <w:r w:rsidRPr="00AB4476">
        <w:rPr>
          <w:szCs w:val="22"/>
        </w:rPr>
        <w:t>potentially affected by the PRA program, to compare these costs to other HUD assisted housing programs</w:t>
      </w:r>
      <w:r w:rsidR="001D3A12">
        <w:rPr>
          <w:szCs w:val="22"/>
        </w:rPr>
        <w:t xml:space="preserve"> with</w:t>
      </w:r>
      <w:r w:rsidRPr="00AB4476">
        <w:rPr>
          <w:szCs w:val="22"/>
        </w:rPr>
        <w:t xml:space="preserve"> and without structured access to services, and to compare costs to measured impacts.</w:t>
      </w:r>
      <w:r w:rsidR="000766BA">
        <w:rPr>
          <w:szCs w:val="22"/>
        </w:rPr>
        <w:t xml:space="preserve"> </w:t>
      </w:r>
    </w:p>
    <w:p w14:paraId="349D5863" w14:textId="6C8C71F8" w:rsidR="00043A83" w:rsidRDefault="00E55957" w:rsidP="008356CA">
      <w:r>
        <w:t xml:space="preserve">This request for </w:t>
      </w:r>
      <w:r w:rsidRPr="00E55957">
        <w:t xml:space="preserve">approval is </w:t>
      </w:r>
      <w:r>
        <w:t>fo</w:t>
      </w:r>
      <w:r w:rsidRPr="00E55957">
        <w:t xml:space="preserve">r primary data collection activities </w:t>
      </w:r>
      <w:r w:rsidR="007F0F8C">
        <w:t>that include</w:t>
      </w:r>
      <w:r w:rsidRPr="00E55957">
        <w:t xml:space="preserve"> </w:t>
      </w:r>
      <w:r w:rsidR="007927DC">
        <w:t xml:space="preserve">in-person and telephone </w:t>
      </w:r>
      <w:r w:rsidRPr="00E55957">
        <w:t xml:space="preserve">interviews with a sample of </w:t>
      </w:r>
      <w:r w:rsidR="00B15544">
        <w:t xml:space="preserve">up to </w:t>
      </w:r>
      <w:r w:rsidR="00225FEC">
        <w:t xml:space="preserve">24 </w:t>
      </w:r>
      <w:r w:rsidR="00B41113">
        <w:t xml:space="preserve">property </w:t>
      </w:r>
      <w:r w:rsidRPr="00E55957">
        <w:t>owners with units subsidized by Section 811 PRA</w:t>
      </w:r>
      <w:r w:rsidR="00B41113">
        <w:t>;</w:t>
      </w:r>
      <w:r w:rsidR="007F0F8C">
        <w:t xml:space="preserve"> </w:t>
      </w:r>
      <w:r w:rsidR="007927DC">
        <w:t xml:space="preserve">in-person and telephone </w:t>
      </w:r>
      <w:r w:rsidR="007F0F8C">
        <w:t>interviews</w:t>
      </w:r>
      <w:r w:rsidRPr="00E55957">
        <w:t xml:space="preserve"> </w:t>
      </w:r>
      <w:r w:rsidR="007447FC">
        <w:t xml:space="preserve">with </w:t>
      </w:r>
      <w:r w:rsidR="00B15544">
        <w:t xml:space="preserve">up to </w:t>
      </w:r>
      <w:r w:rsidR="00225FEC">
        <w:t xml:space="preserve">48 </w:t>
      </w:r>
      <w:r w:rsidRPr="00E55957">
        <w:t>service provide</w:t>
      </w:r>
      <w:r w:rsidR="007F0F8C">
        <w:t>rs who serve PRA residents</w:t>
      </w:r>
      <w:r w:rsidR="00B41113">
        <w:t>;</w:t>
      </w:r>
      <w:r w:rsidR="007F0F8C">
        <w:t xml:space="preserve"> </w:t>
      </w:r>
      <w:r w:rsidR="007927DC">
        <w:t xml:space="preserve">in-person and telephone </w:t>
      </w:r>
      <w:r w:rsidR="007F0F8C">
        <w:t xml:space="preserve">interviews with </w:t>
      </w:r>
      <w:r w:rsidR="00225FEC">
        <w:t xml:space="preserve">up to 12 </w:t>
      </w:r>
      <w:r w:rsidRPr="00E55957">
        <w:t>PHAs</w:t>
      </w:r>
      <w:r w:rsidR="009374ED">
        <w:t xml:space="preserve"> </w:t>
      </w:r>
      <w:r w:rsidR="00875CD9">
        <w:t>that</w:t>
      </w:r>
      <w:r w:rsidR="009374ED">
        <w:t>, as part of the state</w:t>
      </w:r>
      <w:r w:rsidR="00875CD9">
        <w:t xml:space="preserve"> housing agency</w:t>
      </w:r>
      <w:r w:rsidR="009374ED">
        <w:t>’s grant proposal,</w:t>
      </w:r>
      <w:r w:rsidRPr="00E55957">
        <w:t xml:space="preserve"> committed Housing Choice Vouchers or other rental units or established admissions preferences for people with disabilities</w:t>
      </w:r>
      <w:r w:rsidR="009374ED">
        <w:t xml:space="preserve"> as a supplement to the PRA program</w:t>
      </w:r>
      <w:r w:rsidR="00B41113">
        <w:t>;</w:t>
      </w:r>
      <w:r w:rsidR="007F0F8C">
        <w:t xml:space="preserve"> and</w:t>
      </w:r>
      <w:r w:rsidR="007F0F8C" w:rsidRPr="007F0F8C">
        <w:t xml:space="preserve"> </w:t>
      </w:r>
      <w:r w:rsidR="007927DC">
        <w:t xml:space="preserve">in-person </w:t>
      </w:r>
      <w:r w:rsidR="007F0F8C" w:rsidRPr="00E55957">
        <w:t xml:space="preserve">surveys with </w:t>
      </w:r>
      <w:r w:rsidR="007927DC">
        <w:t xml:space="preserve">up to 480 residents of </w:t>
      </w:r>
      <w:r w:rsidR="005D75F2">
        <w:t xml:space="preserve">Section 811 </w:t>
      </w:r>
      <w:r w:rsidR="007F0F8C" w:rsidRPr="00E55957">
        <w:t xml:space="preserve">PRA and PRAC </w:t>
      </w:r>
      <w:r w:rsidR="007927DC">
        <w:t>properties</w:t>
      </w:r>
      <w:r w:rsidRPr="00E55957">
        <w:t>. The remainder of the study’s data collection methods involves secondary administrative data or primary d</w:t>
      </w:r>
      <w:r w:rsidR="005D75F2">
        <w:t>ata collection and</w:t>
      </w:r>
      <w:r w:rsidRPr="00E55957">
        <w:t xml:space="preserve"> highly-tailored discussions with representatives of the six grantee state housing agencies and their partner state Medicaid agencies</w:t>
      </w:r>
      <w:r w:rsidR="005D75F2">
        <w:t>, each of which</w:t>
      </w:r>
      <w:r w:rsidRPr="00E55957">
        <w:t xml:space="preserve"> do not involve standardized data collection </w:t>
      </w:r>
      <w:r w:rsidR="005D75F2">
        <w:t>with</w:t>
      </w:r>
      <w:r w:rsidRPr="00E55957">
        <w:t xml:space="preserve"> more than nine respondents.</w:t>
      </w:r>
      <w:r w:rsidR="000766BA">
        <w:t xml:space="preserve"> </w:t>
      </w:r>
      <w:r w:rsidR="00043A83">
        <w:t xml:space="preserve">The main data sources for the </w:t>
      </w:r>
      <w:r w:rsidR="00043A83" w:rsidRPr="00F97309">
        <w:t>i</w:t>
      </w:r>
      <w:r w:rsidR="00043A83" w:rsidRPr="00043A83">
        <w:t>mpact</w:t>
      </w:r>
      <w:r w:rsidR="00043A83">
        <w:t xml:space="preserve"> and </w:t>
      </w:r>
      <w:r w:rsidR="00043A83" w:rsidRPr="00043A83">
        <w:rPr>
          <w:b/>
        </w:rPr>
        <w:t>e</w:t>
      </w:r>
      <w:r w:rsidR="00043A83" w:rsidRPr="00043A83">
        <w:t>conomic studies</w:t>
      </w:r>
      <w:r w:rsidR="00043A83">
        <w:t xml:space="preserve"> are healthcare utilization data from </w:t>
      </w:r>
      <w:r w:rsidR="00BF7BAF">
        <w:t>the Centers for Medicare and Medicaid Services (</w:t>
      </w:r>
      <w:r w:rsidR="00043A83">
        <w:t>CMS</w:t>
      </w:r>
      <w:r w:rsidR="00BF7BAF">
        <w:t>)</w:t>
      </w:r>
      <w:r w:rsidR="00043A83">
        <w:t xml:space="preserve"> and state Medicaid agencies and HUD administrative data on housing, unit, and tenant characteristics.</w:t>
      </w:r>
    </w:p>
    <w:p w14:paraId="1354A064" w14:textId="77777777" w:rsidR="00305783" w:rsidRPr="00305783" w:rsidRDefault="00B166B5" w:rsidP="008356CA">
      <w:r>
        <w:t>HUD and policy makers will use t</w:t>
      </w:r>
      <w:r w:rsidR="00305783" w:rsidRPr="00305783">
        <w:t xml:space="preserve">he information collected </w:t>
      </w:r>
      <w:r>
        <w:t>in</w:t>
      </w:r>
      <w:r w:rsidR="00305783" w:rsidRPr="00305783">
        <w:t xml:space="preserve"> this study to understand the effectiveness of the Section 811 PRA Program. The evaluation will provide insight to </w:t>
      </w:r>
      <w:r w:rsidR="007927DC">
        <w:t xml:space="preserve">Congress, </w:t>
      </w:r>
      <w:r w:rsidR="00305783" w:rsidRPr="00305783">
        <w:t xml:space="preserve">HUD, grantee states, and other interested parties on issues to consider as the Section 811 PRA Program continues to be implemented throughout the country. The study will also document the experience of property </w:t>
      </w:r>
      <w:r w:rsidR="00305783" w:rsidRPr="00924869">
        <w:t>owners</w:t>
      </w:r>
      <w:r w:rsidR="00305783" w:rsidRPr="00305783">
        <w:t>, service providers, PHA staff, and disabled residents with the integration of supportive housing in affordable rental developments.</w:t>
      </w:r>
      <w:r w:rsidR="000766BA">
        <w:t xml:space="preserve"> </w:t>
      </w:r>
    </w:p>
    <w:p w14:paraId="3099C850" w14:textId="77777777" w:rsidR="008E0E93" w:rsidRPr="00B712F7" w:rsidRDefault="008E0E93" w:rsidP="00AB4476">
      <w:r w:rsidRPr="00B712F7">
        <w:t xml:space="preserve">The overarching research questions for this evaluation are: </w:t>
      </w:r>
    </w:p>
    <w:p w14:paraId="16A67071" w14:textId="62FD2E87" w:rsidR="008E0E93" w:rsidRPr="00AB4476" w:rsidRDefault="008E0E93" w:rsidP="008356CA">
      <w:pPr>
        <w:pStyle w:val="ListParagraph"/>
        <w:numPr>
          <w:ilvl w:val="0"/>
          <w:numId w:val="14"/>
        </w:numPr>
        <w:spacing w:after="180" w:line="264" w:lineRule="auto"/>
        <w:contextualSpacing w:val="0"/>
        <w:rPr>
          <w:rFonts w:ascii="Times New Roman" w:hAnsi="Times New Roman"/>
        </w:rPr>
      </w:pPr>
      <w:r w:rsidRPr="00AB4476">
        <w:rPr>
          <w:rFonts w:ascii="Times New Roman" w:hAnsi="Times New Roman"/>
        </w:rPr>
        <w:t xml:space="preserve">Do state housing agencies and their Medicaid agency partners develop effective, sustainable partnerships that result in a growing inventory of affordable rental units for </w:t>
      </w:r>
      <w:r w:rsidR="007927DC">
        <w:rPr>
          <w:rFonts w:ascii="Times New Roman" w:hAnsi="Times New Roman"/>
        </w:rPr>
        <w:t>extremely</w:t>
      </w:r>
      <w:r w:rsidR="007927DC" w:rsidRPr="00AB4476">
        <w:rPr>
          <w:rFonts w:ascii="Times New Roman" w:hAnsi="Times New Roman"/>
        </w:rPr>
        <w:t xml:space="preserve"> </w:t>
      </w:r>
      <w:r w:rsidRPr="00AB4476">
        <w:rPr>
          <w:rFonts w:ascii="Times New Roman" w:hAnsi="Times New Roman"/>
        </w:rPr>
        <w:t xml:space="preserve">low-income people with disabilities? </w:t>
      </w:r>
    </w:p>
    <w:p w14:paraId="0A346E8E" w14:textId="77777777" w:rsidR="008E0E93" w:rsidRPr="00AB4476" w:rsidRDefault="008E0E93" w:rsidP="008356CA">
      <w:pPr>
        <w:pStyle w:val="ListParagraph"/>
        <w:numPr>
          <w:ilvl w:val="0"/>
          <w:numId w:val="14"/>
        </w:numPr>
        <w:spacing w:after="180" w:line="264" w:lineRule="auto"/>
        <w:contextualSpacing w:val="0"/>
        <w:rPr>
          <w:rFonts w:ascii="Times New Roman" w:hAnsi="Times New Roman"/>
        </w:rPr>
      </w:pPr>
      <w:r w:rsidRPr="00AB4476">
        <w:rPr>
          <w:rFonts w:ascii="Times New Roman" w:hAnsi="Times New Roman"/>
        </w:rPr>
        <w:t xml:space="preserve">What is the early evidence on how PRA residents fare relative to similar individuals in the Section 811 PRAC program in terms of quality of life, housing and neighborhood characteristics, housing tenure, health and service utilization patterns? </w:t>
      </w:r>
    </w:p>
    <w:p w14:paraId="1881E65A" w14:textId="77777777" w:rsidR="008E0E93" w:rsidRPr="00AB4476" w:rsidRDefault="008E0E93" w:rsidP="008356CA">
      <w:pPr>
        <w:pStyle w:val="ListParagraph"/>
        <w:numPr>
          <w:ilvl w:val="0"/>
          <w:numId w:val="14"/>
        </w:numPr>
        <w:spacing w:after="180" w:line="264" w:lineRule="auto"/>
        <w:contextualSpacing w:val="0"/>
        <w:rPr>
          <w:rFonts w:ascii="Times New Roman" w:hAnsi="Times New Roman"/>
        </w:rPr>
      </w:pPr>
      <w:r w:rsidRPr="00AB4476">
        <w:rPr>
          <w:rFonts w:ascii="Times New Roman" w:hAnsi="Times New Roman"/>
        </w:rPr>
        <w:t xml:space="preserve">What is the early evidence of the cost-effectiveness of the PRA program? </w:t>
      </w:r>
    </w:p>
    <w:p w14:paraId="4A6EB6FA" w14:textId="16D7F9BD" w:rsidR="008E0E93" w:rsidRDefault="00836189" w:rsidP="0070091C">
      <w:r>
        <w:t xml:space="preserve">Data collection will begin with recruitment of potential respondents with a letter that describes the study and a follow up recruitment and interview scheduling telephone call </w:t>
      </w:r>
      <w:r w:rsidR="00276F9D">
        <w:rPr>
          <w:highlight w:val="green"/>
        </w:rPr>
        <w:t>(</w:t>
      </w:r>
      <w:r w:rsidR="00FE4439">
        <w:rPr>
          <w:highlight w:val="green"/>
        </w:rPr>
        <w:t xml:space="preserve">see recruitment </w:t>
      </w:r>
      <w:r w:rsidR="00DC6901">
        <w:rPr>
          <w:highlight w:val="green"/>
        </w:rPr>
        <w:t xml:space="preserve">materials </w:t>
      </w:r>
      <w:r w:rsidR="00FE4439">
        <w:rPr>
          <w:highlight w:val="green"/>
        </w:rPr>
        <w:t xml:space="preserve">in </w:t>
      </w:r>
      <w:r w:rsidR="00276F9D">
        <w:rPr>
          <w:highlight w:val="green"/>
        </w:rPr>
        <w:t>Appendix</w:t>
      </w:r>
      <w:r w:rsidRPr="00F67BE5">
        <w:rPr>
          <w:highlight w:val="green"/>
        </w:rPr>
        <w:t xml:space="preserve"> </w:t>
      </w:r>
      <w:r w:rsidR="00FE4439">
        <w:rPr>
          <w:highlight w:val="green"/>
        </w:rPr>
        <w:t>D</w:t>
      </w:r>
      <w:r w:rsidRPr="00F67BE5">
        <w:rPr>
          <w:highlight w:val="green"/>
        </w:rPr>
        <w:t>)</w:t>
      </w:r>
      <w:r>
        <w:t xml:space="preserve">. Residents that cannot </w:t>
      </w:r>
      <w:r w:rsidR="002F2D3C">
        <w:t xml:space="preserve">initially </w:t>
      </w:r>
      <w:r>
        <w:t xml:space="preserve">be reached by </w:t>
      </w:r>
      <w:r w:rsidR="002F2D3C">
        <w:t>mail</w:t>
      </w:r>
      <w:r>
        <w:t xml:space="preserve"> will be sent a postcard notifying them about the study. </w:t>
      </w:r>
      <w:r w:rsidR="00AB4476">
        <w:t>E</w:t>
      </w:r>
      <w:r w:rsidR="008356CA">
        <w:t xml:space="preserve">xhibit A-1 presents the interview and survey data collection activities that are the subject of this </w:t>
      </w:r>
      <w:r w:rsidR="006E0B00">
        <w:t xml:space="preserve">revised </w:t>
      </w:r>
      <w:r w:rsidR="008356CA">
        <w:t xml:space="preserve">request for approval, summarizing the purpose </w:t>
      </w:r>
      <w:r w:rsidR="000C201B">
        <w:t>of the data collection in support of answering the research questions.</w:t>
      </w:r>
      <w:r w:rsidR="00053E12">
        <w:t xml:space="preserve"> </w:t>
      </w:r>
      <w:r w:rsidR="00F67BE5">
        <w:t>The interview and survey</w:t>
      </w:r>
      <w:r w:rsidR="00053E12">
        <w:t xml:space="preserve"> data collection activities will primarily be used in analysis for the Implementation Study. Data from the surveys of Section 811 PRAC residents will </w:t>
      </w:r>
      <w:r w:rsidR="00FE0EC9">
        <w:t xml:space="preserve">also </w:t>
      </w:r>
      <w:r w:rsidR="00053E12">
        <w:t>be used i</w:t>
      </w:r>
      <w:r w:rsidR="00924869">
        <w:t>n analyses for the Impact Study and Cost Study.</w:t>
      </w:r>
      <w:r w:rsidR="000766BA">
        <w:t xml:space="preserve"> </w:t>
      </w:r>
    </w:p>
    <w:p w14:paraId="146E7C13" w14:textId="77777777" w:rsidR="000C201B" w:rsidRDefault="000C201B" w:rsidP="006050EF">
      <w:pPr>
        <w:pStyle w:val="ExhibitColumnHeader"/>
        <w:jc w:val="left"/>
      </w:pPr>
      <w:r>
        <w:t>Exhibit A-1</w:t>
      </w:r>
      <w:r w:rsidR="00924869">
        <w:t xml:space="preserve">: </w:t>
      </w:r>
      <w:r>
        <w:t>Summary of Interview and Survey Data Collection Activities</w:t>
      </w:r>
    </w:p>
    <w:tbl>
      <w:tblPr>
        <w:tblStyle w:val="TableGrid"/>
        <w:tblW w:w="0" w:type="auto"/>
        <w:tblLook w:val="04A0" w:firstRow="1" w:lastRow="0" w:firstColumn="1" w:lastColumn="0" w:noHBand="0" w:noVBand="1"/>
      </w:tblPr>
      <w:tblGrid>
        <w:gridCol w:w="3888"/>
        <w:gridCol w:w="6228"/>
      </w:tblGrid>
      <w:tr w:rsidR="000C201B" w14:paraId="72708131" w14:textId="77777777" w:rsidTr="006050EF">
        <w:tc>
          <w:tcPr>
            <w:tcW w:w="3888" w:type="dxa"/>
          </w:tcPr>
          <w:p w14:paraId="6D9AA3EA" w14:textId="77777777" w:rsidR="000C201B" w:rsidRPr="006050EF" w:rsidRDefault="000C201B" w:rsidP="008E0E93">
            <w:pPr>
              <w:rPr>
                <w:rFonts w:ascii="Arial Narrow" w:hAnsi="Arial Narrow"/>
                <w:b/>
                <w:szCs w:val="22"/>
              </w:rPr>
            </w:pPr>
            <w:r w:rsidRPr="006050EF">
              <w:rPr>
                <w:rFonts w:ascii="Arial Narrow" w:hAnsi="Arial Narrow"/>
                <w:b/>
                <w:szCs w:val="22"/>
              </w:rPr>
              <w:t>Interview/Survey</w:t>
            </w:r>
          </w:p>
        </w:tc>
        <w:tc>
          <w:tcPr>
            <w:tcW w:w="6228" w:type="dxa"/>
          </w:tcPr>
          <w:p w14:paraId="608F3EFE" w14:textId="77777777" w:rsidR="000C201B" w:rsidRPr="006050EF" w:rsidRDefault="000C201B" w:rsidP="008E0E93">
            <w:pPr>
              <w:rPr>
                <w:rFonts w:ascii="Arial Narrow" w:hAnsi="Arial Narrow"/>
                <w:b/>
                <w:szCs w:val="22"/>
              </w:rPr>
            </w:pPr>
            <w:r w:rsidRPr="006050EF">
              <w:rPr>
                <w:rFonts w:ascii="Arial Narrow" w:hAnsi="Arial Narrow"/>
                <w:b/>
                <w:szCs w:val="22"/>
              </w:rPr>
              <w:t>Purpose of Data Collection</w:t>
            </w:r>
          </w:p>
        </w:tc>
      </w:tr>
      <w:tr w:rsidR="000C201B" w14:paraId="59282549" w14:textId="77777777" w:rsidTr="006050EF">
        <w:tc>
          <w:tcPr>
            <w:tcW w:w="3888" w:type="dxa"/>
          </w:tcPr>
          <w:p w14:paraId="61193CB8" w14:textId="77777777" w:rsidR="000C201B" w:rsidRPr="006050EF" w:rsidRDefault="000C201B" w:rsidP="00924869">
            <w:pPr>
              <w:pStyle w:val="ExhibitText"/>
            </w:pPr>
            <w:r w:rsidRPr="006050EF">
              <w:t xml:space="preserve">Interviews with property owners </w:t>
            </w:r>
          </w:p>
        </w:tc>
        <w:tc>
          <w:tcPr>
            <w:tcW w:w="6228" w:type="dxa"/>
          </w:tcPr>
          <w:p w14:paraId="203B4BDE" w14:textId="77777777" w:rsidR="000C201B" w:rsidRPr="006050EF" w:rsidRDefault="000C201B" w:rsidP="002F4E04">
            <w:pPr>
              <w:pStyle w:val="ExhibitBullets"/>
            </w:pPr>
            <w:r w:rsidRPr="006050EF">
              <w:t>Provide owner perspective on the implementation of the PRA grant, including challenges and successes, the owner selection process, the resident application process and why residents are found ineligible, the process of tenants transitioning into PRA units, and ongoing tenancy.</w:t>
            </w:r>
          </w:p>
          <w:p w14:paraId="1DDA4224" w14:textId="77777777" w:rsidR="000C201B" w:rsidRPr="006050EF" w:rsidRDefault="000C201B" w:rsidP="002F4E04">
            <w:pPr>
              <w:pStyle w:val="ExhibitBullets"/>
            </w:pPr>
            <w:r w:rsidRPr="006050EF">
              <w:t>Provide information on property and unit amenities, including any modifications undertaken for PRA residents.</w:t>
            </w:r>
          </w:p>
        </w:tc>
      </w:tr>
      <w:tr w:rsidR="000C201B" w14:paraId="21BD2AF8" w14:textId="77777777" w:rsidTr="006050EF">
        <w:tc>
          <w:tcPr>
            <w:tcW w:w="3888" w:type="dxa"/>
          </w:tcPr>
          <w:p w14:paraId="742B42EC" w14:textId="77777777" w:rsidR="000C201B" w:rsidRPr="006050EF" w:rsidRDefault="000C201B" w:rsidP="002F4E04">
            <w:pPr>
              <w:pStyle w:val="ExhibitText"/>
            </w:pPr>
            <w:r w:rsidRPr="006050EF">
              <w:t xml:space="preserve">Interviews with service providers </w:t>
            </w:r>
          </w:p>
        </w:tc>
        <w:tc>
          <w:tcPr>
            <w:tcW w:w="6228" w:type="dxa"/>
          </w:tcPr>
          <w:p w14:paraId="3AB35D08" w14:textId="77777777" w:rsidR="000C201B" w:rsidRPr="006050EF" w:rsidRDefault="000C201B" w:rsidP="002F4E04">
            <w:pPr>
              <w:pStyle w:val="ExhibitText"/>
              <w:spacing w:after="60"/>
              <w:rPr>
                <w:szCs w:val="18"/>
              </w:rPr>
            </w:pPr>
            <w:r w:rsidRPr="006050EF">
              <w:rPr>
                <w:szCs w:val="18"/>
              </w:rPr>
              <w:t xml:space="preserve">Provide service provider perspective on the implementation of the PRA grant: </w:t>
            </w:r>
          </w:p>
          <w:p w14:paraId="0E04DB25" w14:textId="77777777" w:rsidR="000C201B" w:rsidRPr="006050EF" w:rsidRDefault="000C201B" w:rsidP="002F4E04">
            <w:pPr>
              <w:pStyle w:val="ExhibitBullets"/>
            </w:pPr>
            <w:r w:rsidRPr="006050EF">
              <w:t>Resident application, eligibility, and process of transitioning into PRA units</w:t>
            </w:r>
            <w:r w:rsidR="00353902">
              <w:t xml:space="preserve">. </w:t>
            </w:r>
          </w:p>
          <w:p w14:paraId="6B57C8BF" w14:textId="77777777" w:rsidR="000C201B" w:rsidRPr="006050EF" w:rsidRDefault="000C201B" w:rsidP="002F4E04">
            <w:pPr>
              <w:pStyle w:val="ExhibitBullets"/>
            </w:pPr>
            <w:r w:rsidRPr="006050EF">
              <w:t>Provision and adequacy of transition and ongoing health and supportive services</w:t>
            </w:r>
            <w:r w:rsidR="00353902">
              <w:t xml:space="preserve">. </w:t>
            </w:r>
          </w:p>
        </w:tc>
      </w:tr>
      <w:tr w:rsidR="000C201B" w14:paraId="76A955FB" w14:textId="77777777" w:rsidTr="006050EF">
        <w:tc>
          <w:tcPr>
            <w:tcW w:w="3888" w:type="dxa"/>
          </w:tcPr>
          <w:p w14:paraId="71262F01" w14:textId="77777777" w:rsidR="000C201B" w:rsidRPr="006050EF" w:rsidRDefault="000C201B" w:rsidP="006050EF">
            <w:pPr>
              <w:pStyle w:val="ExhibitText"/>
            </w:pPr>
            <w:r w:rsidRPr="006050EF">
              <w:t>Interviews w</w:t>
            </w:r>
            <w:r w:rsidR="006050EF" w:rsidRPr="006050EF">
              <w:t xml:space="preserve">ith </w:t>
            </w:r>
            <w:r w:rsidRPr="006050EF">
              <w:t>PHAs that leveraged H</w:t>
            </w:r>
            <w:r w:rsidR="00B15544">
              <w:t xml:space="preserve">ousing </w:t>
            </w:r>
            <w:r w:rsidRPr="006050EF">
              <w:t>C</w:t>
            </w:r>
            <w:r w:rsidR="00B15544">
              <w:t xml:space="preserve">hoice </w:t>
            </w:r>
            <w:r w:rsidRPr="006050EF">
              <w:t>V</w:t>
            </w:r>
            <w:r w:rsidR="00B15544">
              <w:t>oucher</w:t>
            </w:r>
            <w:r w:rsidRPr="006050EF">
              <w:t xml:space="preserve">s </w:t>
            </w:r>
            <w:r w:rsidR="00B15544">
              <w:t xml:space="preserve">(HCVs) </w:t>
            </w:r>
            <w:r w:rsidRPr="006050EF">
              <w:t>for Section 811 PRA</w:t>
            </w:r>
          </w:p>
        </w:tc>
        <w:tc>
          <w:tcPr>
            <w:tcW w:w="6228" w:type="dxa"/>
          </w:tcPr>
          <w:p w14:paraId="60E61B11" w14:textId="77777777" w:rsidR="000C201B" w:rsidRPr="006050EF" w:rsidRDefault="000C201B" w:rsidP="006050EF">
            <w:pPr>
              <w:pStyle w:val="ExhibitText"/>
              <w:keepNext/>
              <w:keepLines/>
              <w:spacing w:after="60"/>
              <w:rPr>
                <w:szCs w:val="18"/>
              </w:rPr>
            </w:pPr>
            <w:r w:rsidRPr="006050EF">
              <w:rPr>
                <w:szCs w:val="18"/>
              </w:rPr>
              <w:t xml:space="preserve">Provide information on the procedures and preference systems for allocating HCVs to persons with disabilities in the grantees’ states. </w:t>
            </w:r>
          </w:p>
        </w:tc>
      </w:tr>
      <w:tr w:rsidR="000C201B" w14:paraId="584C311A" w14:textId="77777777" w:rsidTr="006050EF">
        <w:tc>
          <w:tcPr>
            <w:tcW w:w="3888" w:type="dxa"/>
          </w:tcPr>
          <w:p w14:paraId="59547338" w14:textId="77777777" w:rsidR="000C201B" w:rsidRPr="006050EF" w:rsidRDefault="000C201B" w:rsidP="002F4E04">
            <w:pPr>
              <w:pStyle w:val="ExhibitText"/>
            </w:pPr>
            <w:r w:rsidRPr="006050EF">
              <w:t>Surveys of Section 811 PRA</w:t>
            </w:r>
            <w:r w:rsidR="00924869">
              <w:t xml:space="preserve"> and PRAC</w:t>
            </w:r>
            <w:r w:rsidRPr="006050EF">
              <w:t xml:space="preserve"> residents</w:t>
            </w:r>
          </w:p>
        </w:tc>
        <w:tc>
          <w:tcPr>
            <w:tcW w:w="6228" w:type="dxa"/>
          </w:tcPr>
          <w:p w14:paraId="17D5210F" w14:textId="77777777" w:rsidR="000C201B" w:rsidRPr="006050EF" w:rsidRDefault="000C201B" w:rsidP="002F4E04">
            <w:pPr>
              <w:pStyle w:val="ExhibitBullets"/>
            </w:pPr>
            <w:r w:rsidRPr="006050EF">
              <w:t xml:space="preserve">Provide tenant perspectives on the </w:t>
            </w:r>
            <w:r w:rsidR="00924869">
              <w:t xml:space="preserve">Section 811 </w:t>
            </w:r>
            <w:r w:rsidRPr="006050EF">
              <w:t xml:space="preserve">application and tenant placement and occupancy procedures and how adequate the support is of people transitioning to community settings. </w:t>
            </w:r>
          </w:p>
          <w:p w14:paraId="6661FDA3" w14:textId="77777777" w:rsidR="000C201B" w:rsidRPr="006050EF" w:rsidRDefault="00924869" w:rsidP="00353902">
            <w:pPr>
              <w:pStyle w:val="ExhibitBullets"/>
            </w:pPr>
            <w:r>
              <w:t>Provide t</w:t>
            </w:r>
            <w:r w:rsidR="000C201B" w:rsidRPr="006050EF">
              <w:t>enant-reported information on housing and neighborhood quality, quality of life and care, and unmet needs</w:t>
            </w:r>
            <w:r>
              <w:t xml:space="preserve">. </w:t>
            </w:r>
          </w:p>
        </w:tc>
      </w:tr>
    </w:tbl>
    <w:p w14:paraId="116C6857" w14:textId="77777777" w:rsidR="00C6195E" w:rsidRPr="00C6195E" w:rsidRDefault="00C6195E" w:rsidP="00053E12">
      <w:pPr>
        <w:rPr>
          <w:rStyle w:val="Strong"/>
          <w:b w:val="0"/>
        </w:rPr>
      </w:pPr>
      <w:r w:rsidRPr="00053E12">
        <w:t xml:space="preserve">On behalf of HUD, the information for the Evaluation of the Section 811 PRA Program will be collected by Abt Associates. The interviews and surveys described below will be conducted in person during site visits to each of the six states selected for the study. </w:t>
      </w:r>
      <w:r w:rsidR="00A138C3" w:rsidRPr="00053E12">
        <w:t>Site visit</w:t>
      </w:r>
      <w:r w:rsidR="006E0B00">
        <w:t>or</w:t>
      </w:r>
      <w:r w:rsidR="00924869">
        <w:t xml:space="preserve">s will </w:t>
      </w:r>
      <w:r w:rsidR="006E0B00">
        <w:t xml:space="preserve">visit </w:t>
      </w:r>
      <w:r w:rsidR="00924869">
        <w:t>each state’s capita</w:t>
      </w:r>
      <w:r w:rsidR="00A138C3" w:rsidRPr="00053E12">
        <w:t>l</w:t>
      </w:r>
      <w:r w:rsidR="006E0B00">
        <w:t xml:space="preserve"> city</w:t>
      </w:r>
      <w:r w:rsidR="00A138C3" w:rsidRPr="00053E12">
        <w:t xml:space="preserve">, where the grantee agencies are located. </w:t>
      </w:r>
      <w:r w:rsidRPr="00053E12">
        <w:t xml:space="preserve">Interviews that </w:t>
      </w:r>
      <w:r w:rsidR="006E0B00">
        <w:t xml:space="preserve">cannot </w:t>
      </w:r>
      <w:r w:rsidRPr="00053E12">
        <w:t>be completed in person during the site visit will be conducted by telephone</w:t>
      </w:r>
      <w:r>
        <w:rPr>
          <w:rStyle w:val="Strong"/>
          <w:b w:val="0"/>
        </w:rPr>
        <w:t>.</w:t>
      </w:r>
      <w:r w:rsidR="000766BA">
        <w:rPr>
          <w:rStyle w:val="Strong"/>
          <w:b w:val="0"/>
        </w:rPr>
        <w:t xml:space="preserve"> </w:t>
      </w:r>
    </w:p>
    <w:p w14:paraId="06EB7ECB" w14:textId="44F70716" w:rsidR="0070091C" w:rsidRDefault="00361BA8" w:rsidP="0070091C">
      <w:r w:rsidRPr="00361BA8">
        <w:rPr>
          <w:rStyle w:val="Strong"/>
        </w:rPr>
        <w:t>Interviews with property owners.</w:t>
      </w:r>
      <w:r>
        <w:t xml:space="preserve"> I</w:t>
      </w:r>
      <w:r w:rsidRPr="00361BA8">
        <w:t>nterview</w:t>
      </w:r>
      <w:r>
        <w:t>s</w:t>
      </w:r>
      <w:r w:rsidRPr="00361BA8">
        <w:t xml:space="preserve"> </w:t>
      </w:r>
      <w:r>
        <w:t xml:space="preserve">will be conducted with up to </w:t>
      </w:r>
      <w:r w:rsidRPr="00361BA8">
        <w:t xml:space="preserve">four </w:t>
      </w:r>
      <w:r w:rsidR="00B41113">
        <w:t>property owners</w:t>
      </w:r>
      <w:r w:rsidR="00924869">
        <w:t xml:space="preserve"> with units subsidized by Section 811 PRA in</w:t>
      </w:r>
      <w:r>
        <w:t xml:space="preserve"> each of the six</w:t>
      </w:r>
      <w:r w:rsidRPr="00361BA8">
        <w:t xml:space="preserve"> state</w:t>
      </w:r>
      <w:r>
        <w:t>s,</w:t>
      </w:r>
      <w:r w:rsidRPr="00361BA8">
        <w:t xml:space="preserve"> for </w:t>
      </w:r>
      <w:r>
        <w:t xml:space="preserve">a </w:t>
      </w:r>
      <w:r w:rsidR="001715A7">
        <w:t>maximum of</w:t>
      </w:r>
      <w:r w:rsidRPr="00361BA8">
        <w:t xml:space="preserve"> 24 property </w:t>
      </w:r>
      <w:r w:rsidR="00924869">
        <w:t xml:space="preserve">owner </w:t>
      </w:r>
      <w:r w:rsidRPr="00361BA8">
        <w:t xml:space="preserve">interviews. </w:t>
      </w:r>
      <w:r>
        <w:t xml:space="preserve">Potential interviewees will be selected from among </w:t>
      </w:r>
      <w:r w:rsidRPr="00361BA8">
        <w:t>the property owner organizations with PRA units under lease at the time of the site visit</w:t>
      </w:r>
      <w:r w:rsidR="001715A7">
        <w:t>,</w:t>
      </w:r>
      <w:r w:rsidRPr="00361BA8">
        <w:t xml:space="preserve"> </w:t>
      </w:r>
      <w:r w:rsidR="001715A7">
        <w:t xml:space="preserve">with some consideration given </w:t>
      </w:r>
      <w:r w:rsidRPr="00361BA8">
        <w:t>to varyin</w:t>
      </w:r>
      <w:r w:rsidR="001715A7">
        <w:t>g the</w:t>
      </w:r>
      <w:r w:rsidRPr="00361BA8">
        <w:t xml:space="preserve"> geographic location of </w:t>
      </w:r>
      <w:r w:rsidR="001715A7">
        <w:t xml:space="preserve">the </w:t>
      </w:r>
      <w:r w:rsidRPr="00361BA8">
        <w:t xml:space="preserve">properties. The property owner interviews will provide the owner perspective on the owner’s reasons for participating in the program, the </w:t>
      </w:r>
      <w:r w:rsidR="00924869">
        <w:t>property</w:t>
      </w:r>
      <w:r w:rsidR="00924869" w:rsidRPr="00361BA8">
        <w:t xml:space="preserve"> </w:t>
      </w:r>
      <w:r w:rsidRPr="00361BA8">
        <w:t xml:space="preserve">selection process, the resident application process, the process of </w:t>
      </w:r>
      <w:r w:rsidR="00924869">
        <w:t>applicants</w:t>
      </w:r>
      <w:r w:rsidR="00924869" w:rsidRPr="00361BA8">
        <w:t xml:space="preserve"> </w:t>
      </w:r>
      <w:r w:rsidRPr="00361BA8">
        <w:t>transitioning into PRA</w:t>
      </w:r>
      <w:r w:rsidR="00924869">
        <w:t>-subsidized</w:t>
      </w:r>
      <w:r w:rsidRPr="00361BA8">
        <w:t xml:space="preserve"> units, and</w:t>
      </w:r>
      <w:r w:rsidR="00924869">
        <w:t xml:space="preserve"> the</w:t>
      </w:r>
      <w:r w:rsidRPr="00361BA8">
        <w:t xml:space="preserve"> ongoing tenancy and support of PRA residents. In some cases, </w:t>
      </w:r>
      <w:r w:rsidR="001715A7">
        <w:t>separate interviews</w:t>
      </w:r>
      <w:r w:rsidRPr="00361BA8">
        <w:t xml:space="preserve"> may need to </w:t>
      </w:r>
      <w:r w:rsidR="001715A7">
        <w:t xml:space="preserve">be </w:t>
      </w:r>
      <w:r w:rsidRPr="00361BA8">
        <w:t>conduct</w:t>
      </w:r>
      <w:r w:rsidR="001715A7">
        <w:t>ed</w:t>
      </w:r>
      <w:r w:rsidR="006E0B00">
        <w:t xml:space="preserve"> with</w:t>
      </w:r>
      <w:r w:rsidRPr="00361BA8">
        <w:t xml:space="preserve"> representatives of the property’s owner </w:t>
      </w:r>
      <w:r w:rsidR="00924869">
        <w:t xml:space="preserve">organization </w:t>
      </w:r>
      <w:r w:rsidRPr="00361BA8">
        <w:t>to learn about the rental assistance contracting process and with onsite property managers to learn about the resident application process and tenancy of PRA residents.</w:t>
      </w:r>
      <w:r w:rsidR="00E239AC">
        <w:t xml:space="preserve"> </w:t>
      </w:r>
      <w:r w:rsidR="00E239AC" w:rsidRPr="00E239AC">
        <w:rPr>
          <w:highlight w:val="green"/>
        </w:rPr>
        <w:t xml:space="preserve">The </w:t>
      </w:r>
      <w:r w:rsidR="003E2789">
        <w:rPr>
          <w:highlight w:val="green"/>
        </w:rPr>
        <w:t xml:space="preserve">recruitment letter and </w:t>
      </w:r>
      <w:r w:rsidR="00E239AC" w:rsidRPr="00E239AC">
        <w:rPr>
          <w:highlight w:val="green"/>
        </w:rPr>
        <w:t xml:space="preserve">interview guide for property owners </w:t>
      </w:r>
      <w:r w:rsidR="00512A2A">
        <w:rPr>
          <w:highlight w:val="green"/>
        </w:rPr>
        <w:t xml:space="preserve">and managers </w:t>
      </w:r>
      <w:r w:rsidR="00E239AC" w:rsidRPr="00E239AC">
        <w:rPr>
          <w:highlight w:val="green"/>
        </w:rPr>
        <w:t xml:space="preserve">is </w:t>
      </w:r>
      <w:r w:rsidR="00875CD9">
        <w:rPr>
          <w:highlight w:val="green"/>
        </w:rPr>
        <w:t xml:space="preserve">submitted </w:t>
      </w:r>
      <w:r w:rsidR="006E0B00">
        <w:rPr>
          <w:highlight w:val="green"/>
        </w:rPr>
        <w:t xml:space="preserve">as </w:t>
      </w:r>
      <w:r w:rsidR="00E239AC" w:rsidRPr="00E239AC">
        <w:rPr>
          <w:highlight w:val="green"/>
        </w:rPr>
        <w:t>Appendix A.</w:t>
      </w:r>
      <w:r w:rsidR="000766BA">
        <w:t xml:space="preserve"> </w:t>
      </w:r>
    </w:p>
    <w:p w14:paraId="136BD32B" w14:textId="57059A3D" w:rsidR="00E239AC" w:rsidRDefault="001715A7" w:rsidP="00E239AC">
      <w:r w:rsidRPr="001715A7">
        <w:rPr>
          <w:rStyle w:val="Strong"/>
        </w:rPr>
        <w:t>Interviews with Service Providers.</w:t>
      </w:r>
      <w:r>
        <w:t xml:space="preserve"> </w:t>
      </w:r>
      <w:r w:rsidR="00434669">
        <w:t>Site visitors will conduct i</w:t>
      </w:r>
      <w:r>
        <w:t>nterview</w:t>
      </w:r>
      <w:r w:rsidR="002839C6">
        <w:t xml:space="preserve">s </w:t>
      </w:r>
      <w:r w:rsidR="00C6195E">
        <w:t>with</w:t>
      </w:r>
      <w:r>
        <w:t xml:space="preserve"> staff from up to eight service provider organizations </w:t>
      </w:r>
      <w:r w:rsidR="00353902">
        <w:t xml:space="preserve">per state </w:t>
      </w:r>
      <w:r w:rsidR="00924869">
        <w:t>that serve PRA applicants and residents</w:t>
      </w:r>
      <w:r>
        <w:t xml:space="preserve">, </w:t>
      </w:r>
      <w:r w:rsidR="00B41113">
        <w:t xml:space="preserve">for </w:t>
      </w:r>
      <w:r>
        <w:t xml:space="preserve">up to </w:t>
      </w:r>
      <w:r w:rsidR="00C6195E">
        <w:t xml:space="preserve">a total </w:t>
      </w:r>
      <w:r>
        <w:t>48 service provider interviews. The service provider</w:t>
      </w:r>
      <w:r w:rsidR="00434669">
        <w:t>s</w:t>
      </w:r>
      <w:r>
        <w:t xml:space="preserve"> will provide their perspective</w:t>
      </w:r>
      <w:r w:rsidR="006E0B00">
        <w:t>s</w:t>
      </w:r>
      <w:r>
        <w:t xml:space="preserve"> on the implementation of the </w:t>
      </w:r>
      <w:r w:rsidR="00924869">
        <w:t>Section 811 PRA program</w:t>
      </w:r>
      <w:r>
        <w:t xml:space="preserve"> including the resident application process, </w:t>
      </w:r>
      <w:r w:rsidR="00434669">
        <w:t xml:space="preserve">how </w:t>
      </w:r>
      <w:r w:rsidR="00924869">
        <w:t xml:space="preserve">applicants </w:t>
      </w:r>
      <w:r>
        <w:t xml:space="preserve">transition into PRA units, and the provision and adequacy of </w:t>
      </w:r>
      <w:r w:rsidR="00924869">
        <w:t xml:space="preserve">transition and long-term supports and services. </w:t>
      </w:r>
      <w:r w:rsidR="002104D6">
        <w:t>E</w:t>
      </w:r>
      <w:r>
        <w:t xml:space="preserve">ach state’s Medicaid agency </w:t>
      </w:r>
      <w:r w:rsidR="002104D6">
        <w:t>will be asked to help identify</w:t>
      </w:r>
      <w:r>
        <w:t xml:space="preserve"> service provider organizations from which to select staff to interview</w:t>
      </w:r>
      <w:r w:rsidR="006E765C">
        <w:t xml:space="preserve">. </w:t>
      </w:r>
      <w:r w:rsidR="00924869">
        <w:t xml:space="preserve">The Medicaid agencies will be asked to identify service provider organizations that are actively serving PRA residents. </w:t>
      </w:r>
      <w:r w:rsidR="00434669">
        <w:t xml:space="preserve">Site visitors will interview </w:t>
      </w:r>
      <w:r>
        <w:t>manage</w:t>
      </w:r>
      <w:r w:rsidR="00CE461D">
        <w:t>ment</w:t>
      </w:r>
      <w:r w:rsidR="00434669">
        <w:t>-level staff</w:t>
      </w:r>
      <w:r>
        <w:t>, rather than direct service providers or case managers, to provide a broader perspective o</w:t>
      </w:r>
      <w:r w:rsidR="00434669">
        <w:t>n</w:t>
      </w:r>
      <w:r>
        <w:t xml:space="preserve"> service provision to PRA residents or </w:t>
      </w:r>
      <w:r w:rsidR="00924869">
        <w:t>other people with disabilities</w:t>
      </w:r>
      <w:r>
        <w:t xml:space="preserve"> in the state. Some organizations may </w:t>
      </w:r>
      <w:r w:rsidR="00924869">
        <w:t>choose</w:t>
      </w:r>
      <w:r>
        <w:t xml:space="preserve"> to have several members of their staff, both supervisors and direct service providers, participate in the interview. </w:t>
      </w:r>
      <w:r w:rsidR="00E239AC" w:rsidRPr="00E239AC">
        <w:rPr>
          <w:highlight w:val="green"/>
        </w:rPr>
        <w:t xml:space="preserve">The </w:t>
      </w:r>
      <w:r w:rsidR="003E2789">
        <w:rPr>
          <w:highlight w:val="green"/>
        </w:rPr>
        <w:t xml:space="preserve">recruitment letter and </w:t>
      </w:r>
      <w:r w:rsidR="00E239AC" w:rsidRPr="00E239AC">
        <w:rPr>
          <w:highlight w:val="green"/>
        </w:rPr>
        <w:t xml:space="preserve">interview guide for </w:t>
      </w:r>
      <w:r w:rsidR="00E239AC">
        <w:rPr>
          <w:highlight w:val="green"/>
        </w:rPr>
        <w:t xml:space="preserve">service providers is </w:t>
      </w:r>
      <w:r w:rsidR="009F6341">
        <w:rPr>
          <w:highlight w:val="green"/>
        </w:rPr>
        <w:t xml:space="preserve">submitted as </w:t>
      </w:r>
      <w:r w:rsidR="00E239AC">
        <w:rPr>
          <w:highlight w:val="green"/>
        </w:rPr>
        <w:t>Appendix B</w:t>
      </w:r>
      <w:r w:rsidR="00E239AC" w:rsidRPr="00E239AC">
        <w:rPr>
          <w:highlight w:val="green"/>
        </w:rPr>
        <w:t>.</w:t>
      </w:r>
      <w:r w:rsidR="000766BA">
        <w:t xml:space="preserve"> </w:t>
      </w:r>
    </w:p>
    <w:p w14:paraId="2A90CC8C" w14:textId="74AB1F55" w:rsidR="00E239AC" w:rsidRDefault="00A138C3" w:rsidP="00E239AC">
      <w:r w:rsidRPr="00A138C3">
        <w:rPr>
          <w:rStyle w:val="Strong"/>
        </w:rPr>
        <w:t xml:space="preserve">Interviews with Public Housing Authority </w:t>
      </w:r>
      <w:r w:rsidR="00875CD9">
        <w:rPr>
          <w:rStyle w:val="Strong"/>
        </w:rPr>
        <w:t xml:space="preserve">(PHA) </w:t>
      </w:r>
      <w:r w:rsidRPr="00A138C3">
        <w:rPr>
          <w:rStyle w:val="Strong"/>
        </w:rPr>
        <w:t>Staff.</w:t>
      </w:r>
      <w:r>
        <w:t xml:space="preserve"> </w:t>
      </w:r>
      <w:r w:rsidR="00875CD9">
        <w:t>Site visitors will conduct i</w:t>
      </w:r>
      <w:r>
        <w:t>nterviews with representatives from up to 12 PHAs that committed to issuing housing choice vouchers</w:t>
      </w:r>
      <w:r w:rsidR="00875CD9">
        <w:t xml:space="preserve"> or other subsidized housing units</w:t>
      </w:r>
      <w:r>
        <w:t xml:space="preserve"> to non-elderly people with disabilities in their regions as part of the grantee’s application for PRA funding.</w:t>
      </w:r>
      <w:r w:rsidR="002068E6">
        <w:t xml:space="preserve"> </w:t>
      </w:r>
      <w:r w:rsidR="002839C6">
        <w:t>V</w:t>
      </w:r>
      <w:r w:rsidR="00875CD9">
        <w:t>isitors will conduct the interview</w:t>
      </w:r>
      <w:r w:rsidR="002839C6">
        <w:t>s</w:t>
      </w:r>
      <w:r w:rsidR="00875CD9">
        <w:t xml:space="preserve"> </w:t>
      </w:r>
      <w:r w:rsidR="00924869">
        <w:t xml:space="preserve">with </w:t>
      </w:r>
      <w:r w:rsidR="00875CD9">
        <w:t>either the PHA</w:t>
      </w:r>
      <w:r w:rsidR="00791EF1">
        <w:t xml:space="preserve">’s Executive Director or </w:t>
      </w:r>
      <w:r w:rsidR="00875CD9">
        <w:t xml:space="preserve">a </w:t>
      </w:r>
      <w:r w:rsidR="00791EF1">
        <w:t xml:space="preserve">management-level staff </w:t>
      </w:r>
      <w:r w:rsidR="00875CD9">
        <w:t xml:space="preserve">person </w:t>
      </w:r>
      <w:r w:rsidR="00791EF1">
        <w:t>who oversee</w:t>
      </w:r>
      <w:r w:rsidR="00875CD9">
        <w:t>s</w:t>
      </w:r>
      <w:r w:rsidR="00791EF1">
        <w:t xml:space="preserve"> the agency’s leased housing programs. </w:t>
      </w:r>
      <w:r>
        <w:t xml:space="preserve">The PHA interviews </w:t>
      </w:r>
      <w:r w:rsidR="00875CD9">
        <w:t>will be conducted</w:t>
      </w:r>
      <w:r>
        <w:t xml:space="preserve"> </w:t>
      </w:r>
      <w:r w:rsidR="00875CD9">
        <w:t xml:space="preserve">either by </w:t>
      </w:r>
      <w:r>
        <w:t>te</w:t>
      </w:r>
      <w:r w:rsidR="00924869">
        <w:t xml:space="preserve">lephone </w:t>
      </w:r>
      <w:r w:rsidR="00875CD9">
        <w:t xml:space="preserve">or </w:t>
      </w:r>
      <w:r w:rsidR="00924869">
        <w:t xml:space="preserve">in </w:t>
      </w:r>
      <w:r>
        <w:t>person</w:t>
      </w:r>
      <w:r w:rsidR="00875CD9">
        <w:t>. The purpose of the PHA interviews</w:t>
      </w:r>
      <w:r>
        <w:t xml:space="preserve"> is to</w:t>
      </w:r>
      <w:r w:rsidR="002839C6">
        <w:t xml:space="preserve"> learn more about</w:t>
      </w:r>
      <w:r>
        <w:t xml:space="preserve"> the</w:t>
      </w:r>
      <w:r w:rsidR="002839C6">
        <w:t>ir</w:t>
      </w:r>
      <w:r>
        <w:t xml:space="preserve"> commitment of rental vouchers </w:t>
      </w:r>
      <w:r w:rsidR="00791EF1">
        <w:t xml:space="preserve">or other subsidized housing units </w:t>
      </w:r>
      <w:r>
        <w:t xml:space="preserve">for people with disabilities. The discussion guides will include questions on how HCVs are allocated to people with disabilities, how applicants learn about and apply for the subsidies, whether the </w:t>
      </w:r>
      <w:r w:rsidR="00791EF1">
        <w:t>residents</w:t>
      </w:r>
      <w:r>
        <w:t xml:space="preserve"> receive any transition or ongoing supportive services tied to their rental subsidy, and how long the </w:t>
      </w:r>
      <w:r w:rsidR="00791EF1">
        <w:t>rental subsidies</w:t>
      </w:r>
      <w:r w:rsidR="00301635">
        <w:t xml:space="preserve"> </w:t>
      </w:r>
      <w:r>
        <w:t xml:space="preserve">will be made available to </w:t>
      </w:r>
      <w:r w:rsidR="00791EF1">
        <w:t>people with disabilities</w:t>
      </w:r>
      <w:r>
        <w:t>.</w:t>
      </w:r>
      <w:r w:rsidR="00E239AC">
        <w:t xml:space="preserve"> </w:t>
      </w:r>
      <w:r w:rsidR="00E239AC">
        <w:rPr>
          <w:highlight w:val="green"/>
        </w:rPr>
        <w:t xml:space="preserve">The </w:t>
      </w:r>
      <w:r w:rsidR="003E2789">
        <w:rPr>
          <w:highlight w:val="green"/>
        </w:rPr>
        <w:t xml:space="preserve">recruitment letter and </w:t>
      </w:r>
      <w:r w:rsidR="00E239AC">
        <w:rPr>
          <w:highlight w:val="green"/>
        </w:rPr>
        <w:t xml:space="preserve">interview guide for PHA staff is </w:t>
      </w:r>
      <w:r w:rsidR="009F6341">
        <w:rPr>
          <w:highlight w:val="green"/>
        </w:rPr>
        <w:t xml:space="preserve">submitted as </w:t>
      </w:r>
      <w:r w:rsidR="00E239AC">
        <w:rPr>
          <w:highlight w:val="green"/>
        </w:rPr>
        <w:t>Appendix C</w:t>
      </w:r>
      <w:r w:rsidR="00E239AC" w:rsidRPr="00E239AC">
        <w:rPr>
          <w:highlight w:val="green"/>
        </w:rPr>
        <w:t>.</w:t>
      </w:r>
      <w:r w:rsidR="000766BA">
        <w:t xml:space="preserve"> </w:t>
      </w:r>
    </w:p>
    <w:p w14:paraId="1003EBFB" w14:textId="1071506A" w:rsidR="0098137E" w:rsidRDefault="0033178D" w:rsidP="0098137E">
      <w:r w:rsidRPr="009E5A62">
        <w:rPr>
          <w:rStyle w:val="Strong"/>
        </w:rPr>
        <w:t xml:space="preserve">Surveys of Section 811 PRA </w:t>
      </w:r>
      <w:r w:rsidR="0023006A">
        <w:rPr>
          <w:rStyle w:val="Strong"/>
        </w:rPr>
        <w:t xml:space="preserve">and PRAC </w:t>
      </w:r>
      <w:r w:rsidRPr="009E5A62">
        <w:rPr>
          <w:rStyle w:val="Strong"/>
        </w:rPr>
        <w:t>Residents.</w:t>
      </w:r>
      <w:r>
        <w:t xml:space="preserve"> </w:t>
      </w:r>
      <w:r w:rsidR="009E5A62" w:rsidRPr="009E5A62">
        <w:t xml:space="preserve">For the implementation analysis, the </w:t>
      </w:r>
      <w:r w:rsidR="00FE0EC9">
        <w:t xml:space="preserve">resident </w:t>
      </w:r>
      <w:r w:rsidR="009E5A62" w:rsidRPr="009E5A62">
        <w:t xml:space="preserve">surveys will provide tenant perspectives on the </w:t>
      </w:r>
      <w:r w:rsidR="00791EF1">
        <w:t xml:space="preserve">Section 811 </w:t>
      </w:r>
      <w:r w:rsidR="009E5A62" w:rsidRPr="009E5A62">
        <w:t xml:space="preserve">application and tenant placement and occupancy procedures and the adequacy of support for people transitioning to </w:t>
      </w:r>
      <w:r w:rsidR="00791EF1">
        <w:t>Section 811 subsidized housing</w:t>
      </w:r>
      <w:r w:rsidR="009E5A62" w:rsidRPr="009E5A62">
        <w:t xml:space="preserve">. </w:t>
      </w:r>
      <w:r w:rsidR="00791EF1">
        <w:t>S</w:t>
      </w:r>
      <w:r w:rsidR="009E5A62" w:rsidRPr="009E5A62">
        <w:t xml:space="preserve">urvey responses will provide tenant-provided information on housing quality, neighborhood quality, quality of life and care, and identification of unmet needs for the </w:t>
      </w:r>
      <w:r w:rsidR="00285295">
        <w:t>I</w:t>
      </w:r>
      <w:r w:rsidR="00285295" w:rsidRPr="009E5A62">
        <w:t xml:space="preserve">mpact </w:t>
      </w:r>
      <w:r w:rsidR="00285295">
        <w:t xml:space="preserve">Study </w:t>
      </w:r>
      <w:r w:rsidR="00791EF1">
        <w:t xml:space="preserve">and </w:t>
      </w:r>
      <w:r w:rsidR="00285295">
        <w:t>C</w:t>
      </w:r>
      <w:r w:rsidR="00791EF1">
        <w:t xml:space="preserve">ost </w:t>
      </w:r>
      <w:r w:rsidR="00285295">
        <w:t>Study</w:t>
      </w:r>
      <w:r w:rsidR="009E5A62" w:rsidRPr="009E5A62">
        <w:t xml:space="preserve">. </w:t>
      </w:r>
      <w:r w:rsidR="009E5A62">
        <w:t>I</w:t>
      </w:r>
      <w:r w:rsidR="009E5A62" w:rsidRPr="009E5A62">
        <w:t xml:space="preserve">n-person surveys </w:t>
      </w:r>
      <w:r w:rsidR="009E5A62">
        <w:t>will be conducted with</w:t>
      </w:r>
      <w:r w:rsidR="009E5A62" w:rsidRPr="009E5A62">
        <w:t xml:space="preserve"> up to 240 PRA residents </w:t>
      </w:r>
      <w:r w:rsidR="00791EF1">
        <w:t xml:space="preserve">and up to 240 PRAC residents </w:t>
      </w:r>
      <w:r w:rsidR="009E5A62">
        <w:t>in</w:t>
      </w:r>
      <w:r w:rsidR="009E5A62" w:rsidRPr="009E5A62">
        <w:t xml:space="preserve"> the six study states</w:t>
      </w:r>
      <w:r w:rsidR="00791EF1">
        <w:t xml:space="preserve">, for a total of </w:t>
      </w:r>
      <w:r w:rsidR="00043A83">
        <w:t xml:space="preserve">up to </w:t>
      </w:r>
      <w:r w:rsidR="00791EF1">
        <w:t>480 resident surveys</w:t>
      </w:r>
      <w:r w:rsidR="009E5A62" w:rsidRPr="009E5A62">
        <w:t>.</w:t>
      </w:r>
      <w:r w:rsidR="00E239AC" w:rsidRPr="00E239AC">
        <w:rPr>
          <w:highlight w:val="green"/>
        </w:rPr>
        <w:t xml:space="preserve"> The </w:t>
      </w:r>
      <w:r w:rsidR="003E2789">
        <w:rPr>
          <w:highlight w:val="green"/>
        </w:rPr>
        <w:t xml:space="preserve">recruitment and screening materials, informed consent, and </w:t>
      </w:r>
      <w:r w:rsidR="00E239AC">
        <w:rPr>
          <w:highlight w:val="green"/>
        </w:rPr>
        <w:t>survey</w:t>
      </w:r>
      <w:r w:rsidR="00E239AC" w:rsidRPr="00E239AC">
        <w:rPr>
          <w:highlight w:val="green"/>
        </w:rPr>
        <w:t xml:space="preserve"> for </w:t>
      </w:r>
      <w:r w:rsidR="00E239AC">
        <w:rPr>
          <w:highlight w:val="green"/>
        </w:rPr>
        <w:t>Section 811 PRA</w:t>
      </w:r>
      <w:r w:rsidR="002839C6">
        <w:rPr>
          <w:highlight w:val="green"/>
        </w:rPr>
        <w:t>/PRAC</w:t>
      </w:r>
      <w:r w:rsidR="00E239AC">
        <w:rPr>
          <w:highlight w:val="green"/>
        </w:rPr>
        <w:t xml:space="preserve"> residents is </w:t>
      </w:r>
      <w:r w:rsidR="009F6341">
        <w:rPr>
          <w:highlight w:val="green"/>
        </w:rPr>
        <w:t xml:space="preserve">submitted as </w:t>
      </w:r>
      <w:r w:rsidR="00E239AC">
        <w:rPr>
          <w:highlight w:val="green"/>
        </w:rPr>
        <w:t>Appendix D</w:t>
      </w:r>
      <w:r w:rsidR="00E239AC" w:rsidRPr="00E239AC">
        <w:rPr>
          <w:highlight w:val="green"/>
        </w:rPr>
        <w:t>.</w:t>
      </w:r>
      <w:r w:rsidR="000766BA">
        <w:t xml:space="preserve"> </w:t>
      </w:r>
    </w:p>
    <w:p w14:paraId="42D9A14E" w14:textId="5BFDAC75" w:rsidR="005D5FA2" w:rsidRPr="00FC7219" w:rsidRDefault="008E4659" w:rsidP="00FC7219">
      <w:r>
        <w:t xml:space="preserve">The following exhibits (Exhibits A-2, A-3, and A-4) identify how the interviews and surveys will be used to address each of the three overarching research questions. </w:t>
      </w:r>
      <w:r w:rsidR="0051555C">
        <w:t xml:space="preserve">The exhibits show the data sources, interview or survey domains, and measures that will be used to respond to the specific research questions within each of three main research interests.   </w:t>
      </w:r>
      <w:r w:rsidR="005D5FA2">
        <w:rPr>
          <w:b/>
        </w:rPr>
        <w:br w:type="page"/>
      </w:r>
    </w:p>
    <w:p w14:paraId="320E0A53" w14:textId="139DF056" w:rsidR="0051555C" w:rsidRPr="005D5FA2" w:rsidRDefault="0051555C" w:rsidP="00E239AC">
      <w:pPr>
        <w:rPr>
          <w:b/>
        </w:rPr>
      </w:pPr>
      <w:r w:rsidRPr="005D5FA2">
        <w:rPr>
          <w:b/>
        </w:rPr>
        <w:t>Research question</w:t>
      </w:r>
      <w:r w:rsidR="00794220">
        <w:rPr>
          <w:b/>
        </w:rPr>
        <w:t xml:space="preserve"> 1</w:t>
      </w:r>
      <w:r w:rsidRPr="005D5FA2">
        <w:rPr>
          <w:b/>
        </w:rPr>
        <w:t>: Do state housing agencies and their Medicaid agency partners develop effective, sustainable partnerships that result in a growing inventory of affordable rental units for very low-income people with disabilities?</w:t>
      </w:r>
    </w:p>
    <w:tbl>
      <w:tblPr>
        <w:tblW w:w="5000" w:type="pct"/>
        <w:tblLook w:val="04A0" w:firstRow="1" w:lastRow="0" w:firstColumn="1" w:lastColumn="0" w:noHBand="0" w:noVBand="1"/>
      </w:tblPr>
      <w:tblGrid>
        <w:gridCol w:w="2257"/>
        <w:gridCol w:w="3503"/>
        <w:gridCol w:w="4356"/>
      </w:tblGrid>
      <w:tr w:rsidR="0052012B" w:rsidRPr="0052012B" w14:paraId="52FC93D3" w14:textId="77777777" w:rsidTr="0049439B">
        <w:trPr>
          <w:tblHeader/>
        </w:trPr>
        <w:tc>
          <w:tcPr>
            <w:tcW w:w="5000" w:type="pct"/>
            <w:gridSpan w:val="3"/>
            <w:shd w:val="clear" w:color="auto" w:fill="auto"/>
            <w:noWrap/>
          </w:tcPr>
          <w:p w14:paraId="5FAEE10D" w14:textId="77777777" w:rsidR="00CD7B70" w:rsidRPr="005D5FA2" w:rsidRDefault="0052012B" w:rsidP="0052012B">
            <w:pPr>
              <w:pStyle w:val="ExhibitColumnHeader"/>
              <w:jc w:val="left"/>
            </w:pPr>
            <w:r>
              <w:t>Exhibit A-2: Summary of Interview and Survey Data Collection Activities (Research Question 1)</w:t>
            </w:r>
          </w:p>
        </w:tc>
      </w:tr>
      <w:tr w:rsidR="0052012B" w:rsidRPr="0052012B" w14:paraId="65CA89F5" w14:textId="77777777" w:rsidTr="0049439B">
        <w:trPr>
          <w:tblHeader/>
        </w:trPr>
        <w:tc>
          <w:tcPr>
            <w:tcW w:w="5000" w:type="pct"/>
            <w:gridSpan w:val="3"/>
            <w:tcBorders>
              <w:bottom w:val="single" w:sz="4" w:space="0" w:color="auto"/>
            </w:tcBorders>
            <w:shd w:val="clear" w:color="auto" w:fill="auto"/>
            <w:noWrap/>
          </w:tcPr>
          <w:p w14:paraId="3EBFF944" w14:textId="77777777" w:rsidR="0052012B" w:rsidRPr="0052012B" w:rsidRDefault="0052012B" w:rsidP="0052012B">
            <w:pPr>
              <w:spacing w:after="0" w:line="240" w:lineRule="auto"/>
              <w:rPr>
                <w:rFonts w:ascii="Arial Narrow" w:hAnsi="Arial Narrow"/>
                <w:b/>
                <w:bCs/>
                <w:i/>
                <w:color w:val="000000"/>
                <w:szCs w:val="22"/>
              </w:rPr>
            </w:pPr>
          </w:p>
        </w:tc>
      </w:tr>
      <w:tr w:rsidR="0052012B" w:rsidRPr="0052012B" w14:paraId="01ECCED1" w14:textId="77777777" w:rsidTr="0049439B">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261B5732"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 xml:space="preserve">How do grantee partnerships and capacity affect the implementation of the PRA program? </w:t>
            </w:r>
          </w:p>
        </w:tc>
      </w:tr>
      <w:tr w:rsidR="00BD7840" w:rsidRPr="0052012B" w14:paraId="032B1A76" w14:textId="77777777" w:rsidTr="0049439B">
        <w:tc>
          <w:tcPr>
            <w:tcW w:w="1285" w:type="pct"/>
            <w:tcBorders>
              <w:top w:val="nil"/>
              <w:left w:val="single" w:sz="4" w:space="0" w:color="auto"/>
              <w:bottom w:val="single" w:sz="4" w:space="0" w:color="auto"/>
              <w:right w:val="single" w:sz="4" w:space="0" w:color="auto"/>
            </w:tcBorders>
            <w:shd w:val="clear" w:color="auto" w:fill="auto"/>
            <w:noWrap/>
            <w:hideMark/>
          </w:tcPr>
          <w:p w14:paraId="74C6DD7F"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1227" w:type="pct"/>
            <w:tcBorders>
              <w:top w:val="nil"/>
              <w:left w:val="nil"/>
              <w:bottom w:val="single" w:sz="4" w:space="0" w:color="auto"/>
              <w:right w:val="single" w:sz="4" w:space="0" w:color="auto"/>
            </w:tcBorders>
            <w:shd w:val="clear" w:color="auto" w:fill="auto"/>
            <w:noWrap/>
            <w:hideMark/>
          </w:tcPr>
          <w:p w14:paraId="0C2C4C79"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2488" w:type="pct"/>
            <w:tcBorders>
              <w:top w:val="nil"/>
              <w:left w:val="nil"/>
              <w:bottom w:val="single" w:sz="4" w:space="0" w:color="auto"/>
              <w:right w:val="single" w:sz="4" w:space="0" w:color="auto"/>
            </w:tcBorders>
            <w:shd w:val="clear" w:color="auto" w:fill="auto"/>
            <w:noWrap/>
            <w:hideMark/>
          </w:tcPr>
          <w:p w14:paraId="1A7E87C4"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BD7840" w:rsidRPr="0052012B" w14:paraId="52A6D72F"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27A2D372"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PHAs that leveraged HCVs for Section 811 PRA</w:t>
            </w:r>
          </w:p>
        </w:tc>
        <w:tc>
          <w:tcPr>
            <w:tcW w:w="1227" w:type="pct"/>
            <w:tcBorders>
              <w:top w:val="nil"/>
              <w:left w:val="nil"/>
              <w:bottom w:val="single" w:sz="4" w:space="0" w:color="auto"/>
              <w:right w:val="single" w:sz="4" w:space="0" w:color="auto"/>
            </w:tcBorders>
            <w:shd w:val="clear" w:color="auto" w:fill="auto"/>
            <w:hideMark/>
          </w:tcPr>
          <w:p w14:paraId="2C968732"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PHA Program Background</w:t>
            </w:r>
          </w:p>
        </w:tc>
        <w:tc>
          <w:tcPr>
            <w:tcW w:w="2488" w:type="pct"/>
            <w:tcBorders>
              <w:top w:val="nil"/>
              <w:left w:val="nil"/>
              <w:bottom w:val="single" w:sz="4" w:space="0" w:color="auto"/>
              <w:right w:val="single" w:sz="4" w:space="0" w:color="auto"/>
            </w:tcBorders>
            <w:shd w:val="clear" w:color="auto" w:fill="auto"/>
            <w:hideMark/>
          </w:tcPr>
          <w:p w14:paraId="25CD5E49"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Previous experience administering a rental housing </w:t>
            </w:r>
            <w:r w:rsidR="00043A83">
              <w:rPr>
                <w:rFonts w:ascii="Arial Narrow" w:hAnsi="Arial Narrow"/>
                <w:color w:val="000000"/>
                <w:sz w:val="20"/>
              </w:rPr>
              <w:t xml:space="preserve">assistance </w:t>
            </w:r>
            <w:r w:rsidRPr="0052012B">
              <w:rPr>
                <w:rFonts w:ascii="Arial Narrow" w:hAnsi="Arial Narrow"/>
                <w:color w:val="000000"/>
                <w:sz w:val="20"/>
              </w:rPr>
              <w:t>program</w:t>
            </w:r>
          </w:p>
        </w:tc>
      </w:tr>
      <w:tr w:rsidR="00BD7840" w:rsidRPr="0052012B" w14:paraId="6BB8E1D3"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6599F68C"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PHAs that leveraged HCVs for Section 811 PRA</w:t>
            </w:r>
          </w:p>
        </w:tc>
        <w:tc>
          <w:tcPr>
            <w:tcW w:w="1227" w:type="pct"/>
            <w:tcBorders>
              <w:top w:val="nil"/>
              <w:left w:val="nil"/>
              <w:bottom w:val="single" w:sz="4" w:space="0" w:color="auto"/>
              <w:right w:val="single" w:sz="4" w:space="0" w:color="auto"/>
            </w:tcBorders>
            <w:shd w:val="clear" w:color="auto" w:fill="auto"/>
            <w:hideMark/>
          </w:tcPr>
          <w:p w14:paraId="5E9435D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Section 811 PRA Program Commitment</w:t>
            </w:r>
          </w:p>
        </w:tc>
        <w:tc>
          <w:tcPr>
            <w:tcW w:w="2488" w:type="pct"/>
            <w:tcBorders>
              <w:top w:val="nil"/>
              <w:left w:val="nil"/>
              <w:bottom w:val="single" w:sz="4" w:space="0" w:color="auto"/>
              <w:right w:val="single" w:sz="4" w:space="0" w:color="auto"/>
            </w:tcBorders>
            <w:shd w:val="clear" w:color="auto" w:fill="auto"/>
            <w:hideMark/>
          </w:tcPr>
          <w:p w14:paraId="76E28944"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Previous experience </w:t>
            </w:r>
            <w:r w:rsidR="005A503C" w:rsidRPr="0052012B">
              <w:rPr>
                <w:rFonts w:ascii="Arial Narrow" w:hAnsi="Arial Narrow"/>
                <w:color w:val="000000"/>
                <w:sz w:val="20"/>
              </w:rPr>
              <w:t>administering</w:t>
            </w:r>
            <w:r w:rsidRPr="0052012B">
              <w:rPr>
                <w:rFonts w:ascii="Arial Narrow" w:hAnsi="Arial Narrow"/>
                <w:color w:val="000000"/>
                <w:sz w:val="20"/>
              </w:rPr>
              <w:t xml:space="preserve"> a joint supportive housing program for people with disabilities</w:t>
            </w:r>
          </w:p>
        </w:tc>
      </w:tr>
      <w:tr w:rsidR="00BD7840" w:rsidRPr="0052012B" w14:paraId="0F885CBB"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2EBC39B0"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hideMark/>
          </w:tcPr>
          <w:p w14:paraId="05FDED4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Partnerships and Organizational Structure</w:t>
            </w:r>
          </w:p>
        </w:tc>
        <w:tc>
          <w:tcPr>
            <w:tcW w:w="2488" w:type="pct"/>
            <w:tcBorders>
              <w:top w:val="nil"/>
              <w:left w:val="nil"/>
              <w:bottom w:val="single" w:sz="4" w:space="0" w:color="auto"/>
              <w:right w:val="single" w:sz="4" w:space="0" w:color="auto"/>
            </w:tcBorders>
            <w:shd w:val="clear" w:color="auto" w:fill="auto"/>
            <w:hideMark/>
          </w:tcPr>
          <w:p w14:paraId="79849C8C"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Previous experience </w:t>
            </w:r>
            <w:r w:rsidR="005A503C" w:rsidRPr="0052012B">
              <w:rPr>
                <w:rFonts w:ascii="Arial Narrow" w:hAnsi="Arial Narrow"/>
                <w:color w:val="000000"/>
                <w:sz w:val="20"/>
              </w:rPr>
              <w:t>administering</w:t>
            </w:r>
            <w:r w:rsidRPr="0052012B">
              <w:rPr>
                <w:rFonts w:ascii="Arial Narrow" w:hAnsi="Arial Narrow"/>
                <w:color w:val="000000"/>
                <w:sz w:val="20"/>
              </w:rPr>
              <w:t xml:space="preserve"> a joint supportive housing program for people with disabilities</w:t>
            </w:r>
          </w:p>
          <w:p w14:paraId="6F76AC4E"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Frequency and methods </w:t>
            </w:r>
            <w:r w:rsidR="00BD7840">
              <w:rPr>
                <w:rFonts w:ascii="Arial Narrow" w:hAnsi="Arial Narrow"/>
                <w:color w:val="000000"/>
                <w:sz w:val="20"/>
              </w:rPr>
              <w:t>of communication among partners</w:t>
            </w:r>
          </w:p>
          <w:p w14:paraId="36BD1982" w14:textId="77777777" w:rsidR="0052012B" w:rsidRPr="0052012B"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Data sharing </w:t>
            </w:r>
            <w:r w:rsidR="005A503C" w:rsidRPr="0052012B">
              <w:rPr>
                <w:rFonts w:ascii="Arial Narrow" w:hAnsi="Arial Narrow"/>
                <w:color w:val="000000"/>
                <w:sz w:val="20"/>
              </w:rPr>
              <w:t>methods among</w:t>
            </w:r>
            <w:r w:rsidRPr="0052012B">
              <w:rPr>
                <w:rFonts w:ascii="Arial Narrow" w:hAnsi="Arial Narrow"/>
                <w:color w:val="000000"/>
                <w:sz w:val="20"/>
              </w:rPr>
              <w:t xml:space="preserve"> partners</w:t>
            </w:r>
          </w:p>
        </w:tc>
      </w:tr>
      <w:tr w:rsidR="00BD7840" w:rsidRPr="0052012B" w14:paraId="782CDDC3"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7D5A36D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08F7C0B0"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Property owner information</w:t>
            </w:r>
          </w:p>
        </w:tc>
        <w:tc>
          <w:tcPr>
            <w:tcW w:w="2488" w:type="pct"/>
            <w:tcBorders>
              <w:top w:val="nil"/>
              <w:left w:val="nil"/>
              <w:bottom w:val="single" w:sz="4" w:space="0" w:color="auto"/>
              <w:right w:val="single" w:sz="4" w:space="0" w:color="auto"/>
            </w:tcBorders>
            <w:shd w:val="clear" w:color="auto" w:fill="auto"/>
            <w:hideMark/>
          </w:tcPr>
          <w:p w14:paraId="23A7D1EB"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Previous experience administering a rental housing </w:t>
            </w:r>
            <w:r w:rsidR="00043A83">
              <w:rPr>
                <w:rFonts w:ascii="Arial Narrow" w:hAnsi="Arial Narrow"/>
                <w:color w:val="000000"/>
                <w:sz w:val="20"/>
              </w:rPr>
              <w:t xml:space="preserve">assistance </w:t>
            </w:r>
            <w:r w:rsidRPr="0052012B">
              <w:rPr>
                <w:rFonts w:ascii="Arial Narrow" w:hAnsi="Arial Narrow"/>
                <w:color w:val="000000"/>
                <w:sz w:val="20"/>
              </w:rPr>
              <w:t>program</w:t>
            </w:r>
          </w:p>
        </w:tc>
      </w:tr>
      <w:tr w:rsidR="0052012B" w:rsidRPr="0052012B" w14:paraId="1C06E8B1" w14:textId="77777777" w:rsidTr="0049439B">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6C448749"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What are the grantees’ target populations, housing strategies, and outreach and referral processes?</w:t>
            </w:r>
          </w:p>
        </w:tc>
      </w:tr>
      <w:tr w:rsidR="00BD7840" w:rsidRPr="0052012B" w14:paraId="6CA5E036" w14:textId="77777777" w:rsidTr="0049439B">
        <w:tc>
          <w:tcPr>
            <w:tcW w:w="1285" w:type="pct"/>
            <w:tcBorders>
              <w:top w:val="nil"/>
              <w:left w:val="single" w:sz="4" w:space="0" w:color="auto"/>
              <w:bottom w:val="single" w:sz="4" w:space="0" w:color="auto"/>
              <w:right w:val="single" w:sz="4" w:space="0" w:color="auto"/>
            </w:tcBorders>
            <w:shd w:val="clear" w:color="auto" w:fill="auto"/>
            <w:noWrap/>
            <w:hideMark/>
          </w:tcPr>
          <w:p w14:paraId="50199ACD"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1227" w:type="pct"/>
            <w:tcBorders>
              <w:top w:val="nil"/>
              <w:left w:val="nil"/>
              <w:bottom w:val="single" w:sz="4" w:space="0" w:color="auto"/>
              <w:right w:val="single" w:sz="4" w:space="0" w:color="auto"/>
            </w:tcBorders>
            <w:shd w:val="clear" w:color="auto" w:fill="auto"/>
            <w:noWrap/>
            <w:hideMark/>
          </w:tcPr>
          <w:p w14:paraId="015495C6"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2488" w:type="pct"/>
            <w:tcBorders>
              <w:top w:val="nil"/>
              <w:left w:val="nil"/>
              <w:bottom w:val="single" w:sz="4" w:space="0" w:color="auto"/>
              <w:right w:val="single" w:sz="4" w:space="0" w:color="auto"/>
            </w:tcBorders>
            <w:shd w:val="clear" w:color="auto" w:fill="auto"/>
            <w:noWrap/>
            <w:hideMark/>
          </w:tcPr>
          <w:p w14:paraId="2502849A"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BD7840" w:rsidRPr="0052012B" w14:paraId="5BB38E01"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32975BE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73ADC53F"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Property owner information</w:t>
            </w:r>
          </w:p>
        </w:tc>
        <w:tc>
          <w:tcPr>
            <w:tcW w:w="2488" w:type="pct"/>
            <w:tcBorders>
              <w:top w:val="nil"/>
              <w:left w:val="nil"/>
              <w:bottom w:val="single" w:sz="4" w:space="0" w:color="auto"/>
              <w:right w:val="single" w:sz="4" w:space="0" w:color="auto"/>
            </w:tcBorders>
            <w:shd w:val="clear" w:color="auto" w:fill="auto"/>
            <w:hideMark/>
          </w:tcPr>
          <w:p w14:paraId="6C74E64A"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Experience planning for target population by type of disability</w:t>
            </w:r>
          </w:p>
        </w:tc>
      </w:tr>
      <w:tr w:rsidR="00BD7840" w:rsidRPr="0052012B" w14:paraId="66744A8E"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125BB693"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6377E2B1"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Rental assistance contracts and payments</w:t>
            </w:r>
          </w:p>
        </w:tc>
        <w:tc>
          <w:tcPr>
            <w:tcW w:w="2488" w:type="pct"/>
            <w:tcBorders>
              <w:top w:val="nil"/>
              <w:left w:val="nil"/>
              <w:bottom w:val="single" w:sz="4" w:space="0" w:color="auto"/>
              <w:right w:val="single" w:sz="4" w:space="0" w:color="auto"/>
            </w:tcBorders>
            <w:shd w:val="clear" w:color="auto" w:fill="auto"/>
            <w:hideMark/>
          </w:tcPr>
          <w:p w14:paraId="09409079"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Procedures for entering tenant data into TRACS</w:t>
            </w:r>
          </w:p>
          <w:p w14:paraId="0CF32237" w14:textId="77777777" w:rsidR="0052012B" w:rsidRPr="0052012B"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Procedures for submitting vouchers to HUD, requesting </w:t>
            </w:r>
            <w:r w:rsidR="005A503C" w:rsidRPr="0052012B">
              <w:rPr>
                <w:rFonts w:ascii="Arial Narrow" w:hAnsi="Arial Narrow"/>
                <w:color w:val="000000"/>
                <w:sz w:val="20"/>
              </w:rPr>
              <w:t>payment</w:t>
            </w:r>
            <w:r w:rsidRPr="0052012B">
              <w:rPr>
                <w:rFonts w:ascii="Arial Narrow" w:hAnsi="Arial Narrow"/>
                <w:color w:val="000000"/>
                <w:sz w:val="20"/>
              </w:rPr>
              <w:t xml:space="preserve"> of subsidy, and distributing subsidy to property owners</w:t>
            </w:r>
          </w:p>
        </w:tc>
      </w:tr>
      <w:tr w:rsidR="00BD7840" w:rsidRPr="0052012B" w14:paraId="17875DEE"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165D1ABB"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0CD7360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Resident application and eligibility</w:t>
            </w:r>
          </w:p>
        </w:tc>
        <w:tc>
          <w:tcPr>
            <w:tcW w:w="2488" w:type="pct"/>
            <w:tcBorders>
              <w:top w:val="nil"/>
              <w:left w:val="nil"/>
              <w:bottom w:val="single" w:sz="4" w:space="0" w:color="auto"/>
              <w:right w:val="single" w:sz="4" w:space="0" w:color="auto"/>
            </w:tcBorders>
            <w:shd w:val="clear" w:color="auto" w:fill="auto"/>
            <w:hideMark/>
          </w:tcPr>
          <w:p w14:paraId="37415A74"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PRA program application procedures</w:t>
            </w:r>
          </w:p>
          <w:p w14:paraId="6137E3CA"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Waiting list procedures</w:t>
            </w:r>
          </w:p>
          <w:p w14:paraId="382A9972"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Process for eligible applicants to apply for and lease PRA units</w:t>
            </w:r>
          </w:p>
          <w:p w14:paraId="554D74D1" w14:textId="77777777" w:rsidR="0052012B" w:rsidRPr="0052012B"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Eligibility requirements and determination procedures for property</w:t>
            </w:r>
          </w:p>
        </w:tc>
      </w:tr>
      <w:tr w:rsidR="00BD7840" w:rsidRPr="0052012B" w14:paraId="72EF02A5"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3F2B2B6F"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hideMark/>
          </w:tcPr>
          <w:p w14:paraId="762E0F1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 xml:space="preserve">Outreach and referrals to the PRA </w:t>
            </w:r>
            <w:r w:rsidR="005A503C" w:rsidRPr="0052012B">
              <w:rPr>
                <w:rFonts w:ascii="Arial Narrow" w:hAnsi="Arial Narrow"/>
                <w:color w:val="000000"/>
                <w:sz w:val="20"/>
              </w:rPr>
              <w:t>program</w:t>
            </w:r>
          </w:p>
        </w:tc>
        <w:tc>
          <w:tcPr>
            <w:tcW w:w="2488" w:type="pct"/>
            <w:tcBorders>
              <w:top w:val="nil"/>
              <w:left w:val="nil"/>
              <w:bottom w:val="single" w:sz="4" w:space="0" w:color="auto"/>
              <w:right w:val="single" w:sz="4" w:space="0" w:color="auto"/>
            </w:tcBorders>
            <w:shd w:val="clear" w:color="auto" w:fill="auto"/>
            <w:hideMark/>
          </w:tcPr>
          <w:p w14:paraId="600620C0" w14:textId="77777777" w:rsidR="00BD7840"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Planned and actual outreach and marketing strateg</w:t>
            </w:r>
            <w:r w:rsidR="00BD7840">
              <w:rPr>
                <w:rFonts w:ascii="Arial Narrow" w:hAnsi="Arial Narrow"/>
                <w:color w:val="000000"/>
                <w:sz w:val="20"/>
              </w:rPr>
              <w:t>ies to potential PRA applicants</w:t>
            </w:r>
          </w:p>
          <w:p w14:paraId="66234A87"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Waiting list procedures</w:t>
            </w:r>
          </w:p>
        </w:tc>
      </w:tr>
      <w:tr w:rsidR="00BD7840" w:rsidRPr="0052012B" w14:paraId="16EB4A08"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5645597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noWrap/>
            <w:hideMark/>
          </w:tcPr>
          <w:p w14:paraId="3D862F3B"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PRA program eligibility</w:t>
            </w:r>
          </w:p>
        </w:tc>
        <w:tc>
          <w:tcPr>
            <w:tcW w:w="2488" w:type="pct"/>
            <w:tcBorders>
              <w:top w:val="nil"/>
              <w:left w:val="nil"/>
              <w:bottom w:val="single" w:sz="4" w:space="0" w:color="auto"/>
              <w:right w:val="single" w:sz="4" w:space="0" w:color="auto"/>
            </w:tcBorders>
            <w:shd w:val="clear" w:color="auto" w:fill="auto"/>
            <w:hideMark/>
          </w:tcPr>
          <w:p w14:paraId="5FCEADB8"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Eligibility requirements and determination procedures for the state's PRA program</w:t>
            </w:r>
          </w:p>
        </w:tc>
      </w:tr>
      <w:tr w:rsidR="00BD7840" w:rsidRPr="0052012B" w14:paraId="7542671E"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5B83D4B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noWrap/>
            <w:hideMark/>
          </w:tcPr>
          <w:p w14:paraId="6B8573EF"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Transition services</w:t>
            </w:r>
          </w:p>
        </w:tc>
        <w:tc>
          <w:tcPr>
            <w:tcW w:w="2488" w:type="pct"/>
            <w:tcBorders>
              <w:top w:val="nil"/>
              <w:left w:val="nil"/>
              <w:bottom w:val="single" w:sz="4" w:space="0" w:color="auto"/>
              <w:right w:val="single" w:sz="4" w:space="0" w:color="auto"/>
            </w:tcBorders>
            <w:shd w:val="clear" w:color="auto" w:fill="auto"/>
            <w:hideMark/>
          </w:tcPr>
          <w:p w14:paraId="79BD7BC6"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Process for eligible applicants to apply for and lease available PRA units</w:t>
            </w:r>
          </w:p>
        </w:tc>
      </w:tr>
      <w:tr w:rsidR="00BD7840" w:rsidRPr="0052012B" w14:paraId="4984B8BD"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0F7AE46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PHAs that leveraged HCVs for Section 811 PRA</w:t>
            </w:r>
          </w:p>
        </w:tc>
        <w:tc>
          <w:tcPr>
            <w:tcW w:w="1227" w:type="pct"/>
            <w:tcBorders>
              <w:top w:val="nil"/>
              <w:left w:val="nil"/>
              <w:bottom w:val="single" w:sz="4" w:space="0" w:color="auto"/>
              <w:right w:val="single" w:sz="4" w:space="0" w:color="auto"/>
            </w:tcBorders>
            <w:shd w:val="clear" w:color="auto" w:fill="auto"/>
            <w:hideMark/>
          </w:tcPr>
          <w:p w14:paraId="78994305"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PHA Program Background</w:t>
            </w:r>
          </w:p>
        </w:tc>
        <w:tc>
          <w:tcPr>
            <w:tcW w:w="2488" w:type="pct"/>
            <w:tcBorders>
              <w:top w:val="nil"/>
              <w:left w:val="nil"/>
              <w:bottom w:val="single" w:sz="4" w:space="0" w:color="auto"/>
              <w:right w:val="single" w:sz="4" w:space="0" w:color="auto"/>
            </w:tcBorders>
            <w:shd w:val="clear" w:color="auto" w:fill="auto"/>
            <w:hideMark/>
          </w:tcPr>
          <w:p w14:paraId="2AACFD78"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Experience planning for target population by type of disability</w:t>
            </w:r>
          </w:p>
        </w:tc>
      </w:tr>
      <w:tr w:rsidR="0052012B" w:rsidRPr="0052012B" w14:paraId="128F9557" w14:textId="77777777" w:rsidTr="0049439B">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03B003D4"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What services and supports are offered during the transition process to PRA units?</w:t>
            </w:r>
          </w:p>
        </w:tc>
      </w:tr>
      <w:tr w:rsidR="00BD7840" w:rsidRPr="0052012B" w14:paraId="0E05C55A" w14:textId="77777777" w:rsidTr="0049439B">
        <w:tc>
          <w:tcPr>
            <w:tcW w:w="1285" w:type="pct"/>
            <w:tcBorders>
              <w:top w:val="nil"/>
              <w:left w:val="single" w:sz="4" w:space="0" w:color="auto"/>
              <w:bottom w:val="single" w:sz="4" w:space="0" w:color="auto"/>
              <w:right w:val="single" w:sz="4" w:space="0" w:color="auto"/>
            </w:tcBorders>
            <w:shd w:val="clear" w:color="auto" w:fill="auto"/>
            <w:noWrap/>
            <w:hideMark/>
          </w:tcPr>
          <w:p w14:paraId="2960DC5C"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1227" w:type="pct"/>
            <w:tcBorders>
              <w:top w:val="nil"/>
              <w:left w:val="nil"/>
              <w:bottom w:val="single" w:sz="4" w:space="0" w:color="auto"/>
              <w:right w:val="single" w:sz="4" w:space="0" w:color="auto"/>
            </w:tcBorders>
            <w:shd w:val="clear" w:color="auto" w:fill="auto"/>
            <w:noWrap/>
            <w:hideMark/>
          </w:tcPr>
          <w:p w14:paraId="03F28047"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2488" w:type="pct"/>
            <w:tcBorders>
              <w:top w:val="nil"/>
              <w:left w:val="nil"/>
              <w:bottom w:val="single" w:sz="4" w:space="0" w:color="auto"/>
              <w:right w:val="single" w:sz="4" w:space="0" w:color="auto"/>
            </w:tcBorders>
            <w:shd w:val="clear" w:color="auto" w:fill="auto"/>
            <w:noWrap/>
            <w:hideMark/>
          </w:tcPr>
          <w:p w14:paraId="092FE8E1"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BD7840" w:rsidRPr="0052012B" w14:paraId="4C8256E6"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0E70B75C"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1536F79A"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Resident application and eligibility/Transition to PRA units</w:t>
            </w:r>
          </w:p>
        </w:tc>
        <w:tc>
          <w:tcPr>
            <w:tcW w:w="2488" w:type="pct"/>
            <w:tcBorders>
              <w:top w:val="nil"/>
              <w:left w:val="nil"/>
              <w:bottom w:val="single" w:sz="4" w:space="0" w:color="auto"/>
              <w:right w:val="single" w:sz="4" w:space="0" w:color="auto"/>
            </w:tcBorders>
            <w:shd w:val="clear" w:color="auto" w:fill="auto"/>
            <w:hideMark/>
          </w:tcPr>
          <w:p w14:paraId="78C584BE"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Organizational structure for coordinating transition services and supports</w:t>
            </w:r>
          </w:p>
        </w:tc>
      </w:tr>
      <w:tr w:rsidR="00BD7840" w:rsidRPr="0052012B" w14:paraId="11136D5F"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3F4C825B"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noWrap/>
            <w:hideMark/>
          </w:tcPr>
          <w:p w14:paraId="7531BDD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Transition services</w:t>
            </w:r>
          </w:p>
        </w:tc>
        <w:tc>
          <w:tcPr>
            <w:tcW w:w="2488" w:type="pct"/>
            <w:tcBorders>
              <w:top w:val="nil"/>
              <w:left w:val="nil"/>
              <w:bottom w:val="single" w:sz="4" w:space="0" w:color="auto"/>
              <w:right w:val="single" w:sz="4" w:space="0" w:color="auto"/>
            </w:tcBorders>
            <w:shd w:val="clear" w:color="auto" w:fill="auto"/>
            <w:hideMark/>
          </w:tcPr>
          <w:p w14:paraId="104DBB34"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Assistance obtaining furniture and household goods</w:t>
            </w:r>
            <w:r w:rsidRPr="0052012B">
              <w:rPr>
                <w:rFonts w:ascii="Arial Narrow" w:hAnsi="Arial Narrow"/>
                <w:color w:val="000000"/>
                <w:sz w:val="20"/>
              </w:rPr>
              <w:br/>
              <w:t>Assistance obtaining medical supplies for new residence</w:t>
            </w:r>
            <w:r w:rsidRPr="0052012B">
              <w:rPr>
                <w:rFonts w:ascii="Arial Narrow" w:hAnsi="Arial Narrow"/>
                <w:color w:val="000000"/>
                <w:sz w:val="20"/>
              </w:rPr>
              <w:br/>
              <w:t>Transportation services</w:t>
            </w:r>
            <w:r w:rsidRPr="0052012B">
              <w:rPr>
                <w:rFonts w:ascii="Arial Narrow" w:hAnsi="Arial Narrow"/>
                <w:color w:val="000000"/>
                <w:sz w:val="20"/>
              </w:rPr>
              <w:br/>
              <w:t>Housing modification services</w:t>
            </w:r>
            <w:r w:rsidRPr="0052012B">
              <w:rPr>
                <w:rFonts w:ascii="Arial Narrow" w:hAnsi="Arial Narrow"/>
                <w:color w:val="000000"/>
                <w:sz w:val="20"/>
              </w:rPr>
              <w:br/>
              <w:t>Organizational structure for coordinating transition services and supports</w:t>
            </w:r>
          </w:p>
        </w:tc>
      </w:tr>
      <w:tr w:rsidR="00BD7840" w:rsidRPr="0052012B" w14:paraId="7737DC8A"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315780D2"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1227" w:type="pct"/>
            <w:tcBorders>
              <w:top w:val="nil"/>
              <w:left w:val="nil"/>
              <w:bottom w:val="single" w:sz="4" w:space="0" w:color="auto"/>
              <w:right w:val="single" w:sz="4" w:space="0" w:color="auto"/>
            </w:tcBorders>
            <w:shd w:val="clear" w:color="auto" w:fill="auto"/>
            <w:noWrap/>
            <w:hideMark/>
          </w:tcPr>
          <w:p w14:paraId="04F5D1AF"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Transition process</w:t>
            </w:r>
          </w:p>
        </w:tc>
        <w:tc>
          <w:tcPr>
            <w:tcW w:w="2488" w:type="pct"/>
            <w:tcBorders>
              <w:top w:val="nil"/>
              <w:left w:val="nil"/>
              <w:bottom w:val="single" w:sz="4" w:space="0" w:color="auto"/>
              <w:right w:val="single" w:sz="4" w:space="0" w:color="auto"/>
            </w:tcBorders>
            <w:shd w:val="clear" w:color="auto" w:fill="auto"/>
            <w:hideMark/>
          </w:tcPr>
          <w:p w14:paraId="6579CE6F"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Assistance provided to the applicant during the application process</w:t>
            </w:r>
          </w:p>
          <w:p w14:paraId="0CF16A72"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Assistance obtaining furniture and household goods</w:t>
            </w:r>
          </w:p>
          <w:p w14:paraId="248D3D08"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Assistance obtaining medical supplies for new residence</w:t>
            </w:r>
          </w:p>
          <w:p w14:paraId="596B166D" w14:textId="77777777" w:rsidR="00BD7840"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Transportation services</w:t>
            </w:r>
          </w:p>
          <w:p w14:paraId="7C48281D" w14:textId="77777777" w:rsidR="0052012B" w:rsidRPr="0052012B" w:rsidRDefault="0052012B" w:rsidP="00BD7840">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Housing modification services</w:t>
            </w:r>
          </w:p>
        </w:tc>
      </w:tr>
      <w:tr w:rsidR="0052012B" w:rsidRPr="0052012B" w14:paraId="703E4056" w14:textId="77777777" w:rsidTr="0049439B">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35148BA6"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How are long term health and supportive services coordinated and monitored?</w:t>
            </w:r>
          </w:p>
        </w:tc>
      </w:tr>
      <w:tr w:rsidR="00BD7840" w:rsidRPr="0052012B" w14:paraId="541C701C" w14:textId="77777777" w:rsidTr="0049439B">
        <w:tc>
          <w:tcPr>
            <w:tcW w:w="1285" w:type="pct"/>
            <w:tcBorders>
              <w:top w:val="nil"/>
              <w:left w:val="single" w:sz="4" w:space="0" w:color="auto"/>
              <w:bottom w:val="single" w:sz="4" w:space="0" w:color="auto"/>
              <w:right w:val="single" w:sz="4" w:space="0" w:color="auto"/>
            </w:tcBorders>
            <w:shd w:val="clear" w:color="auto" w:fill="auto"/>
            <w:noWrap/>
            <w:hideMark/>
          </w:tcPr>
          <w:p w14:paraId="1F3705B3"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1227" w:type="pct"/>
            <w:tcBorders>
              <w:top w:val="nil"/>
              <w:left w:val="nil"/>
              <w:bottom w:val="single" w:sz="4" w:space="0" w:color="auto"/>
              <w:right w:val="single" w:sz="4" w:space="0" w:color="auto"/>
            </w:tcBorders>
            <w:shd w:val="clear" w:color="auto" w:fill="auto"/>
            <w:noWrap/>
            <w:hideMark/>
          </w:tcPr>
          <w:p w14:paraId="1CE27195"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2488" w:type="pct"/>
            <w:tcBorders>
              <w:top w:val="nil"/>
              <w:left w:val="nil"/>
              <w:bottom w:val="single" w:sz="4" w:space="0" w:color="auto"/>
              <w:right w:val="single" w:sz="4" w:space="0" w:color="auto"/>
            </w:tcBorders>
            <w:shd w:val="clear" w:color="auto" w:fill="auto"/>
            <w:noWrap/>
            <w:hideMark/>
          </w:tcPr>
          <w:p w14:paraId="362C1488"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BD7840" w:rsidRPr="0052012B" w14:paraId="77409997"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6205BFA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11976A6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Resident tenancy and support</w:t>
            </w:r>
          </w:p>
        </w:tc>
        <w:tc>
          <w:tcPr>
            <w:tcW w:w="2488" w:type="pct"/>
            <w:tcBorders>
              <w:top w:val="nil"/>
              <w:left w:val="nil"/>
              <w:bottom w:val="single" w:sz="4" w:space="0" w:color="auto"/>
              <w:right w:val="single" w:sz="4" w:space="0" w:color="auto"/>
            </w:tcBorders>
            <w:shd w:val="clear" w:color="auto" w:fill="auto"/>
            <w:hideMark/>
          </w:tcPr>
          <w:p w14:paraId="78DAA6DE"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Organizational structure for coordinating health and housing supportive services</w:t>
            </w:r>
          </w:p>
        </w:tc>
      </w:tr>
      <w:tr w:rsidR="00BD7840" w:rsidRPr="0052012B" w14:paraId="758059F9"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04513B4F"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1227" w:type="pct"/>
            <w:tcBorders>
              <w:top w:val="nil"/>
              <w:left w:val="nil"/>
              <w:bottom w:val="single" w:sz="4" w:space="0" w:color="auto"/>
              <w:right w:val="single" w:sz="4" w:space="0" w:color="auto"/>
            </w:tcBorders>
            <w:shd w:val="clear" w:color="auto" w:fill="auto"/>
            <w:hideMark/>
          </w:tcPr>
          <w:p w14:paraId="3B5CE625"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Closing questions</w:t>
            </w:r>
          </w:p>
        </w:tc>
        <w:tc>
          <w:tcPr>
            <w:tcW w:w="2488" w:type="pct"/>
            <w:tcBorders>
              <w:top w:val="nil"/>
              <w:left w:val="nil"/>
              <w:bottom w:val="single" w:sz="4" w:space="0" w:color="auto"/>
              <w:right w:val="single" w:sz="4" w:space="0" w:color="auto"/>
            </w:tcBorders>
            <w:shd w:val="clear" w:color="auto" w:fill="auto"/>
            <w:hideMark/>
          </w:tcPr>
          <w:p w14:paraId="75F5E5DE"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Property manager perspective on tenant support and reasonable </w:t>
            </w:r>
            <w:r w:rsidR="005A503C" w:rsidRPr="0052012B">
              <w:rPr>
                <w:rFonts w:ascii="Arial Narrow" w:hAnsi="Arial Narrow"/>
                <w:color w:val="000000"/>
                <w:sz w:val="20"/>
              </w:rPr>
              <w:t>accommodations</w:t>
            </w:r>
          </w:p>
        </w:tc>
      </w:tr>
      <w:tr w:rsidR="00BD7840" w:rsidRPr="0052012B" w14:paraId="45551647"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5808AE0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hideMark/>
          </w:tcPr>
          <w:p w14:paraId="600A07A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 xml:space="preserve">Long-term </w:t>
            </w:r>
            <w:r w:rsidR="005A503C" w:rsidRPr="0052012B">
              <w:rPr>
                <w:rFonts w:ascii="Arial Narrow" w:hAnsi="Arial Narrow"/>
                <w:color w:val="000000"/>
                <w:sz w:val="20"/>
              </w:rPr>
              <w:t>services</w:t>
            </w:r>
            <w:r w:rsidRPr="0052012B">
              <w:rPr>
                <w:rFonts w:ascii="Arial Narrow" w:hAnsi="Arial Narrow"/>
                <w:color w:val="000000"/>
                <w:sz w:val="20"/>
              </w:rPr>
              <w:t xml:space="preserve"> and supports</w:t>
            </w:r>
          </w:p>
        </w:tc>
        <w:tc>
          <w:tcPr>
            <w:tcW w:w="2488" w:type="pct"/>
            <w:tcBorders>
              <w:top w:val="nil"/>
              <w:left w:val="nil"/>
              <w:bottom w:val="single" w:sz="4" w:space="0" w:color="auto"/>
              <w:right w:val="single" w:sz="4" w:space="0" w:color="auto"/>
            </w:tcBorders>
            <w:shd w:val="clear" w:color="auto" w:fill="auto"/>
            <w:hideMark/>
          </w:tcPr>
          <w:p w14:paraId="7BD49730" w14:textId="77777777" w:rsidR="00BD7840"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Methods of oversight of coordination and provision of transition services and supportive services</w:t>
            </w:r>
          </w:p>
          <w:p w14:paraId="25B90081"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Organizational structure for coordinating health and housing supportive services</w:t>
            </w:r>
          </w:p>
        </w:tc>
      </w:tr>
      <w:tr w:rsidR="00BD7840" w:rsidRPr="0052012B" w14:paraId="205A793B"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6C446B3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service providers</w:t>
            </w:r>
          </w:p>
        </w:tc>
        <w:tc>
          <w:tcPr>
            <w:tcW w:w="1227" w:type="pct"/>
            <w:tcBorders>
              <w:top w:val="nil"/>
              <w:left w:val="nil"/>
              <w:bottom w:val="single" w:sz="4" w:space="0" w:color="auto"/>
              <w:right w:val="single" w:sz="4" w:space="0" w:color="auto"/>
            </w:tcBorders>
            <w:shd w:val="clear" w:color="auto" w:fill="auto"/>
            <w:noWrap/>
            <w:hideMark/>
          </w:tcPr>
          <w:p w14:paraId="17D243D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Resident tenancy and support</w:t>
            </w:r>
          </w:p>
        </w:tc>
        <w:tc>
          <w:tcPr>
            <w:tcW w:w="2488" w:type="pct"/>
            <w:tcBorders>
              <w:top w:val="nil"/>
              <w:left w:val="nil"/>
              <w:bottom w:val="single" w:sz="4" w:space="0" w:color="auto"/>
              <w:right w:val="single" w:sz="4" w:space="0" w:color="auto"/>
            </w:tcBorders>
            <w:shd w:val="clear" w:color="auto" w:fill="auto"/>
            <w:hideMark/>
          </w:tcPr>
          <w:p w14:paraId="7881A316"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Service provider perspective on tenant support services and unmet needs in supportive services in the community</w:t>
            </w:r>
          </w:p>
        </w:tc>
      </w:tr>
      <w:tr w:rsidR="00BD7840" w:rsidRPr="0052012B" w14:paraId="394B44D9"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49E99830"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1227" w:type="pct"/>
            <w:tcBorders>
              <w:top w:val="nil"/>
              <w:left w:val="nil"/>
              <w:bottom w:val="single" w:sz="4" w:space="0" w:color="auto"/>
              <w:right w:val="single" w:sz="4" w:space="0" w:color="auto"/>
            </w:tcBorders>
            <w:shd w:val="clear" w:color="auto" w:fill="auto"/>
            <w:noWrap/>
            <w:hideMark/>
          </w:tcPr>
          <w:p w14:paraId="2180356B"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Access to supportive services and unmet needs</w:t>
            </w:r>
          </w:p>
        </w:tc>
        <w:tc>
          <w:tcPr>
            <w:tcW w:w="2488" w:type="pct"/>
            <w:tcBorders>
              <w:top w:val="nil"/>
              <w:left w:val="nil"/>
              <w:bottom w:val="single" w:sz="4" w:space="0" w:color="auto"/>
              <w:right w:val="single" w:sz="4" w:space="0" w:color="auto"/>
            </w:tcBorders>
            <w:shd w:val="clear" w:color="auto" w:fill="auto"/>
            <w:hideMark/>
          </w:tcPr>
          <w:p w14:paraId="4E8E0464"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Resident feedback on quality of supportive services received</w:t>
            </w:r>
            <w:r w:rsidRPr="0052012B">
              <w:rPr>
                <w:rFonts w:ascii="Arial Narrow" w:hAnsi="Arial Narrow"/>
                <w:color w:val="000000"/>
                <w:sz w:val="20"/>
              </w:rPr>
              <w:br/>
              <w:t>Resident report of unmet needs from supportive services</w:t>
            </w:r>
          </w:p>
        </w:tc>
      </w:tr>
      <w:tr w:rsidR="00BD7840" w:rsidRPr="0052012B" w14:paraId="3DE76DAE" w14:textId="77777777" w:rsidTr="0049439B">
        <w:tc>
          <w:tcPr>
            <w:tcW w:w="1285" w:type="pct"/>
            <w:tcBorders>
              <w:top w:val="nil"/>
              <w:left w:val="single" w:sz="4" w:space="0" w:color="auto"/>
              <w:bottom w:val="single" w:sz="4" w:space="0" w:color="auto"/>
              <w:right w:val="single" w:sz="4" w:space="0" w:color="auto"/>
            </w:tcBorders>
            <w:shd w:val="clear" w:color="auto" w:fill="auto"/>
            <w:hideMark/>
          </w:tcPr>
          <w:p w14:paraId="179D0E7A"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1227" w:type="pct"/>
            <w:tcBorders>
              <w:top w:val="nil"/>
              <w:left w:val="nil"/>
              <w:bottom w:val="single" w:sz="4" w:space="0" w:color="auto"/>
              <w:right w:val="single" w:sz="4" w:space="0" w:color="auto"/>
            </w:tcBorders>
            <w:shd w:val="clear" w:color="auto" w:fill="auto"/>
            <w:hideMark/>
          </w:tcPr>
          <w:p w14:paraId="7F412965"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Quality of life and community integration</w:t>
            </w:r>
          </w:p>
        </w:tc>
        <w:tc>
          <w:tcPr>
            <w:tcW w:w="2488" w:type="pct"/>
            <w:tcBorders>
              <w:top w:val="nil"/>
              <w:left w:val="nil"/>
              <w:bottom w:val="single" w:sz="4" w:space="0" w:color="auto"/>
              <w:right w:val="single" w:sz="4" w:space="0" w:color="auto"/>
            </w:tcBorders>
            <w:shd w:val="clear" w:color="auto" w:fill="auto"/>
            <w:hideMark/>
          </w:tcPr>
          <w:p w14:paraId="01DE080C" w14:textId="77777777" w:rsidR="0052012B" w:rsidRPr="0052012B" w:rsidRDefault="0052012B" w:rsidP="0052012B">
            <w:pPr>
              <w:pStyle w:val="ListParagraph"/>
              <w:numPr>
                <w:ilvl w:val="0"/>
                <w:numId w:val="20"/>
              </w:numPr>
              <w:ind w:left="354"/>
              <w:rPr>
                <w:rFonts w:ascii="Arial Narrow" w:hAnsi="Arial Narrow"/>
                <w:color w:val="000000"/>
                <w:sz w:val="20"/>
              </w:rPr>
            </w:pPr>
            <w:r w:rsidRPr="0052012B">
              <w:rPr>
                <w:rFonts w:ascii="Arial Narrow" w:hAnsi="Arial Narrow"/>
                <w:color w:val="000000"/>
                <w:sz w:val="20"/>
              </w:rPr>
              <w:t xml:space="preserve">Resident feedback on tenancy support and reasonable </w:t>
            </w:r>
            <w:r w:rsidR="005A503C" w:rsidRPr="0052012B">
              <w:rPr>
                <w:rFonts w:ascii="Arial Narrow" w:hAnsi="Arial Narrow"/>
                <w:color w:val="000000"/>
                <w:sz w:val="20"/>
              </w:rPr>
              <w:t>accommodations</w:t>
            </w:r>
            <w:r w:rsidRPr="0052012B">
              <w:rPr>
                <w:rFonts w:ascii="Arial Narrow" w:hAnsi="Arial Narrow"/>
                <w:color w:val="000000"/>
                <w:sz w:val="20"/>
              </w:rPr>
              <w:t xml:space="preserve"> by service providers, </w:t>
            </w:r>
            <w:r w:rsidR="005A503C" w:rsidRPr="0052012B">
              <w:rPr>
                <w:rFonts w:ascii="Arial Narrow" w:hAnsi="Arial Narrow"/>
                <w:color w:val="000000"/>
                <w:sz w:val="20"/>
              </w:rPr>
              <w:t>property</w:t>
            </w:r>
            <w:r w:rsidRPr="0052012B">
              <w:rPr>
                <w:rFonts w:ascii="Arial Narrow" w:hAnsi="Arial Narrow"/>
                <w:color w:val="000000"/>
                <w:sz w:val="20"/>
              </w:rPr>
              <w:t xml:space="preserve"> managers, and others</w:t>
            </w:r>
          </w:p>
        </w:tc>
      </w:tr>
    </w:tbl>
    <w:p w14:paraId="72678454" w14:textId="77777777" w:rsidR="0052012B" w:rsidRDefault="0052012B" w:rsidP="00E239AC"/>
    <w:tbl>
      <w:tblPr>
        <w:tblW w:w="10080" w:type="dxa"/>
        <w:tblLook w:val="04A0" w:firstRow="1" w:lastRow="0" w:firstColumn="1" w:lastColumn="0" w:noHBand="0" w:noVBand="1"/>
      </w:tblPr>
      <w:tblGrid>
        <w:gridCol w:w="2250"/>
        <w:gridCol w:w="3510"/>
        <w:gridCol w:w="4320"/>
      </w:tblGrid>
      <w:tr w:rsidR="0051555C" w:rsidRPr="0049439B" w14:paraId="7E3F895D" w14:textId="77777777" w:rsidTr="00250E8B">
        <w:trPr>
          <w:tblHeader/>
        </w:trPr>
        <w:tc>
          <w:tcPr>
            <w:tcW w:w="10080" w:type="dxa"/>
            <w:gridSpan w:val="3"/>
            <w:shd w:val="clear" w:color="000000" w:fill="auto"/>
            <w:noWrap/>
          </w:tcPr>
          <w:p w14:paraId="084C6C60" w14:textId="516CC7F8" w:rsidR="0051555C" w:rsidRDefault="0051555C" w:rsidP="005D5FA2">
            <w:pPr>
              <w:pStyle w:val="ExhibitColumnHeader"/>
              <w:jc w:val="left"/>
            </w:pPr>
            <w:r w:rsidRPr="0051555C">
              <w:t>Research Question</w:t>
            </w:r>
            <w:r w:rsidR="00794220">
              <w:t xml:space="preserve"> 2</w:t>
            </w:r>
            <w:r w:rsidRPr="0051555C">
              <w:t>: What is the early evidence on how PRA residents fare relative to similar individuals in the Section 811 PRAC program in terms of quality of life, housing and neighborhood characteristics, housing tenure, health and service utilization patterns?</w:t>
            </w:r>
          </w:p>
          <w:p w14:paraId="76E65B0A" w14:textId="77777777" w:rsidR="005D5FA2" w:rsidRPr="0051555C" w:rsidRDefault="005D5FA2" w:rsidP="005D5FA2">
            <w:pPr>
              <w:pStyle w:val="ExhibitColumnHeader"/>
              <w:jc w:val="left"/>
            </w:pPr>
          </w:p>
        </w:tc>
      </w:tr>
      <w:tr w:rsidR="00BD7840" w:rsidRPr="0052012B" w14:paraId="2FCB3EB2" w14:textId="77777777" w:rsidTr="00250E8B">
        <w:trPr>
          <w:tblHeader/>
        </w:trPr>
        <w:tc>
          <w:tcPr>
            <w:tcW w:w="10080" w:type="dxa"/>
            <w:gridSpan w:val="3"/>
            <w:shd w:val="clear" w:color="000000" w:fill="auto"/>
            <w:noWrap/>
          </w:tcPr>
          <w:p w14:paraId="6685A301" w14:textId="77777777" w:rsidR="00CD7B70" w:rsidRPr="005D5FA2" w:rsidRDefault="006F3A38" w:rsidP="006F3A38">
            <w:pPr>
              <w:pStyle w:val="ExhibitColumnHeader"/>
              <w:jc w:val="left"/>
            </w:pPr>
            <w:r>
              <w:t>Exhibit A-3: Summary of Interview and Survey Data Collection Activities (Research Question 2)</w:t>
            </w:r>
          </w:p>
        </w:tc>
      </w:tr>
      <w:tr w:rsidR="00BD7840" w:rsidRPr="0052012B" w14:paraId="2B71A5C5" w14:textId="77777777" w:rsidTr="00250E8B">
        <w:trPr>
          <w:tblHeader/>
        </w:trPr>
        <w:tc>
          <w:tcPr>
            <w:tcW w:w="10080" w:type="dxa"/>
            <w:gridSpan w:val="3"/>
            <w:tcBorders>
              <w:bottom w:val="single" w:sz="4" w:space="0" w:color="auto"/>
            </w:tcBorders>
            <w:shd w:val="clear" w:color="000000" w:fill="auto"/>
            <w:noWrap/>
          </w:tcPr>
          <w:p w14:paraId="23310AA2" w14:textId="77777777" w:rsidR="0052012B" w:rsidRPr="0049439B" w:rsidRDefault="0052012B" w:rsidP="0052012B">
            <w:pPr>
              <w:spacing w:after="0" w:line="240" w:lineRule="auto"/>
              <w:rPr>
                <w:rFonts w:ascii="Arial Narrow" w:hAnsi="Arial Narrow"/>
                <w:b/>
                <w:bCs/>
                <w:i/>
                <w:color w:val="000000"/>
                <w:sz w:val="20"/>
              </w:rPr>
            </w:pPr>
          </w:p>
        </w:tc>
      </w:tr>
      <w:tr w:rsidR="00BD7840" w:rsidRPr="0052012B" w14:paraId="5FC66D0D" w14:textId="77777777" w:rsidTr="00250E8B">
        <w:tc>
          <w:tcPr>
            <w:tcW w:w="1008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41F143E5"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How do quality of life and care of PRA residents compare to PRAC residents?</w:t>
            </w:r>
          </w:p>
        </w:tc>
      </w:tr>
      <w:tr w:rsidR="005D5FA2" w:rsidRPr="0052012B" w14:paraId="74CA1FE8" w14:textId="77777777" w:rsidTr="00250E8B">
        <w:tc>
          <w:tcPr>
            <w:tcW w:w="2250" w:type="dxa"/>
            <w:tcBorders>
              <w:top w:val="nil"/>
              <w:left w:val="single" w:sz="4" w:space="0" w:color="auto"/>
              <w:bottom w:val="single" w:sz="4" w:space="0" w:color="auto"/>
              <w:right w:val="single" w:sz="4" w:space="0" w:color="auto"/>
            </w:tcBorders>
            <w:shd w:val="clear" w:color="auto" w:fill="auto"/>
            <w:noWrap/>
            <w:hideMark/>
          </w:tcPr>
          <w:p w14:paraId="5A5262CA"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3510" w:type="dxa"/>
            <w:tcBorders>
              <w:top w:val="nil"/>
              <w:left w:val="nil"/>
              <w:bottom w:val="single" w:sz="4" w:space="0" w:color="auto"/>
              <w:right w:val="single" w:sz="4" w:space="0" w:color="auto"/>
            </w:tcBorders>
            <w:shd w:val="clear" w:color="auto" w:fill="auto"/>
            <w:noWrap/>
            <w:hideMark/>
          </w:tcPr>
          <w:p w14:paraId="25A4BBC5"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4320" w:type="dxa"/>
            <w:tcBorders>
              <w:top w:val="nil"/>
              <w:left w:val="nil"/>
              <w:bottom w:val="single" w:sz="4" w:space="0" w:color="auto"/>
              <w:right w:val="single" w:sz="4" w:space="0" w:color="auto"/>
            </w:tcBorders>
            <w:shd w:val="clear" w:color="auto" w:fill="auto"/>
            <w:noWrap/>
            <w:hideMark/>
          </w:tcPr>
          <w:p w14:paraId="3BC44CFB"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5D5FA2" w:rsidRPr="0052012B" w14:paraId="2C548D23"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0937089C"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noWrap/>
            <w:hideMark/>
          </w:tcPr>
          <w:p w14:paraId="1F520FE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Transition process</w:t>
            </w:r>
          </w:p>
        </w:tc>
        <w:tc>
          <w:tcPr>
            <w:tcW w:w="4320" w:type="dxa"/>
            <w:tcBorders>
              <w:top w:val="nil"/>
              <w:left w:val="nil"/>
              <w:bottom w:val="single" w:sz="4" w:space="0" w:color="auto"/>
              <w:right w:val="single" w:sz="4" w:space="0" w:color="auto"/>
            </w:tcBorders>
            <w:shd w:val="clear" w:color="auto" w:fill="auto"/>
            <w:hideMark/>
          </w:tcPr>
          <w:p w14:paraId="2A39ED56"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PRA resident perspective on housing choice and whether housing and location preferences were met</w:t>
            </w:r>
          </w:p>
          <w:p w14:paraId="0B52C7D9"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 xml:space="preserve">Types of </w:t>
            </w:r>
            <w:r w:rsidR="005A503C" w:rsidRPr="0049439B">
              <w:rPr>
                <w:rFonts w:ascii="Arial Narrow" w:hAnsi="Arial Narrow"/>
                <w:color w:val="000000"/>
                <w:sz w:val="20"/>
              </w:rPr>
              <w:t>transition</w:t>
            </w:r>
            <w:r w:rsidRPr="0049439B">
              <w:rPr>
                <w:rFonts w:ascii="Arial Narrow" w:hAnsi="Arial Narrow"/>
                <w:color w:val="000000"/>
                <w:sz w:val="20"/>
              </w:rPr>
              <w:t xml:space="preserve"> support services received</w:t>
            </w:r>
          </w:p>
          <w:p w14:paraId="01C98DE0" w14:textId="77777777" w:rsidR="0052012B" w:rsidRPr="0049439B"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 xml:space="preserve">PRA </w:t>
            </w:r>
            <w:r w:rsidR="005A503C" w:rsidRPr="0049439B">
              <w:rPr>
                <w:rFonts w:ascii="Arial Narrow" w:hAnsi="Arial Narrow"/>
                <w:color w:val="000000"/>
                <w:sz w:val="20"/>
              </w:rPr>
              <w:t>resident</w:t>
            </w:r>
            <w:r w:rsidRPr="0049439B">
              <w:rPr>
                <w:rFonts w:ascii="Arial Narrow" w:hAnsi="Arial Narrow"/>
                <w:color w:val="000000"/>
                <w:sz w:val="20"/>
              </w:rPr>
              <w:t xml:space="preserve"> satisfaction with quality of transition services received</w:t>
            </w:r>
          </w:p>
        </w:tc>
      </w:tr>
      <w:tr w:rsidR="005D5FA2" w:rsidRPr="0052012B" w14:paraId="4C708002"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42B74B7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hideMark/>
          </w:tcPr>
          <w:p w14:paraId="0CD7C7BD"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Access to Supportive Services and Unmet Needs</w:t>
            </w:r>
          </w:p>
        </w:tc>
        <w:tc>
          <w:tcPr>
            <w:tcW w:w="4320" w:type="dxa"/>
            <w:tcBorders>
              <w:top w:val="nil"/>
              <w:left w:val="nil"/>
              <w:bottom w:val="single" w:sz="4" w:space="0" w:color="auto"/>
              <w:right w:val="single" w:sz="4" w:space="0" w:color="auto"/>
            </w:tcBorders>
            <w:shd w:val="clear" w:color="auto" w:fill="auto"/>
            <w:hideMark/>
          </w:tcPr>
          <w:p w14:paraId="4D166285"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Types of services received in home (personal care, behavioral health, case management)</w:t>
            </w:r>
          </w:p>
          <w:p w14:paraId="6ECE5F61"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Support received from informal car</w:t>
            </w:r>
            <w:r w:rsidR="00BD7840">
              <w:rPr>
                <w:rFonts w:ascii="Arial Narrow" w:hAnsi="Arial Narrow"/>
                <w:color w:val="000000"/>
                <w:sz w:val="20"/>
              </w:rPr>
              <w:t>egivers</w:t>
            </w:r>
          </w:p>
          <w:p w14:paraId="7E2E0EFC" w14:textId="77777777" w:rsidR="00BD7840" w:rsidRDefault="00BD7840" w:rsidP="00BD7840">
            <w:pPr>
              <w:pStyle w:val="ListParagraph"/>
              <w:numPr>
                <w:ilvl w:val="0"/>
                <w:numId w:val="20"/>
              </w:numPr>
              <w:ind w:left="354"/>
              <w:rPr>
                <w:rFonts w:ascii="Arial Narrow" w:hAnsi="Arial Narrow"/>
                <w:color w:val="000000"/>
                <w:sz w:val="20"/>
              </w:rPr>
            </w:pPr>
            <w:r>
              <w:rPr>
                <w:rFonts w:ascii="Arial Narrow" w:hAnsi="Arial Narrow"/>
                <w:color w:val="000000"/>
                <w:sz w:val="20"/>
              </w:rPr>
              <w:t>Transportation services</w:t>
            </w:r>
          </w:p>
          <w:p w14:paraId="4801D866"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Housing modification and equipment</w:t>
            </w:r>
          </w:p>
          <w:p w14:paraId="09D7AED4"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 xml:space="preserve">Unmet need for supportive services </w:t>
            </w:r>
          </w:p>
          <w:p w14:paraId="325AB277"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Knowledge of who can help resolve problems (tenancy support)</w:t>
            </w:r>
          </w:p>
          <w:p w14:paraId="5C7D4297" w14:textId="77777777" w:rsidR="0052012B" w:rsidRPr="0049439B"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Participant feedback on supportive services</w:t>
            </w:r>
          </w:p>
        </w:tc>
      </w:tr>
      <w:tr w:rsidR="005D5FA2" w:rsidRPr="0052012B" w14:paraId="4F363AD0"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12EBAED0"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hideMark/>
          </w:tcPr>
          <w:p w14:paraId="769E0C1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Housing quality</w:t>
            </w:r>
          </w:p>
        </w:tc>
        <w:tc>
          <w:tcPr>
            <w:tcW w:w="4320" w:type="dxa"/>
            <w:tcBorders>
              <w:top w:val="nil"/>
              <w:left w:val="nil"/>
              <w:bottom w:val="single" w:sz="4" w:space="0" w:color="auto"/>
              <w:right w:val="single" w:sz="4" w:space="0" w:color="auto"/>
            </w:tcBorders>
            <w:shd w:val="clear" w:color="auto" w:fill="auto"/>
            <w:hideMark/>
          </w:tcPr>
          <w:p w14:paraId="2843E1B2" w14:textId="77777777" w:rsidR="0052012B" w:rsidRPr="0049439B" w:rsidRDefault="0052012B" w:rsidP="0049439B">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Residents can be independent in the property</w:t>
            </w:r>
          </w:p>
        </w:tc>
      </w:tr>
      <w:tr w:rsidR="005D5FA2" w:rsidRPr="0052012B" w14:paraId="688B9B15"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6E7B0C8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noWrap/>
            <w:hideMark/>
          </w:tcPr>
          <w:p w14:paraId="019CCED9"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Help with supportive services</w:t>
            </w:r>
          </w:p>
        </w:tc>
        <w:tc>
          <w:tcPr>
            <w:tcW w:w="4320" w:type="dxa"/>
            <w:tcBorders>
              <w:top w:val="nil"/>
              <w:left w:val="nil"/>
              <w:bottom w:val="single" w:sz="4" w:space="0" w:color="auto"/>
              <w:right w:val="single" w:sz="4" w:space="0" w:color="auto"/>
            </w:tcBorders>
            <w:shd w:val="clear" w:color="auto" w:fill="auto"/>
            <w:hideMark/>
          </w:tcPr>
          <w:p w14:paraId="77B7FDAC" w14:textId="77777777" w:rsidR="0052012B" w:rsidRPr="0049439B" w:rsidRDefault="0052012B" w:rsidP="0049439B">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Participant feedback on supportive services</w:t>
            </w:r>
          </w:p>
        </w:tc>
      </w:tr>
      <w:tr w:rsidR="005D5FA2" w:rsidRPr="0052012B" w14:paraId="69F3EDDD"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4EC953B6"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noWrap/>
            <w:hideMark/>
          </w:tcPr>
          <w:p w14:paraId="1C9D5A37"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Quality of Life and Community Inclusion</w:t>
            </w:r>
          </w:p>
        </w:tc>
        <w:tc>
          <w:tcPr>
            <w:tcW w:w="4320" w:type="dxa"/>
            <w:tcBorders>
              <w:top w:val="nil"/>
              <w:left w:val="nil"/>
              <w:bottom w:val="single" w:sz="4" w:space="0" w:color="auto"/>
              <w:right w:val="single" w:sz="4" w:space="0" w:color="auto"/>
            </w:tcBorders>
            <w:shd w:val="clear" w:color="auto" w:fill="auto"/>
            <w:hideMark/>
          </w:tcPr>
          <w:p w14:paraId="5B9AB570"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Residents know other people in the property</w:t>
            </w:r>
          </w:p>
          <w:p w14:paraId="592F7223"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Residents know other people in the neighborhood</w:t>
            </w:r>
          </w:p>
          <w:p w14:paraId="0C3A8A80"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Residents reporting being able to see friends and family when they want to</w:t>
            </w:r>
          </w:p>
          <w:p w14:paraId="3CE0058D"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Participant-reported physical health status</w:t>
            </w:r>
          </w:p>
          <w:p w14:paraId="7941BCC6" w14:textId="77777777" w:rsidR="0052012B" w:rsidRPr="0049439B"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Participant-reported mental health status</w:t>
            </w:r>
          </w:p>
        </w:tc>
      </w:tr>
      <w:tr w:rsidR="00BD7840" w:rsidRPr="0052012B" w14:paraId="6C488E4A" w14:textId="77777777" w:rsidTr="00250E8B">
        <w:tc>
          <w:tcPr>
            <w:tcW w:w="10080" w:type="dxa"/>
            <w:gridSpan w:val="3"/>
            <w:tcBorders>
              <w:top w:val="single" w:sz="4" w:space="0" w:color="auto"/>
              <w:left w:val="single" w:sz="4" w:space="0" w:color="auto"/>
              <w:bottom w:val="single" w:sz="4" w:space="0" w:color="auto"/>
              <w:right w:val="single" w:sz="4" w:space="0" w:color="000000"/>
            </w:tcBorders>
            <w:shd w:val="clear" w:color="000000" w:fill="D9D9D9"/>
            <w:noWrap/>
            <w:hideMark/>
          </w:tcPr>
          <w:p w14:paraId="4DF933E4"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How do housing and neighborhood characteristics for PRA residents compare to PRAC residents?</w:t>
            </w:r>
          </w:p>
        </w:tc>
      </w:tr>
      <w:tr w:rsidR="005D5FA2" w:rsidRPr="0052012B" w14:paraId="60E3FE1B" w14:textId="77777777" w:rsidTr="00250E8B">
        <w:tc>
          <w:tcPr>
            <w:tcW w:w="2250" w:type="dxa"/>
            <w:tcBorders>
              <w:top w:val="nil"/>
              <w:left w:val="single" w:sz="4" w:space="0" w:color="auto"/>
              <w:bottom w:val="single" w:sz="4" w:space="0" w:color="auto"/>
              <w:right w:val="single" w:sz="4" w:space="0" w:color="auto"/>
            </w:tcBorders>
            <w:shd w:val="clear" w:color="auto" w:fill="auto"/>
            <w:noWrap/>
            <w:hideMark/>
          </w:tcPr>
          <w:p w14:paraId="36878C44"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Data Source</w:t>
            </w:r>
          </w:p>
        </w:tc>
        <w:tc>
          <w:tcPr>
            <w:tcW w:w="3510" w:type="dxa"/>
            <w:tcBorders>
              <w:top w:val="nil"/>
              <w:left w:val="nil"/>
              <w:bottom w:val="single" w:sz="4" w:space="0" w:color="auto"/>
              <w:right w:val="single" w:sz="4" w:space="0" w:color="auto"/>
            </w:tcBorders>
            <w:shd w:val="clear" w:color="auto" w:fill="auto"/>
            <w:noWrap/>
            <w:hideMark/>
          </w:tcPr>
          <w:p w14:paraId="091CEF63"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Interview/Survey Domain</w:t>
            </w:r>
          </w:p>
        </w:tc>
        <w:tc>
          <w:tcPr>
            <w:tcW w:w="4320" w:type="dxa"/>
            <w:tcBorders>
              <w:top w:val="nil"/>
              <w:left w:val="nil"/>
              <w:bottom w:val="single" w:sz="4" w:space="0" w:color="auto"/>
              <w:right w:val="single" w:sz="4" w:space="0" w:color="auto"/>
            </w:tcBorders>
            <w:shd w:val="clear" w:color="auto" w:fill="auto"/>
            <w:noWrap/>
            <w:hideMark/>
          </w:tcPr>
          <w:p w14:paraId="361864E9" w14:textId="77777777" w:rsidR="0052012B" w:rsidRPr="0052012B" w:rsidRDefault="0052012B" w:rsidP="0052012B">
            <w:pPr>
              <w:spacing w:after="0" w:line="240" w:lineRule="auto"/>
              <w:rPr>
                <w:rFonts w:ascii="Arial Narrow" w:hAnsi="Arial Narrow"/>
                <w:b/>
                <w:bCs/>
                <w:color w:val="000000"/>
                <w:sz w:val="20"/>
              </w:rPr>
            </w:pPr>
            <w:r w:rsidRPr="0052012B">
              <w:rPr>
                <w:rFonts w:ascii="Arial Narrow" w:hAnsi="Arial Narrow"/>
                <w:b/>
                <w:bCs/>
                <w:color w:val="000000"/>
                <w:sz w:val="20"/>
              </w:rPr>
              <w:t>Measures</w:t>
            </w:r>
          </w:p>
        </w:tc>
      </w:tr>
      <w:tr w:rsidR="005D5FA2" w:rsidRPr="0052012B" w14:paraId="50BE0E0C"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25984C3E"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3510" w:type="dxa"/>
            <w:tcBorders>
              <w:top w:val="nil"/>
              <w:left w:val="nil"/>
              <w:bottom w:val="single" w:sz="4" w:space="0" w:color="auto"/>
              <w:right w:val="single" w:sz="4" w:space="0" w:color="auto"/>
            </w:tcBorders>
            <w:shd w:val="clear" w:color="auto" w:fill="auto"/>
            <w:hideMark/>
          </w:tcPr>
          <w:p w14:paraId="5EB1B8B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Property information</w:t>
            </w:r>
          </w:p>
        </w:tc>
        <w:tc>
          <w:tcPr>
            <w:tcW w:w="4320" w:type="dxa"/>
            <w:tcBorders>
              <w:top w:val="nil"/>
              <w:left w:val="nil"/>
              <w:bottom w:val="single" w:sz="4" w:space="0" w:color="auto"/>
              <w:right w:val="single" w:sz="4" w:space="0" w:color="auto"/>
            </w:tcBorders>
            <w:shd w:val="clear" w:color="auto" w:fill="auto"/>
            <w:hideMark/>
          </w:tcPr>
          <w:p w14:paraId="63084EA5" w14:textId="77777777" w:rsidR="0052012B" w:rsidRPr="0049439B" w:rsidRDefault="0052012B" w:rsidP="0049439B">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Building type and size</w:t>
            </w:r>
          </w:p>
        </w:tc>
      </w:tr>
      <w:tr w:rsidR="005D5FA2" w:rsidRPr="0052012B" w14:paraId="5986D192"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262DB0BC"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Interviews with property owners</w:t>
            </w:r>
          </w:p>
        </w:tc>
        <w:tc>
          <w:tcPr>
            <w:tcW w:w="3510" w:type="dxa"/>
            <w:tcBorders>
              <w:top w:val="nil"/>
              <w:left w:val="nil"/>
              <w:bottom w:val="single" w:sz="4" w:space="0" w:color="auto"/>
              <w:right w:val="single" w:sz="4" w:space="0" w:color="auto"/>
            </w:tcBorders>
            <w:shd w:val="clear" w:color="auto" w:fill="auto"/>
            <w:hideMark/>
          </w:tcPr>
          <w:p w14:paraId="41E1F5FC"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Rental assistance contracts and payments</w:t>
            </w:r>
          </w:p>
        </w:tc>
        <w:tc>
          <w:tcPr>
            <w:tcW w:w="4320" w:type="dxa"/>
            <w:tcBorders>
              <w:top w:val="nil"/>
              <w:left w:val="nil"/>
              <w:bottom w:val="single" w:sz="4" w:space="0" w:color="auto"/>
              <w:right w:val="single" w:sz="4" w:space="0" w:color="auto"/>
            </w:tcBorders>
            <w:shd w:val="clear" w:color="auto" w:fill="auto"/>
            <w:hideMark/>
          </w:tcPr>
          <w:p w14:paraId="14A6AEA6" w14:textId="77777777" w:rsidR="0052012B" w:rsidRPr="0049439B" w:rsidRDefault="0052012B" w:rsidP="0049439B">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Percent of assisted housing units, market rate units, PRA units in property</w:t>
            </w:r>
          </w:p>
        </w:tc>
      </w:tr>
      <w:tr w:rsidR="005D5FA2" w:rsidRPr="0052012B" w14:paraId="13689C3C"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2422C1E1"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hideMark/>
          </w:tcPr>
          <w:p w14:paraId="6474A788"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Housing quality</w:t>
            </w:r>
          </w:p>
        </w:tc>
        <w:tc>
          <w:tcPr>
            <w:tcW w:w="4320" w:type="dxa"/>
            <w:tcBorders>
              <w:top w:val="nil"/>
              <w:left w:val="nil"/>
              <w:bottom w:val="single" w:sz="4" w:space="0" w:color="auto"/>
              <w:right w:val="single" w:sz="4" w:space="0" w:color="auto"/>
            </w:tcBorders>
            <w:shd w:val="clear" w:color="auto" w:fill="auto"/>
            <w:hideMark/>
          </w:tcPr>
          <w:p w14:paraId="6A4C0198"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perception of housing quality</w:t>
            </w:r>
          </w:p>
          <w:p w14:paraId="00E6015C"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perception of privacy in unit and property</w:t>
            </w:r>
          </w:p>
          <w:p w14:paraId="12CED16F"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perception of property and unit safety</w:t>
            </w:r>
          </w:p>
          <w:p w14:paraId="23454CD8"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Resident-reported maintenance problems with unit</w:t>
            </w:r>
          </w:p>
          <w:p w14:paraId="34A1BE51"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Resident-reported maintenance problems with property</w:t>
            </w:r>
          </w:p>
          <w:p w14:paraId="3C0F0254"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overall satisfaction with unit</w:t>
            </w:r>
          </w:p>
          <w:p w14:paraId="26D92AFE"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 xml:space="preserve">Resident overall satisfaction with property </w:t>
            </w:r>
          </w:p>
          <w:p w14:paraId="74532597" w14:textId="77777777" w:rsidR="00BD7840"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satisfaction with property management</w:t>
            </w:r>
          </w:p>
          <w:p w14:paraId="34D61176" w14:textId="77777777" w:rsidR="0052012B" w:rsidRPr="0049439B" w:rsidRDefault="0052012B" w:rsidP="00BD7840">
            <w:pPr>
              <w:pStyle w:val="ListParagraph"/>
              <w:numPr>
                <w:ilvl w:val="0"/>
                <w:numId w:val="20"/>
              </w:numPr>
              <w:ind w:left="354"/>
              <w:rPr>
                <w:rFonts w:ascii="Arial Narrow" w:hAnsi="Arial Narrow"/>
                <w:color w:val="000000"/>
                <w:sz w:val="20"/>
              </w:rPr>
            </w:pPr>
            <w:r w:rsidRPr="0049439B">
              <w:rPr>
                <w:rFonts w:ascii="Arial Narrow" w:hAnsi="Arial Narrow"/>
                <w:color w:val="000000"/>
                <w:sz w:val="20"/>
              </w:rPr>
              <w:t>Resident report of wanting to move from home and reason why</w:t>
            </w:r>
          </w:p>
        </w:tc>
      </w:tr>
      <w:tr w:rsidR="005D5FA2" w:rsidRPr="0052012B" w14:paraId="37C18FFF" w14:textId="77777777" w:rsidTr="00250E8B">
        <w:tc>
          <w:tcPr>
            <w:tcW w:w="2250" w:type="dxa"/>
            <w:tcBorders>
              <w:top w:val="nil"/>
              <w:left w:val="single" w:sz="4" w:space="0" w:color="auto"/>
              <w:bottom w:val="single" w:sz="4" w:space="0" w:color="auto"/>
              <w:right w:val="single" w:sz="4" w:space="0" w:color="auto"/>
            </w:tcBorders>
            <w:shd w:val="clear" w:color="auto" w:fill="auto"/>
            <w:hideMark/>
          </w:tcPr>
          <w:p w14:paraId="2F3E5E66"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Surveys of Section 811 PRA and PRAC residents</w:t>
            </w:r>
          </w:p>
        </w:tc>
        <w:tc>
          <w:tcPr>
            <w:tcW w:w="3510" w:type="dxa"/>
            <w:tcBorders>
              <w:top w:val="nil"/>
              <w:left w:val="nil"/>
              <w:bottom w:val="single" w:sz="4" w:space="0" w:color="auto"/>
              <w:right w:val="single" w:sz="4" w:space="0" w:color="auto"/>
            </w:tcBorders>
            <w:shd w:val="clear" w:color="auto" w:fill="auto"/>
            <w:hideMark/>
          </w:tcPr>
          <w:p w14:paraId="06B8362A" w14:textId="77777777" w:rsidR="0052012B" w:rsidRPr="0052012B" w:rsidRDefault="0052012B" w:rsidP="0052012B">
            <w:pPr>
              <w:spacing w:after="0" w:line="240" w:lineRule="auto"/>
              <w:rPr>
                <w:rFonts w:ascii="Arial Narrow" w:hAnsi="Arial Narrow"/>
                <w:color w:val="000000"/>
                <w:sz w:val="20"/>
              </w:rPr>
            </w:pPr>
            <w:r w:rsidRPr="0052012B">
              <w:rPr>
                <w:rFonts w:ascii="Arial Narrow" w:hAnsi="Arial Narrow"/>
                <w:color w:val="000000"/>
                <w:sz w:val="20"/>
              </w:rPr>
              <w:t>Neighborhood quality</w:t>
            </w:r>
          </w:p>
        </w:tc>
        <w:tc>
          <w:tcPr>
            <w:tcW w:w="4320" w:type="dxa"/>
            <w:tcBorders>
              <w:top w:val="nil"/>
              <w:left w:val="nil"/>
              <w:bottom w:val="single" w:sz="4" w:space="0" w:color="auto"/>
              <w:right w:val="single" w:sz="4" w:space="0" w:color="auto"/>
            </w:tcBorders>
            <w:shd w:val="clear" w:color="auto" w:fill="auto"/>
            <w:hideMark/>
          </w:tcPr>
          <w:p w14:paraId="6402AB31" w14:textId="77777777" w:rsidR="00C070FD" w:rsidRDefault="0052012B" w:rsidP="00BD7840">
            <w:pPr>
              <w:pStyle w:val="ListParagraph"/>
              <w:numPr>
                <w:ilvl w:val="0"/>
                <w:numId w:val="20"/>
              </w:numPr>
              <w:rPr>
                <w:rFonts w:ascii="Arial Narrow" w:hAnsi="Arial Narrow"/>
                <w:color w:val="000000"/>
                <w:sz w:val="20"/>
              </w:rPr>
            </w:pPr>
            <w:r w:rsidRPr="00BD7840">
              <w:rPr>
                <w:rFonts w:ascii="Arial Narrow" w:hAnsi="Arial Narrow"/>
                <w:color w:val="000000"/>
                <w:sz w:val="20"/>
              </w:rPr>
              <w:t>Resident pe</w:t>
            </w:r>
            <w:r w:rsidR="00C070FD">
              <w:rPr>
                <w:rFonts w:ascii="Arial Narrow" w:hAnsi="Arial Narrow"/>
                <w:color w:val="000000"/>
                <w:sz w:val="20"/>
              </w:rPr>
              <w:t>rception of neighborhood safety</w:t>
            </w:r>
          </w:p>
          <w:p w14:paraId="556E7102" w14:textId="77777777" w:rsidR="00C070FD" w:rsidRDefault="0052012B" w:rsidP="00C070FD">
            <w:pPr>
              <w:pStyle w:val="ListParagraph"/>
              <w:numPr>
                <w:ilvl w:val="0"/>
                <w:numId w:val="20"/>
              </w:numPr>
              <w:rPr>
                <w:rFonts w:ascii="Arial Narrow" w:hAnsi="Arial Narrow"/>
                <w:color w:val="000000"/>
                <w:sz w:val="20"/>
              </w:rPr>
            </w:pPr>
            <w:r w:rsidRPr="00BD7840">
              <w:rPr>
                <w:rFonts w:ascii="Arial Narrow" w:hAnsi="Arial Narrow"/>
                <w:color w:val="000000"/>
                <w:sz w:val="20"/>
              </w:rPr>
              <w:t>Resident report of being able to get around neighborhood easily</w:t>
            </w:r>
          </w:p>
          <w:p w14:paraId="08F23D63" w14:textId="77777777" w:rsidR="00C070FD" w:rsidRDefault="0052012B" w:rsidP="00C070FD">
            <w:pPr>
              <w:pStyle w:val="ListParagraph"/>
              <w:numPr>
                <w:ilvl w:val="0"/>
                <w:numId w:val="20"/>
              </w:numPr>
              <w:rPr>
                <w:rFonts w:ascii="Arial Narrow" w:hAnsi="Arial Narrow"/>
                <w:color w:val="000000"/>
                <w:sz w:val="20"/>
              </w:rPr>
            </w:pPr>
            <w:r w:rsidRPr="00BD7840">
              <w:rPr>
                <w:rFonts w:ascii="Arial Narrow" w:hAnsi="Arial Narrow"/>
                <w:color w:val="000000"/>
                <w:sz w:val="20"/>
              </w:rPr>
              <w:t>Resident report of being able to access transportation when they need it</w:t>
            </w:r>
          </w:p>
          <w:p w14:paraId="5029A268" w14:textId="77777777" w:rsidR="00C070FD" w:rsidRDefault="0052012B" w:rsidP="00C070FD">
            <w:pPr>
              <w:pStyle w:val="ListParagraph"/>
              <w:numPr>
                <w:ilvl w:val="0"/>
                <w:numId w:val="20"/>
              </w:numPr>
              <w:rPr>
                <w:rFonts w:ascii="Arial Narrow" w:hAnsi="Arial Narrow"/>
                <w:color w:val="000000"/>
                <w:sz w:val="20"/>
              </w:rPr>
            </w:pPr>
            <w:r w:rsidRPr="00BD7840">
              <w:rPr>
                <w:rFonts w:ascii="Arial Narrow" w:hAnsi="Arial Narrow"/>
                <w:color w:val="000000"/>
                <w:sz w:val="20"/>
              </w:rPr>
              <w:t>Participant report of access to grocery stores, pharmacies, healthcare services, etc.</w:t>
            </w:r>
          </w:p>
          <w:p w14:paraId="68484665" w14:textId="77777777" w:rsidR="0052012B" w:rsidRPr="00BD7840" w:rsidRDefault="0052012B" w:rsidP="00C070FD">
            <w:pPr>
              <w:pStyle w:val="ListParagraph"/>
              <w:numPr>
                <w:ilvl w:val="0"/>
                <w:numId w:val="20"/>
              </w:numPr>
              <w:rPr>
                <w:rFonts w:ascii="Arial Narrow" w:hAnsi="Arial Narrow"/>
                <w:color w:val="000000"/>
                <w:sz w:val="20"/>
              </w:rPr>
            </w:pPr>
            <w:r w:rsidRPr="00BD7840">
              <w:rPr>
                <w:rFonts w:ascii="Arial Narrow" w:hAnsi="Arial Narrow"/>
                <w:color w:val="000000"/>
                <w:sz w:val="20"/>
              </w:rPr>
              <w:t>Overall satisfaction with neighborhood</w:t>
            </w:r>
          </w:p>
        </w:tc>
      </w:tr>
    </w:tbl>
    <w:p w14:paraId="17BDF46B" w14:textId="77777777" w:rsidR="0052012B" w:rsidRPr="0051555C" w:rsidRDefault="0052012B" w:rsidP="00E239AC"/>
    <w:p w14:paraId="139C5915" w14:textId="77777777" w:rsidR="00512A2A" w:rsidRDefault="00512A2A">
      <w:r>
        <w:br w:type="page"/>
      </w:r>
    </w:p>
    <w:tbl>
      <w:tblPr>
        <w:tblW w:w="5091" w:type="pct"/>
        <w:tblLook w:val="04A0" w:firstRow="1" w:lastRow="0" w:firstColumn="1" w:lastColumn="0" w:noHBand="0" w:noVBand="1"/>
      </w:tblPr>
      <w:tblGrid>
        <w:gridCol w:w="2509"/>
        <w:gridCol w:w="2447"/>
        <w:gridCol w:w="5344"/>
      </w:tblGrid>
      <w:tr w:rsidR="00BD7840" w:rsidRPr="00BD7840" w14:paraId="3E3DA43A" w14:textId="77777777" w:rsidTr="00561EF9">
        <w:tc>
          <w:tcPr>
            <w:tcW w:w="5000" w:type="pct"/>
            <w:gridSpan w:val="3"/>
            <w:tcBorders>
              <w:bottom w:val="single" w:sz="4" w:space="0" w:color="auto"/>
            </w:tcBorders>
            <w:shd w:val="clear" w:color="000000" w:fill="auto"/>
          </w:tcPr>
          <w:p w14:paraId="74EF4F65" w14:textId="77777777" w:rsidR="00BD7840" w:rsidRDefault="0051555C" w:rsidP="00F10912">
            <w:pPr>
              <w:spacing w:after="0" w:line="240" w:lineRule="auto"/>
              <w:rPr>
                <w:rFonts w:ascii="Arial Narrow" w:hAnsi="Arial Narrow"/>
                <w:b/>
                <w:bCs/>
                <w:color w:val="000000"/>
              </w:rPr>
            </w:pPr>
            <w:r w:rsidRPr="005D5FA2">
              <w:rPr>
                <w:rFonts w:ascii="Arial Narrow" w:hAnsi="Arial Narrow"/>
                <w:b/>
                <w:bCs/>
                <w:color w:val="000000"/>
              </w:rPr>
              <w:t>Research Question</w:t>
            </w:r>
            <w:r w:rsidR="00794220">
              <w:rPr>
                <w:rFonts w:ascii="Arial Narrow" w:hAnsi="Arial Narrow"/>
                <w:b/>
                <w:bCs/>
                <w:color w:val="000000"/>
              </w:rPr>
              <w:t xml:space="preserve"> 3</w:t>
            </w:r>
            <w:r w:rsidRPr="005D5FA2">
              <w:rPr>
                <w:rFonts w:ascii="Arial Narrow" w:hAnsi="Arial Narrow"/>
                <w:b/>
                <w:bCs/>
                <w:color w:val="000000"/>
              </w:rPr>
              <w:t>: What is the early evidence of the cost-effectiveness of the PRA program?</w:t>
            </w:r>
          </w:p>
          <w:p w14:paraId="474D186D" w14:textId="77777777" w:rsidR="00794220" w:rsidRDefault="00794220" w:rsidP="00F10912">
            <w:pPr>
              <w:spacing w:after="0" w:line="240" w:lineRule="auto"/>
              <w:rPr>
                <w:rFonts w:ascii="Arial Narrow" w:hAnsi="Arial Narrow"/>
                <w:b/>
                <w:bCs/>
                <w:color w:val="000000"/>
              </w:rPr>
            </w:pPr>
          </w:p>
          <w:p w14:paraId="3FFDEBD4" w14:textId="741CA7D7" w:rsidR="00794220" w:rsidRDefault="00794220" w:rsidP="00F10912">
            <w:pPr>
              <w:spacing w:after="0" w:line="240" w:lineRule="auto"/>
              <w:rPr>
                <w:rFonts w:ascii="Arial Narrow" w:hAnsi="Arial Narrow"/>
                <w:b/>
                <w:bCs/>
                <w:color w:val="000000"/>
              </w:rPr>
            </w:pPr>
            <w:r>
              <w:rPr>
                <w:rFonts w:ascii="Arial Narrow" w:hAnsi="Arial Narrow"/>
                <w:b/>
                <w:bCs/>
                <w:color w:val="000000"/>
              </w:rPr>
              <w:t>Exhibit A-4</w:t>
            </w:r>
            <w:r w:rsidRPr="00794220">
              <w:rPr>
                <w:rFonts w:ascii="Arial Narrow" w:hAnsi="Arial Narrow"/>
                <w:b/>
                <w:bCs/>
                <w:color w:val="000000"/>
              </w:rPr>
              <w:t>: Summary of Interview and Survey Data Collection</w:t>
            </w:r>
            <w:r>
              <w:rPr>
                <w:rFonts w:ascii="Arial Narrow" w:hAnsi="Arial Narrow"/>
                <w:b/>
                <w:bCs/>
                <w:color w:val="000000"/>
              </w:rPr>
              <w:t xml:space="preserve"> Activities (Research Question 3</w:t>
            </w:r>
            <w:r w:rsidRPr="00794220">
              <w:rPr>
                <w:rFonts w:ascii="Arial Narrow" w:hAnsi="Arial Narrow"/>
                <w:b/>
                <w:bCs/>
                <w:color w:val="000000"/>
              </w:rPr>
              <w:t>)</w:t>
            </w:r>
          </w:p>
          <w:p w14:paraId="275335A4" w14:textId="58A1531A" w:rsidR="00794220" w:rsidRPr="00794220" w:rsidRDefault="00794220" w:rsidP="00F10912">
            <w:pPr>
              <w:spacing w:after="0" w:line="240" w:lineRule="auto"/>
              <w:rPr>
                <w:rFonts w:ascii="Arial Narrow" w:hAnsi="Arial Narrow"/>
                <w:bCs/>
                <w:color w:val="000000"/>
                <w:sz w:val="20"/>
              </w:rPr>
            </w:pPr>
          </w:p>
        </w:tc>
      </w:tr>
      <w:tr w:rsidR="00BD7840" w:rsidRPr="00BD7840" w14:paraId="61743CC1" w14:textId="77777777" w:rsidTr="00561EF9">
        <w:tc>
          <w:tcPr>
            <w:tcW w:w="5000" w:type="pct"/>
            <w:gridSpan w:val="3"/>
            <w:tcBorders>
              <w:top w:val="single" w:sz="4" w:space="0" w:color="auto"/>
              <w:left w:val="single" w:sz="4" w:space="0" w:color="auto"/>
              <w:bottom w:val="single" w:sz="4" w:space="0" w:color="auto"/>
              <w:right w:val="single" w:sz="4" w:space="0" w:color="000000"/>
            </w:tcBorders>
            <w:shd w:val="clear" w:color="000000" w:fill="D9D9D9"/>
            <w:hideMark/>
          </w:tcPr>
          <w:p w14:paraId="5DD22221" w14:textId="77777777" w:rsidR="00BD7840" w:rsidRPr="00BD7840" w:rsidRDefault="00BD7840" w:rsidP="00BD7840">
            <w:pPr>
              <w:spacing w:after="0" w:line="240" w:lineRule="auto"/>
              <w:rPr>
                <w:rFonts w:ascii="Arial Narrow" w:hAnsi="Arial Narrow"/>
                <w:b/>
                <w:bCs/>
                <w:color w:val="000000"/>
                <w:szCs w:val="22"/>
              </w:rPr>
            </w:pPr>
            <w:r w:rsidRPr="00BD7840">
              <w:rPr>
                <w:rFonts w:ascii="Arial Narrow" w:hAnsi="Arial Narrow"/>
                <w:b/>
                <w:bCs/>
                <w:color w:val="000000"/>
                <w:szCs w:val="22"/>
              </w:rPr>
              <w:t>What are the per-participant costs of providing housing and disability-related supportive services in the PRA program, PRAC program, and other HUD-assisted housing including costs of program implementation and administration?</w:t>
            </w:r>
          </w:p>
        </w:tc>
      </w:tr>
      <w:tr w:rsidR="00BD7840" w:rsidRPr="00BD7840" w14:paraId="5C20EBB0" w14:textId="77777777" w:rsidTr="00561EF9">
        <w:tc>
          <w:tcPr>
            <w:tcW w:w="1218" w:type="pct"/>
            <w:tcBorders>
              <w:top w:val="nil"/>
              <w:left w:val="single" w:sz="4" w:space="0" w:color="auto"/>
              <w:bottom w:val="single" w:sz="4" w:space="0" w:color="auto"/>
              <w:right w:val="single" w:sz="4" w:space="0" w:color="auto"/>
            </w:tcBorders>
            <w:shd w:val="clear" w:color="auto" w:fill="auto"/>
            <w:noWrap/>
            <w:hideMark/>
          </w:tcPr>
          <w:p w14:paraId="434BA01D" w14:textId="77777777" w:rsidR="00BD7840" w:rsidRPr="00BD7840" w:rsidRDefault="00BD7840" w:rsidP="00BD7840">
            <w:pPr>
              <w:spacing w:after="0" w:line="240" w:lineRule="auto"/>
              <w:rPr>
                <w:rFonts w:ascii="Arial Narrow" w:hAnsi="Arial Narrow"/>
                <w:b/>
                <w:bCs/>
                <w:color w:val="000000"/>
                <w:sz w:val="20"/>
              </w:rPr>
            </w:pPr>
            <w:r w:rsidRPr="00BD7840">
              <w:rPr>
                <w:rFonts w:ascii="Arial Narrow" w:hAnsi="Arial Narrow"/>
                <w:b/>
                <w:bCs/>
                <w:color w:val="000000"/>
                <w:sz w:val="20"/>
              </w:rPr>
              <w:t>Data Source</w:t>
            </w:r>
          </w:p>
        </w:tc>
        <w:tc>
          <w:tcPr>
            <w:tcW w:w="1188" w:type="pct"/>
            <w:tcBorders>
              <w:top w:val="nil"/>
              <w:left w:val="nil"/>
              <w:bottom w:val="single" w:sz="4" w:space="0" w:color="auto"/>
              <w:right w:val="single" w:sz="4" w:space="0" w:color="auto"/>
            </w:tcBorders>
            <w:shd w:val="clear" w:color="auto" w:fill="auto"/>
            <w:noWrap/>
            <w:hideMark/>
          </w:tcPr>
          <w:p w14:paraId="474A56DF" w14:textId="77777777" w:rsidR="00BD7840" w:rsidRPr="00BD7840" w:rsidRDefault="00BD7840" w:rsidP="00BD7840">
            <w:pPr>
              <w:spacing w:after="0" w:line="240" w:lineRule="auto"/>
              <w:rPr>
                <w:rFonts w:ascii="Arial Narrow" w:hAnsi="Arial Narrow"/>
                <w:b/>
                <w:bCs/>
                <w:color w:val="000000"/>
                <w:sz w:val="20"/>
              </w:rPr>
            </w:pPr>
            <w:r w:rsidRPr="00BD7840">
              <w:rPr>
                <w:rFonts w:ascii="Arial Narrow" w:hAnsi="Arial Narrow"/>
                <w:b/>
                <w:bCs/>
                <w:color w:val="000000"/>
                <w:sz w:val="20"/>
              </w:rPr>
              <w:t>Interview/Survey Domain</w:t>
            </w:r>
          </w:p>
        </w:tc>
        <w:tc>
          <w:tcPr>
            <w:tcW w:w="2594" w:type="pct"/>
            <w:tcBorders>
              <w:top w:val="nil"/>
              <w:left w:val="nil"/>
              <w:bottom w:val="single" w:sz="4" w:space="0" w:color="auto"/>
              <w:right w:val="single" w:sz="4" w:space="0" w:color="auto"/>
            </w:tcBorders>
            <w:shd w:val="clear" w:color="auto" w:fill="auto"/>
            <w:noWrap/>
            <w:hideMark/>
          </w:tcPr>
          <w:p w14:paraId="09F376CA" w14:textId="77777777" w:rsidR="00BD7840" w:rsidRPr="00BD7840" w:rsidRDefault="00BD7840" w:rsidP="00BD7840">
            <w:pPr>
              <w:spacing w:after="0" w:line="240" w:lineRule="auto"/>
              <w:rPr>
                <w:rFonts w:ascii="Arial Narrow" w:hAnsi="Arial Narrow"/>
                <w:b/>
                <w:bCs/>
                <w:color w:val="000000"/>
                <w:sz w:val="20"/>
              </w:rPr>
            </w:pPr>
            <w:r w:rsidRPr="00BD7840">
              <w:rPr>
                <w:rFonts w:ascii="Arial Narrow" w:hAnsi="Arial Narrow"/>
                <w:b/>
                <w:bCs/>
                <w:color w:val="000000"/>
                <w:sz w:val="20"/>
              </w:rPr>
              <w:t>Measures</w:t>
            </w:r>
          </w:p>
        </w:tc>
      </w:tr>
      <w:tr w:rsidR="00BD7840" w:rsidRPr="00BD7840" w14:paraId="75BBBEDE"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75FEA3A3"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Interviews with property owners</w:t>
            </w:r>
          </w:p>
        </w:tc>
        <w:tc>
          <w:tcPr>
            <w:tcW w:w="1188" w:type="pct"/>
            <w:tcBorders>
              <w:top w:val="nil"/>
              <w:left w:val="nil"/>
              <w:bottom w:val="single" w:sz="4" w:space="0" w:color="auto"/>
              <w:right w:val="single" w:sz="4" w:space="0" w:color="auto"/>
            </w:tcBorders>
            <w:shd w:val="clear" w:color="auto" w:fill="auto"/>
            <w:hideMark/>
          </w:tcPr>
          <w:p w14:paraId="44D8A936"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 xml:space="preserve">PRA Program Administration and Staffing </w:t>
            </w:r>
          </w:p>
        </w:tc>
        <w:tc>
          <w:tcPr>
            <w:tcW w:w="2594" w:type="pct"/>
            <w:tcBorders>
              <w:top w:val="nil"/>
              <w:left w:val="nil"/>
              <w:bottom w:val="single" w:sz="4" w:space="0" w:color="auto"/>
              <w:right w:val="single" w:sz="4" w:space="0" w:color="auto"/>
            </w:tcBorders>
            <w:shd w:val="clear" w:color="auto" w:fill="auto"/>
            <w:hideMark/>
          </w:tcPr>
          <w:p w14:paraId="46E06657" w14:textId="77777777" w:rsid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Personnel</w:t>
            </w:r>
          </w:p>
          <w:p w14:paraId="29C2FCC3" w14:textId="77777777" w:rsid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Program-specific materials and indirect costs</w:t>
            </w:r>
          </w:p>
          <w:p w14:paraId="3867808F"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Administrative overhead</w:t>
            </w:r>
          </w:p>
        </w:tc>
      </w:tr>
      <w:tr w:rsidR="00BD7840" w:rsidRPr="00BD7840" w14:paraId="73C6FD97"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3E965172"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Interviews with property owners</w:t>
            </w:r>
          </w:p>
        </w:tc>
        <w:tc>
          <w:tcPr>
            <w:tcW w:w="1188" w:type="pct"/>
            <w:tcBorders>
              <w:top w:val="nil"/>
              <w:left w:val="nil"/>
              <w:bottom w:val="single" w:sz="4" w:space="0" w:color="auto"/>
              <w:right w:val="single" w:sz="4" w:space="0" w:color="auto"/>
            </w:tcBorders>
            <w:shd w:val="clear" w:color="auto" w:fill="auto"/>
            <w:hideMark/>
          </w:tcPr>
          <w:p w14:paraId="27BF5390"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Resident application and eligibility/Transition to PRA units</w:t>
            </w:r>
          </w:p>
        </w:tc>
        <w:tc>
          <w:tcPr>
            <w:tcW w:w="2594" w:type="pct"/>
            <w:tcBorders>
              <w:top w:val="nil"/>
              <w:left w:val="nil"/>
              <w:bottom w:val="single" w:sz="4" w:space="0" w:color="auto"/>
              <w:right w:val="single" w:sz="4" w:space="0" w:color="auto"/>
            </w:tcBorders>
            <w:shd w:val="clear" w:color="auto" w:fill="auto"/>
            <w:hideMark/>
          </w:tcPr>
          <w:p w14:paraId="71F58A49"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Capital and operating costs of serving individuals with disabilities</w:t>
            </w:r>
          </w:p>
        </w:tc>
      </w:tr>
      <w:tr w:rsidR="00BD7840" w:rsidRPr="00BD7840" w14:paraId="6E6882C4"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33FB796D"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Interviews with property owners</w:t>
            </w:r>
          </w:p>
        </w:tc>
        <w:tc>
          <w:tcPr>
            <w:tcW w:w="1188" w:type="pct"/>
            <w:tcBorders>
              <w:top w:val="nil"/>
              <w:left w:val="nil"/>
              <w:bottom w:val="single" w:sz="4" w:space="0" w:color="auto"/>
              <w:right w:val="single" w:sz="4" w:space="0" w:color="auto"/>
            </w:tcBorders>
            <w:shd w:val="clear" w:color="auto" w:fill="auto"/>
            <w:noWrap/>
            <w:hideMark/>
          </w:tcPr>
          <w:p w14:paraId="516E0FE8"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Resident tenancy and support</w:t>
            </w:r>
          </w:p>
        </w:tc>
        <w:tc>
          <w:tcPr>
            <w:tcW w:w="2594" w:type="pct"/>
            <w:tcBorders>
              <w:top w:val="nil"/>
              <w:left w:val="nil"/>
              <w:bottom w:val="single" w:sz="4" w:space="0" w:color="auto"/>
              <w:right w:val="single" w:sz="4" w:space="0" w:color="auto"/>
            </w:tcBorders>
            <w:shd w:val="clear" w:color="auto" w:fill="auto"/>
            <w:hideMark/>
          </w:tcPr>
          <w:p w14:paraId="066511CC"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Services received in home</w:t>
            </w:r>
          </w:p>
        </w:tc>
      </w:tr>
      <w:tr w:rsidR="00BD7840" w:rsidRPr="00BD7840" w14:paraId="47D1E8FF"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3A6D9A3B"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Interviews with service providers</w:t>
            </w:r>
          </w:p>
        </w:tc>
        <w:tc>
          <w:tcPr>
            <w:tcW w:w="1188" w:type="pct"/>
            <w:tcBorders>
              <w:top w:val="nil"/>
              <w:left w:val="nil"/>
              <w:bottom w:val="single" w:sz="4" w:space="0" w:color="auto"/>
              <w:right w:val="single" w:sz="4" w:space="0" w:color="auto"/>
            </w:tcBorders>
            <w:shd w:val="clear" w:color="auto" w:fill="auto"/>
            <w:hideMark/>
          </w:tcPr>
          <w:p w14:paraId="19C29B2F"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Partnerships and Organizational Structure/PRA Program Staffing and Costs</w:t>
            </w:r>
          </w:p>
        </w:tc>
        <w:tc>
          <w:tcPr>
            <w:tcW w:w="2594" w:type="pct"/>
            <w:tcBorders>
              <w:top w:val="nil"/>
              <w:left w:val="nil"/>
              <w:bottom w:val="single" w:sz="4" w:space="0" w:color="auto"/>
              <w:right w:val="single" w:sz="4" w:space="0" w:color="auto"/>
            </w:tcBorders>
            <w:shd w:val="clear" w:color="auto" w:fill="auto"/>
            <w:hideMark/>
          </w:tcPr>
          <w:p w14:paraId="59C81411" w14:textId="77777777" w:rsid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Personnel</w:t>
            </w:r>
          </w:p>
          <w:p w14:paraId="6BB6C0A4" w14:textId="77777777" w:rsid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Program-specific materials and indirect costs</w:t>
            </w:r>
          </w:p>
          <w:p w14:paraId="5D094611"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Administrative overhead</w:t>
            </w:r>
          </w:p>
        </w:tc>
      </w:tr>
      <w:tr w:rsidR="00BD7840" w:rsidRPr="00BD7840" w14:paraId="515B9149"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5AE44AEA"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Interviews with service providers</w:t>
            </w:r>
          </w:p>
        </w:tc>
        <w:tc>
          <w:tcPr>
            <w:tcW w:w="1188" w:type="pct"/>
            <w:tcBorders>
              <w:top w:val="nil"/>
              <w:left w:val="nil"/>
              <w:bottom w:val="single" w:sz="4" w:space="0" w:color="auto"/>
              <w:right w:val="single" w:sz="4" w:space="0" w:color="auto"/>
            </w:tcBorders>
            <w:shd w:val="clear" w:color="auto" w:fill="auto"/>
            <w:noWrap/>
            <w:hideMark/>
          </w:tcPr>
          <w:p w14:paraId="031AC967"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Transition services</w:t>
            </w:r>
          </w:p>
        </w:tc>
        <w:tc>
          <w:tcPr>
            <w:tcW w:w="2594" w:type="pct"/>
            <w:tcBorders>
              <w:top w:val="nil"/>
              <w:left w:val="nil"/>
              <w:bottom w:val="single" w:sz="4" w:space="0" w:color="auto"/>
              <w:right w:val="single" w:sz="4" w:space="0" w:color="auto"/>
            </w:tcBorders>
            <w:shd w:val="clear" w:color="auto" w:fill="auto"/>
            <w:hideMark/>
          </w:tcPr>
          <w:p w14:paraId="35AD3874"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Services received in home</w:t>
            </w:r>
          </w:p>
        </w:tc>
      </w:tr>
      <w:tr w:rsidR="00BD7840" w:rsidRPr="00BD7840" w14:paraId="03EB262E" w14:textId="77777777" w:rsidTr="00561EF9">
        <w:tc>
          <w:tcPr>
            <w:tcW w:w="1218" w:type="pct"/>
            <w:tcBorders>
              <w:top w:val="nil"/>
              <w:left w:val="single" w:sz="4" w:space="0" w:color="auto"/>
              <w:bottom w:val="single" w:sz="4" w:space="0" w:color="auto"/>
              <w:right w:val="single" w:sz="4" w:space="0" w:color="auto"/>
            </w:tcBorders>
            <w:shd w:val="clear" w:color="auto" w:fill="auto"/>
            <w:hideMark/>
          </w:tcPr>
          <w:p w14:paraId="40E17184"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Surveys of Section 811 PRA and PRAC residents</w:t>
            </w:r>
          </w:p>
        </w:tc>
        <w:tc>
          <w:tcPr>
            <w:tcW w:w="1188" w:type="pct"/>
            <w:tcBorders>
              <w:top w:val="nil"/>
              <w:left w:val="nil"/>
              <w:bottom w:val="single" w:sz="4" w:space="0" w:color="auto"/>
              <w:right w:val="single" w:sz="4" w:space="0" w:color="auto"/>
            </w:tcBorders>
            <w:shd w:val="clear" w:color="auto" w:fill="auto"/>
            <w:hideMark/>
          </w:tcPr>
          <w:p w14:paraId="23CCA02F" w14:textId="77777777" w:rsidR="00BD7840" w:rsidRPr="00BD7840" w:rsidRDefault="00BD7840" w:rsidP="00BD7840">
            <w:pPr>
              <w:spacing w:after="0" w:line="240" w:lineRule="auto"/>
              <w:rPr>
                <w:rFonts w:ascii="Arial Narrow" w:hAnsi="Arial Narrow"/>
                <w:color w:val="000000"/>
                <w:sz w:val="20"/>
              </w:rPr>
            </w:pPr>
            <w:r w:rsidRPr="00BD7840">
              <w:rPr>
                <w:rFonts w:ascii="Arial Narrow" w:hAnsi="Arial Narrow"/>
                <w:color w:val="000000"/>
                <w:sz w:val="20"/>
              </w:rPr>
              <w:t>Transition process</w:t>
            </w:r>
          </w:p>
        </w:tc>
        <w:tc>
          <w:tcPr>
            <w:tcW w:w="2594" w:type="pct"/>
            <w:tcBorders>
              <w:top w:val="nil"/>
              <w:left w:val="nil"/>
              <w:bottom w:val="single" w:sz="4" w:space="0" w:color="auto"/>
              <w:right w:val="single" w:sz="4" w:space="0" w:color="auto"/>
            </w:tcBorders>
            <w:shd w:val="clear" w:color="auto" w:fill="auto"/>
            <w:hideMark/>
          </w:tcPr>
          <w:p w14:paraId="7C29ECA2" w14:textId="77777777" w:rsid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Assistance provided to the applicant during the application process</w:t>
            </w:r>
          </w:p>
          <w:p w14:paraId="6F680094" w14:textId="77777777" w:rsidR="00BD7840" w:rsidRPr="00C070FD" w:rsidRDefault="00BD7840" w:rsidP="00C070FD">
            <w:pPr>
              <w:pStyle w:val="ListParagraph"/>
              <w:numPr>
                <w:ilvl w:val="0"/>
                <w:numId w:val="21"/>
              </w:numPr>
              <w:ind w:left="379"/>
              <w:rPr>
                <w:rFonts w:ascii="Arial Narrow" w:hAnsi="Arial Narrow"/>
                <w:color w:val="000000"/>
                <w:sz w:val="20"/>
              </w:rPr>
            </w:pPr>
            <w:r w:rsidRPr="00C070FD">
              <w:rPr>
                <w:rFonts w:ascii="Arial Narrow" w:hAnsi="Arial Narrow"/>
                <w:color w:val="000000"/>
                <w:sz w:val="20"/>
              </w:rPr>
              <w:t>Housing modification services</w:t>
            </w:r>
          </w:p>
        </w:tc>
      </w:tr>
    </w:tbl>
    <w:p w14:paraId="6F24624A" w14:textId="77777777" w:rsidR="0052012B" w:rsidRDefault="0052012B" w:rsidP="00E239AC"/>
    <w:p w14:paraId="61DB97D5" w14:textId="77777777" w:rsidR="008E0E93" w:rsidRPr="00755C06" w:rsidRDefault="00DF5700" w:rsidP="00DF5700">
      <w:pPr>
        <w:pStyle w:val="Heading1"/>
      </w:pPr>
      <w:bookmarkStart w:id="4" w:name="_Toc482188542"/>
      <w:r w:rsidRPr="00DF5700">
        <w:t>Use of Improved Information Technology and Burden Reduction</w:t>
      </w:r>
      <w:bookmarkEnd w:id="4"/>
    </w:p>
    <w:p w14:paraId="00297FF6" w14:textId="77777777" w:rsidR="00512A2A" w:rsidRDefault="00512A2A" w:rsidP="00512A2A">
      <w:r w:rsidRPr="00512A2A">
        <w:t xml:space="preserve">The research team will make every effort to reduce the burden on the respondents, by making effective use of technology to streamline data collection procedures. </w:t>
      </w:r>
    </w:p>
    <w:p w14:paraId="405CB666" w14:textId="77777777" w:rsidR="008E0E93" w:rsidRDefault="00690439" w:rsidP="00690439">
      <w:r>
        <w:t>Surveys of Section 811 PRA and PRAC residents will be conducted in-person</w:t>
      </w:r>
      <w:r w:rsidR="00DC1BE6">
        <w:t xml:space="preserve"> and</w:t>
      </w:r>
      <w:r w:rsidR="00DC1BE6" w:rsidRPr="00DC1BE6">
        <w:t xml:space="preserve"> </w:t>
      </w:r>
      <w:r w:rsidR="00DC1BE6" w:rsidRPr="00115FC1">
        <w:t xml:space="preserve">administered orally by </w:t>
      </w:r>
      <w:r w:rsidR="00DC1BE6">
        <w:t>interviewers</w:t>
      </w:r>
      <w:r w:rsidR="00DC1BE6" w:rsidRPr="00115FC1">
        <w:t xml:space="preserve"> trained to work with sensitive health data and individuals with disabilities.</w:t>
      </w:r>
      <w:r w:rsidR="00F8539D">
        <w:t xml:space="preserve"> </w:t>
      </w:r>
      <w:r w:rsidR="00DC1BE6">
        <w:t>The i</w:t>
      </w:r>
      <w:r w:rsidR="00F8539D">
        <w:t>nterviewers will use laptops and enter responses directly into a</w:t>
      </w:r>
      <w:r w:rsidR="00244D8F">
        <w:t xml:space="preserve">n offline </w:t>
      </w:r>
      <w:r w:rsidR="00F8539D">
        <w:t>database.</w:t>
      </w:r>
      <w:r w:rsidR="00244D8F">
        <w:t xml:space="preserve"> Use of the laptops will allow interviewers to quickly record data </w:t>
      </w:r>
      <w:r w:rsidR="008F0CF0">
        <w:t xml:space="preserve">and continue with the interview without extended pauses or delays. </w:t>
      </w:r>
    </w:p>
    <w:p w14:paraId="023C4D81" w14:textId="7D2A6E86" w:rsidR="00512A2A" w:rsidRPr="006C7FAE" w:rsidRDefault="006B7C21" w:rsidP="00690439">
      <w:r>
        <w:t>Interviews with</w:t>
      </w:r>
      <w:r w:rsidR="00512A2A">
        <w:t xml:space="preserve"> property owners and managers, service providers, and PHA staff</w:t>
      </w:r>
      <w:r>
        <w:t xml:space="preserve"> will be conducted</w:t>
      </w:r>
      <w:r w:rsidR="00512A2A">
        <w:t xml:space="preserve"> in </w:t>
      </w:r>
      <w:r>
        <w:t xml:space="preserve">person (to the extent possible).  The interviewers </w:t>
      </w:r>
      <w:r w:rsidR="00512A2A">
        <w:t>will record responses directly into Word documents on a laptop.  Interview responses will be</w:t>
      </w:r>
      <w:r>
        <w:t xml:space="preserve"> directly</w:t>
      </w:r>
      <w:r w:rsidR="00512A2A">
        <w:t xml:space="preserve"> uploaded to</w:t>
      </w:r>
      <w:r>
        <w:t xml:space="preserve"> nVivo, qualitative data analysis software for coding and analysis.  </w:t>
      </w:r>
      <w:r w:rsidR="00512A2A">
        <w:t xml:space="preserve"> </w:t>
      </w:r>
      <w:r w:rsidR="00512A2A" w:rsidRPr="00512A2A">
        <w:t xml:space="preserve">The </w:t>
      </w:r>
      <w:r w:rsidR="00512A2A">
        <w:t>administrative</w:t>
      </w:r>
      <w:r w:rsidR="00512A2A" w:rsidRPr="00512A2A">
        <w:t xml:space="preserve"> interviews will be audio recorded if the respondent agrees to be recorded.</w:t>
      </w:r>
      <w:r w:rsidR="00512A2A">
        <w:t xml:space="preserve"> Audio recordings </w:t>
      </w:r>
      <w:r>
        <w:t>will allow</w:t>
      </w:r>
      <w:r w:rsidR="00512A2A">
        <w:t xml:space="preserve"> the research team to confirm responses without </w:t>
      </w:r>
      <w:r>
        <w:t xml:space="preserve">needing to contact respondents after the interview is completed. </w:t>
      </w:r>
      <w:r w:rsidR="00512A2A">
        <w:t xml:space="preserve">The study team is </w:t>
      </w:r>
      <w:r>
        <w:t xml:space="preserve">also </w:t>
      </w:r>
      <w:r w:rsidR="00512A2A">
        <w:t xml:space="preserve">developing a secure, web-based collaborative web-site so that the </w:t>
      </w:r>
      <w:r>
        <w:t xml:space="preserve">study participants </w:t>
      </w:r>
      <w:r w:rsidR="00512A2A">
        <w:t xml:space="preserve">can provide </w:t>
      </w:r>
      <w:r>
        <w:t xml:space="preserve">requested </w:t>
      </w:r>
      <w:r w:rsidR="00512A2A">
        <w:t>program documents electronically to the study team.</w:t>
      </w:r>
      <w:r>
        <w:t xml:space="preserve">  </w:t>
      </w:r>
    </w:p>
    <w:p w14:paraId="3FCE2FBC" w14:textId="77777777" w:rsidR="008E0E93" w:rsidRPr="006C7FAE" w:rsidRDefault="00DF5700" w:rsidP="00DF5700">
      <w:pPr>
        <w:pStyle w:val="Heading1"/>
      </w:pPr>
      <w:bookmarkStart w:id="5" w:name="_Toc482188543"/>
      <w:r w:rsidRPr="00DF5700">
        <w:t>Efforts to Identify Duplication and Use of Similar Information</w:t>
      </w:r>
      <w:bookmarkEnd w:id="5"/>
    </w:p>
    <w:p w14:paraId="640A207A" w14:textId="77777777" w:rsidR="008E0E93" w:rsidRPr="006C7FAE" w:rsidRDefault="00B0297F" w:rsidP="007B38FA">
      <w:r w:rsidRPr="00305783">
        <w:t xml:space="preserve">This </w:t>
      </w:r>
      <w:r>
        <w:t>study</w:t>
      </w:r>
      <w:r w:rsidRPr="00305783">
        <w:t xml:space="preserve"> is a second phase of a </w:t>
      </w:r>
      <w:r w:rsidR="001870D1">
        <w:t>multi</w:t>
      </w:r>
      <w:r w:rsidRPr="00305783">
        <w:t>-phase evaluation</w:t>
      </w:r>
      <w:r w:rsidR="00294105">
        <w:t xml:space="preserve">. </w:t>
      </w:r>
      <w:r w:rsidR="007B38FA" w:rsidRPr="007B38FA">
        <w:t xml:space="preserve">As part of the design process for the study, the contractor conducted a review of literature regarding the </w:t>
      </w:r>
      <w:r>
        <w:t>Section 811 PRA P</w:t>
      </w:r>
      <w:r w:rsidR="007B38FA" w:rsidRPr="007B38FA">
        <w:t xml:space="preserve">rogram. </w:t>
      </w:r>
      <w:r>
        <w:t>Other than data collection in Phase I of the evaluation, n</w:t>
      </w:r>
      <w:r w:rsidR="007B38FA" w:rsidRPr="007B38FA">
        <w:t xml:space="preserve">o </w:t>
      </w:r>
      <w:r>
        <w:t xml:space="preserve">other </w:t>
      </w:r>
      <w:r w:rsidR="007B38FA" w:rsidRPr="007B38FA">
        <w:t xml:space="preserve">studies were identified that involved </w:t>
      </w:r>
      <w:r>
        <w:t xml:space="preserve">data collection </w:t>
      </w:r>
      <w:r w:rsidR="007B38FA" w:rsidRPr="007B38FA">
        <w:t xml:space="preserve">with </w:t>
      </w:r>
      <w:r w:rsidR="00F20DAC">
        <w:t>property owners and managers, service providers, PHA staff, or residents in Section 811 PRA or Section 811 PRAC units.</w:t>
      </w:r>
      <w:r w:rsidR="007B38FA" w:rsidRPr="007B38FA">
        <w:t xml:space="preserve"> HUD is unaware of any other studies for which this study represents a duplicate research effort.</w:t>
      </w:r>
      <w:r w:rsidR="00AE424F">
        <w:t xml:space="preserve"> </w:t>
      </w:r>
      <w:r w:rsidR="003F3536">
        <w:t>The contractor will review data collection from Phase I of the evaluation to tailor the Phase II interviews to only cover new data collection, eliminating duplicative data collection efforts.</w:t>
      </w:r>
    </w:p>
    <w:p w14:paraId="738CD8B6" w14:textId="77777777" w:rsidR="008E0E93" w:rsidRPr="006C7FAE" w:rsidRDefault="00DF5700" w:rsidP="00DF5700">
      <w:pPr>
        <w:pStyle w:val="Heading1"/>
      </w:pPr>
      <w:bookmarkStart w:id="6" w:name="_Toc482188544"/>
      <w:r w:rsidRPr="00DF5700">
        <w:t>Impact on Small Businesses or Other Small Entities</w:t>
      </w:r>
      <w:bookmarkEnd w:id="6"/>
    </w:p>
    <w:p w14:paraId="7D62A9A3" w14:textId="045FF4E8" w:rsidR="008E0E93" w:rsidRDefault="00E5226B" w:rsidP="00E5226B">
      <w:r>
        <w:t xml:space="preserve">This data collection effort </w:t>
      </w:r>
      <w:r w:rsidRPr="00E5226B">
        <w:t>include</w:t>
      </w:r>
      <w:r>
        <w:t>s</w:t>
      </w:r>
      <w:r w:rsidRPr="00E5226B">
        <w:t xml:space="preserve"> interviews with owners</w:t>
      </w:r>
      <w:r>
        <w:t xml:space="preserve"> </w:t>
      </w:r>
      <w:r w:rsidR="00512A2A">
        <w:t xml:space="preserve">and managers </w:t>
      </w:r>
      <w:r w:rsidRPr="00E5226B">
        <w:t>of rental properties</w:t>
      </w:r>
      <w:r w:rsidR="007F5280">
        <w:t xml:space="preserve"> and service provider agencies</w:t>
      </w:r>
      <w:r w:rsidRPr="00E5226B">
        <w:t xml:space="preserve">, and the owners </w:t>
      </w:r>
      <w:r w:rsidR="007F5280">
        <w:t xml:space="preserve">and service providers </w:t>
      </w:r>
      <w:r w:rsidRPr="00E5226B">
        <w:t xml:space="preserve">could include small </w:t>
      </w:r>
      <w:r w:rsidR="007F5280">
        <w:t>businesses</w:t>
      </w:r>
      <w:r w:rsidRPr="00E5226B">
        <w:t xml:space="preserve"> entities. </w:t>
      </w:r>
      <w:r w:rsidR="00F05AA7">
        <w:t xml:space="preserve">Organizations that provide services to PRA residents could </w:t>
      </w:r>
      <w:r w:rsidR="0023006A">
        <w:t xml:space="preserve">also include small businesses. </w:t>
      </w:r>
      <w:r w:rsidRPr="00E5226B">
        <w:t>This is a voluntary survey. At most, 2</w:t>
      </w:r>
      <w:r w:rsidR="00F05AA7">
        <w:t>4</w:t>
      </w:r>
      <w:r w:rsidRPr="00E5226B">
        <w:t xml:space="preserve"> </w:t>
      </w:r>
      <w:r w:rsidR="00F05AA7">
        <w:t xml:space="preserve">property </w:t>
      </w:r>
      <w:r w:rsidRPr="00E5226B">
        <w:t xml:space="preserve">owners </w:t>
      </w:r>
      <w:r w:rsidR="00F05AA7">
        <w:t xml:space="preserve">and 48 service providers </w:t>
      </w:r>
      <w:r w:rsidRPr="00E5226B">
        <w:t>will participate in the data collection.</w:t>
      </w:r>
      <w:r w:rsidR="00AE424F">
        <w:t xml:space="preserve"> </w:t>
      </w:r>
    </w:p>
    <w:p w14:paraId="727890F2" w14:textId="1A4A0189" w:rsidR="00573E27" w:rsidRDefault="00573E27" w:rsidP="00E5226B">
      <w:r>
        <w:t xml:space="preserve">To minimize burden on small businesses, interviewers will conduct the interviews in person at a time and location of the respondent’s choosing.  If it is not practical for the interviewer to travel to the location of the small business, the interview will be conducted by phone. The interviewer will provide a list of interview topics prior to the scheduled interview.  The </w:t>
      </w:r>
      <w:r w:rsidR="00016E6E">
        <w:t>interviewer</w:t>
      </w:r>
      <w:r>
        <w:t xml:space="preserve"> will record the responses directly into a Word document on a laptop, reducing the need for later follow up with respondents for clarity of response.</w:t>
      </w:r>
    </w:p>
    <w:p w14:paraId="14DC89C6" w14:textId="128B60DA" w:rsidR="00573E27" w:rsidRDefault="00573E27" w:rsidP="00E5226B">
      <w:r>
        <w:t>The interview guides have been developed to capture only qualitative information that cannot be captured from other data sources.  The study team will obtain information on characteristics of PRA properties and owners of PRA properties in administrative data received from HUD, information on PHAs from publicly-available datasets, and information on the types and costs of services provided by service providers from administrative data from CMS and state Medicaid agencies.</w:t>
      </w:r>
    </w:p>
    <w:p w14:paraId="4D12C53B" w14:textId="77777777" w:rsidR="008E0E93" w:rsidRPr="006C7FAE" w:rsidRDefault="00DF5700" w:rsidP="00DF5700">
      <w:pPr>
        <w:pStyle w:val="Heading1"/>
      </w:pPr>
      <w:bookmarkStart w:id="7" w:name="_Toc482188545"/>
      <w:r w:rsidRPr="00DF5700">
        <w:t>Consequences of Collecting the Information Less Frequently</w:t>
      </w:r>
      <w:bookmarkEnd w:id="7"/>
    </w:p>
    <w:p w14:paraId="64253B61" w14:textId="42B72886" w:rsidR="008E0E93" w:rsidRDefault="00DF4F2C" w:rsidP="00DF4F2C">
      <w:r w:rsidRPr="00DF4F2C">
        <w:t>This data collection effort will only be conducted once and under specific contract guidelines.</w:t>
      </w:r>
      <w:r w:rsidR="00A9490A">
        <w:t xml:space="preserve"> Without this data collecti</w:t>
      </w:r>
      <w:r w:rsidR="00573E27">
        <w:t>on</w:t>
      </w:r>
      <w:r w:rsidR="00A9490A">
        <w:t xml:space="preserve"> effort, HUD will be unable to evaluate the implementation of the Section 811 PRA program, as mandated by Congress. </w:t>
      </w:r>
      <w:r w:rsidR="00A00858">
        <w:t>T</w:t>
      </w:r>
      <w:r w:rsidR="00A00858" w:rsidRPr="00A00858">
        <w:t xml:space="preserve">he Frank Melville Supportive Housing Investment Act of 2010 requires </w:t>
      </w:r>
      <w:r w:rsidR="001F1EC1">
        <w:t>HUD to describe the P</w:t>
      </w:r>
      <w:r w:rsidR="006B7C21">
        <w:t xml:space="preserve">roject </w:t>
      </w:r>
      <w:r w:rsidR="001F1EC1">
        <w:t>R</w:t>
      </w:r>
      <w:r w:rsidR="006B7C21">
        <w:t xml:space="preserve">ental </w:t>
      </w:r>
      <w:r w:rsidR="001F1EC1">
        <w:t>A</w:t>
      </w:r>
      <w:r w:rsidR="006B7C21">
        <w:t xml:space="preserve">ssistance provided, analyze the effectiveness of project rental assistance under the Section 811 program compared to the capital advance program, and make recommendations for future models of assistance under Section 811. </w:t>
      </w:r>
    </w:p>
    <w:p w14:paraId="0F93BCB6" w14:textId="10382C45" w:rsidR="00815A20" w:rsidRDefault="00815A20" w:rsidP="00815A20">
      <w:r>
        <w:t xml:space="preserve">The Section 811 program continues to be an important approach used to assist nonelderly persons with disabilities and their families, and the information gathered through this study will allow HUD to better understand the different types of supporting housing assistance models that is being administered throughout the country and the characteristics of households served by these programs.  As a program that HUD is continuing to fund in future years, HUD seeks to make every effort to ensure the successful implementation of the program. Without this type of data collection, HUD’s ability to improve Section 811 programs as well as provide guidance to Section 811 grantees is limited.  </w:t>
      </w:r>
    </w:p>
    <w:p w14:paraId="791E8817" w14:textId="74BA1806" w:rsidR="00815A20" w:rsidRDefault="00815A20" w:rsidP="00815A20">
      <w:r>
        <w:t xml:space="preserve">Without the qualitative information from this data collection, the value of the study would be greatly reduced.  Without administrative interviews, the study will have little insight into how the PRA programs are being administered by state housing agencies and their partnering agencies, and little insight into what aspects of the PRA program are associated with positive short-term outcomes.  Without survey data from </w:t>
      </w:r>
      <w:r w:rsidRPr="00815A20">
        <w:t>Section 811 PRA and PRAC residents</w:t>
      </w:r>
      <w:r>
        <w:t xml:space="preserve">, the study’s impact analysis will be unable to compare </w:t>
      </w:r>
      <w:r w:rsidR="00016E6E">
        <w:t>characteristics of interest (</w:t>
      </w:r>
      <w:r w:rsidRPr="00815A20">
        <w:t xml:space="preserve">quality of life, housing and neighborhood quality, housing tenure, and utilization of healthcare and </w:t>
      </w:r>
      <w:r>
        <w:t>long-term services and supports</w:t>
      </w:r>
      <w:r w:rsidR="00016E6E">
        <w:t xml:space="preserve">) </w:t>
      </w:r>
      <w:r>
        <w:t xml:space="preserve">between PRA and PRAC residents.  </w:t>
      </w:r>
    </w:p>
    <w:p w14:paraId="0363D501" w14:textId="77777777" w:rsidR="00F620C2" w:rsidRDefault="00DF5700" w:rsidP="00DF5700">
      <w:pPr>
        <w:pStyle w:val="Heading1"/>
      </w:pPr>
      <w:bookmarkStart w:id="8" w:name="_Toc482188546"/>
      <w:r w:rsidRPr="00DF5700">
        <w:t>Special Circumstances Relating to the Guidelines of 5 CFR 1320</w:t>
      </w:r>
      <w:bookmarkEnd w:id="8"/>
    </w:p>
    <w:p w14:paraId="2053715D" w14:textId="6659026D" w:rsidR="00C705FC" w:rsidRDefault="00C705FC" w:rsidP="00D573BC">
      <w:pPr>
        <w:pStyle w:val="Bullets"/>
        <w:numPr>
          <w:ilvl w:val="0"/>
          <w:numId w:val="0"/>
        </w:numPr>
        <w:rPr>
          <w:b/>
        </w:rPr>
      </w:pPr>
      <w:r w:rsidRPr="00FB6008">
        <w:t>The proposed data collection activities are consistent with the guidelines set forth in 5 CFR 1320.6 (Controlling Paperwork Burden on the Public, General Information Collection Guidelines). There are no circumstances that require deviation from these guidelines.</w:t>
      </w:r>
      <w:r>
        <w:t xml:space="preserve">  </w:t>
      </w:r>
    </w:p>
    <w:p w14:paraId="27EF35E5" w14:textId="3EABBC35" w:rsidR="00DF4F2C" w:rsidRDefault="00DF4F2C" w:rsidP="00DF4F2C">
      <w:pPr>
        <w:pStyle w:val="Bullets"/>
      </w:pPr>
      <w:r w:rsidRPr="00B254F4">
        <w:rPr>
          <w:b/>
        </w:rPr>
        <w:t>Requiring respondents to report information to the agency more often than quarterly</w:t>
      </w:r>
      <w:r w:rsidR="00C705FC" w:rsidRPr="00D573BC">
        <w:t>;</w:t>
      </w:r>
    </w:p>
    <w:p w14:paraId="5D601392" w14:textId="3ADBB8BE" w:rsidR="00B254F4" w:rsidRPr="00D573BC" w:rsidRDefault="00B254F4" w:rsidP="00B254F4">
      <w:pPr>
        <w:pStyle w:val="Bullets"/>
        <w:numPr>
          <w:ilvl w:val="0"/>
          <w:numId w:val="0"/>
        </w:numPr>
        <w:ind w:left="360" w:hanging="360"/>
      </w:pPr>
      <w:r w:rsidRPr="005E6C7C">
        <w:t>Respondents will only be involved in a one-time data collection</w:t>
      </w:r>
    </w:p>
    <w:p w14:paraId="7A5C2DE5" w14:textId="22CAF930" w:rsidR="00DF4F2C" w:rsidRDefault="00DF4F2C" w:rsidP="00DF4F2C">
      <w:pPr>
        <w:pStyle w:val="Bullets"/>
      </w:pPr>
      <w:r w:rsidRPr="00B254F4">
        <w:rPr>
          <w:b/>
        </w:rPr>
        <w:t>Requiring respondents to prepare a written response to a collection of information in fewer than 30 days after receipt of it</w:t>
      </w:r>
      <w:r w:rsidR="00C705FC" w:rsidRPr="00D573BC">
        <w:t>;</w:t>
      </w:r>
    </w:p>
    <w:p w14:paraId="5FC65EA2" w14:textId="7FDC2991" w:rsidR="00B254F4" w:rsidRPr="00D573BC" w:rsidRDefault="00B254F4" w:rsidP="00B254F4">
      <w:pPr>
        <w:pStyle w:val="Bullets"/>
        <w:numPr>
          <w:ilvl w:val="0"/>
          <w:numId w:val="0"/>
        </w:numPr>
      </w:pPr>
      <w:r w:rsidRPr="005E6C7C">
        <w:t>Respondents are not required to prepare a written response as part of this data collection effort.</w:t>
      </w:r>
    </w:p>
    <w:p w14:paraId="3D06E371" w14:textId="77777777" w:rsidR="00B254F4" w:rsidRDefault="00DF4F2C" w:rsidP="00DF4F2C">
      <w:pPr>
        <w:pStyle w:val="Bullets"/>
      </w:pPr>
      <w:r w:rsidRPr="00B254F4">
        <w:rPr>
          <w:b/>
        </w:rPr>
        <w:t>Requiring respondents to submit more than an original and two copies of any document</w:t>
      </w:r>
      <w:r w:rsidR="00C705FC" w:rsidRPr="00D573BC">
        <w:t>;</w:t>
      </w:r>
    </w:p>
    <w:p w14:paraId="34385306" w14:textId="7FBEF1D3" w:rsidR="00DF4F2C" w:rsidRPr="00D573BC" w:rsidRDefault="00B254F4" w:rsidP="00B254F4">
      <w:pPr>
        <w:pStyle w:val="Bullets"/>
        <w:numPr>
          <w:ilvl w:val="0"/>
          <w:numId w:val="0"/>
        </w:numPr>
      </w:pPr>
      <w:r w:rsidRPr="005E6C7C">
        <w:t xml:space="preserve">Respondents are not required to submit </w:t>
      </w:r>
      <w:r>
        <w:t xml:space="preserve">more than an original and two copies of </w:t>
      </w:r>
      <w:r w:rsidRPr="005E6C7C">
        <w:t>any documents as part of this data collection effort</w:t>
      </w:r>
      <w:r>
        <w:t>.</w:t>
      </w:r>
    </w:p>
    <w:p w14:paraId="78E4C0D3" w14:textId="23C7967B" w:rsidR="00DF4F2C" w:rsidRDefault="00DF4F2C" w:rsidP="00DF4F2C">
      <w:pPr>
        <w:pStyle w:val="Bullets"/>
      </w:pPr>
      <w:r w:rsidRPr="00B254F4">
        <w:rPr>
          <w:b/>
        </w:rPr>
        <w:t>Requiring respondents to retain records, other than health, medical, government contract, grant-in-aid, or tax records for more than three years</w:t>
      </w:r>
      <w:r w:rsidR="00C705FC" w:rsidRPr="00D573BC">
        <w:t>;</w:t>
      </w:r>
    </w:p>
    <w:p w14:paraId="3AE4BA29" w14:textId="3FA95FE7" w:rsidR="00B254F4" w:rsidRPr="00D573BC" w:rsidRDefault="00B254F4" w:rsidP="00B254F4">
      <w:pPr>
        <w:pStyle w:val="Bullets"/>
        <w:numPr>
          <w:ilvl w:val="0"/>
          <w:numId w:val="0"/>
        </w:numPr>
      </w:pPr>
      <w:r w:rsidRPr="005E6C7C">
        <w:t>Respondents are not required to retain records as part of this data collection effort</w:t>
      </w:r>
      <w:r>
        <w:t xml:space="preserve"> for more than three years.</w:t>
      </w:r>
    </w:p>
    <w:p w14:paraId="28347DAB" w14:textId="268593AA" w:rsidR="00DF4F2C" w:rsidRDefault="00DF4F2C" w:rsidP="00DF4F2C">
      <w:pPr>
        <w:pStyle w:val="Bullets"/>
      </w:pPr>
      <w:r w:rsidRPr="00B254F4">
        <w:rPr>
          <w:b/>
        </w:rPr>
        <w:t>In connection with a statistical survey, that is not designed to produce valid and reliable results that can be generalized to the universe of study</w:t>
      </w:r>
      <w:r w:rsidR="00C705FC" w:rsidRPr="00D573BC">
        <w:t>;</w:t>
      </w:r>
      <w:r w:rsidR="00AE424F" w:rsidRPr="00D573BC">
        <w:t xml:space="preserve"> </w:t>
      </w:r>
    </w:p>
    <w:p w14:paraId="6D7E9CED" w14:textId="7083ABDF" w:rsidR="00B254F4" w:rsidRPr="00D573BC" w:rsidRDefault="00B254F4" w:rsidP="00B254F4">
      <w:pPr>
        <w:pStyle w:val="Bullets"/>
        <w:numPr>
          <w:ilvl w:val="0"/>
          <w:numId w:val="0"/>
        </w:numPr>
      </w:pPr>
      <w:r w:rsidRPr="005E6C7C">
        <w:t xml:space="preserve">This data collection does not involve a statistical survey. </w:t>
      </w:r>
      <w:r>
        <w:t>Respondents will be selected based on a purposive sample</w:t>
      </w:r>
      <w:r w:rsidR="006F7D3D">
        <w:rPr>
          <w:rStyle w:val="FootnoteReference"/>
        </w:rPr>
        <w:footnoteReference w:id="2"/>
      </w:r>
      <w:r>
        <w:t>, and the i</w:t>
      </w:r>
      <w:r w:rsidRPr="005E6C7C">
        <w:t>nterviews will gather qualitative information to inf</w:t>
      </w:r>
      <w:r>
        <w:t>orm HUD on some experiences of property owners and managers, service providers, PHA staff, and residents in Section 811 PRA and PRAC units on the implementation and ongoing operations of the Section 811 program.</w:t>
      </w:r>
    </w:p>
    <w:p w14:paraId="3FC6A9E3" w14:textId="31ECC0CA" w:rsidR="00DF4F2C" w:rsidRDefault="00DF4F2C" w:rsidP="00DF4F2C">
      <w:pPr>
        <w:pStyle w:val="Bullets"/>
      </w:pPr>
      <w:r w:rsidRPr="00B254F4">
        <w:rPr>
          <w:b/>
        </w:rPr>
        <w:t>Requiring the use of a statistical data classification that has not been reviewed and approved by OMB</w:t>
      </w:r>
      <w:r w:rsidR="00C705FC" w:rsidRPr="00D573BC">
        <w:t>;</w:t>
      </w:r>
    </w:p>
    <w:p w14:paraId="62ACCB5D" w14:textId="5720D708" w:rsidR="00B254F4" w:rsidRPr="00D573BC" w:rsidRDefault="00B254F4" w:rsidP="00B254F4">
      <w:pPr>
        <w:pStyle w:val="Bullets"/>
        <w:numPr>
          <w:ilvl w:val="0"/>
          <w:numId w:val="0"/>
        </w:numPr>
      </w:pPr>
      <w:r w:rsidRPr="005E6C7C">
        <w:t xml:space="preserve">This data collection does not involve the use of any statistical data </w:t>
      </w:r>
      <w:r>
        <w:t xml:space="preserve">classification has </w:t>
      </w:r>
      <w:r w:rsidRPr="005E6C7C">
        <w:t xml:space="preserve">not </w:t>
      </w:r>
      <w:r>
        <w:t xml:space="preserve">been </w:t>
      </w:r>
      <w:r w:rsidRPr="005E6C7C">
        <w:t>reviewed and approved by OMB</w:t>
      </w:r>
      <w:r>
        <w:t>.</w:t>
      </w:r>
    </w:p>
    <w:p w14:paraId="4665525E" w14:textId="654CDEA2" w:rsidR="00DF4F2C" w:rsidRDefault="00DF4F2C" w:rsidP="00E970C3">
      <w:pPr>
        <w:pStyle w:val="Bullets"/>
      </w:pPr>
      <w:r w:rsidRPr="00B254F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C705FC" w:rsidRPr="00D573BC">
        <w:t>;</w:t>
      </w:r>
    </w:p>
    <w:p w14:paraId="5105CBA3" w14:textId="6F2D5C0B" w:rsidR="00B254F4" w:rsidRPr="00D573BC" w:rsidRDefault="00B254F4" w:rsidP="00B254F4">
      <w:pPr>
        <w:pStyle w:val="Bullets"/>
        <w:numPr>
          <w:ilvl w:val="0"/>
          <w:numId w:val="0"/>
        </w:numPr>
      </w:pPr>
      <w:r w:rsidRPr="005E6C7C">
        <w:t>This data collection does not involve the use of a pledge of confidentiality that would deviate from statute or regulation, be inconsistent with disclosure and data security policies, or be considered as impeding the sharing of data as appropriate.</w:t>
      </w:r>
    </w:p>
    <w:p w14:paraId="330EA1C9" w14:textId="3BD19AC6" w:rsidR="00DF4F2C" w:rsidRDefault="00DF4F2C" w:rsidP="00DF4F2C">
      <w:pPr>
        <w:pStyle w:val="Bullets"/>
      </w:pPr>
      <w:r w:rsidRPr="00B254F4">
        <w:rPr>
          <w:b/>
        </w:rPr>
        <w:t>Requiring respondents to submit proprietary trade secret, or other confidential information unless the agency can demonstrate that it has instituted procedures to protect the information's confidentiality</w:t>
      </w:r>
      <w:r w:rsidR="00FC0EE6" w:rsidRPr="00B254F4">
        <w:rPr>
          <w:b/>
        </w:rPr>
        <w:t xml:space="preserve"> to the extent permitted by law</w:t>
      </w:r>
      <w:r w:rsidR="00C705FC" w:rsidRPr="00D573BC">
        <w:t>.</w:t>
      </w:r>
    </w:p>
    <w:p w14:paraId="732B725F" w14:textId="4A8F128A" w:rsidR="00B254F4" w:rsidRDefault="00B254F4" w:rsidP="00B254F4">
      <w:pPr>
        <w:pStyle w:val="Bullets"/>
        <w:numPr>
          <w:ilvl w:val="0"/>
          <w:numId w:val="0"/>
        </w:numPr>
      </w:pPr>
      <w:r w:rsidRPr="00B254F4">
        <w:t>This data collection does not require respondents to submit proprietary trade secrets or confidential information.</w:t>
      </w:r>
    </w:p>
    <w:p w14:paraId="6DC70934" w14:textId="77777777" w:rsidR="00B254F4" w:rsidRPr="00D573BC" w:rsidRDefault="00B254F4" w:rsidP="00B254F4">
      <w:pPr>
        <w:pStyle w:val="Bullets"/>
        <w:numPr>
          <w:ilvl w:val="0"/>
          <w:numId w:val="0"/>
        </w:numPr>
      </w:pPr>
    </w:p>
    <w:p w14:paraId="58C8DA93" w14:textId="77777777" w:rsidR="008E0E93" w:rsidRDefault="00DF5700" w:rsidP="00DF5700">
      <w:pPr>
        <w:pStyle w:val="Heading1"/>
      </w:pPr>
      <w:bookmarkStart w:id="9" w:name="_Toc482188547"/>
      <w:r w:rsidRPr="00DF5700">
        <w:t>Comments in Response to the Federal Register Notice and Efforts to Consult Outside of the Agency</w:t>
      </w:r>
      <w:bookmarkEnd w:id="9"/>
    </w:p>
    <w:p w14:paraId="2C760D2C" w14:textId="5B5030E0" w:rsidR="005B4ECA" w:rsidRPr="005B4ECA" w:rsidRDefault="001F29A2" w:rsidP="005B4ECA">
      <w:r w:rsidRPr="001F29A2">
        <w:t xml:space="preserve">In accordance with 5 CFR 1320.8 (Paperwork Reduction Act of 1995), </w:t>
      </w:r>
      <w:r w:rsidR="0086451A">
        <w:t>a</w:t>
      </w:r>
      <w:r w:rsidRPr="001F29A2">
        <w:t xml:space="preserve"> Notice of Proposed Information Col</w:t>
      </w:r>
      <w:r w:rsidR="0086451A">
        <w:t xml:space="preserve">lection for publication in the Federal register has been prepared to </w:t>
      </w:r>
      <w:r w:rsidRPr="001F29A2">
        <w:t>announc</w:t>
      </w:r>
      <w:r w:rsidR="0086451A">
        <w:t>e</w:t>
      </w:r>
      <w:r w:rsidRPr="001F29A2">
        <w:t xml:space="preserve"> the agency’s intention to request an OMB review of data collection activities for the </w:t>
      </w:r>
      <w:r w:rsidR="0086451A">
        <w:t>evaluation of the Section 811 PRA program</w:t>
      </w:r>
      <w:r w:rsidR="0086451A" w:rsidRPr="001262EA">
        <w:t>.</w:t>
      </w:r>
      <w:r w:rsidRPr="001262EA">
        <w:t xml:space="preserve"> </w:t>
      </w:r>
      <w:r w:rsidR="00842AB1" w:rsidRPr="001262EA">
        <w:t xml:space="preserve">HUD published a 60-Day Notice of Proposed Information Collection in the Federal Register on </w:t>
      </w:r>
      <w:r w:rsidR="001262EA" w:rsidRPr="001262EA">
        <w:t>April 21</w:t>
      </w:r>
      <w:r w:rsidR="00842AB1" w:rsidRPr="001262EA">
        <w:t>, 201</w:t>
      </w:r>
      <w:r w:rsidR="001262EA">
        <w:t>7. The Docket No. is FR-6003-N-04</w:t>
      </w:r>
      <w:r w:rsidR="00842AB1" w:rsidRPr="001262EA">
        <w:t xml:space="preserve"> and the notice appeared on pages </w:t>
      </w:r>
      <w:r w:rsidR="001262EA">
        <w:t>18768-18769</w:t>
      </w:r>
      <w:r w:rsidR="00842AB1" w:rsidRPr="001262EA">
        <w:t xml:space="preserve">. The notice provides a 60-day period for public comments, and comments are due </w:t>
      </w:r>
      <w:r w:rsidR="001262EA">
        <w:t>June 20</w:t>
      </w:r>
      <w:r w:rsidR="00842AB1" w:rsidRPr="001262EA">
        <w:t>, 2017.</w:t>
      </w:r>
      <w:r w:rsidR="00842AB1" w:rsidRPr="00842AB1">
        <w:t xml:space="preserve"> </w:t>
      </w:r>
      <w:r w:rsidR="00CD7B70">
        <w:t xml:space="preserve"> </w:t>
      </w:r>
      <w:r w:rsidR="0086451A" w:rsidRPr="0086451A">
        <w:rPr>
          <w:highlight w:val="green"/>
        </w:rPr>
        <w:t>A copy of the</w:t>
      </w:r>
      <w:r w:rsidR="00E05C56">
        <w:rPr>
          <w:highlight w:val="green"/>
        </w:rPr>
        <w:t xml:space="preserve"> </w:t>
      </w:r>
      <w:r w:rsidRPr="0086451A">
        <w:rPr>
          <w:highlight w:val="green"/>
        </w:rPr>
        <w:t>notice is included with this Information Collection Request (ICR)</w:t>
      </w:r>
      <w:r w:rsidR="00E239AC">
        <w:rPr>
          <w:highlight w:val="green"/>
        </w:rPr>
        <w:t xml:space="preserve"> in Appendix </w:t>
      </w:r>
      <w:r w:rsidR="00561EF9">
        <w:rPr>
          <w:highlight w:val="green"/>
        </w:rPr>
        <w:t>E</w:t>
      </w:r>
      <w:r w:rsidRPr="0086451A">
        <w:rPr>
          <w:highlight w:val="green"/>
        </w:rPr>
        <w:t>.</w:t>
      </w:r>
      <w:r w:rsidR="00AE424F">
        <w:t xml:space="preserve"> </w:t>
      </w:r>
    </w:p>
    <w:p w14:paraId="47E42DAC" w14:textId="37516A81" w:rsidR="00A80791" w:rsidRDefault="0086451A" w:rsidP="00CD7B70">
      <w:r w:rsidRPr="0086451A">
        <w:t xml:space="preserve">Consultations about the research design, data sources, and study reports occurred during the study’s design phase and will continue to take place throughout the study. </w:t>
      </w:r>
      <w:r w:rsidR="003F3536">
        <w:t>T</w:t>
      </w:r>
      <w:r w:rsidRPr="0086451A">
        <w:t>hese consultations ensure</w:t>
      </w:r>
      <w:r w:rsidR="003F3536">
        <w:t>d</w:t>
      </w:r>
      <w:r w:rsidRPr="0086451A">
        <w:t xml:space="preserve"> the technical soundness of the study and the relevance of its findings. </w:t>
      </w:r>
      <w:r w:rsidR="00A80791" w:rsidRPr="00A80791">
        <w:t xml:space="preserve">The </w:t>
      </w:r>
      <w:r w:rsidR="00A80791">
        <w:t>Section 811 Project Rental Assistance Evaluation Phase II</w:t>
      </w:r>
      <w:r w:rsidR="00A80791" w:rsidRPr="00A80791">
        <w:t xml:space="preserve"> was developed and is being implemented with the assistance of Abt Associates Inc., the </w:t>
      </w:r>
      <w:r w:rsidR="00A80791">
        <w:t>study’s</w:t>
      </w:r>
      <w:r w:rsidR="00A80791" w:rsidRPr="00A80791">
        <w:t xml:space="preserve"> contractor. Key members of the Abt team include</w:t>
      </w:r>
      <w:r w:rsidR="00A80791">
        <w:t xml:space="preserve"> Gretchen Locke, Sara Galantowicz, Dr. Jill Khadduri, Dr. Terry Moore, Melissa Vandawalker, Dr. Austin Nichols, and Dr. Samuel Dastrup.  </w:t>
      </w:r>
      <w:r w:rsidR="007A5AAC">
        <w:t xml:space="preserve">Staff from </w:t>
      </w:r>
      <w:r w:rsidR="00A80791" w:rsidRPr="00A80791">
        <w:t>HUD</w:t>
      </w:r>
      <w:r w:rsidR="005E04B6">
        <w:t>, the Office of the Assistant Secretary for Planning and Evaluation (ASPE)</w:t>
      </w:r>
      <w:r w:rsidR="00C23771">
        <w:t>,</w:t>
      </w:r>
      <w:r w:rsidR="00A80791" w:rsidRPr="00A80791">
        <w:t xml:space="preserve"> </w:t>
      </w:r>
      <w:r w:rsidR="007A5AAC">
        <w:t xml:space="preserve">and the Centers for Medicare and Medicaid Services </w:t>
      </w:r>
      <w:r w:rsidR="005E04B6">
        <w:t xml:space="preserve">(CMS) </w:t>
      </w:r>
      <w:r w:rsidR="007A5AAC">
        <w:t xml:space="preserve">at the Department of Health and Human Services </w:t>
      </w:r>
      <w:r w:rsidR="00A80791" w:rsidRPr="00A80791">
        <w:t>ha</w:t>
      </w:r>
      <w:r w:rsidR="007A5AAC">
        <w:t>ve</w:t>
      </w:r>
      <w:r w:rsidR="00A80791" w:rsidRPr="00A80791">
        <w:t xml:space="preserve"> collaborated on the design of the evaluation with the research team throughout all phases of the study to date.</w:t>
      </w:r>
      <w:r w:rsidR="00AE424F">
        <w:t xml:space="preserve"> </w:t>
      </w:r>
    </w:p>
    <w:p w14:paraId="3ED24099" w14:textId="77777777" w:rsidR="00AD11E7" w:rsidRDefault="00AD11E7" w:rsidP="00AD11E7">
      <w:bookmarkStart w:id="10" w:name="_Toc482188548"/>
      <w:r w:rsidRPr="00AF0EF5">
        <w:t xml:space="preserve">HUD received </w:t>
      </w:r>
      <w:r>
        <w:t>one comment</w:t>
      </w:r>
      <w:r w:rsidRPr="00AF0EF5">
        <w:t xml:space="preserve"> for the proposed information collection from a</w:t>
      </w:r>
      <w:r>
        <w:t xml:space="preserve">n individual who has disabilities and is interested in applying to the </w:t>
      </w:r>
      <w:r w:rsidRPr="00AF0EF5">
        <w:t xml:space="preserve">Section 811 Project Rental Assistance </w:t>
      </w:r>
      <w:r>
        <w:t xml:space="preserve">(PRA) </w:t>
      </w:r>
      <w:r w:rsidRPr="00AF0EF5">
        <w:t xml:space="preserve">program. </w:t>
      </w:r>
      <w:r>
        <w:t xml:space="preserve">HUD responded to the individual to clarify the state of residence and direct this individual to the appropriate state grantee. </w:t>
      </w:r>
    </w:p>
    <w:p w14:paraId="17B8ED6A" w14:textId="77777777" w:rsidR="008E0E93" w:rsidRPr="006C7FAE" w:rsidRDefault="00DF5700" w:rsidP="00DF5700">
      <w:pPr>
        <w:pStyle w:val="Heading1"/>
      </w:pPr>
      <w:r w:rsidRPr="00DF5700">
        <w:t>Explanation of Any Payment or Gift to Respondents</w:t>
      </w:r>
      <w:bookmarkEnd w:id="10"/>
    </w:p>
    <w:p w14:paraId="2C78AB63" w14:textId="77777777" w:rsidR="00A80791" w:rsidRDefault="00A80791" w:rsidP="00A80791">
      <w:r>
        <w:t xml:space="preserve">Section 811 PRA and PRAC residents who take part in the one-time surveys </w:t>
      </w:r>
      <w:r w:rsidRPr="00403AA9">
        <w:t xml:space="preserve">will receive a $40 gift card </w:t>
      </w:r>
      <w:r w:rsidR="001F0063">
        <w:t xml:space="preserve">to thank them for </w:t>
      </w:r>
      <w:r w:rsidRPr="00403AA9">
        <w:t>their time</w:t>
      </w:r>
      <w:r w:rsidR="00BF0596">
        <w:t xml:space="preserve"> and </w:t>
      </w:r>
      <w:r w:rsidR="00A6288A">
        <w:t xml:space="preserve">to </w:t>
      </w:r>
      <w:r w:rsidR="00BF0596">
        <w:t>help defray any costs the respondent may incur to participate in the interview</w:t>
      </w:r>
      <w:r w:rsidRPr="00403AA9">
        <w:t>.</w:t>
      </w:r>
      <w:r>
        <w:t xml:space="preserve"> </w:t>
      </w:r>
      <w:r w:rsidR="00BF0596">
        <w:t xml:space="preserve">Because the number of potential </w:t>
      </w:r>
      <w:r w:rsidR="00A6288A">
        <w:t xml:space="preserve">resident </w:t>
      </w:r>
      <w:r w:rsidR="00BF0596">
        <w:t>respondents is small, each response is critical to the study, and the gift cards will help</w:t>
      </w:r>
      <w:r>
        <w:t xml:space="preserve"> </w:t>
      </w:r>
      <w:r w:rsidR="00EB3208">
        <w:t>ensure a high data collection response</w:t>
      </w:r>
      <w:r w:rsidR="00F20C01">
        <w:t>.</w:t>
      </w:r>
      <w:r w:rsidR="00EB3208">
        <w:t xml:space="preserve"> </w:t>
      </w:r>
      <w:r>
        <w:t>The incentive amount w</w:t>
      </w:r>
      <w:r w:rsidR="007A5AAC">
        <w:t>as</w:t>
      </w:r>
      <w:r>
        <w:t xml:space="preserve"> determined based on the estimate of respondent burden for participating in the survey, the costs associated with participating the survey, and other studies of compa</w:t>
      </w:r>
      <w:r w:rsidR="00C92AFA">
        <w:t xml:space="preserve">rable populations and burdens. </w:t>
      </w:r>
    </w:p>
    <w:p w14:paraId="2C53D16E" w14:textId="77777777" w:rsidR="008E0E93" w:rsidRPr="006C7FAE" w:rsidRDefault="00DF5700" w:rsidP="00DF5700">
      <w:pPr>
        <w:pStyle w:val="Heading1"/>
      </w:pPr>
      <w:bookmarkStart w:id="11" w:name="_Toc482188549"/>
      <w:r w:rsidRPr="00DF5700">
        <w:t>Assurances of Confidentiality Provided to Respondents</w:t>
      </w:r>
      <w:bookmarkEnd w:id="11"/>
    </w:p>
    <w:p w14:paraId="269621FC" w14:textId="2E6FD9B8" w:rsidR="00F63C60" w:rsidRDefault="00A80791" w:rsidP="00F63C60">
      <w:r w:rsidRPr="00A80791">
        <w:t>HUD has entered into a contract with an independent research team</w:t>
      </w:r>
      <w:r>
        <w:t>, Abt Associates Inc.</w:t>
      </w:r>
      <w:r w:rsidRPr="00A80791">
        <w:t xml:space="preserve"> to conduct this research effort. HUD and </w:t>
      </w:r>
      <w:r>
        <w:t>Abt Associates</w:t>
      </w:r>
      <w:r w:rsidRPr="00A80791">
        <w:t xml:space="preserve"> will make every effort to maintain the privacy of respondents, to the extent permitted by law. 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 A Privacy Impact Assessment </w:t>
      </w:r>
      <w:r w:rsidR="00DC6901">
        <w:t>was approved by</w:t>
      </w:r>
      <w:r w:rsidRPr="00A80791">
        <w:t xml:space="preserve"> the Department</w:t>
      </w:r>
      <w:r w:rsidR="00DC6901">
        <w:t xml:space="preserve"> on 06/26/2017</w:t>
      </w:r>
      <w:r w:rsidRPr="00A80791">
        <w:t xml:space="preserve">. </w:t>
      </w:r>
      <w:r w:rsidR="00F63C60" w:rsidRPr="00A80791">
        <w:t xml:space="preserve">All research staff working on the project have been trained to protect private information and have signed a pledge stating that they will keep all information gathered private to the extent permissible by law. </w:t>
      </w:r>
    </w:p>
    <w:p w14:paraId="68A27CC9" w14:textId="6408003E" w:rsidR="00A80791" w:rsidRDefault="003F3536" w:rsidP="00A80791">
      <w:pPr>
        <w:pStyle w:val="Numbers"/>
        <w:numPr>
          <w:ilvl w:val="0"/>
          <w:numId w:val="0"/>
        </w:numPr>
      </w:pPr>
      <w:r>
        <w:t>Resident survey respondents</w:t>
      </w:r>
      <w:r w:rsidR="003B163B">
        <w:t xml:space="preserve"> are non-elderly persons with disabilities. </w:t>
      </w:r>
      <w:r w:rsidR="00A80791" w:rsidRPr="00FE1920">
        <w:t>Resident surveys</w:t>
      </w:r>
      <w:r w:rsidR="00A80791">
        <w:rPr>
          <w:b/>
        </w:rPr>
        <w:t xml:space="preserve"> </w:t>
      </w:r>
      <w:r w:rsidR="00A80791">
        <w:t>w</w:t>
      </w:r>
      <w:r w:rsidR="00F63C60">
        <w:t xml:space="preserve">ill be administered orally by </w:t>
      </w:r>
      <w:r w:rsidR="00A80791">
        <w:t xml:space="preserve">staff trained to work with sensitive health data and individuals with disabilities. The </w:t>
      </w:r>
      <w:r w:rsidR="00F63C60">
        <w:t xml:space="preserve">resident </w:t>
      </w:r>
      <w:r w:rsidR="00A80791">
        <w:t xml:space="preserve">survey includes questions on quality of life, self-reported physical and mental health status, family support and composition, </w:t>
      </w:r>
      <w:r w:rsidR="00176B3C">
        <w:t xml:space="preserve">housing quality, </w:t>
      </w:r>
      <w:r w:rsidR="00A80791">
        <w:t>neighborhood quality, access to supportive services, and transition processes.</w:t>
      </w:r>
      <w:r w:rsidR="00F63C60">
        <w:t xml:space="preserve"> Resident survey r</w:t>
      </w:r>
      <w:r w:rsidR="00F63C60" w:rsidRPr="00A80791">
        <w:t xml:space="preserve">espondents included in the study will be asked for written consent to participate in </w:t>
      </w:r>
      <w:r w:rsidR="00F63C60">
        <w:t>the survey</w:t>
      </w:r>
      <w:r w:rsidR="00F20C01">
        <w:t>.</w:t>
      </w:r>
      <w:r w:rsidR="00F63C60">
        <w:t xml:space="preserve"> </w:t>
      </w:r>
      <w:r w:rsidR="00C01676" w:rsidRPr="00C01676">
        <w:t>For residents who may lack the capacity to provide informed consent, consent will be obtained from his/her legally authorized representative in accordance with relevant state laws.</w:t>
      </w:r>
      <w:r w:rsidR="002F2D3C">
        <w:t xml:space="preserve"> </w:t>
      </w:r>
      <w:r w:rsidR="00F63C60" w:rsidRPr="00F20C01">
        <w:rPr>
          <w:highlight w:val="green"/>
        </w:rPr>
        <w:t xml:space="preserve">(See Appendix </w:t>
      </w:r>
      <w:r w:rsidR="00561EF9">
        <w:rPr>
          <w:highlight w:val="green"/>
        </w:rPr>
        <w:t>D</w:t>
      </w:r>
      <w:r w:rsidR="00561EF9" w:rsidRPr="00F20C01">
        <w:rPr>
          <w:highlight w:val="green"/>
        </w:rPr>
        <w:t xml:space="preserve"> </w:t>
      </w:r>
      <w:r w:rsidR="00F63C60" w:rsidRPr="00F20C01">
        <w:rPr>
          <w:highlight w:val="green"/>
        </w:rPr>
        <w:t xml:space="preserve">for </w:t>
      </w:r>
      <w:r w:rsidR="002F2D3C">
        <w:rPr>
          <w:highlight w:val="green"/>
        </w:rPr>
        <w:t>Informed</w:t>
      </w:r>
      <w:r w:rsidR="00F63C60" w:rsidRPr="00F20C01">
        <w:rPr>
          <w:highlight w:val="green"/>
        </w:rPr>
        <w:t xml:space="preserve"> Consent for Resident Surveys</w:t>
      </w:r>
      <w:r w:rsidR="00F20C01">
        <w:rPr>
          <w:highlight w:val="green"/>
        </w:rPr>
        <w:t>.</w:t>
      </w:r>
      <w:r w:rsidR="00F63C60" w:rsidRPr="00F20C01">
        <w:rPr>
          <w:highlight w:val="green"/>
        </w:rPr>
        <w:t>)</w:t>
      </w:r>
      <w:r w:rsidR="00F63C60" w:rsidRPr="00A80791">
        <w:t xml:space="preserve"> </w:t>
      </w:r>
      <w:r w:rsidR="00A80791">
        <w:t>Hard cop</w:t>
      </w:r>
      <w:r w:rsidR="00F63C60">
        <w:t xml:space="preserve">y written consent forms and any </w:t>
      </w:r>
      <w:r w:rsidR="00F63C60" w:rsidRPr="00A80791">
        <w:t>papers that contain participant names or other identifying information will be kept in locked areas and any computer documents containing identifying information will be protected with a password.</w:t>
      </w:r>
      <w:r w:rsidR="00151AEB">
        <w:t xml:space="preserve"> </w:t>
      </w:r>
      <w:r w:rsidR="00F63C60">
        <w:t xml:space="preserve">Surveys </w:t>
      </w:r>
      <w:r w:rsidR="00A80791">
        <w:t xml:space="preserve">will be completed electronically, offline, through an </w:t>
      </w:r>
      <w:r w:rsidR="00151AEB">
        <w:t xml:space="preserve">MS </w:t>
      </w:r>
      <w:r w:rsidR="00A80791">
        <w:t>A</w:t>
      </w:r>
      <w:r w:rsidR="00F63C60">
        <w:t>ccess database on a</w:t>
      </w:r>
      <w:r w:rsidR="00A80791">
        <w:t xml:space="preserve"> secure laptop that is encrypted. </w:t>
      </w:r>
      <w:r w:rsidR="00F63C60">
        <w:t xml:space="preserve">Survey respondents will </w:t>
      </w:r>
      <w:r w:rsidR="00A80791">
        <w:t>only be linked to responses through a</w:t>
      </w:r>
      <w:r w:rsidR="00F63C60">
        <w:t xml:space="preserve"> de-identified study </w:t>
      </w:r>
      <w:r w:rsidR="00A80791">
        <w:t xml:space="preserve">number and the state where the participant lives. </w:t>
      </w:r>
      <w:r w:rsidR="00F63C60">
        <w:t>A</w:t>
      </w:r>
      <w:r w:rsidR="00A80791">
        <w:t xml:space="preserve">ny identifying information will be removed from the survey. </w:t>
      </w:r>
      <w:r w:rsidR="00CB3970">
        <w:t>When the interview</w:t>
      </w:r>
      <w:r>
        <w:t>er</w:t>
      </w:r>
      <w:r w:rsidR="00CB3970">
        <w:t>s return to the Abt office, they will transfer the survey responses from the laptop to Abt’s secure server. Once transferred, t</w:t>
      </w:r>
      <w:r w:rsidR="00A80791">
        <w:t xml:space="preserve">he </w:t>
      </w:r>
      <w:r w:rsidR="007A5AAC">
        <w:t xml:space="preserve">individual </w:t>
      </w:r>
      <w:r w:rsidR="00A80791">
        <w:t>survey responses will not leave the</w:t>
      </w:r>
      <w:r w:rsidR="00F63C60">
        <w:t xml:space="preserve"> contractors’ secure</w:t>
      </w:r>
      <w:r w:rsidR="00A80791">
        <w:t xml:space="preserve"> server. </w:t>
      </w:r>
    </w:p>
    <w:p w14:paraId="3C9A2CB9" w14:textId="77777777" w:rsidR="00A80791" w:rsidRDefault="00F63C60" w:rsidP="00A80791">
      <w:pPr>
        <w:pStyle w:val="Numbers"/>
        <w:numPr>
          <w:ilvl w:val="0"/>
          <w:numId w:val="0"/>
        </w:numPr>
      </w:pPr>
      <w:r>
        <w:t>For a</w:t>
      </w:r>
      <w:r w:rsidR="00A80791">
        <w:t>dministrative in</w:t>
      </w:r>
      <w:r w:rsidR="00A80791" w:rsidRPr="00FE1920">
        <w:t>terviews</w:t>
      </w:r>
      <w:r w:rsidR="00A80791">
        <w:rPr>
          <w:b/>
        </w:rPr>
        <w:t xml:space="preserve"> </w:t>
      </w:r>
      <w:r w:rsidR="00A80791">
        <w:t xml:space="preserve">with </w:t>
      </w:r>
      <w:r>
        <w:t xml:space="preserve">staff from </w:t>
      </w:r>
      <w:r w:rsidR="00A80791">
        <w:t xml:space="preserve">PRA </w:t>
      </w:r>
      <w:r>
        <w:t>program participating agencies, interviewers will record staff position, title, and site location.</w:t>
      </w:r>
      <w:r w:rsidR="00A80791">
        <w:t xml:space="preserve"> </w:t>
      </w:r>
      <w:r>
        <w:t xml:space="preserve">During the interviews, staff will </w:t>
      </w:r>
      <w:r w:rsidR="00CB3970">
        <w:t xml:space="preserve">enter </w:t>
      </w:r>
      <w:r>
        <w:t xml:space="preserve">interview notes on an encrypted laptop. </w:t>
      </w:r>
      <w:r w:rsidR="00CB3970">
        <w:t xml:space="preserve">After the site visit is completed, staff will transfer the interview notes to </w:t>
      </w:r>
      <w:r w:rsidR="00A80791">
        <w:t>Abt Associates</w:t>
      </w:r>
      <w:r w:rsidR="00CB3970">
        <w:t>’</w:t>
      </w:r>
      <w:r w:rsidR="00A80791">
        <w:t xml:space="preserve"> common drive</w:t>
      </w:r>
      <w:r w:rsidR="00CB3970">
        <w:t>, to a folder</w:t>
      </w:r>
      <w:r w:rsidR="00A80791">
        <w:t xml:space="preserve"> with access restricted only to staff associated with the project. </w:t>
      </w:r>
    </w:p>
    <w:p w14:paraId="01B278CC" w14:textId="77777777" w:rsidR="00F63C60" w:rsidRDefault="00F63C60" w:rsidP="00F63C60">
      <w:r w:rsidRPr="00A80791">
        <w:t xml:space="preserve">All respondents included in the study will be informed that information they provide will be used only for the purpose of this research. </w:t>
      </w:r>
      <w:r w:rsidR="00980AA4">
        <w:t>Respondents will be notified of this in the consent statement, which respondents will be given information about at the start of the interview.</w:t>
      </w:r>
      <w:r w:rsidRPr="00A80791">
        <w:t xml:space="preserve"> Individuals will not be cited as sources of information in prepared reports. </w:t>
      </w:r>
    </w:p>
    <w:p w14:paraId="36D0D771" w14:textId="77777777" w:rsidR="008E0E93" w:rsidRPr="006C7FAE" w:rsidRDefault="00DF5700" w:rsidP="00DF5700">
      <w:pPr>
        <w:pStyle w:val="Heading1"/>
      </w:pPr>
      <w:bookmarkStart w:id="12" w:name="_Toc482188550"/>
      <w:r w:rsidRPr="00DF5700">
        <w:t>Justification of Sensitive Questions</w:t>
      </w:r>
      <w:bookmarkEnd w:id="12"/>
    </w:p>
    <w:p w14:paraId="04E5DFC6" w14:textId="2A71D0EE" w:rsidR="008E0E93" w:rsidRDefault="00E970C3" w:rsidP="00E970C3">
      <w:r w:rsidRPr="00E970C3">
        <w:t xml:space="preserve">The </w:t>
      </w:r>
      <w:r w:rsidR="00F63C60">
        <w:t xml:space="preserve">administrative </w:t>
      </w:r>
      <w:r>
        <w:t xml:space="preserve">interviews </w:t>
      </w:r>
      <w:r w:rsidR="00F63C60">
        <w:t xml:space="preserve">with property owners, service providers, and </w:t>
      </w:r>
      <w:r w:rsidR="001F1EC1">
        <w:t>P</w:t>
      </w:r>
      <w:r w:rsidR="00F63C60">
        <w:t xml:space="preserve">ublic </w:t>
      </w:r>
      <w:r w:rsidR="001F1EC1">
        <w:t>H</w:t>
      </w:r>
      <w:r w:rsidR="00F63C60">
        <w:t xml:space="preserve">ousing </w:t>
      </w:r>
      <w:r w:rsidR="001F1EC1">
        <w:t>A</w:t>
      </w:r>
      <w:r w:rsidR="00F63C60">
        <w:t xml:space="preserve">gencies </w:t>
      </w:r>
      <w:r w:rsidRPr="00E970C3">
        <w:t xml:space="preserve">do not contain any sensitive questions. </w:t>
      </w:r>
    </w:p>
    <w:p w14:paraId="01C6719F" w14:textId="3B099F75" w:rsidR="00F63C60" w:rsidRDefault="00EB3208" w:rsidP="00E970C3">
      <w:r>
        <w:t xml:space="preserve">Some questions </w:t>
      </w:r>
      <w:r w:rsidR="00980AA4">
        <w:t>for</w:t>
      </w:r>
      <w:r>
        <w:t xml:space="preserve"> Section 811 PRA and PRAC residents may potentially be sensitive for some respondents. </w:t>
      </w:r>
      <w:r w:rsidR="00F63C60">
        <w:t>The</w:t>
      </w:r>
      <w:r w:rsidR="00F63C60" w:rsidRPr="00F63C60">
        <w:t xml:space="preserve"> resident survey will be conducted with individuals living in supportive housing for individuals with physical and</w:t>
      </w:r>
      <w:r w:rsidR="00980AA4">
        <w:t>/or</w:t>
      </w:r>
      <w:r w:rsidR="00F63C60" w:rsidRPr="00F63C60">
        <w:t xml:space="preserve"> developmental disabilities and</w:t>
      </w:r>
      <w:r w:rsidR="00980AA4">
        <w:t>/or</w:t>
      </w:r>
      <w:r w:rsidR="00F63C60" w:rsidRPr="00F63C60">
        <w:t xml:space="preserve"> mental illness. All PRA and PRAC housing program</w:t>
      </w:r>
      <w:r w:rsidR="00980AA4">
        <w:t xml:space="preserve"> participant</w:t>
      </w:r>
      <w:r w:rsidR="00F63C60" w:rsidRPr="00F63C60">
        <w:t xml:space="preserve">s are very </w:t>
      </w:r>
      <w:r w:rsidR="00DA0181">
        <w:t xml:space="preserve">or extremely </w:t>
      </w:r>
      <w:r w:rsidR="00F63C60" w:rsidRPr="00F63C60">
        <w:t>low</w:t>
      </w:r>
      <w:r w:rsidR="00DA0181">
        <w:t>-</w:t>
      </w:r>
      <w:r w:rsidR="00F63C60" w:rsidRPr="00F63C60">
        <w:t xml:space="preserve">income. </w:t>
      </w:r>
      <w:r>
        <w:t xml:space="preserve">Survey </w:t>
      </w:r>
      <w:r w:rsidR="00F63C60">
        <w:t xml:space="preserve">topics relate to physical and mental health, access to health and supportive services, and possible episodes of homelessness or residing in institutional settings. All survey respondents will be informed that their answers will be </w:t>
      </w:r>
      <w:r w:rsidR="00CB3970">
        <w:t>private</w:t>
      </w:r>
      <w:r w:rsidR="00F63C60">
        <w:t xml:space="preserve"> and only be used for the purposes of this study, that they may refuse to answer any questions, and that results will only be reported in the aggregate. S</w:t>
      </w:r>
      <w:r w:rsidR="00F63C60" w:rsidRPr="00F63C60">
        <w:t xml:space="preserve">urvey administrators </w:t>
      </w:r>
      <w:r>
        <w:t xml:space="preserve">will </w:t>
      </w:r>
      <w:r w:rsidR="00F63C60" w:rsidRPr="00F63C60">
        <w:t xml:space="preserve">screen </w:t>
      </w:r>
      <w:r>
        <w:t xml:space="preserve">all </w:t>
      </w:r>
      <w:r w:rsidR="00F63C60" w:rsidRPr="00F63C60">
        <w:t>respondents for cognitive ability to complete the survey independently us</w:t>
      </w:r>
      <w:r w:rsidR="00F63C60">
        <w:t>ing the proxy screen</w:t>
      </w:r>
      <w:r>
        <w:t xml:space="preserve">, obtain participant consent </w:t>
      </w:r>
      <w:r w:rsidR="00C01676">
        <w:t>(</w:t>
      </w:r>
      <w:r w:rsidR="002F2D3C">
        <w:t>and consent</w:t>
      </w:r>
      <w:r w:rsidR="00C01676">
        <w:t xml:space="preserve"> of legally-authorized representatives </w:t>
      </w:r>
      <w:r w:rsidR="002F2D3C">
        <w:t xml:space="preserve">if applicable) </w:t>
      </w:r>
      <w:r>
        <w:t>prior to conducting the survey</w:t>
      </w:r>
      <w:r w:rsidR="00912280">
        <w:t xml:space="preserve"> </w:t>
      </w:r>
      <w:r w:rsidR="00912280" w:rsidRPr="00912280">
        <w:rPr>
          <w:highlight w:val="green"/>
        </w:rPr>
        <w:t xml:space="preserve">(Appendix </w:t>
      </w:r>
      <w:r w:rsidR="00561EF9">
        <w:rPr>
          <w:highlight w:val="green"/>
        </w:rPr>
        <w:t>D</w:t>
      </w:r>
      <w:r w:rsidR="00912280" w:rsidRPr="00912280">
        <w:rPr>
          <w:highlight w:val="green"/>
        </w:rPr>
        <w:t>)</w:t>
      </w:r>
      <w:r>
        <w:t xml:space="preserve">, and </w:t>
      </w:r>
      <w:r w:rsidR="00F63C60" w:rsidRPr="00F63C60">
        <w:t>use a proxy to assist in survey completion when necessary</w:t>
      </w:r>
      <w:r w:rsidR="00186766">
        <w:t xml:space="preserve">. </w:t>
      </w:r>
    </w:p>
    <w:p w14:paraId="35018733" w14:textId="77777777" w:rsidR="00CB5800" w:rsidRDefault="00DF5700" w:rsidP="00DF5700">
      <w:pPr>
        <w:pStyle w:val="Heading1"/>
      </w:pPr>
      <w:bookmarkStart w:id="13" w:name="_Toc482188551"/>
      <w:r w:rsidRPr="00DF5700">
        <w:t>Estimates of Annualized Burden Hours and Costs</w:t>
      </w:r>
      <w:bookmarkEnd w:id="13"/>
    </w:p>
    <w:p w14:paraId="0C6CB271" w14:textId="02A1365F" w:rsidR="002D3AB8" w:rsidRDefault="002D3AB8" w:rsidP="002D3AB8">
      <w:r>
        <w:t xml:space="preserve">Researchers will administer resident surveys for an average of </w:t>
      </w:r>
      <w:r w:rsidR="007A367B">
        <w:t xml:space="preserve">45 </w:t>
      </w:r>
      <w:r>
        <w:t xml:space="preserve">minutes with an additional 30 minutes needed to schedule the call and conduct prescreening questions with the respondent. The total burden for the 480 Section 811 residents is </w:t>
      </w:r>
      <w:r w:rsidR="007A367B">
        <w:t xml:space="preserve">600 </w:t>
      </w:r>
      <w:r>
        <w:t xml:space="preserve">hours. The average burden of interviews for property owners and managers and service providers is one </w:t>
      </w:r>
      <w:r w:rsidR="007A367B">
        <w:t xml:space="preserve">and a half </w:t>
      </w:r>
      <w:r>
        <w:t xml:space="preserve">hour, with an additional half hour to schedule the call and compile information needed to complete the interview. The average burden for Public Housing Authorities is 30 minutes with an additional 30 minutes needed to schedule the call and compile information for the interview. The total burden hours for property owners is </w:t>
      </w:r>
      <w:r w:rsidR="007A367B">
        <w:t xml:space="preserve">48 </w:t>
      </w:r>
      <w:r>
        <w:t xml:space="preserve">hours, the total burden hours for service providers is </w:t>
      </w:r>
      <w:r w:rsidR="007A367B">
        <w:t xml:space="preserve">96 </w:t>
      </w:r>
      <w:r>
        <w:t xml:space="preserve">hours, and the total burden hours for Public Housing Authorities is 12 hours. The total respondent burden for these data collection activities is </w:t>
      </w:r>
      <w:r w:rsidR="007A367B">
        <w:t xml:space="preserve">756 </w:t>
      </w:r>
      <w:r>
        <w:t>hours.</w:t>
      </w:r>
    </w:p>
    <w:p w14:paraId="16AC9057" w14:textId="7DAF91BB" w:rsidR="00E76B5E" w:rsidRDefault="00E76B5E" w:rsidP="00E76B5E">
      <w:r w:rsidRPr="00E76B5E">
        <w:t>Exhibit A-</w:t>
      </w:r>
      <w:r w:rsidR="0098137E">
        <w:t>5</w:t>
      </w:r>
      <w:r w:rsidRPr="00E76B5E">
        <w:t xml:space="preserve"> presents the estimated respondent burden for this information collection. The burden cost estimate is based on the </w:t>
      </w:r>
      <w:r w:rsidR="00DF4EA0">
        <w:t xml:space="preserve">maximum </w:t>
      </w:r>
      <w:r w:rsidRPr="00E76B5E">
        <w:t xml:space="preserve">number of </w:t>
      </w:r>
      <w:r w:rsidR="00DF4EA0">
        <w:t xml:space="preserve">respondents to be </w:t>
      </w:r>
      <w:r w:rsidRPr="00E76B5E">
        <w:t>recruit</w:t>
      </w:r>
      <w:r w:rsidR="00DF4EA0">
        <w:t>ed</w:t>
      </w:r>
      <w:r w:rsidRPr="00E76B5E">
        <w:t xml:space="preserve">, </w:t>
      </w:r>
      <w:r w:rsidR="00DF4EA0">
        <w:t xml:space="preserve">the </w:t>
      </w:r>
      <w:r w:rsidRPr="00E76B5E">
        <w:t xml:space="preserve">estimated burden, and </w:t>
      </w:r>
      <w:r w:rsidR="00DF4EA0">
        <w:t xml:space="preserve">the </w:t>
      </w:r>
      <w:r w:rsidRPr="00E76B5E">
        <w:t xml:space="preserve">estimated annualized cost of respondent burden </w:t>
      </w:r>
      <w:r w:rsidRPr="005D5FA2">
        <w:t>for each part of data collection. Annualized cost of respondent burden is the product of each type of respondent’s annual burden and an average hourly wage rate. The estimated total cost of respondent burden is $</w:t>
      </w:r>
      <w:r w:rsidR="007A367B">
        <w:t>11,865.00</w:t>
      </w:r>
      <w:r w:rsidR="00016E6E">
        <w:t>.</w:t>
      </w:r>
    </w:p>
    <w:p w14:paraId="752A17CB" w14:textId="77777777" w:rsidR="00E76B5E" w:rsidRDefault="00E76B5E" w:rsidP="0083264F">
      <w:pPr>
        <w:pStyle w:val="ExhibitColumnHeader"/>
        <w:ind w:left="180"/>
        <w:jc w:val="left"/>
      </w:pPr>
      <w:r>
        <w:t>Exhibit A-</w:t>
      </w:r>
      <w:r w:rsidR="0098137E">
        <w:t>5</w:t>
      </w:r>
      <w:r>
        <w:br/>
      </w:r>
      <w:r w:rsidRPr="00E76B5E">
        <w:t>Number of Respondents, Estimated Burden, and Estimated Cost of Respondent Burden</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1260"/>
        <w:gridCol w:w="1080"/>
        <w:gridCol w:w="1170"/>
        <w:gridCol w:w="1558"/>
        <w:gridCol w:w="954"/>
        <w:gridCol w:w="1088"/>
        <w:gridCol w:w="1278"/>
      </w:tblGrid>
      <w:tr w:rsidR="00150A92" w:rsidRPr="006C7FAE" w14:paraId="394A2532" w14:textId="77777777" w:rsidTr="000D79C2">
        <w:trPr>
          <w:trHeight w:val="728"/>
        </w:trPr>
        <w:tc>
          <w:tcPr>
            <w:tcW w:w="1800" w:type="dxa"/>
            <w:tcMar>
              <w:top w:w="0" w:type="dxa"/>
              <w:left w:w="108" w:type="dxa"/>
              <w:bottom w:w="0" w:type="dxa"/>
              <w:right w:w="108" w:type="dxa"/>
            </w:tcMar>
            <w:hideMark/>
          </w:tcPr>
          <w:p w14:paraId="6ADFBDCE"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Information Collection</w:t>
            </w:r>
          </w:p>
        </w:tc>
        <w:tc>
          <w:tcPr>
            <w:tcW w:w="1260" w:type="dxa"/>
            <w:tcMar>
              <w:top w:w="0" w:type="dxa"/>
              <w:left w:w="108" w:type="dxa"/>
              <w:bottom w:w="0" w:type="dxa"/>
              <w:right w:w="108" w:type="dxa"/>
            </w:tcMar>
            <w:hideMark/>
          </w:tcPr>
          <w:p w14:paraId="248179CE"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Number of Respondents</w:t>
            </w:r>
          </w:p>
        </w:tc>
        <w:tc>
          <w:tcPr>
            <w:tcW w:w="1080" w:type="dxa"/>
            <w:tcMar>
              <w:top w:w="0" w:type="dxa"/>
              <w:left w:w="108" w:type="dxa"/>
              <w:bottom w:w="0" w:type="dxa"/>
              <w:right w:w="108" w:type="dxa"/>
            </w:tcMar>
            <w:hideMark/>
          </w:tcPr>
          <w:p w14:paraId="162A91F4"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Frequency of Response</w:t>
            </w:r>
          </w:p>
        </w:tc>
        <w:tc>
          <w:tcPr>
            <w:tcW w:w="1170" w:type="dxa"/>
            <w:tcMar>
              <w:top w:w="0" w:type="dxa"/>
              <w:left w:w="108" w:type="dxa"/>
              <w:bottom w:w="0" w:type="dxa"/>
              <w:right w:w="108" w:type="dxa"/>
            </w:tcMar>
            <w:hideMark/>
          </w:tcPr>
          <w:p w14:paraId="7A2E075E" w14:textId="77777777" w:rsidR="008E0E93" w:rsidRPr="00FF4F9F" w:rsidRDefault="008E0E93" w:rsidP="00FF4F9F">
            <w:pPr>
              <w:jc w:val="center"/>
              <w:rPr>
                <w:rFonts w:ascii="Arial Narrow" w:eastAsia="Calibri" w:hAnsi="Arial Narrow"/>
                <w:b/>
                <w:bCs/>
                <w:color w:val="000000"/>
                <w:sz w:val="20"/>
              </w:rPr>
            </w:pPr>
            <w:r w:rsidRPr="00FF4F9F">
              <w:rPr>
                <w:rFonts w:ascii="Arial Narrow" w:eastAsia="Calibri" w:hAnsi="Arial Narrow"/>
                <w:b/>
                <w:bCs/>
                <w:color w:val="000000"/>
                <w:sz w:val="20"/>
              </w:rPr>
              <w:t>Responses</w:t>
            </w:r>
            <w:r w:rsidR="00FF4F9F" w:rsidRPr="00FF4F9F">
              <w:rPr>
                <w:rFonts w:ascii="Arial Narrow" w:eastAsia="Calibri" w:hAnsi="Arial Narrow"/>
                <w:b/>
                <w:bCs/>
                <w:color w:val="000000"/>
                <w:sz w:val="20"/>
              </w:rPr>
              <w:t xml:space="preserve"> </w:t>
            </w:r>
            <w:r w:rsidRPr="00FF4F9F">
              <w:rPr>
                <w:rFonts w:ascii="Arial Narrow" w:eastAsia="Calibri" w:hAnsi="Arial Narrow"/>
                <w:b/>
                <w:bCs/>
                <w:color w:val="000000"/>
                <w:sz w:val="20"/>
              </w:rPr>
              <w:t>Per Annum</w:t>
            </w:r>
          </w:p>
        </w:tc>
        <w:tc>
          <w:tcPr>
            <w:tcW w:w="1558" w:type="dxa"/>
            <w:tcMar>
              <w:top w:w="0" w:type="dxa"/>
              <w:left w:w="108" w:type="dxa"/>
              <w:bottom w:w="0" w:type="dxa"/>
              <w:right w:w="108" w:type="dxa"/>
            </w:tcMar>
            <w:hideMark/>
          </w:tcPr>
          <w:p w14:paraId="52DD9729"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Burden Hour Per Response</w:t>
            </w:r>
          </w:p>
        </w:tc>
        <w:tc>
          <w:tcPr>
            <w:tcW w:w="954" w:type="dxa"/>
            <w:tcMar>
              <w:top w:w="0" w:type="dxa"/>
              <w:left w:w="108" w:type="dxa"/>
              <w:bottom w:w="0" w:type="dxa"/>
              <w:right w:w="108" w:type="dxa"/>
            </w:tcMar>
            <w:hideMark/>
          </w:tcPr>
          <w:p w14:paraId="19FCDD08"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Annual Burden Hours</w:t>
            </w:r>
          </w:p>
        </w:tc>
        <w:tc>
          <w:tcPr>
            <w:tcW w:w="1088" w:type="dxa"/>
            <w:tcMar>
              <w:top w:w="0" w:type="dxa"/>
              <w:left w:w="108" w:type="dxa"/>
              <w:bottom w:w="0" w:type="dxa"/>
              <w:right w:w="108" w:type="dxa"/>
            </w:tcMar>
            <w:hideMark/>
          </w:tcPr>
          <w:p w14:paraId="14B84D48" w14:textId="77777777" w:rsidR="008E0E93" w:rsidRPr="00FF4F9F" w:rsidRDefault="008E0E93" w:rsidP="002F4E04">
            <w:pPr>
              <w:jc w:val="center"/>
              <w:rPr>
                <w:rFonts w:ascii="Arial Narrow" w:eastAsia="Calibri" w:hAnsi="Arial Narrow"/>
                <w:b/>
                <w:bCs/>
                <w:color w:val="000000"/>
                <w:sz w:val="20"/>
              </w:rPr>
            </w:pPr>
            <w:r w:rsidRPr="00FF4F9F">
              <w:rPr>
                <w:rFonts w:ascii="Arial Narrow" w:eastAsia="Calibri" w:hAnsi="Arial Narrow"/>
                <w:b/>
                <w:bCs/>
                <w:color w:val="000000"/>
                <w:sz w:val="20"/>
              </w:rPr>
              <w:t>Hourly Cost Per Response</w:t>
            </w:r>
          </w:p>
        </w:tc>
        <w:tc>
          <w:tcPr>
            <w:tcW w:w="1278" w:type="dxa"/>
            <w:tcMar>
              <w:top w:w="0" w:type="dxa"/>
              <w:left w:w="108" w:type="dxa"/>
              <w:bottom w:w="0" w:type="dxa"/>
              <w:right w:w="108" w:type="dxa"/>
            </w:tcMar>
          </w:tcPr>
          <w:p w14:paraId="7D7980AB" w14:textId="77777777" w:rsidR="008E0E93" w:rsidRPr="00FF4F9F" w:rsidRDefault="008E0E93" w:rsidP="00FF4F9F">
            <w:pPr>
              <w:jc w:val="center"/>
              <w:rPr>
                <w:rFonts w:ascii="Arial Narrow" w:eastAsia="Calibri" w:hAnsi="Arial Narrow"/>
                <w:b/>
                <w:bCs/>
                <w:color w:val="000000"/>
                <w:sz w:val="20"/>
              </w:rPr>
            </w:pPr>
            <w:r w:rsidRPr="00FF4F9F">
              <w:rPr>
                <w:rFonts w:ascii="Arial Narrow" w:eastAsia="Calibri" w:hAnsi="Arial Narrow"/>
                <w:b/>
                <w:bCs/>
                <w:color w:val="000000"/>
                <w:sz w:val="20"/>
              </w:rPr>
              <w:t>Annual Cost</w:t>
            </w:r>
          </w:p>
        </w:tc>
      </w:tr>
      <w:tr w:rsidR="00150A92" w:rsidRPr="006C7FAE" w14:paraId="584AD090" w14:textId="77777777" w:rsidTr="000D79C2">
        <w:trPr>
          <w:trHeight w:val="440"/>
        </w:trPr>
        <w:tc>
          <w:tcPr>
            <w:tcW w:w="1800" w:type="dxa"/>
            <w:tcMar>
              <w:top w:w="0" w:type="dxa"/>
              <w:left w:w="108" w:type="dxa"/>
              <w:bottom w:w="0" w:type="dxa"/>
              <w:right w:w="108" w:type="dxa"/>
            </w:tcMar>
          </w:tcPr>
          <w:p w14:paraId="6C81B96A" w14:textId="77777777" w:rsidR="00150A92" w:rsidRPr="00FF4F9F" w:rsidRDefault="00150A92" w:rsidP="002F4E04">
            <w:pPr>
              <w:rPr>
                <w:rFonts w:ascii="Arial Narrow" w:eastAsia="Calibri" w:hAnsi="Arial Narrow"/>
                <w:bCs/>
                <w:color w:val="000000"/>
                <w:sz w:val="20"/>
              </w:rPr>
            </w:pPr>
            <w:r w:rsidRPr="00FF4F9F">
              <w:rPr>
                <w:rFonts w:ascii="Arial Narrow" w:eastAsia="Calibri" w:hAnsi="Arial Narrow"/>
                <w:bCs/>
                <w:color w:val="000000"/>
                <w:sz w:val="20"/>
              </w:rPr>
              <w:t>Property Owner/Manager</w:t>
            </w:r>
            <w:r>
              <w:rPr>
                <w:rFonts w:ascii="Arial Narrow" w:eastAsia="Calibri" w:hAnsi="Arial Narrow"/>
                <w:bCs/>
                <w:color w:val="000000"/>
                <w:sz w:val="20"/>
              </w:rPr>
              <w:t>s</w:t>
            </w:r>
          </w:p>
        </w:tc>
        <w:tc>
          <w:tcPr>
            <w:tcW w:w="1260" w:type="dxa"/>
            <w:tcMar>
              <w:top w:w="0" w:type="dxa"/>
              <w:left w:w="108" w:type="dxa"/>
              <w:bottom w:w="0" w:type="dxa"/>
              <w:right w:w="108" w:type="dxa"/>
            </w:tcMar>
            <w:vAlign w:val="center"/>
          </w:tcPr>
          <w:p w14:paraId="47B317EF" w14:textId="4BA11BDA"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24</w:t>
            </w:r>
          </w:p>
        </w:tc>
        <w:tc>
          <w:tcPr>
            <w:tcW w:w="1080" w:type="dxa"/>
            <w:tcMar>
              <w:top w:w="0" w:type="dxa"/>
              <w:left w:w="108" w:type="dxa"/>
              <w:bottom w:w="0" w:type="dxa"/>
              <w:right w:w="108" w:type="dxa"/>
            </w:tcMar>
            <w:vAlign w:val="center"/>
          </w:tcPr>
          <w:p w14:paraId="3CAA128D" w14:textId="303098BB"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w:t>
            </w:r>
          </w:p>
        </w:tc>
        <w:tc>
          <w:tcPr>
            <w:tcW w:w="1170" w:type="dxa"/>
            <w:tcMar>
              <w:top w:w="0" w:type="dxa"/>
              <w:left w:w="108" w:type="dxa"/>
              <w:bottom w:w="0" w:type="dxa"/>
              <w:right w:w="108" w:type="dxa"/>
            </w:tcMar>
            <w:vAlign w:val="center"/>
          </w:tcPr>
          <w:p w14:paraId="6396862F" w14:textId="303A70EE"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24</w:t>
            </w:r>
          </w:p>
        </w:tc>
        <w:tc>
          <w:tcPr>
            <w:tcW w:w="1558" w:type="dxa"/>
            <w:tcMar>
              <w:top w:w="0" w:type="dxa"/>
              <w:left w:w="108" w:type="dxa"/>
              <w:bottom w:w="0" w:type="dxa"/>
              <w:right w:w="108" w:type="dxa"/>
            </w:tcMar>
            <w:vAlign w:val="center"/>
          </w:tcPr>
          <w:p w14:paraId="20A6A68C" w14:textId="0B029722"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2.00</w:t>
            </w:r>
          </w:p>
        </w:tc>
        <w:tc>
          <w:tcPr>
            <w:tcW w:w="954" w:type="dxa"/>
            <w:tcMar>
              <w:top w:w="0" w:type="dxa"/>
              <w:left w:w="108" w:type="dxa"/>
              <w:bottom w:w="0" w:type="dxa"/>
              <w:right w:w="108" w:type="dxa"/>
            </w:tcMar>
            <w:vAlign w:val="center"/>
          </w:tcPr>
          <w:p w14:paraId="34500ACC" w14:textId="7D6CABD8"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48</w:t>
            </w:r>
          </w:p>
        </w:tc>
        <w:tc>
          <w:tcPr>
            <w:tcW w:w="1088" w:type="dxa"/>
            <w:tcMar>
              <w:top w:w="0" w:type="dxa"/>
              <w:left w:w="108" w:type="dxa"/>
              <w:bottom w:w="0" w:type="dxa"/>
              <w:right w:w="108" w:type="dxa"/>
            </w:tcMar>
            <w:vAlign w:val="center"/>
          </w:tcPr>
          <w:p w14:paraId="7DBB07F3" w14:textId="5EFB3E83"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 xml:space="preserve">$27.42 </w:t>
            </w:r>
          </w:p>
        </w:tc>
        <w:tc>
          <w:tcPr>
            <w:tcW w:w="1278" w:type="dxa"/>
            <w:tcMar>
              <w:top w:w="0" w:type="dxa"/>
              <w:left w:w="108" w:type="dxa"/>
              <w:bottom w:w="0" w:type="dxa"/>
              <w:right w:w="108" w:type="dxa"/>
            </w:tcMar>
            <w:vAlign w:val="center"/>
          </w:tcPr>
          <w:p w14:paraId="0B2CFF4C" w14:textId="4D097C06"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w:t>
            </w:r>
            <w:r w:rsidR="007A367B">
              <w:rPr>
                <w:rFonts w:ascii="Arial Narrow" w:hAnsi="Arial Narrow"/>
                <w:color w:val="000000"/>
                <w:sz w:val="20"/>
              </w:rPr>
              <w:t>1,316.16</w:t>
            </w:r>
            <w:r>
              <w:rPr>
                <w:rFonts w:ascii="Arial Narrow" w:hAnsi="Arial Narrow"/>
                <w:color w:val="000000"/>
                <w:sz w:val="20"/>
              </w:rPr>
              <w:t xml:space="preserve"> </w:t>
            </w:r>
          </w:p>
        </w:tc>
      </w:tr>
      <w:tr w:rsidR="00150A92" w:rsidRPr="006C7FAE" w14:paraId="241DE00B" w14:textId="77777777" w:rsidTr="000D79C2">
        <w:tc>
          <w:tcPr>
            <w:tcW w:w="1800" w:type="dxa"/>
            <w:tcMar>
              <w:top w:w="0" w:type="dxa"/>
              <w:left w:w="108" w:type="dxa"/>
              <w:bottom w:w="0" w:type="dxa"/>
              <w:right w:w="108" w:type="dxa"/>
            </w:tcMar>
          </w:tcPr>
          <w:p w14:paraId="493008DE" w14:textId="77777777" w:rsidR="00150A92" w:rsidRPr="00FF4F9F" w:rsidRDefault="00150A92" w:rsidP="002F4E04">
            <w:pPr>
              <w:rPr>
                <w:rFonts w:ascii="Arial Narrow" w:eastAsia="Calibri" w:hAnsi="Arial Narrow"/>
                <w:bCs/>
                <w:color w:val="000000"/>
                <w:sz w:val="20"/>
              </w:rPr>
            </w:pPr>
            <w:r w:rsidRPr="00FF4F9F">
              <w:rPr>
                <w:rFonts w:ascii="Arial Narrow" w:eastAsia="Calibri" w:hAnsi="Arial Narrow"/>
                <w:bCs/>
                <w:color w:val="000000"/>
                <w:sz w:val="20"/>
              </w:rPr>
              <w:t>Service Provider</w:t>
            </w:r>
            <w:r>
              <w:rPr>
                <w:rFonts w:ascii="Arial Narrow" w:eastAsia="Calibri" w:hAnsi="Arial Narrow"/>
                <w:bCs/>
                <w:color w:val="000000"/>
                <w:sz w:val="20"/>
              </w:rPr>
              <w:t>s</w:t>
            </w:r>
          </w:p>
        </w:tc>
        <w:tc>
          <w:tcPr>
            <w:tcW w:w="1260" w:type="dxa"/>
            <w:tcMar>
              <w:top w:w="0" w:type="dxa"/>
              <w:left w:w="108" w:type="dxa"/>
              <w:bottom w:w="0" w:type="dxa"/>
              <w:right w:w="108" w:type="dxa"/>
            </w:tcMar>
            <w:vAlign w:val="center"/>
          </w:tcPr>
          <w:p w14:paraId="52D0FD58" w14:textId="2E8F0DD7"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48</w:t>
            </w:r>
          </w:p>
        </w:tc>
        <w:tc>
          <w:tcPr>
            <w:tcW w:w="1080" w:type="dxa"/>
            <w:tcMar>
              <w:top w:w="0" w:type="dxa"/>
              <w:left w:w="108" w:type="dxa"/>
              <w:bottom w:w="0" w:type="dxa"/>
              <w:right w:w="108" w:type="dxa"/>
            </w:tcMar>
            <w:vAlign w:val="center"/>
          </w:tcPr>
          <w:p w14:paraId="36940ADC" w14:textId="59E8D179"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w:t>
            </w:r>
          </w:p>
        </w:tc>
        <w:tc>
          <w:tcPr>
            <w:tcW w:w="1170" w:type="dxa"/>
            <w:tcMar>
              <w:top w:w="0" w:type="dxa"/>
              <w:left w:w="108" w:type="dxa"/>
              <w:bottom w:w="0" w:type="dxa"/>
              <w:right w:w="108" w:type="dxa"/>
            </w:tcMar>
            <w:vAlign w:val="center"/>
          </w:tcPr>
          <w:p w14:paraId="6871775B" w14:textId="1BA879F4"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48</w:t>
            </w:r>
          </w:p>
        </w:tc>
        <w:tc>
          <w:tcPr>
            <w:tcW w:w="1558" w:type="dxa"/>
            <w:tcMar>
              <w:top w:w="0" w:type="dxa"/>
              <w:left w:w="108" w:type="dxa"/>
              <w:bottom w:w="0" w:type="dxa"/>
              <w:right w:w="108" w:type="dxa"/>
            </w:tcMar>
            <w:vAlign w:val="center"/>
          </w:tcPr>
          <w:p w14:paraId="63FCCB4D" w14:textId="7959FB32"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2.00</w:t>
            </w:r>
          </w:p>
        </w:tc>
        <w:tc>
          <w:tcPr>
            <w:tcW w:w="954" w:type="dxa"/>
            <w:tcMar>
              <w:top w:w="0" w:type="dxa"/>
              <w:left w:w="108" w:type="dxa"/>
              <w:bottom w:w="0" w:type="dxa"/>
              <w:right w:w="108" w:type="dxa"/>
            </w:tcMar>
            <w:vAlign w:val="center"/>
          </w:tcPr>
          <w:p w14:paraId="741042BA" w14:textId="0C069565"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96</w:t>
            </w:r>
          </w:p>
        </w:tc>
        <w:tc>
          <w:tcPr>
            <w:tcW w:w="1088" w:type="dxa"/>
            <w:tcMar>
              <w:top w:w="0" w:type="dxa"/>
              <w:left w:w="108" w:type="dxa"/>
              <w:bottom w:w="0" w:type="dxa"/>
              <w:right w:w="108" w:type="dxa"/>
            </w:tcMar>
            <w:vAlign w:val="center"/>
          </w:tcPr>
          <w:p w14:paraId="2EDCE025" w14:textId="376F421B"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 xml:space="preserve">$46.41 </w:t>
            </w:r>
          </w:p>
        </w:tc>
        <w:tc>
          <w:tcPr>
            <w:tcW w:w="1278" w:type="dxa"/>
            <w:tcMar>
              <w:top w:w="0" w:type="dxa"/>
              <w:left w:w="108" w:type="dxa"/>
              <w:bottom w:w="0" w:type="dxa"/>
              <w:right w:w="108" w:type="dxa"/>
            </w:tcMar>
            <w:vAlign w:val="center"/>
          </w:tcPr>
          <w:p w14:paraId="6A8FA79B" w14:textId="739DEA47"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w:t>
            </w:r>
            <w:r w:rsidR="007A367B">
              <w:rPr>
                <w:rFonts w:ascii="Arial Narrow" w:hAnsi="Arial Narrow"/>
                <w:color w:val="000000"/>
                <w:sz w:val="20"/>
              </w:rPr>
              <w:t>4,455.36</w:t>
            </w:r>
            <w:r>
              <w:rPr>
                <w:rFonts w:ascii="Arial Narrow" w:hAnsi="Arial Narrow"/>
                <w:color w:val="000000"/>
                <w:sz w:val="20"/>
              </w:rPr>
              <w:t xml:space="preserve"> </w:t>
            </w:r>
          </w:p>
        </w:tc>
      </w:tr>
      <w:tr w:rsidR="00150A92" w:rsidRPr="006C7FAE" w14:paraId="047D2F24" w14:textId="77777777" w:rsidTr="000D79C2">
        <w:tc>
          <w:tcPr>
            <w:tcW w:w="1800" w:type="dxa"/>
            <w:tcMar>
              <w:top w:w="0" w:type="dxa"/>
              <w:left w:w="108" w:type="dxa"/>
              <w:bottom w:w="0" w:type="dxa"/>
              <w:right w:w="108" w:type="dxa"/>
            </w:tcMar>
          </w:tcPr>
          <w:p w14:paraId="2928CDB4" w14:textId="77777777" w:rsidR="00150A92" w:rsidRPr="00FF4F9F" w:rsidRDefault="00150A92" w:rsidP="002F4E04">
            <w:pPr>
              <w:rPr>
                <w:rFonts w:ascii="Arial Narrow" w:eastAsia="Calibri" w:hAnsi="Arial Narrow"/>
                <w:bCs/>
                <w:color w:val="000000"/>
                <w:sz w:val="20"/>
              </w:rPr>
            </w:pPr>
            <w:r w:rsidRPr="00FF4F9F">
              <w:rPr>
                <w:rFonts w:ascii="Arial Narrow" w:eastAsia="Calibri" w:hAnsi="Arial Narrow"/>
                <w:bCs/>
                <w:color w:val="000000"/>
                <w:sz w:val="20"/>
              </w:rPr>
              <w:t>PHA Staff/Manager</w:t>
            </w:r>
            <w:r>
              <w:rPr>
                <w:rFonts w:ascii="Arial Narrow" w:eastAsia="Calibri" w:hAnsi="Arial Narrow"/>
                <w:bCs/>
                <w:color w:val="000000"/>
                <w:sz w:val="20"/>
              </w:rPr>
              <w:t>s</w:t>
            </w:r>
          </w:p>
        </w:tc>
        <w:tc>
          <w:tcPr>
            <w:tcW w:w="1260" w:type="dxa"/>
            <w:tcMar>
              <w:top w:w="0" w:type="dxa"/>
              <w:left w:w="108" w:type="dxa"/>
              <w:bottom w:w="0" w:type="dxa"/>
              <w:right w:w="108" w:type="dxa"/>
            </w:tcMar>
            <w:vAlign w:val="center"/>
          </w:tcPr>
          <w:p w14:paraId="1D6845B7" w14:textId="325B712E"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12</w:t>
            </w:r>
          </w:p>
        </w:tc>
        <w:tc>
          <w:tcPr>
            <w:tcW w:w="1080" w:type="dxa"/>
            <w:tcMar>
              <w:top w:w="0" w:type="dxa"/>
              <w:left w:w="108" w:type="dxa"/>
              <w:bottom w:w="0" w:type="dxa"/>
              <w:right w:w="108" w:type="dxa"/>
            </w:tcMar>
            <w:vAlign w:val="center"/>
          </w:tcPr>
          <w:p w14:paraId="4447305B" w14:textId="1E03D9C2"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w:t>
            </w:r>
          </w:p>
        </w:tc>
        <w:tc>
          <w:tcPr>
            <w:tcW w:w="1170" w:type="dxa"/>
            <w:tcMar>
              <w:top w:w="0" w:type="dxa"/>
              <w:left w:w="108" w:type="dxa"/>
              <w:bottom w:w="0" w:type="dxa"/>
              <w:right w:w="108" w:type="dxa"/>
            </w:tcMar>
            <w:vAlign w:val="center"/>
          </w:tcPr>
          <w:p w14:paraId="7A16F9B5" w14:textId="56A15FE9"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12</w:t>
            </w:r>
          </w:p>
        </w:tc>
        <w:tc>
          <w:tcPr>
            <w:tcW w:w="1558" w:type="dxa"/>
            <w:tcMar>
              <w:top w:w="0" w:type="dxa"/>
              <w:left w:w="108" w:type="dxa"/>
              <w:bottom w:w="0" w:type="dxa"/>
              <w:right w:w="108" w:type="dxa"/>
            </w:tcMar>
            <w:vAlign w:val="center"/>
          </w:tcPr>
          <w:p w14:paraId="5E768F1C" w14:textId="60726BC9"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w:t>
            </w:r>
            <w:r w:rsidR="00556640">
              <w:rPr>
                <w:rFonts w:ascii="Arial Narrow" w:hAnsi="Arial Narrow"/>
                <w:color w:val="000000"/>
                <w:sz w:val="20"/>
              </w:rPr>
              <w:t>.0</w:t>
            </w:r>
            <w:r w:rsidR="00865763">
              <w:rPr>
                <w:rFonts w:ascii="Arial Narrow" w:hAnsi="Arial Narrow"/>
                <w:color w:val="000000"/>
                <w:sz w:val="20"/>
              </w:rPr>
              <w:t>0</w:t>
            </w:r>
          </w:p>
        </w:tc>
        <w:tc>
          <w:tcPr>
            <w:tcW w:w="954" w:type="dxa"/>
            <w:tcMar>
              <w:top w:w="0" w:type="dxa"/>
              <w:left w:w="108" w:type="dxa"/>
              <w:bottom w:w="0" w:type="dxa"/>
              <w:right w:w="108" w:type="dxa"/>
            </w:tcMar>
            <w:vAlign w:val="center"/>
          </w:tcPr>
          <w:p w14:paraId="055D16D8" w14:textId="07E96083"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12</w:t>
            </w:r>
          </w:p>
        </w:tc>
        <w:tc>
          <w:tcPr>
            <w:tcW w:w="1088" w:type="dxa"/>
            <w:tcMar>
              <w:top w:w="0" w:type="dxa"/>
              <w:left w:w="108" w:type="dxa"/>
              <w:bottom w:w="0" w:type="dxa"/>
              <w:right w:w="108" w:type="dxa"/>
            </w:tcMar>
            <w:vAlign w:val="center"/>
          </w:tcPr>
          <w:p w14:paraId="5F41FEA2" w14:textId="672660B6"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 xml:space="preserve">$43.29 </w:t>
            </w:r>
          </w:p>
        </w:tc>
        <w:tc>
          <w:tcPr>
            <w:tcW w:w="1278" w:type="dxa"/>
            <w:tcMar>
              <w:top w:w="0" w:type="dxa"/>
              <w:left w:w="108" w:type="dxa"/>
              <w:bottom w:w="0" w:type="dxa"/>
              <w:right w:w="108" w:type="dxa"/>
            </w:tcMar>
            <w:vAlign w:val="center"/>
          </w:tcPr>
          <w:p w14:paraId="01D28677" w14:textId="465924BF" w:rsidR="00150A92" w:rsidRPr="00FF4F9F" w:rsidRDefault="00150A92" w:rsidP="00970B34">
            <w:pPr>
              <w:jc w:val="right"/>
              <w:rPr>
                <w:rFonts w:ascii="Arial Narrow" w:eastAsia="Calibri" w:hAnsi="Arial Narrow"/>
                <w:bCs/>
                <w:color w:val="000000"/>
                <w:sz w:val="20"/>
              </w:rPr>
            </w:pPr>
            <w:r>
              <w:rPr>
                <w:rFonts w:ascii="Arial Narrow" w:hAnsi="Arial Narrow"/>
                <w:color w:val="000000"/>
                <w:sz w:val="20"/>
              </w:rPr>
              <w:t xml:space="preserve">$519.48 </w:t>
            </w:r>
          </w:p>
        </w:tc>
      </w:tr>
      <w:tr w:rsidR="00150A92" w:rsidRPr="006C7FAE" w14:paraId="5CCF78C2" w14:textId="77777777" w:rsidTr="000D79C2">
        <w:tc>
          <w:tcPr>
            <w:tcW w:w="1800" w:type="dxa"/>
            <w:tcMar>
              <w:top w:w="0" w:type="dxa"/>
              <w:left w:w="108" w:type="dxa"/>
              <w:bottom w:w="0" w:type="dxa"/>
              <w:right w:w="108" w:type="dxa"/>
            </w:tcMar>
          </w:tcPr>
          <w:p w14:paraId="51863C7D" w14:textId="7D7B75F5" w:rsidR="00150A92" w:rsidRPr="00FF4F9F" w:rsidRDefault="00150A92" w:rsidP="002F4E04">
            <w:pPr>
              <w:rPr>
                <w:rFonts w:ascii="Arial Narrow" w:eastAsia="Calibri" w:hAnsi="Arial Narrow"/>
                <w:bCs/>
                <w:color w:val="000000"/>
                <w:sz w:val="20"/>
              </w:rPr>
            </w:pPr>
            <w:r>
              <w:rPr>
                <w:rFonts w:ascii="Arial Narrow" w:eastAsia="Calibri" w:hAnsi="Arial Narrow"/>
                <w:bCs/>
                <w:color w:val="000000"/>
                <w:sz w:val="20"/>
              </w:rPr>
              <w:t xml:space="preserve">Section 811 PRA/PRAC </w:t>
            </w:r>
            <w:r w:rsidRPr="00FF4F9F">
              <w:rPr>
                <w:rFonts w:ascii="Arial Narrow" w:eastAsia="Calibri" w:hAnsi="Arial Narrow"/>
                <w:bCs/>
                <w:color w:val="000000"/>
                <w:sz w:val="20"/>
              </w:rPr>
              <w:t>Resident</w:t>
            </w:r>
            <w:r>
              <w:rPr>
                <w:rFonts w:ascii="Arial Narrow" w:eastAsia="Calibri" w:hAnsi="Arial Narrow"/>
                <w:bCs/>
                <w:color w:val="000000"/>
                <w:sz w:val="20"/>
              </w:rPr>
              <w:t>s</w:t>
            </w:r>
          </w:p>
        </w:tc>
        <w:tc>
          <w:tcPr>
            <w:tcW w:w="1260" w:type="dxa"/>
            <w:tcMar>
              <w:top w:w="0" w:type="dxa"/>
              <w:left w:w="108" w:type="dxa"/>
              <w:bottom w:w="0" w:type="dxa"/>
              <w:right w:w="108" w:type="dxa"/>
            </w:tcMar>
            <w:vAlign w:val="center"/>
          </w:tcPr>
          <w:p w14:paraId="25CB7207" w14:textId="64E38C2D"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480</w:t>
            </w:r>
          </w:p>
        </w:tc>
        <w:tc>
          <w:tcPr>
            <w:tcW w:w="1080" w:type="dxa"/>
            <w:tcMar>
              <w:top w:w="0" w:type="dxa"/>
              <w:left w:w="108" w:type="dxa"/>
              <w:bottom w:w="0" w:type="dxa"/>
              <w:right w:w="108" w:type="dxa"/>
            </w:tcMar>
            <w:vAlign w:val="center"/>
          </w:tcPr>
          <w:p w14:paraId="08E22CF2" w14:textId="0529021F"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1</w:t>
            </w:r>
          </w:p>
        </w:tc>
        <w:tc>
          <w:tcPr>
            <w:tcW w:w="1170" w:type="dxa"/>
            <w:tcMar>
              <w:top w:w="0" w:type="dxa"/>
              <w:left w:w="108" w:type="dxa"/>
              <w:bottom w:w="0" w:type="dxa"/>
              <w:right w:w="108" w:type="dxa"/>
            </w:tcMar>
            <w:vAlign w:val="center"/>
          </w:tcPr>
          <w:p w14:paraId="67E2EE71" w14:textId="08857D8E" w:rsidR="00150A92" w:rsidRPr="00FF4F9F" w:rsidRDefault="00150A92" w:rsidP="00150A92">
            <w:pPr>
              <w:jc w:val="right"/>
              <w:rPr>
                <w:rFonts w:ascii="Arial Narrow" w:eastAsia="Calibri" w:hAnsi="Arial Narrow"/>
                <w:bCs/>
                <w:color w:val="000000"/>
                <w:sz w:val="20"/>
              </w:rPr>
            </w:pPr>
            <w:r>
              <w:rPr>
                <w:rFonts w:ascii="Arial Narrow" w:hAnsi="Arial Narrow"/>
                <w:color w:val="000000"/>
                <w:sz w:val="20"/>
              </w:rPr>
              <w:t>480</w:t>
            </w:r>
          </w:p>
        </w:tc>
        <w:tc>
          <w:tcPr>
            <w:tcW w:w="1558" w:type="dxa"/>
            <w:tcMar>
              <w:top w:w="0" w:type="dxa"/>
              <w:left w:w="108" w:type="dxa"/>
              <w:bottom w:w="0" w:type="dxa"/>
              <w:right w:w="108" w:type="dxa"/>
            </w:tcMar>
            <w:vAlign w:val="center"/>
          </w:tcPr>
          <w:p w14:paraId="07E25D8A" w14:textId="651C3797"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1.25</w:t>
            </w:r>
          </w:p>
        </w:tc>
        <w:tc>
          <w:tcPr>
            <w:tcW w:w="954" w:type="dxa"/>
            <w:tcMar>
              <w:top w:w="0" w:type="dxa"/>
              <w:left w:w="108" w:type="dxa"/>
              <w:bottom w:w="0" w:type="dxa"/>
              <w:right w:w="108" w:type="dxa"/>
            </w:tcMar>
            <w:vAlign w:val="center"/>
          </w:tcPr>
          <w:p w14:paraId="122B2D9C" w14:textId="068D844F" w:rsidR="00150A92" w:rsidRPr="00FF4F9F" w:rsidRDefault="007A367B" w:rsidP="00150A92">
            <w:pPr>
              <w:jc w:val="right"/>
              <w:rPr>
                <w:rFonts w:ascii="Arial Narrow" w:eastAsia="Calibri" w:hAnsi="Arial Narrow"/>
                <w:bCs/>
                <w:color w:val="000000"/>
                <w:sz w:val="20"/>
              </w:rPr>
            </w:pPr>
            <w:r>
              <w:rPr>
                <w:rFonts w:ascii="Arial Narrow" w:hAnsi="Arial Narrow"/>
                <w:color w:val="000000"/>
                <w:sz w:val="20"/>
              </w:rPr>
              <w:t>600</w:t>
            </w:r>
          </w:p>
        </w:tc>
        <w:tc>
          <w:tcPr>
            <w:tcW w:w="1088" w:type="dxa"/>
            <w:tcMar>
              <w:top w:w="0" w:type="dxa"/>
              <w:left w:w="108" w:type="dxa"/>
              <w:bottom w:w="0" w:type="dxa"/>
              <w:right w:w="108" w:type="dxa"/>
            </w:tcMar>
            <w:vAlign w:val="center"/>
          </w:tcPr>
          <w:p w14:paraId="1D816F2C" w14:textId="2190A303" w:rsidR="00150A92" w:rsidRPr="00FF4F9F" w:rsidRDefault="00016E6E" w:rsidP="00970B34">
            <w:pPr>
              <w:jc w:val="right"/>
              <w:rPr>
                <w:rFonts w:ascii="Arial Narrow" w:eastAsia="Calibri" w:hAnsi="Arial Narrow"/>
                <w:bCs/>
                <w:color w:val="000000"/>
                <w:sz w:val="20"/>
              </w:rPr>
            </w:pPr>
            <w:r>
              <w:rPr>
                <w:rFonts w:ascii="Arial Narrow" w:hAnsi="Arial Narrow"/>
                <w:color w:val="000000"/>
                <w:sz w:val="20"/>
              </w:rPr>
              <w:t>$9.29</w:t>
            </w:r>
            <w:r w:rsidR="00150A92">
              <w:rPr>
                <w:rFonts w:ascii="Arial Narrow" w:hAnsi="Arial Narrow"/>
                <w:color w:val="000000"/>
                <w:sz w:val="20"/>
              </w:rPr>
              <w:t xml:space="preserve"> </w:t>
            </w:r>
          </w:p>
        </w:tc>
        <w:tc>
          <w:tcPr>
            <w:tcW w:w="1278" w:type="dxa"/>
            <w:tcMar>
              <w:top w:w="0" w:type="dxa"/>
              <w:left w:w="108" w:type="dxa"/>
              <w:bottom w:w="0" w:type="dxa"/>
              <w:right w:w="108" w:type="dxa"/>
            </w:tcMar>
            <w:vAlign w:val="center"/>
          </w:tcPr>
          <w:p w14:paraId="0992B8FD" w14:textId="7E19861D" w:rsidR="00150A92" w:rsidRPr="00FF4F9F" w:rsidRDefault="00150A92" w:rsidP="00573E27">
            <w:pPr>
              <w:jc w:val="right"/>
              <w:rPr>
                <w:rFonts w:ascii="Arial Narrow" w:eastAsia="Calibri" w:hAnsi="Arial Narrow"/>
                <w:bCs/>
                <w:color w:val="000000"/>
                <w:sz w:val="20"/>
              </w:rPr>
            </w:pPr>
            <w:r>
              <w:rPr>
                <w:rFonts w:ascii="Arial Narrow" w:hAnsi="Arial Narrow"/>
                <w:color w:val="000000"/>
                <w:sz w:val="20"/>
              </w:rPr>
              <w:t>$</w:t>
            </w:r>
            <w:r w:rsidR="007A367B">
              <w:rPr>
                <w:rFonts w:ascii="Arial Narrow" w:hAnsi="Arial Narrow"/>
                <w:color w:val="000000"/>
                <w:sz w:val="20"/>
              </w:rPr>
              <w:t>5,574.00</w:t>
            </w:r>
            <w:r w:rsidR="00016E6E" w:rsidRPr="00016E6E">
              <w:rPr>
                <w:rFonts w:ascii="Arial Narrow" w:hAnsi="Arial Narrow"/>
                <w:color w:val="000000"/>
                <w:sz w:val="20"/>
              </w:rPr>
              <w:t xml:space="preserve"> </w:t>
            </w:r>
          </w:p>
        </w:tc>
      </w:tr>
      <w:tr w:rsidR="00016E6E" w:rsidRPr="006C7FAE" w14:paraId="45270667" w14:textId="77777777" w:rsidTr="000D79C2">
        <w:trPr>
          <w:trHeight w:val="170"/>
        </w:trPr>
        <w:tc>
          <w:tcPr>
            <w:tcW w:w="1800" w:type="dxa"/>
            <w:tcMar>
              <w:top w:w="0" w:type="dxa"/>
              <w:left w:w="108" w:type="dxa"/>
              <w:bottom w:w="0" w:type="dxa"/>
              <w:right w:w="108" w:type="dxa"/>
            </w:tcMar>
          </w:tcPr>
          <w:p w14:paraId="35F60ECB" w14:textId="77777777" w:rsidR="00016E6E" w:rsidRPr="00E76B5E" w:rsidRDefault="00016E6E" w:rsidP="002F4E04">
            <w:pPr>
              <w:rPr>
                <w:rFonts w:ascii="Arial Narrow" w:eastAsia="Calibri" w:hAnsi="Arial Narrow"/>
                <w:b/>
                <w:bCs/>
                <w:color w:val="000000"/>
                <w:sz w:val="20"/>
              </w:rPr>
            </w:pPr>
            <w:r w:rsidRPr="00E76B5E">
              <w:rPr>
                <w:rFonts w:ascii="Arial Narrow" w:eastAsia="Calibri" w:hAnsi="Arial Narrow"/>
                <w:b/>
                <w:bCs/>
                <w:color w:val="000000"/>
                <w:sz w:val="20"/>
              </w:rPr>
              <w:t>Total</w:t>
            </w:r>
          </w:p>
        </w:tc>
        <w:tc>
          <w:tcPr>
            <w:tcW w:w="1260" w:type="dxa"/>
            <w:tcMar>
              <w:top w:w="0" w:type="dxa"/>
              <w:left w:w="108" w:type="dxa"/>
              <w:bottom w:w="0" w:type="dxa"/>
              <w:right w:w="108" w:type="dxa"/>
            </w:tcMar>
            <w:vAlign w:val="center"/>
          </w:tcPr>
          <w:p w14:paraId="3BA25ECF" w14:textId="7E0D8B56" w:rsidR="00016E6E" w:rsidRPr="00E76B5E" w:rsidRDefault="00016E6E" w:rsidP="00150A92">
            <w:pPr>
              <w:jc w:val="right"/>
              <w:rPr>
                <w:rFonts w:ascii="Arial Narrow" w:eastAsia="Calibri" w:hAnsi="Arial Narrow"/>
                <w:b/>
                <w:bCs/>
                <w:color w:val="000000"/>
                <w:sz w:val="20"/>
              </w:rPr>
            </w:pPr>
            <w:r>
              <w:rPr>
                <w:rFonts w:ascii="Arial Narrow" w:hAnsi="Arial Narrow"/>
                <w:b/>
                <w:bCs/>
                <w:color w:val="000000"/>
                <w:sz w:val="20"/>
              </w:rPr>
              <w:t>564</w:t>
            </w:r>
          </w:p>
        </w:tc>
        <w:tc>
          <w:tcPr>
            <w:tcW w:w="1080" w:type="dxa"/>
            <w:tcMar>
              <w:top w:w="0" w:type="dxa"/>
              <w:left w:w="108" w:type="dxa"/>
              <w:bottom w:w="0" w:type="dxa"/>
              <w:right w:w="108" w:type="dxa"/>
            </w:tcMar>
            <w:vAlign w:val="center"/>
          </w:tcPr>
          <w:p w14:paraId="5F1BF59A" w14:textId="6FECAD77" w:rsidR="00016E6E" w:rsidRPr="00E76B5E" w:rsidRDefault="00016E6E" w:rsidP="00150A92">
            <w:pPr>
              <w:jc w:val="right"/>
              <w:rPr>
                <w:rFonts w:ascii="Arial Narrow" w:eastAsia="Calibri" w:hAnsi="Arial Narrow"/>
                <w:b/>
                <w:bCs/>
                <w:color w:val="000000"/>
                <w:sz w:val="20"/>
              </w:rPr>
            </w:pPr>
            <w:r>
              <w:rPr>
                <w:rFonts w:ascii="Arial Narrow" w:hAnsi="Arial Narrow"/>
                <w:b/>
                <w:bCs/>
                <w:color w:val="000000"/>
                <w:sz w:val="20"/>
              </w:rPr>
              <w:t> </w:t>
            </w:r>
          </w:p>
        </w:tc>
        <w:tc>
          <w:tcPr>
            <w:tcW w:w="1170" w:type="dxa"/>
            <w:tcMar>
              <w:top w:w="0" w:type="dxa"/>
              <w:left w:w="108" w:type="dxa"/>
              <w:bottom w:w="0" w:type="dxa"/>
              <w:right w:w="108" w:type="dxa"/>
            </w:tcMar>
            <w:vAlign w:val="center"/>
          </w:tcPr>
          <w:p w14:paraId="4EA9FCF2" w14:textId="36006694" w:rsidR="00016E6E" w:rsidRPr="00E76B5E" w:rsidRDefault="00016E6E" w:rsidP="00150A92">
            <w:pPr>
              <w:jc w:val="right"/>
              <w:rPr>
                <w:rFonts w:ascii="Arial Narrow" w:eastAsia="Calibri" w:hAnsi="Arial Narrow"/>
                <w:b/>
                <w:bCs/>
                <w:color w:val="000000"/>
                <w:sz w:val="20"/>
              </w:rPr>
            </w:pPr>
            <w:r>
              <w:rPr>
                <w:rFonts w:ascii="Arial Narrow" w:hAnsi="Arial Narrow"/>
                <w:b/>
                <w:bCs/>
                <w:color w:val="000000"/>
                <w:sz w:val="20"/>
              </w:rPr>
              <w:t> </w:t>
            </w:r>
          </w:p>
        </w:tc>
        <w:tc>
          <w:tcPr>
            <w:tcW w:w="1558" w:type="dxa"/>
            <w:tcMar>
              <w:top w:w="0" w:type="dxa"/>
              <w:left w:w="108" w:type="dxa"/>
              <w:bottom w:w="0" w:type="dxa"/>
              <w:right w:w="108" w:type="dxa"/>
            </w:tcMar>
            <w:vAlign w:val="center"/>
          </w:tcPr>
          <w:p w14:paraId="6A59AE3F" w14:textId="73F61EF4" w:rsidR="00016E6E" w:rsidRPr="00E76B5E" w:rsidRDefault="00016E6E" w:rsidP="00150A92">
            <w:pPr>
              <w:jc w:val="right"/>
              <w:rPr>
                <w:rFonts w:ascii="Arial Narrow" w:eastAsia="Calibri" w:hAnsi="Arial Narrow"/>
                <w:b/>
                <w:bCs/>
                <w:color w:val="000000"/>
                <w:sz w:val="20"/>
              </w:rPr>
            </w:pPr>
            <w:r>
              <w:rPr>
                <w:rFonts w:ascii="Arial Narrow" w:hAnsi="Arial Narrow"/>
                <w:b/>
                <w:bCs/>
                <w:color w:val="000000"/>
                <w:sz w:val="20"/>
              </w:rPr>
              <w:t> </w:t>
            </w:r>
          </w:p>
        </w:tc>
        <w:tc>
          <w:tcPr>
            <w:tcW w:w="954" w:type="dxa"/>
            <w:tcMar>
              <w:top w:w="0" w:type="dxa"/>
              <w:left w:w="108" w:type="dxa"/>
              <w:bottom w:w="0" w:type="dxa"/>
              <w:right w:w="108" w:type="dxa"/>
            </w:tcMar>
            <w:vAlign w:val="center"/>
          </w:tcPr>
          <w:p w14:paraId="0D7E9B07" w14:textId="343B0850" w:rsidR="00016E6E" w:rsidRPr="00E76B5E" w:rsidRDefault="007A367B" w:rsidP="00150A92">
            <w:pPr>
              <w:jc w:val="right"/>
              <w:rPr>
                <w:rFonts w:ascii="Arial Narrow" w:eastAsia="Calibri" w:hAnsi="Arial Narrow"/>
                <w:b/>
                <w:bCs/>
                <w:color w:val="000000"/>
                <w:sz w:val="20"/>
              </w:rPr>
            </w:pPr>
            <w:r>
              <w:rPr>
                <w:rFonts w:ascii="Arial Narrow" w:hAnsi="Arial Narrow"/>
                <w:b/>
                <w:bCs/>
                <w:color w:val="000000"/>
                <w:sz w:val="20"/>
              </w:rPr>
              <w:t>756</w:t>
            </w:r>
          </w:p>
        </w:tc>
        <w:tc>
          <w:tcPr>
            <w:tcW w:w="1088" w:type="dxa"/>
            <w:tcMar>
              <w:top w:w="0" w:type="dxa"/>
              <w:left w:w="108" w:type="dxa"/>
              <w:bottom w:w="0" w:type="dxa"/>
              <w:right w:w="108" w:type="dxa"/>
            </w:tcMar>
            <w:vAlign w:val="center"/>
          </w:tcPr>
          <w:p w14:paraId="4D0E23D9" w14:textId="041D7582" w:rsidR="00016E6E" w:rsidRPr="00E76B5E" w:rsidRDefault="00016E6E" w:rsidP="00970B34">
            <w:pPr>
              <w:jc w:val="right"/>
              <w:rPr>
                <w:rFonts w:ascii="Arial Narrow" w:eastAsia="Calibri" w:hAnsi="Arial Narrow"/>
                <w:b/>
                <w:bCs/>
                <w:color w:val="000000"/>
                <w:sz w:val="20"/>
              </w:rPr>
            </w:pPr>
            <w:r>
              <w:rPr>
                <w:rFonts w:ascii="Arial Narrow" w:hAnsi="Arial Narrow"/>
                <w:b/>
                <w:bCs/>
                <w:color w:val="000000"/>
                <w:sz w:val="20"/>
              </w:rPr>
              <w:t> </w:t>
            </w:r>
          </w:p>
        </w:tc>
        <w:tc>
          <w:tcPr>
            <w:tcW w:w="1278" w:type="dxa"/>
            <w:tcMar>
              <w:top w:w="0" w:type="dxa"/>
              <w:left w:w="108" w:type="dxa"/>
              <w:bottom w:w="0" w:type="dxa"/>
              <w:right w:w="108" w:type="dxa"/>
            </w:tcMar>
            <w:vAlign w:val="center"/>
          </w:tcPr>
          <w:p w14:paraId="32822089" w14:textId="57BAAF9D" w:rsidR="00016E6E" w:rsidRPr="00E76B5E" w:rsidRDefault="00016E6E" w:rsidP="00970B34">
            <w:pPr>
              <w:jc w:val="right"/>
              <w:rPr>
                <w:rFonts w:ascii="Arial Narrow" w:eastAsia="Calibri" w:hAnsi="Arial Narrow"/>
                <w:b/>
                <w:bCs/>
                <w:color w:val="000000"/>
                <w:sz w:val="20"/>
              </w:rPr>
            </w:pPr>
            <w:r>
              <w:rPr>
                <w:rFonts w:ascii="Arial Narrow" w:hAnsi="Arial Narrow"/>
                <w:b/>
                <w:bCs/>
                <w:color w:val="000000"/>
                <w:sz w:val="20"/>
              </w:rPr>
              <w:t>$</w:t>
            </w:r>
            <w:r w:rsidR="007A367B">
              <w:rPr>
                <w:rFonts w:ascii="Arial Narrow" w:hAnsi="Arial Narrow"/>
                <w:b/>
                <w:bCs/>
                <w:color w:val="000000"/>
                <w:sz w:val="20"/>
              </w:rPr>
              <w:t>11,865.00</w:t>
            </w:r>
            <w:r>
              <w:rPr>
                <w:rFonts w:ascii="Arial Narrow" w:hAnsi="Arial Narrow"/>
                <w:b/>
                <w:bCs/>
                <w:color w:val="000000"/>
                <w:sz w:val="20"/>
              </w:rPr>
              <w:t xml:space="preserve"> </w:t>
            </w:r>
          </w:p>
        </w:tc>
      </w:tr>
    </w:tbl>
    <w:p w14:paraId="052D8712" w14:textId="6719A033" w:rsidR="00DF4EA0" w:rsidRDefault="00DF4EA0" w:rsidP="0083264F">
      <w:pPr>
        <w:pStyle w:val="ExhibitSource"/>
        <w:ind w:left="180"/>
      </w:pPr>
      <w:r>
        <w:t>The</w:t>
      </w:r>
      <w:r w:rsidRPr="00DF4EA0">
        <w:t xml:space="preserve"> </w:t>
      </w:r>
      <w:r>
        <w:t>average hourly wage rate for property owners/</w:t>
      </w:r>
      <w:r w:rsidRPr="00DF4EA0">
        <w:t>managers of properties where Section 811 residents live</w:t>
      </w:r>
      <w:r>
        <w:t xml:space="preserve"> (</w:t>
      </w:r>
      <w:r w:rsidRPr="00DF4EA0">
        <w:t>$</w:t>
      </w:r>
      <w:r w:rsidR="00150A92" w:rsidRPr="00DF4EA0">
        <w:t>2</w:t>
      </w:r>
      <w:r w:rsidR="00150A92">
        <w:t>7</w:t>
      </w:r>
      <w:r w:rsidR="00150A92" w:rsidRPr="00DF4EA0">
        <w:t>.</w:t>
      </w:r>
      <w:r w:rsidR="00150A92">
        <w:t>42</w:t>
      </w:r>
      <w:r>
        <w:t xml:space="preserve">) is based on the </w:t>
      </w:r>
      <w:r w:rsidRPr="00DF4EA0">
        <w:t>median hourly wage</w:t>
      </w:r>
      <w:r>
        <w:t xml:space="preserve"> for</w:t>
      </w:r>
      <w:r w:rsidRPr="00DF4EA0">
        <w:t xml:space="preserve"> Property, Real Estate, and Community Association Managers. </w:t>
      </w:r>
      <w:r>
        <w:t xml:space="preserve">The average hourly wage for </w:t>
      </w:r>
      <w:r w:rsidRPr="00DF4EA0">
        <w:t>service providers of Section 811 residents</w:t>
      </w:r>
      <w:r>
        <w:t xml:space="preserve"> (</w:t>
      </w:r>
      <w:r w:rsidRPr="00DF4EA0">
        <w:t>$4</w:t>
      </w:r>
      <w:r w:rsidR="00150A92">
        <w:t>6.41</w:t>
      </w:r>
      <w:r>
        <w:t>) is based on the median hourly wage for</w:t>
      </w:r>
      <w:r w:rsidRPr="00DF4EA0">
        <w:t xml:space="preserve"> Medical and Health Services Managers. </w:t>
      </w:r>
      <w:r>
        <w:t xml:space="preserve">The average hourly wage for </w:t>
      </w:r>
      <w:r w:rsidR="002D3184">
        <w:t>PHA</w:t>
      </w:r>
      <w:r w:rsidRPr="00DF4EA0">
        <w:t xml:space="preserve"> </w:t>
      </w:r>
      <w:r w:rsidR="002D3184">
        <w:t>staff/m</w:t>
      </w:r>
      <w:r w:rsidRPr="00DF4EA0">
        <w:t>anagers</w:t>
      </w:r>
      <w:r w:rsidR="002D3184">
        <w:t xml:space="preserve"> ($4</w:t>
      </w:r>
      <w:r w:rsidR="00150A92">
        <w:t>3.29</w:t>
      </w:r>
      <w:r w:rsidR="002D3184">
        <w:t>) is based on the median hourly wage for</w:t>
      </w:r>
      <w:r w:rsidRPr="00DF4EA0">
        <w:t xml:space="preserve"> Administrative Services Manager</w:t>
      </w:r>
      <w:r w:rsidR="002D3184">
        <w:t>s</w:t>
      </w:r>
      <w:r w:rsidRPr="00DF4EA0">
        <w:t>.</w:t>
      </w:r>
      <w:r w:rsidR="002D3184">
        <w:t xml:space="preserve"> (</w:t>
      </w:r>
      <w:r w:rsidR="002D3184" w:rsidRPr="005E4529">
        <w:t>Source: Bureau of Labo</w:t>
      </w:r>
      <w:r w:rsidR="002D3184">
        <w:t xml:space="preserve">r Statistics, </w:t>
      </w:r>
      <w:r w:rsidR="002D3184" w:rsidRPr="005E4529">
        <w:t xml:space="preserve">Occupational Employment </w:t>
      </w:r>
      <w:r w:rsidR="002D3184">
        <w:t>Statistics, May 201</w:t>
      </w:r>
      <w:r w:rsidR="00150A92">
        <w:t>6</w:t>
      </w:r>
      <w:r w:rsidR="002D3184" w:rsidRPr="005E4529">
        <w:t>.</w:t>
      </w:r>
      <w:r w:rsidR="002D3184">
        <w:t>)</w:t>
      </w:r>
      <w:r w:rsidR="00186766">
        <w:t xml:space="preserve"> </w:t>
      </w:r>
    </w:p>
    <w:tbl>
      <w:tblPr>
        <w:tblStyle w:val="TableGrid"/>
        <w:tblW w:w="10193" w:type="dxa"/>
        <w:tblInd w:w="85" w:type="dxa"/>
        <w:tblLook w:val="04A0" w:firstRow="1" w:lastRow="0" w:firstColumn="1" w:lastColumn="0" w:noHBand="0" w:noVBand="1"/>
      </w:tblPr>
      <w:tblGrid>
        <w:gridCol w:w="2803"/>
        <w:gridCol w:w="4571"/>
        <w:gridCol w:w="1026"/>
        <w:gridCol w:w="1793"/>
      </w:tblGrid>
      <w:tr w:rsidR="00DA0181" w14:paraId="568020E1" w14:textId="77777777" w:rsidTr="006108AE">
        <w:tc>
          <w:tcPr>
            <w:tcW w:w="2803" w:type="dxa"/>
            <w:vAlign w:val="center"/>
          </w:tcPr>
          <w:p w14:paraId="4C9B6A13" w14:textId="749633F9" w:rsidR="00DA0181" w:rsidRDefault="00DA0181" w:rsidP="00970B34">
            <w:pPr>
              <w:pStyle w:val="ExhibitSource"/>
              <w:spacing w:before="0" w:after="0" w:line="240" w:lineRule="auto"/>
              <w:jc w:val="center"/>
            </w:pPr>
            <w:r>
              <w:t>Respondent</w:t>
            </w:r>
          </w:p>
        </w:tc>
        <w:tc>
          <w:tcPr>
            <w:tcW w:w="4571" w:type="dxa"/>
            <w:vAlign w:val="center"/>
          </w:tcPr>
          <w:p w14:paraId="0141375F" w14:textId="54F60BB0" w:rsidR="00DA0181" w:rsidRDefault="00DA0181" w:rsidP="00970B34">
            <w:pPr>
              <w:pStyle w:val="ExhibitSource"/>
              <w:spacing w:before="0" w:after="0" w:line="240" w:lineRule="auto"/>
              <w:jc w:val="center"/>
            </w:pPr>
            <w:r>
              <w:t>Occupation title</w:t>
            </w:r>
          </w:p>
        </w:tc>
        <w:tc>
          <w:tcPr>
            <w:tcW w:w="1026" w:type="dxa"/>
          </w:tcPr>
          <w:p w14:paraId="3DF5D88E" w14:textId="42BA89E7" w:rsidR="00DA0181" w:rsidRDefault="00DA0181" w:rsidP="00970B34">
            <w:pPr>
              <w:pStyle w:val="ExhibitSource"/>
              <w:spacing w:before="0" w:after="0" w:line="240" w:lineRule="auto"/>
              <w:jc w:val="center"/>
            </w:pPr>
            <w:r>
              <w:t>Occupation SOC code</w:t>
            </w:r>
          </w:p>
        </w:tc>
        <w:tc>
          <w:tcPr>
            <w:tcW w:w="1793" w:type="dxa"/>
          </w:tcPr>
          <w:p w14:paraId="1B819D66" w14:textId="61C5AD68" w:rsidR="00DA0181" w:rsidRDefault="00DA0181" w:rsidP="00970B34">
            <w:pPr>
              <w:pStyle w:val="ExhibitSource"/>
              <w:spacing w:before="0" w:after="0" w:line="240" w:lineRule="auto"/>
              <w:jc w:val="center"/>
            </w:pPr>
            <w:r>
              <w:t>Median hourly wage rate ($)</w:t>
            </w:r>
          </w:p>
        </w:tc>
      </w:tr>
      <w:tr w:rsidR="00150A92" w14:paraId="7A2E58C2" w14:textId="77777777" w:rsidTr="006108AE">
        <w:tc>
          <w:tcPr>
            <w:tcW w:w="2803" w:type="dxa"/>
          </w:tcPr>
          <w:p w14:paraId="0C7A34E1" w14:textId="5264C2BC" w:rsidR="00150A92" w:rsidRDefault="00150A92" w:rsidP="00DA0181">
            <w:pPr>
              <w:pStyle w:val="ExhibitSource"/>
              <w:spacing w:before="0" w:after="0" w:line="240" w:lineRule="auto"/>
            </w:pPr>
            <w:r w:rsidRPr="00DA0181">
              <w:t>Section 811 Property Manager</w:t>
            </w:r>
            <w:r>
              <w:t xml:space="preserve"> </w:t>
            </w:r>
          </w:p>
        </w:tc>
        <w:tc>
          <w:tcPr>
            <w:tcW w:w="4571" w:type="dxa"/>
          </w:tcPr>
          <w:p w14:paraId="474B46BF" w14:textId="72F6FCB0" w:rsidR="00150A92" w:rsidRDefault="00150A92" w:rsidP="00DA0181">
            <w:pPr>
              <w:pStyle w:val="ExhibitSource"/>
              <w:spacing w:before="0" w:after="0" w:line="240" w:lineRule="auto"/>
            </w:pPr>
            <w:r w:rsidRPr="00DA0181">
              <w:t>Property, Real Estate, and Community Association Managers</w:t>
            </w:r>
            <w:r>
              <w:t xml:space="preserve"> </w:t>
            </w:r>
          </w:p>
        </w:tc>
        <w:tc>
          <w:tcPr>
            <w:tcW w:w="1026" w:type="dxa"/>
          </w:tcPr>
          <w:p w14:paraId="2DE5F144" w14:textId="59E2951A" w:rsidR="00150A92" w:rsidRDefault="00150A92" w:rsidP="00DA0181">
            <w:pPr>
              <w:pStyle w:val="ExhibitSource"/>
              <w:spacing w:before="0" w:after="0" w:line="240" w:lineRule="auto"/>
              <w:jc w:val="right"/>
            </w:pPr>
            <w:r>
              <w:rPr>
                <w:rFonts w:ascii="Helvetica" w:hAnsi="Helvetica" w:cs="Helvetica"/>
                <w:szCs w:val="16"/>
              </w:rPr>
              <w:t>11–9140</w:t>
            </w:r>
          </w:p>
        </w:tc>
        <w:tc>
          <w:tcPr>
            <w:tcW w:w="1793" w:type="dxa"/>
          </w:tcPr>
          <w:p w14:paraId="69659C69" w14:textId="5D23BB83" w:rsidR="00150A92" w:rsidRDefault="00150A92" w:rsidP="00DA0181">
            <w:pPr>
              <w:pStyle w:val="ExhibitSource"/>
              <w:spacing w:before="0" w:after="0" w:line="240" w:lineRule="auto"/>
              <w:jc w:val="right"/>
            </w:pPr>
            <w:r>
              <w:rPr>
                <w:rFonts w:ascii="Helvetica" w:hAnsi="Helvetica" w:cs="Helvetica"/>
                <w:szCs w:val="16"/>
              </w:rPr>
              <w:t>27.42</w:t>
            </w:r>
          </w:p>
        </w:tc>
      </w:tr>
      <w:tr w:rsidR="00150A92" w14:paraId="47F42F57" w14:textId="77777777" w:rsidTr="006108AE">
        <w:tc>
          <w:tcPr>
            <w:tcW w:w="2803" w:type="dxa"/>
          </w:tcPr>
          <w:p w14:paraId="5F100AE7" w14:textId="46338DFD" w:rsidR="00150A92" w:rsidRDefault="00150A92" w:rsidP="00DA0181">
            <w:pPr>
              <w:pStyle w:val="ExhibitSource"/>
              <w:spacing w:before="0" w:after="0" w:line="240" w:lineRule="auto"/>
            </w:pPr>
            <w:r w:rsidRPr="00DA0181">
              <w:t>Service Provider Manager</w:t>
            </w:r>
            <w:r>
              <w:t xml:space="preserve">  </w:t>
            </w:r>
          </w:p>
        </w:tc>
        <w:tc>
          <w:tcPr>
            <w:tcW w:w="4571" w:type="dxa"/>
          </w:tcPr>
          <w:p w14:paraId="057F26A6" w14:textId="53862D5E" w:rsidR="00150A92" w:rsidRDefault="00150A92" w:rsidP="00DA0181">
            <w:pPr>
              <w:pStyle w:val="ExhibitSource"/>
              <w:spacing w:before="0" w:after="0" w:line="240" w:lineRule="auto"/>
            </w:pPr>
            <w:r w:rsidRPr="00DA0181">
              <w:t>Medical and Health Services Managers</w:t>
            </w:r>
            <w:r>
              <w:t xml:space="preserve"> </w:t>
            </w:r>
          </w:p>
        </w:tc>
        <w:tc>
          <w:tcPr>
            <w:tcW w:w="1026" w:type="dxa"/>
          </w:tcPr>
          <w:p w14:paraId="79FA62E7" w14:textId="22618557" w:rsidR="00150A92" w:rsidRDefault="00150A92" w:rsidP="00DA0181">
            <w:pPr>
              <w:pStyle w:val="ExhibitSource"/>
              <w:spacing w:before="0" w:after="0" w:line="240" w:lineRule="auto"/>
              <w:jc w:val="right"/>
            </w:pPr>
            <w:r>
              <w:rPr>
                <w:rFonts w:ascii="Helvetica" w:hAnsi="Helvetica" w:cs="Helvetica"/>
                <w:szCs w:val="16"/>
              </w:rPr>
              <w:t>11–9110</w:t>
            </w:r>
          </w:p>
        </w:tc>
        <w:tc>
          <w:tcPr>
            <w:tcW w:w="1793" w:type="dxa"/>
          </w:tcPr>
          <w:p w14:paraId="15B12564" w14:textId="3EDD7B83" w:rsidR="00150A92" w:rsidRDefault="00150A92" w:rsidP="00DA0181">
            <w:pPr>
              <w:pStyle w:val="ExhibitSource"/>
              <w:spacing w:before="0" w:after="0" w:line="240" w:lineRule="auto"/>
              <w:jc w:val="right"/>
            </w:pPr>
            <w:r>
              <w:rPr>
                <w:rFonts w:ascii="Helvetica" w:hAnsi="Helvetica" w:cs="Helvetica"/>
                <w:szCs w:val="16"/>
              </w:rPr>
              <w:t>46.41</w:t>
            </w:r>
          </w:p>
        </w:tc>
      </w:tr>
      <w:tr w:rsidR="00150A92" w14:paraId="283EB975" w14:textId="77777777" w:rsidTr="006108AE">
        <w:tc>
          <w:tcPr>
            <w:tcW w:w="2803" w:type="dxa"/>
          </w:tcPr>
          <w:p w14:paraId="7DC8F76A" w14:textId="6ED5EC56" w:rsidR="00150A92" w:rsidRDefault="00150A92" w:rsidP="00DA0181">
            <w:pPr>
              <w:pStyle w:val="ExhibitSource"/>
              <w:spacing w:before="0" w:after="0" w:line="240" w:lineRule="auto"/>
            </w:pPr>
            <w:r>
              <w:rPr>
                <w:rFonts w:ascii="Helvetica" w:hAnsi="Helvetica" w:cs="Helvetica"/>
                <w:szCs w:val="16"/>
              </w:rPr>
              <w:t>Public Housing Authority Manager</w:t>
            </w:r>
          </w:p>
        </w:tc>
        <w:tc>
          <w:tcPr>
            <w:tcW w:w="4571" w:type="dxa"/>
          </w:tcPr>
          <w:p w14:paraId="21C8A368" w14:textId="4DC480CB" w:rsidR="00150A92" w:rsidRDefault="00150A92" w:rsidP="00DA0181">
            <w:pPr>
              <w:pStyle w:val="ExhibitSource"/>
              <w:spacing w:before="0" w:after="0" w:line="240" w:lineRule="auto"/>
            </w:pPr>
            <w:r>
              <w:rPr>
                <w:rFonts w:ascii="Helvetica" w:hAnsi="Helvetica" w:cs="Helvetica"/>
                <w:szCs w:val="16"/>
              </w:rPr>
              <w:t>Administrative Services Managers</w:t>
            </w:r>
          </w:p>
        </w:tc>
        <w:tc>
          <w:tcPr>
            <w:tcW w:w="1026" w:type="dxa"/>
          </w:tcPr>
          <w:p w14:paraId="29319709" w14:textId="1245126E" w:rsidR="00150A92" w:rsidRDefault="00150A92" w:rsidP="00DA0181">
            <w:pPr>
              <w:pStyle w:val="ExhibitSource"/>
              <w:spacing w:before="0" w:after="0" w:line="240" w:lineRule="auto"/>
              <w:jc w:val="right"/>
            </w:pPr>
            <w:r>
              <w:rPr>
                <w:rFonts w:ascii="Helvetica" w:hAnsi="Helvetica" w:cs="Helvetica"/>
                <w:szCs w:val="16"/>
              </w:rPr>
              <w:t>11–3010</w:t>
            </w:r>
          </w:p>
        </w:tc>
        <w:tc>
          <w:tcPr>
            <w:tcW w:w="1793" w:type="dxa"/>
          </w:tcPr>
          <w:p w14:paraId="6E7C0E55" w14:textId="51D83225" w:rsidR="00150A92" w:rsidRDefault="00150A92" w:rsidP="00DA0181">
            <w:pPr>
              <w:pStyle w:val="ExhibitSource"/>
              <w:spacing w:before="0" w:after="0" w:line="240" w:lineRule="auto"/>
              <w:jc w:val="right"/>
            </w:pPr>
            <w:r>
              <w:rPr>
                <w:rFonts w:ascii="Helvetica" w:hAnsi="Helvetica" w:cs="Helvetica"/>
                <w:szCs w:val="16"/>
              </w:rPr>
              <w:t>43.29</w:t>
            </w:r>
          </w:p>
        </w:tc>
      </w:tr>
    </w:tbl>
    <w:p w14:paraId="0C49C0AB" w14:textId="6E08A24F" w:rsidR="00DA0181" w:rsidRDefault="00DA0181" w:rsidP="00DA0181">
      <w:pPr>
        <w:pStyle w:val="ExhibitSource"/>
        <w:spacing w:before="0"/>
      </w:pPr>
      <w:r>
        <w:t xml:space="preserve"> </w:t>
      </w:r>
      <w:r w:rsidRPr="00DA0181">
        <w:t>Source: Bureau of Labor Statistics, Occupational Employment Statistics (May 201</w:t>
      </w:r>
      <w:r w:rsidR="00561EF9">
        <w:t>6</w:t>
      </w:r>
      <w:r w:rsidRPr="00DA0181">
        <w:t>), https://www.bls.gov/oes/current/oes_stru.htm.</w:t>
      </w:r>
    </w:p>
    <w:p w14:paraId="3EA3755C" w14:textId="5318C174" w:rsidR="00DF4EA0" w:rsidRPr="005E4529" w:rsidRDefault="00BF598C" w:rsidP="0083264F">
      <w:pPr>
        <w:pStyle w:val="ExhibitSource"/>
        <w:ind w:left="180"/>
      </w:pPr>
      <w:r>
        <w:t>The average</w:t>
      </w:r>
      <w:r w:rsidRPr="00BF598C">
        <w:t xml:space="preserve"> hourly wage burden for Section 811 </w:t>
      </w:r>
      <w:r>
        <w:t xml:space="preserve">PRA and PRAC </w:t>
      </w:r>
      <w:r w:rsidRPr="00BF598C">
        <w:t xml:space="preserve">residents </w:t>
      </w:r>
      <w:r>
        <w:t>(</w:t>
      </w:r>
      <w:r w:rsidRPr="00BF598C">
        <w:t>$9.2</w:t>
      </w:r>
      <w:r w:rsidR="00016E6E">
        <w:t>9</w:t>
      </w:r>
      <w:r>
        <w:t>)</w:t>
      </w:r>
      <w:r w:rsidRPr="00BF598C">
        <w:t xml:space="preserve"> </w:t>
      </w:r>
      <w:r>
        <w:t xml:space="preserve">is </w:t>
      </w:r>
      <w:r w:rsidRPr="00BF598C">
        <w:t>the average expected prevailing minimum wage in the six states where the evaluation is being conducted (California - $10.50; Delaware - $8.25; Louisiana - $7.25 (federal minimum wage); Maryland - $8.75; Minnesota - $9.50; Washington - $11.00). (Source: U.S. Department of Labor, Wage and Hour Division, Minimum Wage Laws in the States</w:t>
      </w:r>
      <w:r>
        <w:t xml:space="preserve">, </w:t>
      </w:r>
      <w:r w:rsidRPr="00BF598C">
        <w:t>J</w:t>
      </w:r>
      <w:r w:rsidR="00016E6E">
        <w:t>ul</w:t>
      </w:r>
      <w:r w:rsidRPr="00BF598C">
        <w:t>y 2017</w:t>
      </w:r>
      <w:r>
        <w:t>.)</w:t>
      </w:r>
      <w:r w:rsidR="00186766">
        <w:t xml:space="preserve"> </w:t>
      </w:r>
    </w:p>
    <w:p w14:paraId="1FDA30A0" w14:textId="77777777" w:rsidR="008E0E93" w:rsidRPr="006C7FAE" w:rsidRDefault="00DF5700" w:rsidP="00DF5700">
      <w:pPr>
        <w:pStyle w:val="Heading1"/>
      </w:pPr>
      <w:bookmarkStart w:id="14" w:name="_Toc482188552"/>
      <w:r w:rsidRPr="00DF5700">
        <w:t>Estimates of Other Total Annual Cost Burden to Respondents and Record Keepers</w:t>
      </w:r>
      <w:bookmarkEnd w:id="14"/>
    </w:p>
    <w:p w14:paraId="10883AAD" w14:textId="77777777" w:rsidR="008E0E93" w:rsidRPr="006C7FAE" w:rsidRDefault="00C5695C" w:rsidP="00C5695C">
      <w:r w:rsidRPr="00C5695C">
        <w:t>This data collection effort involves no recordkeeping or reporting costs for respondents other than the time burden to respond to questions on the data collection ins</w:t>
      </w:r>
      <w:r>
        <w:t xml:space="preserve">truments as described in item </w:t>
      </w:r>
      <w:r w:rsidRPr="00C5695C">
        <w:t>12 above. There is no known cost burden to the respondents.</w:t>
      </w:r>
      <w:r w:rsidR="00186766">
        <w:t xml:space="preserve"> </w:t>
      </w:r>
    </w:p>
    <w:p w14:paraId="553FBC70" w14:textId="77777777" w:rsidR="008E0E93" w:rsidRPr="006C7FAE" w:rsidRDefault="00DF5700" w:rsidP="00DF5700">
      <w:pPr>
        <w:pStyle w:val="Heading1"/>
      </w:pPr>
      <w:bookmarkStart w:id="15" w:name="_Toc482188553"/>
      <w:r w:rsidRPr="00DF5700">
        <w:t>Annualized Cost to the Federal Government</w:t>
      </w:r>
      <w:bookmarkEnd w:id="15"/>
    </w:p>
    <w:p w14:paraId="092CFA5E" w14:textId="6B690948" w:rsidR="00F82F16" w:rsidRDefault="00F82F16" w:rsidP="00F82F16">
      <w:pPr>
        <w:rPr>
          <w:rFonts w:eastAsia="Calibri"/>
        </w:rPr>
      </w:pPr>
      <w:r w:rsidRPr="00F82F16">
        <w:rPr>
          <w:rFonts w:eastAsia="Calibri"/>
        </w:rPr>
        <w:t xml:space="preserve">The current effort is being carried out under </w:t>
      </w:r>
      <w:r w:rsidR="00561EF9">
        <w:rPr>
          <w:rFonts w:eastAsia="Calibri"/>
        </w:rPr>
        <w:t xml:space="preserve">a </w:t>
      </w:r>
      <w:r w:rsidRPr="00F82F16">
        <w:rPr>
          <w:rFonts w:eastAsia="Calibri"/>
        </w:rPr>
        <w:t xml:space="preserve">HUD </w:t>
      </w:r>
      <w:r>
        <w:rPr>
          <w:rFonts w:eastAsia="Calibri"/>
        </w:rPr>
        <w:t xml:space="preserve">Contract </w:t>
      </w:r>
      <w:r w:rsidR="00561EF9">
        <w:rPr>
          <w:rFonts w:eastAsia="Calibri"/>
        </w:rPr>
        <w:t>with Abt Associates</w:t>
      </w:r>
      <w:r w:rsidRPr="00F82F16">
        <w:rPr>
          <w:rFonts w:eastAsia="Calibri"/>
        </w:rPr>
        <w:t>. The total amount of this grant, spent ove</w:t>
      </w:r>
      <w:r w:rsidRPr="00911762">
        <w:rPr>
          <w:rFonts w:eastAsia="Calibri"/>
        </w:rPr>
        <w:t xml:space="preserve">r a </w:t>
      </w:r>
      <w:r w:rsidR="00911762" w:rsidRPr="00911762">
        <w:rPr>
          <w:rFonts w:eastAsia="Calibri"/>
        </w:rPr>
        <w:t>36-month</w:t>
      </w:r>
      <w:r w:rsidRPr="00911762">
        <w:rPr>
          <w:rFonts w:eastAsia="Calibri"/>
        </w:rPr>
        <w:t xml:space="preserve"> period, is $</w:t>
      </w:r>
      <w:r w:rsidR="00911762" w:rsidRPr="00911762">
        <w:rPr>
          <w:rFonts w:eastAsia="Calibri"/>
        </w:rPr>
        <w:t>2,551,488</w:t>
      </w:r>
      <w:r w:rsidRPr="00911762">
        <w:rPr>
          <w:rFonts w:eastAsia="Calibri"/>
        </w:rPr>
        <w:t xml:space="preserve">. This data collection activity will </w:t>
      </w:r>
      <w:r w:rsidR="00E87801">
        <w:rPr>
          <w:rFonts w:eastAsia="Calibri"/>
        </w:rPr>
        <w:t xml:space="preserve">be conducted within one year and will </w:t>
      </w:r>
      <w:r w:rsidRPr="00911762">
        <w:rPr>
          <w:rFonts w:eastAsia="Calibri"/>
        </w:rPr>
        <w:t>use up $</w:t>
      </w:r>
      <w:r w:rsidR="00911762" w:rsidRPr="00911762">
        <w:rPr>
          <w:rFonts w:eastAsia="Calibri"/>
        </w:rPr>
        <w:t>692,874</w:t>
      </w:r>
      <w:r w:rsidRPr="00911762">
        <w:rPr>
          <w:rFonts w:eastAsia="Calibri"/>
        </w:rPr>
        <w:t xml:space="preserve"> of this total budget, including </w:t>
      </w:r>
      <w:r w:rsidR="00D573BC">
        <w:rPr>
          <w:rFonts w:eastAsia="Calibri"/>
        </w:rPr>
        <w:t>$19,</w:t>
      </w:r>
      <w:r w:rsidR="00592704">
        <w:rPr>
          <w:rFonts w:eastAsia="Calibri"/>
        </w:rPr>
        <w:t xml:space="preserve">200 </w:t>
      </w:r>
      <w:r w:rsidR="00D573BC">
        <w:rPr>
          <w:rFonts w:eastAsia="Calibri"/>
        </w:rPr>
        <w:t>in incentive</w:t>
      </w:r>
      <w:r w:rsidRPr="00911762">
        <w:rPr>
          <w:rFonts w:eastAsia="Calibri"/>
        </w:rPr>
        <w:t xml:space="preserve"> payments to the respondents</w:t>
      </w:r>
      <w:r w:rsidR="00D573BC">
        <w:rPr>
          <w:rFonts w:eastAsia="Calibri"/>
        </w:rPr>
        <w:t>.</w:t>
      </w:r>
      <w:r w:rsidRPr="00911762">
        <w:rPr>
          <w:rFonts w:eastAsia="Calibri"/>
        </w:rPr>
        <w:t xml:space="preserve"> Incentive payments </w:t>
      </w:r>
      <w:r w:rsidR="004A4F0C">
        <w:rPr>
          <w:rFonts w:eastAsia="Calibri"/>
        </w:rPr>
        <w:t xml:space="preserve">of $40 </w:t>
      </w:r>
      <w:r w:rsidRPr="00911762">
        <w:rPr>
          <w:rFonts w:eastAsia="Calibri"/>
        </w:rPr>
        <w:t xml:space="preserve">are planned for </w:t>
      </w:r>
      <w:r w:rsidR="00592704">
        <w:rPr>
          <w:rFonts w:eastAsia="Calibri"/>
        </w:rPr>
        <w:t xml:space="preserve">480 </w:t>
      </w:r>
      <w:r w:rsidRPr="00911762">
        <w:rPr>
          <w:rFonts w:eastAsia="Calibri"/>
        </w:rPr>
        <w:t>Section 811 PRA and PRAC residents.</w:t>
      </w:r>
      <w:r w:rsidR="00186766">
        <w:rPr>
          <w:rFonts w:eastAsia="Calibri"/>
        </w:rPr>
        <w:t xml:space="preserve"> </w:t>
      </w:r>
    </w:p>
    <w:p w14:paraId="1D8DAE49" w14:textId="77777777" w:rsidR="008E0E93" w:rsidRPr="006C7FAE" w:rsidRDefault="00DF5700" w:rsidP="00DF5700">
      <w:pPr>
        <w:pStyle w:val="Heading1"/>
      </w:pPr>
      <w:bookmarkStart w:id="16" w:name="_Toc482188554"/>
      <w:r w:rsidRPr="00DF5700">
        <w:t>Explanation for Program Changes or Adjustments</w:t>
      </w:r>
      <w:bookmarkEnd w:id="16"/>
    </w:p>
    <w:p w14:paraId="5F63DA98" w14:textId="2FF00FF9" w:rsidR="008E0E93" w:rsidRPr="006C7FAE" w:rsidRDefault="00BD4179" w:rsidP="002F4E04">
      <w:r w:rsidRPr="00BD4179">
        <w:t xml:space="preserve">This submission to OMB is a </w:t>
      </w:r>
      <w:r w:rsidR="00EB3208">
        <w:t>s</w:t>
      </w:r>
      <w:r w:rsidR="00EB3208" w:rsidRPr="00EB3208">
        <w:t>ubstantial revision of currently approved collection</w:t>
      </w:r>
      <w:r w:rsidR="00EB3208">
        <w:t xml:space="preserve"> (</w:t>
      </w:r>
      <w:r w:rsidR="00EB3208" w:rsidRPr="00EB3208">
        <w:t>OMB Approval Number: 2528-0309</w:t>
      </w:r>
      <w:r w:rsidR="00EB3208">
        <w:t xml:space="preserve">). </w:t>
      </w:r>
      <w:r>
        <w:t>There are program changes or adjustments to annual burden.</w:t>
      </w:r>
      <w:r w:rsidR="00186766">
        <w:t xml:space="preserve"> </w:t>
      </w:r>
      <w:r w:rsidR="000411F3">
        <w:t>The data collection for the second phase of the evaluation will address the impact and the cost of the 811 PRA program</w:t>
      </w:r>
      <w:r w:rsidR="003D7584">
        <w:t>, as mandated by the Melville Act.</w:t>
      </w:r>
      <w:r w:rsidR="000411F3">
        <w:t xml:space="preserve"> </w:t>
      </w:r>
      <w:r w:rsidR="003D7584">
        <w:t>It includes a survey of residents and a larger set of respondents from agencies implementing the program. As a result, this new submission</w:t>
      </w:r>
      <w:r w:rsidR="000411F3">
        <w:t xml:space="preserve"> has a larger set of respondents and burden hours compared to the </w:t>
      </w:r>
      <w:r w:rsidR="003D7584">
        <w:t>original approved collection</w:t>
      </w:r>
      <w:r w:rsidR="000411F3">
        <w:t xml:space="preserve"> (</w:t>
      </w:r>
      <w:r w:rsidR="003D7584">
        <w:t xml:space="preserve">564 responses and </w:t>
      </w:r>
      <w:r w:rsidR="00856DA1">
        <w:t xml:space="preserve">756 </w:t>
      </w:r>
      <w:r w:rsidR="003D7584">
        <w:t>hours in this submission versus 79 responses and 330 hours in the currently approved collection).</w:t>
      </w:r>
    </w:p>
    <w:p w14:paraId="14C5DC47" w14:textId="77777777" w:rsidR="008E0E93" w:rsidRPr="006C7FAE" w:rsidRDefault="00DF5700" w:rsidP="00DF5700">
      <w:pPr>
        <w:pStyle w:val="Heading1"/>
      </w:pPr>
      <w:bookmarkStart w:id="17" w:name="_Toc482188555"/>
      <w:r w:rsidRPr="00DF5700">
        <w:t>Plans for Tabulation and Publication and Time Schedule</w:t>
      </w:r>
      <w:bookmarkEnd w:id="17"/>
    </w:p>
    <w:p w14:paraId="05A04838" w14:textId="77777777" w:rsidR="004A29E9" w:rsidRDefault="004A29E9" w:rsidP="004A29E9">
      <w:r w:rsidRPr="00FB6008">
        <w:t xml:space="preserve">The data collected for the </w:t>
      </w:r>
      <w:r>
        <w:rPr>
          <w:b/>
          <w:i/>
        </w:rPr>
        <w:t>Section 811 Project Rental Assistance Evaluation Phase II</w:t>
      </w:r>
      <w:r w:rsidRPr="00FB6008">
        <w:t xml:space="preserve"> will be analyzed, tabulated, and reported to HUD by the evaluation contractor, Abt Associates</w:t>
      </w:r>
      <w:r>
        <w:t xml:space="preserve">. </w:t>
      </w:r>
      <w:r w:rsidR="00B73DC0">
        <w:t>An overview of the project schedule is presented in Exhibit A-</w:t>
      </w:r>
      <w:r w:rsidR="00912280">
        <w:t>6</w:t>
      </w:r>
      <w:r w:rsidR="00B73DC0">
        <w:t>.</w:t>
      </w:r>
    </w:p>
    <w:p w14:paraId="70FF3733" w14:textId="77777777" w:rsidR="00B73DC0" w:rsidRDefault="00912280" w:rsidP="00B73DC0">
      <w:pPr>
        <w:pStyle w:val="ExhibitColumnHeader"/>
        <w:keepNext/>
        <w:keepLines/>
        <w:jc w:val="left"/>
      </w:pPr>
      <w:r>
        <w:t>Exhibit A-6</w:t>
      </w:r>
    </w:p>
    <w:p w14:paraId="09F59BD6" w14:textId="77777777" w:rsidR="00B73DC0" w:rsidRPr="007A08A3" w:rsidRDefault="00B73DC0" w:rsidP="00B73DC0">
      <w:pPr>
        <w:pStyle w:val="ExhibitColumnHeader"/>
        <w:keepNext/>
        <w:keepLines/>
        <w:jc w:val="left"/>
      </w:pPr>
      <w:r>
        <w:t>Project Schedule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9"/>
        <w:gridCol w:w="4676"/>
        <w:gridCol w:w="3261"/>
      </w:tblGrid>
      <w:tr w:rsidR="00DC27B7" w:rsidRPr="00B73DC0" w14:paraId="1CA08475" w14:textId="77777777" w:rsidTr="00FC08F4">
        <w:tc>
          <w:tcPr>
            <w:tcW w:w="1077" w:type="pct"/>
            <w:shd w:val="clear" w:color="auto" w:fill="auto"/>
            <w:vAlign w:val="center"/>
            <w:hideMark/>
          </w:tcPr>
          <w:p w14:paraId="2E682168" w14:textId="77777777" w:rsidR="00DC27B7" w:rsidRPr="00B73DC0" w:rsidRDefault="00DC27B7" w:rsidP="00FC08F4">
            <w:pPr>
              <w:keepNext/>
              <w:keepLines/>
              <w:spacing w:after="0" w:line="240" w:lineRule="auto"/>
              <w:rPr>
                <w:rFonts w:ascii="Arial Narrow" w:hAnsi="Arial Narrow" w:cs="Arial"/>
                <w:b/>
                <w:bCs/>
                <w:color w:val="000000"/>
                <w:sz w:val="20"/>
              </w:rPr>
            </w:pPr>
            <w:r>
              <w:rPr>
                <w:rFonts w:ascii="Arial Narrow" w:hAnsi="Arial Narrow" w:cs="Arial"/>
                <w:b/>
                <w:bCs/>
                <w:color w:val="000000"/>
                <w:sz w:val="20"/>
              </w:rPr>
              <w:t>Activity</w:t>
            </w:r>
          </w:p>
        </w:tc>
        <w:tc>
          <w:tcPr>
            <w:tcW w:w="2311" w:type="pct"/>
          </w:tcPr>
          <w:p w14:paraId="6BD66340" w14:textId="77777777" w:rsidR="00DC27B7" w:rsidRDefault="00DC27B7" w:rsidP="00FC08F4">
            <w:pPr>
              <w:keepNext/>
              <w:keepLines/>
              <w:spacing w:after="0" w:line="240" w:lineRule="auto"/>
              <w:rPr>
                <w:rFonts w:ascii="Arial Narrow" w:hAnsi="Arial Narrow" w:cs="Arial"/>
                <w:b/>
                <w:bCs/>
                <w:color w:val="000000"/>
                <w:sz w:val="20"/>
              </w:rPr>
            </w:pPr>
            <w:r>
              <w:rPr>
                <w:rFonts w:ascii="Arial Narrow" w:hAnsi="Arial Narrow" w:cs="Arial"/>
                <w:b/>
                <w:bCs/>
                <w:color w:val="000000"/>
                <w:sz w:val="20"/>
              </w:rPr>
              <w:t>Focus</w:t>
            </w:r>
          </w:p>
        </w:tc>
        <w:tc>
          <w:tcPr>
            <w:tcW w:w="1613" w:type="pct"/>
            <w:shd w:val="clear" w:color="auto" w:fill="auto"/>
            <w:vAlign w:val="center"/>
            <w:hideMark/>
          </w:tcPr>
          <w:p w14:paraId="1AAA919A" w14:textId="77777777" w:rsidR="00DC27B7" w:rsidRPr="00B73DC0" w:rsidRDefault="00DC27B7" w:rsidP="00FC08F4">
            <w:pPr>
              <w:keepNext/>
              <w:keepLines/>
              <w:spacing w:after="0" w:line="240" w:lineRule="auto"/>
              <w:rPr>
                <w:rFonts w:ascii="Arial Narrow" w:hAnsi="Arial Narrow" w:cs="Arial"/>
                <w:b/>
                <w:bCs/>
                <w:color w:val="000000"/>
                <w:sz w:val="20"/>
              </w:rPr>
            </w:pPr>
            <w:r>
              <w:rPr>
                <w:rFonts w:ascii="Arial Narrow" w:hAnsi="Arial Narrow" w:cs="Arial"/>
                <w:b/>
                <w:bCs/>
                <w:color w:val="000000"/>
                <w:sz w:val="20"/>
              </w:rPr>
              <w:t>Schedule</w:t>
            </w:r>
          </w:p>
        </w:tc>
      </w:tr>
      <w:tr w:rsidR="00DC27B7" w:rsidRPr="00B73DC0" w14:paraId="7C1ED7FB" w14:textId="77777777" w:rsidTr="00FC08F4">
        <w:tc>
          <w:tcPr>
            <w:tcW w:w="1077" w:type="pct"/>
            <w:shd w:val="clear" w:color="auto" w:fill="auto"/>
            <w:vAlign w:val="center"/>
            <w:hideMark/>
          </w:tcPr>
          <w:p w14:paraId="5506493B" w14:textId="77777777" w:rsidR="00DC27B7" w:rsidRPr="00B73DC0" w:rsidRDefault="00DC27B7" w:rsidP="00FC08F4">
            <w:pPr>
              <w:spacing w:after="0" w:line="240" w:lineRule="auto"/>
              <w:rPr>
                <w:rFonts w:ascii="Arial Narrow" w:hAnsi="Arial Narrow" w:cs="Arial"/>
                <w:bCs/>
                <w:color w:val="000000"/>
                <w:sz w:val="20"/>
              </w:rPr>
            </w:pPr>
            <w:r>
              <w:rPr>
                <w:rFonts w:ascii="Arial Narrow" w:hAnsi="Arial Narrow" w:cs="Arial"/>
                <w:bCs/>
                <w:color w:val="000000"/>
                <w:sz w:val="20"/>
              </w:rPr>
              <w:t xml:space="preserve">Data Collection </w:t>
            </w:r>
          </w:p>
        </w:tc>
        <w:tc>
          <w:tcPr>
            <w:tcW w:w="2311" w:type="pct"/>
            <w:vAlign w:val="center"/>
          </w:tcPr>
          <w:p w14:paraId="6D343645" w14:textId="77777777" w:rsidR="00DC27B7" w:rsidRDefault="00DC27B7" w:rsidP="00FC08F4">
            <w:pPr>
              <w:spacing w:after="0" w:line="240" w:lineRule="auto"/>
              <w:rPr>
                <w:rFonts w:ascii="Arial Narrow" w:hAnsi="Arial Narrow" w:cs="Arial"/>
                <w:color w:val="000000"/>
                <w:sz w:val="20"/>
              </w:rPr>
            </w:pPr>
            <w:r>
              <w:rPr>
                <w:rFonts w:ascii="Arial Narrow" w:hAnsi="Arial Narrow" w:cs="Arial"/>
                <w:bCs/>
                <w:color w:val="000000"/>
                <w:sz w:val="20"/>
              </w:rPr>
              <w:t>Administrative Interviews and Resident Surveys</w:t>
            </w:r>
          </w:p>
        </w:tc>
        <w:tc>
          <w:tcPr>
            <w:tcW w:w="1613" w:type="pct"/>
            <w:shd w:val="clear" w:color="auto" w:fill="auto"/>
            <w:noWrap/>
            <w:vAlign w:val="center"/>
          </w:tcPr>
          <w:p w14:paraId="0712ED1B" w14:textId="77777777" w:rsidR="00DC27B7" w:rsidRPr="00B73DC0" w:rsidRDefault="007A5AAC" w:rsidP="00FC08F4">
            <w:pPr>
              <w:spacing w:after="0" w:line="240" w:lineRule="auto"/>
              <w:rPr>
                <w:rFonts w:ascii="Arial Narrow" w:hAnsi="Arial Narrow" w:cs="Arial"/>
                <w:color w:val="000000"/>
                <w:sz w:val="20"/>
              </w:rPr>
            </w:pPr>
            <w:r>
              <w:rPr>
                <w:rFonts w:ascii="Arial Narrow" w:hAnsi="Arial Narrow" w:cs="Arial"/>
                <w:color w:val="000000"/>
                <w:sz w:val="20"/>
              </w:rPr>
              <w:t>September</w:t>
            </w:r>
            <w:r w:rsidR="00DC27B7">
              <w:rPr>
                <w:rFonts w:ascii="Arial Narrow" w:hAnsi="Arial Narrow" w:cs="Arial"/>
                <w:color w:val="000000"/>
                <w:sz w:val="20"/>
              </w:rPr>
              <w:t xml:space="preserve"> 2017 – December 2017</w:t>
            </w:r>
          </w:p>
        </w:tc>
      </w:tr>
      <w:tr w:rsidR="00DC27B7" w:rsidRPr="00B73DC0" w14:paraId="2631B79A" w14:textId="77777777" w:rsidTr="00FC08F4">
        <w:tc>
          <w:tcPr>
            <w:tcW w:w="1077" w:type="pct"/>
            <w:shd w:val="clear" w:color="auto" w:fill="auto"/>
            <w:vAlign w:val="center"/>
          </w:tcPr>
          <w:p w14:paraId="4650BAB5" w14:textId="77777777" w:rsidR="00DC27B7" w:rsidRDefault="00DC27B7" w:rsidP="00FC08F4">
            <w:pPr>
              <w:spacing w:after="0" w:line="240" w:lineRule="auto"/>
              <w:rPr>
                <w:rFonts w:ascii="Arial Narrow" w:hAnsi="Arial Narrow" w:cs="Arial"/>
                <w:bCs/>
                <w:color w:val="000000"/>
                <w:sz w:val="20"/>
              </w:rPr>
            </w:pPr>
            <w:r>
              <w:rPr>
                <w:rFonts w:ascii="Arial Narrow" w:hAnsi="Arial Narrow" w:cs="Arial"/>
                <w:bCs/>
                <w:color w:val="000000"/>
                <w:sz w:val="20"/>
              </w:rPr>
              <w:t xml:space="preserve">Interim Report </w:t>
            </w:r>
          </w:p>
        </w:tc>
        <w:tc>
          <w:tcPr>
            <w:tcW w:w="2311" w:type="pct"/>
            <w:vAlign w:val="center"/>
          </w:tcPr>
          <w:p w14:paraId="22179BC8" w14:textId="77777777" w:rsidR="00DC27B7" w:rsidRDefault="00DC27B7" w:rsidP="00FC08F4">
            <w:pPr>
              <w:spacing w:after="0" w:line="240" w:lineRule="auto"/>
              <w:rPr>
                <w:rFonts w:ascii="Arial Narrow" w:hAnsi="Arial Narrow" w:cs="Arial"/>
                <w:color w:val="000000"/>
                <w:sz w:val="20"/>
              </w:rPr>
            </w:pPr>
            <w:r>
              <w:rPr>
                <w:rFonts w:ascii="Arial Narrow" w:hAnsi="Arial Narrow" w:cs="Arial"/>
                <w:bCs/>
                <w:color w:val="000000"/>
                <w:sz w:val="20"/>
              </w:rPr>
              <w:t>Data Collection, Descriptive Analysis of Program Outputs, Preliminary Outcomes for P</w:t>
            </w:r>
            <w:r w:rsidR="007A5AAC">
              <w:rPr>
                <w:rFonts w:ascii="Arial Narrow" w:hAnsi="Arial Narrow" w:cs="Arial"/>
                <w:bCs/>
                <w:color w:val="000000"/>
                <w:sz w:val="20"/>
              </w:rPr>
              <w:t>RA</w:t>
            </w:r>
            <w:r>
              <w:rPr>
                <w:rFonts w:ascii="Arial Narrow" w:hAnsi="Arial Narrow" w:cs="Arial"/>
                <w:bCs/>
                <w:color w:val="000000"/>
                <w:sz w:val="20"/>
              </w:rPr>
              <w:t xml:space="preserve"> Grantees</w:t>
            </w:r>
          </w:p>
        </w:tc>
        <w:tc>
          <w:tcPr>
            <w:tcW w:w="1613" w:type="pct"/>
            <w:shd w:val="clear" w:color="auto" w:fill="auto"/>
            <w:noWrap/>
            <w:vAlign w:val="center"/>
          </w:tcPr>
          <w:p w14:paraId="7EBFFBF4" w14:textId="7BACE293" w:rsidR="00DC27B7" w:rsidRDefault="00A01628" w:rsidP="00FC08F4">
            <w:pPr>
              <w:spacing w:after="0" w:line="240" w:lineRule="auto"/>
              <w:rPr>
                <w:rFonts w:ascii="Arial Narrow" w:hAnsi="Arial Narrow" w:cs="Arial"/>
                <w:color w:val="000000"/>
                <w:sz w:val="20"/>
              </w:rPr>
            </w:pPr>
            <w:r>
              <w:rPr>
                <w:rFonts w:ascii="Arial Narrow" w:hAnsi="Arial Narrow" w:cs="Arial"/>
                <w:color w:val="000000"/>
                <w:sz w:val="20"/>
              </w:rPr>
              <w:t>October 2017</w:t>
            </w:r>
          </w:p>
        </w:tc>
      </w:tr>
      <w:tr w:rsidR="00DC27B7" w:rsidRPr="00B73DC0" w14:paraId="24519BA8" w14:textId="77777777" w:rsidTr="00FC08F4">
        <w:tc>
          <w:tcPr>
            <w:tcW w:w="1077" w:type="pct"/>
            <w:shd w:val="clear" w:color="auto" w:fill="auto"/>
            <w:vAlign w:val="center"/>
          </w:tcPr>
          <w:p w14:paraId="5C5D6171" w14:textId="77777777" w:rsidR="00DC27B7" w:rsidRPr="00B73DC0" w:rsidRDefault="00DC27B7" w:rsidP="00FC08F4">
            <w:pPr>
              <w:spacing w:after="0" w:line="240" w:lineRule="auto"/>
              <w:rPr>
                <w:rFonts w:ascii="Arial Narrow" w:hAnsi="Arial Narrow" w:cs="Arial"/>
                <w:bCs/>
                <w:color w:val="000000"/>
                <w:sz w:val="20"/>
              </w:rPr>
            </w:pPr>
            <w:r>
              <w:rPr>
                <w:rFonts w:ascii="Arial Narrow" w:hAnsi="Arial Narrow" w:cs="Arial"/>
                <w:bCs/>
                <w:color w:val="000000"/>
                <w:sz w:val="20"/>
              </w:rPr>
              <w:t xml:space="preserve">Analysis </w:t>
            </w:r>
          </w:p>
        </w:tc>
        <w:tc>
          <w:tcPr>
            <w:tcW w:w="2311" w:type="pct"/>
            <w:vAlign w:val="center"/>
          </w:tcPr>
          <w:p w14:paraId="0570055F" w14:textId="77777777" w:rsidR="00DC27B7" w:rsidRDefault="00FC08F4" w:rsidP="00FC08F4">
            <w:pPr>
              <w:spacing w:after="0" w:line="240" w:lineRule="auto"/>
              <w:rPr>
                <w:rFonts w:ascii="Arial Narrow" w:hAnsi="Arial Narrow" w:cs="Arial"/>
                <w:color w:val="000000"/>
                <w:sz w:val="20"/>
              </w:rPr>
            </w:pPr>
            <w:r>
              <w:rPr>
                <w:rFonts w:ascii="Arial Narrow" w:hAnsi="Arial Narrow" w:cs="Arial"/>
                <w:bCs/>
                <w:color w:val="000000"/>
                <w:sz w:val="20"/>
              </w:rPr>
              <w:t>Interview and Survey Data</w:t>
            </w:r>
          </w:p>
        </w:tc>
        <w:tc>
          <w:tcPr>
            <w:tcW w:w="1613" w:type="pct"/>
            <w:shd w:val="clear" w:color="auto" w:fill="auto"/>
            <w:noWrap/>
            <w:vAlign w:val="center"/>
          </w:tcPr>
          <w:p w14:paraId="358AAE68" w14:textId="77777777" w:rsidR="00DC27B7" w:rsidRPr="00B73DC0" w:rsidRDefault="00DC27B7" w:rsidP="00FC08F4">
            <w:pPr>
              <w:spacing w:after="0" w:line="240" w:lineRule="auto"/>
              <w:rPr>
                <w:rFonts w:ascii="Arial Narrow" w:hAnsi="Arial Narrow" w:cs="Arial"/>
                <w:color w:val="000000"/>
                <w:sz w:val="20"/>
              </w:rPr>
            </w:pPr>
            <w:r>
              <w:rPr>
                <w:rFonts w:ascii="Arial Narrow" w:hAnsi="Arial Narrow" w:cs="Arial"/>
                <w:color w:val="000000"/>
                <w:sz w:val="20"/>
              </w:rPr>
              <w:t>January 2018 – June 2018</w:t>
            </w:r>
          </w:p>
        </w:tc>
      </w:tr>
      <w:tr w:rsidR="00FC08F4" w:rsidRPr="00B73DC0" w14:paraId="1A6F9A6F" w14:textId="77777777" w:rsidTr="00FC08F4">
        <w:tc>
          <w:tcPr>
            <w:tcW w:w="1077" w:type="pct"/>
            <w:shd w:val="clear" w:color="auto" w:fill="auto"/>
            <w:vAlign w:val="center"/>
            <w:hideMark/>
          </w:tcPr>
          <w:p w14:paraId="69CD47A2" w14:textId="77777777" w:rsidR="00FC08F4" w:rsidRDefault="00FC08F4" w:rsidP="00FC08F4">
            <w:pPr>
              <w:spacing w:after="0" w:line="240" w:lineRule="auto"/>
              <w:rPr>
                <w:rFonts w:ascii="Arial Narrow" w:hAnsi="Arial Narrow" w:cs="Arial"/>
                <w:bCs/>
                <w:color w:val="000000"/>
                <w:sz w:val="20"/>
              </w:rPr>
            </w:pPr>
            <w:r>
              <w:rPr>
                <w:rFonts w:ascii="Arial Narrow" w:hAnsi="Arial Narrow" w:cs="Arial"/>
                <w:bCs/>
                <w:color w:val="000000"/>
                <w:sz w:val="20"/>
              </w:rPr>
              <w:t xml:space="preserve">Final Report </w:t>
            </w:r>
          </w:p>
        </w:tc>
        <w:tc>
          <w:tcPr>
            <w:tcW w:w="2311" w:type="pct"/>
            <w:vAlign w:val="center"/>
          </w:tcPr>
          <w:p w14:paraId="0341F642" w14:textId="77777777" w:rsidR="00FC08F4" w:rsidRDefault="00FC08F4" w:rsidP="00FC08F4">
            <w:pPr>
              <w:spacing w:after="0" w:line="240" w:lineRule="auto"/>
              <w:rPr>
                <w:rFonts w:ascii="Arial Narrow" w:hAnsi="Arial Narrow" w:cs="Arial"/>
                <w:color w:val="000000"/>
                <w:sz w:val="20"/>
              </w:rPr>
            </w:pPr>
            <w:r>
              <w:rPr>
                <w:rFonts w:ascii="Arial Narrow" w:hAnsi="Arial Narrow" w:cs="Arial"/>
                <w:color w:val="000000"/>
                <w:sz w:val="20"/>
              </w:rPr>
              <w:t>All Data Collection and Analysis</w:t>
            </w:r>
          </w:p>
        </w:tc>
        <w:tc>
          <w:tcPr>
            <w:tcW w:w="1613" w:type="pct"/>
            <w:shd w:val="clear" w:color="auto" w:fill="auto"/>
            <w:noWrap/>
            <w:vAlign w:val="center"/>
          </w:tcPr>
          <w:p w14:paraId="149104BE" w14:textId="77777777" w:rsidR="00FC08F4" w:rsidRDefault="00FC08F4" w:rsidP="00FC08F4">
            <w:pPr>
              <w:spacing w:after="0" w:line="240" w:lineRule="auto"/>
              <w:rPr>
                <w:rFonts w:ascii="Arial Narrow" w:hAnsi="Arial Narrow" w:cs="Arial"/>
                <w:color w:val="000000"/>
                <w:sz w:val="20"/>
              </w:rPr>
            </w:pPr>
            <w:r>
              <w:rPr>
                <w:rFonts w:ascii="Arial Narrow" w:hAnsi="Arial Narrow" w:cs="Arial"/>
                <w:color w:val="000000"/>
                <w:sz w:val="20"/>
              </w:rPr>
              <w:t>October 2018</w:t>
            </w:r>
          </w:p>
        </w:tc>
      </w:tr>
    </w:tbl>
    <w:p w14:paraId="468461A6" w14:textId="77777777" w:rsidR="00B73DC0" w:rsidRPr="00B73DC0" w:rsidRDefault="00B73DC0" w:rsidP="00B73DC0">
      <w:pPr>
        <w:pStyle w:val="ExhibitSource"/>
        <w:rPr>
          <w:sz w:val="20"/>
        </w:rPr>
      </w:pPr>
    </w:p>
    <w:p w14:paraId="5FA30887" w14:textId="2176BD3C" w:rsidR="004A29E9" w:rsidRDefault="004A29E9" w:rsidP="004A29E9">
      <w:r w:rsidRPr="004A29E9">
        <w:t xml:space="preserve">Data collection for the </w:t>
      </w:r>
      <w:r>
        <w:t xml:space="preserve">resident surveys and administrative interviews is expected to start in </w:t>
      </w:r>
      <w:r w:rsidR="00A01628">
        <w:t xml:space="preserve">September </w:t>
      </w:r>
      <w:r w:rsidRPr="004A29E9">
        <w:t xml:space="preserve">2017, pending approval of this information request. </w:t>
      </w:r>
      <w:r>
        <w:t>The study team is</w:t>
      </w:r>
      <w:r w:rsidRPr="004A29E9">
        <w:t xml:space="preserve"> planning a six-month field data collection</w:t>
      </w:r>
      <w:r>
        <w:t xml:space="preserve"> between </w:t>
      </w:r>
      <w:r w:rsidR="00A01628">
        <w:t xml:space="preserve">September </w:t>
      </w:r>
      <w:r>
        <w:t xml:space="preserve">and December 2017.  </w:t>
      </w:r>
      <w:r w:rsidRPr="004A29E9">
        <w:t xml:space="preserve">Analysis of the </w:t>
      </w:r>
      <w:r>
        <w:t>resident survey and administrative interview data</w:t>
      </w:r>
      <w:r w:rsidRPr="004A29E9">
        <w:t xml:space="preserve"> </w:t>
      </w:r>
      <w:r>
        <w:t>will take place January 2018 – June 2018. An</w:t>
      </w:r>
      <w:r w:rsidRPr="004A29E9">
        <w:t xml:space="preserve"> </w:t>
      </w:r>
      <w:r>
        <w:t>interim report</w:t>
      </w:r>
      <w:r w:rsidRPr="004A29E9">
        <w:t xml:space="preserve"> </w:t>
      </w:r>
      <w:r>
        <w:t xml:space="preserve">in October 2017 </w:t>
      </w:r>
      <w:r w:rsidRPr="004A29E9">
        <w:t xml:space="preserve">will present a brief update on data collection activities and a descriptive analysis of PRA program outputs and preliminary outcomes for all </w:t>
      </w:r>
      <w:r w:rsidR="00A01628">
        <w:t>28</w:t>
      </w:r>
      <w:r w:rsidR="00A01628" w:rsidRPr="004A29E9">
        <w:t xml:space="preserve"> </w:t>
      </w:r>
      <w:r w:rsidRPr="004A29E9">
        <w:t>PRA grantees.</w:t>
      </w:r>
      <w:r>
        <w:t xml:space="preserve"> </w:t>
      </w:r>
      <w:r w:rsidRPr="004A29E9">
        <w:t xml:space="preserve">A final </w:t>
      </w:r>
      <w:r>
        <w:t xml:space="preserve">report </w:t>
      </w:r>
      <w:r w:rsidRPr="004A29E9">
        <w:t>that will incorporate the final results of all aspects of the study</w:t>
      </w:r>
      <w:r>
        <w:t xml:space="preserve"> is due to HUD in October 2018. </w:t>
      </w:r>
    </w:p>
    <w:p w14:paraId="0C8AFA1D" w14:textId="77777777" w:rsidR="000A0873" w:rsidRDefault="005775DE" w:rsidP="000A0873">
      <w:r>
        <w:t xml:space="preserve">The interview data from property owners and managers, service providers, and PHA staff, and survey data from Section 811 PRA residents will be analyzed for the implementation study. </w:t>
      </w:r>
      <w:r w:rsidR="000A0873" w:rsidRPr="000A0873">
        <w:t xml:space="preserve">Analysis of the interview data will begin after each site visit is completed. Qualitative research software, NVivo, will be used to </w:t>
      </w:r>
      <w:r w:rsidR="00FC08F4">
        <w:t xml:space="preserve">code, </w:t>
      </w:r>
      <w:r w:rsidR="000A0873" w:rsidRPr="000A0873">
        <w:t xml:space="preserve">sort and analyze interview findings. </w:t>
      </w:r>
    </w:p>
    <w:p w14:paraId="4AA9E08F" w14:textId="77777777" w:rsidR="005775DE" w:rsidRPr="000A0873" w:rsidRDefault="005775DE" w:rsidP="002D1D25">
      <w:r>
        <w:t>Survey data from Section 811 PRA and PRAC residents will be analyzed as part of the impact study.</w:t>
      </w:r>
      <w:r w:rsidR="0043621B">
        <w:t xml:space="preserve"> </w:t>
      </w:r>
      <w:r w:rsidR="00346700">
        <w:t xml:space="preserve">The impact analysis will compare various short-term outcomes and characteristics of interest – quality of life, housing and neighborhood quality, housing tenure, and utilization of healthcare and </w:t>
      </w:r>
      <w:r w:rsidR="002D1D25">
        <w:t>long-term services and supports.</w:t>
      </w:r>
      <w:r w:rsidR="00E239AC">
        <w:t xml:space="preserve"> </w:t>
      </w:r>
    </w:p>
    <w:p w14:paraId="7218A65D" w14:textId="77777777" w:rsidR="008E0E93" w:rsidRPr="006C7FAE" w:rsidRDefault="009B644E" w:rsidP="009B644E">
      <w:pPr>
        <w:pStyle w:val="Heading1"/>
      </w:pPr>
      <w:bookmarkStart w:id="18" w:name="_Toc482188556"/>
      <w:r w:rsidRPr="009B644E">
        <w:t>Reason(s) Display of OMB Expiration Date is Inappropriate</w:t>
      </w:r>
      <w:bookmarkEnd w:id="18"/>
    </w:p>
    <w:p w14:paraId="36B32483" w14:textId="77777777" w:rsidR="008E0E93" w:rsidRPr="006C7FAE" w:rsidRDefault="002F4E04" w:rsidP="002F4E04">
      <w:r w:rsidRPr="002F4E04">
        <w:t>All data collection instruments will prominently display the expiration date for OMB approval.</w:t>
      </w:r>
      <w:r w:rsidR="00186766">
        <w:t xml:space="preserve"> </w:t>
      </w:r>
    </w:p>
    <w:p w14:paraId="118C90A2" w14:textId="77777777" w:rsidR="008E0E93" w:rsidRDefault="009B644E" w:rsidP="009B644E">
      <w:pPr>
        <w:pStyle w:val="Heading1"/>
      </w:pPr>
      <w:bookmarkStart w:id="19" w:name="_Toc482188557"/>
      <w:r w:rsidRPr="009B644E">
        <w:t>Exceptions to Certification for Paperwork Reduction Act Submissions</w:t>
      </w:r>
      <w:bookmarkEnd w:id="19"/>
    </w:p>
    <w:p w14:paraId="708DFE7D" w14:textId="1DC5C71F" w:rsidR="00B75236" w:rsidRPr="006C7FAE" w:rsidRDefault="002F4E04" w:rsidP="002F4E04">
      <w:r w:rsidRPr="002F4E04">
        <w:t>This submission describing data collection requests no exceptions to the Certificate for Paperwork Reduction Act (5 CFR 1320.9).</w:t>
      </w:r>
      <w:r w:rsidR="00186766">
        <w:t xml:space="preserve"> </w:t>
      </w:r>
    </w:p>
    <w:sectPr w:rsidR="00B75236" w:rsidRPr="006C7FAE" w:rsidSect="002F4E04">
      <w:headerReference w:type="default" r:id="rId12"/>
      <w:pgSz w:w="12240" w:h="15840"/>
      <w:pgMar w:top="1440" w:right="1440" w:bottom="1440" w:left="900" w:header="480" w:footer="480" w:gutter="0"/>
      <w:cols w:space="480" w:equalWidth="0">
        <w:col w:w="100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241AA" w14:textId="77777777" w:rsidR="00C5407D" w:rsidRDefault="00C5407D" w:rsidP="00D979EA">
      <w:r>
        <w:separator/>
      </w:r>
    </w:p>
  </w:endnote>
  <w:endnote w:type="continuationSeparator" w:id="0">
    <w:p w14:paraId="4654C2A7" w14:textId="77777777" w:rsidR="00C5407D" w:rsidRDefault="00C5407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41AA" w14:textId="77777777" w:rsidR="00C5407D" w:rsidRDefault="00C5407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149799"/>
      <w:docPartObj>
        <w:docPartGallery w:val="Page Numbers (Bottom of Page)"/>
        <w:docPartUnique/>
      </w:docPartObj>
    </w:sdtPr>
    <w:sdtEndPr>
      <w:rPr>
        <w:noProof/>
      </w:rPr>
    </w:sdtEndPr>
    <w:sdtContent>
      <w:p w14:paraId="51E1909E" w14:textId="549EAEC1" w:rsidR="00C5407D" w:rsidRPr="00CA4BB6" w:rsidRDefault="00C5407D" w:rsidP="00B41113">
        <w:pPr>
          <w:pStyle w:val="Footer"/>
        </w:pPr>
        <w:r>
          <w:fldChar w:fldCharType="begin"/>
        </w:r>
        <w:r>
          <w:instrText xml:space="preserve"> PAGE   \* MERGEFORMAT </w:instrText>
        </w:r>
        <w:r>
          <w:fldChar w:fldCharType="separate"/>
        </w:r>
        <w:r w:rsidR="004E016B">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3BFC9" w14:textId="77777777" w:rsidR="00C5407D" w:rsidRDefault="00C5407D" w:rsidP="00D979EA">
      <w:r>
        <w:separator/>
      </w:r>
    </w:p>
  </w:footnote>
  <w:footnote w:type="continuationSeparator" w:id="0">
    <w:p w14:paraId="720CF063" w14:textId="77777777" w:rsidR="00C5407D" w:rsidRDefault="00C5407D" w:rsidP="00D979EA">
      <w:r>
        <w:continuationSeparator/>
      </w:r>
    </w:p>
  </w:footnote>
  <w:footnote w:id="1">
    <w:p w14:paraId="67FE55C0" w14:textId="1DDF5725" w:rsidR="00C5407D" w:rsidRDefault="00C5407D" w:rsidP="00B55F27">
      <w:pPr>
        <w:pStyle w:val="FootnoteText"/>
      </w:pPr>
      <w:r>
        <w:rPr>
          <w:rStyle w:val="FootnoteReference"/>
        </w:rPr>
        <w:footnoteRef/>
      </w:r>
      <w:r>
        <w:t xml:space="preserve"> </w:t>
      </w:r>
      <w:r>
        <w:tab/>
        <w:t>North Carolina was selected in the FY 2012 grant competition and the District of Columbia was selected in the FY2013 grant competition but they did not move forward with their grant award. North Carolina and the District of Columbia are not included in these counts of grant awards and state housing agencies.</w:t>
      </w:r>
    </w:p>
  </w:footnote>
  <w:footnote w:id="2">
    <w:p w14:paraId="06656B59" w14:textId="3A8831BD" w:rsidR="00C5407D" w:rsidRDefault="00C5407D">
      <w:pPr>
        <w:pStyle w:val="FootnoteText"/>
      </w:pPr>
      <w:r>
        <w:rPr>
          <w:rStyle w:val="FootnoteReference"/>
        </w:rPr>
        <w:footnoteRef/>
      </w:r>
      <w:r>
        <w:t xml:space="preserve"> </w:t>
      </w:r>
      <w:r w:rsidRPr="006F7D3D">
        <w:t>A purposive sample is a non-</w:t>
      </w:r>
      <w:r>
        <w:t>random</w:t>
      </w:r>
      <w:r w:rsidRPr="006F7D3D">
        <w:t xml:space="preserve"> sample that is selected based on characteristics of a population and the objective o</w:t>
      </w:r>
      <w:r>
        <w:t>f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DEB2" w14:textId="77777777" w:rsidR="00C5407D" w:rsidRPr="00AD7ADA" w:rsidRDefault="00C5407D" w:rsidP="00AD7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DEC91" w14:textId="77777777" w:rsidR="00C5407D" w:rsidRDefault="00C54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11B7E78"/>
    <w:multiLevelType w:val="hybridMultilevel"/>
    <w:tmpl w:val="204C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35DF7"/>
    <w:multiLevelType w:val="hybridMultilevel"/>
    <w:tmpl w:val="2E9A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92F3197"/>
    <w:multiLevelType w:val="multilevel"/>
    <w:tmpl w:val="88664CB0"/>
    <w:lvl w:ilvl="0">
      <w:start w:val="1"/>
      <w:numFmt w:val="bullet"/>
      <w:pStyle w:val="ExhibitBullets"/>
      <w:lvlText w:val=""/>
      <w:lvlJc w:val="left"/>
      <w:pPr>
        <w:ind w:left="216" w:hanging="216"/>
      </w:pPr>
      <w:rPr>
        <w:rFonts w:ascii="Symbol" w:hAnsi="Symbol" w:hint="default"/>
        <w:color w:val="4B697A" w:themeColor="background1"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D346FA"/>
    <w:multiLevelType w:val="hybridMultilevel"/>
    <w:tmpl w:val="714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E5F22"/>
    <w:multiLevelType w:val="hybridMultilevel"/>
    <w:tmpl w:val="94BA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4058F4"/>
    <w:multiLevelType w:val="hybridMultilevel"/>
    <w:tmpl w:val="86C0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35AA7"/>
    <w:multiLevelType w:val="hybridMultilevel"/>
    <w:tmpl w:val="72C21D50"/>
    <w:lvl w:ilvl="0" w:tplc="C97C4DF8">
      <w:start w:val="1"/>
      <w:numFmt w:val="upperLetter"/>
      <w:pStyle w:val="Heading1ES"/>
      <w:lvlText w:val="%1."/>
      <w:lvlJc w:val="left"/>
      <w:pPr>
        <w:ind w:left="45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5332C5B"/>
    <w:multiLevelType w:val="hybridMultilevel"/>
    <w:tmpl w:val="9D2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AB567C1C"/>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3FF25A54"/>
    <w:multiLevelType w:val="hybridMultilevel"/>
    <w:tmpl w:val="A21A6898"/>
    <w:lvl w:ilvl="0" w:tplc="1DACB03A">
      <w:start w:val="1"/>
      <w:numFmt w:val="bullet"/>
      <w:pStyle w:val="Bulle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095144"/>
    <w:multiLevelType w:val="hybridMultilevel"/>
    <w:tmpl w:val="1652A25C"/>
    <w:lvl w:ilvl="0" w:tplc="2230139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03AD1"/>
    <w:multiLevelType w:val="hybridMultilevel"/>
    <w:tmpl w:val="30DCE5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60E6808">
      <w:start w:val="4"/>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6527CF"/>
    <w:multiLevelType w:val="hybridMultilevel"/>
    <w:tmpl w:val="D81C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FA3EC2"/>
    <w:multiLevelType w:val="hybridMultilevel"/>
    <w:tmpl w:val="9DE6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9F16F5"/>
    <w:multiLevelType w:val="hybridMultilevel"/>
    <w:tmpl w:val="CF3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212466"/>
    <w:multiLevelType w:val="hybridMultilevel"/>
    <w:tmpl w:val="2CE2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E276565"/>
    <w:multiLevelType w:val="hybridMultilevel"/>
    <w:tmpl w:val="3BD4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11"/>
  </w:num>
  <w:num w:numId="4">
    <w:abstractNumId w:val="21"/>
  </w:num>
  <w:num w:numId="5">
    <w:abstractNumId w:val="12"/>
  </w:num>
  <w:num w:numId="6">
    <w:abstractNumId w:val="9"/>
  </w:num>
  <w:num w:numId="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8">
    <w:abstractNumId w:val="1"/>
  </w:num>
  <w:num w:numId="9">
    <w:abstractNumId w:val="14"/>
  </w:num>
  <w:num w:numId="10">
    <w:abstractNumId w:val="15"/>
  </w:num>
  <w:num w:numId="11">
    <w:abstractNumId w:val="6"/>
  </w:num>
  <w:num w:numId="12">
    <w:abstractNumId w:val="2"/>
  </w:num>
  <w:num w:numId="13">
    <w:abstractNumId w:val="10"/>
  </w:num>
  <w:num w:numId="14">
    <w:abstractNumId w:val="18"/>
  </w:num>
  <w:num w:numId="15">
    <w:abstractNumId w:val="5"/>
  </w:num>
  <w:num w:numId="16">
    <w:abstractNumId w:val="20"/>
  </w:num>
  <w:num w:numId="17">
    <w:abstractNumId w:val="16"/>
  </w:num>
  <w:num w:numId="18">
    <w:abstractNumId w:val="17"/>
  </w:num>
  <w:num w:numId="19">
    <w:abstractNumId w:val="3"/>
  </w:num>
  <w:num w:numId="20">
    <w:abstractNumId w:val="7"/>
  </w:num>
  <w:num w:numId="21">
    <w:abstractNumId w:val="8"/>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375B"/>
    <w:rsid w:val="00016E17"/>
    <w:rsid w:val="00016E6E"/>
    <w:rsid w:val="0002216E"/>
    <w:rsid w:val="00033A8D"/>
    <w:rsid w:val="00033BB4"/>
    <w:rsid w:val="000345B0"/>
    <w:rsid w:val="00035415"/>
    <w:rsid w:val="0003631E"/>
    <w:rsid w:val="0004064D"/>
    <w:rsid w:val="00040E00"/>
    <w:rsid w:val="000411F3"/>
    <w:rsid w:val="00043A83"/>
    <w:rsid w:val="00046728"/>
    <w:rsid w:val="000525E0"/>
    <w:rsid w:val="00053E12"/>
    <w:rsid w:val="00053EEF"/>
    <w:rsid w:val="000543DC"/>
    <w:rsid w:val="00055022"/>
    <w:rsid w:val="0005586E"/>
    <w:rsid w:val="0005750B"/>
    <w:rsid w:val="0006045E"/>
    <w:rsid w:val="0006587B"/>
    <w:rsid w:val="00070322"/>
    <w:rsid w:val="00074840"/>
    <w:rsid w:val="00075567"/>
    <w:rsid w:val="00075BEA"/>
    <w:rsid w:val="000762C4"/>
    <w:rsid w:val="000766BA"/>
    <w:rsid w:val="00082D01"/>
    <w:rsid w:val="00082D1B"/>
    <w:rsid w:val="0008674B"/>
    <w:rsid w:val="00087856"/>
    <w:rsid w:val="000902AA"/>
    <w:rsid w:val="00091C6A"/>
    <w:rsid w:val="00095D40"/>
    <w:rsid w:val="000A00A2"/>
    <w:rsid w:val="000A0873"/>
    <w:rsid w:val="000A1C6D"/>
    <w:rsid w:val="000A7D69"/>
    <w:rsid w:val="000B33D1"/>
    <w:rsid w:val="000B4A32"/>
    <w:rsid w:val="000C0A39"/>
    <w:rsid w:val="000C201B"/>
    <w:rsid w:val="000C3040"/>
    <w:rsid w:val="000D53F1"/>
    <w:rsid w:val="000D5777"/>
    <w:rsid w:val="000D5AD1"/>
    <w:rsid w:val="000D79C2"/>
    <w:rsid w:val="000E6B75"/>
    <w:rsid w:val="000F53F4"/>
    <w:rsid w:val="000F668A"/>
    <w:rsid w:val="00102895"/>
    <w:rsid w:val="001034D7"/>
    <w:rsid w:val="00104F2A"/>
    <w:rsid w:val="00107A04"/>
    <w:rsid w:val="0011170B"/>
    <w:rsid w:val="0011192D"/>
    <w:rsid w:val="00115FC1"/>
    <w:rsid w:val="001178CA"/>
    <w:rsid w:val="00122FFB"/>
    <w:rsid w:val="001262EA"/>
    <w:rsid w:val="001307A5"/>
    <w:rsid w:val="00133465"/>
    <w:rsid w:val="001348E2"/>
    <w:rsid w:val="00136A84"/>
    <w:rsid w:val="00141353"/>
    <w:rsid w:val="00141CD8"/>
    <w:rsid w:val="00150A92"/>
    <w:rsid w:val="00151AEB"/>
    <w:rsid w:val="00152153"/>
    <w:rsid w:val="00156899"/>
    <w:rsid w:val="00157E04"/>
    <w:rsid w:val="00160657"/>
    <w:rsid w:val="00160B87"/>
    <w:rsid w:val="001677DC"/>
    <w:rsid w:val="001715A7"/>
    <w:rsid w:val="00172119"/>
    <w:rsid w:val="00172D8D"/>
    <w:rsid w:val="00176B3C"/>
    <w:rsid w:val="00186766"/>
    <w:rsid w:val="001870D1"/>
    <w:rsid w:val="00190709"/>
    <w:rsid w:val="00191E9D"/>
    <w:rsid w:val="001956E8"/>
    <w:rsid w:val="001A04CE"/>
    <w:rsid w:val="001A0E0A"/>
    <w:rsid w:val="001A23B5"/>
    <w:rsid w:val="001A403F"/>
    <w:rsid w:val="001A4633"/>
    <w:rsid w:val="001B39F3"/>
    <w:rsid w:val="001B4509"/>
    <w:rsid w:val="001C0891"/>
    <w:rsid w:val="001C10AF"/>
    <w:rsid w:val="001D3A12"/>
    <w:rsid w:val="001D4FDD"/>
    <w:rsid w:val="001D7EBA"/>
    <w:rsid w:val="001E2CF1"/>
    <w:rsid w:val="001E53C7"/>
    <w:rsid w:val="001E7FCE"/>
    <w:rsid w:val="001F0063"/>
    <w:rsid w:val="001F1EC1"/>
    <w:rsid w:val="001F29A2"/>
    <w:rsid w:val="00200E58"/>
    <w:rsid w:val="002064D3"/>
    <w:rsid w:val="002068E6"/>
    <w:rsid w:val="002104D6"/>
    <w:rsid w:val="002106BF"/>
    <w:rsid w:val="002126DB"/>
    <w:rsid w:val="00212C6E"/>
    <w:rsid w:val="0021761E"/>
    <w:rsid w:val="002176B8"/>
    <w:rsid w:val="002216AD"/>
    <w:rsid w:val="00221D99"/>
    <w:rsid w:val="0022329C"/>
    <w:rsid w:val="00223A9F"/>
    <w:rsid w:val="00225FEC"/>
    <w:rsid w:val="0022604F"/>
    <w:rsid w:val="0022674D"/>
    <w:rsid w:val="00227977"/>
    <w:rsid w:val="0023006A"/>
    <w:rsid w:val="0023449A"/>
    <w:rsid w:val="00235F88"/>
    <w:rsid w:val="00244D8F"/>
    <w:rsid w:val="00250E8B"/>
    <w:rsid w:val="00251FD2"/>
    <w:rsid w:val="00252CA1"/>
    <w:rsid w:val="00255975"/>
    <w:rsid w:val="00255A92"/>
    <w:rsid w:val="002702F7"/>
    <w:rsid w:val="00273EAA"/>
    <w:rsid w:val="00276702"/>
    <w:rsid w:val="00276F9D"/>
    <w:rsid w:val="0028328D"/>
    <w:rsid w:val="002838F5"/>
    <w:rsid w:val="002839C6"/>
    <w:rsid w:val="00285295"/>
    <w:rsid w:val="00285BB6"/>
    <w:rsid w:val="00294105"/>
    <w:rsid w:val="0029477E"/>
    <w:rsid w:val="0029491C"/>
    <w:rsid w:val="00296510"/>
    <w:rsid w:val="002A4078"/>
    <w:rsid w:val="002A5CE0"/>
    <w:rsid w:val="002B0328"/>
    <w:rsid w:val="002B2F3C"/>
    <w:rsid w:val="002C32AB"/>
    <w:rsid w:val="002C41F9"/>
    <w:rsid w:val="002C4495"/>
    <w:rsid w:val="002C5AC8"/>
    <w:rsid w:val="002C76AB"/>
    <w:rsid w:val="002D1D25"/>
    <w:rsid w:val="002D3184"/>
    <w:rsid w:val="002D3AB8"/>
    <w:rsid w:val="002D4536"/>
    <w:rsid w:val="002D5525"/>
    <w:rsid w:val="002F2D3C"/>
    <w:rsid w:val="002F48C8"/>
    <w:rsid w:val="002F4D16"/>
    <w:rsid w:val="002F4E04"/>
    <w:rsid w:val="002F55CE"/>
    <w:rsid w:val="002F76F5"/>
    <w:rsid w:val="00301635"/>
    <w:rsid w:val="00301784"/>
    <w:rsid w:val="00301970"/>
    <w:rsid w:val="00304A41"/>
    <w:rsid w:val="00305783"/>
    <w:rsid w:val="00306FF2"/>
    <w:rsid w:val="00312392"/>
    <w:rsid w:val="00314A8A"/>
    <w:rsid w:val="00324EC2"/>
    <w:rsid w:val="003279F2"/>
    <w:rsid w:val="0033178D"/>
    <w:rsid w:val="00332E71"/>
    <w:rsid w:val="00333B31"/>
    <w:rsid w:val="00335150"/>
    <w:rsid w:val="00342BA9"/>
    <w:rsid w:val="0034517B"/>
    <w:rsid w:val="003455BC"/>
    <w:rsid w:val="00346700"/>
    <w:rsid w:val="00352C53"/>
    <w:rsid w:val="00353902"/>
    <w:rsid w:val="00354503"/>
    <w:rsid w:val="00361A21"/>
    <w:rsid w:val="00361BA8"/>
    <w:rsid w:val="003623F0"/>
    <w:rsid w:val="00370164"/>
    <w:rsid w:val="003711CD"/>
    <w:rsid w:val="00371D24"/>
    <w:rsid w:val="00373F7F"/>
    <w:rsid w:val="00380DB1"/>
    <w:rsid w:val="00383BFC"/>
    <w:rsid w:val="00384611"/>
    <w:rsid w:val="00384CA0"/>
    <w:rsid w:val="003870BA"/>
    <w:rsid w:val="00387E4F"/>
    <w:rsid w:val="003940BF"/>
    <w:rsid w:val="00395A89"/>
    <w:rsid w:val="00397E74"/>
    <w:rsid w:val="003A2FA8"/>
    <w:rsid w:val="003A3403"/>
    <w:rsid w:val="003B163B"/>
    <w:rsid w:val="003B4770"/>
    <w:rsid w:val="003B52AA"/>
    <w:rsid w:val="003C20BF"/>
    <w:rsid w:val="003C70DC"/>
    <w:rsid w:val="003D5616"/>
    <w:rsid w:val="003D7584"/>
    <w:rsid w:val="003E1B3B"/>
    <w:rsid w:val="003E228D"/>
    <w:rsid w:val="003E2789"/>
    <w:rsid w:val="003E63BD"/>
    <w:rsid w:val="003E666B"/>
    <w:rsid w:val="003F1FE3"/>
    <w:rsid w:val="003F3536"/>
    <w:rsid w:val="003F3829"/>
    <w:rsid w:val="003F3E19"/>
    <w:rsid w:val="003F6D76"/>
    <w:rsid w:val="0040170A"/>
    <w:rsid w:val="00403AA9"/>
    <w:rsid w:val="00413F80"/>
    <w:rsid w:val="0041778E"/>
    <w:rsid w:val="00420319"/>
    <w:rsid w:val="00422A61"/>
    <w:rsid w:val="00423092"/>
    <w:rsid w:val="004253E8"/>
    <w:rsid w:val="00427EA9"/>
    <w:rsid w:val="004319BC"/>
    <w:rsid w:val="004320E5"/>
    <w:rsid w:val="00433389"/>
    <w:rsid w:val="00434669"/>
    <w:rsid w:val="004350B0"/>
    <w:rsid w:val="0043621B"/>
    <w:rsid w:val="00436CE5"/>
    <w:rsid w:val="00436E25"/>
    <w:rsid w:val="00442021"/>
    <w:rsid w:val="00453FE3"/>
    <w:rsid w:val="004672B5"/>
    <w:rsid w:val="00470AB4"/>
    <w:rsid w:val="00472932"/>
    <w:rsid w:val="00472E16"/>
    <w:rsid w:val="004734DF"/>
    <w:rsid w:val="00474267"/>
    <w:rsid w:val="0047561B"/>
    <w:rsid w:val="00486943"/>
    <w:rsid w:val="0049439B"/>
    <w:rsid w:val="00495B91"/>
    <w:rsid w:val="004972CC"/>
    <w:rsid w:val="004A29E9"/>
    <w:rsid w:val="004A4F0C"/>
    <w:rsid w:val="004A5408"/>
    <w:rsid w:val="004C18DF"/>
    <w:rsid w:val="004C27CE"/>
    <w:rsid w:val="004C29E5"/>
    <w:rsid w:val="004C2B46"/>
    <w:rsid w:val="004D4C6D"/>
    <w:rsid w:val="004E016B"/>
    <w:rsid w:val="004E01A4"/>
    <w:rsid w:val="004F6742"/>
    <w:rsid w:val="004F709B"/>
    <w:rsid w:val="00503049"/>
    <w:rsid w:val="00505690"/>
    <w:rsid w:val="00507F02"/>
    <w:rsid w:val="00512A2A"/>
    <w:rsid w:val="0051491A"/>
    <w:rsid w:val="0051555C"/>
    <w:rsid w:val="00516B83"/>
    <w:rsid w:val="0052012B"/>
    <w:rsid w:val="00520661"/>
    <w:rsid w:val="00521E58"/>
    <w:rsid w:val="0052260B"/>
    <w:rsid w:val="00532147"/>
    <w:rsid w:val="00534B03"/>
    <w:rsid w:val="00534C33"/>
    <w:rsid w:val="00536DB4"/>
    <w:rsid w:val="0054025D"/>
    <w:rsid w:val="0054647D"/>
    <w:rsid w:val="0055123E"/>
    <w:rsid w:val="00556640"/>
    <w:rsid w:val="00561EF9"/>
    <w:rsid w:val="00572107"/>
    <w:rsid w:val="00573E27"/>
    <w:rsid w:val="00573EAF"/>
    <w:rsid w:val="00574572"/>
    <w:rsid w:val="005775DE"/>
    <w:rsid w:val="00585CA4"/>
    <w:rsid w:val="00586D18"/>
    <w:rsid w:val="005877E5"/>
    <w:rsid w:val="00591EAB"/>
    <w:rsid w:val="00592704"/>
    <w:rsid w:val="00595006"/>
    <w:rsid w:val="00597948"/>
    <w:rsid w:val="005A28FD"/>
    <w:rsid w:val="005A503C"/>
    <w:rsid w:val="005B0AF3"/>
    <w:rsid w:val="005B1AC5"/>
    <w:rsid w:val="005B254E"/>
    <w:rsid w:val="005B4ECA"/>
    <w:rsid w:val="005B5F83"/>
    <w:rsid w:val="005B6A25"/>
    <w:rsid w:val="005C4647"/>
    <w:rsid w:val="005D5FA2"/>
    <w:rsid w:val="005D75F2"/>
    <w:rsid w:val="005E04B6"/>
    <w:rsid w:val="005E0CF2"/>
    <w:rsid w:val="005E2AEA"/>
    <w:rsid w:val="005E6B70"/>
    <w:rsid w:val="005E6C7C"/>
    <w:rsid w:val="005F4FC2"/>
    <w:rsid w:val="006022F7"/>
    <w:rsid w:val="006050EF"/>
    <w:rsid w:val="006071EF"/>
    <w:rsid w:val="006108AE"/>
    <w:rsid w:val="006122D8"/>
    <w:rsid w:val="0061247A"/>
    <w:rsid w:val="00615938"/>
    <w:rsid w:val="006215DC"/>
    <w:rsid w:val="0063014E"/>
    <w:rsid w:val="0063413C"/>
    <w:rsid w:val="00640646"/>
    <w:rsid w:val="00641299"/>
    <w:rsid w:val="00647CC2"/>
    <w:rsid w:val="0065112D"/>
    <w:rsid w:val="0066134E"/>
    <w:rsid w:val="00670365"/>
    <w:rsid w:val="0067165F"/>
    <w:rsid w:val="006814BB"/>
    <w:rsid w:val="00683796"/>
    <w:rsid w:val="006840EB"/>
    <w:rsid w:val="0068546A"/>
    <w:rsid w:val="00685B69"/>
    <w:rsid w:val="00690439"/>
    <w:rsid w:val="0069342C"/>
    <w:rsid w:val="00693D48"/>
    <w:rsid w:val="00694A72"/>
    <w:rsid w:val="00696616"/>
    <w:rsid w:val="006A01DE"/>
    <w:rsid w:val="006A541C"/>
    <w:rsid w:val="006A5B3B"/>
    <w:rsid w:val="006A6ABD"/>
    <w:rsid w:val="006B1DA6"/>
    <w:rsid w:val="006B2882"/>
    <w:rsid w:val="006B7C21"/>
    <w:rsid w:val="006C2BBC"/>
    <w:rsid w:val="006C7A4C"/>
    <w:rsid w:val="006D406B"/>
    <w:rsid w:val="006E0A45"/>
    <w:rsid w:val="006E0B00"/>
    <w:rsid w:val="006E2B32"/>
    <w:rsid w:val="006E674E"/>
    <w:rsid w:val="006E765C"/>
    <w:rsid w:val="006F12A9"/>
    <w:rsid w:val="006F2B34"/>
    <w:rsid w:val="006F3A38"/>
    <w:rsid w:val="006F786A"/>
    <w:rsid w:val="006F7D3D"/>
    <w:rsid w:val="0070091C"/>
    <w:rsid w:val="007057ED"/>
    <w:rsid w:val="0070672F"/>
    <w:rsid w:val="0070725A"/>
    <w:rsid w:val="007105A6"/>
    <w:rsid w:val="00715417"/>
    <w:rsid w:val="00717D6C"/>
    <w:rsid w:val="00720335"/>
    <w:rsid w:val="00724FDD"/>
    <w:rsid w:val="00726DD4"/>
    <w:rsid w:val="00730F56"/>
    <w:rsid w:val="0073168F"/>
    <w:rsid w:val="00733EBE"/>
    <w:rsid w:val="00740739"/>
    <w:rsid w:val="007447FC"/>
    <w:rsid w:val="00744E2C"/>
    <w:rsid w:val="00752119"/>
    <w:rsid w:val="00754408"/>
    <w:rsid w:val="007631C7"/>
    <w:rsid w:val="007634A5"/>
    <w:rsid w:val="00763CCC"/>
    <w:rsid w:val="00772D08"/>
    <w:rsid w:val="00776C72"/>
    <w:rsid w:val="00780738"/>
    <w:rsid w:val="0078258F"/>
    <w:rsid w:val="007846BC"/>
    <w:rsid w:val="00787633"/>
    <w:rsid w:val="00791EF1"/>
    <w:rsid w:val="00792725"/>
    <w:rsid w:val="007927DC"/>
    <w:rsid w:val="00794220"/>
    <w:rsid w:val="00794B6E"/>
    <w:rsid w:val="0079611B"/>
    <w:rsid w:val="007969A4"/>
    <w:rsid w:val="007A0114"/>
    <w:rsid w:val="007A08A3"/>
    <w:rsid w:val="007A367B"/>
    <w:rsid w:val="007A4F38"/>
    <w:rsid w:val="007A5AAC"/>
    <w:rsid w:val="007B1321"/>
    <w:rsid w:val="007B1904"/>
    <w:rsid w:val="007B38FA"/>
    <w:rsid w:val="007D16A3"/>
    <w:rsid w:val="007D6370"/>
    <w:rsid w:val="007E092F"/>
    <w:rsid w:val="007E2663"/>
    <w:rsid w:val="007E2BC4"/>
    <w:rsid w:val="007E5EC0"/>
    <w:rsid w:val="007E78C1"/>
    <w:rsid w:val="007F0F8C"/>
    <w:rsid w:val="007F5280"/>
    <w:rsid w:val="0080098A"/>
    <w:rsid w:val="00801761"/>
    <w:rsid w:val="008111EB"/>
    <w:rsid w:val="008130C9"/>
    <w:rsid w:val="00813D02"/>
    <w:rsid w:val="00814833"/>
    <w:rsid w:val="008157A4"/>
    <w:rsid w:val="00815A20"/>
    <w:rsid w:val="0082033D"/>
    <w:rsid w:val="008222AD"/>
    <w:rsid w:val="0083104D"/>
    <w:rsid w:val="0083264F"/>
    <w:rsid w:val="008349AE"/>
    <w:rsid w:val="008356CA"/>
    <w:rsid w:val="00836189"/>
    <w:rsid w:val="0083626B"/>
    <w:rsid w:val="00842877"/>
    <w:rsid w:val="00842AB1"/>
    <w:rsid w:val="00843B69"/>
    <w:rsid w:val="00846D77"/>
    <w:rsid w:val="00847557"/>
    <w:rsid w:val="00850745"/>
    <w:rsid w:val="00852480"/>
    <w:rsid w:val="008535D9"/>
    <w:rsid w:val="00856632"/>
    <w:rsid w:val="00856DA1"/>
    <w:rsid w:val="0086451A"/>
    <w:rsid w:val="00865763"/>
    <w:rsid w:val="00867061"/>
    <w:rsid w:val="00867308"/>
    <w:rsid w:val="00873545"/>
    <w:rsid w:val="00875BBA"/>
    <w:rsid w:val="00875CD9"/>
    <w:rsid w:val="00880FED"/>
    <w:rsid w:val="00883372"/>
    <w:rsid w:val="008A529D"/>
    <w:rsid w:val="008B0543"/>
    <w:rsid w:val="008C0888"/>
    <w:rsid w:val="008C1F1C"/>
    <w:rsid w:val="008C1F43"/>
    <w:rsid w:val="008C3505"/>
    <w:rsid w:val="008C3BF2"/>
    <w:rsid w:val="008C6780"/>
    <w:rsid w:val="008D1295"/>
    <w:rsid w:val="008D30EA"/>
    <w:rsid w:val="008D3242"/>
    <w:rsid w:val="008D55C8"/>
    <w:rsid w:val="008E0E93"/>
    <w:rsid w:val="008E20DE"/>
    <w:rsid w:val="008E4659"/>
    <w:rsid w:val="008F0CF0"/>
    <w:rsid w:val="008F0DA6"/>
    <w:rsid w:val="008F1770"/>
    <w:rsid w:val="009013C5"/>
    <w:rsid w:val="00901D01"/>
    <w:rsid w:val="009043F6"/>
    <w:rsid w:val="009061A4"/>
    <w:rsid w:val="00911762"/>
    <w:rsid w:val="00912280"/>
    <w:rsid w:val="00912E02"/>
    <w:rsid w:val="0092394A"/>
    <w:rsid w:val="00923AB1"/>
    <w:rsid w:val="00924869"/>
    <w:rsid w:val="00933500"/>
    <w:rsid w:val="009374ED"/>
    <w:rsid w:val="009377BE"/>
    <w:rsid w:val="00942024"/>
    <w:rsid w:val="00942B51"/>
    <w:rsid w:val="00944550"/>
    <w:rsid w:val="00952707"/>
    <w:rsid w:val="00954CDB"/>
    <w:rsid w:val="009550AD"/>
    <w:rsid w:val="009565D4"/>
    <w:rsid w:val="00967D7C"/>
    <w:rsid w:val="00970B34"/>
    <w:rsid w:val="009763B8"/>
    <w:rsid w:val="00977D73"/>
    <w:rsid w:val="00980AA4"/>
    <w:rsid w:val="0098137E"/>
    <w:rsid w:val="00990AE4"/>
    <w:rsid w:val="0099262A"/>
    <w:rsid w:val="00995264"/>
    <w:rsid w:val="00997095"/>
    <w:rsid w:val="009A05F3"/>
    <w:rsid w:val="009B0563"/>
    <w:rsid w:val="009B3D0C"/>
    <w:rsid w:val="009B56DA"/>
    <w:rsid w:val="009B644E"/>
    <w:rsid w:val="009C1BC9"/>
    <w:rsid w:val="009D13BB"/>
    <w:rsid w:val="009D50EB"/>
    <w:rsid w:val="009E00F2"/>
    <w:rsid w:val="009E32F5"/>
    <w:rsid w:val="009E40FE"/>
    <w:rsid w:val="009E473B"/>
    <w:rsid w:val="009E5A62"/>
    <w:rsid w:val="009E6279"/>
    <w:rsid w:val="009F2649"/>
    <w:rsid w:val="009F6341"/>
    <w:rsid w:val="009F704C"/>
    <w:rsid w:val="00A00858"/>
    <w:rsid w:val="00A01628"/>
    <w:rsid w:val="00A0215D"/>
    <w:rsid w:val="00A06666"/>
    <w:rsid w:val="00A105E0"/>
    <w:rsid w:val="00A138C3"/>
    <w:rsid w:val="00A3018B"/>
    <w:rsid w:val="00A3128D"/>
    <w:rsid w:val="00A324EA"/>
    <w:rsid w:val="00A3330E"/>
    <w:rsid w:val="00A33A46"/>
    <w:rsid w:val="00A34A7E"/>
    <w:rsid w:val="00A45B43"/>
    <w:rsid w:val="00A4794A"/>
    <w:rsid w:val="00A532E6"/>
    <w:rsid w:val="00A533DE"/>
    <w:rsid w:val="00A53E2B"/>
    <w:rsid w:val="00A54851"/>
    <w:rsid w:val="00A54D77"/>
    <w:rsid w:val="00A60D52"/>
    <w:rsid w:val="00A62502"/>
    <w:rsid w:val="00A6288A"/>
    <w:rsid w:val="00A63CB6"/>
    <w:rsid w:val="00A80791"/>
    <w:rsid w:val="00A817CE"/>
    <w:rsid w:val="00A90DEE"/>
    <w:rsid w:val="00A928FA"/>
    <w:rsid w:val="00A9490A"/>
    <w:rsid w:val="00AA7B0B"/>
    <w:rsid w:val="00AB32CF"/>
    <w:rsid w:val="00AB4476"/>
    <w:rsid w:val="00AC59EB"/>
    <w:rsid w:val="00AD11E7"/>
    <w:rsid w:val="00AD2235"/>
    <w:rsid w:val="00AD7ADA"/>
    <w:rsid w:val="00AE424F"/>
    <w:rsid w:val="00AE5530"/>
    <w:rsid w:val="00AF27BC"/>
    <w:rsid w:val="00B007F7"/>
    <w:rsid w:val="00B02599"/>
    <w:rsid w:val="00B0297F"/>
    <w:rsid w:val="00B0616E"/>
    <w:rsid w:val="00B10F88"/>
    <w:rsid w:val="00B11BE9"/>
    <w:rsid w:val="00B14060"/>
    <w:rsid w:val="00B15544"/>
    <w:rsid w:val="00B166B5"/>
    <w:rsid w:val="00B16B3C"/>
    <w:rsid w:val="00B254F4"/>
    <w:rsid w:val="00B25EE3"/>
    <w:rsid w:val="00B269D4"/>
    <w:rsid w:val="00B30E54"/>
    <w:rsid w:val="00B3357C"/>
    <w:rsid w:val="00B41113"/>
    <w:rsid w:val="00B41457"/>
    <w:rsid w:val="00B518F2"/>
    <w:rsid w:val="00B51C3D"/>
    <w:rsid w:val="00B55F27"/>
    <w:rsid w:val="00B56BFC"/>
    <w:rsid w:val="00B611A6"/>
    <w:rsid w:val="00B61C4A"/>
    <w:rsid w:val="00B61EC9"/>
    <w:rsid w:val="00B638E5"/>
    <w:rsid w:val="00B679AD"/>
    <w:rsid w:val="00B702AA"/>
    <w:rsid w:val="00B711B8"/>
    <w:rsid w:val="00B73DC0"/>
    <w:rsid w:val="00B75236"/>
    <w:rsid w:val="00B75B3F"/>
    <w:rsid w:val="00B76CA4"/>
    <w:rsid w:val="00B7744A"/>
    <w:rsid w:val="00B820C3"/>
    <w:rsid w:val="00B826AC"/>
    <w:rsid w:val="00B82D4D"/>
    <w:rsid w:val="00B87731"/>
    <w:rsid w:val="00B87EE6"/>
    <w:rsid w:val="00B907F5"/>
    <w:rsid w:val="00B9260A"/>
    <w:rsid w:val="00B937E1"/>
    <w:rsid w:val="00B96ABD"/>
    <w:rsid w:val="00B96CEE"/>
    <w:rsid w:val="00B96E42"/>
    <w:rsid w:val="00BA5471"/>
    <w:rsid w:val="00BA73E5"/>
    <w:rsid w:val="00BB040D"/>
    <w:rsid w:val="00BB3987"/>
    <w:rsid w:val="00BB5CB8"/>
    <w:rsid w:val="00BB5CBD"/>
    <w:rsid w:val="00BC3DD1"/>
    <w:rsid w:val="00BC4D2E"/>
    <w:rsid w:val="00BD0B07"/>
    <w:rsid w:val="00BD4179"/>
    <w:rsid w:val="00BD4AF4"/>
    <w:rsid w:val="00BD621C"/>
    <w:rsid w:val="00BD729D"/>
    <w:rsid w:val="00BD7840"/>
    <w:rsid w:val="00BE4BD9"/>
    <w:rsid w:val="00BF0596"/>
    <w:rsid w:val="00BF18DC"/>
    <w:rsid w:val="00BF1C80"/>
    <w:rsid w:val="00BF40F0"/>
    <w:rsid w:val="00BF598C"/>
    <w:rsid w:val="00BF7BAF"/>
    <w:rsid w:val="00C01676"/>
    <w:rsid w:val="00C04B4F"/>
    <w:rsid w:val="00C060BD"/>
    <w:rsid w:val="00C070FD"/>
    <w:rsid w:val="00C075AF"/>
    <w:rsid w:val="00C13DE2"/>
    <w:rsid w:val="00C14408"/>
    <w:rsid w:val="00C14776"/>
    <w:rsid w:val="00C17F58"/>
    <w:rsid w:val="00C23771"/>
    <w:rsid w:val="00C25B93"/>
    <w:rsid w:val="00C307E7"/>
    <w:rsid w:val="00C322FB"/>
    <w:rsid w:val="00C34A92"/>
    <w:rsid w:val="00C35829"/>
    <w:rsid w:val="00C36245"/>
    <w:rsid w:val="00C370A7"/>
    <w:rsid w:val="00C42639"/>
    <w:rsid w:val="00C514D0"/>
    <w:rsid w:val="00C5377D"/>
    <w:rsid w:val="00C5407D"/>
    <w:rsid w:val="00C5695C"/>
    <w:rsid w:val="00C57E90"/>
    <w:rsid w:val="00C60CC6"/>
    <w:rsid w:val="00C6195E"/>
    <w:rsid w:val="00C62F1C"/>
    <w:rsid w:val="00C6380F"/>
    <w:rsid w:val="00C66BCD"/>
    <w:rsid w:val="00C705FC"/>
    <w:rsid w:val="00C744A3"/>
    <w:rsid w:val="00C815BF"/>
    <w:rsid w:val="00C81DB5"/>
    <w:rsid w:val="00C900FF"/>
    <w:rsid w:val="00C92AFA"/>
    <w:rsid w:val="00C9564D"/>
    <w:rsid w:val="00CA0A90"/>
    <w:rsid w:val="00CA4BB6"/>
    <w:rsid w:val="00CA7026"/>
    <w:rsid w:val="00CA798A"/>
    <w:rsid w:val="00CB3970"/>
    <w:rsid w:val="00CB3FC8"/>
    <w:rsid w:val="00CB442A"/>
    <w:rsid w:val="00CB5800"/>
    <w:rsid w:val="00CC25D8"/>
    <w:rsid w:val="00CC29AF"/>
    <w:rsid w:val="00CC42DC"/>
    <w:rsid w:val="00CD2213"/>
    <w:rsid w:val="00CD266B"/>
    <w:rsid w:val="00CD4B2E"/>
    <w:rsid w:val="00CD4DE4"/>
    <w:rsid w:val="00CD596A"/>
    <w:rsid w:val="00CD6527"/>
    <w:rsid w:val="00CD6B3F"/>
    <w:rsid w:val="00CD7B70"/>
    <w:rsid w:val="00CE2652"/>
    <w:rsid w:val="00CE461D"/>
    <w:rsid w:val="00CF0E38"/>
    <w:rsid w:val="00CF3887"/>
    <w:rsid w:val="00CF3E63"/>
    <w:rsid w:val="00CF561E"/>
    <w:rsid w:val="00D12397"/>
    <w:rsid w:val="00D143BA"/>
    <w:rsid w:val="00D20DD2"/>
    <w:rsid w:val="00D21937"/>
    <w:rsid w:val="00D27786"/>
    <w:rsid w:val="00D34EEE"/>
    <w:rsid w:val="00D37BAF"/>
    <w:rsid w:val="00D50B60"/>
    <w:rsid w:val="00D51B1E"/>
    <w:rsid w:val="00D573BC"/>
    <w:rsid w:val="00D64FE5"/>
    <w:rsid w:val="00D7442B"/>
    <w:rsid w:val="00D754D3"/>
    <w:rsid w:val="00D83915"/>
    <w:rsid w:val="00D86920"/>
    <w:rsid w:val="00D94897"/>
    <w:rsid w:val="00D96598"/>
    <w:rsid w:val="00D979EA"/>
    <w:rsid w:val="00DA0181"/>
    <w:rsid w:val="00DA02B9"/>
    <w:rsid w:val="00DA42EA"/>
    <w:rsid w:val="00DA7FEA"/>
    <w:rsid w:val="00DB0075"/>
    <w:rsid w:val="00DB269B"/>
    <w:rsid w:val="00DC02B5"/>
    <w:rsid w:val="00DC1BE6"/>
    <w:rsid w:val="00DC27B7"/>
    <w:rsid w:val="00DC4C28"/>
    <w:rsid w:val="00DC6127"/>
    <w:rsid w:val="00DC6901"/>
    <w:rsid w:val="00DD27D1"/>
    <w:rsid w:val="00DE221A"/>
    <w:rsid w:val="00DE2334"/>
    <w:rsid w:val="00DE5C1E"/>
    <w:rsid w:val="00DE71B9"/>
    <w:rsid w:val="00DF4CB6"/>
    <w:rsid w:val="00DF4EA0"/>
    <w:rsid w:val="00DF4F2C"/>
    <w:rsid w:val="00DF5700"/>
    <w:rsid w:val="00DF68F0"/>
    <w:rsid w:val="00DF6CDE"/>
    <w:rsid w:val="00E0113D"/>
    <w:rsid w:val="00E039CB"/>
    <w:rsid w:val="00E05C56"/>
    <w:rsid w:val="00E138EF"/>
    <w:rsid w:val="00E1423B"/>
    <w:rsid w:val="00E1494D"/>
    <w:rsid w:val="00E239AC"/>
    <w:rsid w:val="00E316E5"/>
    <w:rsid w:val="00E317E1"/>
    <w:rsid w:val="00E33231"/>
    <w:rsid w:val="00E337C8"/>
    <w:rsid w:val="00E349E8"/>
    <w:rsid w:val="00E45D39"/>
    <w:rsid w:val="00E5226B"/>
    <w:rsid w:val="00E55957"/>
    <w:rsid w:val="00E6186E"/>
    <w:rsid w:val="00E72F03"/>
    <w:rsid w:val="00E731D9"/>
    <w:rsid w:val="00E7429A"/>
    <w:rsid w:val="00E75658"/>
    <w:rsid w:val="00E75D89"/>
    <w:rsid w:val="00E76B5E"/>
    <w:rsid w:val="00E84434"/>
    <w:rsid w:val="00E87801"/>
    <w:rsid w:val="00E970C3"/>
    <w:rsid w:val="00EA0512"/>
    <w:rsid w:val="00EA1546"/>
    <w:rsid w:val="00EA2E0C"/>
    <w:rsid w:val="00EA41CC"/>
    <w:rsid w:val="00EB2EB1"/>
    <w:rsid w:val="00EB30F5"/>
    <w:rsid w:val="00EB3208"/>
    <w:rsid w:val="00EB5C8B"/>
    <w:rsid w:val="00EB76A5"/>
    <w:rsid w:val="00EC3CC1"/>
    <w:rsid w:val="00EC47CA"/>
    <w:rsid w:val="00ED263C"/>
    <w:rsid w:val="00ED2A92"/>
    <w:rsid w:val="00ED503D"/>
    <w:rsid w:val="00EE11FD"/>
    <w:rsid w:val="00EE1D07"/>
    <w:rsid w:val="00EE393E"/>
    <w:rsid w:val="00EF7536"/>
    <w:rsid w:val="00F05AA7"/>
    <w:rsid w:val="00F071E5"/>
    <w:rsid w:val="00F10912"/>
    <w:rsid w:val="00F11A98"/>
    <w:rsid w:val="00F13235"/>
    <w:rsid w:val="00F1494E"/>
    <w:rsid w:val="00F20C01"/>
    <w:rsid w:val="00F20DAC"/>
    <w:rsid w:val="00F23798"/>
    <w:rsid w:val="00F260AC"/>
    <w:rsid w:val="00F26DFB"/>
    <w:rsid w:val="00F27043"/>
    <w:rsid w:val="00F27B69"/>
    <w:rsid w:val="00F27CA0"/>
    <w:rsid w:val="00F32C54"/>
    <w:rsid w:val="00F32E6E"/>
    <w:rsid w:val="00F36482"/>
    <w:rsid w:val="00F4263A"/>
    <w:rsid w:val="00F47443"/>
    <w:rsid w:val="00F47E96"/>
    <w:rsid w:val="00F50A3A"/>
    <w:rsid w:val="00F548FA"/>
    <w:rsid w:val="00F60243"/>
    <w:rsid w:val="00F620C2"/>
    <w:rsid w:val="00F62A1E"/>
    <w:rsid w:val="00F63C60"/>
    <w:rsid w:val="00F64DB9"/>
    <w:rsid w:val="00F65513"/>
    <w:rsid w:val="00F67BE5"/>
    <w:rsid w:val="00F71C4A"/>
    <w:rsid w:val="00F82F16"/>
    <w:rsid w:val="00F83194"/>
    <w:rsid w:val="00F85399"/>
    <w:rsid w:val="00F8539D"/>
    <w:rsid w:val="00F92DDC"/>
    <w:rsid w:val="00F93183"/>
    <w:rsid w:val="00F97309"/>
    <w:rsid w:val="00FA035F"/>
    <w:rsid w:val="00FA3D12"/>
    <w:rsid w:val="00FA686C"/>
    <w:rsid w:val="00FA6932"/>
    <w:rsid w:val="00FB3972"/>
    <w:rsid w:val="00FB62C0"/>
    <w:rsid w:val="00FB70DE"/>
    <w:rsid w:val="00FC08F4"/>
    <w:rsid w:val="00FC0EE6"/>
    <w:rsid w:val="00FC2BD1"/>
    <w:rsid w:val="00FC7219"/>
    <w:rsid w:val="00FC7FB6"/>
    <w:rsid w:val="00FD17C2"/>
    <w:rsid w:val="00FD3D52"/>
    <w:rsid w:val="00FD634F"/>
    <w:rsid w:val="00FE0A7C"/>
    <w:rsid w:val="00FE0EC9"/>
    <w:rsid w:val="00FE2611"/>
    <w:rsid w:val="00FE4439"/>
    <w:rsid w:val="00FF2067"/>
    <w:rsid w:val="00FF3FFA"/>
    <w:rsid w:val="00FF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14:docId w14:val="4DD8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4972CC"/>
    <w:pPr>
      <w:keepNext/>
      <w:keepLines/>
      <w:numPr>
        <w:numId w:val="3"/>
      </w:numPr>
      <w:tabs>
        <w:tab w:val="clear" w:pos="432"/>
        <w:tab w:val="num" w:pos="720"/>
      </w:tabs>
      <w:ind w:left="720" w:hanging="720"/>
      <w:outlineLvl w:val="0"/>
    </w:pPr>
    <w:rPr>
      <w:rFonts w:ascii="Arial Bold" w:hAnsi="Arial Bold"/>
      <w:b/>
      <w:color w:val="000000"/>
      <w:kern w:val="28"/>
      <w:sz w:val="28"/>
    </w:rPr>
  </w:style>
  <w:style w:type="paragraph" w:styleId="Heading2">
    <w:name w:val="heading 2"/>
    <w:basedOn w:val="Normal"/>
    <w:next w:val="BodyText"/>
    <w:qFormat/>
    <w:rsid w:val="00F071E5"/>
    <w:pPr>
      <w:keepNext/>
      <w:numPr>
        <w:ilvl w:val="1"/>
        <w:numId w:val="3"/>
      </w:numPr>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A4BB6"/>
    <w:pPr>
      <w:keepNext/>
      <w:numPr>
        <w:ilvl w:val="2"/>
        <w:numId w:val="3"/>
      </w:numPr>
      <w:spacing w:before="60" w:after="120"/>
      <w:outlineLvl w:val="2"/>
    </w:pPr>
    <w:rPr>
      <w:rFonts w:ascii="Arial" w:hAnsi="Arial"/>
      <w:b/>
      <w:color w:val="000000"/>
      <w:sz w:val="20"/>
    </w:rPr>
  </w:style>
  <w:style w:type="paragraph" w:styleId="Heading4">
    <w:name w:val="heading 4"/>
    <w:basedOn w:val="Normal"/>
    <w:next w:val="BodyText"/>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qFormat/>
    <w:rsid w:val="00CA4BB6"/>
    <w:pPr>
      <w:keepNext/>
      <w:keepLines/>
      <w:numPr>
        <w:ilvl w:val="4"/>
        <w:numId w:val="3"/>
      </w:numPr>
      <w:spacing w:before="60" w:after="60"/>
      <w:outlineLvl w:val="4"/>
    </w:pPr>
    <w:rPr>
      <w:b/>
      <w:i/>
      <w:color w:val="000000"/>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A4BB6"/>
    <w:pPr>
      <w:numPr>
        <w:numId w:val="5"/>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997095"/>
    <w:pPr>
      <w:tabs>
        <w:tab w:val="center" w:pos="4507"/>
        <w:tab w:val="right" w:pos="9000"/>
      </w:tabs>
    </w:pPr>
    <w:rPr>
      <w:rFonts w:ascii="Arial Bold" w:hAnsi="Arial Bold"/>
      <w:b/>
      <w:color w:val="000000"/>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A08A3"/>
    <w:pPr>
      <w:keepNext/>
      <w:keepLines/>
      <w:widowControl w:val="0"/>
      <w:tabs>
        <w:tab w:val="left" w:pos="1440"/>
      </w:tabs>
      <w:spacing w:after="120"/>
      <w:ind w:left="1440" w:hanging="1440"/>
    </w:pPr>
    <w:rPr>
      <w:rFonts w:ascii="Arial Narrow" w:hAnsi="Arial Narrow"/>
      <w:b/>
      <w:bCs/>
      <w:sz w:val="24"/>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themeColor="text1"/>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0B4A32"/>
    <w:pPr>
      <w:spacing w:before="120"/>
    </w:pPr>
    <w:rPr>
      <w:rFonts w:ascii="Arial" w:hAnsi="Arial" w:cs="Arial"/>
      <w:sz w:val="16"/>
    </w:rPr>
  </w:style>
  <w:style w:type="paragraph" w:customStyle="1" w:styleId="ExhibitText">
    <w:name w:val="Exhibit Text"/>
    <w:basedOn w:val="TableText"/>
    <w:qFormat/>
    <w:rsid w:val="00EB76A5"/>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CA4BB6"/>
    <w:pPr>
      <w:ind w:left="180" w:right="204"/>
    </w:pPr>
    <w:rPr>
      <w:rFonts w:ascii="Arial" w:eastAsiaTheme="minorHAnsi" w:hAnsi="Arial" w:cs="Arial"/>
      <w:b/>
      <w:color w:val="000000"/>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EB76A5"/>
    <w:pPr>
      <w:jc w:val="center"/>
    </w:pPr>
    <w:rPr>
      <w:rFonts w:ascii="Arial Narrow" w:hAnsi="Arial Narrow" w:cs="Arial"/>
      <w:b/>
      <w:color w:val="000000" w:themeColor="text1"/>
    </w:rPr>
  </w:style>
  <w:style w:type="paragraph" w:customStyle="1" w:styleId="Heading1ES">
    <w:name w:val="Heading 1 ES"/>
    <w:basedOn w:val="Heading1"/>
    <w:qFormat/>
    <w:rsid w:val="001B39F3"/>
    <w:pPr>
      <w:numPr>
        <w:numId w:val="6"/>
      </w:numPr>
      <w:ind w:hanging="720"/>
    </w:pPr>
  </w:style>
  <w:style w:type="paragraph" w:customStyle="1" w:styleId="Heading2ES">
    <w:name w:val="Heading 2 ES"/>
    <w:basedOn w:val="Heading2"/>
    <w:qFormat/>
    <w:rsid w:val="00997095"/>
    <w:pPr>
      <w:numPr>
        <w:ilvl w:val="0"/>
        <w:numId w:val="0"/>
      </w:numPr>
      <w:outlineLvl w:val="9"/>
    </w:pPr>
  </w:style>
  <w:style w:type="paragraph" w:customStyle="1" w:styleId="Heading3ES">
    <w:name w:val="Heading 3 ES"/>
    <w:basedOn w:val="Heading3"/>
    <w:qFormat/>
    <w:rsid w:val="00997095"/>
    <w:pPr>
      <w:numPr>
        <w:ilvl w:val="0"/>
        <w:numId w:val="0"/>
      </w:numPr>
      <w:outlineLvl w:val="9"/>
    </w:pPr>
  </w:style>
  <w:style w:type="paragraph" w:styleId="ListParagraph">
    <w:name w:val="List Paragraph"/>
    <w:basedOn w:val="Normal"/>
    <w:uiPriority w:val="34"/>
    <w:qFormat/>
    <w:rsid w:val="00B87731"/>
    <w:pPr>
      <w:spacing w:after="0" w:line="240" w:lineRule="auto"/>
      <w:ind w:left="720"/>
      <w:contextualSpacing/>
    </w:pPr>
    <w:rPr>
      <w:rFonts w:ascii="Calibri" w:eastAsiaTheme="minorHAnsi" w:hAnsi="Calibri"/>
      <w:szCs w:val="22"/>
    </w:rPr>
  </w:style>
  <w:style w:type="paragraph" w:customStyle="1" w:styleId="StaffResumeList">
    <w:name w:val="Staff Resume List"/>
    <w:qFormat/>
    <w:rsid w:val="000F668A"/>
    <w:pPr>
      <w:tabs>
        <w:tab w:val="right" w:pos="9000"/>
      </w:tabs>
    </w:pPr>
    <w:rPr>
      <w:rFonts w:eastAsiaTheme="minorHAnsi"/>
      <w:spacing w:val="-4"/>
      <w:sz w:val="24"/>
    </w:rPr>
  </w:style>
  <w:style w:type="paragraph" w:customStyle="1" w:styleId="Heading1Apps">
    <w:name w:val="Heading 1 Apps"/>
    <w:basedOn w:val="Heading1"/>
    <w:qFormat/>
    <w:rsid w:val="000F668A"/>
    <w:pPr>
      <w:pageBreakBefore/>
      <w:numPr>
        <w:numId w:val="0"/>
      </w:numPr>
      <w:spacing w:line="240" w:lineRule="auto"/>
      <w:jc w:val="center"/>
    </w:pPr>
    <w:rPr>
      <w:rFonts w:ascii="Arial" w:hAnsi="Arial"/>
      <w:color w:val="auto"/>
    </w:rPr>
  </w:style>
  <w:style w:type="table" w:customStyle="1" w:styleId="Abt1">
    <w:name w:val="Abt1"/>
    <w:basedOn w:val="TableNormal"/>
    <w:uiPriority w:val="99"/>
    <w:rsid w:val="00D64FE5"/>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character" w:customStyle="1" w:styleId="CommentTextChar">
    <w:name w:val="Comment Text Char"/>
    <w:basedOn w:val="DefaultParagraphFont"/>
    <w:link w:val="CommentText"/>
    <w:rsid w:val="0092394A"/>
  </w:style>
  <w:style w:type="paragraph" w:customStyle="1" w:styleId="Normal1">
    <w:name w:val="Normal1"/>
    <w:rsid w:val="0054647D"/>
    <w:pPr>
      <w:spacing w:line="276" w:lineRule="auto"/>
    </w:pPr>
    <w:rPr>
      <w:rFonts w:ascii="Arial" w:eastAsia="Arial" w:hAnsi="Arial" w:cs="Arial"/>
      <w:color w:val="000000"/>
      <w:sz w:val="22"/>
      <w:szCs w:val="24"/>
      <w:lang w:eastAsia="ja-JP"/>
    </w:rPr>
  </w:style>
  <w:style w:type="paragraph" w:customStyle="1" w:styleId="ExhibitBullets">
    <w:name w:val="Exhibit Bullets"/>
    <w:basedOn w:val="ExhibitText"/>
    <w:qFormat/>
    <w:rsid w:val="000C201B"/>
    <w:pPr>
      <w:numPr>
        <w:numId w:val="15"/>
      </w:numPr>
      <w:spacing w:before="20" w:after="20"/>
    </w:pPr>
    <w:rPr>
      <w:rFonts w:eastAsia="Calibri"/>
    </w:rPr>
  </w:style>
  <w:style w:type="character" w:styleId="Strong">
    <w:name w:val="Strong"/>
    <w:basedOn w:val="DefaultParagraphFont"/>
    <w:qFormat/>
    <w:rsid w:val="00361BA8"/>
    <w:rPr>
      <w:b/>
      <w:bCs/>
    </w:rPr>
  </w:style>
  <w:style w:type="paragraph" w:styleId="Revision">
    <w:name w:val="Revision"/>
    <w:hidden/>
    <w:uiPriority w:val="99"/>
    <w:semiHidden/>
    <w:rsid w:val="007E2663"/>
    <w:rPr>
      <w:sz w:val="22"/>
    </w:rPr>
  </w:style>
  <w:style w:type="character" w:customStyle="1" w:styleId="tgc">
    <w:name w:val="_tgc"/>
    <w:basedOn w:val="DefaultParagraphFont"/>
    <w:rsid w:val="00B76CA4"/>
  </w:style>
  <w:style w:type="character" w:customStyle="1" w:styleId="Mention">
    <w:name w:val="Mention"/>
    <w:basedOn w:val="DefaultParagraphFont"/>
    <w:uiPriority w:val="99"/>
    <w:semiHidden/>
    <w:unhideWhenUsed/>
    <w:rsid w:val="00B76CA4"/>
    <w:rPr>
      <w:color w:val="2B579A"/>
      <w:shd w:val="clear" w:color="auto" w:fill="E6E6E6"/>
    </w:rPr>
  </w:style>
  <w:style w:type="paragraph" w:styleId="EndnoteText">
    <w:name w:val="endnote text"/>
    <w:basedOn w:val="Normal"/>
    <w:link w:val="EndnoteTextChar"/>
    <w:semiHidden/>
    <w:unhideWhenUsed/>
    <w:rsid w:val="006F7D3D"/>
    <w:pPr>
      <w:spacing w:after="0" w:line="240" w:lineRule="auto"/>
    </w:pPr>
    <w:rPr>
      <w:sz w:val="20"/>
    </w:rPr>
  </w:style>
  <w:style w:type="character" w:customStyle="1" w:styleId="EndnoteTextChar">
    <w:name w:val="Endnote Text Char"/>
    <w:basedOn w:val="DefaultParagraphFont"/>
    <w:link w:val="EndnoteText"/>
    <w:semiHidden/>
    <w:rsid w:val="006F7D3D"/>
  </w:style>
  <w:style w:type="character" w:styleId="EndnoteReference">
    <w:name w:val="endnote reference"/>
    <w:basedOn w:val="DefaultParagraphFont"/>
    <w:semiHidden/>
    <w:unhideWhenUsed/>
    <w:rsid w:val="006F7D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4972CC"/>
    <w:pPr>
      <w:keepNext/>
      <w:keepLines/>
      <w:numPr>
        <w:numId w:val="3"/>
      </w:numPr>
      <w:tabs>
        <w:tab w:val="clear" w:pos="432"/>
        <w:tab w:val="num" w:pos="720"/>
      </w:tabs>
      <w:ind w:left="720" w:hanging="720"/>
      <w:outlineLvl w:val="0"/>
    </w:pPr>
    <w:rPr>
      <w:rFonts w:ascii="Arial Bold" w:hAnsi="Arial Bold"/>
      <w:b/>
      <w:color w:val="000000"/>
      <w:kern w:val="28"/>
      <w:sz w:val="28"/>
    </w:rPr>
  </w:style>
  <w:style w:type="paragraph" w:styleId="Heading2">
    <w:name w:val="heading 2"/>
    <w:basedOn w:val="Normal"/>
    <w:next w:val="BodyText"/>
    <w:qFormat/>
    <w:rsid w:val="00F071E5"/>
    <w:pPr>
      <w:keepNext/>
      <w:numPr>
        <w:ilvl w:val="1"/>
        <w:numId w:val="3"/>
      </w:numPr>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CA4BB6"/>
    <w:pPr>
      <w:keepNext/>
      <w:numPr>
        <w:ilvl w:val="2"/>
        <w:numId w:val="3"/>
      </w:numPr>
      <w:spacing w:before="60" w:after="120"/>
      <w:outlineLvl w:val="2"/>
    </w:pPr>
    <w:rPr>
      <w:rFonts w:ascii="Arial" w:hAnsi="Arial"/>
      <w:b/>
      <w:color w:val="000000"/>
      <w:sz w:val="20"/>
    </w:rPr>
  </w:style>
  <w:style w:type="paragraph" w:styleId="Heading4">
    <w:name w:val="heading 4"/>
    <w:basedOn w:val="Normal"/>
    <w:next w:val="BodyText"/>
    <w:qForma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qFormat/>
    <w:rsid w:val="00CA4BB6"/>
    <w:pPr>
      <w:keepNext/>
      <w:keepLines/>
      <w:numPr>
        <w:ilvl w:val="4"/>
        <w:numId w:val="3"/>
      </w:numPr>
      <w:spacing w:before="60" w:after="60"/>
      <w:outlineLvl w:val="4"/>
    </w:pPr>
    <w:rPr>
      <w:b/>
      <w:i/>
      <w:color w:val="000000"/>
    </w:rPr>
  </w:style>
  <w:style w:type="paragraph" w:styleId="Heading6">
    <w:name w:val="heading 6"/>
    <w:basedOn w:val="Normal"/>
    <w:next w:val="Normal"/>
    <w:qFormat/>
    <w:rsid w:val="00495B91"/>
    <w:pPr>
      <w:numPr>
        <w:ilvl w:val="5"/>
        <w:numId w:val="3"/>
      </w:numPr>
      <w:spacing w:before="60" w:after="60"/>
      <w:outlineLvl w:val="5"/>
    </w:pPr>
    <w:rPr>
      <w:b/>
      <w:bCs/>
      <w:szCs w:val="22"/>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CA4BB6"/>
    <w:pPr>
      <w:numPr>
        <w:numId w:val="5"/>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997095"/>
    <w:pPr>
      <w:tabs>
        <w:tab w:val="center" w:pos="4507"/>
        <w:tab w:val="right" w:pos="9000"/>
      </w:tabs>
    </w:pPr>
    <w:rPr>
      <w:rFonts w:ascii="Arial Bold" w:hAnsi="Arial Bold"/>
      <w:b/>
      <w:color w:val="000000"/>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A08A3"/>
    <w:pPr>
      <w:keepNext/>
      <w:keepLines/>
      <w:widowControl w:val="0"/>
      <w:tabs>
        <w:tab w:val="left" w:pos="1440"/>
      </w:tabs>
      <w:spacing w:after="120"/>
      <w:ind w:left="1440" w:hanging="1440"/>
    </w:pPr>
    <w:rPr>
      <w:rFonts w:ascii="Arial Narrow" w:hAnsi="Arial Narrow"/>
      <w:b/>
      <w:bCs/>
      <w:sz w:val="24"/>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7442B"/>
    <w:pPr>
      <w:tabs>
        <w:tab w:val="left" w:pos="720"/>
        <w:tab w:val="left" w:pos="1080"/>
        <w:tab w:val="left" w:pos="1440"/>
        <w:tab w:val="left" w:pos="1800"/>
        <w:tab w:val="left" w:pos="6660"/>
      </w:tabs>
      <w:spacing w:after="0"/>
      <w:ind w:left="6490" w:right="-540"/>
      <w:jc w:val="right"/>
    </w:pPr>
    <w:rPr>
      <w:rFonts w:ascii="Arial" w:hAnsi="Arial"/>
      <w:b/>
      <w:color w:val="000000" w:themeColor="text1"/>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0B4A32"/>
    <w:pPr>
      <w:spacing w:before="120"/>
    </w:pPr>
    <w:rPr>
      <w:rFonts w:ascii="Arial" w:hAnsi="Arial" w:cs="Arial"/>
      <w:sz w:val="16"/>
    </w:rPr>
  </w:style>
  <w:style w:type="paragraph" w:customStyle="1" w:styleId="ExhibitText">
    <w:name w:val="Exhibit Text"/>
    <w:basedOn w:val="TableText"/>
    <w:qFormat/>
    <w:rsid w:val="00EB76A5"/>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CA4BB6"/>
    <w:pPr>
      <w:ind w:left="180" w:right="204"/>
    </w:pPr>
    <w:rPr>
      <w:rFonts w:ascii="Arial" w:eastAsiaTheme="minorHAnsi" w:hAnsi="Arial" w:cs="Arial"/>
      <w:b/>
      <w:color w:val="000000"/>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EB76A5"/>
    <w:pPr>
      <w:jc w:val="center"/>
    </w:pPr>
    <w:rPr>
      <w:rFonts w:ascii="Arial Narrow" w:hAnsi="Arial Narrow" w:cs="Arial"/>
      <w:b/>
      <w:color w:val="000000" w:themeColor="text1"/>
    </w:rPr>
  </w:style>
  <w:style w:type="paragraph" w:customStyle="1" w:styleId="Heading1ES">
    <w:name w:val="Heading 1 ES"/>
    <w:basedOn w:val="Heading1"/>
    <w:qFormat/>
    <w:rsid w:val="001B39F3"/>
    <w:pPr>
      <w:numPr>
        <w:numId w:val="6"/>
      </w:numPr>
      <w:ind w:hanging="720"/>
    </w:pPr>
  </w:style>
  <w:style w:type="paragraph" w:customStyle="1" w:styleId="Heading2ES">
    <w:name w:val="Heading 2 ES"/>
    <w:basedOn w:val="Heading2"/>
    <w:qFormat/>
    <w:rsid w:val="00997095"/>
    <w:pPr>
      <w:numPr>
        <w:ilvl w:val="0"/>
        <w:numId w:val="0"/>
      </w:numPr>
      <w:outlineLvl w:val="9"/>
    </w:pPr>
  </w:style>
  <w:style w:type="paragraph" w:customStyle="1" w:styleId="Heading3ES">
    <w:name w:val="Heading 3 ES"/>
    <w:basedOn w:val="Heading3"/>
    <w:qFormat/>
    <w:rsid w:val="00997095"/>
    <w:pPr>
      <w:numPr>
        <w:ilvl w:val="0"/>
        <w:numId w:val="0"/>
      </w:numPr>
      <w:outlineLvl w:val="9"/>
    </w:pPr>
  </w:style>
  <w:style w:type="paragraph" w:styleId="ListParagraph">
    <w:name w:val="List Paragraph"/>
    <w:basedOn w:val="Normal"/>
    <w:uiPriority w:val="34"/>
    <w:qFormat/>
    <w:rsid w:val="00B87731"/>
    <w:pPr>
      <w:spacing w:after="0" w:line="240" w:lineRule="auto"/>
      <w:ind w:left="720"/>
      <w:contextualSpacing/>
    </w:pPr>
    <w:rPr>
      <w:rFonts w:ascii="Calibri" w:eastAsiaTheme="minorHAnsi" w:hAnsi="Calibri"/>
      <w:szCs w:val="22"/>
    </w:rPr>
  </w:style>
  <w:style w:type="paragraph" w:customStyle="1" w:styleId="StaffResumeList">
    <w:name w:val="Staff Resume List"/>
    <w:qFormat/>
    <w:rsid w:val="000F668A"/>
    <w:pPr>
      <w:tabs>
        <w:tab w:val="right" w:pos="9000"/>
      </w:tabs>
    </w:pPr>
    <w:rPr>
      <w:rFonts w:eastAsiaTheme="minorHAnsi"/>
      <w:spacing w:val="-4"/>
      <w:sz w:val="24"/>
    </w:rPr>
  </w:style>
  <w:style w:type="paragraph" w:customStyle="1" w:styleId="Heading1Apps">
    <w:name w:val="Heading 1 Apps"/>
    <w:basedOn w:val="Heading1"/>
    <w:qFormat/>
    <w:rsid w:val="000F668A"/>
    <w:pPr>
      <w:pageBreakBefore/>
      <w:numPr>
        <w:numId w:val="0"/>
      </w:numPr>
      <w:spacing w:line="240" w:lineRule="auto"/>
      <w:jc w:val="center"/>
    </w:pPr>
    <w:rPr>
      <w:rFonts w:ascii="Arial" w:hAnsi="Arial"/>
      <w:color w:val="auto"/>
    </w:rPr>
  </w:style>
  <w:style w:type="table" w:customStyle="1" w:styleId="Abt1">
    <w:name w:val="Abt1"/>
    <w:basedOn w:val="TableNormal"/>
    <w:uiPriority w:val="99"/>
    <w:rsid w:val="00D64FE5"/>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character" w:customStyle="1" w:styleId="CommentTextChar">
    <w:name w:val="Comment Text Char"/>
    <w:basedOn w:val="DefaultParagraphFont"/>
    <w:link w:val="CommentText"/>
    <w:rsid w:val="0092394A"/>
  </w:style>
  <w:style w:type="paragraph" w:customStyle="1" w:styleId="Normal1">
    <w:name w:val="Normal1"/>
    <w:rsid w:val="0054647D"/>
    <w:pPr>
      <w:spacing w:line="276" w:lineRule="auto"/>
    </w:pPr>
    <w:rPr>
      <w:rFonts w:ascii="Arial" w:eastAsia="Arial" w:hAnsi="Arial" w:cs="Arial"/>
      <w:color w:val="000000"/>
      <w:sz w:val="22"/>
      <w:szCs w:val="24"/>
      <w:lang w:eastAsia="ja-JP"/>
    </w:rPr>
  </w:style>
  <w:style w:type="paragraph" w:customStyle="1" w:styleId="ExhibitBullets">
    <w:name w:val="Exhibit Bullets"/>
    <w:basedOn w:val="ExhibitText"/>
    <w:qFormat/>
    <w:rsid w:val="000C201B"/>
    <w:pPr>
      <w:numPr>
        <w:numId w:val="15"/>
      </w:numPr>
      <w:spacing w:before="20" w:after="20"/>
    </w:pPr>
    <w:rPr>
      <w:rFonts w:eastAsia="Calibri"/>
    </w:rPr>
  </w:style>
  <w:style w:type="character" w:styleId="Strong">
    <w:name w:val="Strong"/>
    <w:basedOn w:val="DefaultParagraphFont"/>
    <w:qFormat/>
    <w:rsid w:val="00361BA8"/>
    <w:rPr>
      <w:b/>
      <w:bCs/>
    </w:rPr>
  </w:style>
  <w:style w:type="paragraph" w:styleId="Revision">
    <w:name w:val="Revision"/>
    <w:hidden/>
    <w:uiPriority w:val="99"/>
    <w:semiHidden/>
    <w:rsid w:val="007E2663"/>
    <w:rPr>
      <w:sz w:val="22"/>
    </w:rPr>
  </w:style>
  <w:style w:type="character" w:customStyle="1" w:styleId="tgc">
    <w:name w:val="_tgc"/>
    <w:basedOn w:val="DefaultParagraphFont"/>
    <w:rsid w:val="00B76CA4"/>
  </w:style>
  <w:style w:type="character" w:customStyle="1" w:styleId="Mention">
    <w:name w:val="Mention"/>
    <w:basedOn w:val="DefaultParagraphFont"/>
    <w:uiPriority w:val="99"/>
    <w:semiHidden/>
    <w:unhideWhenUsed/>
    <w:rsid w:val="00B76CA4"/>
    <w:rPr>
      <w:color w:val="2B579A"/>
      <w:shd w:val="clear" w:color="auto" w:fill="E6E6E6"/>
    </w:rPr>
  </w:style>
  <w:style w:type="paragraph" w:styleId="EndnoteText">
    <w:name w:val="endnote text"/>
    <w:basedOn w:val="Normal"/>
    <w:link w:val="EndnoteTextChar"/>
    <w:semiHidden/>
    <w:unhideWhenUsed/>
    <w:rsid w:val="006F7D3D"/>
    <w:pPr>
      <w:spacing w:after="0" w:line="240" w:lineRule="auto"/>
    </w:pPr>
    <w:rPr>
      <w:sz w:val="20"/>
    </w:rPr>
  </w:style>
  <w:style w:type="character" w:customStyle="1" w:styleId="EndnoteTextChar">
    <w:name w:val="Endnote Text Char"/>
    <w:basedOn w:val="DefaultParagraphFont"/>
    <w:link w:val="EndnoteText"/>
    <w:semiHidden/>
    <w:rsid w:val="006F7D3D"/>
  </w:style>
  <w:style w:type="character" w:styleId="EndnoteReference">
    <w:name w:val="endnote reference"/>
    <w:basedOn w:val="DefaultParagraphFont"/>
    <w:semiHidden/>
    <w:unhideWhenUsed/>
    <w:rsid w:val="006F7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0116">
      <w:bodyDiv w:val="1"/>
      <w:marLeft w:val="0"/>
      <w:marRight w:val="0"/>
      <w:marTop w:val="0"/>
      <w:marBottom w:val="0"/>
      <w:divBdr>
        <w:top w:val="none" w:sz="0" w:space="0" w:color="auto"/>
        <w:left w:val="none" w:sz="0" w:space="0" w:color="auto"/>
        <w:bottom w:val="none" w:sz="0" w:space="0" w:color="auto"/>
        <w:right w:val="none" w:sz="0" w:space="0" w:color="auto"/>
      </w:divBdr>
    </w:div>
    <w:div w:id="683747521">
      <w:bodyDiv w:val="1"/>
      <w:marLeft w:val="0"/>
      <w:marRight w:val="0"/>
      <w:marTop w:val="0"/>
      <w:marBottom w:val="0"/>
      <w:divBdr>
        <w:top w:val="none" w:sz="0" w:space="0" w:color="auto"/>
        <w:left w:val="none" w:sz="0" w:space="0" w:color="auto"/>
        <w:bottom w:val="none" w:sz="0" w:space="0" w:color="auto"/>
        <w:right w:val="none" w:sz="0" w:space="0" w:color="auto"/>
      </w:divBdr>
    </w:div>
    <w:div w:id="974528656">
      <w:bodyDiv w:val="1"/>
      <w:marLeft w:val="0"/>
      <w:marRight w:val="0"/>
      <w:marTop w:val="0"/>
      <w:marBottom w:val="0"/>
      <w:divBdr>
        <w:top w:val="none" w:sz="0" w:space="0" w:color="auto"/>
        <w:left w:val="none" w:sz="0" w:space="0" w:color="auto"/>
        <w:bottom w:val="none" w:sz="0" w:space="0" w:color="auto"/>
        <w:right w:val="none" w:sz="0" w:space="0" w:color="auto"/>
      </w:divBdr>
    </w:div>
    <w:div w:id="132979554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77B6-6432-48E5-8DE0-C82D4DDD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7410</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49554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2017-07-28T14:09:00Z</cp:lastPrinted>
  <dcterms:created xsi:type="dcterms:W3CDTF">2017-11-27T20:28:00Z</dcterms:created>
  <dcterms:modified xsi:type="dcterms:W3CDTF">2017-11-27T20:28:00Z</dcterms:modified>
  <cp:category>Templates</cp:category>
</cp:coreProperties>
</file>