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8CF18" w14:textId="77777777" w:rsidR="001978D6" w:rsidRDefault="004040B7" w:rsidP="001978D6">
      <w:pPr>
        <w:widowControl w:val="0"/>
        <w:autoSpaceDE w:val="0"/>
        <w:autoSpaceDN w:val="0"/>
        <w:adjustRightInd w:val="0"/>
        <w:spacing w:after="0" w:line="240" w:lineRule="auto"/>
        <w:ind w:left="144" w:right="144"/>
        <w:jc w:val="center"/>
        <w:rPr>
          <w:rFonts w:ascii="Times New Roman" w:eastAsiaTheme="minorEastAsia" w:hAnsi="Times New Roman" w:cs="Times New Roman"/>
          <w:w w:val="103"/>
          <w:sz w:val="23"/>
          <w:szCs w:val="23"/>
        </w:rPr>
      </w:pPr>
      <w:bookmarkStart w:id="0" w:name="_GoBack"/>
      <w:bookmarkEnd w:id="0"/>
      <w:r w:rsidRPr="00324D5E">
        <w:rPr>
          <w:rFonts w:ascii="Times New Roman" w:eastAsiaTheme="minorEastAsia" w:hAnsi="Times New Roman" w:cs="Times New Roman"/>
          <w:sz w:val="23"/>
          <w:szCs w:val="23"/>
        </w:rPr>
        <w:t>D</w:t>
      </w:r>
      <w:r w:rsidRPr="00B03884">
        <w:rPr>
          <w:rFonts w:ascii="Times New Roman" w:eastAsiaTheme="minorEastAsia" w:hAnsi="Times New Roman" w:cs="Times New Roman"/>
          <w:sz w:val="23"/>
          <w:szCs w:val="23"/>
        </w:rPr>
        <w:t>EPARTMENT</w:t>
      </w:r>
      <w:r w:rsidRPr="00B03884">
        <w:rPr>
          <w:rFonts w:ascii="Times New Roman" w:eastAsiaTheme="minorEastAsia" w:hAnsi="Times New Roman" w:cs="Times New Roman"/>
          <w:spacing w:val="45"/>
          <w:sz w:val="23"/>
          <w:szCs w:val="23"/>
        </w:rPr>
        <w:t xml:space="preserve"> </w:t>
      </w:r>
      <w:r w:rsidRPr="00B03884">
        <w:rPr>
          <w:rFonts w:ascii="Times New Roman" w:eastAsiaTheme="minorEastAsia" w:hAnsi="Times New Roman" w:cs="Times New Roman"/>
          <w:sz w:val="23"/>
          <w:szCs w:val="23"/>
        </w:rPr>
        <w:t>OF</w:t>
      </w:r>
      <w:r w:rsidRPr="00B03884">
        <w:rPr>
          <w:rFonts w:ascii="Times New Roman" w:eastAsiaTheme="minorEastAsia" w:hAnsi="Times New Roman" w:cs="Times New Roman"/>
          <w:spacing w:val="10"/>
          <w:sz w:val="23"/>
          <w:szCs w:val="23"/>
        </w:rPr>
        <w:t xml:space="preserve"> </w:t>
      </w:r>
      <w:r w:rsidR="001978D6">
        <w:rPr>
          <w:rFonts w:ascii="Times New Roman" w:eastAsiaTheme="minorEastAsia" w:hAnsi="Times New Roman" w:cs="Times New Roman"/>
          <w:w w:val="103"/>
          <w:sz w:val="23"/>
          <w:szCs w:val="23"/>
        </w:rPr>
        <w:t>TRANSPORTATION</w:t>
      </w:r>
    </w:p>
    <w:p w14:paraId="1FADB093" w14:textId="77777777" w:rsidR="001978D6" w:rsidRPr="001978D6" w:rsidRDefault="004040B7" w:rsidP="001978D6">
      <w:pPr>
        <w:widowControl w:val="0"/>
        <w:autoSpaceDE w:val="0"/>
        <w:autoSpaceDN w:val="0"/>
        <w:adjustRightInd w:val="0"/>
        <w:spacing w:after="0" w:line="240" w:lineRule="auto"/>
        <w:ind w:left="144" w:right="144"/>
        <w:jc w:val="center"/>
        <w:rPr>
          <w:rFonts w:ascii="Times New Roman" w:eastAsiaTheme="minorEastAsia" w:hAnsi="Times New Roman" w:cs="Times New Roman"/>
          <w:spacing w:val="30"/>
          <w:sz w:val="23"/>
          <w:szCs w:val="23"/>
        </w:rPr>
      </w:pPr>
      <w:r w:rsidRPr="001978D6">
        <w:rPr>
          <w:rFonts w:ascii="Times New Roman" w:eastAsiaTheme="minorEastAsia" w:hAnsi="Times New Roman" w:cs="Times New Roman"/>
          <w:sz w:val="23"/>
          <w:szCs w:val="23"/>
        </w:rPr>
        <w:t>FEDERAL</w:t>
      </w:r>
      <w:r w:rsidRPr="001978D6">
        <w:rPr>
          <w:rFonts w:ascii="Times New Roman" w:eastAsiaTheme="minorEastAsia" w:hAnsi="Times New Roman" w:cs="Times New Roman"/>
          <w:spacing w:val="24"/>
          <w:sz w:val="23"/>
          <w:szCs w:val="23"/>
        </w:rPr>
        <w:t xml:space="preserve"> </w:t>
      </w:r>
      <w:r w:rsidRPr="001978D6">
        <w:rPr>
          <w:rFonts w:ascii="Times New Roman" w:eastAsiaTheme="minorEastAsia" w:hAnsi="Times New Roman" w:cs="Times New Roman"/>
          <w:sz w:val="23"/>
          <w:szCs w:val="23"/>
        </w:rPr>
        <w:t>TRANSIT</w:t>
      </w:r>
      <w:r w:rsidRPr="001978D6">
        <w:rPr>
          <w:rFonts w:ascii="Times New Roman" w:eastAsiaTheme="minorEastAsia" w:hAnsi="Times New Roman" w:cs="Times New Roman"/>
          <w:spacing w:val="30"/>
          <w:sz w:val="23"/>
          <w:szCs w:val="23"/>
        </w:rPr>
        <w:t xml:space="preserve"> </w:t>
      </w:r>
      <w:r w:rsidR="001978D6">
        <w:rPr>
          <w:rFonts w:ascii="Times New Roman" w:eastAsiaTheme="minorEastAsia" w:hAnsi="Times New Roman" w:cs="Times New Roman"/>
          <w:spacing w:val="30"/>
          <w:sz w:val="23"/>
          <w:szCs w:val="23"/>
        </w:rPr>
        <w:t>A</w:t>
      </w:r>
      <w:r w:rsidR="001978D6" w:rsidRPr="001978D6">
        <w:rPr>
          <w:rFonts w:ascii="Times New Roman" w:eastAsiaTheme="minorEastAsia" w:hAnsi="Times New Roman" w:cs="Times New Roman"/>
          <w:spacing w:val="30"/>
          <w:sz w:val="23"/>
          <w:szCs w:val="23"/>
        </w:rPr>
        <w:t xml:space="preserve">DMINISTRATION </w:t>
      </w:r>
    </w:p>
    <w:p w14:paraId="655BBDC2" w14:textId="77777777" w:rsidR="004040B7" w:rsidRPr="00324D5E" w:rsidRDefault="004040B7" w:rsidP="001978D6">
      <w:pPr>
        <w:widowControl w:val="0"/>
        <w:autoSpaceDE w:val="0"/>
        <w:autoSpaceDN w:val="0"/>
        <w:adjustRightInd w:val="0"/>
        <w:spacing w:after="0" w:line="240" w:lineRule="auto"/>
        <w:ind w:left="144" w:right="144"/>
        <w:jc w:val="center"/>
        <w:rPr>
          <w:rFonts w:ascii="Times New Roman" w:eastAsiaTheme="minorEastAsia" w:hAnsi="Times New Roman" w:cs="Times New Roman"/>
          <w:sz w:val="23"/>
          <w:szCs w:val="23"/>
        </w:rPr>
      </w:pPr>
      <w:r w:rsidRPr="001978D6">
        <w:rPr>
          <w:rFonts w:ascii="Times New Roman" w:eastAsiaTheme="minorEastAsia" w:hAnsi="Times New Roman" w:cs="Times New Roman"/>
          <w:sz w:val="23"/>
          <w:szCs w:val="23"/>
        </w:rPr>
        <w:t>JUSTIFICATION</w:t>
      </w:r>
      <w:r w:rsidRPr="001978D6">
        <w:rPr>
          <w:rFonts w:ascii="Times New Roman" w:eastAsiaTheme="minorEastAsia" w:hAnsi="Times New Roman" w:cs="Times New Roman"/>
          <w:spacing w:val="53"/>
          <w:sz w:val="23"/>
          <w:szCs w:val="23"/>
        </w:rPr>
        <w:t xml:space="preserve"> </w:t>
      </w:r>
      <w:r w:rsidRPr="001978D6">
        <w:rPr>
          <w:rFonts w:ascii="Times New Roman" w:eastAsiaTheme="minorEastAsia" w:hAnsi="Times New Roman" w:cs="Times New Roman"/>
          <w:w w:val="104"/>
          <w:sz w:val="23"/>
          <w:szCs w:val="23"/>
        </w:rPr>
        <w:t>STATEMENT</w:t>
      </w:r>
    </w:p>
    <w:p w14:paraId="0B8BAAD3" w14:textId="77777777" w:rsidR="001978D6" w:rsidRDefault="001978D6" w:rsidP="001978D6">
      <w:pPr>
        <w:spacing w:after="0" w:line="240" w:lineRule="auto"/>
        <w:ind w:left="144" w:right="144"/>
        <w:jc w:val="center"/>
        <w:rPr>
          <w:rFonts w:ascii="Times New Roman" w:hAnsi="Times New Roman" w:cs="Times New Roman"/>
          <w:b/>
          <w:bCs/>
          <w:u w:val="thick"/>
        </w:rPr>
      </w:pPr>
    </w:p>
    <w:p w14:paraId="082510FC" w14:textId="77777777" w:rsidR="004040B7" w:rsidRPr="00324D5E" w:rsidRDefault="004040B7" w:rsidP="004040B7">
      <w:pPr>
        <w:jc w:val="center"/>
        <w:rPr>
          <w:rFonts w:ascii="Times New Roman" w:hAnsi="Times New Roman" w:cs="Times New Roman"/>
        </w:rPr>
      </w:pPr>
      <w:r w:rsidRPr="00324D5E">
        <w:rPr>
          <w:rFonts w:ascii="Times New Roman" w:hAnsi="Times New Roman" w:cs="Times New Roman"/>
          <w:b/>
          <w:bCs/>
          <w:u w:val="thick"/>
        </w:rPr>
        <w:t>Charter</w:t>
      </w:r>
      <w:r w:rsidR="00C237DA">
        <w:rPr>
          <w:rFonts w:ascii="Times New Roman" w:hAnsi="Times New Roman" w:cs="Times New Roman"/>
          <w:b/>
          <w:bCs/>
          <w:u w:val="thick"/>
        </w:rPr>
        <w:t xml:space="preserve"> Bus </w:t>
      </w:r>
      <w:r w:rsidRPr="00324D5E">
        <w:rPr>
          <w:rFonts w:ascii="Times New Roman" w:hAnsi="Times New Roman" w:cs="Times New Roman"/>
          <w:b/>
          <w:bCs/>
          <w:u w:val="thick"/>
        </w:rPr>
        <w:t>Service Operations</w:t>
      </w:r>
    </w:p>
    <w:p w14:paraId="11094D18" w14:textId="77777777" w:rsidR="004040B7" w:rsidRPr="001978D6" w:rsidRDefault="004040B7" w:rsidP="004040B7">
      <w:pPr>
        <w:jc w:val="center"/>
        <w:rPr>
          <w:rFonts w:ascii="Times New Roman" w:hAnsi="Times New Roman" w:cs="Times New Roman"/>
        </w:rPr>
      </w:pPr>
      <w:r w:rsidRPr="001978D6">
        <w:rPr>
          <w:rFonts w:ascii="Times New Roman" w:hAnsi="Times New Roman" w:cs="Times New Roman"/>
        </w:rPr>
        <w:t>(OMB Control No. 2132-0543)</w:t>
      </w:r>
    </w:p>
    <w:p w14:paraId="2CDF5861" w14:textId="77777777" w:rsidR="004040B7" w:rsidRPr="00A17193" w:rsidRDefault="00A17193" w:rsidP="004040B7">
      <w:pPr>
        <w:rPr>
          <w:rFonts w:ascii="Times New Roman" w:hAnsi="Times New Roman" w:cs="Times New Roman"/>
          <w:u w:val="single"/>
        </w:rPr>
      </w:pPr>
      <w:r w:rsidRPr="00A17193">
        <w:rPr>
          <w:rFonts w:ascii="Times New Roman" w:hAnsi="Times New Roman" w:cs="Times New Roman"/>
          <w:u w:val="single"/>
        </w:rPr>
        <w:t>ABSTRACT</w:t>
      </w:r>
    </w:p>
    <w:p w14:paraId="0F4E3FBB" w14:textId="61FB366D" w:rsidR="00C237DA" w:rsidRDefault="00A17193" w:rsidP="00C237DA">
      <w:pPr>
        <w:rPr>
          <w:rFonts w:ascii="Times New Roman" w:hAnsi="Times New Roman"/>
        </w:rPr>
      </w:pPr>
      <w:r w:rsidRPr="00A17193">
        <w:rPr>
          <w:rFonts w:ascii="Times New Roman" w:eastAsia="Times New Roman" w:hAnsi="Times New Roman" w:cs="Times New Roman"/>
        </w:rPr>
        <w:t>This supporting statement is associated with a request for a</w:t>
      </w:r>
      <w:r w:rsidR="00CF75F8">
        <w:rPr>
          <w:rFonts w:ascii="Times New Roman" w:eastAsia="Times New Roman" w:hAnsi="Times New Roman" w:cs="Times New Roman"/>
        </w:rPr>
        <w:t xml:space="preserve"> revision </w:t>
      </w:r>
      <w:r w:rsidRPr="00A17193">
        <w:rPr>
          <w:rFonts w:ascii="Times New Roman" w:eastAsia="Times New Roman" w:hAnsi="Times New Roman" w:cs="Times New Roman"/>
        </w:rPr>
        <w:t>of a currently approved information collection</w:t>
      </w:r>
      <w:r w:rsidR="00D272D9">
        <w:rPr>
          <w:rFonts w:ascii="Times New Roman" w:eastAsia="Times New Roman" w:hAnsi="Times New Roman" w:cs="Times New Roman"/>
        </w:rPr>
        <w:t>.</w:t>
      </w:r>
      <w:r w:rsidRPr="00A17193">
        <w:rPr>
          <w:rFonts w:ascii="Times New Roman" w:eastAsia="Times New Roman" w:hAnsi="Times New Roman" w:cs="Times New Roman"/>
        </w:rPr>
        <w:t xml:space="preserve">  </w:t>
      </w:r>
      <w:r w:rsidR="00FB125B">
        <w:rPr>
          <w:rFonts w:ascii="Times New Roman" w:eastAsia="Times New Roman" w:hAnsi="Times New Roman" w:cs="Times New Roman"/>
        </w:rPr>
        <w:t xml:space="preserve">The </w:t>
      </w:r>
      <w:r w:rsidR="004040B7" w:rsidRPr="00A17193">
        <w:rPr>
          <w:rFonts w:ascii="Times New Roman" w:eastAsia="Times New Roman" w:hAnsi="Times New Roman" w:cs="Times New Roman"/>
          <w:lang w:val="en"/>
        </w:rPr>
        <w:t>F</w:t>
      </w:r>
      <w:r w:rsidR="00FB125B">
        <w:rPr>
          <w:rFonts w:ascii="Times New Roman" w:eastAsia="Times New Roman" w:hAnsi="Times New Roman" w:cs="Times New Roman"/>
          <w:lang w:val="en"/>
        </w:rPr>
        <w:t xml:space="preserve">ederal </w:t>
      </w:r>
      <w:r w:rsidR="004040B7" w:rsidRPr="00A17193">
        <w:rPr>
          <w:rFonts w:ascii="Times New Roman" w:eastAsia="Times New Roman" w:hAnsi="Times New Roman" w:cs="Times New Roman"/>
          <w:lang w:val="en"/>
        </w:rPr>
        <w:t>T</w:t>
      </w:r>
      <w:r w:rsidR="00FB125B">
        <w:rPr>
          <w:rFonts w:ascii="Times New Roman" w:eastAsia="Times New Roman" w:hAnsi="Times New Roman" w:cs="Times New Roman"/>
          <w:lang w:val="en"/>
        </w:rPr>
        <w:t xml:space="preserve">ransit </w:t>
      </w:r>
      <w:r w:rsidR="004040B7" w:rsidRPr="00A17193">
        <w:rPr>
          <w:rFonts w:ascii="Times New Roman" w:eastAsia="Times New Roman" w:hAnsi="Times New Roman" w:cs="Times New Roman"/>
          <w:lang w:val="en"/>
        </w:rPr>
        <w:t>A</w:t>
      </w:r>
      <w:r w:rsidR="00FB125B">
        <w:rPr>
          <w:rFonts w:ascii="Times New Roman" w:eastAsia="Times New Roman" w:hAnsi="Times New Roman" w:cs="Times New Roman"/>
          <w:lang w:val="en"/>
        </w:rPr>
        <w:t>dministration</w:t>
      </w:r>
      <w:r w:rsidR="004040B7" w:rsidRPr="00A17193">
        <w:rPr>
          <w:rFonts w:ascii="Times New Roman" w:eastAsia="Times New Roman" w:hAnsi="Times New Roman" w:cs="Times New Roman"/>
          <w:lang w:val="en"/>
        </w:rPr>
        <w:t>’s</w:t>
      </w:r>
      <w:r w:rsidR="00FB125B">
        <w:rPr>
          <w:rFonts w:ascii="Times New Roman" w:eastAsia="Times New Roman" w:hAnsi="Times New Roman" w:cs="Times New Roman"/>
          <w:lang w:val="en"/>
        </w:rPr>
        <w:t xml:space="preserve"> (FTA)</w:t>
      </w:r>
      <w:r w:rsidR="004040B7" w:rsidRPr="00A17193">
        <w:rPr>
          <w:rFonts w:ascii="Times New Roman" w:eastAsia="Times New Roman" w:hAnsi="Times New Roman" w:cs="Times New Roman"/>
          <w:lang w:val="en"/>
        </w:rPr>
        <w:t xml:space="preserve"> Charter Service Rule, which implements 49 U.S.C. 5323(d), protects private charter operators from unauthorized competition from FTA grant recipients.</w:t>
      </w:r>
      <w:r w:rsidR="00C237DA">
        <w:rPr>
          <w:rFonts w:ascii="Times New Roman" w:eastAsia="Times New Roman" w:hAnsi="Times New Roman" w:cs="Times New Roman"/>
          <w:lang w:val="en"/>
        </w:rPr>
        <w:t xml:space="preserve"> </w:t>
      </w:r>
      <w:r w:rsidR="00C237DA" w:rsidRPr="00A17193">
        <w:rPr>
          <w:rFonts w:ascii="Times New Roman" w:eastAsia="Times New Roman" w:hAnsi="Times New Roman" w:cs="Times New Roman"/>
        </w:rPr>
        <w:t>The Charter Service Operations was unchanged with the passing of the Fixing America’s Su</w:t>
      </w:r>
      <w:r w:rsidR="00C237DA">
        <w:rPr>
          <w:rFonts w:ascii="Times New Roman" w:eastAsia="Times New Roman" w:hAnsi="Times New Roman" w:cs="Times New Roman"/>
        </w:rPr>
        <w:t>rface Transportation Act (FAST)</w:t>
      </w:r>
      <w:r w:rsidR="00CF75F8">
        <w:rPr>
          <w:rFonts w:ascii="Times New Roman" w:eastAsia="Times New Roman" w:hAnsi="Times New Roman" w:cs="Times New Roman"/>
        </w:rPr>
        <w:t xml:space="preserve">.  </w:t>
      </w:r>
      <w:r w:rsidR="00CF75F8">
        <w:rPr>
          <w:rFonts w:ascii="Times New Roman" w:hAnsi="Times New Roman"/>
        </w:rPr>
        <w:t>T</w:t>
      </w:r>
      <w:r w:rsidR="00C237DA">
        <w:rPr>
          <w:rFonts w:ascii="Times New Roman" w:hAnsi="Times New Roman"/>
        </w:rPr>
        <w:t xml:space="preserve">his information collection request reflects a </w:t>
      </w:r>
      <w:r w:rsidR="00CF75F8">
        <w:rPr>
          <w:rFonts w:ascii="Times New Roman" w:hAnsi="Times New Roman"/>
        </w:rPr>
        <w:t xml:space="preserve">decrease </w:t>
      </w:r>
      <w:r w:rsidR="00C237DA">
        <w:rPr>
          <w:rFonts w:ascii="Times New Roman" w:hAnsi="Times New Roman"/>
        </w:rPr>
        <w:t xml:space="preserve">of </w:t>
      </w:r>
      <w:r w:rsidR="00CF75F8">
        <w:rPr>
          <w:rFonts w:ascii="Times New Roman" w:hAnsi="Times New Roman"/>
        </w:rPr>
        <w:t xml:space="preserve">143 annual </w:t>
      </w:r>
      <w:r w:rsidR="00C237DA">
        <w:rPr>
          <w:rFonts w:ascii="Times New Roman" w:hAnsi="Times New Roman"/>
        </w:rPr>
        <w:t>respondents from the total reported in 2013</w:t>
      </w:r>
      <w:r w:rsidR="00CF75F8">
        <w:rPr>
          <w:rFonts w:ascii="Times New Roman" w:hAnsi="Times New Roman"/>
        </w:rPr>
        <w:t>.</w:t>
      </w:r>
      <w:r w:rsidR="00C55E9F">
        <w:rPr>
          <w:rFonts w:ascii="Times New Roman" w:hAnsi="Times New Roman"/>
        </w:rPr>
        <w:t xml:space="preserve">  </w:t>
      </w:r>
      <w:r w:rsidR="00C237DA">
        <w:rPr>
          <w:rFonts w:ascii="Times New Roman" w:hAnsi="Times New Roman"/>
        </w:rPr>
        <w:t xml:space="preserve">The </w:t>
      </w:r>
      <w:r w:rsidR="00CF75F8">
        <w:rPr>
          <w:rFonts w:ascii="Times New Roman" w:hAnsi="Times New Roman"/>
        </w:rPr>
        <w:t>decrease is a result of FTA’s calculation of annual respondents to the program since 2014.</w:t>
      </w:r>
      <w:r w:rsidR="00C237DA">
        <w:rPr>
          <w:rFonts w:ascii="Times New Roman" w:hAnsi="Times New Roman"/>
        </w:rPr>
        <w:t xml:space="preserve"> </w:t>
      </w:r>
    </w:p>
    <w:p w14:paraId="511ED97C"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the circumstances that make information collection necessary</w:t>
      </w:r>
    </w:p>
    <w:p w14:paraId="278A48FC" w14:textId="27D7529D"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Pursuant to 49 U.S.C. Section 5323(d), FTA recipients may only provide charter bus service with FTA-funded facilities and equipment if the charter service is incidental to the provision of transit service.  This provision protects charter service providers from unauthorized competition by FTA recipients.  </w:t>
      </w:r>
    </w:p>
    <w:p w14:paraId="7F1EA457" w14:textId="11006D3E" w:rsidR="004040B7" w:rsidRPr="00A17193" w:rsidRDefault="004040B7" w:rsidP="004040B7">
      <w:pPr>
        <w:rPr>
          <w:rFonts w:ascii="Times New Roman" w:hAnsi="Times New Roman" w:cs="Times New Roman"/>
        </w:rPr>
      </w:pPr>
      <w:r w:rsidRPr="00A17193">
        <w:rPr>
          <w:rFonts w:ascii="Times New Roman" w:hAnsi="Times New Roman" w:cs="Times New Roman"/>
        </w:rPr>
        <w:t>The requirements of 49 U.S.C. Section 5323(d) are implemented in FTA's charter regulation at 49 C.F.R. Part 604.  In 2008, the Charter Service Rule was amended to include five (5) provisions that impose information collection requirements on FTA recipients of financial assistance under Federal Transit Law.</w:t>
      </w:r>
      <w:r w:rsidRPr="00A17193">
        <w:rPr>
          <w:rFonts w:ascii="Times New Roman" w:hAnsi="Times New Roman" w:cs="Times New Roman"/>
          <w:vertAlign w:val="superscript"/>
        </w:rPr>
        <w:footnoteReference w:id="1"/>
      </w:r>
      <w:r w:rsidRPr="00A17193">
        <w:rPr>
          <w:rFonts w:ascii="Times New Roman" w:hAnsi="Times New Roman" w:cs="Times New Roman"/>
        </w:rPr>
        <w:t xml:space="preserve">  </w:t>
      </w:r>
    </w:p>
    <w:p w14:paraId="559391AB"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First, 49 C.F.R. Section 604.4 requires all applicants for Federal financial assistance under Federal Transit Law, unless otherwise exempted under 49 C.F.R. Section 604.2, to enter into a "Charter Service Agreement," contained in the Certifications and Assurances for FTA Assistance Programs.  The Certifications and Assurances become a part of the Grant Agreement or Cooperative Agreement for Federal financial assistance upon receipt of Federal funds.  The rule requires each applicant to submit one Charter Service Agreement for each year that the applicant intends to apply for the Federal financial assistance.</w:t>
      </w:r>
    </w:p>
    <w:p w14:paraId="6AF066D6" w14:textId="1CC83A31" w:rsidR="00560574" w:rsidRPr="00560574" w:rsidRDefault="004040B7" w:rsidP="00560574">
      <w:pPr>
        <w:rPr>
          <w:rFonts w:ascii="Times New Roman" w:hAnsi="Times New Roman" w:cs="Times New Roman"/>
        </w:rPr>
      </w:pPr>
      <w:r w:rsidRPr="00A17193">
        <w:rPr>
          <w:rFonts w:ascii="Times New Roman" w:hAnsi="Times New Roman" w:cs="Times New Roman"/>
        </w:rPr>
        <w:t>Second, 49 C.F.R. Section 604.14(3) requires a recipient of Federal funds under Federal Transit Law, unless otherwise exempt, to provide email notification to all registered charter service providers in the recipient's geographic service area each time the recipient receives a request for charter service that the recipient is interested in providing</w:t>
      </w:r>
      <w:r w:rsidRPr="00EA6C1A">
        <w:rPr>
          <w:rFonts w:ascii="Times New Roman" w:hAnsi="Times New Roman" w:cs="Times New Roman"/>
        </w:rPr>
        <w:t xml:space="preserve">. </w:t>
      </w:r>
      <w:r w:rsidR="00560574" w:rsidRPr="00EA6C1A">
        <w:rPr>
          <w:rFonts w:ascii="Times New Roman" w:hAnsi="Times New Roman" w:cs="Times New Roman"/>
        </w:rPr>
        <w:t xml:space="preserve">At this time, FTA’s TrAMS system is not designed to provide providers with an automatic alert when a request is made in a </w:t>
      </w:r>
      <w:r w:rsidR="003F5AE0" w:rsidRPr="00EA6C1A">
        <w:rPr>
          <w:rFonts w:ascii="Times New Roman" w:hAnsi="Times New Roman" w:cs="Times New Roman"/>
        </w:rPr>
        <w:t>recipient’s</w:t>
      </w:r>
      <w:r w:rsidR="00560574" w:rsidRPr="00EA6C1A">
        <w:rPr>
          <w:rFonts w:ascii="Times New Roman" w:hAnsi="Times New Roman" w:cs="Times New Roman"/>
        </w:rPr>
        <w:t xml:space="preserve"> area.  However, FTA’s website electronically lists the e-mail address of registered providers as the recipient enters the request for charter service information.</w:t>
      </w:r>
    </w:p>
    <w:p w14:paraId="194834E6" w14:textId="299020BB" w:rsidR="004040B7" w:rsidRPr="00A17193" w:rsidRDefault="004040B7" w:rsidP="004040B7">
      <w:pPr>
        <w:rPr>
          <w:rFonts w:ascii="Times New Roman" w:hAnsi="Times New Roman" w:cs="Times New Roman"/>
        </w:rPr>
      </w:pPr>
    </w:p>
    <w:p w14:paraId="022224FD"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lastRenderedPageBreak/>
        <w:t>Third, 49 C.F.R. Section 604.12(c) requires a recipient, unless otherwise exempt under 49 C.F.R. Part 604.2, on a quarterly basis to submit records of all instances that the recipient provided charter service permitted under one or more of the exceptions under Subpart B of 49 C.F.R. Section 604.  Submission of records must be done through the FTA Charter Registration Website.  In addition, a recipient who provided charter service permitted under an exception must maintain electronic records of the required notices and records for a minimum of three years from the date of the service or lease of FTA-funded equipment.</w:t>
      </w:r>
    </w:p>
    <w:p w14:paraId="72F1B1AF"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Fourth, 49 C.F.R. Section 604.13 requires a private charter service provider to register on FTA's Charter Registration Website in order to qualify as a registered charter service provider and receive email notifications by recipients that are interested in providing a requested charter service.  When registering on the Website, the private charter service provider must submit the following information:</w:t>
      </w:r>
    </w:p>
    <w:p w14:paraId="3D3A741F"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Company name, address, phone number, e-mail address, and facsimile number;</w:t>
      </w:r>
    </w:p>
    <w:p w14:paraId="0685A940"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Federal and, if available, state motor carrier identifying number;</w:t>
      </w:r>
    </w:p>
    <w:p w14:paraId="50BAA383"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Geographic service areas of public transit agencies, as identified by the transit agency's zip code, in which the private charter provider intends to provide charter service;</w:t>
      </w:r>
    </w:p>
    <w:p w14:paraId="231FB953"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 xml:space="preserve"> Number of buses or vans the private charter provider owns;</w:t>
      </w:r>
    </w:p>
    <w:p w14:paraId="13156BBD"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A certification that the private charter provider has valid insurance; and</w:t>
      </w:r>
    </w:p>
    <w:p w14:paraId="37D2E92F" w14:textId="77777777" w:rsidR="004040B7" w:rsidRPr="00A17193" w:rsidRDefault="004040B7" w:rsidP="004040B7">
      <w:pPr>
        <w:pStyle w:val="ListParagraph"/>
        <w:numPr>
          <w:ilvl w:val="0"/>
          <w:numId w:val="2"/>
        </w:numPr>
        <w:rPr>
          <w:rFonts w:ascii="Times New Roman" w:hAnsi="Times New Roman" w:cs="Times New Roman"/>
        </w:rPr>
      </w:pPr>
      <w:r w:rsidRPr="00A17193">
        <w:rPr>
          <w:rFonts w:ascii="Times New Roman" w:hAnsi="Times New Roman" w:cs="Times New Roman"/>
        </w:rPr>
        <w:t>Willingness to provide free or reduced rate charter services to registered qualified human service organizations.</w:t>
      </w:r>
    </w:p>
    <w:p w14:paraId="31487A68"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The rule requires that a registered charter service provider must update its information on the Charter Registration Website at least once every two years.  Currently, there are a total of </w:t>
      </w:r>
      <w:r w:rsidR="00FE2818">
        <w:rPr>
          <w:rFonts w:ascii="Times New Roman" w:hAnsi="Times New Roman" w:cs="Times New Roman"/>
        </w:rPr>
        <w:t>227</w:t>
      </w:r>
      <w:r w:rsidRPr="00A17193">
        <w:rPr>
          <w:rFonts w:ascii="Times New Roman" w:hAnsi="Times New Roman" w:cs="Times New Roman"/>
        </w:rPr>
        <w:t xml:space="preserve"> registered private charter service providers.  </w:t>
      </w:r>
    </w:p>
    <w:p w14:paraId="448CA273"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Fifth, 49 C.F.R. Section 604.7 permits recipients to provide charter service to Qualified Human Service Organizations (QHSO) under limited circumstances.  QHSOs that do not receive Federal funding under programs listed in Appendix A to Part 604 and seek to receive free or reduced rate services from recipients must register on FTA's Charter Registration Website.  49 C.F.R. Section 604.15(a).</w:t>
      </w:r>
    </w:p>
    <w:p w14:paraId="717FE332"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Indicate how, by whom, and for what purpose the information is to be used</w:t>
      </w:r>
    </w:p>
    <w:p w14:paraId="523BE75B" w14:textId="19447ECD"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The Charter Service Agreement required under 49 C.F.R. Section 604.4 is necessary to implement the provision in 49 U.S.C. Section 5323(d) which requires all </w:t>
      </w:r>
      <w:r w:rsidR="00022191">
        <w:rPr>
          <w:rFonts w:ascii="Times New Roman" w:hAnsi="Times New Roman" w:cs="Times New Roman"/>
        </w:rPr>
        <w:t>recipients</w:t>
      </w:r>
      <w:r w:rsidRPr="00A17193">
        <w:rPr>
          <w:rFonts w:ascii="Times New Roman" w:hAnsi="Times New Roman" w:cs="Times New Roman"/>
        </w:rPr>
        <w:t xml:space="preserve"> to enter into a Charter Service Agreement</w:t>
      </w:r>
      <w:r w:rsidRPr="00EA6C1A">
        <w:rPr>
          <w:rFonts w:ascii="Times New Roman" w:hAnsi="Times New Roman" w:cs="Times New Roman"/>
        </w:rPr>
        <w:t>.</w:t>
      </w:r>
      <w:r w:rsidR="00BA0462" w:rsidRPr="00EA6C1A">
        <w:rPr>
          <w:rFonts w:ascii="Times New Roman" w:hAnsi="Times New Roman" w:cs="Times New Roman"/>
        </w:rPr>
        <w:t xml:space="preserve">  The charter agreement</w:t>
      </w:r>
      <w:r w:rsidR="001123CF" w:rsidRPr="00EA6C1A">
        <w:rPr>
          <w:rFonts w:ascii="Times New Roman" w:hAnsi="Times New Roman" w:cs="Times New Roman"/>
        </w:rPr>
        <w:t xml:space="preserve"> was developed in consultation with affected stakeholders and</w:t>
      </w:r>
      <w:r w:rsidR="00BA0462" w:rsidRPr="00EA6C1A">
        <w:rPr>
          <w:rFonts w:ascii="Times New Roman" w:hAnsi="Times New Roman" w:cs="Times New Roman"/>
        </w:rPr>
        <w:t xml:space="preserve"> is a component of the grant award agreement.  It is a condition for receiving Federal financial assistance.  </w:t>
      </w:r>
      <w:r w:rsidR="001123CF" w:rsidRPr="00EA6C1A">
        <w:rPr>
          <w:rFonts w:ascii="Times New Roman" w:hAnsi="Times New Roman" w:cs="Times New Roman"/>
        </w:rPr>
        <w:t xml:space="preserve">Under </w:t>
      </w:r>
      <w:r w:rsidR="00BA0462" w:rsidRPr="00EA6C1A">
        <w:rPr>
          <w:rFonts w:ascii="Times New Roman" w:hAnsi="Times New Roman" w:cs="Times New Roman"/>
        </w:rPr>
        <w:t>the National Mass Transportation Assistance Act of 1974 and subsequent FTA authorizations, a condition of receiving Federal financial assistance, a recipient cannot use their Federal funding to foreclose private operators from providing charter bus services where such private operators are willing and able to provide that service.</w:t>
      </w:r>
      <w:r w:rsidR="00BA0462" w:rsidRPr="00BA0462">
        <w:rPr>
          <w:rFonts w:ascii="Times New Roman" w:hAnsi="Times New Roman" w:cs="Times New Roman"/>
        </w:rPr>
        <w:t xml:space="preserve">  </w:t>
      </w:r>
    </w:p>
    <w:p w14:paraId="5F276101"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The e-mail notification requirement in 49 C.F.R. Section 604.14 is necessary to ensure that private charter bus providers who register on FTA's </w:t>
      </w:r>
      <w:r w:rsidR="00022191">
        <w:rPr>
          <w:rFonts w:ascii="Times New Roman" w:hAnsi="Times New Roman" w:cs="Times New Roman"/>
        </w:rPr>
        <w:t>C</w:t>
      </w:r>
      <w:r w:rsidRPr="00A17193">
        <w:rPr>
          <w:rFonts w:ascii="Times New Roman" w:hAnsi="Times New Roman" w:cs="Times New Roman"/>
        </w:rPr>
        <w:t xml:space="preserve">harter Registration Website are given the first opportunity to provide charter bus service that a recipient is interested in providing pursuant to 49 C.F.R. Section 604.9.  </w:t>
      </w:r>
    </w:p>
    <w:p w14:paraId="04C14021"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The charter registration requirement in 49 C.F.R. Section 604.13 provides both FTA and recipients with a record of the private charter service providers willing to provide charter service, and allows private </w:t>
      </w:r>
      <w:r w:rsidRPr="00A17193">
        <w:rPr>
          <w:rFonts w:ascii="Times New Roman" w:hAnsi="Times New Roman" w:cs="Times New Roman"/>
        </w:rPr>
        <w:lastRenderedPageBreak/>
        <w:t>charter service providers to express their interest in providing charter service in a specific geographic location by registering on the Charter Registration Website.</w:t>
      </w:r>
    </w:p>
    <w:p w14:paraId="04C5E086"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The registration requirement in 49 C.F.R. Section 604.15, applicable to a QHSO who seeks to receive free or reduced rate services from recipients and does not receive Federal funding under programs listed in Appendix A to Section 604, ensures that the organization meets the criteria of a QHSO and is serving the elderly, individuals with disabilities, or low-income individuals.</w:t>
      </w:r>
    </w:p>
    <w:p w14:paraId="36432070"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The requirement that a recipient must submit records of all instances that it has provided charter service permitted under one or more of the exceptions under Subpart B of Section 604, is necessary for FTA to ensure that recipients are properly providing charter services only as permitted by the rule.</w:t>
      </w:r>
    </w:p>
    <w:p w14:paraId="48404586"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If this collection of information is not conducted, FTA will not be able to ensure that FTA recipients are complying with the protections for private charter service providers under 49 U.S.C. Section 5323(d) and that FTA-funded facilities and equipment are used in a manner that does not interfere with or detract from their public transportation purposes.   </w:t>
      </w:r>
      <w:r w:rsidRPr="00A17193">
        <w:rPr>
          <w:rFonts w:ascii="Times New Roman" w:hAnsi="Times New Roman" w:cs="Times New Roman"/>
          <w:i/>
        </w:rPr>
        <w:t>See</w:t>
      </w:r>
      <w:r w:rsidRPr="00A17193">
        <w:rPr>
          <w:rFonts w:ascii="Times New Roman" w:hAnsi="Times New Roman" w:cs="Times New Roman"/>
        </w:rPr>
        <w:t xml:space="preserve"> 9 U.S.C. Section 5302(a)(10).</w:t>
      </w:r>
    </w:p>
    <w:p w14:paraId="64B8018A"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and describe any consideration of using information technology to reduce the burden</w:t>
      </w:r>
    </w:p>
    <w:p w14:paraId="021FFF80" w14:textId="0AB6CF0A" w:rsidR="004040B7" w:rsidRPr="00DC75D0" w:rsidRDefault="004040B7" w:rsidP="004040B7">
      <w:pPr>
        <w:rPr>
          <w:rFonts w:ascii="Times New Roman" w:eastAsia="Calibri" w:hAnsi="Times New Roman" w:cs="Times New Roman"/>
          <w:lang w:val="en"/>
        </w:rPr>
      </w:pPr>
      <w:r w:rsidRPr="00C46233">
        <w:rPr>
          <w:rFonts w:ascii="Times New Roman" w:hAnsi="Times New Roman" w:cs="Times New Roman"/>
        </w:rPr>
        <w:t xml:space="preserve">All recipients of FTA funds are required to use FTA's </w:t>
      </w:r>
      <w:r w:rsidR="00A17193" w:rsidRPr="00C46233">
        <w:rPr>
          <w:rFonts w:ascii="Times New Roman" w:hAnsi="Times New Roman" w:cs="Times New Roman"/>
        </w:rPr>
        <w:t>Transit Award Management System (TrAMS)</w:t>
      </w:r>
      <w:r w:rsidRPr="00C46233">
        <w:rPr>
          <w:rFonts w:ascii="Times New Roman" w:hAnsi="Times New Roman" w:cs="Times New Roman"/>
        </w:rPr>
        <w:t xml:space="preserve"> from the initial application stage through post award management. </w:t>
      </w:r>
      <w:r w:rsidR="00AB7950">
        <w:rPr>
          <w:rFonts w:ascii="Times New Roman" w:hAnsi="Times New Roman" w:cs="Times New Roman"/>
        </w:rPr>
        <w:t xml:space="preserve"> </w:t>
      </w:r>
      <w:r w:rsidRPr="00C46233">
        <w:rPr>
          <w:rFonts w:ascii="Times New Roman" w:hAnsi="Times New Roman" w:cs="Times New Roman"/>
        </w:rPr>
        <w:t xml:space="preserve">Recipients, registered charter service providers, and certain QHSOs are also required to </w:t>
      </w:r>
      <w:r w:rsidR="00C46233">
        <w:rPr>
          <w:rFonts w:ascii="Times New Roman" w:hAnsi="Times New Roman" w:cs="Times New Roman"/>
        </w:rPr>
        <w:t xml:space="preserve">register on the </w:t>
      </w:r>
      <w:r w:rsidRPr="00C46233">
        <w:rPr>
          <w:rFonts w:ascii="Times New Roman" w:hAnsi="Times New Roman" w:cs="Times New Roman"/>
        </w:rPr>
        <w:t xml:space="preserve">Charter Registration Website </w:t>
      </w:r>
      <w:hyperlink r:id="rId9" w:history="1">
        <w:r w:rsidR="00E6721D" w:rsidRPr="00DA5EE2">
          <w:rPr>
            <w:rStyle w:val="Hyperlink"/>
            <w:rFonts w:ascii="Times New Roman" w:hAnsi="Times New Roman" w:cs="Times New Roman"/>
          </w:rPr>
          <w:t>https://ftawebprod.fta.dot.gov/CharterRegistration/splash-charterregistration.aspx</w:t>
        </w:r>
      </w:hyperlink>
      <w:r w:rsidR="00E6721D">
        <w:rPr>
          <w:rFonts w:ascii="Times New Roman" w:hAnsi="Times New Roman" w:cs="Times New Roman"/>
        </w:rPr>
        <w:t xml:space="preserve">.  On </w:t>
      </w:r>
      <w:r w:rsidR="00C46233" w:rsidRPr="00C46233">
        <w:rPr>
          <w:rFonts w:ascii="Times New Roman" w:eastAsia="Calibri" w:hAnsi="Times New Roman" w:cs="Times New Roman"/>
          <w:lang w:val="en"/>
        </w:rPr>
        <w:t xml:space="preserve">December 18, 2015, the Federal Transit Administration (FTA) launched </w:t>
      </w:r>
      <w:r w:rsidR="00E6721D">
        <w:rPr>
          <w:rFonts w:ascii="Times New Roman" w:eastAsia="Calibri" w:hAnsi="Times New Roman" w:cs="Times New Roman"/>
          <w:lang w:val="en"/>
        </w:rPr>
        <w:t>a</w:t>
      </w:r>
      <w:r w:rsidR="00C46233" w:rsidRPr="00C46233">
        <w:rPr>
          <w:rFonts w:ascii="Times New Roman" w:eastAsia="Calibri" w:hAnsi="Times New Roman" w:cs="Times New Roman"/>
          <w:lang w:val="en"/>
        </w:rPr>
        <w:t xml:space="preserve"> new Charter Reporting Tool. </w:t>
      </w:r>
      <w:r w:rsidR="00AB7950">
        <w:rPr>
          <w:rFonts w:ascii="Times New Roman" w:eastAsia="Calibri" w:hAnsi="Times New Roman" w:cs="Times New Roman"/>
          <w:lang w:val="en"/>
        </w:rPr>
        <w:t xml:space="preserve"> </w:t>
      </w:r>
      <w:r w:rsidR="00C46233" w:rsidRPr="00C46233">
        <w:rPr>
          <w:rFonts w:ascii="Times New Roman" w:eastAsia="Calibri" w:hAnsi="Times New Roman" w:cs="Times New Roman"/>
          <w:lang w:val="en"/>
        </w:rPr>
        <w:t>The new Charter Reporting Tool replace</w:t>
      </w:r>
      <w:r w:rsidR="00E6721D">
        <w:rPr>
          <w:rFonts w:ascii="Times New Roman" w:eastAsia="Calibri" w:hAnsi="Times New Roman" w:cs="Times New Roman"/>
          <w:lang w:val="en"/>
        </w:rPr>
        <w:t>d</w:t>
      </w:r>
      <w:r w:rsidR="00C46233" w:rsidRPr="00C46233">
        <w:rPr>
          <w:rFonts w:ascii="Times New Roman" w:eastAsia="Calibri" w:hAnsi="Times New Roman" w:cs="Times New Roman"/>
          <w:lang w:val="en"/>
        </w:rPr>
        <w:t xml:space="preserve"> the access portal in the Transportation Electronic Award Management (TEAM) system for FTA recipients to upload their reports and the public access point for individuals who wish to review charter reports. </w:t>
      </w:r>
      <w:r w:rsidR="00D233CA">
        <w:rPr>
          <w:rFonts w:ascii="Times New Roman" w:eastAsia="Calibri" w:hAnsi="Times New Roman" w:cs="Times New Roman"/>
          <w:lang w:val="en"/>
        </w:rPr>
        <w:t xml:space="preserve"> </w:t>
      </w:r>
      <w:r w:rsidR="00C46233" w:rsidRPr="00C46233">
        <w:rPr>
          <w:rFonts w:ascii="Times New Roman" w:eastAsia="Calibri" w:hAnsi="Times New Roman" w:cs="Times New Roman"/>
          <w:lang w:val="en"/>
        </w:rPr>
        <w:t xml:space="preserve">Both the public and FTA recipients can access the Charter Reporting Tool from the FTA public website at </w:t>
      </w:r>
      <w:hyperlink r:id="rId10" w:tgtFrame="_blank" w:tooltip="Federal Transit Administration Charter Reporting Tool website" w:history="1">
        <w:r w:rsidR="00C46233" w:rsidRPr="00C46233">
          <w:rPr>
            <w:rStyle w:val="Hyperlink"/>
            <w:rFonts w:ascii="Times New Roman" w:eastAsia="Calibri" w:hAnsi="Times New Roman" w:cs="Times New Roman"/>
            <w:lang w:val="en"/>
          </w:rPr>
          <w:t>https://ftawebprod.fta.dot.gov/CharterReporting</w:t>
        </w:r>
      </w:hyperlink>
      <w:r w:rsidR="00C46233" w:rsidRPr="00C46233">
        <w:rPr>
          <w:rFonts w:ascii="Times New Roman" w:eastAsia="Calibri" w:hAnsi="Times New Roman" w:cs="Times New Roman"/>
          <w:lang w:val="en"/>
        </w:rPr>
        <w:t>.</w:t>
      </w:r>
      <w:r w:rsidR="00D233CA">
        <w:rPr>
          <w:rFonts w:ascii="Times New Roman" w:eastAsia="Calibri" w:hAnsi="Times New Roman" w:cs="Times New Roman"/>
          <w:lang w:val="en"/>
        </w:rPr>
        <w:t xml:space="preserve">  </w:t>
      </w:r>
      <w:r w:rsidRPr="00C46233">
        <w:rPr>
          <w:rFonts w:ascii="Times New Roman" w:hAnsi="Times New Roman" w:cs="Times New Roman"/>
        </w:rPr>
        <w:t xml:space="preserve">The use of internet technology by 100% of recipients has improved communications and reduced long-term costs associated with the charter service regulations.  </w:t>
      </w:r>
    </w:p>
    <w:p w14:paraId="2099885A"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efforts to identify duplication.  Show specifically why any similar information already available cannot be used or modified for use for the purposes described in Item 2</w:t>
      </w:r>
    </w:p>
    <w:p w14:paraId="3D1096AD" w14:textId="5BEF1F7E"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FTA has attempted to identify whether the information that is required to be submitted to FTA is collected by other Federal agencies.  Our research indicates that it is not collected by other agencies. </w:t>
      </w:r>
      <w:r w:rsidR="00D233CA">
        <w:rPr>
          <w:rFonts w:ascii="Times New Roman" w:hAnsi="Times New Roman" w:cs="Times New Roman"/>
        </w:rPr>
        <w:t xml:space="preserve"> </w:t>
      </w:r>
      <w:r w:rsidRPr="00A17193">
        <w:rPr>
          <w:rFonts w:ascii="Times New Roman" w:hAnsi="Times New Roman" w:cs="Times New Roman"/>
        </w:rPr>
        <w:t xml:space="preserve">FTA does not believe that </w:t>
      </w:r>
      <w:r w:rsidR="00E97DBC">
        <w:rPr>
          <w:rFonts w:ascii="Times New Roman" w:hAnsi="Times New Roman" w:cs="Times New Roman"/>
        </w:rPr>
        <w:t xml:space="preserve">this </w:t>
      </w:r>
      <w:r w:rsidRPr="00A17193">
        <w:rPr>
          <w:rFonts w:ascii="Times New Roman" w:hAnsi="Times New Roman" w:cs="Times New Roman"/>
        </w:rPr>
        <w:t xml:space="preserve">information </w:t>
      </w:r>
      <w:r w:rsidR="00E97DBC">
        <w:rPr>
          <w:rFonts w:ascii="Times New Roman" w:hAnsi="Times New Roman" w:cs="Times New Roman"/>
        </w:rPr>
        <w:t xml:space="preserve">is </w:t>
      </w:r>
      <w:r w:rsidRPr="00A17193">
        <w:rPr>
          <w:rFonts w:ascii="Times New Roman" w:hAnsi="Times New Roman" w:cs="Times New Roman"/>
        </w:rPr>
        <w:t>similar to that which is available elsewhere.</w:t>
      </w:r>
    </w:p>
    <w:p w14:paraId="40713B3F"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 xml:space="preserve">If the collection of information impacts small businesses or other small entities, describe any methods used to minimize the burden  </w:t>
      </w:r>
    </w:p>
    <w:p w14:paraId="52FAB5E7" w14:textId="77777777" w:rsidR="004040B7" w:rsidRPr="00A17193" w:rsidRDefault="004040B7" w:rsidP="004040B7">
      <w:pPr>
        <w:pStyle w:val="ListParagraph"/>
        <w:ind w:left="0"/>
        <w:rPr>
          <w:rFonts w:ascii="Times New Roman" w:hAnsi="Times New Roman" w:cs="Times New Roman"/>
        </w:rPr>
      </w:pPr>
    </w:p>
    <w:p w14:paraId="77214CD6" w14:textId="77777777" w:rsidR="004040B7" w:rsidRPr="00A17193" w:rsidRDefault="004040B7" w:rsidP="004040B7">
      <w:pPr>
        <w:pStyle w:val="ListParagraph"/>
        <w:ind w:left="0"/>
        <w:rPr>
          <w:rFonts w:ascii="Times New Roman" w:hAnsi="Times New Roman" w:cs="Times New Roman"/>
        </w:rPr>
      </w:pPr>
      <w:r w:rsidRPr="00A17193">
        <w:rPr>
          <w:rFonts w:ascii="Times New Roman" w:hAnsi="Times New Roman" w:cs="Times New Roman"/>
        </w:rPr>
        <w:t>Since the requirements are minimal and are not burdensome, no special methods are used for small entities.</w:t>
      </w:r>
    </w:p>
    <w:p w14:paraId="538D997D" w14:textId="77777777" w:rsidR="004040B7" w:rsidRPr="00A17193" w:rsidRDefault="004040B7" w:rsidP="004040B7">
      <w:pPr>
        <w:pStyle w:val="ListParagraph"/>
        <w:ind w:left="0"/>
        <w:rPr>
          <w:rFonts w:ascii="Times New Roman" w:hAnsi="Times New Roman" w:cs="Times New Roman"/>
        </w:rPr>
      </w:pPr>
    </w:p>
    <w:p w14:paraId="7A46320A"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the consequences to Federal program or policy activities if the information is not conducted or is conducted less frequently, as well as any technical or legal obstacles to reducing burden</w:t>
      </w:r>
    </w:p>
    <w:p w14:paraId="71FA9D78" w14:textId="44CB251E" w:rsidR="004040B7" w:rsidRPr="00A17193" w:rsidRDefault="004040B7" w:rsidP="004040B7">
      <w:pPr>
        <w:rPr>
          <w:rFonts w:ascii="Times New Roman" w:hAnsi="Times New Roman" w:cs="Times New Roman"/>
        </w:rPr>
      </w:pPr>
      <w:r w:rsidRPr="00A17193">
        <w:rPr>
          <w:rFonts w:ascii="Times New Roman" w:hAnsi="Times New Roman" w:cs="Times New Roman"/>
        </w:rPr>
        <w:t>An applicant has to comply with 49 C.F.R. Section 604.4 and enter into a Charter Service Agreement annually per each year that the recipient seeks federal funds under Federal Transit Law.  If this collection were done less frequently, the requirement in 49 U.S.C. Section 5323(d) for a charter service agreement would not be satisfied.</w:t>
      </w:r>
    </w:p>
    <w:p w14:paraId="3677FDE7" w14:textId="09E1AF08"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A recipient must comply with the e-mail notification requirement in 49 C.F.R. Section 604.14 only when the recipient is interested in providing charter service operations pursuant to 49 C.F.R. Section 604.9.  Recipients that provide such service must also submit records of providing charter service pursuant to Subpart B of 49 C.F.R. </w:t>
      </w:r>
      <w:r w:rsidR="00230230">
        <w:rPr>
          <w:rFonts w:ascii="Times New Roman" w:hAnsi="Times New Roman" w:cs="Times New Roman"/>
        </w:rPr>
        <w:t>s</w:t>
      </w:r>
      <w:r w:rsidRPr="00A17193">
        <w:rPr>
          <w:rFonts w:ascii="Times New Roman" w:hAnsi="Times New Roman" w:cs="Times New Roman"/>
        </w:rPr>
        <w:t>ection 604 on a quarterly basis</w:t>
      </w:r>
      <w:r w:rsidR="00A05947">
        <w:rPr>
          <w:rFonts w:ascii="Times New Roman" w:hAnsi="Times New Roman" w:cs="Times New Roman"/>
        </w:rPr>
        <w:t xml:space="preserve"> to FTA</w:t>
      </w:r>
      <w:r w:rsidRPr="00A17193">
        <w:rPr>
          <w:rFonts w:ascii="Times New Roman" w:hAnsi="Times New Roman" w:cs="Times New Roman"/>
        </w:rPr>
        <w:t xml:space="preserve">.  If this information collection was conducted less frequently, registered charter service providers and FTA could not ensure that registered charter service providers are being protected from unfair competition by FTA recipients.  In addition, FTA would not be able to ensure that FTA-funded equipment and facilities are being used to provide charter services in a manner consistent with the statutory and regulatory requirements. </w:t>
      </w:r>
    </w:p>
    <w:p w14:paraId="345463C1"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Private charter providers are required to register on the FTA Charter Registration Website once every two years in order to attain the status of and remain a registered service charter provider.  If this information collection requirement were conducted less frequently, recipients and FTA could not ensure that only eligible private charter service providers in a recipient's geographic region are receiving notice of existing charter service requests.</w:t>
      </w:r>
    </w:p>
    <w:p w14:paraId="2483BEFA" w14:textId="576B9EAD"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Certain QHSOs must comply with the registration requirement in 49 C.F.R. Section 604.15 in order to be eligible to receive free or reduced rate services from recipients.  These QHSOs must register and update their information on a </w:t>
      </w:r>
      <w:r w:rsidR="00DF4031">
        <w:rPr>
          <w:rFonts w:ascii="Times New Roman" w:hAnsi="Times New Roman" w:cs="Times New Roman"/>
        </w:rPr>
        <w:t xml:space="preserve">biennial </w:t>
      </w:r>
      <w:r w:rsidRPr="00A17193">
        <w:rPr>
          <w:rFonts w:ascii="Times New Roman" w:hAnsi="Times New Roman" w:cs="Times New Roman"/>
        </w:rPr>
        <w:t>basis.  If this information collection requirement were conducted less frequently, registered service charter providers and FTA could not ensure that only eligible QHSOs are receiving free or reduced rate services from recipients.</w:t>
      </w:r>
    </w:p>
    <w:p w14:paraId="6D424AD1"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special circumstances that would cause an information collection to be conducted in a manner inconsistent with 5 C.F.R. Section 1320.5(d)(2)</w:t>
      </w:r>
    </w:p>
    <w:p w14:paraId="233D3780"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The information collection requirements are consistent with 5 C.F.R. Section 1320.5(d)(2).</w:t>
      </w:r>
    </w:p>
    <w:p w14:paraId="7E8701D6"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C5E74DE" w14:textId="72FEF7F9"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A 60-day </w:t>
      </w:r>
      <w:r w:rsidRPr="007F4DB3">
        <w:rPr>
          <w:rFonts w:ascii="Times New Roman" w:hAnsi="Times New Roman" w:cs="Times New Roman"/>
        </w:rPr>
        <w:t>Federal Register</w:t>
      </w:r>
      <w:r w:rsidRPr="00A17193">
        <w:rPr>
          <w:rFonts w:ascii="Times New Roman" w:hAnsi="Times New Roman" w:cs="Times New Roman"/>
        </w:rPr>
        <w:t xml:space="preserve"> notice was published on </w:t>
      </w:r>
      <w:r w:rsidR="007F4DB3">
        <w:rPr>
          <w:rFonts w:ascii="Times New Roman" w:hAnsi="Times New Roman" w:cs="Times New Roman"/>
        </w:rPr>
        <w:t>April 24, 2017 Vol. 82 No. 77 (pages18964-18965)</w:t>
      </w:r>
      <w:r w:rsidRPr="00A17193">
        <w:rPr>
          <w:rFonts w:ascii="Times New Roman" w:hAnsi="Times New Roman" w:cs="Times New Roman"/>
        </w:rPr>
        <w:t xml:space="preserve">, soliciting comments prior to submission to the Office of Management and Budget (OMB). </w:t>
      </w:r>
      <w:r w:rsidR="00420084">
        <w:rPr>
          <w:rFonts w:ascii="Times New Roman" w:hAnsi="Times New Roman" w:cs="Times New Roman"/>
        </w:rPr>
        <w:t xml:space="preserve"> </w:t>
      </w:r>
      <w:r w:rsidR="00C02CB2" w:rsidRPr="00A17193">
        <w:rPr>
          <w:rFonts w:ascii="Times New Roman" w:hAnsi="Times New Roman" w:cs="Times New Roman"/>
        </w:rPr>
        <w:t xml:space="preserve">No comments were received. </w:t>
      </w:r>
      <w:r w:rsidRPr="00A17193">
        <w:rPr>
          <w:rFonts w:ascii="Times New Roman" w:hAnsi="Times New Roman" w:cs="Times New Roman"/>
        </w:rPr>
        <w:t xml:space="preserve"> </w:t>
      </w:r>
      <w:r w:rsidR="007F4DB3">
        <w:rPr>
          <w:rFonts w:ascii="Times New Roman" w:hAnsi="Times New Roman" w:cs="Times New Roman"/>
        </w:rPr>
        <w:t>A 30-day Federal Register notice was published on Friday, July 28, 2017</w:t>
      </w:r>
      <w:r w:rsidR="00E97DBC">
        <w:rPr>
          <w:rFonts w:ascii="Times New Roman" w:hAnsi="Times New Roman" w:cs="Times New Roman"/>
        </w:rPr>
        <w:t xml:space="preserve"> Vol. 82 No.144 (pages 35262-35263).</w:t>
      </w:r>
      <w:r w:rsidR="00E6721D">
        <w:rPr>
          <w:rFonts w:ascii="Times New Roman" w:hAnsi="Times New Roman" w:cs="Times New Roman"/>
        </w:rPr>
        <w:t xml:space="preserve"> No comments were received</w:t>
      </w:r>
    </w:p>
    <w:p w14:paraId="6EB62184"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decision to provide any payment or gift to respondents, other than remuneration of contractors or grantees</w:t>
      </w:r>
    </w:p>
    <w:p w14:paraId="5C30BFFC"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No payment or gift is made to respondents.</w:t>
      </w:r>
    </w:p>
    <w:p w14:paraId="39B6F04D"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any assurance of confidentiality provided to respondents and the basis for the assurance in statute, regulation, or agency policy</w:t>
      </w:r>
    </w:p>
    <w:p w14:paraId="3A2D813B" w14:textId="77777777" w:rsidR="004040B7" w:rsidRDefault="004040B7" w:rsidP="004040B7">
      <w:pPr>
        <w:rPr>
          <w:rFonts w:ascii="Times New Roman" w:hAnsi="Times New Roman" w:cs="Times New Roman"/>
        </w:rPr>
      </w:pPr>
      <w:r w:rsidRPr="00A17193">
        <w:rPr>
          <w:rFonts w:ascii="Times New Roman" w:hAnsi="Times New Roman" w:cs="Times New Roman"/>
        </w:rPr>
        <w:t>There is no assurance of confidentiality provided to recipients for the information that they provide under the regulation.  The information is intended for the public.</w:t>
      </w:r>
    </w:p>
    <w:p w14:paraId="2DB7964E"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Provide additional justification for any questions of a sensitive nature</w:t>
      </w:r>
    </w:p>
    <w:p w14:paraId="770DEC73" w14:textId="77777777" w:rsidR="004040B7" w:rsidRDefault="004040B7" w:rsidP="004040B7">
      <w:pPr>
        <w:rPr>
          <w:rFonts w:ascii="Times New Roman" w:hAnsi="Times New Roman" w:cs="Times New Roman"/>
        </w:rPr>
      </w:pPr>
      <w:r w:rsidRPr="00A17193">
        <w:rPr>
          <w:rFonts w:ascii="Times New Roman" w:hAnsi="Times New Roman" w:cs="Times New Roman"/>
        </w:rPr>
        <w:t>No sensitive information is required.  A recipient is permitted to exclude specific origin and destination information in the recipient's quarterly report for safety and security reasons.  49 C.F.R. Section 604.12(d).</w:t>
      </w:r>
    </w:p>
    <w:p w14:paraId="44B025A9" w14:textId="77777777" w:rsidR="004040B7"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Provide estimates of the hour burden of the collection of information and annualized cost to respondent</w:t>
      </w:r>
    </w:p>
    <w:p w14:paraId="34A1A188" w14:textId="77777777" w:rsidR="002637CF" w:rsidRDefault="002637CF" w:rsidP="002637CF">
      <w:pPr>
        <w:pStyle w:val="ListParagraph"/>
        <w:ind w:left="360"/>
        <w:rPr>
          <w:rFonts w:ascii="Times New Roman" w:hAnsi="Times New Roman" w:cs="Times New Roman"/>
          <w:u w:val="single"/>
        </w:rPr>
      </w:pPr>
    </w:p>
    <w:p w14:paraId="37BEAFC7" w14:textId="54A1F977" w:rsidR="002637CF" w:rsidRPr="007F4DB3" w:rsidRDefault="007F4DB3" w:rsidP="002637CF">
      <w:pPr>
        <w:pStyle w:val="ListParagraph"/>
        <w:ind w:left="360"/>
        <w:rPr>
          <w:rFonts w:ascii="Times New Roman" w:hAnsi="Times New Roman" w:cs="Times New Roman"/>
        </w:rPr>
      </w:pPr>
      <w:r>
        <w:rPr>
          <w:rFonts w:ascii="Times New Roman" w:hAnsi="Times New Roman" w:cs="Times New Roman"/>
          <w:u w:val="single"/>
        </w:rPr>
        <w:t xml:space="preserve">Estimated </w:t>
      </w:r>
      <w:r w:rsidR="002637CF">
        <w:rPr>
          <w:rFonts w:ascii="Times New Roman" w:hAnsi="Times New Roman" w:cs="Times New Roman"/>
          <w:u w:val="single"/>
        </w:rPr>
        <w:t>Annual Number of Respondents</w:t>
      </w:r>
      <w:r w:rsidR="002637CF" w:rsidRPr="007F4DB3">
        <w:rPr>
          <w:rFonts w:ascii="Times New Roman" w:hAnsi="Times New Roman" w:cs="Times New Roman"/>
        </w:rPr>
        <w:t xml:space="preserve">: </w:t>
      </w:r>
      <w:r w:rsidR="009F3AB7">
        <w:rPr>
          <w:rFonts w:ascii="Times New Roman" w:hAnsi="Times New Roman" w:cs="Times New Roman"/>
        </w:rPr>
        <w:t>1,326</w:t>
      </w:r>
      <w:r w:rsidR="00420084">
        <w:rPr>
          <w:rStyle w:val="FootnoteReference"/>
          <w:rFonts w:ascii="Times New Roman" w:hAnsi="Times New Roman" w:cs="Times New Roman"/>
        </w:rPr>
        <w:footnoteReference w:id="2"/>
      </w:r>
    </w:p>
    <w:p w14:paraId="296A492D" w14:textId="32B4EE63" w:rsidR="007F4DB3" w:rsidRPr="007F4DB3" w:rsidRDefault="007F4DB3" w:rsidP="002637CF">
      <w:pPr>
        <w:pStyle w:val="ListParagraph"/>
        <w:ind w:left="360"/>
        <w:rPr>
          <w:rFonts w:ascii="Times New Roman" w:hAnsi="Times New Roman" w:cs="Times New Roman"/>
        </w:rPr>
      </w:pPr>
      <w:r>
        <w:rPr>
          <w:rFonts w:ascii="Times New Roman" w:hAnsi="Times New Roman" w:cs="Times New Roman"/>
          <w:u w:val="single"/>
        </w:rPr>
        <w:t>Estimated Total Annual Burden Hours</w:t>
      </w:r>
      <w:r w:rsidRPr="007F4DB3">
        <w:rPr>
          <w:rFonts w:ascii="Times New Roman" w:hAnsi="Times New Roman" w:cs="Times New Roman"/>
        </w:rPr>
        <w:t xml:space="preserve">: </w:t>
      </w:r>
      <w:r w:rsidR="00DF4031">
        <w:rPr>
          <w:rFonts w:ascii="Times New Roman" w:hAnsi="Times New Roman" w:cs="Times New Roman"/>
        </w:rPr>
        <w:t>3</w:t>
      </w:r>
      <w:r w:rsidR="00C8509A">
        <w:rPr>
          <w:rFonts w:ascii="Times New Roman" w:hAnsi="Times New Roman" w:cs="Times New Roman"/>
        </w:rPr>
        <w:t>18.75</w:t>
      </w:r>
    </w:p>
    <w:p w14:paraId="6D85FBB1" w14:textId="622A17B7" w:rsidR="002637CF" w:rsidRPr="00A17193" w:rsidRDefault="007F4DB3" w:rsidP="002637CF">
      <w:pPr>
        <w:pStyle w:val="ListParagraph"/>
        <w:ind w:left="360"/>
        <w:rPr>
          <w:rFonts w:ascii="Times New Roman" w:hAnsi="Times New Roman" w:cs="Times New Roman"/>
          <w:u w:val="single"/>
        </w:rPr>
      </w:pPr>
      <w:r>
        <w:rPr>
          <w:rFonts w:ascii="Times New Roman" w:hAnsi="Times New Roman" w:cs="Times New Roman"/>
          <w:u w:val="single"/>
        </w:rPr>
        <w:t>Estimated Total Cost</w:t>
      </w:r>
      <w:r w:rsidRPr="007F4DB3">
        <w:rPr>
          <w:rFonts w:ascii="Times New Roman" w:hAnsi="Times New Roman" w:cs="Times New Roman"/>
        </w:rPr>
        <w:t>: $</w:t>
      </w:r>
      <w:r w:rsidR="00CD6EDB">
        <w:rPr>
          <w:rFonts w:ascii="Times New Roman" w:hAnsi="Times New Roman" w:cs="Times New Roman"/>
        </w:rPr>
        <w:t>1</w:t>
      </w:r>
      <w:r w:rsidR="00A16F81">
        <w:rPr>
          <w:rFonts w:ascii="Times New Roman" w:hAnsi="Times New Roman" w:cs="Times New Roman"/>
        </w:rPr>
        <w:t>3299.86</w:t>
      </w:r>
      <w:r>
        <w:rPr>
          <w:rFonts w:ascii="Times New Roman" w:hAnsi="Times New Roman" w:cs="Times New Roman"/>
          <w:u w:val="single"/>
        </w:rPr>
        <w:t xml:space="preserve"> </w:t>
      </w:r>
    </w:p>
    <w:tbl>
      <w:tblPr>
        <w:tblStyle w:val="TableGrid"/>
        <w:tblW w:w="0" w:type="auto"/>
        <w:tblLook w:val="04A0" w:firstRow="1" w:lastRow="0" w:firstColumn="1" w:lastColumn="0" w:noHBand="0" w:noVBand="1"/>
      </w:tblPr>
      <w:tblGrid>
        <w:gridCol w:w="1952"/>
        <w:gridCol w:w="1234"/>
        <w:gridCol w:w="1279"/>
        <w:gridCol w:w="1209"/>
        <w:gridCol w:w="1223"/>
        <w:gridCol w:w="1237"/>
        <w:gridCol w:w="1442"/>
      </w:tblGrid>
      <w:tr w:rsidR="00A16F81" w:rsidRPr="00A17193" w14:paraId="7795B2FC" w14:textId="77777777" w:rsidTr="00125773">
        <w:tc>
          <w:tcPr>
            <w:tcW w:w="1952" w:type="dxa"/>
          </w:tcPr>
          <w:p w14:paraId="4815A5EB"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Requirements</w:t>
            </w:r>
          </w:p>
        </w:tc>
        <w:tc>
          <w:tcPr>
            <w:tcW w:w="1234" w:type="dxa"/>
          </w:tcPr>
          <w:p w14:paraId="018B0284"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Section 604.4</w:t>
            </w:r>
          </w:p>
        </w:tc>
        <w:tc>
          <w:tcPr>
            <w:tcW w:w="1279" w:type="dxa"/>
          </w:tcPr>
          <w:p w14:paraId="4CEC22C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Section</w:t>
            </w:r>
          </w:p>
          <w:p w14:paraId="19FECED7"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604.12</w:t>
            </w:r>
          </w:p>
          <w:p w14:paraId="5F51C2EE" w14:textId="77777777" w:rsidR="004040B7" w:rsidRPr="00A17193" w:rsidRDefault="004040B7" w:rsidP="00125773">
            <w:pPr>
              <w:rPr>
                <w:rFonts w:ascii="Times New Roman" w:hAnsi="Times New Roman" w:cs="Times New Roman"/>
              </w:rPr>
            </w:pPr>
          </w:p>
          <w:p w14:paraId="5EB00079" w14:textId="77777777" w:rsidR="004040B7" w:rsidRPr="00A17193" w:rsidRDefault="004040B7" w:rsidP="00125773">
            <w:pPr>
              <w:rPr>
                <w:rFonts w:ascii="Times New Roman" w:hAnsi="Times New Roman" w:cs="Times New Roman"/>
              </w:rPr>
            </w:pPr>
          </w:p>
        </w:tc>
        <w:tc>
          <w:tcPr>
            <w:tcW w:w="1209" w:type="dxa"/>
          </w:tcPr>
          <w:p w14:paraId="210EFDE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Section</w:t>
            </w:r>
          </w:p>
          <w:p w14:paraId="572F0F29"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604.13</w:t>
            </w:r>
          </w:p>
        </w:tc>
        <w:tc>
          <w:tcPr>
            <w:tcW w:w="1223" w:type="dxa"/>
          </w:tcPr>
          <w:p w14:paraId="436570F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Section</w:t>
            </w:r>
          </w:p>
          <w:p w14:paraId="25AC4C44"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604.14</w:t>
            </w:r>
          </w:p>
        </w:tc>
        <w:tc>
          <w:tcPr>
            <w:tcW w:w="1237" w:type="dxa"/>
          </w:tcPr>
          <w:p w14:paraId="5DF68293"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Section</w:t>
            </w:r>
          </w:p>
          <w:p w14:paraId="54FC323E"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604.15</w:t>
            </w:r>
          </w:p>
        </w:tc>
        <w:tc>
          <w:tcPr>
            <w:tcW w:w="1442" w:type="dxa"/>
          </w:tcPr>
          <w:p w14:paraId="6A20637D" w14:textId="77777777" w:rsidR="004040B7" w:rsidRPr="00A17193" w:rsidRDefault="004040B7" w:rsidP="00125773">
            <w:pPr>
              <w:jc w:val="center"/>
              <w:rPr>
                <w:rFonts w:ascii="Times New Roman" w:hAnsi="Times New Roman" w:cs="Times New Roman"/>
                <w:b/>
              </w:rPr>
            </w:pPr>
            <w:r w:rsidRPr="00A17193">
              <w:rPr>
                <w:rFonts w:ascii="Times New Roman" w:hAnsi="Times New Roman" w:cs="Times New Roman"/>
                <w:b/>
              </w:rPr>
              <w:t>Total</w:t>
            </w:r>
          </w:p>
        </w:tc>
      </w:tr>
      <w:tr w:rsidR="00A16F81" w:rsidRPr="00A17193" w14:paraId="025ECE4F" w14:textId="77777777" w:rsidTr="00125773">
        <w:tc>
          <w:tcPr>
            <w:tcW w:w="1952" w:type="dxa"/>
          </w:tcPr>
          <w:p w14:paraId="4500620F"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Number of Respondents</w:t>
            </w:r>
          </w:p>
        </w:tc>
        <w:tc>
          <w:tcPr>
            <w:tcW w:w="1234" w:type="dxa"/>
          </w:tcPr>
          <w:p w14:paraId="3ABEC4A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955</w:t>
            </w:r>
          </w:p>
        </w:tc>
        <w:tc>
          <w:tcPr>
            <w:tcW w:w="1279" w:type="dxa"/>
          </w:tcPr>
          <w:p w14:paraId="438BD18D"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09" w:type="dxa"/>
          </w:tcPr>
          <w:p w14:paraId="65F2EA9B" w14:textId="77777777" w:rsidR="004040B7" w:rsidRPr="00A17193" w:rsidRDefault="00F03F1C" w:rsidP="00125773">
            <w:pPr>
              <w:rPr>
                <w:rFonts w:ascii="Times New Roman" w:hAnsi="Times New Roman" w:cs="Times New Roman"/>
              </w:rPr>
            </w:pPr>
            <w:r>
              <w:rPr>
                <w:rFonts w:ascii="Times New Roman" w:hAnsi="Times New Roman" w:cs="Times New Roman"/>
              </w:rPr>
              <w:t>227</w:t>
            </w:r>
          </w:p>
        </w:tc>
        <w:tc>
          <w:tcPr>
            <w:tcW w:w="1223" w:type="dxa"/>
          </w:tcPr>
          <w:p w14:paraId="331F3B17"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37" w:type="dxa"/>
          </w:tcPr>
          <w:p w14:paraId="502AA1B8" w14:textId="77777777" w:rsidR="004040B7" w:rsidRPr="00A17193" w:rsidRDefault="00F03F1C" w:rsidP="00125773">
            <w:pPr>
              <w:rPr>
                <w:rFonts w:ascii="Times New Roman" w:hAnsi="Times New Roman" w:cs="Times New Roman"/>
              </w:rPr>
            </w:pPr>
            <w:r>
              <w:rPr>
                <w:rFonts w:ascii="Times New Roman" w:hAnsi="Times New Roman" w:cs="Times New Roman"/>
              </w:rPr>
              <w:t>59</w:t>
            </w:r>
          </w:p>
        </w:tc>
        <w:tc>
          <w:tcPr>
            <w:tcW w:w="1442" w:type="dxa"/>
          </w:tcPr>
          <w:p w14:paraId="0E8AEACF" w14:textId="77777777" w:rsidR="004040B7" w:rsidRPr="00A17193" w:rsidRDefault="00F03F1C" w:rsidP="00125773">
            <w:pPr>
              <w:rPr>
                <w:rFonts w:ascii="Times New Roman" w:hAnsi="Times New Roman" w:cs="Times New Roman"/>
              </w:rPr>
            </w:pPr>
            <w:r>
              <w:rPr>
                <w:rFonts w:ascii="Times New Roman" w:hAnsi="Times New Roman" w:cs="Times New Roman"/>
              </w:rPr>
              <w:t>1,469</w:t>
            </w:r>
          </w:p>
        </w:tc>
      </w:tr>
      <w:tr w:rsidR="00A16F81" w:rsidRPr="00A17193" w14:paraId="6D680931" w14:textId="77777777" w:rsidTr="00125773">
        <w:tc>
          <w:tcPr>
            <w:tcW w:w="1952" w:type="dxa"/>
          </w:tcPr>
          <w:p w14:paraId="0A1D6EA4"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Number of Responses per Respondent</w:t>
            </w:r>
          </w:p>
        </w:tc>
        <w:tc>
          <w:tcPr>
            <w:tcW w:w="1234" w:type="dxa"/>
          </w:tcPr>
          <w:p w14:paraId="262A3710"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79" w:type="dxa"/>
          </w:tcPr>
          <w:p w14:paraId="3C8F3519"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09" w:type="dxa"/>
          </w:tcPr>
          <w:p w14:paraId="5CF4D7EF"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23" w:type="dxa"/>
          </w:tcPr>
          <w:p w14:paraId="380CD7DF"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37" w:type="dxa"/>
          </w:tcPr>
          <w:p w14:paraId="5FC25D00" w14:textId="77777777" w:rsidR="004040B7" w:rsidRPr="00A17193" w:rsidRDefault="004040B7" w:rsidP="00125773">
            <w:pPr>
              <w:rPr>
                <w:rFonts w:ascii="Times New Roman" w:hAnsi="Times New Roman" w:cs="Times New Roman"/>
              </w:rPr>
            </w:pPr>
          </w:p>
        </w:tc>
        <w:tc>
          <w:tcPr>
            <w:tcW w:w="1442" w:type="dxa"/>
          </w:tcPr>
          <w:p w14:paraId="3E76C4C8" w14:textId="77777777" w:rsidR="004040B7" w:rsidRPr="00A17193" w:rsidRDefault="004040B7" w:rsidP="00125773">
            <w:pPr>
              <w:rPr>
                <w:rFonts w:ascii="Times New Roman" w:hAnsi="Times New Roman" w:cs="Times New Roman"/>
              </w:rPr>
            </w:pPr>
          </w:p>
        </w:tc>
      </w:tr>
      <w:tr w:rsidR="00A16F81" w:rsidRPr="00A17193" w14:paraId="0852D354" w14:textId="77777777" w:rsidTr="00125773">
        <w:tc>
          <w:tcPr>
            <w:tcW w:w="1952" w:type="dxa"/>
          </w:tcPr>
          <w:p w14:paraId="4B358327"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Annual</w:t>
            </w:r>
          </w:p>
        </w:tc>
        <w:tc>
          <w:tcPr>
            <w:tcW w:w="1234" w:type="dxa"/>
          </w:tcPr>
          <w:p w14:paraId="5EF54DCD"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955</w:t>
            </w:r>
          </w:p>
        </w:tc>
        <w:tc>
          <w:tcPr>
            <w:tcW w:w="1279" w:type="dxa"/>
          </w:tcPr>
          <w:p w14:paraId="03B69B20"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09" w:type="dxa"/>
          </w:tcPr>
          <w:p w14:paraId="0F69D273" w14:textId="03DCB9D3" w:rsidR="004040B7" w:rsidRPr="00A17193" w:rsidRDefault="00C8509A" w:rsidP="00125773">
            <w:pPr>
              <w:rPr>
                <w:rFonts w:ascii="Times New Roman" w:hAnsi="Times New Roman" w:cs="Times New Roman"/>
              </w:rPr>
            </w:pPr>
            <w:r>
              <w:rPr>
                <w:rFonts w:ascii="Times New Roman" w:hAnsi="Times New Roman" w:cs="Times New Roman"/>
              </w:rPr>
              <w:t>113.5</w:t>
            </w:r>
          </w:p>
        </w:tc>
        <w:tc>
          <w:tcPr>
            <w:tcW w:w="1223" w:type="dxa"/>
          </w:tcPr>
          <w:p w14:paraId="69BB459D"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37" w:type="dxa"/>
          </w:tcPr>
          <w:p w14:paraId="506A8EF2" w14:textId="45D18E2C" w:rsidR="004040B7" w:rsidRPr="00A17193" w:rsidRDefault="00DF4031" w:rsidP="00125773">
            <w:pPr>
              <w:rPr>
                <w:rFonts w:ascii="Times New Roman" w:hAnsi="Times New Roman" w:cs="Times New Roman"/>
              </w:rPr>
            </w:pPr>
            <w:r>
              <w:rPr>
                <w:rFonts w:ascii="Times New Roman" w:hAnsi="Times New Roman" w:cs="Times New Roman"/>
              </w:rPr>
              <w:t xml:space="preserve"> 29.5</w:t>
            </w:r>
          </w:p>
        </w:tc>
        <w:tc>
          <w:tcPr>
            <w:tcW w:w="1442" w:type="dxa"/>
          </w:tcPr>
          <w:p w14:paraId="22FABDDF" w14:textId="13480282" w:rsidR="004040B7" w:rsidRPr="00A17193" w:rsidRDefault="00F03F1C" w:rsidP="00125773">
            <w:pPr>
              <w:rPr>
                <w:rFonts w:ascii="Times New Roman" w:hAnsi="Times New Roman" w:cs="Times New Roman"/>
              </w:rPr>
            </w:pPr>
            <w:r>
              <w:rPr>
                <w:rFonts w:ascii="Times New Roman" w:hAnsi="Times New Roman" w:cs="Times New Roman"/>
              </w:rPr>
              <w:t>1,</w:t>
            </w:r>
            <w:r w:rsidR="00C8509A">
              <w:rPr>
                <w:rFonts w:ascii="Times New Roman" w:hAnsi="Times New Roman" w:cs="Times New Roman"/>
              </w:rPr>
              <w:t>326</w:t>
            </w:r>
            <w:r w:rsidR="00C8509A">
              <w:rPr>
                <w:rStyle w:val="FootnoteReference"/>
                <w:rFonts w:ascii="Times New Roman" w:hAnsi="Times New Roman" w:cs="Times New Roman"/>
              </w:rPr>
              <w:footnoteReference w:id="3"/>
            </w:r>
          </w:p>
        </w:tc>
      </w:tr>
      <w:tr w:rsidR="00A16F81" w:rsidRPr="00A17193" w14:paraId="5835697B" w14:textId="77777777" w:rsidTr="00125773">
        <w:tc>
          <w:tcPr>
            <w:tcW w:w="1952" w:type="dxa"/>
          </w:tcPr>
          <w:p w14:paraId="6C8203A5"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Hours per Respondent</w:t>
            </w:r>
          </w:p>
        </w:tc>
        <w:tc>
          <w:tcPr>
            <w:tcW w:w="1234" w:type="dxa"/>
          </w:tcPr>
          <w:p w14:paraId="52D2D1BE"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.05</w:t>
            </w:r>
          </w:p>
        </w:tc>
        <w:tc>
          <w:tcPr>
            <w:tcW w:w="1279" w:type="dxa"/>
          </w:tcPr>
          <w:p w14:paraId="7CC54926"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1.25</w:t>
            </w:r>
          </w:p>
        </w:tc>
        <w:tc>
          <w:tcPr>
            <w:tcW w:w="1209" w:type="dxa"/>
          </w:tcPr>
          <w:p w14:paraId="379442E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w:t>
            </w:r>
          </w:p>
        </w:tc>
        <w:tc>
          <w:tcPr>
            <w:tcW w:w="1223" w:type="dxa"/>
          </w:tcPr>
          <w:p w14:paraId="4DD824F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w:t>
            </w:r>
          </w:p>
        </w:tc>
        <w:tc>
          <w:tcPr>
            <w:tcW w:w="1237" w:type="dxa"/>
          </w:tcPr>
          <w:p w14:paraId="780FBBC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w:t>
            </w:r>
          </w:p>
        </w:tc>
        <w:tc>
          <w:tcPr>
            <w:tcW w:w="1442" w:type="dxa"/>
          </w:tcPr>
          <w:p w14:paraId="0EA482AA" w14:textId="77777777" w:rsidR="004040B7" w:rsidRPr="00A17193" w:rsidRDefault="004040B7" w:rsidP="00125773">
            <w:pPr>
              <w:rPr>
                <w:rFonts w:ascii="Times New Roman" w:hAnsi="Times New Roman" w:cs="Times New Roman"/>
              </w:rPr>
            </w:pPr>
          </w:p>
        </w:tc>
      </w:tr>
      <w:tr w:rsidR="00A16F81" w:rsidRPr="00A17193" w14:paraId="797A3F17" w14:textId="77777777" w:rsidTr="00125773">
        <w:tc>
          <w:tcPr>
            <w:tcW w:w="1952" w:type="dxa"/>
          </w:tcPr>
          <w:p w14:paraId="141C7698"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Total Hours</w:t>
            </w:r>
          </w:p>
        </w:tc>
        <w:tc>
          <w:tcPr>
            <w:tcW w:w="1234" w:type="dxa"/>
          </w:tcPr>
          <w:p w14:paraId="22FE4FB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47.75</w:t>
            </w:r>
          </w:p>
        </w:tc>
        <w:tc>
          <w:tcPr>
            <w:tcW w:w="1279" w:type="dxa"/>
          </w:tcPr>
          <w:p w14:paraId="114485D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142.5</w:t>
            </w:r>
          </w:p>
        </w:tc>
        <w:tc>
          <w:tcPr>
            <w:tcW w:w="1209" w:type="dxa"/>
          </w:tcPr>
          <w:p w14:paraId="0CCFF7C1" w14:textId="4C94E482" w:rsidR="004040B7" w:rsidRPr="00A17193" w:rsidRDefault="00C8509A" w:rsidP="00125773">
            <w:pPr>
              <w:rPr>
                <w:rFonts w:ascii="Times New Roman" w:hAnsi="Times New Roman" w:cs="Times New Roman"/>
              </w:rPr>
            </w:pPr>
            <w:r>
              <w:rPr>
                <w:rFonts w:ascii="Times New Roman" w:hAnsi="Times New Roman" w:cs="Times New Roman"/>
              </w:rPr>
              <w:t>56.75</w:t>
            </w:r>
          </w:p>
        </w:tc>
        <w:tc>
          <w:tcPr>
            <w:tcW w:w="1223" w:type="dxa"/>
          </w:tcPr>
          <w:p w14:paraId="21606EBF"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57</w:t>
            </w:r>
          </w:p>
        </w:tc>
        <w:tc>
          <w:tcPr>
            <w:tcW w:w="1237" w:type="dxa"/>
          </w:tcPr>
          <w:p w14:paraId="0B8561BE" w14:textId="2E8CDBC3" w:rsidR="004040B7" w:rsidRPr="00A17193" w:rsidRDefault="00DF4031" w:rsidP="00125773">
            <w:pPr>
              <w:rPr>
                <w:rFonts w:ascii="Times New Roman" w:hAnsi="Times New Roman" w:cs="Times New Roman"/>
              </w:rPr>
            </w:pPr>
            <w:r>
              <w:rPr>
                <w:rFonts w:ascii="Times New Roman" w:hAnsi="Times New Roman" w:cs="Times New Roman"/>
              </w:rPr>
              <w:t xml:space="preserve"> 14.75</w:t>
            </w:r>
          </w:p>
        </w:tc>
        <w:tc>
          <w:tcPr>
            <w:tcW w:w="1442" w:type="dxa"/>
          </w:tcPr>
          <w:p w14:paraId="17036D06" w14:textId="6CD798FC" w:rsidR="004040B7" w:rsidRPr="00A17193" w:rsidRDefault="00C8509A" w:rsidP="00125773">
            <w:pPr>
              <w:rPr>
                <w:rFonts w:ascii="Times New Roman" w:hAnsi="Times New Roman" w:cs="Times New Roman"/>
              </w:rPr>
            </w:pPr>
            <w:r>
              <w:rPr>
                <w:rFonts w:ascii="Times New Roman" w:hAnsi="Times New Roman" w:cs="Times New Roman"/>
              </w:rPr>
              <w:t>318.75</w:t>
            </w:r>
          </w:p>
        </w:tc>
      </w:tr>
      <w:tr w:rsidR="00A16F81" w:rsidRPr="00A17193" w14:paraId="23CB90C5" w14:textId="77777777" w:rsidTr="00125773">
        <w:tc>
          <w:tcPr>
            <w:tcW w:w="1952" w:type="dxa"/>
          </w:tcPr>
          <w:p w14:paraId="61D3533C"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Estimated Cost to Respondent per Response</w:t>
            </w:r>
          </w:p>
        </w:tc>
        <w:tc>
          <w:tcPr>
            <w:tcW w:w="1234" w:type="dxa"/>
          </w:tcPr>
          <w:p w14:paraId="032D04A2" w14:textId="2614F0E3"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F14A2E">
              <w:rPr>
                <w:rFonts w:ascii="Times New Roman" w:hAnsi="Times New Roman" w:cs="Times New Roman"/>
              </w:rPr>
              <w:t>72.06</w:t>
            </w:r>
          </w:p>
        </w:tc>
        <w:tc>
          <w:tcPr>
            <w:tcW w:w="1279" w:type="dxa"/>
          </w:tcPr>
          <w:p w14:paraId="71177A8A" w14:textId="0C69F954"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6B4AA1">
              <w:rPr>
                <w:rFonts w:ascii="Times New Roman" w:hAnsi="Times New Roman" w:cs="Times New Roman"/>
              </w:rPr>
              <w:t>36.38</w:t>
            </w:r>
          </w:p>
        </w:tc>
        <w:tc>
          <w:tcPr>
            <w:tcW w:w="1209" w:type="dxa"/>
          </w:tcPr>
          <w:p w14:paraId="2CC4E91C" w14:textId="588EBC38"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2B11AB">
              <w:rPr>
                <w:rFonts w:ascii="Times New Roman" w:hAnsi="Times New Roman" w:cs="Times New Roman"/>
              </w:rPr>
              <w:t>36.38</w:t>
            </w:r>
          </w:p>
        </w:tc>
        <w:tc>
          <w:tcPr>
            <w:tcW w:w="1223" w:type="dxa"/>
          </w:tcPr>
          <w:p w14:paraId="192FB403" w14:textId="76D78CBA"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2B11AB">
              <w:rPr>
                <w:rFonts w:ascii="Times New Roman" w:hAnsi="Times New Roman" w:cs="Times New Roman"/>
              </w:rPr>
              <w:t>36.38</w:t>
            </w:r>
          </w:p>
        </w:tc>
        <w:tc>
          <w:tcPr>
            <w:tcW w:w="1237" w:type="dxa"/>
          </w:tcPr>
          <w:p w14:paraId="56198C96" w14:textId="463EBA59"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A16F81">
              <w:rPr>
                <w:rFonts w:ascii="Times New Roman" w:hAnsi="Times New Roman" w:cs="Times New Roman"/>
              </w:rPr>
              <w:t>36.38</w:t>
            </w:r>
          </w:p>
        </w:tc>
        <w:tc>
          <w:tcPr>
            <w:tcW w:w="1442" w:type="dxa"/>
          </w:tcPr>
          <w:p w14:paraId="2D334ADB" w14:textId="77777777" w:rsidR="004040B7" w:rsidRPr="00A17193" w:rsidRDefault="004040B7" w:rsidP="00125773">
            <w:pPr>
              <w:rPr>
                <w:rFonts w:ascii="Times New Roman" w:hAnsi="Times New Roman" w:cs="Times New Roman"/>
              </w:rPr>
            </w:pPr>
          </w:p>
        </w:tc>
      </w:tr>
      <w:tr w:rsidR="00A16F81" w:rsidRPr="00A17193" w14:paraId="7B27268C" w14:textId="77777777" w:rsidTr="00125773">
        <w:tc>
          <w:tcPr>
            <w:tcW w:w="1952" w:type="dxa"/>
          </w:tcPr>
          <w:p w14:paraId="537DADE8" w14:textId="3621997D" w:rsidR="004040B7" w:rsidRPr="00A17193" w:rsidRDefault="004040B7" w:rsidP="00125773">
            <w:pPr>
              <w:rPr>
                <w:rFonts w:ascii="Times New Roman" w:hAnsi="Times New Roman" w:cs="Times New Roman"/>
                <w:b/>
              </w:rPr>
            </w:pPr>
            <w:r w:rsidRPr="00A17193">
              <w:rPr>
                <w:rFonts w:ascii="Times New Roman" w:hAnsi="Times New Roman" w:cs="Times New Roman"/>
                <w:b/>
              </w:rPr>
              <w:t xml:space="preserve">Estimated Annual Costs </w:t>
            </w:r>
            <w:r w:rsidR="00420084" w:rsidRPr="00A17193">
              <w:rPr>
                <w:rFonts w:ascii="Times New Roman" w:hAnsi="Times New Roman" w:cs="Times New Roman"/>
                <w:b/>
              </w:rPr>
              <w:t>for</w:t>
            </w:r>
            <w:r w:rsidRPr="00A17193">
              <w:rPr>
                <w:rFonts w:ascii="Times New Roman" w:hAnsi="Times New Roman" w:cs="Times New Roman"/>
                <w:b/>
              </w:rPr>
              <w:t xml:space="preserve"> </w:t>
            </w:r>
            <w:r w:rsidR="00420084">
              <w:rPr>
                <w:rFonts w:ascii="Times New Roman" w:hAnsi="Times New Roman" w:cs="Times New Roman"/>
                <w:b/>
              </w:rPr>
              <w:t>a</w:t>
            </w:r>
            <w:r w:rsidRPr="00A17193">
              <w:rPr>
                <w:rFonts w:ascii="Times New Roman" w:hAnsi="Times New Roman" w:cs="Times New Roman"/>
                <w:b/>
              </w:rPr>
              <w:t>ll Respondents</w:t>
            </w:r>
          </w:p>
        </w:tc>
        <w:tc>
          <w:tcPr>
            <w:tcW w:w="1234" w:type="dxa"/>
          </w:tcPr>
          <w:p w14:paraId="17857D0B" w14:textId="6F7FCF0E"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F14A2E">
              <w:rPr>
                <w:rFonts w:ascii="Times New Roman" w:hAnsi="Times New Roman" w:cs="Times New Roman"/>
              </w:rPr>
              <w:t>3440.87</w:t>
            </w:r>
          </w:p>
        </w:tc>
        <w:tc>
          <w:tcPr>
            <w:tcW w:w="1279" w:type="dxa"/>
          </w:tcPr>
          <w:p w14:paraId="771AC7B7" w14:textId="15374D6A"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6B4AA1">
              <w:rPr>
                <w:rFonts w:ascii="Times New Roman" w:hAnsi="Times New Roman" w:cs="Times New Roman"/>
              </w:rPr>
              <w:t>5184.15</w:t>
            </w:r>
          </w:p>
        </w:tc>
        <w:tc>
          <w:tcPr>
            <w:tcW w:w="1209" w:type="dxa"/>
          </w:tcPr>
          <w:p w14:paraId="596CA493" w14:textId="05A1A2C5" w:rsidR="004040B7" w:rsidRPr="00A17193" w:rsidRDefault="002B11AB" w:rsidP="00125773">
            <w:pPr>
              <w:rPr>
                <w:rFonts w:ascii="Times New Roman" w:hAnsi="Times New Roman" w:cs="Times New Roman"/>
              </w:rPr>
            </w:pPr>
            <w:r>
              <w:rPr>
                <w:rFonts w:ascii="Times New Roman" w:hAnsi="Times New Roman" w:cs="Times New Roman"/>
              </w:rPr>
              <w:t>2064.57</w:t>
            </w:r>
          </w:p>
        </w:tc>
        <w:tc>
          <w:tcPr>
            <w:tcW w:w="1223" w:type="dxa"/>
          </w:tcPr>
          <w:p w14:paraId="37F2873A" w14:textId="24EE0914" w:rsidR="004040B7" w:rsidRPr="00A17193" w:rsidRDefault="004040B7" w:rsidP="00125773">
            <w:pPr>
              <w:rPr>
                <w:rFonts w:ascii="Times New Roman" w:hAnsi="Times New Roman" w:cs="Times New Roman"/>
              </w:rPr>
            </w:pPr>
            <w:r w:rsidRPr="00A17193">
              <w:rPr>
                <w:rFonts w:ascii="Times New Roman" w:hAnsi="Times New Roman" w:cs="Times New Roman"/>
              </w:rPr>
              <w:t>$1</w:t>
            </w:r>
            <w:r w:rsidR="002B11AB">
              <w:rPr>
                <w:rFonts w:ascii="Times New Roman" w:hAnsi="Times New Roman" w:cs="Times New Roman"/>
              </w:rPr>
              <w:t>2073.66</w:t>
            </w:r>
          </w:p>
        </w:tc>
        <w:tc>
          <w:tcPr>
            <w:tcW w:w="1237" w:type="dxa"/>
          </w:tcPr>
          <w:p w14:paraId="6E3A7E28" w14:textId="5ADF0FDE"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A16F81">
              <w:rPr>
                <w:rFonts w:ascii="Times New Roman" w:hAnsi="Times New Roman" w:cs="Times New Roman"/>
              </w:rPr>
              <w:t>536.61</w:t>
            </w:r>
          </w:p>
        </w:tc>
        <w:tc>
          <w:tcPr>
            <w:tcW w:w="1442" w:type="dxa"/>
          </w:tcPr>
          <w:p w14:paraId="5506A650" w14:textId="0D1F87DA"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A16F81">
              <w:rPr>
                <w:rFonts w:ascii="Times New Roman" w:hAnsi="Times New Roman" w:cs="Times New Roman"/>
              </w:rPr>
              <w:t>13299.86</w:t>
            </w:r>
          </w:p>
        </w:tc>
      </w:tr>
    </w:tbl>
    <w:p w14:paraId="27FEC0BF" w14:textId="77777777" w:rsidR="004040B7" w:rsidRPr="00A17193" w:rsidRDefault="004040B7" w:rsidP="004040B7">
      <w:pPr>
        <w:rPr>
          <w:rFonts w:ascii="Times New Roman" w:hAnsi="Times New Roman" w:cs="Times New Roman"/>
        </w:rPr>
      </w:pPr>
    </w:p>
    <w:p w14:paraId="73352AD6" w14:textId="1EA35DF8"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FTA estimates the burden to recipient respondents under 49 C.F.R. Section 604.4, which requires that every applicant for Federal financial assistance under Federal Transit Law enters into a Charter Service Agreement, is approximately three </w:t>
      </w:r>
      <w:r w:rsidRPr="00EA6C1A">
        <w:rPr>
          <w:rFonts w:ascii="Times New Roman" w:hAnsi="Times New Roman" w:cs="Times New Roman"/>
        </w:rPr>
        <w:t xml:space="preserve">minutes </w:t>
      </w:r>
      <w:r w:rsidR="003F5AE0" w:rsidRPr="00EA6C1A">
        <w:rPr>
          <w:rFonts w:ascii="Times New Roman" w:hAnsi="Times New Roman" w:cs="Times New Roman"/>
        </w:rPr>
        <w:t xml:space="preserve">for both the respondent and </w:t>
      </w:r>
      <w:r w:rsidR="00C61AD4" w:rsidRPr="00EA6C1A">
        <w:rPr>
          <w:rFonts w:ascii="Times New Roman" w:hAnsi="Times New Roman" w:cs="Times New Roman"/>
        </w:rPr>
        <w:t>its</w:t>
      </w:r>
      <w:r w:rsidR="003F5AE0" w:rsidRPr="00EA6C1A">
        <w:rPr>
          <w:rFonts w:ascii="Times New Roman" w:hAnsi="Times New Roman" w:cs="Times New Roman"/>
        </w:rPr>
        <w:t xml:space="preserve"> attorney</w:t>
      </w:r>
      <w:r w:rsidR="007218E6" w:rsidRPr="00EA6C1A">
        <w:rPr>
          <w:rFonts w:ascii="Times New Roman" w:hAnsi="Times New Roman" w:cs="Times New Roman"/>
        </w:rPr>
        <w:t xml:space="preserve"> to </w:t>
      </w:r>
      <w:r w:rsidR="00420084" w:rsidRPr="00EA6C1A">
        <w:rPr>
          <w:rFonts w:ascii="Times New Roman" w:hAnsi="Times New Roman" w:cs="Times New Roman"/>
        </w:rPr>
        <w:t xml:space="preserve">annually </w:t>
      </w:r>
      <w:r w:rsidR="007218E6" w:rsidRPr="00EA6C1A">
        <w:rPr>
          <w:rFonts w:ascii="Times New Roman" w:hAnsi="Times New Roman" w:cs="Times New Roman"/>
        </w:rPr>
        <w:t>certify compliance with this section.</w:t>
      </w:r>
      <w:r w:rsidRPr="00A17193">
        <w:rPr>
          <w:rFonts w:ascii="Times New Roman" w:hAnsi="Times New Roman" w:cs="Times New Roman"/>
        </w:rPr>
        <w:t xml:space="preserve">  The Charter Service Agreement is contained in the Certifications and Assurances for FTA Assistance Programs (Certifications and Assurances) that becomes a part of the Grant Agreement or Cooperative Agreement for Federal assistance upon the recipient's receipt of Federal funds.  The applicant needs only complete the Certifications and Assurances in order to satisfy 49 C.F.R. Sections 604.4.  FTA estimates that the average salary of the respondent, typically the Chief Executive Officer (CEO), and the CEO's attorney is equivalent to a GS-15 or approximately $</w:t>
      </w:r>
      <w:r w:rsidR="00E0622B">
        <w:rPr>
          <w:rFonts w:ascii="Times New Roman" w:hAnsi="Times New Roman" w:cs="Times New Roman"/>
        </w:rPr>
        <w:t>72.06</w:t>
      </w:r>
      <w:r w:rsidRPr="00A17193">
        <w:rPr>
          <w:rFonts w:ascii="Times New Roman" w:hAnsi="Times New Roman" w:cs="Times New Roman"/>
        </w:rPr>
        <w:t xml:space="preserve"> per hour</w:t>
      </w:r>
      <w:r w:rsidR="00125A07">
        <w:rPr>
          <w:rFonts w:ascii="Times New Roman" w:hAnsi="Times New Roman" w:cs="Times New Roman"/>
        </w:rPr>
        <w:t xml:space="preserve"> </w:t>
      </w:r>
      <w:r w:rsidR="00B17067">
        <w:rPr>
          <w:rFonts w:ascii="Times New Roman" w:hAnsi="Times New Roman" w:cs="Times New Roman"/>
        </w:rPr>
        <w:t>(</w:t>
      </w:r>
      <w:hyperlink r:id="rId11" w:history="1">
        <w:r w:rsidR="00125A0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125A07">
        <w:rPr>
          <w:rFonts w:ascii="Times New Roman" w:hAnsi="Times New Roman" w:cs="Times New Roman"/>
        </w:rPr>
        <w:t>.</w:t>
      </w:r>
      <w:r w:rsidRPr="00A17193">
        <w:rPr>
          <w:rFonts w:ascii="Times New Roman" w:hAnsi="Times New Roman" w:cs="Times New Roman"/>
        </w:rPr>
        <w:t xml:space="preserve"> Thus, the annual cost is estimated as follows: (955 annual respondents x 0.05 hours) x $</w:t>
      </w:r>
      <w:r w:rsidR="00E0622B">
        <w:rPr>
          <w:rFonts w:ascii="Times New Roman" w:hAnsi="Times New Roman" w:cs="Times New Roman"/>
        </w:rPr>
        <w:t>72.06</w:t>
      </w:r>
      <w:r w:rsidRPr="00A17193">
        <w:rPr>
          <w:rFonts w:ascii="Times New Roman" w:hAnsi="Times New Roman" w:cs="Times New Roman"/>
        </w:rPr>
        <w:t xml:space="preserve"> = $</w:t>
      </w:r>
      <w:r w:rsidR="00F14A2E">
        <w:rPr>
          <w:rFonts w:ascii="Times New Roman" w:hAnsi="Times New Roman" w:cs="Times New Roman"/>
        </w:rPr>
        <w:t>3,440.87</w:t>
      </w:r>
      <w:r w:rsidRPr="00A17193">
        <w:rPr>
          <w:rFonts w:ascii="Times New Roman" w:hAnsi="Times New Roman" w:cs="Times New Roman"/>
        </w:rPr>
        <w:t xml:space="preserve"> per year. </w:t>
      </w:r>
    </w:p>
    <w:p w14:paraId="59B95092" w14:textId="7402F248" w:rsidR="004040B7" w:rsidRPr="00A17193" w:rsidRDefault="004040B7" w:rsidP="004040B7">
      <w:pPr>
        <w:rPr>
          <w:rFonts w:ascii="Times New Roman" w:hAnsi="Times New Roman" w:cs="Times New Roman"/>
        </w:rPr>
      </w:pPr>
      <w:r w:rsidRPr="00A17193">
        <w:rPr>
          <w:rFonts w:ascii="Times New Roman" w:hAnsi="Times New Roman" w:cs="Times New Roman"/>
        </w:rPr>
        <w:t>FTA estimates that the burden associated with the reporting requirement in 49 C.F.R. Section 604.12, is approximately 18 minutes per reporting instance.  FTA estimates that the salary of the preparer would be equivalent to a GS-11 or approximately $</w:t>
      </w:r>
      <w:r w:rsidR="006B4AA1">
        <w:rPr>
          <w:rFonts w:ascii="Times New Roman" w:hAnsi="Times New Roman" w:cs="Times New Roman"/>
        </w:rPr>
        <w:t>36.38</w:t>
      </w:r>
      <w:r w:rsidRPr="00A17193">
        <w:rPr>
          <w:rFonts w:ascii="Times New Roman" w:hAnsi="Times New Roman" w:cs="Times New Roman"/>
        </w:rPr>
        <w:t xml:space="preserve"> per hour</w:t>
      </w:r>
      <w:r w:rsidR="00125A07">
        <w:rPr>
          <w:rFonts w:ascii="Times New Roman" w:hAnsi="Times New Roman" w:cs="Times New Roman"/>
        </w:rPr>
        <w:t xml:space="preserve"> </w:t>
      </w:r>
      <w:r w:rsidR="00B17067">
        <w:rPr>
          <w:rFonts w:ascii="Times New Roman" w:hAnsi="Times New Roman" w:cs="Times New Roman"/>
        </w:rPr>
        <w:t>(</w:t>
      </w:r>
      <w:hyperlink r:id="rId12" w:history="1">
        <w:r w:rsidR="00125A0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125A07">
        <w:rPr>
          <w:rFonts w:ascii="Times New Roman" w:hAnsi="Times New Roman" w:cs="Times New Roman"/>
        </w:rPr>
        <w:t>.</w:t>
      </w:r>
      <w:r w:rsidRPr="00A17193">
        <w:rPr>
          <w:rFonts w:ascii="Times New Roman" w:hAnsi="Times New Roman" w:cs="Times New Roman"/>
        </w:rPr>
        <w:t xml:space="preserve">  Between 2010, when FTA last submitted this justification, and 2013, the number of recipients who reported providing charter service has consistently decreased.  FTA has used the </w:t>
      </w:r>
      <w:r w:rsidR="003A6F45">
        <w:rPr>
          <w:rFonts w:ascii="Times New Roman" w:hAnsi="Times New Roman" w:cs="Times New Roman"/>
        </w:rPr>
        <w:t xml:space="preserve">annual </w:t>
      </w:r>
      <w:r w:rsidRPr="00A17193">
        <w:rPr>
          <w:rFonts w:ascii="Times New Roman" w:hAnsi="Times New Roman" w:cs="Times New Roman"/>
        </w:rPr>
        <w:t xml:space="preserve">average number of respondents from this time period as the number of respondents for the calculations for this requirement.  Thus, the annual cost is estimated as follows: (114 annual </w:t>
      </w:r>
      <w:r w:rsidR="00A9473A">
        <w:rPr>
          <w:rFonts w:ascii="Times New Roman" w:hAnsi="Times New Roman" w:cs="Times New Roman"/>
        </w:rPr>
        <w:t>exceptions</w:t>
      </w:r>
      <w:r w:rsidRPr="00A17193">
        <w:rPr>
          <w:rFonts w:ascii="Times New Roman" w:hAnsi="Times New Roman" w:cs="Times New Roman"/>
        </w:rPr>
        <w:t xml:space="preserve"> x 1.25 hours) x $</w:t>
      </w:r>
      <w:r w:rsidR="006B4AA1">
        <w:rPr>
          <w:rFonts w:ascii="Times New Roman" w:hAnsi="Times New Roman" w:cs="Times New Roman"/>
        </w:rPr>
        <w:t>36.38</w:t>
      </w:r>
      <w:r w:rsidRPr="00A17193">
        <w:rPr>
          <w:rFonts w:ascii="Times New Roman" w:hAnsi="Times New Roman" w:cs="Times New Roman"/>
        </w:rPr>
        <w:t xml:space="preserve"> per hour = $</w:t>
      </w:r>
      <w:r w:rsidR="006B4AA1">
        <w:rPr>
          <w:rFonts w:ascii="Times New Roman" w:hAnsi="Times New Roman" w:cs="Times New Roman"/>
        </w:rPr>
        <w:t>5184.15 per year</w:t>
      </w:r>
    </w:p>
    <w:p w14:paraId="1484428C" w14:textId="72D9FAB9"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FTA estimates that the registration requirement in 49 C.F.R. Part 604.13 takes approximately one-half hour (0.5 hours) to fill out the on-line registration form.  Currently, there are </w:t>
      </w:r>
      <w:r w:rsidR="00E826E0">
        <w:rPr>
          <w:rFonts w:ascii="Times New Roman" w:hAnsi="Times New Roman" w:cs="Times New Roman"/>
        </w:rPr>
        <w:t>227</w:t>
      </w:r>
      <w:r w:rsidR="00E826E0" w:rsidRPr="00A17193">
        <w:rPr>
          <w:rFonts w:ascii="Times New Roman" w:hAnsi="Times New Roman" w:cs="Times New Roman"/>
        </w:rPr>
        <w:t xml:space="preserve"> </w:t>
      </w:r>
      <w:r w:rsidRPr="00A17193">
        <w:rPr>
          <w:rFonts w:ascii="Times New Roman" w:hAnsi="Times New Roman" w:cs="Times New Roman"/>
        </w:rPr>
        <w:t>registered charter service providers.  FTA estimates that the salary of the preparer would be equivalent to a GS-11 or approximately $</w:t>
      </w:r>
      <w:r w:rsidR="002B11AB">
        <w:rPr>
          <w:rFonts w:ascii="Times New Roman" w:hAnsi="Times New Roman" w:cs="Times New Roman"/>
        </w:rPr>
        <w:t>36.38</w:t>
      </w:r>
      <w:r w:rsidRPr="00A17193">
        <w:rPr>
          <w:rFonts w:ascii="Times New Roman" w:hAnsi="Times New Roman" w:cs="Times New Roman"/>
        </w:rPr>
        <w:t xml:space="preserve"> per </w:t>
      </w:r>
      <w:r w:rsidR="00B17067" w:rsidRPr="00A17193">
        <w:rPr>
          <w:rFonts w:ascii="Times New Roman" w:hAnsi="Times New Roman" w:cs="Times New Roman"/>
        </w:rPr>
        <w:t>hour</w:t>
      </w:r>
      <w:r w:rsidR="00125A07" w:rsidRPr="00125A07">
        <w:t xml:space="preserve"> </w:t>
      </w:r>
      <w:r w:rsidR="00B17067">
        <w:rPr>
          <w:rFonts w:ascii="Times New Roman" w:hAnsi="Times New Roman" w:cs="Times New Roman"/>
        </w:rPr>
        <w:t>(</w:t>
      </w:r>
      <w:hyperlink r:id="rId13" w:history="1">
        <w:r w:rsidR="00B1706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125A07">
        <w:rPr>
          <w:rFonts w:ascii="Times New Roman" w:hAnsi="Times New Roman" w:cs="Times New Roman"/>
        </w:rPr>
        <w:t>.</w:t>
      </w:r>
      <w:r w:rsidRPr="00A17193">
        <w:rPr>
          <w:rFonts w:ascii="Times New Roman" w:hAnsi="Times New Roman" w:cs="Times New Roman"/>
        </w:rPr>
        <w:t xml:space="preserve"> Thus, the annual cost is estimated as follows: (</w:t>
      </w:r>
      <w:r w:rsidR="00E826E0">
        <w:rPr>
          <w:rFonts w:ascii="Times New Roman" w:hAnsi="Times New Roman" w:cs="Times New Roman"/>
        </w:rPr>
        <w:t>227</w:t>
      </w:r>
      <w:r w:rsidR="00E826E0" w:rsidRPr="00A17193">
        <w:rPr>
          <w:rFonts w:ascii="Times New Roman" w:hAnsi="Times New Roman" w:cs="Times New Roman"/>
        </w:rPr>
        <w:t xml:space="preserve"> </w:t>
      </w:r>
      <w:r w:rsidRPr="00A17193">
        <w:rPr>
          <w:rFonts w:ascii="Times New Roman" w:hAnsi="Times New Roman" w:cs="Times New Roman"/>
        </w:rPr>
        <w:t>respondents</w:t>
      </w:r>
      <w:r w:rsidR="007C3924">
        <w:rPr>
          <w:rFonts w:ascii="Times New Roman" w:hAnsi="Times New Roman" w:cs="Times New Roman"/>
        </w:rPr>
        <w:t xml:space="preserve"> and</w:t>
      </w:r>
      <w:r w:rsidR="00A9473A">
        <w:rPr>
          <w:rFonts w:ascii="Times New Roman" w:hAnsi="Times New Roman" w:cs="Times New Roman"/>
        </w:rPr>
        <w:t xml:space="preserve"> assuming</w:t>
      </w:r>
      <w:r w:rsidR="00ED503D">
        <w:rPr>
          <w:rFonts w:ascii="Times New Roman" w:hAnsi="Times New Roman" w:cs="Times New Roman"/>
        </w:rPr>
        <w:t xml:space="preserve"> </w:t>
      </w:r>
      <w:r w:rsidR="00A9473A">
        <w:rPr>
          <w:rFonts w:ascii="Times New Roman" w:hAnsi="Times New Roman" w:cs="Times New Roman"/>
        </w:rPr>
        <w:t>11</w:t>
      </w:r>
      <w:r w:rsidR="00ED503D">
        <w:rPr>
          <w:rFonts w:ascii="Times New Roman" w:hAnsi="Times New Roman" w:cs="Times New Roman"/>
        </w:rPr>
        <w:t>3.5 report annually</w:t>
      </w:r>
      <w:r w:rsidRPr="00A17193">
        <w:rPr>
          <w:rFonts w:ascii="Times New Roman" w:hAnsi="Times New Roman" w:cs="Times New Roman"/>
        </w:rPr>
        <w:t xml:space="preserve"> x 0.5 hours) x $</w:t>
      </w:r>
      <w:r w:rsidR="002B11AB">
        <w:rPr>
          <w:rFonts w:ascii="Times New Roman" w:hAnsi="Times New Roman" w:cs="Times New Roman"/>
        </w:rPr>
        <w:t>36.38</w:t>
      </w:r>
      <w:r w:rsidRPr="00A17193">
        <w:rPr>
          <w:rFonts w:ascii="Times New Roman" w:hAnsi="Times New Roman" w:cs="Times New Roman"/>
        </w:rPr>
        <w:t xml:space="preserve"> per hour = $</w:t>
      </w:r>
      <w:r w:rsidR="002B11AB">
        <w:rPr>
          <w:rFonts w:ascii="Times New Roman" w:hAnsi="Times New Roman" w:cs="Times New Roman"/>
        </w:rPr>
        <w:t>2064.57</w:t>
      </w:r>
      <w:r w:rsidRPr="00A17193">
        <w:rPr>
          <w:rFonts w:ascii="Times New Roman" w:hAnsi="Times New Roman" w:cs="Times New Roman"/>
        </w:rPr>
        <w:t xml:space="preserve"> per year.   </w:t>
      </w:r>
      <w:r w:rsidR="007C3924">
        <w:rPr>
          <w:rFonts w:ascii="Times New Roman" w:hAnsi="Times New Roman" w:cs="Times New Roman"/>
        </w:rPr>
        <w:t xml:space="preserve"> </w:t>
      </w:r>
      <w:r w:rsidRPr="00A17193">
        <w:rPr>
          <w:rFonts w:ascii="Times New Roman" w:hAnsi="Times New Roman" w:cs="Times New Roman"/>
        </w:rPr>
        <w:t xml:space="preserve">FTA's estimates that the burden associated with the e-mail notification requirement in 49 C.F.R. Section 604.14, is approximately one-half hour which is spent on e-mail notifications to registered charter service providers in the recipient's geographic service area.  This includes searching on FTA's Charter Registration Website for the registered charter service providers in the recipient's geographic service area, and typing and sending the e-mail notification.  FTA estimates that the salary of the </w:t>
      </w:r>
      <w:r w:rsidR="003741E6" w:rsidRPr="00A17193">
        <w:rPr>
          <w:rFonts w:ascii="Times New Roman" w:hAnsi="Times New Roman" w:cs="Times New Roman"/>
        </w:rPr>
        <w:t>staff</w:t>
      </w:r>
      <w:r w:rsidRPr="00A17193">
        <w:rPr>
          <w:rFonts w:ascii="Times New Roman" w:hAnsi="Times New Roman" w:cs="Times New Roman"/>
        </w:rPr>
        <w:t xml:space="preserve"> would be equivalent to a GS-11 or approximately $</w:t>
      </w:r>
      <w:r w:rsidR="002B11AB">
        <w:rPr>
          <w:rFonts w:ascii="Times New Roman" w:hAnsi="Times New Roman" w:cs="Times New Roman"/>
        </w:rPr>
        <w:t>36.38</w:t>
      </w:r>
      <w:r w:rsidRPr="00A17193">
        <w:rPr>
          <w:rFonts w:ascii="Times New Roman" w:hAnsi="Times New Roman" w:cs="Times New Roman"/>
        </w:rPr>
        <w:t xml:space="preserve"> per hour</w:t>
      </w:r>
      <w:r w:rsidR="0000156B">
        <w:rPr>
          <w:rFonts w:ascii="Times New Roman" w:hAnsi="Times New Roman" w:cs="Times New Roman"/>
        </w:rPr>
        <w:t xml:space="preserve"> </w:t>
      </w:r>
      <w:r w:rsidR="00B17067">
        <w:rPr>
          <w:rFonts w:ascii="Times New Roman" w:hAnsi="Times New Roman" w:cs="Times New Roman"/>
        </w:rPr>
        <w:t>(</w:t>
      </w:r>
      <w:hyperlink r:id="rId14" w:history="1">
        <w:r w:rsidR="00B1706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00156B">
        <w:rPr>
          <w:rFonts w:ascii="Times New Roman" w:hAnsi="Times New Roman" w:cs="Times New Roman"/>
        </w:rPr>
        <w:t xml:space="preserve">. </w:t>
      </w:r>
      <w:r w:rsidRPr="00A17193">
        <w:rPr>
          <w:rFonts w:ascii="Times New Roman" w:hAnsi="Times New Roman" w:cs="Times New Roman"/>
        </w:rPr>
        <w:t xml:space="preserve">Recipients are not required to report to FTA the number of charter service requests that they receive under this provision, nor the number of emails that are sent out to charter service providers in their geographic area.  Therefore, FTA has used the number of respondents who have reported providing charter service, explained above, as the number of respondents for the calculation of the burdens of this provision.  Thus, the annual cost is estimated as follows: (114 </w:t>
      </w:r>
      <w:r w:rsidR="0029664E">
        <w:rPr>
          <w:rFonts w:ascii="Times New Roman" w:hAnsi="Times New Roman" w:cs="Times New Roman"/>
        </w:rPr>
        <w:t xml:space="preserve">annual </w:t>
      </w:r>
      <w:r w:rsidR="00A9473A">
        <w:rPr>
          <w:rFonts w:ascii="Times New Roman" w:hAnsi="Times New Roman" w:cs="Times New Roman"/>
        </w:rPr>
        <w:t>notifications</w:t>
      </w:r>
      <w:r w:rsidRPr="00A17193">
        <w:rPr>
          <w:rFonts w:ascii="Times New Roman" w:hAnsi="Times New Roman" w:cs="Times New Roman"/>
        </w:rPr>
        <w:t xml:space="preserve"> x .50 hours) x $</w:t>
      </w:r>
      <w:r w:rsidR="002B11AB">
        <w:rPr>
          <w:rFonts w:ascii="Times New Roman" w:hAnsi="Times New Roman" w:cs="Times New Roman"/>
        </w:rPr>
        <w:t>36.38</w:t>
      </w:r>
      <w:r w:rsidRPr="00A17193">
        <w:rPr>
          <w:rFonts w:ascii="Times New Roman" w:hAnsi="Times New Roman" w:cs="Times New Roman"/>
        </w:rPr>
        <w:t xml:space="preserve"> per hour</w:t>
      </w:r>
      <w:r w:rsidR="003741E6" w:rsidRPr="00A17193">
        <w:rPr>
          <w:rFonts w:ascii="Times New Roman" w:hAnsi="Times New Roman" w:cs="Times New Roman"/>
        </w:rPr>
        <w:t xml:space="preserve"> </w:t>
      </w:r>
      <w:r w:rsidRPr="00A17193">
        <w:rPr>
          <w:rFonts w:ascii="Times New Roman" w:hAnsi="Times New Roman" w:cs="Times New Roman"/>
        </w:rPr>
        <w:t>=</w:t>
      </w:r>
      <w:r w:rsidR="003741E6" w:rsidRPr="00A17193">
        <w:rPr>
          <w:rFonts w:ascii="Times New Roman" w:hAnsi="Times New Roman" w:cs="Times New Roman"/>
        </w:rPr>
        <w:t xml:space="preserve"> </w:t>
      </w:r>
      <w:r w:rsidRPr="00A17193">
        <w:rPr>
          <w:rFonts w:ascii="Times New Roman" w:hAnsi="Times New Roman" w:cs="Times New Roman"/>
        </w:rPr>
        <w:t>$</w:t>
      </w:r>
      <w:r w:rsidR="002B11AB">
        <w:rPr>
          <w:rFonts w:ascii="Times New Roman" w:hAnsi="Times New Roman" w:cs="Times New Roman"/>
        </w:rPr>
        <w:t xml:space="preserve"> 2073.66</w:t>
      </w:r>
      <w:r w:rsidR="00ED503D">
        <w:rPr>
          <w:rFonts w:ascii="Times New Roman" w:hAnsi="Times New Roman" w:cs="Times New Roman"/>
        </w:rPr>
        <w:t xml:space="preserve"> </w:t>
      </w:r>
      <w:r w:rsidRPr="00A17193">
        <w:rPr>
          <w:rFonts w:ascii="Times New Roman" w:hAnsi="Times New Roman" w:cs="Times New Roman"/>
        </w:rPr>
        <w:t>per year.</w:t>
      </w:r>
    </w:p>
    <w:p w14:paraId="30F9A9FC" w14:textId="2F7485B7" w:rsidR="004040B7" w:rsidRDefault="004040B7" w:rsidP="004040B7">
      <w:pPr>
        <w:rPr>
          <w:rFonts w:ascii="Times New Roman" w:hAnsi="Times New Roman" w:cs="Times New Roman"/>
        </w:rPr>
      </w:pPr>
      <w:r w:rsidRPr="00A17193">
        <w:rPr>
          <w:rFonts w:ascii="Times New Roman" w:hAnsi="Times New Roman" w:cs="Times New Roman"/>
        </w:rPr>
        <w:t xml:space="preserve">FTA estimates that the registration requirement for certain QHSOs in 49 C.F.R. Section 604.15 imposes a one half-hour (0.5 hour) burden per QHSO.  Currently, there are approximately </w:t>
      </w:r>
      <w:r w:rsidR="00E826E0">
        <w:rPr>
          <w:rFonts w:ascii="Times New Roman" w:hAnsi="Times New Roman" w:cs="Times New Roman"/>
        </w:rPr>
        <w:t>59</w:t>
      </w:r>
      <w:r w:rsidR="00E826E0" w:rsidRPr="00A17193">
        <w:rPr>
          <w:rFonts w:ascii="Times New Roman" w:hAnsi="Times New Roman" w:cs="Times New Roman"/>
        </w:rPr>
        <w:t xml:space="preserve"> </w:t>
      </w:r>
      <w:r w:rsidRPr="00A17193">
        <w:rPr>
          <w:rFonts w:ascii="Times New Roman" w:hAnsi="Times New Roman" w:cs="Times New Roman"/>
        </w:rPr>
        <w:t>QHSOs registered on FTA's Charter Registration.  Using the same wage rates as above, the total annual cost to QHSO respondents is: (</w:t>
      </w:r>
      <w:r w:rsidR="00E826E0">
        <w:rPr>
          <w:rFonts w:ascii="Times New Roman" w:hAnsi="Times New Roman" w:cs="Times New Roman"/>
        </w:rPr>
        <w:t>59</w:t>
      </w:r>
      <w:r w:rsidR="00E826E0" w:rsidRPr="00A17193">
        <w:rPr>
          <w:rFonts w:ascii="Times New Roman" w:hAnsi="Times New Roman" w:cs="Times New Roman"/>
        </w:rPr>
        <w:t xml:space="preserve"> </w:t>
      </w:r>
      <w:r w:rsidR="0029664E" w:rsidRPr="0029664E">
        <w:rPr>
          <w:rFonts w:ascii="Times New Roman" w:hAnsi="Times New Roman" w:cs="Times New Roman"/>
        </w:rPr>
        <w:t xml:space="preserve">respondents and assuming </w:t>
      </w:r>
      <w:r w:rsidR="0029664E">
        <w:rPr>
          <w:rFonts w:ascii="Times New Roman" w:hAnsi="Times New Roman" w:cs="Times New Roman"/>
        </w:rPr>
        <w:t>29</w:t>
      </w:r>
      <w:r w:rsidR="0029664E" w:rsidRPr="0029664E">
        <w:rPr>
          <w:rFonts w:ascii="Times New Roman" w:hAnsi="Times New Roman" w:cs="Times New Roman"/>
        </w:rPr>
        <w:t>.5 report annually</w:t>
      </w:r>
      <w:r w:rsidRPr="00A17193">
        <w:rPr>
          <w:rFonts w:ascii="Times New Roman" w:hAnsi="Times New Roman" w:cs="Times New Roman"/>
        </w:rPr>
        <w:t xml:space="preserve"> x 0.5 hours) x $</w:t>
      </w:r>
      <w:r w:rsidR="002B11AB">
        <w:rPr>
          <w:rFonts w:ascii="Times New Roman" w:hAnsi="Times New Roman" w:cs="Times New Roman"/>
        </w:rPr>
        <w:t>36.38</w:t>
      </w:r>
      <w:r w:rsidRPr="00A17193">
        <w:rPr>
          <w:rFonts w:ascii="Times New Roman" w:hAnsi="Times New Roman" w:cs="Times New Roman"/>
        </w:rPr>
        <w:t xml:space="preserve"> per hour = $</w:t>
      </w:r>
      <w:r w:rsidR="00A16F81">
        <w:rPr>
          <w:rFonts w:ascii="Times New Roman" w:hAnsi="Times New Roman" w:cs="Times New Roman"/>
        </w:rPr>
        <w:t>536.61</w:t>
      </w:r>
      <w:r w:rsidR="0029664E">
        <w:rPr>
          <w:rFonts w:ascii="Times New Roman" w:hAnsi="Times New Roman" w:cs="Times New Roman"/>
        </w:rPr>
        <w:t xml:space="preserve"> </w:t>
      </w:r>
      <w:r w:rsidRPr="00A17193">
        <w:rPr>
          <w:rFonts w:ascii="Times New Roman" w:hAnsi="Times New Roman" w:cs="Times New Roman"/>
        </w:rPr>
        <w:t>per year.</w:t>
      </w:r>
    </w:p>
    <w:p w14:paraId="5B584FFE"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Estimate of the total annual cost burden to respondents or record-keepers resulting from the collection of information (not including the cost of any hour burden shown in items 12 and 14)</w:t>
      </w:r>
    </w:p>
    <w:p w14:paraId="660199D0" w14:textId="77777777" w:rsidR="004040B7" w:rsidRDefault="004040B7" w:rsidP="004040B7">
      <w:pPr>
        <w:rPr>
          <w:rFonts w:ascii="Times New Roman" w:hAnsi="Times New Roman" w:cs="Times New Roman"/>
        </w:rPr>
      </w:pPr>
      <w:r w:rsidRPr="00A17193">
        <w:rPr>
          <w:rFonts w:ascii="Times New Roman" w:hAnsi="Times New Roman" w:cs="Times New Roman"/>
        </w:rPr>
        <w:t xml:space="preserve">Although recipient respondents are required to maintain the notices and records for a minimum of three years from the date of the service or lease of FTA-funded equipment and/or drivers under 49 C.F.R. Section 604.12(a), FTA expects the cost burden to be minimal because the notices and records must only be maintained </w:t>
      </w:r>
      <w:r w:rsidRPr="00A17193">
        <w:rPr>
          <w:rFonts w:ascii="Times New Roman" w:hAnsi="Times New Roman" w:cs="Times New Roman"/>
          <w:u w:val="single"/>
        </w:rPr>
        <w:t>electronically</w:t>
      </w:r>
      <w:r w:rsidRPr="00A17193">
        <w:rPr>
          <w:rFonts w:ascii="Times New Roman" w:hAnsi="Times New Roman" w:cs="Times New Roman"/>
        </w:rPr>
        <w:t>.</w:t>
      </w:r>
    </w:p>
    <w:p w14:paraId="6676B8E5" w14:textId="77777777" w:rsidR="004040B7" w:rsidRPr="001647F5" w:rsidRDefault="004040B7" w:rsidP="001647F5">
      <w:pPr>
        <w:pStyle w:val="ListParagraph"/>
        <w:numPr>
          <w:ilvl w:val="0"/>
          <w:numId w:val="1"/>
        </w:numPr>
        <w:spacing w:after="0"/>
        <w:ind w:left="360"/>
        <w:rPr>
          <w:rFonts w:ascii="Times New Roman" w:hAnsi="Times New Roman" w:cs="Times New Roman"/>
          <w:u w:val="single"/>
        </w:rPr>
      </w:pPr>
      <w:r w:rsidRPr="001647F5">
        <w:rPr>
          <w:rFonts w:ascii="Times New Roman" w:hAnsi="Times New Roman" w:cs="Times New Roman"/>
          <w:u w:val="single"/>
        </w:rPr>
        <w:t>Estimate of annualized cost to the Federal government</w:t>
      </w:r>
    </w:p>
    <w:p w14:paraId="73A01E74" w14:textId="77777777" w:rsidR="004040B7" w:rsidRPr="00A17193" w:rsidRDefault="004040B7" w:rsidP="004040B7">
      <w:pPr>
        <w:pStyle w:val="ListParagraph"/>
        <w:spacing w:after="0"/>
        <w:ind w:left="1080"/>
        <w:rPr>
          <w:rFonts w:ascii="Times New Roman" w:hAnsi="Times New Roman" w:cs="Times New Roman"/>
          <w:u w:val="single"/>
        </w:rPr>
      </w:pPr>
    </w:p>
    <w:tbl>
      <w:tblPr>
        <w:tblStyle w:val="TableGrid"/>
        <w:tblW w:w="0" w:type="auto"/>
        <w:tblLook w:val="04A0" w:firstRow="1" w:lastRow="0" w:firstColumn="1" w:lastColumn="0" w:noHBand="0" w:noVBand="1"/>
      </w:tblPr>
      <w:tblGrid>
        <w:gridCol w:w="1951"/>
        <w:gridCol w:w="1249"/>
        <w:gridCol w:w="1273"/>
        <w:gridCol w:w="1209"/>
        <w:gridCol w:w="1206"/>
        <w:gridCol w:w="1259"/>
        <w:gridCol w:w="1429"/>
      </w:tblGrid>
      <w:tr w:rsidR="00EF3CD3" w:rsidRPr="00A17193" w14:paraId="18A2E596" w14:textId="77777777" w:rsidTr="00125773">
        <w:trPr>
          <w:cantSplit/>
        </w:trPr>
        <w:tc>
          <w:tcPr>
            <w:tcW w:w="1951" w:type="dxa"/>
          </w:tcPr>
          <w:p w14:paraId="60BD2C3E"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Requirements</w:t>
            </w:r>
          </w:p>
        </w:tc>
        <w:tc>
          <w:tcPr>
            <w:tcW w:w="1249" w:type="dxa"/>
          </w:tcPr>
          <w:p w14:paraId="54573A23"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604.4</w:t>
            </w:r>
          </w:p>
        </w:tc>
        <w:tc>
          <w:tcPr>
            <w:tcW w:w="1273" w:type="dxa"/>
          </w:tcPr>
          <w:p w14:paraId="315E34F8"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604.12</w:t>
            </w:r>
          </w:p>
          <w:p w14:paraId="0622E949" w14:textId="77777777" w:rsidR="004040B7" w:rsidRPr="00A17193" w:rsidRDefault="004040B7" w:rsidP="00125773">
            <w:pPr>
              <w:rPr>
                <w:rFonts w:ascii="Times New Roman" w:hAnsi="Times New Roman" w:cs="Times New Roman"/>
              </w:rPr>
            </w:pPr>
          </w:p>
        </w:tc>
        <w:tc>
          <w:tcPr>
            <w:tcW w:w="1209" w:type="dxa"/>
          </w:tcPr>
          <w:p w14:paraId="045C4B2C"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604.13</w:t>
            </w:r>
          </w:p>
        </w:tc>
        <w:tc>
          <w:tcPr>
            <w:tcW w:w="1206" w:type="dxa"/>
          </w:tcPr>
          <w:p w14:paraId="63BC8C8E"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604.14</w:t>
            </w:r>
          </w:p>
        </w:tc>
        <w:tc>
          <w:tcPr>
            <w:tcW w:w="1259" w:type="dxa"/>
          </w:tcPr>
          <w:p w14:paraId="53691EEB"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604.15</w:t>
            </w:r>
          </w:p>
        </w:tc>
        <w:tc>
          <w:tcPr>
            <w:tcW w:w="1429" w:type="dxa"/>
          </w:tcPr>
          <w:p w14:paraId="02D3F677" w14:textId="77777777" w:rsidR="004040B7" w:rsidRPr="00A17193" w:rsidRDefault="004040B7" w:rsidP="00125773">
            <w:pPr>
              <w:jc w:val="center"/>
              <w:rPr>
                <w:rFonts w:ascii="Times New Roman" w:hAnsi="Times New Roman" w:cs="Times New Roman"/>
                <w:b/>
              </w:rPr>
            </w:pPr>
            <w:r w:rsidRPr="00A17193">
              <w:rPr>
                <w:rFonts w:ascii="Times New Roman" w:hAnsi="Times New Roman" w:cs="Times New Roman"/>
                <w:b/>
              </w:rPr>
              <w:t>Total</w:t>
            </w:r>
          </w:p>
        </w:tc>
      </w:tr>
      <w:tr w:rsidR="00EF3CD3" w:rsidRPr="00A17193" w14:paraId="2B848CB5" w14:textId="77777777" w:rsidTr="00125773">
        <w:trPr>
          <w:cantSplit/>
        </w:trPr>
        <w:tc>
          <w:tcPr>
            <w:tcW w:w="1951" w:type="dxa"/>
          </w:tcPr>
          <w:p w14:paraId="3C4E615E"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Number of Respondents</w:t>
            </w:r>
          </w:p>
        </w:tc>
        <w:tc>
          <w:tcPr>
            <w:tcW w:w="1249" w:type="dxa"/>
          </w:tcPr>
          <w:p w14:paraId="25FA34A2"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955</w:t>
            </w:r>
          </w:p>
        </w:tc>
        <w:tc>
          <w:tcPr>
            <w:tcW w:w="1273" w:type="dxa"/>
          </w:tcPr>
          <w:p w14:paraId="0AC1EA6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09" w:type="dxa"/>
          </w:tcPr>
          <w:p w14:paraId="4C49D95E" w14:textId="77777777" w:rsidR="004040B7" w:rsidRPr="00A17193" w:rsidRDefault="00B47392" w:rsidP="00125773">
            <w:pPr>
              <w:rPr>
                <w:rFonts w:ascii="Times New Roman" w:hAnsi="Times New Roman" w:cs="Times New Roman"/>
              </w:rPr>
            </w:pPr>
            <w:r>
              <w:rPr>
                <w:rFonts w:ascii="Times New Roman" w:hAnsi="Times New Roman" w:cs="Times New Roman"/>
              </w:rPr>
              <w:t>227</w:t>
            </w:r>
          </w:p>
        </w:tc>
        <w:tc>
          <w:tcPr>
            <w:tcW w:w="1206" w:type="dxa"/>
          </w:tcPr>
          <w:p w14:paraId="4824B939"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114</w:t>
            </w:r>
          </w:p>
        </w:tc>
        <w:tc>
          <w:tcPr>
            <w:tcW w:w="1259" w:type="dxa"/>
          </w:tcPr>
          <w:p w14:paraId="43E2A3E3" w14:textId="77777777" w:rsidR="004040B7" w:rsidRPr="00A17193" w:rsidRDefault="00B47392" w:rsidP="00125773">
            <w:pPr>
              <w:rPr>
                <w:rFonts w:ascii="Times New Roman" w:hAnsi="Times New Roman" w:cs="Times New Roman"/>
              </w:rPr>
            </w:pPr>
            <w:r w:rsidRPr="00A17193">
              <w:rPr>
                <w:rFonts w:ascii="Times New Roman" w:hAnsi="Times New Roman" w:cs="Times New Roman"/>
              </w:rPr>
              <w:t>5</w:t>
            </w:r>
            <w:r>
              <w:rPr>
                <w:rFonts w:ascii="Times New Roman" w:hAnsi="Times New Roman" w:cs="Times New Roman"/>
              </w:rPr>
              <w:t>9</w:t>
            </w:r>
          </w:p>
        </w:tc>
        <w:tc>
          <w:tcPr>
            <w:tcW w:w="1429" w:type="dxa"/>
          </w:tcPr>
          <w:p w14:paraId="68B60FAF"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r w:rsidR="000B21D4" w:rsidRPr="00A17193">
              <w:rPr>
                <w:rFonts w:ascii="Times New Roman" w:hAnsi="Times New Roman" w:cs="Times New Roman"/>
              </w:rPr>
              <w:t>3</w:t>
            </w:r>
            <w:r w:rsidR="000B21D4">
              <w:rPr>
                <w:rFonts w:ascii="Times New Roman" w:hAnsi="Times New Roman" w:cs="Times New Roman"/>
              </w:rPr>
              <w:t>76</w:t>
            </w:r>
          </w:p>
        </w:tc>
      </w:tr>
      <w:tr w:rsidR="00EF3CD3" w:rsidRPr="00A17193" w14:paraId="2D222F92" w14:textId="77777777" w:rsidTr="00125773">
        <w:trPr>
          <w:cantSplit/>
        </w:trPr>
        <w:tc>
          <w:tcPr>
            <w:tcW w:w="1951" w:type="dxa"/>
          </w:tcPr>
          <w:p w14:paraId="1716D752"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Number of Responses per Respondent</w:t>
            </w:r>
          </w:p>
        </w:tc>
        <w:tc>
          <w:tcPr>
            <w:tcW w:w="1249" w:type="dxa"/>
          </w:tcPr>
          <w:p w14:paraId="624F16EA"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73" w:type="dxa"/>
          </w:tcPr>
          <w:p w14:paraId="0F2EFCB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09" w:type="dxa"/>
          </w:tcPr>
          <w:p w14:paraId="18A15C3C" w14:textId="246E95B5"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06" w:type="dxa"/>
          </w:tcPr>
          <w:p w14:paraId="015C3148"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259" w:type="dxa"/>
          </w:tcPr>
          <w:p w14:paraId="48DB5592"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1</w:t>
            </w:r>
          </w:p>
        </w:tc>
        <w:tc>
          <w:tcPr>
            <w:tcW w:w="1429" w:type="dxa"/>
          </w:tcPr>
          <w:p w14:paraId="216EA7A5" w14:textId="77777777" w:rsidR="004040B7" w:rsidRPr="00A17193" w:rsidRDefault="004040B7" w:rsidP="00125773">
            <w:pPr>
              <w:rPr>
                <w:rFonts w:ascii="Times New Roman" w:hAnsi="Times New Roman" w:cs="Times New Roman"/>
              </w:rPr>
            </w:pPr>
          </w:p>
        </w:tc>
      </w:tr>
      <w:tr w:rsidR="00EF3CD3" w:rsidRPr="00A17193" w14:paraId="5DB13123" w14:textId="77777777" w:rsidTr="00125773">
        <w:trPr>
          <w:cantSplit/>
        </w:trPr>
        <w:tc>
          <w:tcPr>
            <w:tcW w:w="1951" w:type="dxa"/>
          </w:tcPr>
          <w:p w14:paraId="1387CA96"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Annual</w:t>
            </w:r>
          </w:p>
        </w:tc>
        <w:tc>
          <w:tcPr>
            <w:tcW w:w="1249" w:type="dxa"/>
          </w:tcPr>
          <w:p w14:paraId="5B738819"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955</w:t>
            </w:r>
          </w:p>
        </w:tc>
        <w:tc>
          <w:tcPr>
            <w:tcW w:w="1273" w:type="dxa"/>
          </w:tcPr>
          <w:p w14:paraId="7A391C57" w14:textId="77777777" w:rsidR="004040B7" w:rsidRPr="00A17193" w:rsidRDefault="004040B7" w:rsidP="00125773">
            <w:pPr>
              <w:rPr>
                <w:rFonts w:ascii="Times New Roman" w:hAnsi="Times New Roman" w:cs="Times New Roman"/>
              </w:rPr>
            </w:pPr>
          </w:p>
        </w:tc>
        <w:tc>
          <w:tcPr>
            <w:tcW w:w="1209" w:type="dxa"/>
          </w:tcPr>
          <w:p w14:paraId="7C014012" w14:textId="41720098" w:rsidR="004040B7" w:rsidRPr="00A17193" w:rsidRDefault="004431EA" w:rsidP="00125773">
            <w:pPr>
              <w:rPr>
                <w:rFonts w:ascii="Times New Roman" w:hAnsi="Times New Roman" w:cs="Times New Roman"/>
              </w:rPr>
            </w:pPr>
            <w:r>
              <w:rPr>
                <w:rFonts w:ascii="Times New Roman" w:hAnsi="Times New Roman" w:cs="Times New Roman"/>
              </w:rPr>
              <w:t>113.5</w:t>
            </w:r>
            <w:r w:rsidR="009B41CA">
              <w:rPr>
                <w:rStyle w:val="FootnoteReference"/>
                <w:rFonts w:ascii="Times New Roman" w:hAnsi="Times New Roman" w:cs="Times New Roman"/>
              </w:rPr>
              <w:footnoteReference w:id="4"/>
            </w:r>
          </w:p>
        </w:tc>
        <w:tc>
          <w:tcPr>
            <w:tcW w:w="1206" w:type="dxa"/>
          </w:tcPr>
          <w:p w14:paraId="5703E627" w14:textId="77777777" w:rsidR="004040B7" w:rsidRPr="00A17193" w:rsidRDefault="004040B7" w:rsidP="00125773">
            <w:pPr>
              <w:rPr>
                <w:rFonts w:ascii="Times New Roman" w:hAnsi="Times New Roman" w:cs="Times New Roman"/>
              </w:rPr>
            </w:pPr>
          </w:p>
        </w:tc>
        <w:tc>
          <w:tcPr>
            <w:tcW w:w="1259" w:type="dxa"/>
          </w:tcPr>
          <w:p w14:paraId="4BA14A7F" w14:textId="4D8D97C4" w:rsidR="004040B7" w:rsidRPr="00A17193" w:rsidRDefault="006B482D" w:rsidP="00125773">
            <w:pPr>
              <w:rPr>
                <w:rFonts w:ascii="Times New Roman" w:hAnsi="Times New Roman" w:cs="Times New Roman"/>
              </w:rPr>
            </w:pPr>
            <w:r>
              <w:rPr>
                <w:rFonts w:ascii="Times New Roman" w:hAnsi="Times New Roman" w:cs="Times New Roman"/>
              </w:rPr>
              <w:t>29.5</w:t>
            </w:r>
            <w:r w:rsidR="009B41CA">
              <w:rPr>
                <w:rStyle w:val="FootnoteReference"/>
                <w:rFonts w:ascii="Times New Roman" w:hAnsi="Times New Roman" w:cs="Times New Roman"/>
              </w:rPr>
              <w:footnoteReference w:id="5"/>
            </w:r>
          </w:p>
        </w:tc>
        <w:tc>
          <w:tcPr>
            <w:tcW w:w="1429" w:type="dxa"/>
          </w:tcPr>
          <w:p w14:paraId="05B3CC4C" w14:textId="77777777" w:rsidR="004040B7" w:rsidRPr="00A17193" w:rsidRDefault="004040B7" w:rsidP="00125773">
            <w:pPr>
              <w:rPr>
                <w:rFonts w:ascii="Times New Roman" w:hAnsi="Times New Roman" w:cs="Times New Roman"/>
              </w:rPr>
            </w:pPr>
          </w:p>
        </w:tc>
      </w:tr>
      <w:tr w:rsidR="00EF3CD3" w:rsidRPr="00A17193" w14:paraId="1933616D" w14:textId="77777777" w:rsidTr="00125773">
        <w:trPr>
          <w:cantSplit/>
        </w:trPr>
        <w:tc>
          <w:tcPr>
            <w:tcW w:w="1951" w:type="dxa"/>
          </w:tcPr>
          <w:p w14:paraId="71B6E806"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FTA Review Hours Respondent</w:t>
            </w:r>
          </w:p>
        </w:tc>
        <w:tc>
          <w:tcPr>
            <w:tcW w:w="1249" w:type="dxa"/>
          </w:tcPr>
          <w:p w14:paraId="10F025FE"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.01</w:t>
            </w:r>
          </w:p>
        </w:tc>
        <w:tc>
          <w:tcPr>
            <w:tcW w:w="1273" w:type="dxa"/>
          </w:tcPr>
          <w:p w14:paraId="67EE45D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09" w:type="dxa"/>
          </w:tcPr>
          <w:p w14:paraId="3AF9DDF0"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.50</w:t>
            </w:r>
          </w:p>
        </w:tc>
        <w:tc>
          <w:tcPr>
            <w:tcW w:w="1206" w:type="dxa"/>
          </w:tcPr>
          <w:p w14:paraId="1EC406B3"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59" w:type="dxa"/>
          </w:tcPr>
          <w:p w14:paraId="6141B194"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.50</w:t>
            </w:r>
          </w:p>
        </w:tc>
        <w:tc>
          <w:tcPr>
            <w:tcW w:w="1429" w:type="dxa"/>
          </w:tcPr>
          <w:p w14:paraId="30466F95" w14:textId="77777777" w:rsidR="004040B7" w:rsidRPr="00A17193" w:rsidRDefault="004040B7" w:rsidP="00125773">
            <w:pPr>
              <w:rPr>
                <w:rFonts w:ascii="Times New Roman" w:hAnsi="Times New Roman" w:cs="Times New Roman"/>
              </w:rPr>
            </w:pPr>
          </w:p>
        </w:tc>
      </w:tr>
      <w:tr w:rsidR="00EF3CD3" w:rsidRPr="00A17193" w14:paraId="09B23783" w14:textId="77777777" w:rsidTr="00125773">
        <w:trPr>
          <w:cantSplit/>
        </w:trPr>
        <w:tc>
          <w:tcPr>
            <w:tcW w:w="1951" w:type="dxa"/>
          </w:tcPr>
          <w:p w14:paraId="632D5236"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Total Hours</w:t>
            </w:r>
          </w:p>
        </w:tc>
        <w:tc>
          <w:tcPr>
            <w:tcW w:w="1249" w:type="dxa"/>
          </w:tcPr>
          <w:p w14:paraId="5CB7C39F"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9.55</w:t>
            </w:r>
          </w:p>
        </w:tc>
        <w:tc>
          <w:tcPr>
            <w:tcW w:w="1273" w:type="dxa"/>
          </w:tcPr>
          <w:p w14:paraId="10D89B15"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09" w:type="dxa"/>
          </w:tcPr>
          <w:p w14:paraId="60C232D1" w14:textId="4C041E28" w:rsidR="004040B7" w:rsidRPr="00A17193" w:rsidRDefault="006B482D" w:rsidP="00125773">
            <w:pPr>
              <w:rPr>
                <w:rFonts w:ascii="Times New Roman" w:hAnsi="Times New Roman" w:cs="Times New Roman"/>
              </w:rPr>
            </w:pPr>
            <w:r>
              <w:rPr>
                <w:rFonts w:ascii="Times New Roman" w:hAnsi="Times New Roman" w:cs="Times New Roman"/>
              </w:rPr>
              <w:t>56.75</w:t>
            </w:r>
          </w:p>
        </w:tc>
        <w:tc>
          <w:tcPr>
            <w:tcW w:w="1206" w:type="dxa"/>
          </w:tcPr>
          <w:p w14:paraId="152472FD"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59" w:type="dxa"/>
          </w:tcPr>
          <w:p w14:paraId="325C1F70" w14:textId="48398330" w:rsidR="004040B7" w:rsidRPr="00A17193" w:rsidRDefault="00EF3CD3" w:rsidP="00125773">
            <w:pPr>
              <w:rPr>
                <w:rFonts w:ascii="Times New Roman" w:hAnsi="Times New Roman" w:cs="Times New Roman"/>
              </w:rPr>
            </w:pPr>
            <w:r>
              <w:rPr>
                <w:rFonts w:ascii="Times New Roman" w:hAnsi="Times New Roman" w:cs="Times New Roman"/>
              </w:rPr>
              <w:t>14.75</w:t>
            </w:r>
          </w:p>
        </w:tc>
        <w:tc>
          <w:tcPr>
            <w:tcW w:w="1429" w:type="dxa"/>
          </w:tcPr>
          <w:p w14:paraId="132EE920" w14:textId="616AAB7E" w:rsidR="004040B7" w:rsidRPr="00A17193" w:rsidRDefault="006B482D" w:rsidP="00125773">
            <w:pPr>
              <w:rPr>
                <w:rFonts w:ascii="Times New Roman" w:hAnsi="Times New Roman" w:cs="Times New Roman"/>
              </w:rPr>
            </w:pPr>
            <w:r>
              <w:rPr>
                <w:rFonts w:ascii="Times New Roman" w:hAnsi="Times New Roman" w:cs="Times New Roman"/>
              </w:rPr>
              <w:t>81.05</w:t>
            </w:r>
          </w:p>
        </w:tc>
      </w:tr>
      <w:tr w:rsidR="00EF3CD3" w:rsidRPr="00A17193" w14:paraId="61E8241B" w14:textId="77777777" w:rsidTr="00125773">
        <w:trPr>
          <w:cantSplit/>
        </w:trPr>
        <w:tc>
          <w:tcPr>
            <w:tcW w:w="1951" w:type="dxa"/>
          </w:tcPr>
          <w:p w14:paraId="150849A0"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Estimated Cost to FTA per Review of Response</w:t>
            </w:r>
          </w:p>
        </w:tc>
        <w:tc>
          <w:tcPr>
            <w:tcW w:w="1249" w:type="dxa"/>
          </w:tcPr>
          <w:p w14:paraId="79FD38F7" w14:textId="5441DF8F" w:rsidR="004040B7" w:rsidRPr="00A17193" w:rsidRDefault="004040B7" w:rsidP="00125773">
            <w:pPr>
              <w:rPr>
                <w:rFonts w:ascii="Times New Roman" w:hAnsi="Times New Roman" w:cs="Times New Roman"/>
              </w:rPr>
            </w:pPr>
            <w:r w:rsidRPr="00A17193">
              <w:rPr>
                <w:rFonts w:ascii="Times New Roman" w:hAnsi="Times New Roman" w:cs="Times New Roman"/>
              </w:rPr>
              <w:t>$49.4</w:t>
            </w:r>
            <w:r w:rsidR="004524F4">
              <w:rPr>
                <w:rFonts w:ascii="Times New Roman" w:hAnsi="Times New Roman" w:cs="Times New Roman"/>
              </w:rPr>
              <w:t>9</w:t>
            </w:r>
          </w:p>
        </w:tc>
        <w:tc>
          <w:tcPr>
            <w:tcW w:w="1273" w:type="dxa"/>
          </w:tcPr>
          <w:p w14:paraId="027F64A1"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09" w:type="dxa"/>
          </w:tcPr>
          <w:p w14:paraId="6C442291" w14:textId="7E2A422B"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1C79E9">
              <w:rPr>
                <w:rFonts w:ascii="Times New Roman" w:hAnsi="Times New Roman" w:cs="Times New Roman"/>
              </w:rPr>
              <w:t>36.38</w:t>
            </w:r>
          </w:p>
        </w:tc>
        <w:tc>
          <w:tcPr>
            <w:tcW w:w="1206" w:type="dxa"/>
          </w:tcPr>
          <w:p w14:paraId="0CEF09B8"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59" w:type="dxa"/>
          </w:tcPr>
          <w:p w14:paraId="495497C2" w14:textId="363967EE"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4524F4">
              <w:rPr>
                <w:rFonts w:ascii="Times New Roman" w:hAnsi="Times New Roman" w:cs="Times New Roman"/>
              </w:rPr>
              <w:t>36.38</w:t>
            </w:r>
          </w:p>
        </w:tc>
        <w:tc>
          <w:tcPr>
            <w:tcW w:w="1429" w:type="dxa"/>
          </w:tcPr>
          <w:p w14:paraId="4D4EC4FE" w14:textId="77777777" w:rsidR="004040B7" w:rsidRPr="00A17193" w:rsidRDefault="004040B7" w:rsidP="00125773">
            <w:pPr>
              <w:rPr>
                <w:rFonts w:ascii="Times New Roman" w:hAnsi="Times New Roman" w:cs="Times New Roman"/>
              </w:rPr>
            </w:pPr>
          </w:p>
        </w:tc>
      </w:tr>
      <w:tr w:rsidR="00EF3CD3" w:rsidRPr="00A17193" w14:paraId="728DDC5B" w14:textId="77777777" w:rsidTr="00125773">
        <w:trPr>
          <w:cantSplit/>
        </w:trPr>
        <w:tc>
          <w:tcPr>
            <w:tcW w:w="1951" w:type="dxa"/>
          </w:tcPr>
          <w:p w14:paraId="21BE05DD" w14:textId="77777777" w:rsidR="004040B7" w:rsidRPr="00A17193" w:rsidRDefault="004040B7" w:rsidP="00125773">
            <w:pPr>
              <w:rPr>
                <w:rFonts w:ascii="Times New Roman" w:hAnsi="Times New Roman" w:cs="Times New Roman"/>
                <w:b/>
              </w:rPr>
            </w:pPr>
            <w:r w:rsidRPr="00A17193">
              <w:rPr>
                <w:rFonts w:ascii="Times New Roman" w:hAnsi="Times New Roman" w:cs="Times New Roman"/>
                <w:b/>
              </w:rPr>
              <w:t>Estimated Annual Costs to FTA For All Respondents</w:t>
            </w:r>
          </w:p>
        </w:tc>
        <w:tc>
          <w:tcPr>
            <w:tcW w:w="1249" w:type="dxa"/>
          </w:tcPr>
          <w:p w14:paraId="11F3B1E6" w14:textId="5354D620"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4524F4">
              <w:rPr>
                <w:rFonts w:ascii="Times New Roman" w:hAnsi="Times New Roman" w:cs="Times New Roman"/>
              </w:rPr>
              <w:t>472.63</w:t>
            </w:r>
          </w:p>
        </w:tc>
        <w:tc>
          <w:tcPr>
            <w:tcW w:w="1273" w:type="dxa"/>
          </w:tcPr>
          <w:p w14:paraId="4CFC8A63"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09" w:type="dxa"/>
          </w:tcPr>
          <w:p w14:paraId="0F55DCE6" w14:textId="78A75A18"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1C79E9">
              <w:rPr>
                <w:rFonts w:ascii="Times New Roman" w:hAnsi="Times New Roman" w:cs="Times New Roman"/>
              </w:rPr>
              <w:t>2064.57</w:t>
            </w:r>
          </w:p>
        </w:tc>
        <w:tc>
          <w:tcPr>
            <w:tcW w:w="1206" w:type="dxa"/>
          </w:tcPr>
          <w:p w14:paraId="6C080A5D" w14:textId="77777777" w:rsidR="004040B7" w:rsidRPr="00A17193" w:rsidRDefault="004040B7" w:rsidP="00125773">
            <w:pPr>
              <w:rPr>
                <w:rFonts w:ascii="Times New Roman" w:hAnsi="Times New Roman" w:cs="Times New Roman"/>
              </w:rPr>
            </w:pPr>
            <w:r w:rsidRPr="00A17193">
              <w:rPr>
                <w:rFonts w:ascii="Times New Roman" w:hAnsi="Times New Roman" w:cs="Times New Roman"/>
              </w:rPr>
              <w:t>N/A</w:t>
            </w:r>
          </w:p>
        </w:tc>
        <w:tc>
          <w:tcPr>
            <w:tcW w:w="1259" w:type="dxa"/>
          </w:tcPr>
          <w:p w14:paraId="0B829570" w14:textId="5617CC0C"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EF3CD3">
              <w:rPr>
                <w:rFonts w:ascii="Times New Roman" w:hAnsi="Times New Roman" w:cs="Times New Roman"/>
              </w:rPr>
              <w:t>536.61</w:t>
            </w:r>
          </w:p>
        </w:tc>
        <w:tc>
          <w:tcPr>
            <w:tcW w:w="1429" w:type="dxa"/>
          </w:tcPr>
          <w:p w14:paraId="2BABA2B6" w14:textId="69FBDB72" w:rsidR="004040B7" w:rsidRPr="00A17193" w:rsidRDefault="004040B7" w:rsidP="00125773">
            <w:pPr>
              <w:rPr>
                <w:rFonts w:ascii="Times New Roman" w:hAnsi="Times New Roman" w:cs="Times New Roman"/>
              </w:rPr>
            </w:pPr>
            <w:r w:rsidRPr="00A17193">
              <w:rPr>
                <w:rFonts w:ascii="Times New Roman" w:hAnsi="Times New Roman" w:cs="Times New Roman"/>
              </w:rPr>
              <w:t>$</w:t>
            </w:r>
            <w:r w:rsidR="00811498">
              <w:rPr>
                <w:rFonts w:ascii="Times New Roman" w:hAnsi="Times New Roman" w:cs="Times New Roman"/>
              </w:rPr>
              <w:t>30</w:t>
            </w:r>
            <w:r w:rsidR="00EF3CD3">
              <w:rPr>
                <w:rFonts w:ascii="Times New Roman" w:hAnsi="Times New Roman" w:cs="Times New Roman"/>
              </w:rPr>
              <w:t>73.11</w:t>
            </w:r>
          </w:p>
        </w:tc>
      </w:tr>
    </w:tbl>
    <w:p w14:paraId="474B90C2" w14:textId="77777777" w:rsidR="004040B7" w:rsidRPr="00A17193" w:rsidRDefault="004040B7" w:rsidP="004040B7">
      <w:pPr>
        <w:rPr>
          <w:rFonts w:ascii="Times New Roman" w:hAnsi="Times New Roman" w:cs="Times New Roman"/>
        </w:rPr>
      </w:pPr>
    </w:p>
    <w:p w14:paraId="38FD4C80" w14:textId="47BDBEA8"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The estimated annual cost to the Federal government of processing the Charter Service Agreement requirement under 49 C.F.R. Section 604.4 is $471.77.  FTA employees review the Certifications and Assurances that contain the Charter Service Agreement to ensure that the recipient has complied with 49 C.F.R. Section 604.4.  FTA estimates that the review takes approximately two minutes per FTA employee.  The review process involves three different FTA employees with average grades of </w:t>
      </w:r>
      <w:r w:rsidR="00A16F81">
        <w:rPr>
          <w:rFonts w:ascii="Times New Roman" w:hAnsi="Times New Roman" w:cs="Times New Roman"/>
        </w:rPr>
        <w:t xml:space="preserve">two </w:t>
      </w:r>
      <w:r w:rsidRPr="00A17193">
        <w:rPr>
          <w:rFonts w:ascii="Times New Roman" w:hAnsi="Times New Roman" w:cs="Times New Roman"/>
        </w:rPr>
        <w:t>GS-12</w:t>
      </w:r>
      <w:r w:rsidR="00A16F81">
        <w:rPr>
          <w:rFonts w:ascii="Times New Roman" w:hAnsi="Times New Roman" w:cs="Times New Roman"/>
        </w:rPr>
        <w:t>s</w:t>
      </w:r>
      <w:r w:rsidRPr="00A17193">
        <w:rPr>
          <w:rFonts w:ascii="Times New Roman" w:hAnsi="Times New Roman" w:cs="Times New Roman"/>
        </w:rPr>
        <w:t xml:space="preserve">, </w:t>
      </w:r>
      <w:r w:rsidR="00A16F81">
        <w:rPr>
          <w:rFonts w:ascii="Times New Roman" w:hAnsi="Times New Roman" w:cs="Times New Roman"/>
        </w:rPr>
        <w:t xml:space="preserve">and a </w:t>
      </w:r>
      <w:r w:rsidRPr="00A17193">
        <w:rPr>
          <w:rFonts w:ascii="Times New Roman" w:hAnsi="Times New Roman" w:cs="Times New Roman"/>
        </w:rPr>
        <w:t>GS-14, with corresponding hourly wage rates of $</w:t>
      </w:r>
      <w:r w:rsidR="001C79E9">
        <w:rPr>
          <w:rFonts w:ascii="Times New Roman" w:hAnsi="Times New Roman" w:cs="Times New Roman"/>
        </w:rPr>
        <w:t>43.60</w:t>
      </w:r>
      <w:r w:rsidR="00CE281C">
        <w:rPr>
          <w:rFonts w:ascii="Times New Roman" w:hAnsi="Times New Roman" w:cs="Times New Roman"/>
        </w:rPr>
        <w:t xml:space="preserve"> (GS-12’s)</w:t>
      </w:r>
      <w:r w:rsidRPr="00A17193">
        <w:rPr>
          <w:rFonts w:ascii="Times New Roman" w:hAnsi="Times New Roman" w:cs="Times New Roman"/>
        </w:rPr>
        <w:t>, $</w:t>
      </w:r>
      <w:r w:rsidR="00CE281C">
        <w:rPr>
          <w:rFonts w:ascii="Times New Roman" w:hAnsi="Times New Roman" w:cs="Times New Roman"/>
        </w:rPr>
        <w:t xml:space="preserve">61.26 (GS-14); with </w:t>
      </w:r>
      <w:r w:rsidRPr="00A17193">
        <w:rPr>
          <w:rFonts w:ascii="Times New Roman" w:hAnsi="Times New Roman" w:cs="Times New Roman"/>
        </w:rPr>
        <w:t xml:space="preserve"> $49.</w:t>
      </w:r>
      <w:r w:rsidR="001C79E9">
        <w:rPr>
          <w:rFonts w:ascii="Times New Roman" w:hAnsi="Times New Roman" w:cs="Times New Roman"/>
        </w:rPr>
        <w:t>49</w:t>
      </w:r>
      <w:r w:rsidRPr="00A17193">
        <w:rPr>
          <w:rFonts w:ascii="Times New Roman" w:hAnsi="Times New Roman" w:cs="Times New Roman"/>
        </w:rPr>
        <w:t xml:space="preserve"> being the average of the three rates</w:t>
      </w:r>
      <w:r w:rsidR="0000156B">
        <w:rPr>
          <w:rFonts w:ascii="Times New Roman" w:hAnsi="Times New Roman" w:cs="Times New Roman"/>
        </w:rPr>
        <w:t xml:space="preserve"> </w:t>
      </w:r>
      <w:r w:rsidR="00B17067">
        <w:rPr>
          <w:rFonts w:ascii="Times New Roman" w:hAnsi="Times New Roman" w:cs="Times New Roman"/>
        </w:rPr>
        <w:t>(</w:t>
      </w:r>
      <w:hyperlink r:id="rId15" w:history="1">
        <w:r w:rsidR="00B1706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00156B">
        <w:rPr>
          <w:rFonts w:ascii="Times New Roman" w:hAnsi="Times New Roman" w:cs="Times New Roman"/>
        </w:rPr>
        <w:t>.</w:t>
      </w:r>
      <w:r w:rsidRPr="00A17193">
        <w:rPr>
          <w:rFonts w:ascii="Times New Roman" w:hAnsi="Times New Roman" w:cs="Times New Roman"/>
        </w:rPr>
        <w:t xml:space="preserve"> Therefore, the estimated annual cost is: (955 submissions x 0.01 hours per submission) x $49.4</w:t>
      </w:r>
      <w:r w:rsidR="001C79E9">
        <w:rPr>
          <w:rFonts w:ascii="Times New Roman" w:hAnsi="Times New Roman" w:cs="Times New Roman"/>
        </w:rPr>
        <w:t>9</w:t>
      </w:r>
      <w:r w:rsidRPr="00A17193">
        <w:rPr>
          <w:rFonts w:ascii="Times New Roman" w:hAnsi="Times New Roman" w:cs="Times New Roman"/>
        </w:rPr>
        <w:t xml:space="preserve"> = $47</w:t>
      </w:r>
      <w:r w:rsidR="001C79E9">
        <w:rPr>
          <w:rFonts w:ascii="Times New Roman" w:hAnsi="Times New Roman" w:cs="Times New Roman"/>
        </w:rPr>
        <w:t>2.63</w:t>
      </w:r>
      <w:r w:rsidRPr="00A17193">
        <w:rPr>
          <w:rFonts w:ascii="Times New Roman" w:hAnsi="Times New Roman" w:cs="Times New Roman"/>
        </w:rPr>
        <w:t>.</w:t>
      </w:r>
    </w:p>
    <w:p w14:paraId="686CA529" w14:textId="458A968F" w:rsidR="004040B7" w:rsidRPr="00DC75D0" w:rsidRDefault="004040B7" w:rsidP="004040B7">
      <w:r w:rsidRPr="00A17193">
        <w:rPr>
          <w:rFonts w:ascii="Times New Roman" w:hAnsi="Times New Roman" w:cs="Times New Roman"/>
        </w:rPr>
        <w:t>The estimated annual cost to the Federal government of processing private charter provider registrations under the registration requirement in 49 C.F.R. Section 604.13 is approximately $</w:t>
      </w:r>
      <w:r w:rsidR="001C79E9">
        <w:rPr>
          <w:rFonts w:ascii="Times New Roman" w:hAnsi="Times New Roman" w:cs="Times New Roman"/>
        </w:rPr>
        <w:t>2064.57</w:t>
      </w:r>
      <w:r w:rsidRPr="00A17193">
        <w:rPr>
          <w:rFonts w:ascii="Times New Roman" w:hAnsi="Times New Roman" w:cs="Times New Roman"/>
        </w:rPr>
        <w:t>.  The FTA employee reviews, communicates with the private charter provider as needed, and approves or disapproves the registration.  The estimated processing time is about one half-hour (0.50 hours) per registration.  The average grade for the FTA employee reviewing the registration is GS-11</w:t>
      </w:r>
      <w:r w:rsidR="00860044">
        <w:rPr>
          <w:rFonts w:ascii="Times New Roman" w:hAnsi="Times New Roman" w:cs="Times New Roman"/>
        </w:rPr>
        <w:t xml:space="preserve"> </w:t>
      </w:r>
      <w:r w:rsidR="00B17067">
        <w:rPr>
          <w:rFonts w:ascii="Times New Roman" w:hAnsi="Times New Roman" w:cs="Times New Roman"/>
        </w:rPr>
        <w:t>(</w:t>
      </w:r>
      <w:hyperlink r:id="rId16" w:history="1">
        <w:r w:rsidR="00B1706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860044">
        <w:t>.</w:t>
      </w:r>
      <w:r w:rsidRPr="00A17193">
        <w:rPr>
          <w:rFonts w:ascii="Times New Roman" w:hAnsi="Times New Roman" w:cs="Times New Roman"/>
        </w:rPr>
        <w:t xml:space="preserve">  Thus, the estimated annual cost is: (</w:t>
      </w:r>
      <w:r w:rsidR="009B41CA">
        <w:rPr>
          <w:rFonts w:ascii="Times New Roman" w:hAnsi="Times New Roman" w:cs="Times New Roman"/>
        </w:rPr>
        <w:t>113.5</w:t>
      </w:r>
      <w:r w:rsidR="00B47392" w:rsidRPr="00A17193">
        <w:rPr>
          <w:rFonts w:ascii="Times New Roman" w:hAnsi="Times New Roman" w:cs="Times New Roman"/>
        </w:rPr>
        <w:t xml:space="preserve"> </w:t>
      </w:r>
      <w:r w:rsidRPr="00A17193">
        <w:rPr>
          <w:rFonts w:ascii="Times New Roman" w:hAnsi="Times New Roman" w:cs="Times New Roman"/>
        </w:rPr>
        <w:t>registrations x 0.50 hours) x $</w:t>
      </w:r>
      <w:r w:rsidR="001C79E9">
        <w:rPr>
          <w:rFonts w:ascii="Times New Roman" w:hAnsi="Times New Roman" w:cs="Times New Roman"/>
        </w:rPr>
        <w:t>36.38</w:t>
      </w:r>
      <w:r w:rsidRPr="00A17193">
        <w:rPr>
          <w:rFonts w:ascii="Times New Roman" w:hAnsi="Times New Roman" w:cs="Times New Roman"/>
        </w:rPr>
        <w:t xml:space="preserve"> = $</w:t>
      </w:r>
      <w:r w:rsidR="004524F4">
        <w:rPr>
          <w:rFonts w:ascii="Times New Roman" w:hAnsi="Times New Roman" w:cs="Times New Roman"/>
        </w:rPr>
        <w:t>2064.57</w:t>
      </w:r>
      <w:r w:rsidRPr="00A17193">
        <w:rPr>
          <w:rFonts w:ascii="Times New Roman" w:hAnsi="Times New Roman" w:cs="Times New Roman"/>
        </w:rPr>
        <w:t>.</w:t>
      </w:r>
    </w:p>
    <w:p w14:paraId="2B090DDB" w14:textId="35923398" w:rsidR="004040B7" w:rsidRPr="00DC75D0" w:rsidRDefault="004040B7" w:rsidP="004040B7">
      <w:r w:rsidRPr="00A17193">
        <w:rPr>
          <w:rFonts w:ascii="Times New Roman" w:hAnsi="Times New Roman" w:cs="Times New Roman"/>
        </w:rPr>
        <w:t xml:space="preserve">The estimated annual cost to the </w:t>
      </w:r>
      <w:r w:rsidR="003741E6" w:rsidRPr="00A17193">
        <w:rPr>
          <w:rFonts w:ascii="Times New Roman" w:hAnsi="Times New Roman" w:cs="Times New Roman"/>
        </w:rPr>
        <w:t>F</w:t>
      </w:r>
      <w:r w:rsidRPr="00A17193">
        <w:rPr>
          <w:rFonts w:ascii="Times New Roman" w:hAnsi="Times New Roman" w:cs="Times New Roman"/>
        </w:rPr>
        <w:t>ederal government of processing QHSO registrations under the registration requirement in 49 C.F.R. Section 604.15 is approximately $</w:t>
      </w:r>
      <w:r w:rsidR="004524F4">
        <w:rPr>
          <w:rFonts w:ascii="Times New Roman" w:hAnsi="Times New Roman" w:cs="Times New Roman"/>
        </w:rPr>
        <w:t>1073.21</w:t>
      </w:r>
      <w:r w:rsidRPr="00A17193">
        <w:rPr>
          <w:rFonts w:ascii="Times New Roman" w:hAnsi="Times New Roman" w:cs="Times New Roman"/>
        </w:rPr>
        <w:t xml:space="preserve">.  The FTA employee reviews, communicates with the QHSO as needed, and approves or disapproves the registration.  The estimated processing time is about one </w:t>
      </w:r>
      <w:r w:rsidR="00EF3CD3">
        <w:rPr>
          <w:rFonts w:ascii="Times New Roman" w:hAnsi="Times New Roman" w:cs="Times New Roman"/>
        </w:rPr>
        <w:t>half-</w:t>
      </w:r>
      <w:r w:rsidRPr="00A17193">
        <w:rPr>
          <w:rFonts w:ascii="Times New Roman" w:hAnsi="Times New Roman" w:cs="Times New Roman"/>
        </w:rPr>
        <w:t>hour per registration.  The average grade for the FTA employee reviewing the registration is GS-11</w:t>
      </w:r>
      <w:r w:rsidR="00860044">
        <w:rPr>
          <w:rFonts w:ascii="Times New Roman" w:hAnsi="Times New Roman" w:cs="Times New Roman"/>
        </w:rPr>
        <w:t xml:space="preserve"> </w:t>
      </w:r>
      <w:r w:rsidR="00B17067">
        <w:rPr>
          <w:rFonts w:ascii="Times New Roman" w:hAnsi="Times New Roman" w:cs="Times New Roman"/>
        </w:rPr>
        <w:t>(</w:t>
      </w:r>
      <w:hyperlink r:id="rId17" w:history="1">
        <w:r w:rsidR="00B17067" w:rsidRPr="00587A85">
          <w:rPr>
            <w:rStyle w:val="Hyperlink"/>
            <w:rFonts w:ascii="Times New Roman" w:hAnsi="Times New Roman" w:cs="Times New Roman"/>
          </w:rPr>
          <w:t>https://www.opm.gov/policy-data-oversight/pay-leave/salaries-wages/salary-tables/pdf/2017/GS_h.pdf</w:t>
        </w:r>
      </w:hyperlink>
      <w:r w:rsidR="00B17067" w:rsidRPr="00B17067">
        <w:rPr>
          <w:rStyle w:val="Hyperlink"/>
          <w:rFonts w:ascii="Times New Roman" w:hAnsi="Times New Roman" w:cs="Times New Roman"/>
          <w:u w:val="none"/>
        </w:rPr>
        <w:t>)</w:t>
      </w:r>
      <w:r w:rsidR="00860044">
        <w:t xml:space="preserve">. </w:t>
      </w:r>
      <w:r w:rsidR="00B17067">
        <w:t xml:space="preserve"> </w:t>
      </w:r>
      <w:r w:rsidRPr="00A17193">
        <w:rPr>
          <w:rFonts w:ascii="Times New Roman" w:hAnsi="Times New Roman" w:cs="Times New Roman"/>
        </w:rPr>
        <w:t>Thus, the estimated annual cost is: (</w:t>
      </w:r>
      <w:r w:rsidR="00811498">
        <w:rPr>
          <w:rFonts w:ascii="Times New Roman" w:hAnsi="Times New Roman" w:cs="Times New Roman"/>
        </w:rPr>
        <w:t>29.5</w:t>
      </w:r>
      <w:r w:rsidR="00B47392" w:rsidRPr="00A17193">
        <w:rPr>
          <w:rFonts w:ascii="Times New Roman" w:hAnsi="Times New Roman" w:cs="Times New Roman"/>
        </w:rPr>
        <w:t xml:space="preserve"> </w:t>
      </w:r>
      <w:r w:rsidRPr="00A17193">
        <w:rPr>
          <w:rFonts w:ascii="Times New Roman" w:hAnsi="Times New Roman" w:cs="Times New Roman"/>
        </w:rPr>
        <w:t xml:space="preserve">registrations x </w:t>
      </w:r>
      <w:r w:rsidR="00EF3CD3">
        <w:rPr>
          <w:rFonts w:ascii="Times New Roman" w:hAnsi="Times New Roman" w:cs="Times New Roman"/>
        </w:rPr>
        <w:t>.50</w:t>
      </w:r>
      <w:r w:rsidRPr="00A17193">
        <w:rPr>
          <w:rFonts w:ascii="Times New Roman" w:hAnsi="Times New Roman" w:cs="Times New Roman"/>
        </w:rPr>
        <w:t xml:space="preserve"> hour) x $</w:t>
      </w:r>
      <w:r w:rsidR="004524F4">
        <w:rPr>
          <w:rFonts w:ascii="Times New Roman" w:hAnsi="Times New Roman" w:cs="Times New Roman"/>
        </w:rPr>
        <w:t>36.38</w:t>
      </w:r>
      <w:r w:rsidRPr="00A17193">
        <w:rPr>
          <w:rFonts w:ascii="Times New Roman" w:hAnsi="Times New Roman" w:cs="Times New Roman"/>
        </w:rPr>
        <w:t xml:space="preserve"> = $</w:t>
      </w:r>
      <w:r w:rsidR="00EF3CD3">
        <w:rPr>
          <w:rFonts w:ascii="Times New Roman" w:hAnsi="Times New Roman" w:cs="Times New Roman"/>
        </w:rPr>
        <w:t>536.61</w:t>
      </w:r>
      <w:r w:rsidRPr="00A17193">
        <w:rPr>
          <w:rFonts w:ascii="Times New Roman" w:hAnsi="Times New Roman" w:cs="Times New Roman"/>
        </w:rPr>
        <w:t xml:space="preserve">. </w:t>
      </w:r>
    </w:p>
    <w:p w14:paraId="15655CFC" w14:textId="773AD936" w:rsidR="004040B7" w:rsidRPr="00A17193" w:rsidRDefault="004040B7" w:rsidP="004040B7">
      <w:pPr>
        <w:rPr>
          <w:rFonts w:ascii="Times New Roman" w:hAnsi="Times New Roman" w:cs="Times New Roman"/>
        </w:rPr>
      </w:pPr>
      <w:r w:rsidRPr="00A17193">
        <w:rPr>
          <w:rFonts w:ascii="Times New Roman" w:hAnsi="Times New Roman" w:cs="Times New Roman"/>
        </w:rPr>
        <w:t xml:space="preserve">Thus, the total cost to the federal government is: </w:t>
      </w:r>
      <w:r w:rsidR="00EF3CD3">
        <w:rPr>
          <w:rFonts w:ascii="Times New Roman" w:hAnsi="Times New Roman" w:cs="Times New Roman"/>
        </w:rPr>
        <w:t>472.6</w:t>
      </w:r>
      <w:r w:rsidRPr="00A17193">
        <w:rPr>
          <w:rFonts w:ascii="Times New Roman" w:hAnsi="Times New Roman" w:cs="Times New Roman"/>
        </w:rPr>
        <w:t xml:space="preserve"> (cost of processing the Charter Service Agreement requirements) + </w:t>
      </w:r>
      <w:r w:rsidR="00EF3CD3">
        <w:rPr>
          <w:rFonts w:ascii="Times New Roman" w:hAnsi="Times New Roman" w:cs="Times New Roman"/>
        </w:rPr>
        <w:t>2064.57</w:t>
      </w:r>
      <w:r w:rsidRPr="00A17193">
        <w:rPr>
          <w:rFonts w:ascii="Times New Roman" w:hAnsi="Times New Roman" w:cs="Times New Roman"/>
        </w:rPr>
        <w:t>(cost of processing private charter provider registrations + $</w:t>
      </w:r>
      <w:r w:rsidR="00EF3CD3">
        <w:rPr>
          <w:rFonts w:ascii="Times New Roman" w:hAnsi="Times New Roman" w:cs="Times New Roman"/>
        </w:rPr>
        <w:t>536.61</w:t>
      </w:r>
      <w:r w:rsidR="00B17067">
        <w:rPr>
          <w:rFonts w:ascii="Times New Roman" w:hAnsi="Times New Roman" w:cs="Times New Roman"/>
        </w:rPr>
        <w:t xml:space="preserve"> </w:t>
      </w:r>
      <w:r w:rsidRPr="00A17193">
        <w:rPr>
          <w:rFonts w:ascii="Times New Roman" w:hAnsi="Times New Roman" w:cs="Times New Roman"/>
        </w:rPr>
        <w:t>(cost of processing QHSO registrations) = $</w:t>
      </w:r>
      <w:r w:rsidR="00811498">
        <w:rPr>
          <w:rFonts w:ascii="Times New Roman" w:hAnsi="Times New Roman" w:cs="Times New Roman"/>
        </w:rPr>
        <w:t>30</w:t>
      </w:r>
      <w:r w:rsidR="00EF3CD3">
        <w:rPr>
          <w:rFonts w:ascii="Times New Roman" w:hAnsi="Times New Roman" w:cs="Times New Roman"/>
        </w:rPr>
        <w:t>73.11</w:t>
      </w:r>
    </w:p>
    <w:p w14:paraId="6CACDB87"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the reasons for any program changes or adjustments reported in Items 13 or 14 of the OMB Form 83-I</w:t>
      </w:r>
    </w:p>
    <w:p w14:paraId="3E6EBBC9" w14:textId="12B5BC03" w:rsidR="006A38E8" w:rsidRDefault="004040B7" w:rsidP="006A38E8">
      <w:pPr>
        <w:rPr>
          <w:rFonts w:ascii="Times New Roman" w:hAnsi="Times New Roman" w:cs="Times New Roman"/>
        </w:rPr>
      </w:pPr>
      <w:r w:rsidRPr="00A17193">
        <w:rPr>
          <w:rFonts w:ascii="Times New Roman" w:hAnsi="Times New Roman" w:cs="Times New Roman"/>
        </w:rPr>
        <w:t xml:space="preserve">The current estimated </w:t>
      </w:r>
      <w:r w:rsidR="006A38E8">
        <w:rPr>
          <w:rFonts w:ascii="Times New Roman" w:hAnsi="Times New Roman" w:cs="Times New Roman"/>
        </w:rPr>
        <w:t xml:space="preserve">total </w:t>
      </w:r>
      <w:r w:rsidRPr="00A17193">
        <w:rPr>
          <w:rFonts w:ascii="Times New Roman" w:hAnsi="Times New Roman" w:cs="Times New Roman"/>
        </w:rPr>
        <w:t xml:space="preserve">number of annual respondents is </w:t>
      </w:r>
      <w:r w:rsidR="0029664E">
        <w:rPr>
          <w:rFonts w:ascii="Times New Roman" w:hAnsi="Times New Roman" w:cs="Times New Roman"/>
        </w:rPr>
        <w:t>1,376</w:t>
      </w:r>
      <w:r w:rsidRPr="00A17193">
        <w:rPr>
          <w:rFonts w:ascii="Times New Roman" w:hAnsi="Times New Roman" w:cs="Times New Roman"/>
        </w:rPr>
        <w:t xml:space="preserve">, </w:t>
      </w:r>
      <w:r w:rsidR="0029664E">
        <w:rPr>
          <w:rFonts w:ascii="Times New Roman" w:hAnsi="Times New Roman" w:cs="Times New Roman"/>
        </w:rPr>
        <w:t xml:space="preserve">which is a decrease from the respondents reported in 2013.  This adjustment is because </w:t>
      </w:r>
      <w:r w:rsidR="00866BB3">
        <w:rPr>
          <w:rFonts w:ascii="Times New Roman" w:hAnsi="Times New Roman" w:cs="Times New Roman"/>
        </w:rPr>
        <w:t xml:space="preserve">respondents for sections 604.13 and 604.15 </w:t>
      </w:r>
      <w:r w:rsidR="0029664E">
        <w:rPr>
          <w:rFonts w:ascii="Times New Roman" w:hAnsi="Times New Roman" w:cs="Times New Roman"/>
        </w:rPr>
        <w:t xml:space="preserve">are required to </w:t>
      </w:r>
      <w:r w:rsidR="00866BB3">
        <w:rPr>
          <w:rFonts w:ascii="Times New Roman" w:hAnsi="Times New Roman" w:cs="Times New Roman"/>
        </w:rPr>
        <w:t>register biennially</w:t>
      </w:r>
      <w:r w:rsidR="0029664E">
        <w:rPr>
          <w:rFonts w:ascii="Times New Roman" w:hAnsi="Times New Roman" w:cs="Times New Roman"/>
        </w:rPr>
        <w:t xml:space="preserve">.  </w:t>
      </w:r>
      <w:r w:rsidR="00137C09">
        <w:rPr>
          <w:rFonts w:ascii="Times New Roman" w:hAnsi="Times New Roman" w:cs="Times New Roman"/>
        </w:rPr>
        <w:t>However,</w:t>
      </w:r>
      <w:r w:rsidR="00866BB3">
        <w:rPr>
          <w:rFonts w:ascii="Times New Roman" w:hAnsi="Times New Roman" w:cs="Times New Roman"/>
        </w:rPr>
        <w:t xml:space="preserve"> for purposes of annual calculations, FTA is assuming that half of each group register</w:t>
      </w:r>
      <w:r w:rsidR="0029664E">
        <w:rPr>
          <w:rFonts w:ascii="Times New Roman" w:hAnsi="Times New Roman" w:cs="Times New Roman"/>
        </w:rPr>
        <w:t>s</w:t>
      </w:r>
      <w:r w:rsidR="00866BB3">
        <w:rPr>
          <w:rFonts w:ascii="Times New Roman" w:hAnsi="Times New Roman" w:cs="Times New Roman"/>
        </w:rPr>
        <w:t xml:space="preserve"> annually. It</w:t>
      </w:r>
      <w:r w:rsidR="00AF6A2E">
        <w:rPr>
          <w:rFonts w:ascii="Times New Roman" w:hAnsi="Times New Roman" w:cs="Times New Roman"/>
        </w:rPr>
        <w:t xml:space="preserve"> is noted that th</w:t>
      </w:r>
      <w:r w:rsidR="00137C09">
        <w:rPr>
          <w:rFonts w:ascii="Times New Roman" w:hAnsi="Times New Roman" w:cs="Times New Roman"/>
        </w:rPr>
        <w:t xml:space="preserve">e revised </w:t>
      </w:r>
      <w:r w:rsidR="00C61AD4">
        <w:rPr>
          <w:rFonts w:ascii="Times New Roman" w:hAnsi="Times New Roman" w:cs="Times New Roman"/>
        </w:rPr>
        <w:t>calculation reflects</w:t>
      </w:r>
      <w:r w:rsidR="00AF6A2E">
        <w:rPr>
          <w:rFonts w:ascii="Times New Roman" w:hAnsi="Times New Roman" w:cs="Times New Roman"/>
        </w:rPr>
        <w:t xml:space="preserve"> an </w:t>
      </w:r>
      <w:r w:rsidR="00866BB3">
        <w:rPr>
          <w:rFonts w:ascii="Times New Roman" w:hAnsi="Times New Roman" w:cs="Times New Roman"/>
        </w:rPr>
        <w:t xml:space="preserve">overall decrease of 143 </w:t>
      </w:r>
      <w:r w:rsidR="0029664E">
        <w:rPr>
          <w:rFonts w:ascii="Times New Roman" w:hAnsi="Times New Roman" w:cs="Times New Roman"/>
        </w:rPr>
        <w:t xml:space="preserve">annual </w:t>
      </w:r>
      <w:r w:rsidR="00866BB3">
        <w:rPr>
          <w:rFonts w:ascii="Times New Roman" w:hAnsi="Times New Roman" w:cs="Times New Roman"/>
        </w:rPr>
        <w:t xml:space="preserve">respondents </w:t>
      </w:r>
      <w:r w:rsidR="0029664E">
        <w:rPr>
          <w:rFonts w:ascii="Times New Roman" w:hAnsi="Times New Roman" w:cs="Times New Roman"/>
        </w:rPr>
        <w:t xml:space="preserve">from </w:t>
      </w:r>
      <w:r w:rsidR="00866BB3">
        <w:rPr>
          <w:rFonts w:ascii="Times New Roman" w:hAnsi="Times New Roman" w:cs="Times New Roman"/>
        </w:rPr>
        <w:t>that reported in 2013.</w:t>
      </w:r>
      <w:r w:rsidR="00E11D50">
        <w:rPr>
          <w:rFonts w:ascii="Times New Roman" w:hAnsi="Times New Roman" w:cs="Times New Roman"/>
        </w:rPr>
        <w:t xml:space="preserve">  </w:t>
      </w:r>
    </w:p>
    <w:p w14:paraId="3926DDAB" w14:textId="77777777" w:rsidR="004040B7" w:rsidRPr="00A17193" w:rsidRDefault="004040B7" w:rsidP="008669F0">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Plans for tabulation and publication for collections of information whose results will be published</w:t>
      </w:r>
    </w:p>
    <w:p w14:paraId="2312C62F"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FTA does not plan to publish the results of the information collected for statistical use.</w:t>
      </w:r>
    </w:p>
    <w:p w14:paraId="2249C37B"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If seeking approval to not display the expiration date for OMB approval of the information collection, explain the reasons that display would be inappropriate</w:t>
      </w:r>
    </w:p>
    <w:p w14:paraId="02DD0753"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There is no reason not to display the expiration date of OMB approval of the information collection.</w:t>
      </w:r>
    </w:p>
    <w:p w14:paraId="746EB31F" w14:textId="77777777" w:rsidR="004040B7" w:rsidRPr="00A17193" w:rsidRDefault="004040B7" w:rsidP="004040B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exceptions to the certificate statement identified in Item 19 of OMB Form 83-I</w:t>
      </w:r>
    </w:p>
    <w:p w14:paraId="55DAA067" w14:textId="77777777" w:rsidR="004040B7" w:rsidRPr="00A17193" w:rsidRDefault="004040B7" w:rsidP="004040B7">
      <w:pPr>
        <w:rPr>
          <w:rFonts w:ascii="Times New Roman" w:hAnsi="Times New Roman" w:cs="Times New Roman"/>
        </w:rPr>
      </w:pPr>
      <w:r w:rsidRPr="00A17193">
        <w:rPr>
          <w:rFonts w:ascii="Times New Roman" w:hAnsi="Times New Roman" w:cs="Times New Roman"/>
        </w:rPr>
        <w:t>No exceptions are stated.</w:t>
      </w:r>
    </w:p>
    <w:p w14:paraId="3F486ECD" w14:textId="77777777" w:rsidR="004040B7" w:rsidRPr="00A17193" w:rsidRDefault="004040B7" w:rsidP="004040B7">
      <w:pPr>
        <w:rPr>
          <w:rFonts w:ascii="Times New Roman" w:hAnsi="Times New Roman" w:cs="Times New Roman"/>
        </w:rPr>
      </w:pPr>
    </w:p>
    <w:p w14:paraId="58CF9114" w14:textId="77777777" w:rsidR="00FF58F1" w:rsidRPr="001978D6" w:rsidRDefault="00FF58F1">
      <w:pPr>
        <w:rPr>
          <w:rFonts w:ascii="Times New Roman" w:hAnsi="Times New Roman" w:cs="Times New Roman"/>
        </w:rPr>
      </w:pPr>
    </w:p>
    <w:sectPr w:rsidR="00FF58F1" w:rsidRPr="001978D6" w:rsidSect="0083324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FBB7F" w14:textId="77777777" w:rsidR="00A7628A" w:rsidRDefault="00A7628A" w:rsidP="004040B7">
      <w:pPr>
        <w:spacing w:after="0" w:line="240" w:lineRule="auto"/>
      </w:pPr>
      <w:r>
        <w:separator/>
      </w:r>
    </w:p>
  </w:endnote>
  <w:endnote w:type="continuationSeparator" w:id="0">
    <w:p w14:paraId="66C81F47" w14:textId="77777777" w:rsidR="00A7628A" w:rsidRDefault="00A7628A" w:rsidP="0040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C0BF6" w14:textId="77777777" w:rsidR="00A7628A" w:rsidRDefault="00A7628A" w:rsidP="004040B7">
      <w:pPr>
        <w:spacing w:after="0" w:line="240" w:lineRule="auto"/>
      </w:pPr>
      <w:r>
        <w:separator/>
      </w:r>
    </w:p>
  </w:footnote>
  <w:footnote w:type="continuationSeparator" w:id="0">
    <w:p w14:paraId="478719E3" w14:textId="77777777" w:rsidR="00A7628A" w:rsidRDefault="00A7628A" w:rsidP="004040B7">
      <w:pPr>
        <w:spacing w:after="0" w:line="240" w:lineRule="auto"/>
      </w:pPr>
      <w:r>
        <w:continuationSeparator/>
      </w:r>
    </w:p>
  </w:footnote>
  <w:footnote w:id="1">
    <w:p w14:paraId="62572E58" w14:textId="7FBB8DF3" w:rsidR="004040B7" w:rsidRDefault="004040B7" w:rsidP="004040B7">
      <w:pPr>
        <w:pStyle w:val="FootnoteText"/>
      </w:pPr>
      <w:r>
        <w:rPr>
          <w:rStyle w:val="FootnoteReference"/>
        </w:rPr>
        <w:footnoteRef/>
      </w:r>
      <w:r>
        <w:t xml:space="preserve"> </w:t>
      </w:r>
      <w:r w:rsidRPr="00B15481">
        <w:rPr>
          <w:rFonts w:ascii="Times New Roman" w:hAnsi="Times New Roman" w:cs="Times New Roman"/>
        </w:rPr>
        <w:t xml:space="preserve">For purposes of the Charter Service Rule, “Federal Transit Law” means 49 U.S.C. 5301 et. seq. and includes provisions of Chapter 23 U.S.C. when used to provide Federal financial assistance to transit agencies for </w:t>
      </w:r>
      <w:r w:rsidR="00AB7950" w:rsidRPr="00B15481">
        <w:rPr>
          <w:rFonts w:ascii="Times New Roman" w:hAnsi="Times New Roman" w:cs="Times New Roman"/>
        </w:rPr>
        <w:t>purchasing buses</w:t>
      </w:r>
      <w:r w:rsidRPr="00B15481">
        <w:rPr>
          <w:rFonts w:ascii="Times New Roman" w:hAnsi="Times New Roman" w:cs="Times New Roman"/>
        </w:rPr>
        <w:t xml:space="preserve"> and vans.</w:t>
      </w:r>
    </w:p>
  </w:footnote>
  <w:footnote w:id="2">
    <w:p w14:paraId="64EC3719" w14:textId="27F15641" w:rsidR="00420084" w:rsidRDefault="00420084">
      <w:pPr>
        <w:pStyle w:val="FootnoteText"/>
      </w:pPr>
      <w:r>
        <w:rPr>
          <w:rStyle w:val="FootnoteReference"/>
        </w:rPr>
        <w:footnoteRef/>
      </w:r>
      <w:r>
        <w:t xml:space="preserve"> Respondents for sections 604.13 and 604.15 are required to register every two-years; for</w:t>
      </w:r>
      <w:r w:rsidRPr="009B41CA">
        <w:t xml:space="preserve"> purposes of consistency in the calculations for this submission, FTA has assumed that half of the providers will respond on an annual basis</w:t>
      </w:r>
      <w:r>
        <w:t>.</w:t>
      </w:r>
    </w:p>
  </w:footnote>
  <w:footnote w:id="3">
    <w:p w14:paraId="4599D157" w14:textId="2BE8FC67" w:rsidR="00C8509A" w:rsidRDefault="00C8509A">
      <w:pPr>
        <w:pStyle w:val="FootnoteText"/>
      </w:pPr>
      <w:r>
        <w:rPr>
          <w:rStyle w:val="FootnoteReference"/>
        </w:rPr>
        <w:footnoteRef/>
      </w:r>
      <w:r w:rsidR="00420084">
        <w:t>Ibid</w:t>
      </w:r>
      <w:r w:rsidR="009F3AB7">
        <w:t>.</w:t>
      </w:r>
    </w:p>
  </w:footnote>
  <w:footnote w:id="4">
    <w:p w14:paraId="1F660218" w14:textId="77777777" w:rsidR="009B41CA" w:rsidRDefault="009B41CA">
      <w:pPr>
        <w:pStyle w:val="FootnoteText"/>
      </w:pPr>
      <w:r>
        <w:rPr>
          <w:rStyle w:val="FootnoteReference"/>
        </w:rPr>
        <w:footnoteRef/>
      </w:r>
      <w:r>
        <w:t xml:space="preserve"> Private providers of charter service are only required to register once every two years.  For purposes of consistency in the calculations for this submission, FTA has assumed that half of the providers will respond on an annual basis.</w:t>
      </w:r>
    </w:p>
  </w:footnote>
  <w:footnote w:id="5">
    <w:p w14:paraId="276B0C31" w14:textId="77777777" w:rsidR="009B41CA" w:rsidRDefault="009B41CA">
      <w:pPr>
        <w:pStyle w:val="FootnoteText"/>
      </w:pPr>
      <w:r>
        <w:rPr>
          <w:rStyle w:val="FootnoteReference"/>
        </w:rPr>
        <w:footnoteRef/>
      </w:r>
      <w:r>
        <w:t xml:space="preserve"> QHSO service </w:t>
      </w:r>
      <w:r w:rsidRPr="009B41CA">
        <w:t>providers are only required to register once every two years.  For purposes of consistency in the calculations for this submission, FTA has assumed that half of the providers will respond on an annual basis.</w:t>
      </w:r>
      <w:r w:rsidR="009F3AB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4283"/>
    <w:multiLevelType w:val="hybridMultilevel"/>
    <w:tmpl w:val="AB961F2C"/>
    <w:lvl w:ilvl="0" w:tplc="549EAA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46A05"/>
    <w:multiLevelType w:val="hybridMultilevel"/>
    <w:tmpl w:val="46848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B7"/>
    <w:rsid w:val="0000156B"/>
    <w:rsid w:val="00010920"/>
    <w:rsid w:val="00022191"/>
    <w:rsid w:val="00041796"/>
    <w:rsid w:val="00082162"/>
    <w:rsid w:val="0008623B"/>
    <w:rsid w:val="000B21D4"/>
    <w:rsid w:val="0010173D"/>
    <w:rsid w:val="001123CF"/>
    <w:rsid w:val="00125A07"/>
    <w:rsid w:val="00137C09"/>
    <w:rsid w:val="00146318"/>
    <w:rsid w:val="00153406"/>
    <w:rsid w:val="001647F5"/>
    <w:rsid w:val="001978D6"/>
    <w:rsid w:val="001A5099"/>
    <w:rsid w:val="001C79E9"/>
    <w:rsid w:val="00230230"/>
    <w:rsid w:val="002637CF"/>
    <w:rsid w:val="0026760C"/>
    <w:rsid w:val="00267B6D"/>
    <w:rsid w:val="00270BE7"/>
    <w:rsid w:val="00295579"/>
    <w:rsid w:val="0029664E"/>
    <w:rsid w:val="002A0A69"/>
    <w:rsid w:val="002B0540"/>
    <w:rsid w:val="002B11AB"/>
    <w:rsid w:val="002F5A50"/>
    <w:rsid w:val="002F6420"/>
    <w:rsid w:val="00301763"/>
    <w:rsid w:val="0030508B"/>
    <w:rsid w:val="003208B1"/>
    <w:rsid w:val="00324A56"/>
    <w:rsid w:val="00327DBA"/>
    <w:rsid w:val="003515E2"/>
    <w:rsid w:val="003741E6"/>
    <w:rsid w:val="003A0A52"/>
    <w:rsid w:val="003A6F45"/>
    <w:rsid w:val="003B5138"/>
    <w:rsid w:val="003D147E"/>
    <w:rsid w:val="003E7777"/>
    <w:rsid w:val="003F5AE0"/>
    <w:rsid w:val="004040B7"/>
    <w:rsid w:val="00420084"/>
    <w:rsid w:val="004431EA"/>
    <w:rsid w:val="00445243"/>
    <w:rsid w:val="004524F4"/>
    <w:rsid w:val="00491DCF"/>
    <w:rsid w:val="004D0826"/>
    <w:rsid w:val="00523D98"/>
    <w:rsid w:val="00555E69"/>
    <w:rsid w:val="00560574"/>
    <w:rsid w:val="00592579"/>
    <w:rsid w:val="00592F07"/>
    <w:rsid w:val="005B5152"/>
    <w:rsid w:val="005D7F25"/>
    <w:rsid w:val="00631DFE"/>
    <w:rsid w:val="006A38E8"/>
    <w:rsid w:val="006B482D"/>
    <w:rsid w:val="006B4AA1"/>
    <w:rsid w:val="006F7073"/>
    <w:rsid w:val="00711202"/>
    <w:rsid w:val="00713A41"/>
    <w:rsid w:val="007218E6"/>
    <w:rsid w:val="0078115B"/>
    <w:rsid w:val="00797FB7"/>
    <w:rsid w:val="007C3924"/>
    <w:rsid w:val="007F4DB3"/>
    <w:rsid w:val="0081013B"/>
    <w:rsid w:val="00811498"/>
    <w:rsid w:val="00860044"/>
    <w:rsid w:val="008669F0"/>
    <w:rsid w:val="00866BB3"/>
    <w:rsid w:val="009443EB"/>
    <w:rsid w:val="009B41CA"/>
    <w:rsid w:val="009C3F6E"/>
    <w:rsid w:val="009F1BB1"/>
    <w:rsid w:val="009F3AB7"/>
    <w:rsid w:val="00A05947"/>
    <w:rsid w:val="00A11CD7"/>
    <w:rsid w:val="00A16F81"/>
    <w:rsid w:val="00A17193"/>
    <w:rsid w:val="00A652CD"/>
    <w:rsid w:val="00A7628A"/>
    <w:rsid w:val="00A9473A"/>
    <w:rsid w:val="00AA69A6"/>
    <w:rsid w:val="00AB7950"/>
    <w:rsid w:val="00AF6A2E"/>
    <w:rsid w:val="00B17067"/>
    <w:rsid w:val="00B362BE"/>
    <w:rsid w:val="00B4186E"/>
    <w:rsid w:val="00B47392"/>
    <w:rsid w:val="00B625B5"/>
    <w:rsid w:val="00B6783E"/>
    <w:rsid w:val="00B7082F"/>
    <w:rsid w:val="00BA0462"/>
    <w:rsid w:val="00BC4E7B"/>
    <w:rsid w:val="00BC6161"/>
    <w:rsid w:val="00BD106B"/>
    <w:rsid w:val="00BF76E9"/>
    <w:rsid w:val="00C02CB2"/>
    <w:rsid w:val="00C05274"/>
    <w:rsid w:val="00C20199"/>
    <w:rsid w:val="00C237DA"/>
    <w:rsid w:val="00C46233"/>
    <w:rsid w:val="00C55E9F"/>
    <w:rsid w:val="00C61AD4"/>
    <w:rsid w:val="00C8509A"/>
    <w:rsid w:val="00CB60AC"/>
    <w:rsid w:val="00CD6EDB"/>
    <w:rsid w:val="00CE281C"/>
    <w:rsid w:val="00CF75F8"/>
    <w:rsid w:val="00D233CA"/>
    <w:rsid w:val="00D272D9"/>
    <w:rsid w:val="00D947EA"/>
    <w:rsid w:val="00DC4F20"/>
    <w:rsid w:val="00DC740C"/>
    <w:rsid w:val="00DC75D0"/>
    <w:rsid w:val="00DF4031"/>
    <w:rsid w:val="00E0622B"/>
    <w:rsid w:val="00E11D50"/>
    <w:rsid w:val="00E6721D"/>
    <w:rsid w:val="00E73238"/>
    <w:rsid w:val="00E826E0"/>
    <w:rsid w:val="00E957BD"/>
    <w:rsid w:val="00E970C4"/>
    <w:rsid w:val="00E97DBC"/>
    <w:rsid w:val="00EA6C1A"/>
    <w:rsid w:val="00EA7B8A"/>
    <w:rsid w:val="00ED503D"/>
    <w:rsid w:val="00EE6909"/>
    <w:rsid w:val="00EF3CD3"/>
    <w:rsid w:val="00F03F1C"/>
    <w:rsid w:val="00F14A2E"/>
    <w:rsid w:val="00FB125B"/>
    <w:rsid w:val="00FB75A2"/>
    <w:rsid w:val="00FE2818"/>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0B7"/>
    <w:rPr>
      <w:sz w:val="20"/>
      <w:szCs w:val="20"/>
    </w:rPr>
  </w:style>
  <w:style w:type="character" w:styleId="FootnoteReference">
    <w:name w:val="footnote reference"/>
    <w:basedOn w:val="DefaultParagraphFont"/>
    <w:uiPriority w:val="99"/>
    <w:semiHidden/>
    <w:unhideWhenUsed/>
    <w:rsid w:val="004040B7"/>
    <w:rPr>
      <w:vertAlign w:val="superscript"/>
    </w:rPr>
  </w:style>
  <w:style w:type="paragraph" w:styleId="ListParagraph">
    <w:name w:val="List Paragraph"/>
    <w:basedOn w:val="Normal"/>
    <w:uiPriority w:val="34"/>
    <w:qFormat/>
    <w:rsid w:val="004040B7"/>
    <w:pPr>
      <w:ind w:left="720"/>
      <w:contextualSpacing/>
    </w:pPr>
  </w:style>
  <w:style w:type="table" w:styleId="TableGrid">
    <w:name w:val="Table Grid"/>
    <w:basedOn w:val="TableNormal"/>
    <w:uiPriority w:val="59"/>
    <w:rsid w:val="0040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B7"/>
  </w:style>
  <w:style w:type="character" w:styleId="Hyperlink">
    <w:name w:val="Hyperlink"/>
    <w:basedOn w:val="DefaultParagraphFont"/>
    <w:uiPriority w:val="99"/>
    <w:unhideWhenUsed/>
    <w:rsid w:val="004040B7"/>
    <w:rPr>
      <w:color w:val="3366CC"/>
      <w:u w:val="single"/>
    </w:rPr>
  </w:style>
  <w:style w:type="paragraph" w:styleId="BalloonText">
    <w:name w:val="Balloon Text"/>
    <w:basedOn w:val="Normal"/>
    <w:link w:val="BalloonTextChar"/>
    <w:uiPriority w:val="99"/>
    <w:semiHidden/>
    <w:unhideWhenUsed/>
    <w:rsid w:val="00A17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93"/>
    <w:rPr>
      <w:rFonts w:ascii="Tahoma" w:hAnsi="Tahoma" w:cs="Tahoma"/>
      <w:sz w:val="16"/>
      <w:szCs w:val="16"/>
    </w:rPr>
  </w:style>
  <w:style w:type="character" w:styleId="CommentReference">
    <w:name w:val="annotation reference"/>
    <w:basedOn w:val="DefaultParagraphFont"/>
    <w:uiPriority w:val="99"/>
    <w:semiHidden/>
    <w:unhideWhenUsed/>
    <w:rsid w:val="00A17193"/>
    <w:rPr>
      <w:sz w:val="16"/>
      <w:szCs w:val="16"/>
    </w:rPr>
  </w:style>
  <w:style w:type="paragraph" w:styleId="CommentText">
    <w:name w:val="annotation text"/>
    <w:basedOn w:val="Normal"/>
    <w:link w:val="CommentTextChar"/>
    <w:uiPriority w:val="99"/>
    <w:unhideWhenUsed/>
    <w:rsid w:val="00A17193"/>
    <w:pPr>
      <w:spacing w:line="240" w:lineRule="auto"/>
    </w:pPr>
    <w:rPr>
      <w:sz w:val="20"/>
      <w:szCs w:val="20"/>
    </w:rPr>
  </w:style>
  <w:style w:type="character" w:customStyle="1" w:styleId="CommentTextChar">
    <w:name w:val="Comment Text Char"/>
    <w:basedOn w:val="DefaultParagraphFont"/>
    <w:link w:val="CommentText"/>
    <w:uiPriority w:val="99"/>
    <w:rsid w:val="00A17193"/>
    <w:rPr>
      <w:sz w:val="20"/>
      <w:szCs w:val="20"/>
    </w:rPr>
  </w:style>
  <w:style w:type="paragraph" w:styleId="CommentSubject">
    <w:name w:val="annotation subject"/>
    <w:basedOn w:val="CommentText"/>
    <w:next w:val="CommentText"/>
    <w:link w:val="CommentSubjectChar"/>
    <w:uiPriority w:val="99"/>
    <w:semiHidden/>
    <w:unhideWhenUsed/>
    <w:rsid w:val="00A17193"/>
    <w:rPr>
      <w:b/>
      <w:bCs/>
    </w:rPr>
  </w:style>
  <w:style w:type="character" w:customStyle="1" w:styleId="CommentSubjectChar">
    <w:name w:val="Comment Subject Char"/>
    <w:basedOn w:val="CommentTextChar"/>
    <w:link w:val="CommentSubject"/>
    <w:uiPriority w:val="99"/>
    <w:semiHidden/>
    <w:rsid w:val="00A17193"/>
    <w:rPr>
      <w:b/>
      <w:bCs/>
      <w:sz w:val="20"/>
      <w:szCs w:val="20"/>
    </w:rPr>
  </w:style>
  <w:style w:type="character" w:styleId="FollowedHyperlink">
    <w:name w:val="FollowedHyperlink"/>
    <w:basedOn w:val="DefaultParagraphFont"/>
    <w:uiPriority w:val="99"/>
    <w:semiHidden/>
    <w:unhideWhenUsed/>
    <w:rsid w:val="009443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0B7"/>
    <w:rPr>
      <w:sz w:val="20"/>
      <w:szCs w:val="20"/>
    </w:rPr>
  </w:style>
  <w:style w:type="character" w:styleId="FootnoteReference">
    <w:name w:val="footnote reference"/>
    <w:basedOn w:val="DefaultParagraphFont"/>
    <w:uiPriority w:val="99"/>
    <w:semiHidden/>
    <w:unhideWhenUsed/>
    <w:rsid w:val="004040B7"/>
    <w:rPr>
      <w:vertAlign w:val="superscript"/>
    </w:rPr>
  </w:style>
  <w:style w:type="paragraph" w:styleId="ListParagraph">
    <w:name w:val="List Paragraph"/>
    <w:basedOn w:val="Normal"/>
    <w:uiPriority w:val="34"/>
    <w:qFormat/>
    <w:rsid w:val="004040B7"/>
    <w:pPr>
      <w:ind w:left="720"/>
      <w:contextualSpacing/>
    </w:pPr>
  </w:style>
  <w:style w:type="table" w:styleId="TableGrid">
    <w:name w:val="Table Grid"/>
    <w:basedOn w:val="TableNormal"/>
    <w:uiPriority w:val="59"/>
    <w:rsid w:val="0040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B7"/>
  </w:style>
  <w:style w:type="character" w:styleId="Hyperlink">
    <w:name w:val="Hyperlink"/>
    <w:basedOn w:val="DefaultParagraphFont"/>
    <w:uiPriority w:val="99"/>
    <w:unhideWhenUsed/>
    <w:rsid w:val="004040B7"/>
    <w:rPr>
      <w:color w:val="3366CC"/>
      <w:u w:val="single"/>
    </w:rPr>
  </w:style>
  <w:style w:type="paragraph" w:styleId="BalloonText">
    <w:name w:val="Balloon Text"/>
    <w:basedOn w:val="Normal"/>
    <w:link w:val="BalloonTextChar"/>
    <w:uiPriority w:val="99"/>
    <w:semiHidden/>
    <w:unhideWhenUsed/>
    <w:rsid w:val="00A17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93"/>
    <w:rPr>
      <w:rFonts w:ascii="Tahoma" w:hAnsi="Tahoma" w:cs="Tahoma"/>
      <w:sz w:val="16"/>
      <w:szCs w:val="16"/>
    </w:rPr>
  </w:style>
  <w:style w:type="character" w:styleId="CommentReference">
    <w:name w:val="annotation reference"/>
    <w:basedOn w:val="DefaultParagraphFont"/>
    <w:uiPriority w:val="99"/>
    <w:semiHidden/>
    <w:unhideWhenUsed/>
    <w:rsid w:val="00A17193"/>
    <w:rPr>
      <w:sz w:val="16"/>
      <w:szCs w:val="16"/>
    </w:rPr>
  </w:style>
  <w:style w:type="paragraph" w:styleId="CommentText">
    <w:name w:val="annotation text"/>
    <w:basedOn w:val="Normal"/>
    <w:link w:val="CommentTextChar"/>
    <w:uiPriority w:val="99"/>
    <w:unhideWhenUsed/>
    <w:rsid w:val="00A17193"/>
    <w:pPr>
      <w:spacing w:line="240" w:lineRule="auto"/>
    </w:pPr>
    <w:rPr>
      <w:sz w:val="20"/>
      <w:szCs w:val="20"/>
    </w:rPr>
  </w:style>
  <w:style w:type="character" w:customStyle="1" w:styleId="CommentTextChar">
    <w:name w:val="Comment Text Char"/>
    <w:basedOn w:val="DefaultParagraphFont"/>
    <w:link w:val="CommentText"/>
    <w:uiPriority w:val="99"/>
    <w:rsid w:val="00A17193"/>
    <w:rPr>
      <w:sz w:val="20"/>
      <w:szCs w:val="20"/>
    </w:rPr>
  </w:style>
  <w:style w:type="paragraph" w:styleId="CommentSubject">
    <w:name w:val="annotation subject"/>
    <w:basedOn w:val="CommentText"/>
    <w:next w:val="CommentText"/>
    <w:link w:val="CommentSubjectChar"/>
    <w:uiPriority w:val="99"/>
    <w:semiHidden/>
    <w:unhideWhenUsed/>
    <w:rsid w:val="00A17193"/>
    <w:rPr>
      <w:b/>
      <w:bCs/>
    </w:rPr>
  </w:style>
  <w:style w:type="character" w:customStyle="1" w:styleId="CommentSubjectChar">
    <w:name w:val="Comment Subject Char"/>
    <w:basedOn w:val="CommentTextChar"/>
    <w:link w:val="CommentSubject"/>
    <w:uiPriority w:val="99"/>
    <w:semiHidden/>
    <w:rsid w:val="00A17193"/>
    <w:rPr>
      <w:b/>
      <w:bCs/>
      <w:sz w:val="20"/>
      <w:szCs w:val="20"/>
    </w:rPr>
  </w:style>
  <w:style w:type="character" w:styleId="FollowedHyperlink">
    <w:name w:val="FollowedHyperlink"/>
    <w:basedOn w:val="DefaultParagraphFont"/>
    <w:uiPriority w:val="99"/>
    <w:semiHidden/>
    <w:unhideWhenUsed/>
    <w:rsid w:val="009443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GS_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yperlink" Target="https://www.opm.gov/policy-data-oversight/pay-leave/salaries-wages/salary-tables/pdf/2017/GS_h.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7/GS_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GS_h.pdf"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7/GS_h.pdf" TargetMode="External"/><Relationship Id="rId10" Type="http://schemas.openxmlformats.org/officeDocument/2006/relationships/hyperlink" Target="https://ftawebprod.fta.dot.gov/CharterReporti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tawebprod.fta.dot.gov/CharterRegistration/splash-charterregistration.aspx" TargetMode="External"/><Relationship Id="rId14"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709C-76E6-4B07-A4C8-4416D58D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Tia (FTA)</dc:creator>
  <cp:lastModifiedBy>SYSTEM</cp:lastModifiedBy>
  <cp:revision>2</cp:revision>
  <cp:lastPrinted>2017-09-13T16:19:00Z</cp:lastPrinted>
  <dcterms:created xsi:type="dcterms:W3CDTF">2017-10-04T17:14:00Z</dcterms:created>
  <dcterms:modified xsi:type="dcterms:W3CDTF">2017-10-04T17:14:00Z</dcterms:modified>
</cp:coreProperties>
</file>