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F61D1" w14:textId="2238463D" w:rsidR="001D224D" w:rsidRPr="00687F9A" w:rsidRDefault="001D224D" w:rsidP="00606852">
      <w:pPr>
        <w:widowControl w:val="0"/>
        <w:tabs>
          <w:tab w:val="center" w:pos="4680"/>
        </w:tabs>
        <w:jc w:val="center"/>
        <w:rPr>
          <w:b/>
          <w:szCs w:val="24"/>
        </w:rPr>
      </w:pPr>
      <w:bookmarkStart w:id="0" w:name="_GoBack"/>
      <w:bookmarkEnd w:id="0"/>
      <w:r w:rsidRPr="00687F9A">
        <w:rPr>
          <w:b/>
          <w:szCs w:val="24"/>
        </w:rPr>
        <w:t xml:space="preserve">SUPPORTING </w:t>
      </w:r>
      <w:r w:rsidR="00311384" w:rsidRPr="00687F9A">
        <w:rPr>
          <w:b/>
          <w:szCs w:val="24"/>
        </w:rPr>
        <w:t>STATEMENT</w:t>
      </w:r>
    </w:p>
    <w:p w14:paraId="0B388CA9" w14:textId="77777777" w:rsidR="00606852" w:rsidRPr="00687F9A" w:rsidRDefault="00606852">
      <w:pPr>
        <w:widowControl w:val="0"/>
        <w:tabs>
          <w:tab w:val="center" w:pos="4680"/>
        </w:tabs>
        <w:rPr>
          <w:b/>
          <w:szCs w:val="24"/>
        </w:rPr>
      </w:pPr>
    </w:p>
    <w:p w14:paraId="1378DAEE" w14:textId="77777777" w:rsidR="007759D1" w:rsidRPr="00687F9A" w:rsidRDefault="00B0481D" w:rsidP="00B0481D">
      <w:pPr>
        <w:widowControl w:val="0"/>
        <w:tabs>
          <w:tab w:val="center" w:pos="4680"/>
        </w:tabs>
        <w:jc w:val="center"/>
        <w:rPr>
          <w:szCs w:val="24"/>
        </w:rPr>
      </w:pPr>
      <w:r w:rsidRPr="00687F9A">
        <w:rPr>
          <w:szCs w:val="24"/>
        </w:rPr>
        <w:t xml:space="preserve">ASSESSMENT OF TRANSPORTATION PLANNING </w:t>
      </w:r>
    </w:p>
    <w:p w14:paraId="1E73A465" w14:textId="77777777" w:rsidR="001D224D" w:rsidRPr="00687F9A" w:rsidRDefault="00B0481D" w:rsidP="00B0481D">
      <w:pPr>
        <w:widowControl w:val="0"/>
        <w:tabs>
          <w:tab w:val="center" w:pos="4680"/>
        </w:tabs>
        <w:jc w:val="center"/>
        <w:rPr>
          <w:b/>
          <w:szCs w:val="24"/>
        </w:rPr>
      </w:pPr>
      <w:r w:rsidRPr="00687F9A">
        <w:rPr>
          <w:szCs w:val="24"/>
        </w:rPr>
        <w:t>AGENCY NEEDS, CAPABILITIES AND CAPACITY</w:t>
      </w:r>
    </w:p>
    <w:p w14:paraId="5576788D" w14:textId="77777777" w:rsidR="00606852" w:rsidRPr="00687F9A" w:rsidRDefault="00606852" w:rsidP="00A37A22">
      <w:pPr>
        <w:widowControl w:val="0"/>
        <w:tabs>
          <w:tab w:val="center" w:pos="4680"/>
        </w:tabs>
        <w:jc w:val="center"/>
        <w:rPr>
          <w:b/>
          <w:szCs w:val="24"/>
        </w:rPr>
      </w:pPr>
    </w:p>
    <w:p w14:paraId="3CFBAC76" w14:textId="77777777" w:rsidR="00EC23D6" w:rsidRPr="00687F9A" w:rsidRDefault="00EC23D6" w:rsidP="00EC23D6">
      <w:pPr>
        <w:rPr>
          <w:b/>
          <w:szCs w:val="24"/>
          <w:u w:val="single"/>
        </w:rPr>
      </w:pPr>
      <w:r w:rsidRPr="00687F9A">
        <w:rPr>
          <w:b/>
          <w:szCs w:val="24"/>
          <w:u w:val="single"/>
        </w:rPr>
        <w:t>INTRODUCTION</w:t>
      </w:r>
    </w:p>
    <w:p w14:paraId="1E1412A5" w14:textId="77777777" w:rsidR="00EC23D6" w:rsidRPr="00687F9A" w:rsidRDefault="00EC23D6" w:rsidP="00EC23D6">
      <w:pPr>
        <w:rPr>
          <w:b/>
          <w:szCs w:val="24"/>
          <w:u w:val="single"/>
        </w:rPr>
      </w:pPr>
    </w:p>
    <w:p w14:paraId="031C0D60" w14:textId="77777777" w:rsidR="00EC23D6" w:rsidRPr="00687F9A" w:rsidRDefault="00991AD2" w:rsidP="00EC23D6">
      <w:pPr>
        <w:rPr>
          <w:szCs w:val="24"/>
        </w:rPr>
      </w:pPr>
      <w:r w:rsidRPr="00687F9A">
        <w:rPr>
          <w:szCs w:val="24"/>
        </w:rPr>
        <w:t xml:space="preserve">This is to request the Office of Management and Budget’s (OMB) three-year approval for the information collection entitled, Assessment of Transportation Performance Management Needs, Capabilities and Capacity.  </w:t>
      </w:r>
    </w:p>
    <w:p w14:paraId="6639CFA6" w14:textId="77777777" w:rsidR="00991AD2" w:rsidRPr="00687F9A" w:rsidRDefault="00991AD2" w:rsidP="00EC23D6">
      <w:pPr>
        <w:rPr>
          <w:b/>
          <w:szCs w:val="24"/>
        </w:rPr>
      </w:pPr>
    </w:p>
    <w:p w14:paraId="52E000DA" w14:textId="77777777" w:rsidR="00EC23D6" w:rsidRPr="007B2E4C" w:rsidRDefault="00EC23D6" w:rsidP="007B2E4C">
      <w:pPr>
        <w:pStyle w:val="Heading1"/>
        <w:rPr>
          <w:rFonts w:ascii="Times New Roman" w:hAnsi="Times New Roman"/>
          <w:sz w:val="24"/>
          <w:szCs w:val="24"/>
        </w:rPr>
      </w:pPr>
      <w:r w:rsidRPr="007B2E4C">
        <w:rPr>
          <w:rFonts w:ascii="Times New Roman" w:hAnsi="Times New Roman"/>
          <w:sz w:val="24"/>
          <w:szCs w:val="24"/>
        </w:rPr>
        <w:t>Part A. Justification</w:t>
      </w:r>
    </w:p>
    <w:p w14:paraId="768D8B1A" w14:textId="77777777" w:rsidR="00EC23D6" w:rsidRPr="007B2E4C" w:rsidRDefault="00EC23D6" w:rsidP="00EC23D6">
      <w:pPr>
        <w:jc w:val="center"/>
        <w:rPr>
          <w:b/>
          <w:szCs w:val="24"/>
        </w:rPr>
      </w:pPr>
    </w:p>
    <w:p w14:paraId="2F1E5178" w14:textId="77777777" w:rsidR="00EC23D6" w:rsidRPr="007B2E4C" w:rsidRDefault="00EC23D6" w:rsidP="000A6210">
      <w:pPr>
        <w:numPr>
          <w:ilvl w:val="0"/>
          <w:numId w:val="16"/>
        </w:numPr>
        <w:tabs>
          <w:tab w:val="clear" w:pos="720"/>
          <w:tab w:val="num" w:pos="0"/>
          <w:tab w:val="left" w:pos="540"/>
        </w:tabs>
        <w:ind w:left="0" w:firstLine="0"/>
        <w:rPr>
          <w:szCs w:val="24"/>
        </w:rPr>
      </w:pPr>
      <w:r w:rsidRPr="007B2E4C">
        <w:rPr>
          <w:b/>
          <w:szCs w:val="24"/>
          <w:u w:val="single"/>
        </w:rPr>
        <w:t>Circumstances that make the collection of information necessary</w:t>
      </w:r>
      <w:r w:rsidRPr="007B2E4C">
        <w:rPr>
          <w:b/>
          <w:szCs w:val="24"/>
        </w:rPr>
        <w:t xml:space="preserve">.  </w:t>
      </w:r>
    </w:p>
    <w:p w14:paraId="39282729" w14:textId="77777777" w:rsidR="00EC23D6" w:rsidRPr="007B2E4C" w:rsidRDefault="00EC23D6" w:rsidP="000A6210">
      <w:pPr>
        <w:tabs>
          <w:tab w:val="left" w:pos="540"/>
        </w:tabs>
        <w:rPr>
          <w:szCs w:val="24"/>
        </w:rPr>
      </w:pPr>
    </w:p>
    <w:p w14:paraId="54731D12" w14:textId="77777777" w:rsidR="00991AD2" w:rsidRPr="007B2E4C" w:rsidRDefault="00991AD2" w:rsidP="00991AD2">
      <w:pPr>
        <w:widowControl w:val="0"/>
        <w:tabs>
          <w:tab w:val="left" w:pos="204"/>
        </w:tabs>
        <w:autoSpaceDE w:val="0"/>
        <w:autoSpaceDN w:val="0"/>
        <w:adjustRightInd w:val="0"/>
        <w:rPr>
          <w:bCs/>
          <w:iCs/>
          <w:szCs w:val="24"/>
        </w:rPr>
      </w:pPr>
    </w:p>
    <w:p w14:paraId="5F2F18D3" w14:textId="77777777" w:rsidR="00991AD2" w:rsidRPr="007B2E4C" w:rsidRDefault="00991AD2" w:rsidP="00991AD2">
      <w:pPr>
        <w:widowControl w:val="0"/>
        <w:tabs>
          <w:tab w:val="left" w:pos="204"/>
        </w:tabs>
        <w:autoSpaceDE w:val="0"/>
        <w:autoSpaceDN w:val="0"/>
        <w:adjustRightInd w:val="0"/>
        <w:rPr>
          <w:bCs/>
          <w:iCs/>
          <w:szCs w:val="24"/>
        </w:rPr>
      </w:pPr>
      <w:r w:rsidRPr="007B2E4C">
        <w:rPr>
          <w:bCs/>
          <w:iCs/>
          <w:szCs w:val="24"/>
        </w:rPr>
        <w:t>The FHWA will collect information on the current state of the practice, data, methods, and systems used by state, metropolitan, regional, local, and tribal transportation agencies entities to support their transportation performance managment processes in accordance with Moving Ahead for Progress in the 21st Century (MAP-21) §§1106, 1112-1113, 1201-1203; 23 USC 119, 134-135, and 148-150</w:t>
      </w:r>
      <w:r w:rsidR="001937B4">
        <w:rPr>
          <w:bCs/>
          <w:iCs/>
          <w:szCs w:val="24"/>
        </w:rPr>
        <w:t xml:space="preserve">, as amended by the </w:t>
      </w:r>
      <w:r w:rsidR="001937B4" w:rsidRPr="001937B4">
        <w:rPr>
          <w:bCs/>
          <w:iCs/>
          <w:szCs w:val="24"/>
        </w:rPr>
        <w:t xml:space="preserve">Fixing America's Surface Transportation </w:t>
      </w:r>
      <w:r w:rsidR="001937B4">
        <w:rPr>
          <w:bCs/>
          <w:iCs/>
          <w:szCs w:val="24"/>
        </w:rPr>
        <w:t>(FAST)</w:t>
      </w:r>
      <w:r w:rsidR="001937B4" w:rsidRPr="001937B4">
        <w:rPr>
          <w:bCs/>
          <w:iCs/>
          <w:szCs w:val="24"/>
        </w:rPr>
        <w:t xml:space="preserve"> Act</w:t>
      </w:r>
      <w:r w:rsidRPr="007B2E4C">
        <w:rPr>
          <w:bCs/>
          <w:iCs/>
          <w:szCs w:val="24"/>
        </w:rPr>
        <w:t>.  This information will also be used to develop and deliver existing and future Federal Highway Programs through successful partnerships, value-added stewardship, and risk-based oversight.  Underpinning this effort will be a renewed focus on enhancing organizational capacity, which translates into having a skilled workforce and supporting systems that are optimally positioned and equipped to deliver the FHWA's mission.</w:t>
      </w:r>
      <w:r w:rsidR="00217F29" w:rsidRPr="007B2E4C">
        <w:rPr>
          <w:bCs/>
          <w:iCs/>
          <w:szCs w:val="24"/>
        </w:rPr>
        <w:t xml:space="preserve"> </w:t>
      </w:r>
    </w:p>
    <w:p w14:paraId="2CD835F6" w14:textId="77777777" w:rsidR="004F2288" w:rsidRPr="007B2E4C" w:rsidRDefault="004F2288" w:rsidP="000A6210">
      <w:pPr>
        <w:widowControl w:val="0"/>
        <w:tabs>
          <w:tab w:val="left" w:pos="540"/>
        </w:tabs>
        <w:ind w:left="1440"/>
        <w:rPr>
          <w:b/>
          <w:szCs w:val="24"/>
        </w:rPr>
      </w:pPr>
    </w:p>
    <w:p w14:paraId="7D9AFA00" w14:textId="77777777" w:rsidR="001D224D" w:rsidRPr="007B2E4C" w:rsidRDefault="001D224D" w:rsidP="000A6210">
      <w:pPr>
        <w:widowControl w:val="0"/>
        <w:tabs>
          <w:tab w:val="left" w:pos="540"/>
        </w:tabs>
        <w:rPr>
          <w:b/>
          <w:szCs w:val="24"/>
        </w:rPr>
      </w:pPr>
      <w:r w:rsidRPr="007B2E4C">
        <w:rPr>
          <w:b/>
          <w:szCs w:val="24"/>
        </w:rPr>
        <w:t>2.</w:t>
      </w:r>
      <w:r w:rsidR="00F45271" w:rsidRPr="007B2E4C">
        <w:rPr>
          <w:b/>
          <w:szCs w:val="24"/>
        </w:rPr>
        <w:t xml:space="preserve"> </w:t>
      </w:r>
      <w:r w:rsidR="00F45271" w:rsidRPr="007B2E4C">
        <w:rPr>
          <w:b/>
          <w:szCs w:val="24"/>
        </w:rPr>
        <w:tab/>
      </w:r>
      <w:r w:rsidR="00F45271" w:rsidRPr="007B2E4C">
        <w:rPr>
          <w:b/>
          <w:szCs w:val="24"/>
          <w:u w:val="single"/>
        </w:rPr>
        <w:t xml:space="preserve">How, by whom, and for what purpose </w:t>
      </w:r>
      <w:r w:rsidR="00BB1A46" w:rsidRPr="007B2E4C">
        <w:rPr>
          <w:b/>
          <w:szCs w:val="24"/>
          <w:u w:val="single"/>
        </w:rPr>
        <w:t xml:space="preserve">is </w:t>
      </w:r>
      <w:r w:rsidR="00F45271" w:rsidRPr="007B2E4C">
        <w:rPr>
          <w:b/>
          <w:szCs w:val="24"/>
          <w:u w:val="single"/>
        </w:rPr>
        <w:t>the information to be used</w:t>
      </w:r>
      <w:r w:rsidR="00F45271" w:rsidRPr="007B2E4C">
        <w:rPr>
          <w:b/>
          <w:szCs w:val="24"/>
        </w:rPr>
        <w:t>.</w:t>
      </w:r>
      <w:r w:rsidR="00F45271" w:rsidRPr="007B2E4C">
        <w:rPr>
          <w:szCs w:val="24"/>
        </w:rPr>
        <w:t xml:space="preserve">  </w:t>
      </w:r>
      <w:r w:rsidR="00606852" w:rsidRPr="007B2E4C">
        <w:rPr>
          <w:b/>
          <w:szCs w:val="24"/>
        </w:rPr>
        <w:t xml:space="preserve"> </w:t>
      </w:r>
    </w:p>
    <w:p w14:paraId="3D75D7D3" w14:textId="77777777" w:rsidR="00F45271" w:rsidRPr="007B2E4C" w:rsidRDefault="00F45271" w:rsidP="000A6210">
      <w:pPr>
        <w:widowControl w:val="0"/>
        <w:tabs>
          <w:tab w:val="left" w:pos="540"/>
        </w:tabs>
        <w:rPr>
          <w:b/>
          <w:szCs w:val="24"/>
        </w:rPr>
      </w:pPr>
    </w:p>
    <w:p w14:paraId="6CE57CDC" w14:textId="77777777" w:rsidR="0031139E" w:rsidRPr="007B2E4C" w:rsidRDefault="00991AD2" w:rsidP="000D6E91">
      <w:pPr>
        <w:widowControl w:val="0"/>
        <w:tabs>
          <w:tab w:val="left" w:pos="204"/>
        </w:tabs>
        <w:autoSpaceDE w:val="0"/>
        <w:autoSpaceDN w:val="0"/>
        <w:adjustRightInd w:val="0"/>
        <w:rPr>
          <w:bCs/>
          <w:iCs/>
          <w:szCs w:val="24"/>
        </w:rPr>
      </w:pPr>
      <w:r w:rsidRPr="007B2E4C">
        <w:rPr>
          <w:bCs/>
          <w:iCs/>
          <w:szCs w:val="24"/>
        </w:rPr>
        <w:t>The information will be collected via internet-based surveys and will be used to better understand agency capabilities and needs so that FHWA can provide targeted and effective support to these agencies.</w:t>
      </w:r>
      <w:r w:rsidR="000D6E91" w:rsidRPr="007B2E4C">
        <w:rPr>
          <w:bCs/>
          <w:iCs/>
          <w:szCs w:val="24"/>
        </w:rPr>
        <w:t xml:space="preserve"> Information collected will be used to help FHWA fullfill </w:t>
      </w:r>
      <w:r w:rsidR="0031139E" w:rsidRPr="007B2E4C">
        <w:rPr>
          <w:bCs/>
          <w:iCs/>
          <w:szCs w:val="24"/>
        </w:rPr>
        <w:t xml:space="preserve"> the following </w:t>
      </w:r>
      <w:r w:rsidR="000D6E91" w:rsidRPr="007B2E4C">
        <w:rPr>
          <w:bCs/>
          <w:iCs/>
          <w:szCs w:val="24"/>
        </w:rPr>
        <w:t xml:space="preserve">statutory reports to Congress due in </w:t>
      </w:r>
      <w:r w:rsidR="0031139E" w:rsidRPr="007B2E4C">
        <w:rPr>
          <w:bCs/>
          <w:iCs/>
          <w:szCs w:val="24"/>
        </w:rPr>
        <w:t xml:space="preserve">October </w:t>
      </w:r>
      <w:r w:rsidR="000D6E91" w:rsidRPr="007B2E4C">
        <w:rPr>
          <w:bCs/>
          <w:iCs/>
          <w:szCs w:val="24"/>
        </w:rPr>
        <w:t>2017 on the effectiveness of performance-based planning and programming processes and transportation performance management</w:t>
      </w:r>
      <w:r w:rsidR="0031139E" w:rsidRPr="007B2E4C">
        <w:rPr>
          <w:bCs/>
          <w:iCs/>
          <w:szCs w:val="24"/>
        </w:rPr>
        <w:t>:</w:t>
      </w:r>
    </w:p>
    <w:p w14:paraId="3AF40181" w14:textId="77777777" w:rsidR="0031139E" w:rsidRPr="007B2E4C" w:rsidRDefault="0031139E" w:rsidP="000D6E91">
      <w:pPr>
        <w:widowControl w:val="0"/>
        <w:tabs>
          <w:tab w:val="left" w:pos="204"/>
        </w:tabs>
        <w:autoSpaceDE w:val="0"/>
        <w:autoSpaceDN w:val="0"/>
        <w:adjustRightInd w:val="0"/>
        <w:rPr>
          <w:bCs/>
          <w:iCs/>
          <w:szCs w:val="24"/>
        </w:rPr>
      </w:pPr>
    </w:p>
    <w:p w14:paraId="3DEA75D3" w14:textId="77777777" w:rsidR="0031139E" w:rsidRPr="007B2E4C" w:rsidRDefault="0031139E" w:rsidP="007B2E4C">
      <w:pPr>
        <w:widowControl w:val="0"/>
        <w:tabs>
          <w:tab w:val="left" w:pos="204"/>
        </w:tabs>
        <w:autoSpaceDE w:val="0"/>
        <w:autoSpaceDN w:val="0"/>
        <w:adjustRightInd w:val="0"/>
        <w:ind w:left="204"/>
        <w:rPr>
          <w:b/>
          <w:bCs/>
          <w:i/>
          <w:iCs/>
          <w:szCs w:val="24"/>
        </w:rPr>
      </w:pPr>
      <w:r w:rsidRPr="007B2E4C">
        <w:rPr>
          <w:b/>
          <w:bCs/>
          <w:i/>
          <w:iCs/>
          <w:szCs w:val="24"/>
        </w:rPr>
        <w:t>Report on Performance-based Planning Processes:  23 U.S.C. §§ 134(l)(2)</w:t>
      </w:r>
    </w:p>
    <w:p w14:paraId="66B6EFD3" w14:textId="77777777" w:rsidR="0031139E" w:rsidRPr="007B2E4C" w:rsidRDefault="0031139E" w:rsidP="0031139E">
      <w:pPr>
        <w:widowControl w:val="0"/>
        <w:tabs>
          <w:tab w:val="left" w:pos="204"/>
        </w:tabs>
        <w:autoSpaceDE w:val="0"/>
        <w:autoSpaceDN w:val="0"/>
        <w:adjustRightInd w:val="0"/>
        <w:ind w:left="204"/>
        <w:rPr>
          <w:b/>
          <w:bCs/>
          <w:i/>
          <w:iCs/>
          <w:szCs w:val="24"/>
        </w:rPr>
      </w:pPr>
      <w:r w:rsidRPr="007B2E4C">
        <w:rPr>
          <w:b/>
          <w:bCs/>
          <w:i/>
          <w:iCs/>
          <w:szCs w:val="24"/>
        </w:rPr>
        <w:t>2) Report. -Not later than 5 years after the date of enactment of the MAP–21, the Secretary shall submit to Congress a report evaluating—</w:t>
      </w:r>
    </w:p>
    <w:p w14:paraId="131B5922" w14:textId="77777777" w:rsidR="0031139E" w:rsidRPr="007B2E4C" w:rsidRDefault="0031139E" w:rsidP="007B2E4C">
      <w:pPr>
        <w:widowControl w:val="0"/>
        <w:numPr>
          <w:ilvl w:val="0"/>
          <w:numId w:val="50"/>
        </w:numPr>
        <w:tabs>
          <w:tab w:val="left" w:pos="204"/>
        </w:tabs>
        <w:autoSpaceDE w:val="0"/>
        <w:autoSpaceDN w:val="0"/>
        <w:adjustRightInd w:val="0"/>
        <w:rPr>
          <w:bCs/>
          <w:iCs/>
          <w:szCs w:val="24"/>
        </w:rPr>
      </w:pPr>
      <w:r w:rsidRPr="007B2E4C">
        <w:rPr>
          <w:bCs/>
          <w:iCs/>
          <w:szCs w:val="24"/>
        </w:rPr>
        <w:t>the overall effectiveness of performance-based planning as a tool for guiding transportation investments;</w:t>
      </w:r>
    </w:p>
    <w:p w14:paraId="1B371AE9" w14:textId="77777777" w:rsidR="0031139E" w:rsidRPr="007B2E4C" w:rsidRDefault="0031139E" w:rsidP="007B2E4C">
      <w:pPr>
        <w:widowControl w:val="0"/>
        <w:numPr>
          <w:ilvl w:val="0"/>
          <w:numId w:val="50"/>
        </w:numPr>
        <w:tabs>
          <w:tab w:val="left" w:pos="204"/>
        </w:tabs>
        <w:autoSpaceDE w:val="0"/>
        <w:autoSpaceDN w:val="0"/>
        <w:adjustRightInd w:val="0"/>
        <w:rPr>
          <w:bCs/>
          <w:iCs/>
          <w:szCs w:val="24"/>
        </w:rPr>
      </w:pPr>
      <w:r w:rsidRPr="007B2E4C">
        <w:rPr>
          <w:bCs/>
          <w:iCs/>
          <w:szCs w:val="24"/>
        </w:rPr>
        <w:t>the effectiveness of the performance-based planning process of each metropolitan planning organization under this section;</w:t>
      </w:r>
    </w:p>
    <w:p w14:paraId="2C1020E8" w14:textId="77777777" w:rsidR="0031139E" w:rsidRPr="007B2E4C" w:rsidRDefault="0031139E" w:rsidP="007B2E4C">
      <w:pPr>
        <w:widowControl w:val="0"/>
        <w:numPr>
          <w:ilvl w:val="0"/>
          <w:numId w:val="50"/>
        </w:numPr>
        <w:tabs>
          <w:tab w:val="left" w:pos="204"/>
        </w:tabs>
        <w:autoSpaceDE w:val="0"/>
        <w:autoSpaceDN w:val="0"/>
        <w:adjustRightInd w:val="0"/>
        <w:rPr>
          <w:bCs/>
          <w:iCs/>
          <w:szCs w:val="24"/>
        </w:rPr>
      </w:pPr>
      <w:r w:rsidRPr="007B2E4C">
        <w:rPr>
          <w:bCs/>
          <w:iCs/>
          <w:szCs w:val="24"/>
        </w:rPr>
        <w:t>the extent to which metropolitan planning organizations have achieved, or are currently making substantial progress toward achieving, the performance targets specified under this section and whether metropolitan planning organizations are developing meaningful performance targets; and</w:t>
      </w:r>
    </w:p>
    <w:p w14:paraId="01CB29F8" w14:textId="77777777" w:rsidR="0031139E" w:rsidRPr="007B2E4C" w:rsidRDefault="0031139E" w:rsidP="007B2E4C">
      <w:pPr>
        <w:widowControl w:val="0"/>
        <w:numPr>
          <w:ilvl w:val="0"/>
          <w:numId w:val="50"/>
        </w:numPr>
        <w:tabs>
          <w:tab w:val="left" w:pos="204"/>
        </w:tabs>
        <w:autoSpaceDE w:val="0"/>
        <w:autoSpaceDN w:val="0"/>
        <w:adjustRightInd w:val="0"/>
        <w:rPr>
          <w:bCs/>
          <w:iCs/>
          <w:szCs w:val="24"/>
        </w:rPr>
      </w:pPr>
      <w:r w:rsidRPr="007B2E4C">
        <w:rPr>
          <w:bCs/>
          <w:iCs/>
          <w:szCs w:val="24"/>
        </w:rPr>
        <w:t>the technical capacity of metropolitan planning organizations that operate within a metropolitan planning area of less than 200,000 and their ability to carry out the requirements of this section.</w:t>
      </w:r>
    </w:p>
    <w:p w14:paraId="6A15BFB8" w14:textId="77777777" w:rsidR="0031139E" w:rsidRPr="007B2E4C" w:rsidRDefault="0031139E" w:rsidP="007B2E4C">
      <w:pPr>
        <w:widowControl w:val="0"/>
        <w:tabs>
          <w:tab w:val="left" w:pos="204"/>
        </w:tabs>
        <w:autoSpaceDE w:val="0"/>
        <w:autoSpaceDN w:val="0"/>
        <w:adjustRightInd w:val="0"/>
        <w:ind w:left="204"/>
        <w:rPr>
          <w:b/>
          <w:bCs/>
          <w:i/>
          <w:iCs/>
          <w:szCs w:val="24"/>
        </w:rPr>
      </w:pPr>
    </w:p>
    <w:p w14:paraId="5F68F1A0" w14:textId="77777777" w:rsidR="0031139E" w:rsidRPr="007B2E4C" w:rsidRDefault="0031139E" w:rsidP="007B2E4C">
      <w:pPr>
        <w:widowControl w:val="0"/>
        <w:tabs>
          <w:tab w:val="left" w:pos="204"/>
        </w:tabs>
        <w:autoSpaceDE w:val="0"/>
        <w:autoSpaceDN w:val="0"/>
        <w:adjustRightInd w:val="0"/>
        <w:ind w:left="204"/>
        <w:rPr>
          <w:b/>
          <w:bCs/>
          <w:iCs/>
          <w:szCs w:val="24"/>
        </w:rPr>
      </w:pPr>
      <w:r w:rsidRPr="007B2E4C">
        <w:rPr>
          <w:b/>
          <w:bCs/>
          <w:i/>
          <w:iCs/>
          <w:szCs w:val="24"/>
        </w:rPr>
        <w:t>Performance-based Planning Processes Evaluation Report:  23 U.S.C. §§ 135(h)(2))</w:t>
      </w:r>
      <w:r w:rsidRPr="007B2E4C">
        <w:rPr>
          <w:b/>
          <w:bCs/>
          <w:iCs/>
          <w:szCs w:val="24"/>
        </w:rPr>
        <w:t xml:space="preserve"> </w:t>
      </w:r>
    </w:p>
    <w:p w14:paraId="580A7AAA" w14:textId="77777777" w:rsidR="0031139E" w:rsidRPr="007B2E4C" w:rsidRDefault="0031139E" w:rsidP="007B2E4C">
      <w:pPr>
        <w:widowControl w:val="0"/>
        <w:tabs>
          <w:tab w:val="left" w:pos="204"/>
        </w:tabs>
        <w:autoSpaceDE w:val="0"/>
        <w:autoSpaceDN w:val="0"/>
        <w:adjustRightInd w:val="0"/>
        <w:ind w:left="204"/>
        <w:rPr>
          <w:bCs/>
          <w:iCs/>
          <w:szCs w:val="24"/>
        </w:rPr>
      </w:pPr>
      <w:r w:rsidRPr="007B2E4C">
        <w:rPr>
          <w:bCs/>
          <w:iCs/>
          <w:szCs w:val="24"/>
        </w:rPr>
        <w:t>(2) In general.—Not later than 5 years after the date of enactment of the MAP–21, the Secretary shall submit to Congress a report evaluating—</w:t>
      </w:r>
    </w:p>
    <w:p w14:paraId="2510A90C" w14:textId="77777777" w:rsidR="00ED2FEB" w:rsidRPr="007B2E4C" w:rsidRDefault="0031139E" w:rsidP="007B2E4C">
      <w:pPr>
        <w:widowControl w:val="0"/>
        <w:numPr>
          <w:ilvl w:val="0"/>
          <w:numId w:val="48"/>
        </w:numPr>
        <w:tabs>
          <w:tab w:val="left" w:pos="204"/>
        </w:tabs>
        <w:autoSpaceDE w:val="0"/>
        <w:autoSpaceDN w:val="0"/>
        <w:adjustRightInd w:val="0"/>
        <w:rPr>
          <w:bCs/>
          <w:iCs/>
          <w:szCs w:val="24"/>
        </w:rPr>
      </w:pPr>
      <w:r w:rsidRPr="007B2E4C">
        <w:rPr>
          <w:bCs/>
          <w:iCs/>
          <w:szCs w:val="24"/>
        </w:rPr>
        <w:t>the overall effectiveness of performance-based planning as a tool for guiding transportation investments; and</w:t>
      </w:r>
    </w:p>
    <w:p w14:paraId="0B31EA4F" w14:textId="77777777" w:rsidR="00ED2FEB" w:rsidRPr="007B2E4C" w:rsidRDefault="0031139E" w:rsidP="007B2E4C">
      <w:pPr>
        <w:widowControl w:val="0"/>
        <w:numPr>
          <w:ilvl w:val="0"/>
          <w:numId w:val="48"/>
        </w:numPr>
        <w:tabs>
          <w:tab w:val="left" w:pos="204"/>
        </w:tabs>
        <w:autoSpaceDE w:val="0"/>
        <w:autoSpaceDN w:val="0"/>
        <w:adjustRightInd w:val="0"/>
        <w:rPr>
          <w:bCs/>
          <w:iCs/>
          <w:szCs w:val="24"/>
        </w:rPr>
      </w:pPr>
      <w:r w:rsidRPr="007B2E4C">
        <w:rPr>
          <w:bCs/>
          <w:iCs/>
          <w:szCs w:val="24"/>
        </w:rPr>
        <w:t>the effectiveness of the performance-based planning process of each State.</w:t>
      </w:r>
    </w:p>
    <w:p w14:paraId="14F68DFA" w14:textId="77777777" w:rsidR="001D224D" w:rsidRPr="007B2E4C" w:rsidRDefault="001D224D" w:rsidP="000A6210">
      <w:pPr>
        <w:widowControl w:val="0"/>
        <w:tabs>
          <w:tab w:val="left" w:pos="540"/>
        </w:tabs>
        <w:rPr>
          <w:b/>
          <w:szCs w:val="24"/>
        </w:rPr>
      </w:pPr>
    </w:p>
    <w:p w14:paraId="51B168EA" w14:textId="77777777" w:rsidR="001D224D" w:rsidRPr="007B2E4C" w:rsidRDefault="001D224D" w:rsidP="000A6210">
      <w:pPr>
        <w:widowControl w:val="0"/>
        <w:tabs>
          <w:tab w:val="left" w:pos="540"/>
        </w:tabs>
        <w:rPr>
          <w:b/>
          <w:szCs w:val="24"/>
        </w:rPr>
      </w:pPr>
      <w:r w:rsidRPr="007B2E4C">
        <w:rPr>
          <w:b/>
          <w:szCs w:val="24"/>
        </w:rPr>
        <w:t>3.</w:t>
      </w:r>
      <w:r w:rsidRPr="007B2E4C">
        <w:rPr>
          <w:b/>
          <w:szCs w:val="24"/>
        </w:rPr>
        <w:tab/>
      </w:r>
      <w:r w:rsidR="00F45271" w:rsidRPr="007B2E4C">
        <w:rPr>
          <w:b/>
          <w:szCs w:val="24"/>
          <w:u w:val="single"/>
        </w:rPr>
        <w:t>Extent of automated information collection</w:t>
      </w:r>
      <w:r w:rsidR="00F45271" w:rsidRPr="007B2E4C">
        <w:rPr>
          <w:b/>
          <w:szCs w:val="24"/>
        </w:rPr>
        <w:t xml:space="preserve">.  </w:t>
      </w:r>
    </w:p>
    <w:p w14:paraId="1E12C296" w14:textId="77777777" w:rsidR="001D224D" w:rsidRPr="007B2E4C" w:rsidRDefault="001D224D" w:rsidP="000A6210">
      <w:pPr>
        <w:widowControl w:val="0"/>
        <w:tabs>
          <w:tab w:val="left" w:pos="540"/>
        </w:tabs>
        <w:rPr>
          <w:b/>
          <w:szCs w:val="24"/>
        </w:rPr>
      </w:pPr>
    </w:p>
    <w:p w14:paraId="50BFA558" w14:textId="77777777" w:rsidR="00B6362D" w:rsidRPr="007B2E4C" w:rsidRDefault="00B6362D" w:rsidP="00B6362D">
      <w:pPr>
        <w:widowControl w:val="0"/>
        <w:tabs>
          <w:tab w:val="left" w:pos="540"/>
        </w:tabs>
        <w:rPr>
          <w:szCs w:val="24"/>
        </w:rPr>
      </w:pPr>
      <w:r w:rsidRPr="007B2E4C">
        <w:rPr>
          <w:szCs w:val="24"/>
        </w:rPr>
        <w:t xml:space="preserve">The information will be collected via </w:t>
      </w:r>
      <w:r w:rsidR="00005AC8" w:rsidRPr="007B2E4C">
        <w:rPr>
          <w:szCs w:val="24"/>
        </w:rPr>
        <w:t xml:space="preserve">an </w:t>
      </w:r>
      <w:r w:rsidRPr="007B2E4C">
        <w:rPr>
          <w:szCs w:val="24"/>
        </w:rPr>
        <w:t xml:space="preserve">internet-based survey and </w:t>
      </w:r>
      <w:r w:rsidR="000D6E91" w:rsidRPr="007B2E4C">
        <w:rPr>
          <w:szCs w:val="24"/>
        </w:rPr>
        <w:t>automated self-</w:t>
      </w:r>
      <w:r w:rsidRPr="007B2E4C">
        <w:rPr>
          <w:szCs w:val="24"/>
        </w:rPr>
        <w:t>assessment</w:t>
      </w:r>
      <w:r w:rsidR="000D6E91" w:rsidRPr="007B2E4C">
        <w:rPr>
          <w:szCs w:val="24"/>
        </w:rPr>
        <w:t xml:space="preserve"> tool</w:t>
      </w:r>
      <w:r w:rsidR="00005AC8" w:rsidRPr="007B2E4C">
        <w:rPr>
          <w:szCs w:val="24"/>
        </w:rPr>
        <w:t>s.</w:t>
      </w:r>
      <w:r w:rsidRPr="007B2E4C">
        <w:rPr>
          <w:szCs w:val="24"/>
        </w:rPr>
        <w:t xml:space="preserve"> </w:t>
      </w:r>
      <w:r w:rsidR="000D6E91" w:rsidRPr="007B2E4C">
        <w:rPr>
          <w:szCs w:val="24"/>
        </w:rPr>
        <w:t xml:space="preserve">All information will be collected and stored electronically. </w:t>
      </w:r>
    </w:p>
    <w:p w14:paraId="63370B4A" w14:textId="77777777" w:rsidR="00B6362D" w:rsidRPr="007B2E4C" w:rsidRDefault="00B6362D" w:rsidP="00B6362D">
      <w:pPr>
        <w:widowControl w:val="0"/>
        <w:tabs>
          <w:tab w:val="left" w:pos="540"/>
        </w:tabs>
        <w:rPr>
          <w:szCs w:val="24"/>
        </w:rPr>
      </w:pPr>
    </w:p>
    <w:p w14:paraId="51B90C6B" w14:textId="77777777" w:rsidR="001D224D" w:rsidRPr="007B2E4C" w:rsidRDefault="000A6210" w:rsidP="000A6210">
      <w:pPr>
        <w:widowControl w:val="0"/>
        <w:numPr>
          <w:ilvl w:val="0"/>
          <w:numId w:val="11"/>
        </w:numPr>
        <w:tabs>
          <w:tab w:val="clear" w:pos="720"/>
          <w:tab w:val="num" w:pos="-90"/>
          <w:tab w:val="left" w:pos="0"/>
          <w:tab w:val="left" w:pos="540"/>
        </w:tabs>
        <w:ind w:left="-90" w:firstLine="0"/>
        <w:rPr>
          <w:b/>
          <w:szCs w:val="24"/>
        </w:rPr>
      </w:pPr>
      <w:r w:rsidRPr="007B2E4C">
        <w:rPr>
          <w:b/>
          <w:szCs w:val="24"/>
          <w:u w:val="single"/>
        </w:rPr>
        <w:t>Describe efforts to identify duplication.</w:t>
      </w:r>
      <w:r w:rsidRPr="007B2E4C">
        <w:rPr>
          <w:b/>
          <w:szCs w:val="24"/>
        </w:rPr>
        <w:t xml:space="preserve">   </w:t>
      </w:r>
    </w:p>
    <w:p w14:paraId="431E4C59" w14:textId="77777777" w:rsidR="00720D5B" w:rsidRPr="007B2E4C" w:rsidRDefault="00720D5B" w:rsidP="00720D5B">
      <w:pPr>
        <w:widowControl w:val="0"/>
        <w:tabs>
          <w:tab w:val="left" w:pos="0"/>
          <w:tab w:val="left" w:pos="540"/>
        </w:tabs>
        <w:ind w:left="-90"/>
        <w:rPr>
          <w:b/>
          <w:szCs w:val="24"/>
          <w:u w:val="single"/>
        </w:rPr>
      </w:pPr>
    </w:p>
    <w:p w14:paraId="7C63C640" w14:textId="77777777" w:rsidR="008E62AF" w:rsidRPr="007B2E4C" w:rsidRDefault="008E62AF" w:rsidP="008E62AF">
      <w:pPr>
        <w:widowControl w:val="0"/>
        <w:tabs>
          <w:tab w:val="left" w:pos="0"/>
          <w:tab w:val="left" w:pos="540"/>
        </w:tabs>
        <w:ind w:left="-90"/>
        <w:rPr>
          <w:szCs w:val="24"/>
        </w:rPr>
      </w:pPr>
      <w:r w:rsidRPr="007B2E4C">
        <w:rPr>
          <w:szCs w:val="24"/>
        </w:rPr>
        <w:t>There is no duplication or existing source for the information to be collected. FHWA has conducted an extensive literature review of previously collected data and found no uniform source of data available for all agencies.</w:t>
      </w:r>
    </w:p>
    <w:p w14:paraId="1AB96FE0" w14:textId="77777777" w:rsidR="000907D5" w:rsidRPr="007B2E4C" w:rsidRDefault="000907D5" w:rsidP="000A6210">
      <w:pPr>
        <w:widowControl w:val="0"/>
        <w:tabs>
          <w:tab w:val="left" w:pos="540"/>
        </w:tabs>
        <w:ind w:left="360"/>
        <w:rPr>
          <w:b/>
          <w:szCs w:val="24"/>
        </w:rPr>
      </w:pPr>
    </w:p>
    <w:p w14:paraId="5705AA22" w14:textId="77777777" w:rsidR="001D224D" w:rsidRPr="007B2E4C" w:rsidRDefault="001D224D" w:rsidP="000A6210">
      <w:pPr>
        <w:widowControl w:val="0"/>
        <w:tabs>
          <w:tab w:val="left" w:pos="540"/>
        </w:tabs>
        <w:ind w:left="720"/>
        <w:rPr>
          <w:szCs w:val="24"/>
        </w:rPr>
      </w:pPr>
      <w:r w:rsidRPr="007B2E4C">
        <w:rPr>
          <w:szCs w:val="24"/>
        </w:rPr>
        <w:t xml:space="preserve">                      </w:t>
      </w:r>
    </w:p>
    <w:p w14:paraId="0F5CB851" w14:textId="77777777" w:rsidR="001D224D" w:rsidRPr="007B2E4C" w:rsidRDefault="001D224D" w:rsidP="000A6210">
      <w:pPr>
        <w:widowControl w:val="0"/>
        <w:tabs>
          <w:tab w:val="left" w:pos="540"/>
        </w:tabs>
        <w:rPr>
          <w:b/>
          <w:szCs w:val="24"/>
        </w:rPr>
      </w:pPr>
      <w:r w:rsidRPr="007B2E4C">
        <w:rPr>
          <w:b/>
          <w:szCs w:val="24"/>
        </w:rPr>
        <w:t>5.</w:t>
      </w:r>
      <w:r w:rsidRPr="007B2E4C">
        <w:rPr>
          <w:b/>
          <w:szCs w:val="24"/>
        </w:rPr>
        <w:tab/>
      </w:r>
      <w:r w:rsidR="000A6210" w:rsidRPr="007B2E4C">
        <w:rPr>
          <w:b/>
          <w:szCs w:val="24"/>
          <w:u w:val="single"/>
        </w:rPr>
        <w:t xml:space="preserve">Efforts to minimize the </w:t>
      </w:r>
      <w:r w:rsidR="00CB30D6" w:rsidRPr="007B2E4C">
        <w:rPr>
          <w:b/>
          <w:szCs w:val="24"/>
          <w:u w:val="single"/>
        </w:rPr>
        <w:t>burden on</w:t>
      </w:r>
      <w:r w:rsidR="000A6210" w:rsidRPr="007B2E4C">
        <w:rPr>
          <w:b/>
          <w:szCs w:val="24"/>
          <w:u w:val="single"/>
        </w:rPr>
        <w:t xml:space="preserve"> small businesses</w:t>
      </w:r>
      <w:r w:rsidR="000A6210" w:rsidRPr="007B2E4C">
        <w:rPr>
          <w:szCs w:val="24"/>
        </w:rPr>
        <w:t xml:space="preserve">.  </w:t>
      </w:r>
    </w:p>
    <w:p w14:paraId="7317A65B" w14:textId="77777777" w:rsidR="005024B4" w:rsidRPr="007B2E4C" w:rsidRDefault="005024B4" w:rsidP="000A6210">
      <w:pPr>
        <w:widowControl w:val="0"/>
        <w:tabs>
          <w:tab w:val="left" w:pos="540"/>
        </w:tabs>
        <w:rPr>
          <w:b/>
          <w:szCs w:val="24"/>
        </w:rPr>
      </w:pPr>
    </w:p>
    <w:p w14:paraId="6D55F455" w14:textId="77777777" w:rsidR="00DC0105" w:rsidRPr="007B2E4C" w:rsidRDefault="00DC0105" w:rsidP="00DC0105">
      <w:pPr>
        <w:rPr>
          <w:szCs w:val="24"/>
        </w:rPr>
      </w:pPr>
      <w:r w:rsidRPr="007B2E4C">
        <w:rPr>
          <w:szCs w:val="24"/>
        </w:rPr>
        <w:t>This information collection does not involve small businesses.</w:t>
      </w:r>
    </w:p>
    <w:p w14:paraId="158B43B6" w14:textId="77777777" w:rsidR="005024B4" w:rsidRPr="007B2E4C" w:rsidRDefault="005024B4" w:rsidP="00720D5B">
      <w:pPr>
        <w:widowControl w:val="0"/>
        <w:tabs>
          <w:tab w:val="left" w:pos="0"/>
          <w:tab w:val="left" w:pos="540"/>
        </w:tabs>
        <w:ind w:left="-90"/>
        <w:rPr>
          <w:szCs w:val="24"/>
        </w:rPr>
      </w:pPr>
    </w:p>
    <w:p w14:paraId="1AB16713" w14:textId="77777777" w:rsidR="001D224D" w:rsidRPr="007B2E4C" w:rsidRDefault="001D224D" w:rsidP="000A6210">
      <w:pPr>
        <w:widowControl w:val="0"/>
        <w:tabs>
          <w:tab w:val="left" w:pos="540"/>
        </w:tabs>
        <w:rPr>
          <w:b/>
          <w:szCs w:val="24"/>
        </w:rPr>
      </w:pPr>
      <w:r w:rsidRPr="007B2E4C">
        <w:rPr>
          <w:b/>
          <w:szCs w:val="24"/>
        </w:rPr>
        <w:t>6.</w:t>
      </w:r>
      <w:r w:rsidRPr="007B2E4C">
        <w:rPr>
          <w:b/>
          <w:szCs w:val="24"/>
        </w:rPr>
        <w:tab/>
      </w:r>
      <w:r w:rsidR="0014478D" w:rsidRPr="007B2E4C">
        <w:rPr>
          <w:b/>
          <w:szCs w:val="24"/>
          <w:u w:val="single"/>
        </w:rPr>
        <w:t>Impact of less frequent collection of information</w:t>
      </w:r>
      <w:r w:rsidRPr="007B2E4C">
        <w:rPr>
          <w:b/>
          <w:szCs w:val="24"/>
        </w:rPr>
        <w:t>.</w:t>
      </w:r>
    </w:p>
    <w:p w14:paraId="22CC0218" w14:textId="77777777" w:rsidR="003340B0" w:rsidRPr="007B2E4C" w:rsidRDefault="003340B0" w:rsidP="003340B0">
      <w:pPr>
        <w:widowControl w:val="0"/>
        <w:tabs>
          <w:tab w:val="left" w:pos="540"/>
        </w:tabs>
        <w:rPr>
          <w:color w:val="FF0000"/>
          <w:szCs w:val="24"/>
        </w:rPr>
      </w:pPr>
    </w:p>
    <w:p w14:paraId="0779236C" w14:textId="77777777" w:rsidR="003340B0" w:rsidRPr="007B2E4C" w:rsidRDefault="003340B0" w:rsidP="003340B0">
      <w:pPr>
        <w:widowControl w:val="0"/>
        <w:tabs>
          <w:tab w:val="left" w:pos="540"/>
        </w:tabs>
        <w:rPr>
          <w:szCs w:val="24"/>
        </w:rPr>
      </w:pPr>
      <w:r w:rsidRPr="007B2E4C">
        <w:rPr>
          <w:szCs w:val="24"/>
        </w:rPr>
        <w:t>Without these data FHWA will not be in a position to properly support state and regional agencies.</w:t>
      </w:r>
      <w:r w:rsidR="006F30E9" w:rsidRPr="007B2E4C">
        <w:rPr>
          <w:szCs w:val="24"/>
        </w:rPr>
        <w:t xml:space="preserve"> </w:t>
      </w:r>
      <w:r w:rsidRPr="007B2E4C">
        <w:rPr>
          <w:szCs w:val="24"/>
        </w:rPr>
        <w:t xml:space="preserve"> Instead, data will have to be collected on a agency-by-agency bases causing massive inefficiencies.</w:t>
      </w:r>
      <w:r w:rsidR="006F30E9" w:rsidRPr="007B2E4C">
        <w:rPr>
          <w:szCs w:val="24"/>
        </w:rPr>
        <w:t xml:space="preserve"> Collection of this data would also be duplicated by several non-governmental agencies interested in using such data if FHWA does </w:t>
      </w:r>
      <w:r w:rsidR="00A80D9B" w:rsidRPr="007B2E4C">
        <w:rPr>
          <w:szCs w:val="24"/>
        </w:rPr>
        <w:t xml:space="preserve">not </w:t>
      </w:r>
      <w:r w:rsidR="006F30E9" w:rsidRPr="007B2E4C">
        <w:rPr>
          <w:szCs w:val="24"/>
        </w:rPr>
        <w:t xml:space="preserve">step in and standardize the </w:t>
      </w:r>
      <w:r w:rsidR="00A80D9B" w:rsidRPr="007B2E4C">
        <w:rPr>
          <w:szCs w:val="24"/>
        </w:rPr>
        <w:t xml:space="preserve">information </w:t>
      </w:r>
      <w:r w:rsidR="006F30E9" w:rsidRPr="007B2E4C">
        <w:rPr>
          <w:szCs w:val="24"/>
        </w:rPr>
        <w:t xml:space="preserve">collection process. </w:t>
      </w:r>
    </w:p>
    <w:p w14:paraId="4D508B66" w14:textId="77777777" w:rsidR="001D224D" w:rsidRPr="007B2E4C" w:rsidRDefault="001D224D" w:rsidP="000A6210">
      <w:pPr>
        <w:widowControl w:val="0"/>
        <w:tabs>
          <w:tab w:val="left" w:pos="540"/>
        </w:tabs>
        <w:rPr>
          <w:b/>
          <w:szCs w:val="24"/>
        </w:rPr>
      </w:pPr>
      <w:r w:rsidRPr="007B2E4C">
        <w:rPr>
          <w:b/>
          <w:szCs w:val="24"/>
        </w:rPr>
        <w:tab/>
      </w:r>
    </w:p>
    <w:p w14:paraId="2600A57E" w14:textId="77777777" w:rsidR="001D224D" w:rsidRPr="007B2E4C" w:rsidRDefault="001D224D" w:rsidP="000A6210">
      <w:pPr>
        <w:widowControl w:val="0"/>
        <w:tabs>
          <w:tab w:val="left" w:pos="540"/>
        </w:tabs>
        <w:rPr>
          <w:b/>
          <w:szCs w:val="24"/>
        </w:rPr>
      </w:pPr>
      <w:r w:rsidRPr="007B2E4C">
        <w:rPr>
          <w:b/>
          <w:szCs w:val="24"/>
        </w:rPr>
        <w:t>7.</w:t>
      </w:r>
      <w:r w:rsidRPr="007B2E4C">
        <w:rPr>
          <w:b/>
          <w:szCs w:val="24"/>
        </w:rPr>
        <w:tab/>
      </w:r>
      <w:r w:rsidR="0014478D" w:rsidRPr="007B2E4C">
        <w:rPr>
          <w:b/>
          <w:szCs w:val="24"/>
          <w:u w:val="single"/>
        </w:rPr>
        <w:t>Special Circumstances</w:t>
      </w:r>
      <w:r w:rsidR="0014478D" w:rsidRPr="007B2E4C">
        <w:rPr>
          <w:b/>
          <w:szCs w:val="24"/>
        </w:rPr>
        <w:t xml:space="preserve">.  </w:t>
      </w:r>
      <w:r w:rsidRPr="007B2E4C">
        <w:rPr>
          <w:b/>
          <w:szCs w:val="24"/>
        </w:rPr>
        <w:t>EXPLAIN ANY SPECIAL CIRCUMSTANCES THAT WOULD CAUSE AN INFORMATION COLLECTION TO BE CONDUCTED IN A MANNER:</w:t>
      </w:r>
    </w:p>
    <w:p w14:paraId="01D999A9" w14:textId="77777777" w:rsidR="001D224D" w:rsidRPr="007B2E4C" w:rsidRDefault="001D224D" w:rsidP="000A6210">
      <w:pPr>
        <w:widowControl w:val="0"/>
        <w:tabs>
          <w:tab w:val="left" w:pos="540"/>
        </w:tabs>
        <w:rPr>
          <w:b/>
          <w:szCs w:val="24"/>
        </w:rPr>
      </w:pPr>
    </w:p>
    <w:p w14:paraId="13E8956E" w14:textId="77777777" w:rsidR="00DC0105" w:rsidRPr="007B2E4C" w:rsidRDefault="00DC0105" w:rsidP="00DC0105">
      <w:pPr>
        <w:rPr>
          <w:szCs w:val="24"/>
        </w:rPr>
      </w:pPr>
      <w:r w:rsidRPr="007B2E4C">
        <w:rPr>
          <w:szCs w:val="24"/>
        </w:rPr>
        <w:t>There are no special circumstances associated with this information collection.</w:t>
      </w:r>
    </w:p>
    <w:p w14:paraId="5CB956CE" w14:textId="77777777" w:rsidR="001D224D" w:rsidRPr="007B2E4C" w:rsidRDefault="001D224D" w:rsidP="000A6210">
      <w:pPr>
        <w:widowControl w:val="0"/>
        <w:tabs>
          <w:tab w:val="left" w:pos="540"/>
        </w:tabs>
        <w:rPr>
          <w:szCs w:val="24"/>
        </w:rPr>
      </w:pPr>
    </w:p>
    <w:p w14:paraId="4D44165E" w14:textId="77777777" w:rsidR="008E62AF" w:rsidRPr="007B2E4C" w:rsidRDefault="001D224D" w:rsidP="00946FB5">
      <w:pPr>
        <w:widowControl w:val="0"/>
        <w:tabs>
          <w:tab w:val="left" w:pos="540"/>
        </w:tabs>
        <w:rPr>
          <w:b/>
          <w:szCs w:val="24"/>
        </w:rPr>
      </w:pPr>
      <w:r w:rsidRPr="007B2E4C">
        <w:rPr>
          <w:b/>
          <w:szCs w:val="24"/>
        </w:rPr>
        <w:t>8.</w:t>
      </w:r>
      <w:r w:rsidRPr="007B2E4C">
        <w:rPr>
          <w:b/>
          <w:szCs w:val="24"/>
        </w:rPr>
        <w:tab/>
      </w:r>
      <w:r w:rsidR="0026419F" w:rsidRPr="007B2E4C">
        <w:rPr>
          <w:b/>
          <w:szCs w:val="24"/>
          <w:u w:val="single"/>
        </w:rPr>
        <w:t>Compliance with 5 CFR 1320.8(d)</w:t>
      </w:r>
      <w:r w:rsidR="0026419F" w:rsidRPr="007B2E4C">
        <w:rPr>
          <w:b/>
          <w:szCs w:val="24"/>
        </w:rPr>
        <w:t>.</w:t>
      </w:r>
      <w:r w:rsidR="0026419F" w:rsidRPr="007B2E4C">
        <w:rPr>
          <w:szCs w:val="24"/>
        </w:rPr>
        <w:t xml:space="preserve"> </w:t>
      </w:r>
      <w:r w:rsidR="00946FB5" w:rsidRPr="007B2E4C">
        <w:rPr>
          <w:szCs w:val="24"/>
        </w:rPr>
        <w:t xml:space="preserve"> </w:t>
      </w:r>
      <w:r w:rsidR="0026419F" w:rsidRPr="007B2E4C">
        <w:rPr>
          <w:szCs w:val="24"/>
        </w:rPr>
        <w:t xml:space="preserve"> </w:t>
      </w:r>
    </w:p>
    <w:p w14:paraId="481B05D1" w14:textId="77777777" w:rsidR="00946FB5" w:rsidRPr="007B2E4C" w:rsidRDefault="00946FB5" w:rsidP="00946FB5">
      <w:pPr>
        <w:widowControl w:val="0"/>
        <w:tabs>
          <w:tab w:val="left" w:pos="540"/>
        </w:tabs>
        <w:rPr>
          <w:color w:val="FF0000"/>
          <w:szCs w:val="24"/>
        </w:rPr>
      </w:pPr>
    </w:p>
    <w:p w14:paraId="4FBAEB75" w14:textId="77777777" w:rsidR="00946FB5" w:rsidRPr="007B2E4C" w:rsidRDefault="00946FB5" w:rsidP="00946FB5">
      <w:pPr>
        <w:rPr>
          <w:szCs w:val="24"/>
        </w:rPr>
      </w:pPr>
      <w:r w:rsidRPr="007B2E4C">
        <w:rPr>
          <w:szCs w:val="24"/>
        </w:rPr>
        <w:t>The FHWA published a</w:t>
      </w:r>
      <w:r w:rsidR="00A80D9B" w:rsidRPr="007B2E4C">
        <w:rPr>
          <w:szCs w:val="24"/>
        </w:rPr>
        <w:t xml:space="preserve"> 60-d</w:t>
      </w:r>
      <w:r w:rsidR="00747FDA" w:rsidRPr="007B2E4C">
        <w:rPr>
          <w:szCs w:val="24"/>
        </w:rPr>
        <w:t xml:space="preserve">ay Federal Register notice </w:t>
      </w:r>
      <w:r w:rsidR="008760B3" w:rsidRPr="007B2E4C">
        <w:rPr>
          <w:szCs w:val="24"/>
        </w:rPr>
        <w:t xml:space="preserve">(Docket No. FHWA-2015-0013) </w:t>
      </w:r>
      <w:r w:rsidR="00747FDA" w:rsidRPr="007B2E4C">
        <w:rPr>
          <w:szCs w:val="24"/>
        </w:rPr>
        <w:t xml:space="preserve">on  June 23, 2015 </w:t>
      </w:r>
      <w:r w:rsidR="008760B3" w:rsidRPr="007B2E4C">
        <w:rPr>
          <w:szCs w:val="24"/>
        </w:rPr>
        <w:t xml:space="preserve">(80 FR, pages 36039 – 36040) </w:t>
      </w:r>
      <w:r w:rsidR="00747FDA" w:rsidRPr="007B2E4C">
        <w:rPr>
          <w:szCs w:val="24"/>
        </w:rPr>
        <w:t xml:space="preserve">and a follow-up </w:t>
      </w:r>
      <w:r w:rsidRPr="007B2E4C">
        <w:rPr>
          <w:szCs w:val="24"/>
        </w:rPr>
        <w:t xml:space="preserve"> </w:t>
      </w:r>
      <w:r w:rsidR="008760B3" w:rsidRPr="007B2E4C">
        <w:rPr>
          <w:szCs w:val="24"/>
        </w:rPr>
        <w:t>30-</w:t>
      </w:r>
      <w:r w:rsidR="00A80D9B" w:rsidRPr="007B2E4C">
        <w:rPr>
          <w:szCs w:val="24"/>
        </w:rPr>
        <w:t>d</w:t>
      </w:r>
      <w:r w:rsidR="00747FDA" w:rsidRPr="007B2E4C">
        <w:rPr>
          <w:szCs w:val="24"/>
        </w:rPr>
        <w:t xml:space="preserve">ay </w:t>
      </w:r>
      <w:r w:rsidRPr="007B2E4C">
        <w:rPr>
          <w:szCs w:val="24"/>
        </w:rPr>
        <w:t>Federal Register</w:t>
      </w:r>
      <w:r w:rsidR="009D030B" w:rsidRPr="007B2E4C">
        <w:rPr>
          <w:szCs w:val="24"/>
        </w:rPr>
        <w:t xml:space="preserve"> </w:t>
      </w:r>
      <w:r w:rsidRPr="007B2E4C">
        <w:rPr>
          <w:szCs w:val="24"/>
        </w:rPr>
        <w:t xml:space="preserve"> notice </w:t>
      </w:r>
      <w:r w:rsidR="009D030B" w:rsidRPr="007B2E4C">
        <w:rPr>
          <w:szCs w:val="24"/>
        </w:rPr>
        <w:t>(Docket No. FHWA-2016-0010)</w:t>
      </w:r>
      <w:r w:rsidR="00747FDA" w:rsidRPr="007B2E4C">
        <w:rPr>
          <w:szCs w:val="24"/>
        </w:rPr>
        <w:t xml:space="preserve"> </w:t>
      </w:r>
      <w:r w:rsidRPr="007B2E4C">
        <w:rPr>
          <w:szCs w:val="24"/>
        </w:rPr>
        <w:t xml:space="preserve">on </w:t>
      </w:r>
      <w:r w:rsidR="009D030B" w:rsidRPr="007B2E4C">
        <w:rPr>
          <w:szCs w:val="24"/>
        </w:rPr>
        <w:t xml:space="preserve">March 30, 2016  </w:t>
      </w:r>
      <w:r w:rsidRPr="007B2E4C">
        <w:rPr>
          <w:szCs w:val="24"/>
        </w:rPr>
        <w:t>(</w:t>
      </w:r>
      <w:r w:rsidR="009D030B" w:rsidRPr="007B2E4C">
        <w:rPr>
          <w:szCs w:val="24"/>
        </w:rPr>
        <w:t xml:space="preserve">81 FR, pages 17758-17760 </w:t>
      </w:r>
      <w:r w:rsidRPr="007B2E4C">
        <w:rPr>
          <w:szCs w:val="24"/>
        </w:rPr>
        <w:t xml:space="preserve">), which </w:t>
      </w:r>
      <w:r w:rsidR="00747FDA" w:rsidRPr="007B2E4C">
        <w:rPr>
          <w:szCs w:val="24"/>
        </w:rPr>
        <w:t xml:space="preserve">both </w:t>
      </w:r>
      <w:r w:rsidRPr="007B2E4C">
        <w:rPr>
          <w:szCs w:val="24"/>
        </w:rPr>
        <w:t xml:space="preserve">solicited public comments on our intent to seek approval for this information collection.  </w:t>
      </w:r>
      <w:r w:rsidR="00747FDA" w:rsidRPr="007B2E4C">
        <w:rPr>
          <w:szCs w:val="24"/>
        </w:rPr>
        <w:t>The ICR has been revised to address comments receieved during both the 30</w:t>
      </w:r>
      <w:r w:rsidR="00A80D9B" w:rsidRPr="007B2E4C">
        <w:rPr>
          <w:szCs w:val="24"/>
        </w:rPr>
        <w:t>-d</w:t>
      </w:r>
      <w:r w:rsidR="00747FDA" w:rsidRPr="007B2E4C">
        <w:rPr>
          <w:szCs w:val="24"/>
        </w:rPr>
        <w:t>ay and 60</w:t>
      </w:r>
      <w:r w:rsidR="00A80D9B" w:rsidRPr="007B2E4C">
        <w:rPr>
          <w:szCs w:val="24"/>
        </w:rPr>
        <w:t>-d</w:t>
      </w:r>
      <w:r w:rsidR="00747FDA" w:rsidRPr="007B2E4C">
        <w:rPr>
          <w:szCs w:val="24"/>
        </w:rPr>
        <w:t>ay federal register notices. To allow for additional stakeholder comments, FHWA extended the second federal register notice an additional 30 days</w:t>
      </w:r>
      <w:r w:rsidR="008760B3" w:rsidRPr="007B2E4C">
        <w:rPr>
          <w:szCs w:val="24"/>
        </w:rPr>
        <w:t xml:space="preserve"> (the docket closed on May 31, 2016)</w:t>
      </w:r>
      <w:r w:rsidR="00747FDA" w:rsidRPr="007B2E4C">
        <w:rPr>
          <w:szCs w:val="24"/>
        </w:rPr>
        <w:t xml:space="preserve">.  </w:t>
      </w:r>
    </w:p>
    <w:p w14:paraId="50E7BAC0" w14:textId="77777777" w:rsidR="008E62AF" w:rsidRPr="007B2E4C" w:rsidRDefault="008E62AF" w:rsidP="00492398">
      <w:pPr>
        <w:widowControl w:val="0"/>
        <w:tabs>
          <w:tab w:val="left" w:pos="540"/>
        </w:tabs>
        <w:rPr>
          <w:szCs w:val="24"/>
        </w:rPr>
      </w:pPr>
    </w:p>
    <w:p w14:paraId="64F42A05" w14:textId="77777777" w:rsidR="001D224D" w:rsidRPr="007B2E4C" w:rsidRDefault="0026419F" w:rsidP="00AA1704">
      <w:pPr>
        <w:widowControl w:val="0"/>
        <w:numPr>
          <w:ilvl w:val="0"/>
          <w:numId w:val="9"/>
        </w:numPr>
        <w:tabs>
          <w:tab w:val="clear" w:pos="720"/>
          <w:tab w:val="num" w:pos="90"/>
          <w:tab w:val="left" w:pos="540"/>
        </w:tabs>
        <w:ind w:left="0" w:firstLine="0"/>
        <w:rPr>
          <w:b/>
          <w:szCs w:val="24"/>
        </w:rPr>
      </w:pPr>
      <w:r w:rsidRPr="007B2E4C">
        <w:rPr>
          <w:b/>
          <w:szCs w:val="24"/>
          <w:u w:val="single"/>
        </w:rPr>
        <w:t>Payment or gifts to respondents.</w:t>
      </w:r>
      <w:r w:rsidRPr="007B2E4C">
        <w:rPr>
          <w:b/>
          <w:szCs w:val="24"/>
        </w:rPr>
        <w:t xml:space="preserve">   </w:t>
      </w:r>
      <w:r w:rsidR="00946FB5" w:rsidRPr="007B2E4C">
        <w:rPr>
          <w:b/>
          <w:szCs w:val="24"/>
        </w:rPr>
        <w:t xml:space="preserve"> </w:t>
      </w:r>
    </w:p>
    <w:p w14:paraId="05FCEC98" w14:textId="77777777" w:rsidR="001D224D" w:rsidRPr="007B2E4C" w:rsidRDefault="001D224D" w:rsidP="000A6210">
      <w:pPr>
        <w:widowControl w:val="0"/>
        <w:tabs>
          <w:tab w:val="left" w:pos="540"/>
        </w:tabs>
        <w:ind w:left="720"/>
        <w:rPr>
          <w:szCs w:val="24"/>
        </w:rPr>
      </w:pPr>
    </w:p>
    <w:p w14:paraId="530D3079" w14:textId="77777777" w:rsidR="00946FB5" w:rsidRPr="007B2E4C" w:rsidRDefault="00946FB5" w:rsidP="00946FB5">
      <w:pPr>
        <w:rPr>
          <w:szCs w:val="24"/>
        </w:rPr>
      </w:pPr>
      <w:r w:rsidRPr="007B2E4C">
        <w:rPr>
          <w:szCs w:val="24"/>
        </w:rPr>
        <w:t>No payments or gifts are provided to respondents.</w:t>
      </w:r>
    </w:p>
    <w:p w14:paraId="3C098712" w14:textId="77777777" w:rsidR="008E62AF" w:rsidRPr="007B2E4C" w:rsidRDefault="008E62AF" w:rsidP="000A6210">
      <w:pPr>
        <w:widowControl w:val="0"/>
        <w:tabs>
          <w:tab w:val="left" w:pos="540"/>
        </w:tabs>
        <w:rPr>
          <w:szCs w:val="24"/>
        </w:rPr>
      </w:pPr>
    </w:p>
    <w:p w14:paraId="548F93B5" w14:textId="77777777" w:rsidR="001D224D" w:rsidRPr="007B2E4C" w:rsidRDefault="001D224D" w:rsidP="00AA1704">
      <w:pPr>
        <w:widowControl w:val="0"/>
        <w:tabs>
          <w:tab w:val="left" w:pos="540"/>
        </w:tabs>
        <w:rPr>
          <w:b/>
          <w:szCs w:val="24"/>
        </w:rPr>
      </w:pPr>
      <w:r w:rsidRPr="007B2E4C">
        <w:rPr>
          <w:b/>
          <w:szCs w:val="24"/>
        </w:rPr>
        <w:t>10.</w:t>
      </w:r>
      <w:r w:rsidRPr="007B2E4C">
        <w:rPr>
          <w:b/>
          <w:szCs w:val="24"/>
        </w:rPr>
        <w:tab/>
      </w:r>
      <w:r w:rsidR="0026419F" w:rsidRPr="007B2E4C">
        <w:rPr>
          <w:b/>
          <w:szCs w:val="24"/>
          <w:u w:val="single"/>
        </w:rPr>
        <w:t>Assurance of confidentiality</w:t>
      </w:r>
      <w:r w:rsidR="0026419F" w:rsidRPr="007B2E4C">
        <w:rPr>
          <w:b/>
          <w:szCs w:val="24"/>
        </w:rPr>
        <w:t xml:space="preserve">.  </w:t>
      </w:r>
      <w:r w:rsidR="00946FB5" w:rsidRPr="007B2E4C">
        <w:rPr>
          <w:b/>
          <w:szCs w:val="24"/>
        </w:rPr>
        <w:t xml:space="preserve"> </w:t>
      </w:r>
    </w:p>
    <w:p w14:paraId="23225C40" w14:textId="77777777" w:rsidR="001D224D" w:rsidRPr="007B2E4C" w:rsidRDefault="001D224D" w:rsidP="000A6210">
      <w:pPr>
        <w:widowControl w:val="0"/>
        <w:tabs>
          <w:tab w:val="left" w:pos="540"/>
        </w:tabs>
        <w:rPr>
          <w:b/>
          <w:szCs w:val="24"/>
        </w:rPr>
      </w:pPr>
    </w:p>
    <w:p w14:paraId="7839C063" w14:textId="77777777" w:rsidR="00946FB5" w:rsidRPr="007B2E4C" w:rsidRDefault="00217F29" w:rsidP="00946FB5">
      <w:pPr>
        <w:rPr>
          <w:szCs w:val="24"/>
        </w:rPr>
      </w:pPr>
      <w:r w:rsidRPr="007B2E4C">
        <w:rPr>
          <w:szCs w:val="24"/>
        </w:rPr>
        <w:t>Respondents</w:t>
      </w:r>
      <w:r w:rsidR="001F7F63" w:rsidRPr="007B2E4C">
        <w:rPr>
          <w:szCs w:val="24"/>
        </w:rPr>
        <w:t>’</w:t>
      </w:r>
      <w:r w:rsidRPr="007B2E4C">
        <w:rPr>
          <w:szCs w:val="24"/>
        </w:rPr>
        <w:t xml:space="preserve"> individual responses are considered confidential and will not be shared with the public </w:t>
      </w:r>
      <w:r w:rsidR="001F7F63" w:rsidRPr="007B2E4C">
        <w:rPr>
          <w:szCs w:val="24"/>
        </w:rPr>
        <w:t xml:space="preserve">or non-essential USDOT staff </w:t>
      </w:r>
      <w:r w:rsidRPr="007B2E4C">
        <w:rPr>
          <w:szCs w:val="24"/>
        </w:rPr>
        <w:t xml:space="preserve">unless permission is provided by the respondent. While the </w:t>
      </w:r>
      <w:r w:rsidR="009D030B" w:rsidRPr="007B2E4C">
        <w:rPr>
          <w:szCs w:val="24"/>
        </w:rPr>
        <w:t xml:space="preserve">data collected will be </w:t>
      </w:r>
      <w:r w:rsidR="001F7F63" w:rsidRPr="007B2E4C">
        <w:rPr>
          <w:szCs w:val="24"/>
        </w:rPr>
        <w:t>formatted to produce different types of reports</w:t>
      </w:r>
      <w:r w:rsidR="009D030B" w:rsidRPr="007B2E4C">
        <w:rPr>
          <w:szCs w:val="24"/>
        </w:rPr>
        <w:t xml:space="preserve">, the identity of the responding agencies will be protected unless </w:t>
      </w:r>
      <w:r w:rsidR="009D030B" w:rsidRPr="007B2E4C">
        <w:rPr>
          <w:szCs w:val="24"/>
        </w:rPr>
        <w:lastRenderedPageBreak/>
        <w:t xml:space="preserve">permission to disclose is provided by the agency. </w:t>
      </w:r>
      <w:r w:rsidRPr="007B2E4C">
        <w:rPr>
          <w:szCs w:val="24"/>
        </w:rPr>
        <w:t xml:space="preserve"> </w:t>
      </w:r>
      <w:r w:rsidR="009D030B" w:rsidRPr="007B2E4C">
        <w:rPr>
          <w:szCs w:val="24"/>
        </w:rPr>
        <w:t>This is necessary to protect the the integrity of the responses. During our public comments, several stakeholders expressed that confidentially was important if</w:t>
      </w:r>
      <w:r w:rsidR="001D21A4" w:rsidRPr="007B2E4C">
        <w:rPr>
          <w:szCs w:val="24"/>
        </w:rPr>
        <w:t xml:space="preserve"> </w:t>
      </w:r>
      <w:r w:rsidR="009D030B" w:rsidRPr="007B2E4C">
        <w:rPr>
          <w:szCs w:val="24"/>
        </w:rPr>
        <w:t xml:space="preserve">USDOT wanted to receive “honest” responses. </w:t>
      </w:r>
    </w:p>
    <w:p w14:paraId="5A969E8F" w14:textId="77777777" w:rsidR="00AA1704" w:rsidRPr="007B2E4C" w:rsidRDefault="00AA1704" w:rsidP="000A6210">
      <w:pPr>
        <w:widowControl w:val="0"/>
        <w:tabs>
          <w:tab w:val="left" w:pos="540"/>
        </w:tabs>
        <w:rPr>
          <w:b/>
          <w:szCs w:val="24"/>
        </w:rPr>
      </w:pPr>
    </w:p>
    <w:p w14:paraId="5F4DB2E2" w14:textId="77777777" w:rsidR="001D224D" w:rsidRPr="007B2E4C" w:rsidRDefault="001D224D" w:rsidP="00AA1704">
      <w:pPr>
        <w:widowControl w:val="0"/>
        <w:tabs>
          <w:tab w:val="left" w:pos="540"/>
        </w:tabs>
        <w:rPr>
          <w:b/>
          <w:szCs w:val="24"/>
        </w:rPr>
      </w:pPr>
      <w:r w:rsidRPr="007B2E4C">
        <w:rPr>
          <w:b/>
          <w:szCs w:val="24"/>
        </w:rPr>
        <w:t>11.</w:t>
      </w:r>
      <w:r w:rsidRPr="007B2E4C">
        <w:rPr>
          <w:b/>
          <w:szCs w:val="24"/>
        </w:rPr>
        <w:tab/>
      </w:r>
      <w:r w:rsidR="006C0638" w:rsidRPr="007B2E4C">
        <w:rPr>
          <w:b/>
          <w:szCs w:val="24"/>
          <w:u w:val="single"/>
        </w:rPr>
        <w:t>Justification for collection of sensitive information</w:t>
      </w:r>
      <w:r w:rsidR="006C0638" w:rsidRPr="007B2E4C">
        <w:rPr>
          <w:b/>
          <w:szCs w:val="24"/>
        </w:rPr>
        <w:t xml:space="preserve">.  </w:t>
      </w:r>
      <w:r w:rsidR="00946FB5" w:rsidRPr="007B2E4C">
        <w:rPr>
          <w:b/>
          <w:szCs w:val="24"/>
        </w:rPr>
        <w:t xml:space="preserve"> </w:t>
      </w:r>
    </w:p>
    <w:p w14:paraId="42D46743" w14:textId="77777777" w:rsidR="001D224D" w:rsidRPr="007B2E4C" w:rsidRDefault="001D224D" w:rsidP="000A6210">
      <w:pPr>
        <w:widowControl w:val="0"/>
        <w:tabs>
          <w:tab w:val="left" w:pos="540"/>
        </w:tabs>
        <w:rPr>
          <w:b/>
          <w:szCs w:val="24"/>
        </w:rPr>
      </w:pPr>
    </w:p>
    <w:p w14:paraId="698A430A" w14:textId="77777777" w:rsidR="00946FB5" w:rsidRPr="007B2E4C" w:rsidRDefault="00946FB5" w:rsidP="00946FB5">
      <w:pPr>
        <w:rPr>
          <w:szCs w:val="24"/>
        </w:rPr>
      </w:pPr>
      <w:r w:rsidRPr="007B2E4C">
        <w:rPr>
          <w:szCs w:val="24"/>
        </w:rPr>
        <w:t>None of the information required is of a sensitive or private nature.</w:t>
      </w:r>
    </w:p>
    <w:p w14:paraId="783ABE55" w14:textId="77777777" w:rsidR="008E62AF" w:rsidRPr="007B2E4C" w:rsidRDefault="008E62AF" w:rsidP="000A6210">
      <w:pPr>
        <w:widowControl w:val="0"/>
        <w:tabs>
          <w:tab w:val="left" w:pos="540"/>
        </w:tabs>
        <w:rPr>
          <w:b/>
          <w:szCs w:val="24"/>
        </w:rPr>
      </w:pPr>
    </w:p>
    <w:p w14:paraId="00A4ABB5" w14:textId="77777777" w:rsidR="00946FB5" w:rsidRPr="007B2E4C" w:rsidRDefault="001D224D" w:rsidP="00AA1704">
      <w:pPr>
        <w:widowControl w:val="0"/>
        <w:tabs>
          <w:tab w:val="left" w:pos="540"/>
        </w:tabs>
        <w:rPr>
          <w:b/>
          <w:szCs w:val="24"/>
        </w:rPr>
      </w:pPr>
      <w:r w:rsidRPr="007B2E4C">
        <w:rPr>
          <w:b/>
          <w:szCs w:val="24"/>
        </w:rPr>
        <w:t>12.</w:t>
      </w:r>
      <w:r w:rsidRPr="007B2E4C">
        <w:rPr>
          <w:b/>
          <w:szCs w:val="24"/>
        </w:rPr>
        <w:tab/>
      </w:r>
      <w:r w:rsidR="006C0638" w:rsidRPr="007B2E4C">
        <w:rPr>
          <w:b/>
          <w:szCs w:val="24"/>
          <w:u w:val="single"/>
        </w:rPr>
        <w:t xml:space="preserve">Estimate of burden hours for information </w:t>
      </w:r>
      <w:r w:rsidR="00946FB5" w:rsidRPr="007B2E4C">
        <w:rPr>
          <w:b/>
          <w:szCs w:val="24"/>
          <w:u w:val="single"/>
        </w:rPr>
        <w:t>requested</w:t>
      </w:r>
      <w:r w:rsidR="00946FB5" w:rsidRPr="007B2E4C">
        <w:rPr>
          <w:b/>
          <w:szCs w:val="24"/>
        </w:rPr>
        <w:t>.</w:t>
      </w:r>
    </w:p>
    <w:p w14:paraId="485BF6BA" w14:textId="77777777" w:rsidR="00DE2E07" w:rsidRPr="007B2E4C" w:rsidRDefault="00DE2E07" w:rsidP="00AD05BD">
      <w:pPr>
        <w:widowControl w:val="0"/>
        <w:tabs>
          <w:tab w:val="left" w:pos="270"/>
          <w:tab w:val="left" w:pos="540"/>
        </w:tabs>
        <w:rPr>
          <w:b/>
          <w:szCs w:val="24"/>
        </w:rPr>
      </w:pPr>
    </w:p>
    <w:p w14:paraId="0B150B5A" w14:textId="019D3CDF" w:rsidR="00C5366F" w:rsidRPr="007B2E4C" w:rsidRDefault="00C5366F" w:rsidP="00C5366F">
      <w:pPr>
        <w:widowControl w:val="0"/>
        <w:tabs>
          <w:tab w:val="left" w:pos="204"/>
        </w:tabs>
        <w:autoSpaceDE w:val="0"/>
        <w:autoSpaceDN w:val="0"/>
        <w:adjustRightInd w:val="0"/>
        <w:spacing w:line="480" w:lineRule="auto"/>
        <w:rPr>
          <w:szCs w:val="24"/>
        </w:rPr>
      </w:pPr>
      <w:r w:rsidRPr="007B2E4C">
        <w:rPr>
          <w:i/>
          <w:iCs/>
          <w:szCs w:val="24"/>
        </w:rPr>
        <w:t>Respondents:</w:t>
      </w:r>
      <w:r w:rsidRPr="007B2E4C">
        <w:rPr>
          <w:szCs w:val="24"/>
        </w:rPr>
        <w:t xml:space="preserve"> The 460 respondents estimate is based on soliciting input from 52</w:t>
      </w:r>
      <w:r w:rsidR="007078AE">
        <w:rPr>
          <w:szCs w:val="24"/>
        </w:rPr>
        <w:t xml:space="preserve"> State Transportation Agencies (</w:t>
      </w:r>
      <w:r w:rsidRPr="007B2E4C">
        <w:rPr>
          <w:szCs w:val="24"/>
        </w:rPr>
        <w:t>STA</w:t>
      </w:r>
      <w:r w:rsidR="007078AE">
        <w:rPr>
          <w:szCs w:val="24"/>
        </w:rPr>
        <w:t>)</w:t>
      </w:r>
      <w:r w:rsidRPr="007B2E4C">
        <w:rPr>
          <w:szCs w:val="24"/>
        </w:rPr>
        <w:t xml:space="preserve"> and 408 </w:t>
      </w:r>
      <w:r w:rsidR="007078AE">
        <w:rPr>
          <w:szCs w:val="24"/>
        </w:rPr>
        <w:t>Metropolitan Transportation Organizations (</w:t>
      </w:r>
      <w:r w:rsidRPr="007B2E4C">
        <w:rPr>
          <w:szCs w:val="24"/>
        </w:rPr>
        <w:t>MPO</w:t>
      </w:r>
      <w:r w:rsidR="007078AE">
        <w:rPr>
          <w:szCs w:val="24"/>
        </w:rPr>
        <w:t>s)</w:t>
      </w:r>
      <w:r w:rsidRPr="007B2E4C">
        <w:rPr>
          <w:szCs w:val="24"/>
        </w:rPr>
        <w:t xml:space="preserve">.  </w:t>
      </w:r>
    </w:p>
    <w:p w14:paraId="4161291A" w14:textId="77777777" w:rsidR="00C5366F" w:rsidRPr="007B2E4C" w:rsidRDefault="00C5366F" w:rsidP="00C5366F">
      <w:pPr>
        <w:widowControl w:val="0"/>
        <w:tabs>
          <w:tab w:val="left" w:pos="204"/>
        </w:tabs>
        <w:autoSpaceDE w:val="0"/>
        <w:autoSpaceDN w:val="0"/>
        <w:adjustRightInd w:val="0"/>
        <w:spacing w:line="480" w:lineRule="auto"/>
        <w:rPr>
          <w:szCs w:val="24"/>
        </w:rPr>
      </w:pPr>
      <w:r w:rsidRPr="007B2E4C">
        <w:rPr>
          <w:i/>
          <w:iCs/>
          <w:szCs w:val="24"/>
        </w:rPr>
        <w:t>Frequency:</w:t>
      </w:r>
      <w:r w:rsidRPr="007B2E4C">
        <w:rPr>
          <w:szCs w:val="24"/>
        </w:rPr>
        <w:t xml:space="preserve"> Agencies will be solicited to provide information via a survey 1 time every two years. </w:t>
      </w:r>
    </w:p>
    <w:p w14:paraId="4772A722" w14:textId="77777777" w:rsidR="00C5366F" w:rsidRPr="007B2E4C" w:rsidRDefault="00C5366F" w:rsidP="00C5366F">
      <w:pPr>
        <w:widowControl w:val="0"/>
        <w:tabs>
          <w:tab w:val="left" w:pos="204"/>
        </w:tabs>
        <w:autoSpaceDE w:val="0"/>
        <w:autoSpaceDN w:val="0"/>
        <w:adjustRightInd w:val="0"/>
        <w:spacing w:line="480" w:lineRule="auto"/>
        <w:rPr>
          <w:szCs w:val="24"/>
        </w:rPr>
      </w:pPr>
      <w:r w:rsidRPr="007B2E4C">
        <w:rPr>
          <w:i/>
          <w:iCs/>
          <w:szCs w:val="24"/>
        </w:rPr>
        <w:t>Estimated Average Burden per Response:</w:t>
      </w:r>
      <w:r w:rsidRPr="007B2E4C">
        <w:rPr>
          <w:szCs w:val="24"/>
        </w:rPr>
        <w:t xml:space="preserve"> The estimated average annual burden hours is up to 2</w:t>
      </w:r>
      <w:r w:rsidR="00446964" w:rsidRPr="007B2E4C">
        <w:rPr>
          <w:szCs w:val="24"/>
        </w:rPr>
        <w:t>2</w:t>
      </w:r>
      <w:r w:rsidRPr="007B2E4C">
        <w:rPr>
          <w:szCs w:val="24"/>
        </w:rPr>
        <w:t xml:space="preserve"> hours per response during a year with a survey/questionnaire request.</w:t>
      </w:r>
    </w:p>
    <w:p w14:paraId="14829148" w14:textId="77777777" w:rsidR="00C5366F" w:rsidRPr="007B2E4C" w:rsidRDefault="00C5366F" w:rsidP="00C5366F">
      <w:pPr>
        <w:widowControl w:val="0"/>
        <w:tabs>
          <w:tab w:val="left" w:pos="204"/>
        </w:tabs>
        <w:autoSpaceDE w:val="0"/>
        <w:autoSpaceDN w:val="0"/>
        <w:adjustRightInd w:val="0"/>
        <w:spacing w:line="480" w:lineRule="auto"/>
        <w:rPr>
          <w:szCs w:val="24"/>
        </w:rPr>
      </w:pPr>
      <w:r w:rsidRPr="007B2E4C">
        <w:rPr>
          <w:i/>
          <w:iCs/>
          <w:szCs w:val="24"/>
        </w:rPr>
        <w:t>Estimated Total Annual Burden Hours:</w:t>
      </w:r>
      <w:r w:rsidRPr="007B2E4C">
        <w:rPr>
          <w:szCs w:val="24"/>
        </w:rPr>
        <w:t xml:space="preserve"> The estimated total annual burden hours for all respondents (52 states and 408 MPOs) is estimated to be 9,200 burden hours (460 respondents (each State/MPO agency is treated as a single response) x</w:t>
      </w:r>
      <w:r w:rsidRPr="007B2E4C">
        <w:rPr>
          <w:i/>
          <w:szCs w:val="24"/>
        </w:rPr>
        <w:t xml:space="preserve"> </w:t>
      </w:r>
      <w:r w:rsidRPr="007B2E4C">
        <w:rPr>
          <w:szCs w:val="24"/>
        </w:rPr>
        <w:t>2</w:t>
      </w:r>
      <w:r w:rsidR="00BD65CD">
        <w:rPr>
          <w:szCs w:val="24"/>
        </w:rPr>
        <w:t>2</w:t>
      </w:r>
      <w:r w:rsidRPr="007B2E4C">
        <w:rPr>
          <w:szCs w:val="24"/>
        </w:rPr>
        <w:t xml:space="preserve"> burden hours) per year with survey/questionnaire requests. </w:t>
      </w:r>
    </w:p>
    <w:p w14:paraId="700C2708"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Professional Staff Time during a Survey Year:</w:t>
      </w:r>
    </w:p>
    <w:p w14:paraId="1D4260BC" w14:textId="77777777" w:rsidR="00C5366F" w:rsidRPr="007B2E4C" w:rsidRDefault="00C5366F" w:rsidP="00C5366F">
      <w:pPr>
        <w:widowControl w:val="0"/>
        <w:numPr>
          <w:ilvl w:val="0"/>
          <w:numId w:val="24"/>
        </w:numPr>
        <w:tabs>
          <w:tab w:val="left" w:pos="204"/>
        </w:tabs>
        <w:autoSpaceDE w:val="0"/>
        <w:autoSpaceDN w:val="0"/>
        <w:adjustRightInd w:val="0"/>
        <w:spacing w:line="480" w:lineRule="auto"/>
        <w:rPr>
          <w:szCs w:val="24"/>
        </w:rPr>
      </w:pPr>
      <w:r w:rsidRPr="007B2E4C">
        <w:rPr>
          <w:szCs w:val="24"/>
        </w:rPr>
        <w:t>20 hours/respondent × 460 respondents × 1 questionnaire during a survey year =</w:t>
      </w:r>
      <w:r w:rsidRPr="007B2E4C">
        <w:rPr>
          <w:i/>
          <w:iCs/>
          <w:szCs w:val="24"/>
        </w:rPr>
        <w:t>9,200 hours</w:t>
      </w:r>
      <w:r w:rsidRPr="007B2E4C">
        <w:rPr>
          <w:szCs w:val="24"/>
        </w:rPr>
        <w:t xml:space="preserve"> </w:t>
      </w:r>
    </w:p>
    <w:p w14:paraId="1685C552"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Clerical Staff Time during a Survey Year:</w:t>
      </w:r>
    </w:p>
    <w:p w14:paraId="24EF9709" w14:textId="77777777" w:rsidR="00C5366F" w:rsidRDefault="00C5366F" w:rsidP="00C5366F">
      <w:pPr>
        <w:widowControl w:val="0"/>
        <w:numPr>
          <w:ilvl w:val="0"/>
          <w:numId w:val="24"/>
        </w:numPr>
        <w:tabs>
          <w:tab w:val="left" w:pos="204"/>
        </w:tabs>
        <w:autoSpaceDE w:val="0"/>
        <w:autoSpaceDN w:val="0"/>
        <w:adjustRightInd w:val="0"/>
        <w:spacing w:line="480" w:lineRule="auto"/>
        <w:rPr>
          <w:szCs w:val="24"/>
        </w:rPr>
      </w:pPr>
      <w:r w:rsidRPr="007B2E4C">
        <w:rPr>
          <w:szCs w:val="24"/>
        </w:rPr>
        <w:t>2 hours/respondent × 460 respondents × 1 questionnaire during a survey year =</w:t>
      </w:r>
      <w:r w:rsidRPr="007B2E4C">
        <w:rPr>
          <w:i/>
          <w:iCs/>
          <w:szCs w:val="24"/>
        </w:rPr>
        <w:t>920 hours</w:t>
      </w:r>
      <w:r w:rsidRPr="007B2E4C">
        <w:rPr>
          <w:szCs w:val="24"/>
        </w:rPr>
        <w:t xml:space="preserve"> </w:t>
      </w:r>
    </w:p>
    <w:p w14:paraId="1681E93F" w14:textId="79AF2F9F" w:rsidR="00BD65CD" w:rsidRDefault="00BD65CD" w:rsidP="00BD65CD">
      <w:pPr>
        <w:widowControl w:val="0"/>
        <w:tabs>
          <w:tab w:val="left" w:pos="204"/>
        </w:tabs>
        <w:autoSpaceDE w:val="0"/>
        <w:autoSpaceDN w:val="0"/>
        <w:adjustRightInd w:val="0"/>
        <w:spacing w:line="480" w:lineRule="auto"/>
        <w:rPr>
          <w:b/>
          <w:szCs w:val="24"/>
        </w:rPr>
      </w:pPr>
      <w:r w:rsidRPr="00BD65CD">
        <w:rPr>
          <w:b/>
          <w:szCs w:val="24"/>
        </w:rPr>
        <w:t>Total: 10,120</w:t>
      </w:r>
      <w:r w:rsidR="000A0277">
        <w:rPr>
          <w:b/>
          <w:szCs w:val="24"/>
        </w:rPr>
        <w:t xml:space="preserve"> hours during a survey year.</w:t>
      </w:r>
    </w:p>
    <w:p w14:paraId="50C2CD7D" w14:textId="73FAFC4C" w:rsidR="000A0277" w:rsidRPr="000A0277" w:rsidRDefault="000A0277" w:rsidP="000A0277">
      <w:pPr>
        <w:widowControl w:val="0"/>
        <w:tabs>
          <w:tab w:val="left" w:pos="204"/>
        </w:tabs>
        <w:autoSpaceDE w:val="0"/>
        <w:autoSpaceDN w:val="0"/>
        <w:adjustRightInd w:val="0"/>
        <w:rPr>
          <w:szCs w:val="24"/>
        </w:rPr>
      </w:pPr>
      <w:r w:rsidRPr="000A0277">
        <w:rPr>
          <w:b/>
          <w:szCs w:val="24"/>
          <w:u w:val="single"/>
        </w:rPr>
        <w:t>NOTE:</w:t>
      </w:r>
      <w:r w:rsidRPr="000A0277">
        <w:rPr>
          <w:szCs w:val="24"/>
        </w:rPr>
        <w:t xml:space="preserve">  For this OMB approval cycle we will collect information in year 1 and again in year 3, for a total of 20,240 hours. For</w:t>
      </w:r>
      <w:r w:rsidR="00F10964">
        <w:rPr>
          <w:szCs w:val="24"/>
        </w:rPr>
        <w:t xml:space="preserve"> ROCIS entry purposes we will di</w:t>
      </w:r>
      <w:r w:rsidRPr="000A0277">
        <w:rPr>
          <w:szCs w:val="24"/>
        </w:rPr>
        <w:t>vide all totals by 3.</w:t>
      </w:r>
    </w:p>
    <w:p w14:paraId="551B26DA" w14:textId="6F6C9701" w:rsidR="000A0277" w:rsidRPr="000A0277" w:rsidRDefault="000A0277" w:rsidP="000A0277">
      <w:pPr>
        <w:widowControl w:val="0"/>
        <w:tabs>
          <w:tab w:val="left" w:pos="204"/>
        </w:tabs>
        <w:autoSpaceDE w:val="0"/>
        <w:autoSpaceDN w:val="0"/>
        <w:adjustRightInd w:val="0"/>
        <w:rPr>
          <w:szCs w:val="24"/>
        </w:rPr>
      </w:pPr>
      <w:r w:rsidRPr="000A0277">
        <w:rPr>
          <w:szCs w:val="24"/>
        </w:rPr>
        <w:t>Total Respondents = 920 (307 annually)</w:t>
      </w:r>
    </w:p>
    <w:p w14:paraId="73BA1770" w14:textId="50547C71" w:rsidR="000A0277" w:rsidRPr="000A0277" w:rsidRDefault="000A0277" w:rsidP="000A0277">
      <w:pPr>
        <w:widowControl w:val="0"/>
        <w:tabs>
          <w:tab w:val="left" w:pos="204"/>
        </w:tabs>
        <w:autoSpaceDE w:val="0"/>
        <w:autoSpaceDN w:val="0"/>
        <w:adjustRightInd w:val="0"/>
        <w:rPr>
          <w:szCs w:val="24"/>
        </w:rPr>
      </w:pPr>
      <w:r w:rsidRPr="000A0277">
        <w:rPr>
          <w:szCs w:val="24"/>
        </w:rPr>
        <w:t>Burden Response = 22 hours</w:t>
      </w:r>
    </w:p>
    <w:p w14:paraId="33E9E3AC" w14:textId="07ADBCB5" w:rsidR="000A0277" w:rsidRPr="000A0277" w:rsidRDefault="000A0277" w:rsidP="000A0277">
      <w:pPr>
        <w:widowControl w:val="0"/>
        <w:tabs>
          <w:tab w:val="left" w:pos="204"/>
        </w:tabs>
        <w:autoSpaceDE w:val="0"/>
        <w:autoSpaceDN w:val="0"/>
        <w:adjustRightInd w:val="0"/>
        <w:rPr>
          <w:szCs w:val="24"/>
        </w:rPr>
      </w:pPr>
      <w:r w:rsidRPr="000A0277">
        <w:rPr>
          <w:szCs w:val="24"/>
        </w:rPr>
        <w:t>Total Hours = 20,240 hours (6,7</w:t>
      </w:r>
      <w:r w:rsidR="007211A6">
        <w:rPr>
          <w:szCs w:val="24"/>
        </w:rPr>
        <w:t>54</w:t>
      </w:r>
      <w:r w:rsidRPr="000A0277">
        <w:rPr>
          <w:szCs w:val="24"/>
        </w:rPr>
        <w:t xml:space="preserve"> annaully)</w:t>
      </w:r>
    </w:p>
    <w:p w14:paraId="10DDD97A" w14:textId="77777777" w:rsidR="004F6075" w:rsidRPr="007B2E4C" w:rsidRDefault="004F6075" w:rsidP="00AD05BD">
      <w:pPr>
        <w:widowControl w:val="0"/>
        <w:tabs>
          <w:tab w:val="left" w:pos="270"/>
          <w:tab w:val="left" w:pos="540"/>
        </w:tabs>
        <w:rPr>
          <w:color w:val="FF0000"/>
          <w:szCs w:val="24"/>
        </w:rPr>
      </w:pPr>
    </w:p>
    <w:p w14:paraId="29ECCAA7" w14:textId="77777777" w:rsidR="001D224D" w:rsidRPr="007B2E4C" w:rsidRDefault="001D224D" w:rsidP="00E575D6">
      <w:pPr>
        <w:widowControl w:val="0"/>
        <w:tabs>
          <w:tab w:val="left" w:pos="540"/>
        </w:tabs>
        <w:rPr>
          <w:b/>
          <w:szCs w:val="24"/>
        </w:rPr>
      </w:pPr>
      <w:r w:rsidRPr="007B2E4C">
        <w:rPr>
          <w:b/>
          <w:szCs w:val="24"/>
        </w:rPr>
        <w:t>13.</w:t>
      </w:r>
      <w:r w:rsidRPr="007B2E4C">
        <w:rPr>
          <w:b/>
          <w:szCs w:val="24"/>
        </w:rPr>
        <w:tab/>
      </w:r>
      <w:r w:rsidR="006C0638" w:rsidRPr="007B2E4C">
        <w:rPr>
          <w:b/>
          <w:szCs w:val="24"/>
          <w:u w:val="single"/>
        </w:rPr>
        <w:t>Estimate of the total annual costs burden</w:t>
      </w:r>
      <w:r w:rsidR="006C0638" w:rsidRPr="007B2E4C">
        <w:rPr>
          <w:b/>
          <w:szCs w:val="24"/>
        </w:rPr>
        <w:t xml:space="preserve">.  </w:t>
      </w:r>
      <w:r w:rsidR="00E575D6" w:rsidRPr="007B2E4C">
        <w:rPr>
          <w:b/>
          <w:szCs w:val="24"/>
        </w:rPr>
        <w:t xml:space="preserve"> </w:t>
      </w:r>
    </w:p>
    <w:p w14:paraId="7C273E62" w14:textId="77777777" w:rsidR="001D224D" w:rsidRPr="007B2E4C" w:rsidRDefault="001D224D" w:rsidP="000A6210">
      <w:pPr>
        <w:widowControl w:val="0"/>
        <w:tabs>
          <w:tab w:val="left" w:pos="540"/>
        </w:tabs>
        <w:rPr>
          <w:b/>
          <w:szCs w:val="24"/>
        </w:rPr>
      </w:pPr>
    </w:p>
    <w:p w14:paraId="227D6C5A" w14:textId="77777777" w:rsidR="00136BCE" w:rsidRDefault="00C5366F" w:rsidP="00C5366F">
      <w:pPr>
        <w:widowControl w:val="0"/>
        <w:tabs>
          <w:tab w:val="left" w:pos="204"/>
        </w:tabs>
        <w:autoSpaceDE w:val="0"/>
        <w:autoSpaceDN w:val="0"/>
        <w:adjustRightInd w:val="0"/>
        <w:spacing w:line="480" w:lineRule="auto"/>
        <w:rPr>
          <w:szCs w:val="24"/>
        </w:rPr>
      </w:pPr>
      <w:r w:rsidRPr="007B2E4C">
        <w:rPr>
          <w:szCs w:val="24"/>
        </w:rPr>
        <w:t>The aggregated associated salary cost to all respondents (460) during a survey year is estimated to be $486,993 based on an average salary of $38 per hour (approximately $79,000 per year) for professional staff and $18 per hour (approximately $37,000 per year) for clerical staff.</w:t>
      </w:r>
      <w:r w:rsidR="00993884">
        <w:rPr>
          <w:szCs w:val="24"/>
        </w:rPr>
        <w:t xml:space="preserve"> </w:t>
      </w:r>
      <w:r w:rsidR="00136BCE" w:rsidRPr="00136BCE">
        <w:rPr>
          <w:szCs w:val="24"/>
        </w:rPr>
        <w:t xml:space="preserve">Disaggregated, the total average annual cost per respondent during a survey year is estimated to be $1,058.68. </w:t>
      </w:r>
    </w:p>
    <w:p w14:paraId="2AC66E04" w14:textId="1D2B0943" w:rsidR="00340FE1" w:rsidRDefault="00993884" w:rsidP="00C5366F">
      <w:pPr>
        <w:widowControl w:val="0"/>
        <w:tabs>
          <w:tab w:val="left" w:pos="204"/>
        </w:tabs>
        <w:autoSpaceDE w:val="0"/>
        <w:autoSpaceDN w:val="0"/>
        <w:adjustRightInd w:val="0"/>
        <w:spacing w:line="480" w:lineRule="auto"/>
        <w:rPr>
          <w:szCs w:val="24"/>
        </w:rPr>
      </w:pPr>
      <w:r w:rsidRPr="00993884">
        <w:rPr>
          <w:szCs w:val="24"/>
        </w:rPr>
        <w:t xml:space="preserve">The 2015 </w:t>
      </w:r>
      <w:r>
        <w:rPr>
          <w:szCs w:val="24"/>
        </w:rPr>
        <w:t>m</w:t>
      </w:r>
      <w:r w:rsidRPr="00993884">
        <w:rPr>
          <w:szCs w:val="24"/>
        </w:rPr>
        <w:t xml:space="preserve">ean hourly rate for transportation professionals is the  average of </w:t>
      </w:r>
      <w:r>
        <w:rPr>
          <w:szCs w:val="24"/>
        </w:rPr>
        <w:t>the</w:t>
      </w:r>
      <w:r w:rsidRPr="00993884">
        <w:rPr>
          <w:szCs w:val="24"/>
        </w:rPr>
        <w:t xml:space="preserve"> Bureau of Labor Statisitcs</w:t>
      </w:r>
      <w:r>
        <w:rPr>
          <w:szCs w:val="24"/>
        </w:rPr>
        <w:t>’</w:t>
      </w:r>
      <w:r w:rsidRPr="00993884">
        <w:rPr>
          <w:szCs w:val="24"/>
        </w:rPr>
        <w:t xml:space="preserve"> median hourly rates  for </w:t>
      </w:r>
      <w:hyperlink r:id="rId14" w:history="1">
        <w:r w:rsidRPr="00993884">
          <w:rPr>
            <w:rStyle w:val="Hyperlink"/>
            <w:szCs w:val="24"/>
          </w:rPr>
          <w:t>Urban and Regional Planners</w:t>
        </w:r>
      </w:hyperlink>
      <w:r w:rsidRPr="00993884">
        <w:rPr>
          <w:szCs w:val="24"/>
        </w:rPr>
        <w:t xml:space="preserve"> ($32.80), </w:t>
      </w:r>
      <w:hyperlink r:id="rId15" w:history="1">
        <w:r w:rsidRPr="00993884">
          <w:rPr>
            <w:rStyle w:val="Hyperlink"/>
            <w:szCs w:val="24"/>
          </w:rPr>
          <w:t>Civil Engineers</w:t>
        </w:r>
      </w:hyperlink>
      <w:r w:rsidRPr="00993884">
        <w:rPr>
          <w:szCs w:val="24"/>
        </w:rPr>
        <w:t xml:space="preserve"> ($39.53), and </w:t>
      </w:r>
      <w:hyperlink r:id="rId16" w:history="1">
        <w:r w:rsidRPr="00993884">
          <w:rPr>
            <w:rStyle w:val="Hyperlink"/>
            <w:szCs w:val="24"/>
          </w:rPr>
          <w:t>Management Analysts</w:t>
        </w:r>
      </w:hyperlink>
      <w:r w:rsidRPr="00993884">
        <w:rPr>
          <w:szCs w:val="24"/>
        </w:rPr>
        <w:t xml:space="preserve"> ($39.10)</w:t>
      </w:r>
      <w:r>
        <w:rPr>
          <w:szCs w:val="24"/>
        </w:rPr>
        <w:t>, rounded up to the nearest whole dollar.</w:t>
      </w:r>
      <w:r w:rsidRPr="00993884">
        <w:rPr>
          <w:szCs w:val="24"/>
        </w:rPr>
        <w:t xml:space="preserve"> </w:t>
      </w:r>
      <w:r>
        <w:rPr>
          <w:szCs w:val="24"/>
        </w:rPr>
        <w:t xml:space="preserve"> </w:t>
      </w:r>
      <w:r w:rsidRPr="00993884">
        <w:rPr>
          <w:szCs w:val="24"/>
        </w:rPr>
        <w:t>The 2015 mean hourly rate for clerical staff</w:t>
      </w:r>
      <w:r>
        <w:rPr>
          <w:szCs w:val="24"/>
        </w:rPr>
        <w:t xml:space="preserve"> is the </w:t>
      </w:r>
      <w:r w:rsidRPr="00993884">
        <w:rPr>
          <w:szCs w:val="24"/>
        </w:rPr>
        <w:t>Bureau of Labor Statisitcs</w:t>
      </w:r>
      <w:r>
        <w:rPr>
          <w:szCs w:val="24"/>
        </w:rPr>
        <w:t>’</w:t>
      </w:r>
      <w:r w:rsidRPr="00993884">
        <w:rPr>
          <w:szCs w:val="24"/>
        </w:rPr>
        <w:t xml:space="preserve"> median hourly rate</w:t>
      </w:r>
      <w:r w:rsidR="00340FE1">
        <w:rPr>
          <w:szCs w:val="24"/>
        </w:rPr>
        <w:t xml:space="preserve"> for </w:t>
      </w:r>
      <w:hyperlink r:id="rId17" w:history="1">
        <w:r w:rsidR="00340FE1" w:rsidRPr="00340FE1">
          <w:rPr>
            <w:rStyle w:val="Hyperlink"/>
            <w:szCs w:val="24"/>
          </w:rPr>
          <w:t>Secretaries and A</w:t>
        </w:r>
        <w:r w:rsidRPr="00340FE1">
          <w:rPr>
            <w:rStyle w:val="Hyperlink"/>
            <w:szCs w:val="24"/>
          </w:rPr>
          <w:t>dministrative Assistants</w:t>
        </w:r>
      </w:hyperlink>
      <w:r w:rsidR="00340FE1">
        <w:rPr>
          <w:szCs w:val="24"/>
        </w:rPr>
        <w:t xml:space="preserve"> ($17.55) rounded up to the nearest whole dollar.</w:t>
      </w:r>
      <w:r w:rsidRPr="00993884">
        <w:rPr>
          <w:szCs w:val="24"/>
        </w:rPr>
        <w:t xml:space="preserve">  </w:t>
      </w:r>
    </w:p>
    <w:p w14:paraId="08912E04" w14:textId="505F922C" w:rsidR="00C5366F" w:rsidRPr="007B2E4C" w:rsidRDefault="00C5366F" w:rsidP="00C5366F">
      <w:pPr>
        <w:widowControl w:val="0"/>
        <w:tabs>
          <w:tab w:val="left" w:pos="204"/>
        </w:tabs>
        <w:autoSpaceDE w:val="0"/>
        <w:autoSpaceDN w:val="0"/>
        <w:adjustRightInd w:val="0"/>
        <w:spacing w:line="480" w:lineRule="auto"/>
        <w:rPr>
          <w:szCs w:val="24"/>
        </w:rPr>
      </w:pPr>
      <w:r w:rsidRPr="007B2E4C">
        <w:rPr>
          <w:szCs w:val="24"/>
        </w:rPr>
        <w:t xml:space="preserve">The burden hours and costs are illustrated below. </w:t>
      </w:r>
    </w:p>
    <w:p w14:paraId="449EFF08"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Professional Staff Cost during a Survey Year:</w:t>
      </w:r>
    </w:p>
    <w:p w14:paraId="22AABCDC" w14:textId="77777777" w:rsidR="00C5366F" w:rsidRPr="007B2E4C" w:rsidRDefault="00C5366F" w:rsidP="00C5366F">
      <w:pPr>
        <w:widowControl w:val="0"/>
        <w:numPr>
          <w:ilvl w:val="0"/>
          <w:numId w:val="25"/>
        </w:numPr>
        <w:tabs>
          <w:tab w:val="left" w:pos="204"/>
        </w:tabs>
        <w:autoSpaceDE w:val="0"/>
        <w:autoSpaceDN w:val="0"/>
        <w:adjustRightInd w:val="0"/>
        <w:spacing w:line="480" w:lineRule="auto"/>
        <w:rPr>
          <w:szCs w:val="24"/>
        </w:rPr>
      </w:pPr>
      <w:r w:rsidRPr="007B2E4C">
        <w:rPr>
          <w:szCs w:val="24"/>
        </w:rPr>
        <w:t>All respondents: 9,200 hours × $38 per hour = $349,600</w:t>
      </w:r>
    </w:p>
    <w:p w14:paraId="0B1C0D6E" w14:textId="77777777" w:rsidR="00C5366F" w:rsidRPr="007B2E4C" w:rsidRDefault="00C5366F" w:rsidP="00C5366F">
      <w:pPr>
        <w:widowControl w:val="0"/>
        <w:numPr>
          <w:ilvl w:val="1"/>
          <w:numId w:val="25"/>
        </w:numPr>
        <w:tabs>
          <w:tab w:val="left" w:pos="204"/>
        </w:tabs>
        <w:autoSpaceDE w:val="0"/>
        <w:autoSpaceDN w:val="0"/>
        <w:adjustRightInd w:val="0"/>
        <w:spacing w:line="480" w:lineRule="auto"/>
        <w:rPr>
          <w:szCs w:val="24"/>
        </w:rPr>
      </w:pPr>
      <w:r w:rsidRPr="007B2E4C">
        <w:rPr>
          <w:szCs w:val="24"/>
        </w:rPr>
        <w:t>Per respondent: (20 x $38= $760)</w:t>
      </w:r>
    </w:p>
    <w:p w14:paraId="4E3BEFB4"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Clerical Staff Cost during a Survey Year:</w:t>
      </w:r>
    </w:p>
    <w:p w14:paraId="6C67B5D0" w14:textId="77777777" w:rsidR="00C5366F" w:rsidRPr="007B2E4C" w:rsidRDefault="00C5366F" w:rsidP="00C5366F">
      <w:pPr>
        <w:widowControl w:val="0"/>
        <w:numPr>
          <w:ilvl w:val="0"/>
          <w:numId w:val="26"/>
        </w:numPr>
        <w:tabs>
          <w:tab w:val="left" w:pos="204"/>
        </w:tabs>
        <w:autoSpaceDE w:val="0"/>
        <w:autoSpaceDN w:val="0"/>
        <w:adjustRightInd w:val="0"/>
        <w:spacing w:line="480" w:lineRule="auto"/>
        <w:rPr>
          <w:szCs w:val="24"/>
        </w:rPr>
      </w:pPr>
      <w:r w:rsidRPr="007B2E4C">
        <w:rPr>
          <w:szCs w:val="24"/>
        </w:rPr>
        <w:t>All respondents: 920 hours × $18 per hour = $16,560</w:t>
      </w:r>
    </w:p>
    <w:p w14:paraId="61B6DC34" w14:textId="77777777" w:rsidR="00C5366F" w:rsidRPr="007B2E4C" w:rsidRDefault="00C5366F" w:rsidP="00C5366F">
      <w:pPr>
        <w:widowControl w:val="0"/>
        <w:numPr>
          <w:ilvl w:val="1"/>
          <w:numId w:val="26"/>
        </w:numPr>
        <w:tabs>
          <w:tab w:val="left" w:pos="204"/>
        </w:tabs>
        <w:autoSpaceDE w:val="0"/>
        <w:autoSpaceDN w:val="0"/>
        <w:adjustRightInd w:val="0"/>
        <w:spacing w:line="480" w:lineRule="auto"/>
        <w:rPr>
          <w:szCs w:val="24"/>
        </w:rPr>
      </w:pPr>
      <w:r w:rsidRPr="007B2E4C">
        <w:rPr>
          <w:szCs w:val="24"/>
        </w:rPr>
        <w:t>Per respondent (2 hours × $18 per hour = $36)</w:t>
      </w:r>
    </w:p>
    <w:p w14:paraId="3F2AA975"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Total Annual Cost during a Survey Year:</w:t>
      </w:r>
    </w:p>
    <w:p w14:paraId="62B3BCED" w14:textId="77777777" w:rsidR="00C5366F" w:rsidRPr="007B2E4C" w:rsidRDefault="00C5366F" w:rsidP="00C5366F">
      <w:pPr>
        <w:widowControl w:val="0"/>
        <w:numPr>
          <w:ilvl w:val="0"/>
          <w:numId w:val="26"/>
        </w:numPr>
        <w:tabs>
          <w:tab w:val="left" w:pos="204"/>
        </w:tabs>
        <w:autoSpaceDE w:val="0"/>
        <w:autoSpaceDN w:val="0"/>
        <w:adjustRightInd w:val="0"/>
        <w:spacing w:line="480" w:lineRule="auto"/>
        <w:rPr>
          <w:szCs w:val="24"/>
        </w:rPr>
      </w:pPr>
      <w:r w:rsidRPr="007B2E4C">
        <w:rPr>
          <w:szCs w:val="24"/>
        </w:rPr>
        <w:t>Subtotal Direct Salaries (Professional + Clerical) $366,160</w:t>
      </w:r>
    </w:p>
    <w:p w14:paraId="2463BE9E" w14:textId="77777777" w:rsidR="00C5366F" w:rsidRPr="007B2E4C" w:rsidRDefault="00C5366F" w:rsidP="00C5366F">
      <w:pPr>
        <w:widowControl w:val="0"/>
        <w:numPr>
          <w:ilvl w:val="0"/>
          <w:numId w:val="26"/>
        </w:numPr>
        <w:tabs>
          <w:tab w:val="left" w:pos="204"/>
        </w:tabs>
        <w:autoSpaceDE w:val="0"/>
        <w:autoSpaceDN w:val="0"/>
        <w:adjustRightInd w:val="0"/>
        <w:spacing w:line="480" w:lineRule="auto"/>
        <w:rPr>
          <w:szCs w:val="24"/>
        </w:rPr>
      </w:pPr>
      <w:r w:rsidRPr="007B2E4C">
        <w:rPr>
          <w:szCs w:val="24"/>
        </w:rPr>
        <w:t xml:space="preserve">Overhead/fringe benefits at 33%: </w:t>
      </w:r>
      <w:r w:rsidRPr="007B2E4C">
        <w:rPr>
          <w:iCs/>
          <w:szCs w:val="24"/>
        </w:rPr>
        <w:t>$120,833</w:t>
      </w:r>
      <w:r w:rsidRPr="007B2E4C">
        <w:rPr>
          <w:szCs w:val="24"/>
        </w:rPr>
        <w:t xml:space="preserve"> </w:t>
      </w:r>
    </w:p>
    <w:p w14:paraId="21948A2B" w14:textId="77777777" w:rsidR="00C5366F" w:rsidRPr="007B2E4C" w:rsidRDefault="00C5366F" w:rsidP="00C5366F">
      <w:pPr>
        <w:widowControl w:val="0"/>
        <w:numPr>
          <w:ilvl w:val="0"/>
          <w:numId w:val="26"/>
        </w:numPr>
        <w:tabs>
          <w:tab w:val="left" w:pos="204"/>
        </w:tabs>
        <w:autoSpaceDE w:val="0"/>
        <w:autoSpaceDN w:val="0"/>
        <w:adjustRightInd w:val="0"/>
        <w:spacing w:line="480" w:lineRule="auto"/>
        <w:rPr>
          <w:szCs w:val="24"/>
        </w:rPr>
      </w:pPr>
      <w:r w:rsidRPr="007B2E4C">
        <w:rPr>
          <w:szCs w:val="24"/>
        </w:rPr>
        <w:t>Total annual respondents cost during survey year: $486,993</w:t>
      </w:r>
    </w:p>
    <w:p w14:paraId="5A855422" w14:textId="315D4396" w:rsidR="00C5366F" w:rsidRPr="007B2E4C" w:rsidRDefault="00C5366F" w:rsidP="00C5366F">
      <w:pPr>
        <w:widowControl w:val="0"/>
        <w:numPr>
          <w:ilvl w:val="1"/>
          <w:numId w:val="26"/>
        </w:numPr>
        <w:tabs>
          <w:tab w:val="left" w:pos="204"/>
        </w:tabs>
        <w:autoSpaceDE w:val="0"/>
        <w:autoSpaceDN w:val="0"/>
        <w:adjustRightInd w:val="0"/>
        <w:spacing w:line="480" w:lineRule="auto"/>
        <w:rPr>
          <w:szCs w:val="24"/>
        </w:rPr>
      </w:pPr>
      <w:r w:rsidRPr="007B2E4C">
        <w:rPr>
          <w:szCs w:val="24"/>
        </w:rPr>
        <w:t>Total average annual cost per respondent during survey year: $1,058.68</w:t>
      </w:r>
      <w:r w:rsidR="00D16243">
        <w:rPr>
          <w:szCs w:val="24"/>
        </w:rPr>
        <w:t>, multiplied by 2 survey years = 2,117.36</w:t>
      </w:r>
    </w:p>
    <w:p w14:paraId="47F98540" w14:textId="77777777" w:rsidR="00E575D6" w:rsidRPr="007B2E4C" w:rsidRDefault="00E575D6" w:rsidP="000A6210">
      <w:pPr>
        <w:widowControl w:val="0"/>
        <w:tabs>
          <w:tab w:val="left" w:pos="540"/>
        </w:tabs>
        <w:rPr>
          <w:b/>
          <w:szCs w:val="24"/>
        </w:rPr>
      </w:pPr>
    </w:p>
    <w:p w14:paraId="4A79CD7A" w14:textId="77777777" w:rsidR="001D224D" w:rsidRPr="007B2E4C" w:rsidRDefault="001D224D" w:rsidP="006C0638">
      <w:pPr>
        <w:widowControl w:val="0"/>
        <w:tabs>
          <w:tab w:val="left" w:pos="540"/>
        </w:tabs>
        <w:rPr>
          <w:b/>
          <w:szCs w:val="24"/>
        </w:rPr>
      </w:pPr>
      <w:r w:rsidRPr="007B2E4C">
        <w:rPr>
          <w:b/>
          <w:szCs w:val="24"/>
        </w:rPr>
        <w:t>14.</w:t>
      </w:r>
      <w:r w:rsidRPr="007B2E4C">
        <w:rPr>
          <w:b/>
          <w:szCs w:val="24"/>
        </w:rPr>
        <w:tab/>
      </w:r>
      <w:r w:rsidR="006C0638" w:rsidRPr="007B2E4C">
        <w:rPr>
          <w:b/>
          <w:szCs w:val="24"/>
          <w:u w:val="single"/>
        </w:rPr>
        <w:t>Estimates of costs to the Federal Government</w:t>
      </w:r>
      <w:r w:rsidR="006C0638" w:rsidRPr="007B2E4C">
        <w:rPr>
          <w:b/>
          <w:szCs w:val="24"/>
        </w:rPr>
        <w:t xml:space="preserve">.  </w:t>
      </w:r>
      <w:r w:rsidR="007759D1" w:rsidRPr="007B2E4C">
        <w:rPr>
          <w:b/>
          <w:szCs w:val="24"/>
        </w:rPr>
        <w:t xml:space="preserve"> </w:t>
      </w:r>
      <w:r w:rsidRPr="007B2E4C">
        <w:rPr>
          <w:b/>
          <w:szCs w:val="24"/>
        </w:rPr>
        <w:t xml:space="preserve">   </w:t>
      </w:r>
    </w:p>
    <w:p w14:paraId="3DCCAA5F" w14:textId="77777777" w:rsidR="00515209" w:rsidRPr="007B2E4C" w:rsidRDefault="00515209" w:rsidP="000A6210">
      <w:pPr>
        <w:widowControl w:val="0"/>
        <w:tabs>
          <w:tab w:val="left" w:pos="540"/>
        </w:tabs>
        <w:rPr>
          <w:b/>
          <w:szCs w:val="24"/>
        </w:rPr>
      </w:pPr>
    </w:p>
    <w:p w14:paraId="6FB0CB50" w14:textId="77777777" w:rsidR="007759D1" w:rsidRPr="007B2E4C" w:rsidRDefault="007759D1" w:rsidP="007759D1">
      <w:pPr>
        <w:rPr>
          <w:szCs w:val="24"/>
        </w:rPr>
      </w:pPr>
      <w:r w:rsidRPr="007B2E4C">
        <w:rPr>
          <w:szCs w:val="24"/>
        </w:rPr>
        <w:t>The cost to the Federal Government consists of the staff time and related expenses to review survey responses</w:t>
      </w:r>
      <w:r w:rsidR="000836D6" w:rsidRPr="007B2E4C">
        <w:rPr>
          <w:szCs w:val="24"/>
        </w:rPr>
        <w:t xml:space="preserve"> and provide</w:t>
      </w:r>
      <w:r w:rsidRPr="007B2E4C">
        <w:rPr>
          <w:szCs w:val="24"/>
        </w:rPr>
        <w:t xml:space="preserve"> general oversight.  The Government will incur an annual estimated cost </w:t>
      </w:r>
      <w:r w:rsidR="00E05B44" w:rsidRPr="007B2E4C">
        <w:rPr>
          <w:szCs w:val="24"/>
        </w:rPr>
        <w:t xml:space="preserve">per survey </w:t>
      </w:r>
      <w:r w:rsidRPr="007B2E4C">
        <w:rPr>
          <w:szCs w:val="24"/>
        </w:rPr>
        <w:t>of approximately $</w:t>
      </w:r>
      <w:r w:rsidR="00E05B44" w:rsidRPr="007B2E4C">
        <w:rPr>
          <w:szCs w:val="24"/>
        </w:rPr>
        <w:t>102,805</w:t>
      </w:r>
      <w:r w:rsidRPr="007B2E4C">
        <w:rPr>
          <w:szCs w:val="24"/>
        </w:rPr>
        <w:t>, as follows:</w:t>
      </w:r>
    </w:p>
    <w:p w14:paraId="6C749CDE" w14:textId="77777777" w:rsidR="007759D1" w:rsidRPr="007B2E4C" w:rsidRDefault="007759D1" w:rsidP="007759D1">
      <w:pPr>
        <w:rPr>
          <w:szCs w:val="24"/>
        </w:rPr>
      </w:pPr>
    </w:p>
    <w:p w14:paraId="50B2E490" w14:textId="77777777" w:rsidR="007759D1" w:rsidRPr="007B2E4C" w:rsidRDefault="00661905" w:rsidP="007759D1">
      <w:pPr>
        <w:ind w:left="720"/>
        <w:rPr>
          <w:szCs w:val="24"/>
        </w:rPr>
      </w:pPr>
      <w:r w:rsidRPr="007B2E4C">
        <w:rPr>
          <w:szCs w:val="24"/>
        </w:rPr>
        <w:t xml:space="preserve">Federal </w:t>
      </w:r>
      <w:r w:rsidR="007759D1" w:rsidRPr="007B2E4C">
        <w:rPr>
          <w:szCs w:val="24"/>
        </w:rPr>
        <w:t>Professional staff time:</w:t>
      </w:r>
    </w:p>
    <w:p w14:paraId="79F74226" w14:textId="77777777" w:rsidR="007759D1" w:rsidRPr="007B2E4C" w:rsidRDefault="007759D1" w:rsidP="007759D1">
      <w:pPr>
        <w:rPr>
          <w:szCs w:val="24"/>
        </w:rPr>
      </w:pPr>
    </w:p>
    <w:p w14:paraId="1DB1A3D8" w14:textId="13E55663" w:rsidR="007759D1" w:rsidRPr="007B2E4C" w:rsidRDefault="000836D6" w:rsidP="007759D1">
      <w:pPr>
        <w:ind w:left="1440"/>
        <w:rPr>
          <w:szCs w:val="24"/>
        </w:rPr>
      </w:pPr>
      <w:r w:rsidRPr="007B2E4C">
        <w:rPr>
          <w:szCs w:val="24"/>
        </w:rPr>
        <w:t xml:space="preserve">1/12 </w:t>
      </w:r>
      <w:r w:rsidR="007759D1" w:rsidRPr="007B2E4C">
        <w:rPr>
          <w:szCs w:val="24"/>
        </w:rPr>
        <w:t xml:space="preserve"> </w:t>
      </w:r>
      <w:r w:rsidR="00C5366F" w:rsidRPr="007B2E4C">
        <w:rPr>
          <w:szCs w:val="24"/>
        </w:rPr>
        <w:t>FTE</w:t>
      </w:r>
      <w:r w:rsidR="007759D1" w:rsidRPr="007B2E4C">
        <w:rPr>
          <w:szCs w:val="24"/>
        </w:rPr>
        <w:t xml:space="preserve"> per </w:t>
      </w:r>
      <w:r w:rsidRPr="007B2E4C">
        <w:rPr>
          <w:szCs w:val="24"/>
        </w:rPr>
        <w:t>year</w:t>
      </w:r>
      <w:r w:rsidR="00661905" w:rsidRPr="007B2E4C">
        <w:rPr>
          <w:szCs w:val="24"/>
        </w:rPr>
        <w:t xml:space="preserve"> (173.33 hours)</w:t>
      </w:r>
      <w:r w:rsidRPr="007B2E4C">
        <w:rPr>
          <w:szCs w:val="24"/>
        </w:rPr>
        <w:t xml:space="preserve"> at an</w:t>
      </w:r>
      <w:r w:rsidR="007759D1" w:rsidRPr="007B2E4C">
        <w:rPr>
          <w:szCs w:val="24"/>
        </w:rPr>
        <w:t xml:space="preserve"> average salary of $</w:t>
      </w:r>
      <w:r w:rsidRPr="007B2E4C">
        <w:rPr>
          <w:szCs w:val="24"/>
        </w:rPr>
        <w:t>115,544</w:t>
      </w:r>
      <w:r w:rsidR="00661905" w:rsidRPr="007B2E4C">
        <w:rPr>
          <w:szCs w:val="24"/>
        </w:rPr>
        <w:t xml:space="preserve"> ($55.55 per hour)</w:t>
      </w:r>
      <w:r w:rsidR="0071038A">
        <w:rPr>
          <w:szCs w:val="24"/>
        </w:rPr>
        <w:t xml:space="preserve"> for a GS-14</w:t>
      </w:r>
      <w:r w:rsidRPr="007B2E4C">
        <w:rPr>
          <w:szCs w:val="24"/>
        </w:rPr>
        <w:t xml:space="preserve">. </w:t>
      </w:r>
    </w:p>
    <w:p w14:paraId="42E7487F" w14:textId="77777777" w:rsidR="007759D1" w:rsidRPr="007B2E4C" w:rsidRDefault="007759D1" w:rsidP="007759D1">
      <w:pPr>
        <w:rPr>
          <w:szCs w:val="24"/>
        </w:rPr>
      </w:pPr>
    </w:p>
    <w:p w14:paraId="3DD4FE5D" w14:textId="77777777" w:rsidR="007759D1" w:rsidRPr="007B2E4C" w:rsidRDefault="007759D1" w:rsidP="007759D1">
      <w:pPr>
        <w:ind w:left="720"/>
        <w:rPr>
          <w:szCs w:val="24"/>
        </w:rPr>
      </w:pPr>
      <w:r w:rsidRPr="007B2E4C">
        <w:rPr>
          <w:szCs w:val="24"/>
        </w:rPr>
        <w:tab/>
        <w:t>Federal direct salary cost per year:</w:t>
      </w:r>
      <w:r w:rsidRPr="007B2E4C">
        <w:rPr>
          <w:szCs w:val="24"/>
        </w:rPr>
        <w:tab/>
        <w:t xml:space="preserve">$  </w:t>
      </w:r>
      <w:r w:rsidR="000836D6" w:rsidRPr="007B2E4C">
        <w:rPr>
          <w:szCs w:val="24"/>
        </w:rPr>
        <w:t>9</w:t>
      </w:r>
      <w:r w:rsidR="00015F6A" w:rsidRPr="007B2E4C">
        <w:rPr>
          <w:szCs w:val="24"/>
        </w:rPr>
        <w:t>,</w:t>
      </w:r>
      <w:r w:rsidR="000836D6" w:rsidRPr="007B2E4C">
        <w:rPr>
          <w:szCs w:val="24"/>
        </w:rPr>
        <w:t>62</w:t>
      </w:r>
      <w:r w:rsidR="00661905" w:rsidRPr="007B2E4C">
        <w:rPr>
          <w:szCs w:val="24"/>
        </w:rPr>
        <w:t>8.48</w:t>
      </w:r>
      <w:r w:rsidR="000836D6" w:rsidRPr="007B2E4C">
        <w:rPr>
          <w:szCs w:val="24"/>
        </w:rPr>
        <w:t xml:space="preserve"> (173.33 hours x $55.55)</w:t>
      </w:r>
    </w:p>
    <w:p w14:paraId="2F2F018A" w14:textId="77777777" w:rsidR="007759D1" w:rsidRPr="007B2E4C" w:rsidRDefault="007759D1" w:rsidP="007759D1">
      <w:pPr>
        <w:rPr>
          <w:szCs w:val="24"/>
        </w:rPr>
      </w:pPr>
      <w:r w:rsidRPr="007B2E4C">
        <w:rPr>
          <w:szCs w:val="24"/>
        </w:rPr>
        <w:tab/>
      </w:r>
      <w:r w:rsidRPr="007B2E4C">
        <w:rPr>
          <w:szCs w:val="24"/>
        </w:rPr>
        <w:tab/>
        <w:t>Overhead/fringe benefits at 33%:</w:t>
      </w:r>
      <w:r w:rsidRPr="007B2E4C">
        <w:rPr>
          <w:szCs w:val="24"/>
        </w:rPr>
        <w:tab/>
      </w:r>
      <w:r w:rsidRPr="007B2E4C">
        <w:rPr>
          <w:szCs w:val="24"/>
          <w:u w:val="single"/>
        </w:rPr>
        <w:t xml:space="preserve">    </w:t>
      </w:r>
      <w:r w:rsidR="00661905" w:rsidRPr="007B2E4C">
        <w:rPr>
          <w:szCs w:val="24"/>
          <w:u w:val="single"/>
        </w:rPr>
        <w:t>3</w:t>
      </w:r>
      <w:r w:rsidR="00015F6A" w:rsidRPr="007B2E4C">
        <w:rPr>
          <w:szCs w:val="24"/>
          <w:u w:val="single"/>
        </w:rPr>
        <w:t>,</w:t>
      </w:r>
      <w:r w:rsidR="00661905" w:rsidRPr="007B2E4C">
        <w:rPr>
          <w:szCs w:val="24"/>
          <w:u w:val="single"/>
        </w:rPr>
        <w:t>177.40</w:t>
      </w:r>
    </w:p>
    <w:p w14:paraId="395AD71C" w14:textId="6557671A" w:rsidR="007759D1" w:rsidRPr="007B2E4C" w:rsidRDefault="007759D1" w:rsidP="007759D1">
      <w:pPr>
        <w:rPr>
          <w:szCs w:val="24"/>
        </w:rPr>
      </w:pPr>
      <w:r w:rsidRPr="007B2E4C">
        <w:rPr>
          <w:szCs w:val="24"/>
        </w:rPr>
        <w:tab/>
      </w:r>
      <w:r w:rsidRPr="007B2E4C">
        <w:rPr>
          <w:szCs w:val="24"/>
        </w:rPr>
        <w:tab/>
        <w:t xml:space="preserve">Total annual  </w:t>
      </w:r>
      <w:r w:rsidR="00661905" w:rsidRPr="007B2E4C">
        <w:rPr>
          <w:szCs w:val="24"/>
        </w:rPr>
        <w:t xml:space="preserve">professional staff </w:t>
      </w:r>
      <w:r w:rsidRPr="007B2E4C">
        <w:rPr>
          <w:szCs w:val="24"/>
        </w:rPr>
        <w:t>cost:</w:t>
      </w:r>
      <w:r w:rsidRPr="007B2E4C">
        <w:rPr>
          <w:szCs w:val="24"/>
        </w:rPr>
        <w:tab/>
        <w:t xml:space="preserve">$  </w:t>
      </w:r>
      <w:r w:rsidR="00661905" w:rsidRPr="007B2E4C">
        <w:rPr>
          <w:szCs w:val="24"/>
        </w:rPr>
        <w:t>12</w:t>
      </w:r>
      <w:r w:rsidRPr="007B2E4C">
        <w:rPr>
          <w:szCs w:val="24"/>
        </w:rPr>
        <w:t>,</w:t>
      </w:r>
      <w:r w:rsidR="00661905" w:rsidRPr="007B2E4C">
        <w:rPr>
          <w:szCs w:val="24"/>
        </w:rPr>
        <w:t>805</w:t>
      </w:r>
      <w:r w:rsidR="00D16243" w:rsidRPr="00D16243">
        <w:t xml:space="preserve"> </w:t>
      </w:r>
      <w:r w:rsidR="00D16243" w:rsidRPr="00D16243">
        <w:rPr>
          <w:szCs w:val="24"/>
        </w:rPr>
        <w:t xml:space="preserve">multiplied by 2 survey years = </w:t>
      </w:r>
      <w:r w:rsidR="00D16243">
        <w:rPr>
          <w:szCs w:val="24"/>
        </w:rPr>
        <w:t>25,610</w:t>
      </w:r>
    </w:p>
    <w:p w14:paraId="6CFB2E0D" w14:textId="77777777" w:rsidR="000836D6" w:rsidRPr="007B2E4C" w:rsidRDefault="000836D6" w:rsidP="007759D1">
      <w:pPr>
        <w:rPr>
          <w:szCs w:val="24"/>
        </w:rPr>
      </w:pPr>
      <w:r w:rsidRPr="007B2E4C">
        <w:rPr>
          <w:szCs w:val="24"/>
        </w:rPr>
        <w:t xml:space="preserve">        </w:t>
      </w:r>
    </w:p>
    <w:p w14:paraId="7B22A39A" w14:textId="77777777" w:rsidR="000836D6" w:rsidRPr="007B2E4C" w:rsidRDefault="000836D6" w:rsidP="007B2E4C">
      <w:pPr>
        <w:ind w:firstLine="720"/>
        <w:rPr>
          <w:szCs w:val="24"/>
        </w:rPr>
      </w:pPr>
      <w:r w:rsidRPr="007B2E4C">
        <w:rPr>
          <w:szCs w:val="24"/>
        </w:rPr>
        <w:t xml:space="preserve"> Firm-fixed price contract</w:t>
      </w:r>
      <w:r w:rsidR="00E05B44" w:rsidRPr="007B2E4C">
        <w:rPr>
          <w:szCs w:val="24"/>
        </w:rPr>
        <w:t xml:space="preserve"> cost </w:t>
      </w:r>
      <w:r w:rsidR="00661905" w:rsidRPr="007B2E4C">
        <w:rPr>
          <w:szCs w:val="24"/>
        </w:rPr>
        <w:t xml:space="preserve"> </w:t>
      </w:r>
      <w:r w:rsidR="00E05B44" w:rsidRPr="007B2E4C">
        <w:rPr>
          <w:szCs w:val="24"/>
        </w:rPr>
        <w:t xml:space="preserve">for related </w:t>
      </w:r>
      <w:r w:rsidR="00661905" w:rsidRPr="007B2E4C">
        <w:rPr>
          <w:szCs w:val="24"/>
        </w:rPr>
        <w:t>task cost</w:t>
      </w:r>
      <w:r w:rsidRPr="007B2E4C">
        <w:rPr>
          <w:szCs w:val="24"/>
        </w:rPr>
        <w:t>:</w:t>
      </w:r>
      <w:r w:rsidR="00661905" w:rsidRPr="007B2E4C">
        <w:rPr>
          <w:szCs w:val="24"/>
        </w:rPr>
        <w:t xml:space="preserve"> $90, 000</w:t>
      </w:r>
    </w:p>
    <w:p w14:paraId="7AEB46F3" w14:textId="77777777" w:rsidR="00661905" w:rsidRPr="007B2E4C" w:rsidRDefault="00661905" w:rsidP="007B2E4C">
      <w:pPr>
        <w:ind w:firstLine="720"/>
        <w:rPr>
          <w:szCs w:val="24"/>
        </w:rPr>
      </w:pPr>
    </w:p>
    <w:p w14:paraId="2F0DC9CC" w14:textId="5DD430DF" w:rsidR="00661905" w:rsidRPr="007B2E4C" w:rsidRDefault="00661905" w:rsidP="007B2E4C">
      <w:pPr>
        <w:ind w:firstLine="720"/>
        <w:rPr>
          <w:szCs w:val="24"/>
        </w:rPr>
      </w:pPr>
      <w:r w:rsidRPr="007B2E4C">
        <w:rPr>
          <w:szCs w:val="24"/>
        </w:rPr>
        <w:t>Total cost estimated to federal government: $</w:t>
      </w:r>
      <w:r w:rsidR="00D16243">
        <w:rPr>
          <w:szCs w:val="24"/>
        </w:rPr>
        <w:t>115,610</w:t>
      </w:r>
      <w:r w:rsidR="0015740B">
        <w:rPr>
          <w:szCs w:val="24"/>
        </w:rPr>
        <w:t xml:space="preserve"> (divided by 3 = 38,537)</w:t>
      </w:r>
    </w:p>
    <w:p w14:paraId="3F0351C7" w14:textId="77777777" w:rsidR="00661905" w:rsidRPr="007B2E4C" w:rsidRDefault="00661905" w:rsidP="007B2E4C">
      <w:pPr>
        <w:ind w:firstLine="720"/>
        <w:rPr>
          <w:szCs w:val="24"/>
        </w:rPr>
      </w:pPr>
    </w:p>
    <w:p w14:paraId="7D6521BF" w14:textId="77777777" w:rsidR="008E62AF" w:rsidRPr="007B2E4C" w:rsidRDefault="00F67FCC" w:rsidP="008E62AF">
      <w:pPr>
        <w:widowControl w:val="0"/>
        <w:numPr>
          <w:ilvl w:val="0"/>
          <w:numId w:val="10"/>
        </w:numPr>
        <w:tabs>
          <w:tab w:val="clear" w:pos="720"/>
          <w:tab w:val="num" w:pos="0"/>
          <w:tab w:val="left" w:pos="540"/>
        </w:tabs>
        <w:ind w:left="0" w:firstLine="0"/>
        <w:rPr>
          <w:b/>
          <w:szCs w:val="24"/>
        </w:rPr>
      </w:pPr>
      <w:r w:rsidRPr="007B2E4C">
        <w:rPr>
          <w:b/>
          <w:szCs w:val="24"/>
          <w:u w:val="single"/>
        </w:rPr>
        <w:t>Explanation of the program change or adjustments</w:t>
      </w:r>
      <w:r w:rsidRPr="007B2E4C">
        <w:rPr>
          <w:b/>
          <w:szCs w:val="24"/>
        </w:rPr>
        <w:t xml:space="preserve">.  </w:t>
      </w:r>
    </w:p>
    <w:p w14:paraId="2BCC9027" w14:textId="77777777" w:rsidR="007759D1" w:rsidRPr="007B2E4C" w:rsidRDefault="007759D1" w:rsidP="007759D1">
      <w:pPr>
        <w:rPr>
          <w:szCs w:val="24"/>
        </w:rPr>
      </w:pPr>
      <w:r w:rsidRPr="007B2E4C">
        <w:rPr>
          <w:szCs w:val="24"/>
        </w:rPr>
        <w:t>There are no program changes or adjustments.</w:t>
      </w:r>
    </w:p>
    <w:p w14:paraId="61C2F412" w14:textId="77777777" w:rsidR="001D224D" w:rsidRPr="007B2E4C" w:rsidRDefault="001D224D" w:rsidP="000A6210">
      <w:pPr>
        <w:widowControl w:val="0"/>
        <w:tabs>
          <w:tab w:val="left" w:pos="540"/>
        </w:tabs>
        <w:rPr>
          <w:szCs w:val="24"/>
        </w:rPr>
      </w:pPr>
    </w:p>
    <w:p w14:paraId="0F1A3075" w14:textId="77777777" w:rsidR="001D224D" w:rsidRPr="007B2E4C" w:rsidRDefault="001D224D" w:rsidP="007B68C6">
      <w:pPr>
        <w:widowControl w:val="0"/>
        <w:tabs>
          <w:tab w:val="left" w:pos="540"/>
        </w:tabs>
        <w:rPr>
          <w:b/>
          <w:szCs w:val="24"/>
        </w:rPr>
      </w:pPr>
      <w:r w:rsidRPr="007B2E4C">
        <w:rPr>
          <w:b/>
          <w:szCs w:val="24"/>
        </w:rPr>
        <w:t>16.</w:t>
      </w:r>
      <w:r w:rsidRPr="007B2E4C">
        <w:rPr>
          <w:b/>
          <w:szCs w:val="24"/>
        </w:rPr>
        <w:tab/>
      </w:r>
      <w:r w:rsidR="007B68C6" w:rsidRPr="007B2E4C">
        <w:rPr>
          <w:b/>
          <w:szCs w:val="24"/>
          <w:u w:val="single"/>
        </w:rPr>
        <w:t>Publication of results of data collection</w:t>
      </w:r>
      <w:r w:rsidR="007B68C6" w:rsidRPr="007B2E4C">
        <w:rPr>
          <w:b/>
          <w:szCs w:val="24"/>
        </w:rPr>
        <w:t xml:space="preserve">.  </w:t>
      </w:r>
    </w:p>
    <w:p w14:paraId="7AC1AAC7" w14:textId="77777777" w:rsidR="008E62AF" w:rsidRPr="007B2E4C" w:rsidRDefault="008E62AF" w:rsidP="008E62AF">
      <w:pPr>
        <w:widowControl w:val="0"/>
        <w:tabs>
          <w:tab w:val="left" w:pos="540"/>
        </w:tabs>
        <w:rPr>
          <w:szCs w:val="24"/>
        </w:rPr>
      </w:pPr>
    </w:p>
    <w:p w14:paraId="72C18FEC" w14:textId="77777777" w:rsidR="008E62AF" w:rsidRPr="007B2E4C" w:rsidRDefault="008E62AF" w:rsidP="00661905">
      <w:pPr>
        <w:widowControl w:val="0"/>
        <w:tabs>
          <w:tab w:val="left" w:pos="540"/>
        </w:tabs>
        <w:rPr>
          <w:szCs w:val="24"/>
        </w:rPr>
      </w:pPr>
      <w:r w:rsidRPr="007B2E4C">
        <w:rPr>
          <w:szCs w:val="24"/>
        </w:rPr>
        <w:t>The</w:t>
      </w:r>
      <w:r w:rsidR="00A80D9B" w:rsidRPr="007B2E4C">
        <w:rPr>
          <w:szCs w:val="24"/>
        </w:rPr>
        <w:t xml:space="preserve"> aggregated</w:t>
      </w:r>
      <w:r w:rsidRPr="007B2E4C">
        <w:rPr>
          <w:szCs w:val="24"/>
        </w:rPr>
        <w:t xml:space="preserve"> results of the survey will be published </w:t>
      </w:r>
      <w:r w:rsidR="007759D1" w:rsidRPr="007B2E4C">
        <w:rPr>
          <w:szCs w:val="24"/>
        </w:rPr>
        <w:t xml:space="preserve">and publicized </w:t>
      </w:r>
      <w:r w:rsidRPr="007B2E4C">
        <w:rPr>
          <w:szCs w:val="24"/>
        </w:rPr>
        <w:t>on the FHWA website</w:t>
      </w:r>
      <w:r w:rsidR="00217F29" w:rsidRPr="007B2E4C">
        <w:rPr>
          <w:szCs w:val="24"/>
        </w:rPr>
        <w:t>, and to the extent practicable, incorporated with</w:t>
      </w:r>
      <w:r w:rsidR="00A80D9B" w:rsidRPr="007B2E4C">
        <w:rPr>
          <w:szCs w:val="24"/>
        </w:rPr>
        <w:t>in</w:t>
      </w:r>
      <w:r w:rsidR="00217F29" w:rsidRPr="007B2E4C">
        <w:rPr>
          <w:szCs w:val="24"/>
        </w:rPr>
        <w:t xml:space="preserve"> FHWA’s TPM Toolbox website (underdevelopment</w:t>
      </w:r>
      <w:r w:rsidR="00A80D9B" w:rsidRPr="007B2E4C">
        <w:rPr>
          <w:szCs w:val="24"/>
        </w:rPr>
        <w:t xml:space="preserve"> at www.tpmtools.org</w:t>
      </w:r>
      <w:r w:rsidR="00217F29" w:rsidRPr="007B2E4C">
        <w:rPr>
          <w:szCs w:val="24"/>
        </w:rPr>
        <w:t xml:space="preserve">). </w:t>
      </w:r>
      <w:r w:rsidR="00661905" w:rsidRPr="007B2E4C">
        <w:rPr>
          <w:szCs w:val="24"/>
        </w:rPr>
        <w:t xml:space="preserve"> An analysis report will summarize the results of the assessment including key findings that can be used to inform the TPM Implementation effort</w:t>
      </w:r>
      <w:r w:rsidR="00E32F02" w:rsidRPr="007B2E4C">
        <w:rPr>
          <w:szCs w:val="24"/>
        </w:rPr>
        <w:t>.  Given that the report audience is internal and external stakeholders, only aggregated information will be included in the assessment report. Reports for individual respondents will</w:t>
      </w:r>
      <w:r w:rsidR="00A80D9B" w:rsidRPr="007B2E4C">
        <w:rPr>
          <w:szCs w:val="24"/>
        </w:rPr>
        <w:t xml:space="preserve"> be</w:t>
      </w:r>
      <w:r w:rsidR="00E32F02" w:rsidRPr="007B2E4C">
        <w:rPr>
          <w:szCs w:val="24"/>
        </w:rPr>
        <w:t xml:space="preserve"> develop</w:t>
      </w:r>
      <w:r w:rsidR="00A80D9B" w:rsidRPr="007B2E4C">
        <w:rPr>
          <w:szCs w:val="24"/>
        </w:rPr>
        <w:t>ed</w:t>
      </w:r>
      <w:r w:rsidR="00E32F02" w:rsidRPr="007B2E4C">
        <w:rPr>
          <w:szCs w:val="24"/>
        </w:rPr>
        <w:t xml:space="preserve"> as needed and shared upon request to those outside of USDOT upon receiving permission from the respondents. </w:t>
      </w:r>
    </w:p>
    <w:p w14:paraId="06BB45B4" w14:textId="77777777" w:rsidR="001D224D" w:rsidRPr="007B2E4C" w:rsidRDefault="001D224D" w:rsidP="000A6210">
      <w:pPr>
        <w:widowControl w:val="0"/>
        <w:tabs>
          <w:tab w:val="left" w:pos="540"/>
        </w:tabs>
        <w:ind w:left="720"/>
        <w:rPr>
          <w:b/>
          <w:szCs w:val="24"/>
        </w:rPr>
      </w:pPr>
    </w:p>
    <w:p w14:paraId="596DAC55" w14:textId="77777777" w:rsidR="001D224D" w:rsidRPr="007B2E4C" w:rsidRDefault="007759D1" w:rsidP="007B68C6">
      <w:pPr>
        <w:widowControl w:val="0"/>
        <w:tabs>
          <w:tab w:val="left" w:pos="540"/>
        </w:tabs>
        <w:rPr>
          <w:b/>
          <w:szCs w:val="24"/>
        </w:rPr>
      </w:pPr>
      <w:r w:rsidRPr="007B2E4C">
        <w:rPr>
          <w:color w:val="FF0000"/>
          <w:szCs w:val="24"/>
        </w:rPr>
        <w:t xml:space="preserve"> </w:t>
      </w:r>
      <w:r w:rsidR="001D224D" w:rsidRPr="007B2E4C">
        <w:rPr>
          <w:b/>
          <w:szCs w:val="24"/>
        </w:rPr>
        <w:t>17.</w:t>
      </w:r>
      <w:r w:rsidR="001D224D" w:rsidRPr="007B2E4C">
        <w:rPr>
          <w:b/>
          <w:szCs w:val="24"/>
        </w:rPr>
        <w:tab/>
      </w:r>
      <w:r w:rsidR="007B68C6" w:rsidRPr="007B2E4C">
        <w:rPr>
          <w:b/>
          <w:szCs w:val="24"/>
          <w:u w:val="single"/>
        </w:rPr>
        <w:t>Approval for not displaying the expiration date of OMB approval</w:t>
      </w:r>
      <w:r w:rsidR="007B68C6" w:rsidRPr="007B2E4C">
        <w:rPr>
          <w:b/>
          <w:szCs w:val="24"/>
        </w:rPr>
        <w:t xml:space="preserve">.  </w:t>
      </w:r>
      <w:r w:rsidRPr="007B2E4C">
        <w:rPr>
          <w:b/>
          <w:szCs w:val="24"/>
        </w:rPr>
        <w:t xml:space="preserve"> </w:t>
      </w:r>
    </w:p>
    <w:p w14:paraId="5F791D95" w14:textId="77777777" w:rsidR="001D224D" w:rsidRPr="007B2E4C" w:rsidRDefault="001D224D" w:rsidP="000A6210">
      <w:pPr>
        <w:widowControl w:val="0"/>
        <w:tabs>
          <w:tab w:val="left" w:pos="540"/>
        </w:tabs>
        <w:rPr>
          <w:b/>
          <w:szCs w:val="24"/>
        </w:rPr>
      </w:pPr>
    </w:p>
    <w:p w14:paraId="4470BBC3" w14:textId="77777777" w:rsidR="007759D1" w:rsidRPr="007B2E4C" w:rsidRDefault="007759D1" w:rsidP="007759D1">
      <w:pPr>
        <w:rPr>
          <w:szCs w:val="24"/>
        </w:rPr>
      </w:pPr>
      <w:r w:rsidRPr="007B2E4C">
        <w:rPr>
          <w:szCs w:val="24"/>
        </w:rPr>
        <w:t>Approval for not displaying the expiration date is not being requested.</w:t>
      </w:r>
    </w:p>
    <w:p w14:paraId="33E0117D" w14:textId="77777777" w:rsidR="007B68C6" w:rsidRPr="007B2E4C" w:rsidRDefault="007B68C6" w:rsidP="000A6210">
      <w:pPr>
        <w:widowControl w:val="0"/>
        <w:tabs>
          <w:tab w:val="left" w:pos="540"/>
        </w:tabs>
        <w:rPr>
          <w:b/>
          <w:szCs w:val="24"/>
        </w:rPr>
      </w:pPr>
    </w:p>
    <w:p w14:paraId="360BC699" w14:textId="77777777" w:rsidR="001D224D" w:rsidRPr="007B2E4C" w:rsidRDefault="007B68C6" w:rsidP="007B68C6">
      <w:pPr>
        <w:widowControl w:val="0"/>
        <w:numPr>
          <w:ilvl w:val="0"/>
          <w:numId w:val="18"/>
        </w:numPr>
        <w:tabs>
          <w:tab w:val="clear" w:pos="900"/>
          <w:tab w:val="num" w:pos="0"/>
          <w:tab w:val="left" w:pos="540"/>
        </w:tabs>
        <w:ind w:left="0" w:firstLine="0"/>
        <w:rPr>
          <w:b/>
          <w:szCs w:val="24"/>
        </w:rPr>
      </w:pPr>
      <w:r w:rsidRPr="007B2E4C">
        <w:rPr>
          <w:b/>
          <w:szCs w:val="24"/>
          <w:u w:val="single"/>
        </w:rPr>
        <w:t>Exceptions to the certification statement</w:t>
      </w:r>
      <w:r w:rsidRPr="007B2E4C">
        <w:rPr>
          <w:b/>
          <w:szCs w:val="24"/>
        </w:rPr>
        <w:t xml:space="preserve">.  </w:t>
      </w:r>
    </w:p>
    <w:p w14:paraId="7CCE9B6B" w14:textId="77777777" w:rsidR="00671D37" w:rsidRPr="007B2E4C" w:rsidRDefault="00671D37" w:rsidP="00811808">
      <w:pPr>
        <w:widowControl w:val="0"/>
        <w:ind w:left="720"/>
        <w:rPr>
          <w:szCs w:val="24"/>
        </w:rPr>
      </w:pPr>
    </w:p>
    <w:p w14:paraId="1D2D4EC9" w14:textId="77777777" w:rsidR="007759D1" w:rsidRPr="007B2E4C" w:rsidRDefault="007759D1" w:rsidP="007759D1">
      <w:pPr>
        <w:rPr>
          <w:szCs w:val="24"/>
        </w:rPr>
      </w:pPr>
      <w:r w:rsidRPr="007B2E4C">
        <w:rPr>
          <w:szCs w:val="24"/>
        </w:rPr>
        <w:t>There are no exceptions to the certification statement for this information collection.</w:t>
      </w:r>
    </w:p>
    <w:p w14:paraId="6E3432AF" w14:textId="77777777" w:rsidR="000B3E9A" w:rsidRPr="007B2E4C" w:rsidRDefault="000B3E9A" w:rsidP="000B3E9A">
      <w:pPr>
        <w:widowControl w:val="0"/>
        <w:tabs>
          <w:tab w:val="left" w:pos="0"/>
        </w:tabs>
        <w:rPr>
          <w:szCs w:val="24"/>
        </w:rPr>
      </w:pPr>
    </w:p>
    <w:p w14:paraId="63895038" w14:textId="77777777" w:rsidR="000B3E9A" w:rsidRPr="007B2E4C" w:rsidRDefault="000B3E9A" w:rsidP="000B3E9A">
      <w:pPr>
        <w:widowControl w:val="0"/>
        <w:rPr>
          <w:b/>
          <w:szCs w:val="24"/>
        </w:rPr>
      </w:pPr>
    </w:p>
    <w:p w14:paraId="25D75CB9" w14:textId="77777777" w:rsidR="00E467E3" w:rsidRPr="007B2E4C" w:rsidRDefault="00E467E3" w:rsidP="007759D1">
      <w:pPr>
        <w:widowControl w:val="0"/>
        <w:tabs>
          <w:tab w:val="left" w:pos="0"/>
        </w:tabs>
        <w:rPr>
          <w:szCs w:val="24"/>
        </w:rPr>
      </w:pPr>
    </w:p>
    <w:sectPr w:rsidR="00E467E3" w:rsidRPr="007B2E4C" w:rsidSect="007B2E4C">
      <w:headerReference w:type="even" r:id="rId18"/>
      <w:headerReference w:type="default" r:id="rId19"/>
      <w:footerReference w:type="even" r:id="rId20"/>
      <w:footerReference w:type="default" r:id="rId21"/>
      <w:footnotePr>
        <w:numFmt w:val="lowerLetter"/>
      </w:footnotePr>
      <w:endnotePr>
        <w:numFmt w:val="lowerLetter"/>
      </w:endnotePr>
      <w:pgSz w:w="12240" w:h="15840"/>
      <w:pgMar w:top="720" w:right="720" w:bottom="720" w:left="720" w:header="1440" w:footer="792"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F17F6" w15:done="0"/>
  <w15:commentEx w15:paraId="74886109" w15:done="0"/>
  <w15:commentEx w15:paraId="19BC316C" w15:done="0"/>
  <w15:commentEx w15:paraId="1A245518" w15:done="0"/>
  <w15:commentEx w15:paraId="3BFCCA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F688E" w14:textId="77777777" w:rsidR="00554A13" w:rsidRDefault="00554A13">
      <w:r>
        <w:separator/>
      </w:r>
    </w:p>
  </w:endnote>
  <w:endnote w:type="continuationSeparator" w:id="0">
    <w:p w14:paraId="44485722" w14:textId="77777777" w:rsidR="00554A13" w:rsidRDefault="0055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70D3" w14:textId="77777777" w:rsidR="00E575D6" w:rsidRDefault="00E575D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B034C" w14:textId="77777777" w:rsidR="00E575D6" w:rsidRDefault="00E575D6">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9BBA3" w14:textId="77777777" w:rsidR="00554A13" w:rsidRDefault="00554A13">
      <w:r>
        <w:separator/>
      </w:r>
    </w:p>
  </w:footnote>
  <w:footnote w:type="continuationSeparator" w:id="0">
    <w:p w14:paraId="3519C5CD" w14:textId="77777777" w:rsidR="00554A13" w:rsidRDefault="00554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EF52" w14:textId="77777777" w:rsidR="00E575D6" w:rsidRDefault="00E575D6"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F1A">
      <w:rPr>
        <w:rStyle w:val="PageNumber"/>
        <w:noProof/>
      </w:rPr>
      <w:t>2</w:t>
    </w:r>
    <w:r>
      <w:rPr>
        <w:rStyle w:val="PageNumber"/>
      </w:rPr>
      <w:fldChar w:fldCharType="end"/>
    </w:r>
  </w:p>
  <w:p w14:paraId="4D4DD6C8" w14:textId="77777777" w:rsidR="00E575D6" w:rsidRDefault="00E575D6">
    <w:pPr>
      <w:widowControl w:val="0"/>
    </w:pPr>
  </w:p>
  <w:p w14:paraId="3E35A720" w14:textId="77777777" w:rsidR="00E575D6" w:rsidRDefault="00E575D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AE92" w14:textId="77777777" w:rsidR="00E575D6" w:rsidRDefault="00E575D6">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1733D5C"/>
    <w:multiLevelType w:val="hybridMultilevel"/>
    <w:tmpl w:val="47B6A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57922C6"/>
    <w:multiLevelType w:val="hybridMultilevel"/>
    <w:tmpl w:val="834EE70C"/>
    <w:lvl w:ilvl="0" w:tplc="04090017">
      <w:start w:val="1"/>
      <w:numFmt w:val="lowerLetter"/>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3">
    <w:nsid w:val="09506443"/>
    <w:multiLevelType w:val="hybridMultilevel"/>
    <w:tmpl w:val="43045576"/>
    <w:lvl w:ilvl="0" w:tplc="19427AE4">
      <w:start w:val="1"/>
      <w:numFmt w:val="lowerRoman"/>
      <w:lvlText w:val="%1."/>
      <w:lvlJc w:val="right"/>
      <w:pPr>
        <w:tabs>
          <w:tab w:val="num" w:pos="720"/>
        </w:tabs>
        <w:ind w:left="720" w:hanging="360"/>
      </w:pPr>
    </w:lvl>
    <w:lvl w:ilvl="1" w:tplc="184C5D24" w:tentative="1">
      <w:start w:val="1"/>
      <w:numFmt w:val="lowerRoman"/>
      <w:lvlText w:val="%2."/>
      <w:lvlJc w:val="right"/>
      <w:pPr>
        <w:tabs>
          <w:tab w:val="num" w:pos="1440"/>
        </w:tabs>
        <w:ind w:left="1440" w:hanging="360"/>
      </w:pPr>
    </w:lvl>
    <w:lvl w:ilvl="2" w:tplc="8FA2C692" w:tentative="1">
      <w:start w:val="1"/>
      <w:numFmt w:val="lowerRoman"/>
      <w:lvlText w:val="%3."/>
      <w:lvlJc w:val="right"/>
      <w:pPr>
        <w:tabs>
          <w:tab w:val="num" w:pos="2160"/>
        </w:tabs>
        <w:ind w:left="2160" w:hanging="360"/>
      </w:pPr>
    </w:lvl>
    <w:lvl w:ilvl="3" w:tplc="72B6529C" w:tentative="1">
      <w:start w:val="1"/>
      <w:numFmt w:val="lowerRoman"/>
      <w:lvlText w:val="%4."/>
      <w:lvlJc w:val="right"/>
      <w:pPr>
        <w:tabs>
          <w:tab w:val="num" w:pos="2880"/>
        </w:tabs>
        <w:ind w:left="2880" w:hanging="360"/>
      </w:pPr>
    </w:lvl>
    <w:lvl w:ilvl="4" w:tplc="8E0CF924" w:tentative="1">
      <w:start w:val="1"/>
      <w:numFmt w:val="lowerRoman"/>
      <w:lvlText w:val="%5."/>
      <w:lvlJc w:val="right"/>
      <w:pPr>
        <w:tabs>
          <w:tab w:val="num" w:pos="3600"/>
        </w:tabs>
        <w:ind w:left="3600" w:hanging="360"/>
      </w:pPr>
    </w:lvl>
    <w:lvl w:ilvl="5" w:tplc="86B65A80" w:tentative="1">
      <w:start w:val="1"/>
      <w:numFmt w:val="lowerRoman"/>
      <w:lvlText w:val="%6."/>
      <w:lvlJc w:val="right"/>
      <w:pPr>
        <w:tabs>
          <w:tab w:val="num" w:pos="4320"/>
        </w:tabs>
        <w:ind w:left="4320" w:hanging="360"/>
      </w:pPr>
    </w:lvl>
    <w:lvl w:ilvl="6" w:tplc="4E4C4C72" w:tentative="1">
      <w:start w:val="1"/>
      <w:numFmt w:val="lowerRoman"/>
      <w:lvlText w:val="%7."/>
      <w:lvlJc w:val="right"/>
      <w:pPr>
        <w:tabs>
          <w:tab w:val="num" w:pos="5040"/>
        </w:tabs>
        <w:ind w:left="5040" w:hanging="360"/>
      </w:pPr>
    </w:lvl>
    <w:lvl w:ilvl="7" w:tplc="369EA950" w:tentative="1">
      <w:start w:val="1"/>
      <w:numFmt w:val="lowerRoman"/>
      <w:lvlText w:val="%8."/>
      <w:lvlJc w:val="right"/>
      <w:pPr>
        <w:tabs>
          <w:tab w:val="num" w:pos="5760"/>
        </w:tabs>
        <w:ind w:left="5760" w:hanging="360"/>
      </w:pPr>
    </w:lvl>
    <w:lvl w:ilvl="8" w:tplc="DC6823B6" w:tentative="1">
      <w:start w:val="1"/>
      <w:numFmt w:val="lowerRoman"/>
      <w:lvlText w:val="%9."/>
      <w:lvlJc w:val="right"/>
      <w:pPr>
        <w:tabs>
          <w:tab w:val="num" w:pos="6480"/>
        </w:tabs>
        <w:ind w:left="6480" w:hanging="360"/>
      </w:pPr>
    </w:lvl>
  </w:abstractNum>
  <w:abstractNum w:abstractNumId="14">
    <w:nsid w:val="111E5E6F"/>
    <w:multiLevelType w:val="hybridMultilevel"/>
    <w:tmpl w:val="2610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1D224988"/>
    <w:multiLevelType w:val="hybridMultilevel"/>
    <w:tmpl w:val="7304E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DCB2F32"/>
    <w:multiLevelType w:val="hybridMultilevel"/>
    <w:tmpl w:val="DBD0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04F2E4E"/>
    <w:multiLevelType w:val="hybridMultilevel"/>
    <w:tmpl w:val="62641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442907"/>
    <w:multiLevelType w:val="hybridMultilevel"/>
    <w:tmpl w:val="9C3AEE78"/>
    <w:lvl w:ilvl="0" w:tplc="EED890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0851F48"/>
    <w:multiLevelType w:val="hybridMultilevel"/>
    <w:tmpl w:val="B8A414E0"/>
    <w:lvl w:ilvl="0" w:tplc="0BFAD00A">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3">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4">
    <w:nsid w:val="35F64CB7"/>
    <w:multiLevelType w:val="hybridMultilevel"/>
    <w:tmpl w:val="91C4A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331D7D"/>
    <w:multiLevelType w:val="hybridMultilevel"/>
    <w:tmpl w:val="E3E0BC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9348C5"/>
    <w:multiLevelType w:val="hybridMultilevel"/>
    <w:tmpl w:val="D9645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A0D1BE2"/>
    <w:multiLevelType w:val="hybridMultilevel"/>
    <w:tmpl w:val="CA28F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894411"/>
    <w:multiLevelType w:val="hybridMultilevel"/>
    <w:tmpl w:val="E208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18A680A"/>
    <w:multiLevelType w:val="hybridMultilevel"/>
    <w:tmpl w:val="203CF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31D545D"/>
    <w:multiLevelType w:val="hybridMultilevel"/>
    <w:tmpl w:val="2BE20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BEA69E9"/>
    <w:multiLevelType w:val="hybridMultilevel"/>
    <w:tmpl w:val="86B688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9309E6"/>
    <w:multiLevelType w:val="hybridMultilevel"/>
    <w:tmpl w:val="A70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C614EF"/>
    <w:multiLevelType w:val="hybridMultilevel"/>
    <w:tmpl w:val="A1968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7CB1155"/>
    <w:multiLevelType w:val="hybridMultilevel"/>
    <w:tmpl w:val="31560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A6D1A8A"/>
    <w:multiLevelType w:val="hybridMultilevel"/>
    <w:tmpl w:val="CC58DD5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3">
    <w:nsid w:val="6B6600D3"/>
    <w:multiLevelType w:val="hybridMultilevel"/>
    <w:tmpl w:val="AFF4D7C6"/>
    <w:lvl w:ilvl="0" w:tplc="0409001B">
      <w:start w:val="1"/>
      <w:numFmt w:val="lowerRoman"/>
      <w:lvlText w:val="%1."/>
      <w:lvlJc w:val="right"/>
      <w:pPr>
        <w:ind w:left="1644" w:hanging="360"/>
      </w:pPr>
    </w:lvl>
    <w:lvl w:ilvl="1" w:tplc="04090019">
      <w:start w:val="1"/>
      <w:numFmt w:val="lowerLetter"/>
      <w:lvlText w:val="%2."/>
      <w:lvlJc w:val="left"/>
      <w:pPr>
        <w:ind w:left="2364" w:hanging="360"/>
      </w:pPr>
    </w:lvl>
    <w:lvl w:ilvl="2" w:tplc="0409001B">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44">
    <w:nsid w:val="73060A4B"/>
    <w:multiLevelType w:val="hybridMultilevel"/>
    <w:tmpl w:val="20105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6D0637F"/>
    <w:multiLevelType w:val="hybridMultilevel"/>
    <w:tmpl w:val="A0DC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79E305B"/>
    <w:multiLevelType w:val="hybridMultilevel"/>
    <w:tmpl w:val="B644C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7"/>
  </w:num>
  <w:num w:numId="10">
    <w:abstractNumId w:val="26"/>
  </w:num>
  <w:num w:numId="11">
    <w:abstractNumId w:val="31"/>
  </w:num>
  <w:num w:numId="12">
    <w:abstractNumId w:val="8"/>
  </w:num>
  <w:num w:numId="13">
    <w:abstractNumId w:val="15"/>
  </w:num>
  <w:num w:numId="14">
    <w:abstractNumId w:val="23"/>
  </w:num>
  <w:num w:numId="15">
    <w:abstractNumId w:val="28"/>
  </w:num>
  <w:num w:numId="16">
    <w:abstractNumId w:val="19"/>
  </w:num>
  <w:num w:numId="17">
    <w:abstractNumId w:val="39"/>
  </w:num>
  <w:num w:numId="18">
    <w:abstractNumId w:val="25"/>
  </w:num>
  <w:num w:numId="19">
    <w:abstractNumId w:val="11"/>
  </w:num>
  <w:num w:numId="20">
    <w:abstractNumId w:val="47"/>
  </w:num>
  <w:num w:numId="21">
    <w:abstractNumId w:val="21"/>
  </w:num>
  <w:num w:numId="22">
    <w:abstractNumId w:val="32"/>
  </w:num>
  <w:num w:numId="23">
    <w:abstractNumId w:val="9"/>
  </w:num>
  <w:num w:numId="24">
    <w:abstractNumId w:val="17"/>
  </w:num>
  <w:num w:numId="25">
    <w:abstractNumId w:val="24"/>
  </w:num>
  <w:num w:numId="26">
    <w:abstractNumId w:val="35"/>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44"/>
  </w:num>
  <w:num w:numId="33">
    <w:abstractNumId w:val="16"/>
  </w:num>
  <w:num w:numId="34">
    <w:abstractNumId w:val="29"/>
  </w:num>
  <w:num w:numId="35">
    <w:abstractNumId w:val="33"/>
  </w:num>
  <w:num w:numId="36">
    <w:abstractNumId w:val="42"/>
  </w:num>
  <w:num w:numId="37">
    <w:abstractNumId w:val="34"/>
  </w:num>
  <w:num w:numId="38">
    <w:abstractNumId w:val="14"/>
  </w:num>
  <w:num w:numId="39">
    <w:abstractNumId w:val="40"/>
  </w:num>
  <w:num w:numId="40">
    <w:abstractNumId w:val="10"/>
  </w:num>
  <w:num w:numId="41">
    <w:abstractNumId w:val="18"/>
  </w:num>
  <w:num w:numId="42">
    <w:abstractNumId w:val="41"/>
  </w:num>
  <w:num w:numId="43">
    <w:abstractNumId w:val="30"/>
  </w:num>
  <w:num w:numId="44">
    <w:abstractNumId w:val="46"/>
  </w:num>
  <w:num w:numId="45">
    <w:abstractNumId w:val="38"/>
  </w:num>
  <w:num w:numId="46">
    <w:abstractNumId w:val="13"/>
  </w:num>
  <w:num w:numId="47">
    <w:abstractNumId w:val="10"/>
  </w:num>
  <w:num w:numId="48">
    <w:abstractNumId w:val="43"/>
  </w:num>
  <w:num w:numId="49">
    <w:abstractNumId w:val="12"/>
  </w:num>
  <w:num w:numId="5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D"/>
    <w:rsid w:val="0000185B"/>
    <w:rsid w:val="00005AC8"/>
    <w:rsid w:val="0001363C"/>
    <w:rsid w:val="00014628"/>
    <w:rsid w:val="00015F6A"/>
    <w:rsid w:val="00016E42"/>
    <w:rsid w:val="00044C4B"/>
    <w:rsid w:val="00046647"/>
    <w:rsid w:val="000525A0"/>
    <w:rsid w:val="000673B2"/>
    <w:rsid w:val="000736A7"/>
    <w:rsid w:val="000738F3"/>
    <w:rsid w:val="0007609B"/>
    <w:rsid w:val="000773D0"/>
    <w:rsid w:val="00082B4A"/>
    <w:rsid w:val="000836D6"/>
    <w:rsid w:val="00086A03"/>
    <w:rsid w:val="000907D5"/>
    <w:rsid w:val="0009490E"/>
    <w:rsid w:val="000A0277"/>
    <w:rsid w:val="000A6210"/>
    <w:rsid w:val="000A6237"/>
    <w:rsid w:val="000A6651"/>
    <w:rsid w:val="000B3E9A"/>
    <w:rsid w:val="000C5B12"/>
    <w:rsid w:val="000D16E2"/>
    <w:rsid w:val="000D2714"/>
    <w:rsid w:val="000D3A31"/>
    <w:rsid w:val="000D6E91"/>
    <w:rsid w:val="000E0200"/>
    <w:rsid w:val="000E129F"/>
    <w:rsid w:val="000F02F0"/>
    <w:rsid w:val="0010553F"/>
    <w:rsid w:val="00105786"/>
    <w:rsid w:val="00111C90"/>
    <w:rsid w:val="0012012B"/>
    <w:rsid w:val="00125C17"/>
    <w:rsid w:val="00132CD9"/>
    <w:rsid w:val="00134B26"/>
    <w:rsid w:val="00136BCE"/>
    <w:rsid w:val="00143869"/>
    <w:rsid w:val="0014478D"/>
    <w:rsid w:val="00145724"/>
    <w:rsid w:val="00145EE7"/>
    <w:rsid w:val="0015740B"/>
    <w:rsid w:val="001602BD"/>
    <w:rsid w:val="00162850"/>
    <w:rsid w:val="00166914"/>
    <w:rsid w:val="001937B4"/>
    <w:rsid w:val="001A268A"/>
    <w:rsid w:val="001C56C9"/>
    <w:rsid w:val="001D1C24"/>
    <w:rsid w:val="001D21A4"/>
    <w:rsid w:val="001D224D"/>
    <w:rsid w:val="001F680E"/>
    <w:rsid w:val="001F7F63"/>
    <w:rsid w:val="00206491"/>
    <w:rsid w:val="00211A1A"/>
    <w:rsid w:val="00214EA1"/>
    <w:rsid w:val="00216BBD"/>
    <w:rsid w:val="00217F29"/>
    <w:rsid w:val="00220896"/>
    <w:rsid w:val="002231EF"/>
    <w:rsid w:val="00234AF0"/>
    <w:rsid w:val="00243260"/>
    <w:rsid w:val="00250CAF"/>
    <w:rsid w:val="00254AB4"/>
    <w:rsid w:val="00262265"/>
    <w:rsid w:val="0026368B"/>
    <w:rsid w:val="0026419F"/>
    <w:rsid w:val="00271E38"/>
    <w:rsid w:val="002761C0"/>
    <w:rsid w:val="00282AD5"/>
    <w:rsid w:val="00282E6B"/>
    <w:rsid w:val="0028302E"/>
    <w:rsid w:val="002843AF"/>
    <w:rsid w:val="00285BC2"/>
    <w:rsid w:val="002874C2"/>
    <w:rsid w:val="00290CB3"/>
    <w:rsid w:val="00291331"/>
    <w:rsid w:val="002929B0"/>
    <w:rsid w:val="002958AA"/>
    <w:rsid w:val="002A1CB8"/>
    <w:rsid w:val="002A4DFE"/>
    <w:rsid w:val="002A5A16"/>
    <w:rsid w:val="002B1289"/>
    <w:rsid w:val="002B54A1"/>
    <w:rsid w:val="002B6B54"/>
    <w:rsid w:val="002D0646"/>
    <w:rsid w:val="002D2A3F"/>
    <w:rsid w:val="002E154D"/>
    <w:rsid w:val="002E3119"/>
    <w:rsid w:val="002E6631"/>
    <w:rsid w:val="002F283D"/>
    <w:rsid w:val="003029DB"/>
    <w:rsid w:val="0030347C"/>
    <w:rsid w:val="0030454E"/>
    <w:rsid w:val="0030713B"/>
    <w:rsid w:val="00311384"/>
    <w:rsid w:val="0031139E"/>
    <w:rsid w:val="0031308A"/>
    <w:rsid w:val="00323F3E"/>
    <w:rsid w:val="003340B0"/>
    <w:rsid w:val="00340C51"/>
    <w:rsid w:val="00340FE1"/>
    <w:rsid w:val="00342AD1"/>
    <w:rsid w:val="003520AC"/>
    <w:rsid w:val="003533E1"/>
    <w:rsid w:val="00354869"/>
    <w:rsid w:val="0035553B"/>
    <w:rsid w:val="00364904"/>
    <w:rsid w:val="00366AB0"/>
    <w:rsid w:val="00366EDD"/>
    <w:rsid w:val="003825DD"/>
    <w:rsid w:val="00383C3D"/>
    <w:rsid w:val="003848F8"/>
    <w:rsid w:val="00385DEC"/>
    <w:rsid w:val="0039412D"/>
    <w:rsid w:val="0039436D"/>
    <w:rsid w:val="00397165"/>
    <w:rsid w:val="00397F24"/>
    <w:rsid w:val="003F21BC"/>
    <w:rsid w:val="003F7601"/>
    <w:rsid w:val="00400889"/>
    <w:rsid w:val="004072DB"/>
    <w:rsid w:val="00412866"/>
    <w:rsid w:val="00414833"/>
    <w:rsid w:val="0042768F"/>
    <w:rsid w:val="00427866"/>
    <w:rsid w:val="00431B7C"/>
    <w:rsid w:val="00436CC2"/>
    <w:rsid w:val="00446964"/>
    <w:rsid w:val="00447A44"/>
    <w:rsid w:val="004547EA"/>
    <w:rsid w:val="00463C8A"/>
    <w:rsid w:val="004722AC"/>
    <w:rsid w:val="0048262A"/>
    <w:rsid w:val="0048271C"/>
    <w:rsid w:val="004845F1"/>
    <w:rsid w:val="00490FF0"/>
    <w:rsid w:val="00492398"/>
    <w:rsid w:val="004A133B"/>
    <w:rsid w:val="004A2D90"/>
    <w:rsid w:val="004B0581"/>
    <w:rsid w:val="004B41D5"/>
    <w:rsid w:val="004C5215"/>
    <w:rsid w:val="004D1083"/>
    <w:rsid w:val="004D1AA9"/>
    <w:rsid w:val="004D7BD3"/>
    <w:rsid w:val="004E0A52"/>
    <w:rsid w:val="004E26A0"/>
    <w:rsid w:val="004F164A"/>
    <w:rsid w:val="004F2288"/>
    <w:rsid w:val="004F248A"/>
    <w:rsid w:val="004F6075"/>
    <w:rsid w:val="005024B4"/>
    <w:rsid w:val="00503686"/>
    <w:rsid w:val="00507C0F"/>
    <w:rsid w:val="00510A26"/>
    <w:rsid w:val="005150DF"/>
    <w:rsid w:val="00515209"/>
    <w:rsid w:val="00517784"/>
    <w:rsid w:val="00520F03"/>
    <w:rsid w:val="00521940"/>
    <w:rsid w:val="00525138"/>
    <w:rsid w:val="0052547C"/>
    <w:rsid w:val="0053423B"/>
    <w:rsid w:val="00535F6A"/>
    <w:rsid w:val="00542E46"/>
    <w:rsid w:val="005432AF"/>
    <w:rsid w:val="0055023E"/>
    <w:rsid w:val="00554A13"/>
    <w:rsid w:val="00561E7E"/>
    <w:rsid w:val="00571076"/>
    <w:rsid w:val="00576631"/>
    <w:rsid w:val="00581334"/>
    <w:rsid w:val="0058459E"/>
    <w:rsid w:val="00591081"/>
    <w:rsid w:val="00594053"/>
    <w:rsid w:val="005A0377"/>
    <w:rsid w:val="005A5526"/>
    <w:rsid w:val="005B0506"/>
    <w:rsid w:val="005C1E2C"/>
    <w:rsid w:val="005E0EDE"/>
    <w:rsid w:val="005E3952"/>
    <w:rsid w:val="005F0AE8"/>
    <w:rsid w:val="005F422D"/>
    <w:rsid w:val="00602613"/>
    <w:rsid w:val="00606852"/>
    <w:rsid w:val="00607316"/>
    <w:rsid w:val="00620F79"/>
    <w:rsid w:val="00624048"/>
    <w:rsid w:val="006306BD"/>
    <w:rsid w:val="00636AA0"/>
    <w:rsid w:val="0064519E"/>
    <w:rsid w:val="0064782C"/>
    <w:rsid w:val="00647958"/>
    <w:rsid w:val="0065710F"/>
    <w:rsid w:val="00661905"/>
    <w:rsid w:val="00662FEA"/>
    <w:rsid w:val="00671D37"/>
    <w:rsid w:val="00681E37"/>
    <w:rsid w:val="0068484D"/>
    <w:rsid w:val="00687C73"/>
    <w:rsid w:val="00687F9A"/>
    <w:rsid w:val="00691922"/>
    <w:rsid w:val="0069242A"/>
    <w:rsid w:val="00693C31"/>
    <w:rsid w:val="006A0320"/>
    <w:rsid w:val="006B5210"/>
    <w:rsid w:val="006B749B"/>
    <w:rsid w:val="006C0638"/>
    <w:rsid w:val="006C1DBB"/>
    <w:rsid w:val="006D527E"/>
    <w:rsid w:val="006F30E9"/>
    <w:rsid w:val="007078AE"/>
    <w:rsid w:val="0071038A"/>
    <w:rsid w:val="00720D5B"/>
    <w:rsid w:val="007211A6"/>
    <w:rsid w:val="0072371F"/>
    <w:rsid w:val="00724627"/>
    <w:rsid w:val="00730606"/>
    <w:rsid w:val="007310A2"/>
    <w:rsid w:val="00731CCC"/>
    <w:rsid w:val="00731F93"/>
    <w:rsid w:val="00733E58"/>
    <w:rsid w:val="00743112"/>
    <w:rsid w:val="00747FDA"/>
    <w:rsid w:val="00752227"/>
    <w:rsid w:val="00763417"/>
    <w:rsid w:val="007666F7"/>
    <w:rsid w:val="007759D1"/>
    <w:rsid w:val="0078271D"/>
    <w:rsid w:val="00785360"/>
    <w:rsid w:val="00786565"/>
    <w:rsid w:val="00787F4D"/>
    <w:rsid w:val="00791079"/>
    <w:rsid w:val="007975AF"/>
    <w:rsid w:val="007A11F2"/>
    <w:rsid w:val="007A2754"/>
    <w:rsid w:val="007B2E4C"/>
    <w:rsid w:val="007B3022"/>
    <w:rsid w:val="007B6267"/>
    <w:rsid w:val="007B68C6"/>
    <w:rsid w:val="007C2F1C"/>
    <w:rsid w:val="007D7EDD"/>
    <w:rsid w:val="007E0401"/>
    <w:rsid w:val="007E2D7F"/>
    <w:rsid w:val="007E7F05"/>
    <w:rsid w:val="007F19C7"/>
    <w:rsid w:val="0080049A"/>
    <w:rsid w:val="00802D6E"/>
    <w:rsid w:val="0080405D"/>
    <w:rsid w:val="00811808"/>
    <w:rsid w:val="00824623"/>
    <w:rsid w:val="00827A2E"/>
    <w:rsid w:val="00843930"/>
    <w:rsid w:val="0086678B"/>
    <w:rsid w:val="008760B3"/>
    <w:rsid w:val="00884CD2"/>
    <w:rsid w:val="008870E3"/>
    <w:rsid w:val="008B1820"/>
    <w:rsid w:val="008B5371"/>
    <w:rsid w:val="008E62AF"/>
    <w:rsid w:val="009038BD"/>
    <w:rsid w:val="009056D7"/>
    <w:rsid w:val="00910FC7"/>
    <w:rsid w:val="00912BA0"/>
    <w:rsid w:val="0093512C"/>
    <w:rsid w:val="00936CC3"/>
    <w:rsid w:val="00936FE9"/>
    <w:rsid w:val="0094084B"/>
    <w:rsid w:val="00946FB5"/>
    <w:rsid w:val="00954038"/>
    <w:rsid w:val="00970D00"/>
    <w:rsid w:val="00977EE8"/>
    <w:rsid w:val="00981917"/>
    <w:rsid w:val="009857FB"/>
    <w:rsid w:val="00990FC4"/>
    <w:rsid w:val="00991AD2"/>
    <w:rsid w:val="00993884"/>
    <w:rsid w:val="00997784"/>
    <w:rsid w:val="00997834"/>
    <w:rsid w:val="009A3299"/>
    <w:rsid w:val="009B15A7"/>
    <w:rsid w:val="009B2BA9"/>
    <w:rsid w:val="009B3673"/>
    <w:rsid w:val="009B37F9"/>
    <w:rsid w:val="009C2178"/>
    <w:rsid w:val="009C7C41"/>
    <w:rsid w:val="009D030B"/>
    <w:rsid w:val="009D7683"/>
    <w:rsid w:val="009E1D59"/>
    <w:rsid w:val="009E26B1"/>
    <w:rsid w:val="009E2B72"/>
    <w:rsid w:val="009E49DB"/>
    <w:rsid w:val="009E4A89"/>
    <w:rsid w:val="009F3D0A"/>
    <w:rsid w:val="00A1037E"/>
    <w:rsid w:val="00A148D1"/>
    <w:rsid w:val="00A32459"/>
    <w:rsid w:val="00A32E48"/>
    <w:rsid w:val="00A3435C"/>
    <w:rsid w:val="00A37A22"/>
    <w:rsid w:val="00A40753"/>
    <w:rsid w:val="00A45FCC"/>
    <w:rsid w:val="00A46ADB"/>
    <w:rsid w:val="00A71EC0"/>
    <w:rsid w:val="00A75487"/>
    <w:rsid w:val="00A80D9B"/>
    <w:rsid w:val="00A81529"/>
    <w:rsid w:val="00A86046"/>
    <w:rsid w:val="00AA1704"/>
    <w:rsid w:val="00AA2D42"/>
    <w:rsid w:val="00AB5155"/>
    <w:rsid w:val="00AB7AC4"/>
    <w:rsid w:val="00AC512B"/>
    <w:rsid w:val="00AD05BD"/>
    <w:rsid w:val="00AD24E5"/>
    <w:rsid w:val="00AE19BD"/>
    <w:rsid w:val="00AF0344"/>
    <w:rsid w:val="00AF2582"/>
    <w:rsid w:val="00AF7D52"/>
    <w:rsid w:val="00B029B8"/>
    <w:rsid w:val="00B0326B"/>
    <w:rsid w:val="00B0481D"/>
    <w:rsid w:val="00B06DFA"/>
    <w:rsid w:val="00B114B5"/>
    <w:rsid w:val="00B11502"/>
    <w:rsid w:val="00B15410"/>
    <w:rsid w:val="00B15EA9"/>
    <w:rsid w:val="00B16A3B"/>
    <w:rsid w:val="00B2436D"/>
    <w:rsid w:val="00B34D95"/>
    <w:rsid w:val="00B40E11"/>
    <w:rsid w:val="00B623C2"/>
    <w:rsid w:val="00B6362D"/>
    <w:rsid w:val="00B67CA5"/>
    <w:rsid w:val="00B9721F"/>
    <w:rsid w:val="00B97699"/>
    <w:rsid w:val="00BA457D"/>
    <w:rsid w:val="00BA5F1A"/>
    <w:rsid w:val="00BB1A46"/>
    <w:rsid w:val="00BD65CD"/>
    <w:rsid w:val="00BD7C75"/>
    <w:rsid w:val="00BE2C8F"/>
    <w:rsid w:val="00BF16E9"/>
    <w:rsid w:val="00C0163B"/>
    <w:rsid w:val="00C03498"/>
    <w:rsid w:val="00C2648A"/>
    <w:rsid w:val="00C314A7"/>
    <w:rsid w:val="00C32B31"/>
    <w:rsid w:val="00C3484D"/>
    <w:rsid w:val="00C37979"/>
    <w:rsid w:val="00C41424"/>
    <w:rsid w:val="00C433E6"/>
    <w:rsid w:val="00C50B19"/>
    <w:rsid w:val="00C50BFC"/>
    <w:rsid w:val="00C52453"/>
    <w:rsid w:val="00C5366F"/>
    <w:rsid w:val="00C56F3F"/>
    <w:rsid w:val="00C65AE6"/>
    <w:rsid w:val="00C67722"/>
    <w:rsid w:val="00C8096E"/>
    <w:rsid w:val="00C861B2"/>
    <w:rsid w:val="00C95090"/>
    <w:rsid w:val="00CA2F7A"/>
    <w:rsid w:val="00CA2F8F"/>
    <w:rsid w:val="00CA5901"/>
    <w:rsid w:val="00CB1903"/>
    <w:rsid w:val="00CB1F75"/>
    <w:rsid w:val="00CB30D6"/>
    <w:rsid w:val="00CC4C8E"/>
    <w:rsid w:val="00CE14A5"/>
    <w:rsid w:val="00CE48C3"/>
    <w:rsid w:val="00CE7782"/>
    <w:rsid w:val="00CF168D"/>
    <w:rsid w:val="00CF4CB1"/>
    <w:rsid w:val="00D05F3A"/>
    <w:rsid w:val="00D06745"/>
    <w:rsid w:val="00D14093"/>
    <w:rsid w:val="00D1476A"/>
    <w:rsid w:val="00D16243"/>
    <w:rsid w:val="00D214A4"/>
    <w:rsid w:val="00D25907"/>
    <w:rsid w:val="00D25987"/>
    <w:rsid w:val="00D37B6D"/>
    <w:rsid w:val="00D404C6"/>
    <w:rsid w:val="00D50419"/>
    <w:rsid w:val="00D51244"/>
    <w:rsid w:val="00D546F8"/>
    <w:rsid w:val="00D55503"/>
    <w:rsid w:val="00D7060E"/>
    <w:rsid w:val="00D75901"/>
    <w:rsid w:val="00D759FC"/>
    <w:rsid w:val="00DA1B86"/>
    <w:rsid w:val="00DA2E75"/>
    <w:rsid w:val="00DA71F7"/>
    <w:rsid w:val="00DB4683"/>
    <w:rsid w:val="00DB6B96"/>
    <w:rsid w:val="00DB6E97"/>
    <w:rsid w:val="00DC0105"/>
    <w:rsid w:val="00DC04EE"/>
    <w:rsid w:val="00DE110A"/>
    <w:rsid w:val="00DE2E07"/>
    <w:rsid w:val="00DE3587"/>
    <w:rsid w:val="00DE3BB2"/>
    <w:rsid w:val="00E03924"/>
    <w:rsid w:val="00E05B44"/>
    <w:rsid w:val="00E07CCF"/>
    <w:rsid w:val="00E11316"/>
    <w:rsid w:val="00E15198"/>
    <w:rsid w:val="00E16B93"/>
    <w:rsid w:val="00E25C4A"/>
    <w:rsid w:val="00E26EDA"/>
    <w:rsid w:val="00E27B6B"/>
    <w:rsid w:val="00E31627"/>
    <w:rsid w:val="00E32F02"/>
    <w:rsid w:val="00E35C6E"/>
    <w:rsid w:val="00E3745C"/>
    <w:rsid w:val="00E37575"/>
    <w:rsid w:val="00E459F0"/>
    <w:rsid w:val="00E467E3"/>
    <w:rsid w:val="00E50617"/>
    <w:rsid w:val="00E50DA4"/>
    <w:rsid w:val="00E575D6"/>
    <w:rsid w:val="00E66A09"/>
    <w:rsid w:val="00E67ED3"/>
    <w:rsid w:val="00E76DB5"/>
    <w:rsid w:val="00EA0394"/>
    <w:rsid w:val="00EA4541"/>
    <w:rsid w:val="00EA591D"/>
    <w:rsid w:val="00EA7689"/>
    <w:rsid w:val="00EB4240"/>
    <w:rsid w:val="00EB5BD9"/>
    <w:rsid w:val="00EC23D6"/>
    <w:rsid w:val="00EC7D44"/>
    <w:rsid w:val="00ED24F2"/>
    <w:rsid w:val="00ED2FEB"/>
    <w:rsid w:val="00ED4F84"/>
    <w:rsid w:val="00EE1E06"/>
    <w:rsid w:val="00EE490C"/>
    <w:rsid w:val="00EE5390"/>
    <w:rsid w:val="00EE6BBC"/>
    <w:rsid w:val="00EF35BB"/>
    <w:rsid w:val="00EF4FFB"/>
    <w:rsid w:val="00F03BBF"/>
    <w:rsid w:val="00F10964"/>
    <w:rsid w:val="00F12098"/>
    <w:rsid w:val="00F1338F"/>
    <w:rsid w:val="00F138FF"/>
    <w:rsid w:val="00F31288"/>
    <w:rsid w:val="00F415DF"/>
    <w:rsid w:val="00F422CF"/>
    <w:rsid w:val="00F42E08"/>
    <w:rsid w:val="00F45141"/>
    <w:rsid w:val="00F45271"/>
    <w:rsid w:val="00F4544F"/>
    <w:rsid w:val="00F45A57"/>
    <w:rsid w:val="00F57B41"/>
    <w:rsid w:val="00F64012"/>
    <w:rsid w:val="00F67FCC"/>
    <w:rsid w:val="00F702C1"/>
    <w:rsid w:val="00F7389D"/>
    <w:rsid w:val="00F75AD0"/>
    <w:rsid w:val="00F75DB2"/>
    <w:rsid w:val="00F83CF4"/>
    <w:rsid w:val="00F90453"/>
    <w:rsid w:val="00FA6919"/>
    <w:rsid w:val="00FC5765"/>
    <w:rsid w:val="00FD167E"/>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FB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0B3E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467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9242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924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link w:val="FooterChar"/>
    <w:uiPriority w:val="99"/>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table" w:styleId="TableGrid">
    <w:name w:val="Table Grid"/>
    <w:basedOn w:val="TableNormal"/>
    <w:rsid w:val="004F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F607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F607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DC0105"/>
    <w:pPr>
      <w:spacing w:before="100" w:beforeAutospacing="1" w:after="100" w:afterAutospacing="1"/>
    </w:pPr>
    <w:rPr>
      <w:szCs w:val="24"/>
    </w:rPr>
  </w:style>
  <w:style w:type="paragraph" w:customStyle="1" w:styleId="itemtext">
    <w:name w:val="itemtext"/>
    <w:basedOn w:val="Normal"/>
    <w:rsid w:val="00DC0105"/>
    <w:pPr>
      <w:spacing w:before="100" w:beforeAutospacing="1" w:after="100" w:afterAutospacing="1"/>
    </w:pPr>
    <w:rPr>
      <w:szCs w:val="24"/>
    </w:rPr>
  </w:style>
  <w:style w:type="paragraph" w:styleId="BodyTextIndent">
    <w:name w:val="Body Text Indent"/>
    <w:basedOn w:val="Normal"/>
    <w:link w:val="BodyTextIndentChar"/>
    <w:unhideWhenUsed/>
    <w:rsid w:val="00946FB5"/>
    <w:pPr>
      <w:widowControl w:val="0"/>
      <w:autoSpaceDE w:val="0"/>
      <w:autoSpaceDN w:val="0"/>
      <w:adjustRightInd w:val="0"/>
      <w:ind w:left="720"/>
    </w:pPr>
    <w:rPr>
      <w:szCs w:val="24"/>
    </w:rPr>
  </w:style>
  <w:style w:type="character" w:customStyle="1" w:styleId="BodyTextIndentChar">
    <w:name w:val="Body Text Indent Char"/>
    <w:link w:val="BodyTextIndent"/>
    <w:rsid w:val="00946FB5"/>
    <w:rPr>
      <w:sz w:val="24"/>
      <w:szCs w:val="24"/>
    </w:rPr>
  </w:style>
  <w:style w:type="character" w:styleId="Hyperlink">
    <w:name w:val="Hyperlink"/>
    <w:uiPriority w:val="99"/>
    <w:unhideWhenUsed/>
    <w:rsid w:val="000B3E9A"/>
    <w:rPr>
      <w:color w:val="0000FF"/>
      <w:u w:val="single"/>
    </w:rPr>
  </w:style>
  <w:style w:type="character" w:customStyle="1" w:styleId="ListParagraphChar">
    <w:name w:val="List Paragraph Char"/>
    <w:link w:val="ListParagraph"/>
    <w:uiPriority w:val="34"/>
    <w:locked/>
    <w:rsid w:val="000B3E9A"/>
    <w:rPr>
      <w:rFonts w:ascii="Calibri" w:eastAsia="Calibri" w:hAnsi="Calibri"/>
      <w:sz w:val="22"/>
      <w:szCs w:val="22"/>
    </w:rPr>
  </w:style>
  <w:style w:type="paragraph" w:styleId="ListParagraph">
    <w:name w:val="List Paragraph"/>
    <w:basedOn w:val="Normal"/>
    <w:link w:val="ListParagraphChar"/>
    <w:uiPriority w:val="34"/>
    <w:qFormat/>
    <w:rsid w:val="000B3E9A"/>
    <w:pPr>
      <w:spacing w:after="200" w:line="276" w:lineRule="auto"/>
      <w:ind w:left="720"/>
      <w:contextualSpacing/>
    </w:pPr>
    <w:rPr>
      <w:rFonts w:ascii="Calibri" w:eastAsia="Calibri" w:hAnsi="Calibri"/>
      <w:sz w:val="22"/>
      <w:szCs w:val="22"/>
    </w:rPr>
  </w:style>
  <w:style w:type="paragraph" w:customStyle="1" w:styleId="rsgBody">
    <w:name w:val="+rsg_Body"/>
    <w:uiPriority w:val="99"/>
    <w:rsid w:val="000B3E9A"/>
    <w:pPr>
      <w:spacing w:before="120" w:line="240" w:lineRule="atLeast"/>
    </w:pPr>
    <w:rPr>
      <w:rFonts w:ascii="Cambria" w:hAnsi="Cambria"/>
      <w:sz w:val="22"/>
      <w:szCs w:val="24"/>
    </w:rPr>
  </w:style>
  <w:style w:type="paragraph" w:customStyle="1" w:styleId="rfpBody">
    <w:name w:val="+rfp_Body"/>
    <w:rsid w:val="000B3E9A"/>
    <w:pPr>
      <w:suppressAutoHyphens/>
      <w:spacing w:before="120" w:line="240" w:lineRule="atLeast"/>
    </w:pPr>
    <w:rPr>
      <w:rFonts w:ascii="Cambria" w:hAnsi="Cambria"/>
      <w:sz w:val="24"/>
      <w:szCs w:val="24"/>
    </w:rPr>
  </w:style>
  <w:style w:type="character" w:customStyle="1" w:styleId="Heading1Char">
    <w:name w:val="Heading 1 Char"/>
    <w:link w:val="Heading1"/>
    <w:rsid w:val="000B3E9A"/>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69242A"/>
    <w:rPr>
      <w:rFonts w:ascii="Calibri" w:eastAsia="Calibri" w:hAnsi="Calibri"/>
      <w:sz w:val="20"/>
    </w:rPr>
  </w:style>
  <w:style w:type="character" w:customStyle="1" w:styleId="FootnoteTextChar">
    <w:name w:val="Footnote Text Char"/>
    <w:link w:val="FootnoteText"/>
    <w:uiPriority w:val="99"/>
    <w:rsid w:val="0069242A"/>
    <w:rPr>
      <w:rFonts w:ascii="Calibri" w:eastAsia="Calibri" w:hAnsi="Calibri"/>
    </w:rPr>
  </w:style>
  <w:style w:type="character" w:styleId="FootnoteReference">
    <w:name w:val="footnote reference"/>
    <w:uiPriority w:val="99"/>
    <w:unhideWhenUsed/>
    <w:rsid w:val="0069242A"/>
  </w:style>
  <w:style w:type="character" w:customStyle="1" w:styleId="Heading4Char">
    <w:name w:val="Heading 4 Char"/>
    <w:link w:val="Heading4"/>
    <w:semiHidden/>
    <w:rsid w:val="0069242A"/>
    <w:rPr>
      <w:rFonts w:ascii="Calibri" w:eastAsia="Times New Roman" w:hAnsi="Calibri" w:cs="Times New Roman"/>
      <w:b/>
      <w:bCs/>
      <w:sz w:val="28"/>
      <w:szCs w:val="28"/>
    </w:rPr>
  </w:style>
  <w:style w:type="character" w:customStyle="1" w:styleId="Heading3Char">
    <w:name w:val="Heading 3 Char"/>
    <w:link w:val="Heading3"/>
    <w:uiPriority w:val="9"/>
    <w:semiHidden/>
    <w:rsid w:val="0069242A"/>
    <w:rPr>
      <w:rFonts w:ascii="Cambria" w:eastAsia="Times New Roman" w:hAnsi="Cambria" w:cs="Times New Roman"/>
      <w:b/>
      <w:bCs/>
      <w:sz w:val="26"/>
      <w:szCs w:val="26"/>
    </w:rPr>
  </w:style>
  <w:style w:type="paragraph" w:styleId="CommentText">
    <w:name w:val="annotation text"/>
    <w:basedOn w:val="Normal"/>
    <w:link w:val="CommentTextChar"/>
    <w:uiPriority w:val="99"/>
    <w:unhideWhenUsed/>
    <w:rsid w:val="0069242A"/>
    <w:pPr>
      <w:spacing w:after="200"/>
    </w:pPr>
    <w:rPr>
      <w:rFonts w:ascii="Calibri" w:eastAsia="Calibri" w:hAnsi="Calibri"/>
      <w:sz w:val="20"/>
    </w:rPr>
  </w:style>
  <w:style w:type="character" w:customStyle="1" w:styleId="CommentTextChar">
    <w:name w:val="Comment Text Char"/>
    <w:link w:val="CommentText"/>
    <w:uiPriority w:val="99"/>
    <w:rsid w:val="0069242A"/>
    <w:rPr>
      <w:rFonts w:ascii="Calibri" w:eastAsia="Calibri" w:hAnsi="Calibri"/>
    </w:rPr>
  </w:style>
  <w:style w:type="character" w:styleId="CommentReference">
    <w:name w:val="annotation reference"/>
    <w:uiPriority w:val="99"/>
    <w:unhideWhenUsed/>
    <w:rsid w:val="0069242A"/>
    <w:rPr>
      <w:sz w:val="16"/>
      <w:szCs w:val="16"/>
    </w:rPr>
  </w:style>
  <w:style w:type="character" w:customStyle="1" w:styleId="Heading2Char">
    <w:name w:val="Heading 2 Char"/>
    <w:link w:val="Heading2"/>
    <w:semiHidden/>
    <w:rsid w:val="00E467E3"/>
    <w:rPr>
      <w:rFonts w:ascii="Cambria" w:eastAsia="Times New Roman" w:hAnsi="Cambria" w:cs="Times New Roman"/>
      <w:b/>
      <w:bCs/>
      <w:i/>
      <w:iCs/>
      <w:sz w:val="28"/>
      <w:szCs w:val="28"/>
    </w:rPr>
  </w:style>
  <w:style w:type="character" w:customStyle="1" w:styleId="FooterChar">
    <w:name w:val="Footer Char"/>
    <w:link w:val="Footer"/>
    <w:uiPriority w:val="99"/>
    <w:rsid w:val="007B2E4C"/>
    <w:rPr>
      <w:sz w:val="24"/>
    </w:rPr>
  </w:style>
  <w:style w:type="paragraph" w:styleId="CommentSubject">
    <w:name w:val="annotation subject"/>
    <w:basedOn w:val="CommentText"/>
    <w:next w:val="CommentText"/>
    <w:link w:val="CommentSubjectChar"/>
    <w:semiHidden/>
    <w:unhideWhenUsed/>
    <w:rsid w:val="00F6401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F64012"/>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0B3E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467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9242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924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link w:val="FooterChar"/>
    <w:uiPriority w:val="99"/>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table" w:styleId="TableGrid">
    <w:name w:val="Table Grid"/>
    <w:basedOn w:val="TableNormal"/>
    <w:rsid w:val="004F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F607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F607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DC0105"/>
    <w:pPr>
      <w:spacing w:before="100" w:beforeAutospacing="1" w:after="100" w:afterAutospacing="1"/>
    </w:pPr>
    <w:rPr>
      <w:szCs w:val="24"/>
    </w:rPr>
  </w:style>
  <w:style w:type="paragraph" w:customStyle="1" w:styleId="itemtext">
    <w:name w:val="itemtext"/>
    <w:basedOn w:val="Normal"/>
    <w:rsid w:val="00DC0105"/>
    <w:pPr>
      <w:spacing w:before="100" w:beforeAutospacing="1" w:after="100" w:afterAutospacing="1"/>
    </w:pPr>
    <w:rPr>
      <w:szCs w:val="24"/>
    </w:rPr>
  </w:style>
  <w:style w:type="paragraph" w:styleId="BodyTextIndent">
    <w:name w:val="Body Text Indent"/>
    <w:basedOn w:val="Normal"/>
    <w:link w:val="BodyTextIndentChar"/>
    <w:unhideWhenUsed/>
    <w:rsid w:val="00946FB5"/>
    <w:pPr>
      <w:widowControl w:val="0"/>
      <w:autoSpaceDE w:val="0"/>
      <w:autoSpaceDN w:val="0"/>
      <w:adjustRightInd w:val="0"/>
      <w:ind w:left="720"/>
    </w:pPr>
    <w:rPr>
      <w:szCs w:val="24"/>
    </w:rPr>
  </w:style>
  <w:style w:type="character" w:customStyle="1" w:styleId="BodyTextIndentChar">
    <w:name w:val="Body Text Indent Char"/>
    <w:link w:val="BodyTextIndent"/>
    <w:rsid w:val="00946FB5"/>
    <w:rPr>
      <w:sz w:val="24"/>
      <w:szCs w:val="24"/>
    </w:rPr>
  </w:style>
  <w:style w:type="character" w:styleId="Hyperlink">
    <w:name w:val="Hyperlink"/>
    <w:uiPriority w:val="99"/>
    <w:unhideWhenUsed/>
    <w:rsid w:val="000B3E9A"/>
    <w:rPr>
      <w:color w:val="0000FF"/>
      <w:u w:val="single"/>
    </w:rPr>
  </w:style>
  <w:style w:type="character" w:customStyle="1" w:styleId="ListParagraphChar">
    <w:name w:val="List Paragraph Char"/>
    <w:link w:val="ListParagraph"/>
    <w:uiPriority w:val="34"/>
    <w:locked/>
    <w:rsid w:val="000B3E9A"/>
    <w:rPr>
      <w:rFonts w:ascii="Calibri" w:eastAsia="Calibri" w:hAnsi="Calibri"/>
      <w:sz w:val="22"/>
      <w:szCs w:val="22"/>
    </w:rPr>
  </w:style>
  <w:style w:type="paragraph" w:styleId="ListParagraph">
    <w:name w:val="List Paragraph"/>
    <w:basedOn w:val="Normal"/>
    <w:link w:val="ListParagraphChar"/>
    <w:uiPriority w:val="34"/>
    <w:qFormat/>
    <w:rsid w:val="000B3E9A"/>
    <w:pPr>
      <w:spacing w:after="200" w:line="276" w:lineRule="auto"/>
      <w:ind w:left="720"/>
      <w:contextualSpacing/>
    </w:pPr>
    <w:rPr>
      <w:rFonts w:ascii="Calibri" w:eastAsia="Calibri" w:hAnsi="Calibri"/>
      <w:sz w:val="22"/>
      <w:szCs w:val="22"/>
    </w:rPr>
  </w:style>
  <w:style w:type="paragraph" w:customStyle="1" w:styleId="rsgBody">
    <w:name w:val="+rsg_Body"/>
    <w:uiPriority w:val="99"/>
    <w:rsid w:val="000B3E9A"/>
    <w:pPr>
      <w:spacing w:before="120" w:line="240" w:lineRule="atLeast"/>
    </w:pPr>
    <w:rPr>
      <w:rFonts w:ascii="Cambria" w:hAnsi="Cambria"/>
      <w:sz w:val="22"/>
      <w:szCs w:val="24"/>
    </w:rPr>
  </w:style>
  <w:style w:type="paragraph" w:customStyle="1" w:styleId="rfpBody">
    <w:name w:val="+rfp_Body"/>
    <w:rsid w:val="000B3E9A"/>
    <w:pPr>
      <w:suppressAutoHyphens/>
      <w:spacing w:before="120" w:line="240" w:lineRule="atLeast"/>
    </w:pPr>
    <w:rPr>
      <w:rFonts w:ascii="Cambria" w:hAnsi="Cambria"/>
      <w:sz w:val="24"/>
      <w:szCs w:val="24"/>
    </w:rPr>
  </w:style>
  <w:style w:type="character" w:customStyle="1" w:styleId="Heading1Char">
    <w:name w:val="Heading 1 Char"/>
    <w:link w:val="Heading1"/>
    <w:rsid w:val="000B3E9A"/>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69242A"/>
    <w:rPr>
      <w:rFonts w:ascii="Calibri" w:eastAsia="Calibri" w:hAnsi="Calibri"/>
      <w:sz w:val="20"/>
    </w:rPr>
  </w:style>
  <w:style w:type="character" w:customStyle="1" w:styleId="FootnoteTextChar">
    <w:name w:val="Footnote Text Char"/>
    <w:link w:val="FootnoteText"/>
    <w:uiPriority w:val="99"/>
    <w:rsid w:val="0069242A"/>
    <w:rPr>
      <w:rFonts w:ascii="Calibri" w:eastAsia="Calibri" w:hAnsi="Calibri"/>
    </w:rPr>
  </w:style>
  <w:style w:type="character" w:styleId="FootnoteReference">
    <w:name w:val="footnote reference"/>
    <w:uiPriority w:val="99"/>
    <w:unhideWhenUsed/>
    <w:rsid w:val="0069242A"/>
  </w:style>
  <w:style w:type="character" w:customStyle="1" w:styleId="Heading4Char">
    <w:name w:val="Heading 4 Char"/>
    <w:link w:val="Heading4"/>
    <w:semiHidden/>
    <w:rsid w:val="0069242A"/>
    <w:rPr>
      <w:rFonts w:ascii="Calibri" w:eastAsia="Times New Roman" w:hAnsi="Calibri" w:cs="Times New Roman"/>
      <w:b/>
      <w:bCs/>
      <w:sz w:val="28"/>
      <w:szCs w:val="28"/>
    </w:rPr>
  </w:style>
  <w:style w:type="character" w:customStyle="1" w:styleId="Heading3Char">
    <w:name w:val="Heading 3 Char"/>
    <w:link w:val="Heading3"/>
    <w:uiPriority w:val="9"/>
    <w:semiHidden/>
    <w:rsid w:val="0069242A"/>
    <w:rPr>
      <w:rFonts w:ascii="Cambria" w:eastAsia="Times New Roman" w:hAnsi="Cambria" w:cs="Times New Roman"/>
      <w:b/>
      <w:bCs/>
      <w:sz w:val="26"/>
      <w:szCs w:val="26"/>
    </w:rPr>
  </w:style>
  <w:style w:type="paragraph" w:styleId="CommentText">
    <w:name w:val="annotation text"/>
    <w:basedOn w:val="Normal"/>
    <w:link w:val="CommentTextChar"/>
    <w:uiPriority w:val="99"/>
    <w:unhideWhenUsed/>
    <w:rsid w:val="0069242A"/>
    <w:pPr>
      <w:spacing w:after="200"/>
    </w:pPr>
    <w:rPr>
      <w:rFonts w:ascii="Calibri" w:eastAsia="Calibri" w:hAnsi="Calibri"/>
      <w:sz w:val="20"/>
    </w:rPr>
  </w:style>
  <w:style w:type="character" w:customStyle="1" w:styleId="CommentTextChar">
    <w:name w:val="Comment Text Char"/>
    <w:link w:val="CommentText"/>
    <w:uiPriority w:val="99"/>
    <w:rsid w:val="0069242A"/>
    <w:rPr>
      <w:rFonts w:ascii="Calibri" w:eastAsia="Calibri" w:hAnsi="Calibri"/>
    </w:rPr>
  </w:style>
  <w:style w:type="character" w:styleId="CommentReference">
    <w:name w:val="annotation reference"/>
    <w:uiPriority w:val="99"/>
    <w:unhideWhenUsed/>
    <w:rsid w:val="0069242A"/>
    <w:rPr>
      <w:sz w:val="16"/>
      <w:szCs w:val="16"/>
    </w:rPr>
  </w:style>
  <w:style w:type="character" w:customStyle="1" w:styleId="Heading2Char">
    <w:name w:val="Heading 2 Char"/>
    <w:link w:val="Heading2"/>
    <w:semiHidden/>
    <w:rsid w:val="00E467E3"/>
    <w:rPr>
      <w:rFonts w:ascii="Cambria" w:eastAsia="Times New Roman" w:hAnsi="Cambria" w:cs="Times New Roman"/>
      <w:b/>
      <w:bCs/>
      <w:i/>
      <w:iCs/>
      <w:sz w:val="28"/>
      <w:szCs w:val="28"/>
    </w:rPr>
  </w:style>
  <w:style w:type="character" w:customStyle="1" w:styleId="FooterChar">
    <w:name w:val="Footer Char"/>
    <w:link w:val="Footer"/>
    <w:uiPriority w:val="99"/>
    <w:rsid w:val="007B2E4C"/>
    <w:rPr>
      <w:sz w:val="24"/>
    </w:rPr>
  </w:style>
  <w:style w:type="paragraph" w:styleId="CommentSubject">
    <w:name w:val="annotation subject"/>
    <w:basedOn w:val="CommentText"/>
    <w:next w:val="CommentText"/>
    <w:link w:val="CommentSubjectChar"/>
    <w:semiHidden/>
    <w:unhideWhenUsed/>
    <w:rsid w:val="00F6401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F64012"/>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656">
      <w:bodyDiv w:val="1"/>
      <w:marLeft w:val="0"/>
      <w:marRight w:val="0"/>
      <w:marTop w:val="0"/>
      <w:marBottom w:val="0"/>
      <w:divBdr>
        <w:top w:val="none" w:sz="0" w:space="0" w:color="auto"/>
        <w:left w:val="none" w:sz="0" w:space="0" w:color="auto"/>
        <w:bottom w:val="none" w:sz="0" w:space="0" w:color="auto"/>
        <w:right w:val="none" w:sz="0" w:space="0" w:color="auto"/>
      </w:divBdr>
    </w:div>
    <w:div w:id="148718043">
      <w:bodyDiv w:val="1"/>
      <w:marLeft w:val="0"/>
      <w:marRight w:val="0"/>
      <w:marTop w:val="0"/>
      <w:marBottom w:val="0"/>
      <w:divBdr>
        <w:top w:val="none" w:sz="0" w:space="0" w:color="auto"/>
        <w:left w:val="none" w:sz="0" w:space="0" w:color="auto"/>
        <w:bottom w:val="none" w:sz="0" w:space="0" w:color="auto"/>
        <w:right w:val="none" w:sz="0" w:space="0" w:color="auto"/>
      </w:divBdr>
    </w:div>
    <w:div w:id="180516495">
      <w:bodyDiv w:val="1"/>
      <w:marLeft w:val="0"/>
      <w:marRight w:val="0"/>
      <w:marTop w:val="0"/>
      <w:marBottom w:val="0"/>
      <w:divBdr>
        <w:top w:val="none" w:sz="0" w:space="0" w:color="auto"/>
        <w:left w:val="none" w:sz="0" w:space="0" w:color="auto"/>
        <w:bottom w:val="none" w:sz="0" w:space="0" w:color="auto"/>
        <w:right w:val="none" w:sz="0" w:space="0" w:color="auto"/>
      </w:divBdr>
    </w:div>
    <w:div w:id="286084277">
      <w:bodyDiv w:val="1"/>
      <w:marLeft w:val="0"/>
      <w:marRight w:val="0"/>
      <w:marTop w:val="0"/>
      <w:marBottom w:val="0"/>
      <w:divBdr>
        <w:top w:val="none" w:sz="0" w:space="0" w:color="auto"/>
        <w:left w:val="none" w:sz="0" w:space="0" w:color="auto"/>
        <w:bottom w:val="none" w:sz="0" w:space="0" w:color="auto"/>
        <w:right w:val="none" w:sz="0" w:space="0" w:color="auto"/>
      </w:divBdr>
    </w:div>
    <w:div w:id="525339000">
      <w:bodyDiv w:val="1"/>
      <w:marLeft w:val="0"/>
      <w:marRight w:val="0"/>
      <w:marTop w:val="0"/>
      <w:marBottom w:val="0"/>
      <w:divBdr>
        <w:top w:val="none" w:sz="0" w:space="0" w:color="auto"/>
        <w:left w:val="none" w:sz="0" w:space="0" w:color="auto"/>
        <w:bottom w:val="none" w:sz="0" w:space="0" w:color="auto"/>
        <w:right w:val="none" w:sz="0" w:space="0" w:color="auto"/>
      </w:divBdr>
    </w:div>
    <w:div w:id="543097330">
      <w:bodyDiv w:val="1"/>
      <w:marLeft w:val="0"/>
      <w:marRight w:val="0"/>
      <w:marTop w:val="0"/>
      <w:marBottom w:val="0"/>
      <w:divBdr>
        <w:top w:val="none" w:sz="0" w:space="0" w:color="auto"/>
        <w:left w:val="none" w:sz="0" w:space="0" w:color="auto"/>
        <w:bottom w:val="none" w:sz="0" w:space="0" w:color="auto"/>
        <w:right w:val="none" w:sz="0" w:space="0" w:color="auto"/>
      </w:divBdr>
    </w:div>
    <w:div w:id="564604050">
      <w:bodyDiv w:val="1"/>
      <w:marLeft w:val="0"/>
      <w:marRight w:val="0"/>
      <w:marTop w:val="0"/>
      <w:marBottom w:val="0"/>
      <w:divBdr>
        <w:top w:val="none" w:sz="0" w:space="0" w:color="auto"/>
        <w:left w:val="none" w:sz="0" w:space="0" w:color="auto"/>
        <w:bottom w:val="none" w:sz="0" w:space="0" w:color="auto"/>
        <w:right w:val="none" w:sz="0" w:space="0" w:color="auto"/>
      </w:divBdr>
    </w:div>
    <w:div w:id="578905832">
      <w:bodyDiv w:val="1"/>
      <w:marLeft w:val="0"/>
      <w:marRight w:val="0"/>
      <w:marTop w:val="0"/>
      <w:marBottom w:val="0"/>
      <w:divBdr>
        <w:top w:val="none" w:sz="0" w:space="0" w:color="auto"/>
        <w:left w:val="none" w:sz="0" w:space="0" w:color="auto"/>
        <w:bottom w:val="none" w:sz="0" w:space="0" w:color="auto"/>
        <w:right w:val="none" w:sz="0" w:space="0" w:color="auto"/>
      </w:divBdr>
    </w:div>
    <w:div w:id="624384648">
      <w:bodyDiv w:val="1"/>
      <w:marLeft w:val="0"/>
      <w:marRight w:val="0"/>
      <w:marTop w:val="0"/>
      <w:marBottom w:val="0"/>
      <w:divBdr>
        <w:top w:val="none" w:sz="0" w:space="0" w:color="auto"/>
        <w:left w:val="none" w:sz="0" w:space="0" w:color="auto"/>
        <w:bottom w:val="none" w:sz="0" w:space="0" w:color="auto"/>
        <w:right w:val="none" w:sz="0" w:space="0" w:color="auto"/>
      </w:divBdr>
    </w:div>
    <w:div w:id="647050133">
      <w:bodyDiv w:val="1"/>
      <w:marLeft w:val="0"/>
      <w:marRight w:val="0"/>
      <w:marTop w:val="0"/>
      <w:marBottom w:val="0"/>
      <w:divBdr>
        <w:top w:val="none" w:sz="0" w:space="0" w:color="auto"/>
        <w:left w:val="none" w:sz="0" w:space="0" w:color="auto"/>
        <w:bottom w:val="none" w:sz="0" w:space="0" w:color="auto"/>
        <w:right w:val="none" w:sz="0" w:space="0" w:color="auto"/>
      </w:divBdr>
    </w:div>
    <w:div w:id="663434716">
      <w:bodyDiv w:val="1"/>
      <w:marLeft w:val="0"/>
      <w:marRight w:val="0"/>
      <w:marTop w:val="0"/>
      <w:marBottom w:val="0"/>
      <w:divBdr>
        <w:top w:val="none" w:sz="0" w:space="0" w:color="auto"/>
        <w:left w:val="none" w:sz="0" w:space="0" w:color="auto"/>
        <w:bottom w:val="none" w:sz="0" w:space="0" w:color="auto"/>
        <w:right w:val="none" w:sz="0" w:space="0" w:color="auto"/>
      </w:divBdr>
    </w:div>
    <w:div w:id="854342492">
      <w:bodyDiv w:val="1"/>
      <w:marLeft w:val="0"/>
      <w:marRight w:val="0"/>
      <w:marTop w:val="0"/>
      <w:marBottom w:val="0"/>
      <w:divBdr>
        <w:top w:val="none" w:sz="0" w:space="0" w:color="auto"/>
        <w:left w:val="none" w:sz="0" w:space="0" w:color="auto"/>
        <w:bottom w:val="none" w:sz="0" w:space="0" w:color="auto"/>
        <w:right w:val="none" w:sz="0" w:space="0" w:color="auto"/>
      </w:divBdr>
    </w:div>
    <w:div w:id="900746686">
      <w:bodyDiv w:val="1"/>
      <w:marLeft w:val="0"/>
      <w:marRight w:val="0"/>
      <w:marTop w:val="0"/>
      <w:marBottom w:val="0"/>
      <w:divBdr>
        <w:top w:val="none" w:sz="0" w:space="0" w:color="auto"/>
        <w:left w:val="none" w:sz="0" w:space="0" w:color="auto"/>
        <w:bottom w:val="none" w:sz="0" w:space="0" w:color="auto"/>
        <w:right w:val="none" w:sz="0" w:space="0" w:color="auto"/>
      </w:divBdr>
    </w:div>
    <w:div w:id="1029792688">
      <w:bodyDiv w:val="1"/>
      <w:marLeft w:val="0"/>
      <w:marRight w:val="0"/>
      <w:marTop w:val="0"/>
      <w:marBottom w:val="0"/>
      <w:divBdr>
        <w:top w:val="none" w:sz="0" w:space="0" w:color="auto"/>
        <w:left w:val="none" w:sz="0" w:space="0" w:color="auto"/>
        <w:bottom w:val="none" w:sz="0" w:space="0" w:color="auto"/>
        <w:right w:val="none" w:sz="0" w:space="0" w:color="auto"/>
      </w:divBdr>
    </w:div>
    <w:div w:id="1211041561">
      <w:bodyDiv w:val="1"/>
      <w:marLeft w:val="0"/>
      <w:marRight w:val="0"/>
      <w:marTop w:val="0"/>
      <w:marBottom w:val="0"/>
      <w:divBdr>
        <w:top w:val="none" w:sz="0" w:space="0" w:color="auto"/>
        <w:left w:val="none" w:sz="0" w:space="0" w:color="auto"/>
        <w:bottom w:val="none" w:sz="0" w:space="0" w:color="auto"/>
        <w:right w:val="none" w:sz="0" w:space="0" w:color="auto"/>
      </w:divBdr>
    </w:div>
    <w:div w:id="1242255893">
      <w:bodyDiv w:val="1"/>
      <w:marLeft w:val="0"/>
      <w:marRight w:val="0"/>
      <w:marTop w:val="0"/>
      <w:marBottom w:val="0"/>
      <w:divBdr>
        <w:top w:val="none" w:sz="0" w:space="0" w:color="auto"/>
        <w:left w:val="none" w:sz="0" w:space="0" w:color="auto"/>
        <w:bottom w:val="none" w:sz="0" w:space="0" w:color="auto"/>
        <w:right w:val="none" w:sz="0" w:space="0" w:color="auto"/>
      </w:divBdr>
      <w:divsChild>
        <w:div w:id="117722223">
          <w:marLeft w:val="907"/>
          <w:marRight w:val="0"/>
          <w:marTop w:val="144"/>
          <w:marBottom w:val="0"/>
          <w:divBdr>
            <w:top w:val="none" w:sz="0" w:space="0" w:color="auto"/>
            <w:left w:val="none" w:sz="0" w:space="0" w:color="auto"/>
            <w:bottom w:val="none" w:sz="0" w:space="0" w:color="auto"/>
            <w:right w:val="none" w:sz="0" w:space="0" w:color="auto"/>
          </w:divBdr>
        </w:div>
        <w:div w:id="475415348">
          <w:marLeft w:val="907"/>
          <w:marRight w:val="0"/>
          <w:marTop w:val="144"/>
          <w:marBottom w:val="0"/>
          <w:divBdr>
            <w:top w:val="none" w:sz="0" w:space="0" w:color="auto"/>
            <w:left w:val="none" w:sz="0" w:space="0" w:color="auto"/>
            <w:bottom w:val="none" w:sz="0" w:space="0" w:color="auto"/>
            <w:right w:val="none" w:sz="0" w:space="0" w:color="auto"/>
          </w:divBdr>
        </w:div>
      </w:divsChild>
    </w:div>
    <w:div w:id="1526793512">
      <w:bodyDiv w:val="1"/>
      <w:marLeft w:val="0"/>
      <w:marRight w:val="0"/>
      <w:marTop w:val="0"/>
      <w:marBottom w:val="0"/>
      <w:divBdr>
        <w:top w:val="none" w:sz="0" w:space="0" w:color="auto"/>
        <w:left w:val="none" w:sz="0" w:space="0" w:color="auto"/>
        <w:bottom w:val="none" w:sz="0" w:space="0" w:color="auto"/>
        <w:right w:val="none" w:sz="0" w:space="0" w:color="auto"/>
      </w:divBdr>
    </w:div>
    <w:div w:id="1667443212">
      <w:bodyDiv w:val="1"/>
      <w:marLeft w:val="0"/>
      <w:marRight w:val="0"/>
      <w:marTop w:val="0"/>
      <w:marBottom w:val="0"/>
      <w:divBdr>
        <w:top w:val="none" w:sz="0" w:space="0" w:color="auto"/>
        <w:left w:val="none" w:sz="0" w:space="0" w:color="auto"/>
        <w:bottom w:val="none" w:sz="0" w:space="0" w:color="auto"/>
        <w:right w:val="none" w:sz="0" w:space="0" w:color="auto"/>
      </w:divBdr>
    </w:div>
    <w:div w:id="1677730594">
      <w:bodyDiv w:val="1"/>
      <w:marLeft w:val="0"/>
      <w:marRight w:val="0"/>
      <w:marTop w:val="0"/>
      <w:marBottom w:val="0"/>
      <w:divBdr>
        <w:top w:val="none" w:sz="0" w:space="0" w:color="auto"/>
        <w:left w:val="none" w:sz="0" w:space="0" w:color="auto"/>
        <w:bottom w:val="none" w:sz="0" w:space="0" w:color="auto"/>
        <w:right w:val="none" w:sz="0" w:space="0" w:color="auto"/>
      </w:divBdr>
      <w:divsChild>
        <w:div w:id="854616257">
          <w:marLeft w:val="0"/>
          <w:marRight w:val="0"/>
          <w:marTop w:val="0"/>
          <w:marBottom w:val="0"/>
          <w:divBdr>
            <w:top w:val="none" w:sz="0" w:space="0" w:color="auto"/>
            <w:left w:val="none" w:sz="0" w:space="0" w:color="auto"/>
            <w:bottom w:val="none" w:sz="0" w:space="0" w:color="auto"/>
            <w:right w:val="none" w:sz="0" w:space="0" w:color="auto"/>
          </w:divBdr>
          <w:divsChild>
            <w:div w:id="1813401550">
              <w:marLeft w:val="0"/>
              <w:marRight w:val="0"/>
              <w:marTop w:val="0"/>
              <w:marBottom w:val="0"/>
              <w:divBdr>
                <w:top w:val="none" w:sz="0" w:space="0" w:color="auto"/>
                <w:left w:val="none" w:sz="0" w:space="0" w:color="auto"/>
                <w:bottom w:val="none" w:sz="0" w:space="0" w:color="auto"/>
                <w:right w:val="none" w:sz="0" w:space="0" w:color="auto"/>
              </w:divBdr>
              <w:divsChild>
                <w:div w:id="1784107704">
                  <w:marLeft w:val="0"/>
                  <w:marRight w:val="0"/>
                  <w:marTop w:val="0"/>
                  <w:marBottom w:val="0"/>
                  <w:divBdr>
                    <w:top w:val="none" w:sz="0" w:space="0" w:color="auto"/>
                    <w:left w:val="none" w:sz="0" w:space="0" w:color="auto"/>
                    <w:bottom w:val="none" w:sz="0" w:space="0" w:color="auto"/>
                    <w:right w:val="none" w:sz="0" w:space="0" w:color="auto"/>
                  </w:divBdr>
                  <w:divsChild>
                    <w:div w:id="2332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28348">
      <w:bodyDiv w:val="1"/>
      <w:marLeft w:val="0"/>
      <w:marRight w:val="0"/>
      <w:marTop w:val="0"/>
      <w:marBottom w:val="0"/>
      <w:divBdr>
        <w:top w:val="none" w:sz="0" w:space="0" w:color="auto"/>
        <w:left w:val="none" w:sz="0" w:space="0" w:color="auto"/>
        <w:bottom w:val="none" w:sz="0" w:space="0" w:color="auto"/>
        <w:right w:val="none" w:sz="0" w:space="0" w:color="auto"/>
      </w:divBdr>
    </w:div>
    <w:div w:id="1828326876">
      <w:bodyDiv w:val="1"/>
      <w:marLeft w:val="0"/>
      <w:marRight w:val="0"/>
      <w:marTop w:val="0"/>
      <w:marBottom w:val="0"/>
      <w:divBdr>
        <w:top w:val="none" w:sz="0" w:space="0" w:color="auto"/>
        <w:left w:val="none" w:sz="0" w:space="0" w:color="auto"/>
        <w:bottom w:val="none" w:sz="0" w:space="0" w:color="auto"/>
        <w:right w:val="none" w:sz="0" w:space="0" w:color="auto"/>
      </w:divBdr>
    </w:div>
    <w:div w:id="1835030666">
      <w:bodyDiv w:val="1"/>
      <w:marLeft w:val="0"/>
      <w:marRight w:val="0"/>
      <w:marTop w:val="0"/>
      <w:marBottom w:val="0"/>
      <w:divBdr>
        <w:top w:val="none" w:sz="0" w:space="0" w:color="auto"/>
        <w:left w:val="none" w:sz="0" w:space="0" w:color="auto"/>
        <w:bottom w:val="none" w:sz="0" w:space="0" w:color="auto"/>
        <w:right w:val="none" w:sz="0" w:space="0" w:color="auto"/>
      </w:divBdr>
    </w:div>
    <w:div w:id="1949584112">
      <w:bodyDiv w:val="1"/>
      <w:marLeft w:val="0"/>
      <w:marRight w:val="0"/>
      <w:marTop w:val="0"/>
      <w:marBottom w:val="0"/>
      <w:divBdr>
        <w:top w:val="none" w:sz="0" w:space="0" w:color="auto"/>
        <w:left w:val="none" w:sz="0" w:space="0" w:color="auto"/>
        <w:bottom w:val="none" w:sz="0" w:space="0" w:color="auto"/>
        <w:right w:val="none" w:sz="0" w:space="0" w:color="auto"/>
      </w:divBdr>
    </w:div>
    <w:div w:id="1975744659">
      <w:bodyDiv w:val="1"/>
      <w:marLeft w:val="0"/>
      <w:marRight w:val="0"/>
      <w:marTop w:val="0"/>
      <w:marBottom w:val="0"/>
      <w:divBdr>
        <w:top w:val="none" w:sz="0" w:space="0" w:color="auto"/>
        <w:left w:val="none" w:sz="0" w:space="0" w:color="auto"/>
        <w:bottom w:val="none" w:sz="0" w:space="0" w:color="auto"/>
        <w:right w:val="none" w:sz="0" w:space="0" w:color="auto"/>
      </w:divBdr>
    </w:div>
    <w:div w:id="1994984443">
      <w:bodyDiv w:val="1"/>
      <w:marLeft w:val="0"/>
      <w:marRight w:val="0"/>
      <w:marTop w:val="0"/>
      <w:marBottom w:val="0"/>
      <w:divBdr>
        <w:top w:val="none" w:sz="0" w:space="0" w:color="auto"/>
        <w:left w:val="none" w:sz="0" w:space="0" w:color="auto"/>
        <w:bottom w:val="none" w:sz="0" w:space="0" w:color="auto"/>
        <w:right w:val="none" w:sz="0" w:space="0" w:color="auto"/>
      </w:divBdr>
    </w:div>
    <w:div w:id="2018118935">
      <w:bodyDiv w:val="1"/>
      <w:marLeft w:val="0"/>
      <w:marRight w:val="0"/>
      <w:marTop w:val="0"/>
      <w:marBottom w:val="0"/>
      <w:divBdr>
        <w:top w:val="none" w:sz="0" w:space="0" w:color="auto"/>
        <w:left w:val="none" w:sz="0" w:space="0" w:color="auto"/>
        <w:bottom w:val="none" w:sz="0" w:space="0" w:color="auto"/>
        <w:right w:val="none" w:sz="0" w:space="0" w:color="auto"/>
      </w:divBdr>
    </w:div>
    <w:div w:id="2018656352">
      <w:bodyDiv w:val="1"/>
      <w:marLeft w:val="0"/>
      <w:marRight w:val="0"/>
      <w:marTop w:val="0"/>
      <w:marBottom w:val="0"/>
      <w:divBdr>
        <w:top w:val="none" w:sz="0" w:space="0" w:color="auto"/>
        <w:left w:val="none" w:sz="0" w:space="0" w:color="auto"/>
        <w:bottom w:val="none" w:sz="0" w:space="0" w:color="auto"/>
        <w:right w:val="none" w:sz="0" w:space="0" w:color="auto"/>
      </w:divBdr>
    </w:div>
    <w:div w:id="2055736252">
      <w:bodyDiv w:val="1"/>
      <w:marLeft w:val="0"/>
      <w:marRight w:val="0"/>
      <w:marTop w:val="0"/>
      <w:marBottom w:val="0"/>
      <w:divBdr>
        <w:top w:val="none" w:sz="0" w:space="0" w:color="auto"/>
        <w:left w:val="none" w:sz="0" w:space="0" w:color="auto"/>
        <w:bottom w:val="none" w:sz="0" w:space="0" w:color="auto"/>
        <w:right w:val="none" w:sz="0" w:space="0" w:color="auto"/>
      </w:divBdr>
      <w:divsChild>
        <w:div w:id="1003557012">
          <w:marLeft w:val="0"/>
          <w:marRight w:val="0"/>
          <w:marTop w:val="0"/>
          <w:marBottom w:val="0"/>
          <w:divBdr>
            <w:top w:val="none" w:sz="0" w:space="0" w:color="auto"/>
            <w:left w:val="none" w:sz="0" w:space="0" w:color="auto"/>
            <w:bottom w:val="none" w:sz="0" w:space="0" w:color="auto"/>
            <w:right w:val="none" w:sz="0" w:space="0" w:color="auto"/>
          </w:divBdr>
          <w:divsChild>
            <w:div w:id="1012949978">
              <w:marLeft w:val="0"/>
              <w:marRight w:val="0"/>
              <w:marTop w:val="0"/>
              <w:marBottom w:val="0"/>
              <w:divBdr>
                <w:top w:val="none" w:sz="0" w:space="0" w:color="auto"/>
                <w:left w:val="none" w:sz="0" w:space="0" w:color="auto"/>
                <w:bottom w:val="none" w:sz="0" w:space="0" w:color="auto"/>
                <w:right w:val="none" w:sz="0" w:space="0" w:color="auto"/>
              </w:divBdr>
              <w:divsChild>
                <w:div w:id="1901864537">
                  <w:marLeft w:val="0"/>
                  <w:marRight w:val="0"/>
                  <w:marTop w:val="0"/>
                  <w:marBottom w:val="0"/>
                  <w:divBdr>
                    <w:top w:val="none" w:sz="0" w:space="0" w:color="auto"/>
                    <w:left w:val="none" w:sz="0" w:space="0" w:color="auto"/>
                    <w:bottom w:val="none" w:sz="0" w:space="0" w:color="auto"/>
                    <w:right w:val="none" w:sz="0" w:space="0" w:color="auto"/>
                  </w:divBdr>
                  <w:divsChild>
                    <w:div w:id="14147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bls.gov/ooh/office-and-administrative-support/secretaries-and-administrative-assistants.htm"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bls.gov/oes/current/oes13111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bls.gov/oes/current/oes172051.ht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bls.gov/oes/current/oes19305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3e2fbb12-4cd6-4296-b54c-845d39b60089" xsi:nil="true"/>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_dlc_DocId xmlns="f4250004-c30e-449a-afe0-666d3ac9f6a5">7E7EFUKAKD22-472-2384</_dlc_DocId>
    <_dlc_DocIdUrl xmlns="f4250004-c30e-449a-afe0-666d3ac9f6a5">
      <Url>http://our.dot.gov/office/fhwa.hq/OfficeofInfrastructure/tpm/ar/_layouts/DocIdRedir.aspx?ID=7E7EFUKAKD22-472-2384</Url>
      <Description>7E7EFUKAKD22-472-2384</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8E77E49D660342A4E56AFA1AEF5430" ma:contentTypeVersion="9" ma:contentTypeDescription="Create a new document." ma:contentTypeScope="" ma:versionID="bfe82d9997146b3b5c9fb329815a79a0">
  <xsd:schema xmlns:xsd="http://www.w3.org/2001/XMLSchema" xmlns:xs="http://www.w3.org/2001/XMLSchema" xmlns:p="http://schemas.microsoft.com/office/2006/metadata/properties" xmlns:ns1="http://schemas.microsoft.com/sharepoint/v3" xmlns:ns2="f4250004-c30e-449a-afe0-666d3ac9f6a5" xmlns:ns3="http://schemas.microsoft.com/sharepoint/v4" xmlns:ns4="3e2fbb12-4cd6-4296-b54c-845d39b60089" targetNamespace="http://schemas.microsoft.com/office/2006/metadata/properties" ma:root="true" ma:fieldsID="49d0c0fb5ddc585bc5b55ce7ad7b8877" ns1:_="" ns2:_="" ns3:_="" ns4:_="">
    <xsd:import namespace="http://schemas.microsoft.com/sharepoint/v3"/>
    <xsd:import namespace="f4250004-c30e-449a-afe0-666d3ac9f6a5"/>
    <xsd:import namespace="http://schemas.microsoft.com/sharepoint/v4"/>
    <xsd:import namespace="3e2fbb12-4cd6-4296-b54c-845d39b6008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Description0"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50004-c30e-449a-afe0-666d3ac9f6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element name="EmailHeaders" ma:index="19"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fbb12-4cd6-4296-b54c-845d39b60089"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61B74-1565-4196-AD43-C38264682682}">
  <ds:schemaRefs>
    <ds:schemaRef ds:uri="http://purl.org/dc/terms/"/>
    <ds:schemaRef ds:uri="http://purl.org/dc/elements/1.1/"/>
    <ds:schemaRef ds:uri="http://schemas.microsoft.com/office/2006/documentManagement/types"/>
    <ds:schemaRef ds:uri="http://schemas.microsoft.com/office/infopath/2007/PartnerControls"/>
    <ds:schemaRef ds:uri="http://schemas.microsoft.com/sharepoint/v4"/>
    <ds:schemaRef ds:uri="http://purl.org/dc/dcmitype/"/>
    <ds:schemaRef ds:uri="http://www.w3.org/XML/1998/namespace"/>
    <ds:schemaRef ds:uri="http://schemas.openxmlformats.org/package/2006/metadata/core-properties"/>
    <ds:schemaRef ds:uri="3e2fbb12-4cd6-4296-b54c-845d39b60089"/>
    <ds:schemaRef ds:uri="f4250004-c30e-449a-afe0-666d3ac9f6a5"/>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4A521F5-F9DB-4070-8A8A-44B20E63CD8F}">
  <ds:schemaRefs>
    <ds:schemaRef ds:uri="http://schemas.microsoft.com/office/2006/metadata/longProperties"/>
  </ds:schemaRefs>
</ds:datastoreItem>
</file>

<file path=customXml/itemProps3.xml><?xml version="1.0" encoding="utf-8"?>
<ds:datastoreItem xmlns:ds="http://schemas.openxmlformats.org/officeDocument/2006/customXml" ds:itemID="{C95104E8-6B83-4A8F-BACA-4777D8705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250004-c30e-449a-afe0-666d3ac9f6a5"/>
    <ds:schemaRef ds:uri="http://schemas.microsoft.com/sharepoint/v4"/>
    <ds:schemaRef ds:uri="3e2fbb12-4cd6-4296-b54c-845d39b60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5.xml><?xml version="1.0" encoding="utf-8"?>
<ds:datastoreItem xmlns:ds="http://schemas.openxmlformats.org/officeDocument/2006/customXml" ds:itemID="{27DFDFE3-7735-4F94-B9D0-C7A9993D055C}">
  <ds:schemaRefs>
    <ds:schemaRef ds:uri="http://schemas.microsoft.com/sharepoint/events"/>
  </ds:schemaRefs>
</ds:datastoreItem>
</file>

<file path=customXml/itemProps6.xml><?xml version="1.0" encoding="utf-8"?>
<ds:datastoreItem xmlns:ds="http://schemas.openxmlformats.org/officeDocument/2006/customXml" ds:itemID="{968BF723-EFE8-4651-897A-AA5863D9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SYSTEM</cp:lastModifiedBy>
  <cp:revision>2</cp:revision>
  <cp:lastPrinted>2016-11-28T18:57:00Z</cp:lastPrinted>
  <dcterms:created xsi:type="dcterms:W3CDTF">2017-07-19T13:11:00Z</dcterms:created>
  <dcterms:modified xsi:type="dcterms:W3CDTF">2017-07-19T13:11:00Z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0x010100F68E77E49D660342A4E56AFA1AEF5430</vt:lpwstr>
  </property>
  <property fmtid="{D5CDD505-2E9C-101B-9397-08002B2CF9AE}" pid="3" name="_dlc_DocId">
    <vt:lpwstr>7E7EFUKAKD22-472-2226</vt:lpwstr>
  </property>
  <property fmtid="{D5CDD505-2E9C-101B-9397-08002B2CF9AE}" pid="4" name="_dlc_DocIdItemGuid">
    <vt:lpwstr>ced4cee5-0d56-47f4-ac18-3ea729849a27</vt:lpwstr>
  </property>
  <property fmtid="{D5CDD505-2E9C-101B-9397-08002B2CF9AE}" pid="5" name="_dlc_DocIdUrl">
    <vt:lpwstr>http://our.dot.gov/office/fhwa.hq/OfficeofInfrastructure/tpm/ar/_layouts/DocIdRedir.aspx?ID=7E7EFUKAKD22-472-2226, 7E7EFUKAKD22-472-2226</vt:lpwstr>
  </property>
</Properties>
</file>