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6530A" w14:textId="453A22B2" w:rsidR="00EF26D9" w:rsidRDefault="00463DA5" w:rsidP="00574C8A">
      <w:pPr>
        <w:rPr>
          <w:sz w:val="20"/>
          <w:szCs w:val="20"/>
        </w:rPr>
      </w:pPr>
      <w:bookmarkStart w:id="0" w:name="_GoBack"/>
      <w:bookmarkEnd w:id="0"/>
      <w:r>
        <w:rPr>
          <w:sz w:val="20"/>
          <w:szCs w:val="20"/>
        </w:rPr>
        <w:t>EO12</w:t>
      </w:r>
      <w:r w:rsidR="00574C8A" w:rsidRPr="00574C8A">
        <w:rPr>
          <w:sz w:val="20"/>
          <w:szCs w:val="20"/>
        </w:rPr>
        <w:t>866_</w:t>
      </w:r>
      <w:r w:rsidR="00F61EA6">
        <w:rPr>
          <w:sz w:val="20"/>
          <w:szCs w:val="20"/>
        </w:rPr>
        <w:t>PCWP</w:t>
      </w:r>
      <w:r w:rsidR="00574C8A" w:rsidRPr="00574C8A">
        <w:rPr>
          <w:sz w:val="20"/>
          <w:szCs w:val="20"/>
        </w:rPr>
        <w:t xml:space="preserve"> ICR_2060-AO66 Pre-Proposal Supporting Statement_20171002</w:t>
      </w:r>
    </w:p>
    <w:p w14:paraId="48E34C54" w14:textId="65908568" w:rsidR="00574C8A" w:rsidRDefault="00574C8A" w:rsidP="00574C8A">
      <w:pPr>
        <w:rPr>
          <w:sz w:val="20"/>
          <w:szCs w:val="20"/>
        </w:rPr>
      </w:pPr>
    </w:p>
    <w:p w14:paraId="745ACE41" w14:textId="77777777" w:rsidR="00574C8A" w:rsidRPr="00574C8A" w:rsidRDefault="00574C8A" w:rsidP="00574C8A">
      <w:pPr>
        <w:rPr>
          <w:sz w:val="20"/>
          <w:szCs w:val="20"/>
        </w:rPr>
      </w:pPr>
    </w:p>
    <w:p w14:paraId="496C8A96" w14:textId="77777777" w:rsidR="002C0763" w:rsidRDefault="002C0763" w:rsidP="006C075D">
      <w:pPr>
        <w:pStyle w:val="DocumentTitle"/>
      </w:pPr>
      <w:r>
        <w:t>INFORMATION COLLECTION REQUEST</w:t>
      </w:r>
      <w:r>
        <w:br/>
      </w:r>
      <w:r w:rsidR="004F418B" w:rsidRPr="006C075D">
        <w:t>SUPPORTING STATEMENT</w:t>
      </w:r>
    </w:p>
    <w:p w14:paraId="640D8251" w14:textId="77777777" w:rsidR="00EF26D9" w:rsidRPr="00B256A2" w:rsidRDefault="004F418B" w:rsidP="006C075D">
      <w:pPr>
        <w:pStyle w:val="DocumentTitle"/>
      </w:pPr>
      <w:r w:rsidRPr="00B256A2">
        <w:t>EPA ICR No.</w:t>
      </w:r>
      <w:r w:rsidR="006C075D" w:rsidRPr="00B256A2">
        <w:t xml:space="preserve"> </w:t>
      </w:r>
      <w:r w:rsidR="00B256A2" w:rsidRPr="00B256A2">
        <w:t>2552.01</w:t>
      </w:r>
    </w:p>
    <w:p w14:paraId="754D57DB" w14:textId="77777777" w:rsidR="00E67D92" w:rsidRPr="004A02C7" w:rsidRDefault="00E67D92" w:rsidP="003055DB">
      <w:pPr>
        <w:pStyle w:val="DocumentTitle"/>
      </w:pPr>
      <w:r>
        <w:t>INFORMATION COLLECTION REQUEST</w:t>
      </w:r>
      <w:r w:rsidRPr="006C075D">
        <w:t xml:space="preserve"> </w:t>
      </w:r>
      <w:r>
        <w:t>FOR PLYWOOD AND COMPOSITE WOOD PRODUCTS NATIONAL EMISSION</w:t>
      </w:r>
      <w:r w:rsidRPr="006C075D">
        <w:t xml:space="preserve"> </w:t>
      </w:r>
      <w:r>
        <w:t>STANDARDS FOR HAZARDOUS AIR POLLUTANTS (NESHAP) RESIDUAL RISK</w:t>
      </w:r>
      <w:r w:rsidRPr="006C075D">
        <w:t xml:space="preserve"> AND</w:t>
      </w:r>
      <w:r>
        <w:t xml:space="preserve"> TECHNOLOGY REVIEW (RTR)</w:t>
      </w:r>
    </w:p>
    <w:p w14:paraId="3330651F" w14:textId="77777777" w:rsidR="00EF26D9" w:rsidRPr="006C075D" w:rsidRDefault="00EF26D9" w:rsidP="006C075D"/>
    <w:p w14:paraId="62A413C7" w14:textId="77777777" w:rsidR="00EF26D9" w:rsidRPr="006C075D" w:rsidRDefault="00EF26D9" w:rsidP="006C075D"/>
    <w:p w14:paraId="4B979800" w14:textId="77777777" w:rsidR="00EF26D9" w:rsidRPr="006C075D" w:rsidRDefault="00EF26D9" w:rsidP="006C075D"/>
    <w:p w14:paraId="11AF289F" w14:textId="77777777" w:rsidR="00EF26D9" w:rsidRPr="006C075D" w:rsidRDefault="00EF26D9" w:rsidP="006C075D"/>
    <w:p w14:paraId="07B60F77" w14:textId="77777777" w:rsidR="00EF26D9" w:rsidRPr="006C075D" w:rsidRDefault="00EF26D9" w:rsidP="006C075D"/>
    <w:p w14:paraId="6E7C0871" w14:textId="77777777" w:rsidR="00EF26D9" w:rsidRPr="006C075D" w:rsidRDefault="00EF26D9" w:rsidP="006C075D"/>
    <w:p w14:paraId="275CCA71" w14:textId="77777777" w:rsidR="00EF26D9" w:rsidRPr="006C075D" w:rsidRDefault="00EF26D9" w:rsidP="006C075D"/>
    <w:p w14:paraId="2DCF2067" w14:textId="77777777" w:rsidR="00EF26D9" w:rsidRPr="006C075D" w:rsidRDefault="00EF26D9" w:rsidP="006C075D"/>
    <w:p w14:paraId="7E1AD09A" w14:textId="77777777" w:rsidR="00EF26D9" w:rsidRPr="006C075D" w:rsidRDefault="00EF26D9" w:rsidP="006C075D"/>
    <w:p w14:paraId="65C1A532" w14:textId="77777777" w:rsidR="00EF26D9" w:rsidRPr="006C075D" w:rsidRDefault="00EF26D9" w:rsidP="006C075D"/>
    <w:p w14:paraId="50EB55BD" w14:textId="77777777" w:rsidR="00EF26D9" w:rsidRPr="006C075D" w:rsidRDefault="00EF26D9" w:rsidP="006C075D"/>
    <w:p w14:paraId="6F45270C" w14:textId="77777777" w:rsidR="00EF26D9" w:rsidRPr="006C075D" w:rsidRDefault="00EF26D9" w:rsidP="006C075D"/>
    <w:p w14:paraId="4AF7ED12" w14:textId="77777777" w:rsidR="006C075D" w:rsidRDefault="004F418B" w:rsidP="006C075D">
      <w:pPr>
        <w:pStyle w:val="Centered"/>
      </w:pPr>
      <w:r w:rsidRPr="006C075D">
        <w:t>Sector Policies and Programs Division</w:t>
      </w:r>
    </w:p>
    <w:p w14:paraId="244EB32B" w14:textId="77777777" w:rsidR="006C075D" w:rsidRPr="00961685" w:rsidRDefault="004F418B" w:rsidP="006C075D">
      <w:pPr>
        <w:pStyle w:val="Centered"/>
      </w:pPr>
      <w:r>
        <w:t xml:space="preserve">U.S. </w:t>
      </w:r>
      <w:r w:rsidRPr="006C075D">
        <w:t>Environmental</w:t>
      </w:r>
      <w:r>
        <w:t xml:space="preserve"> Protection Agency</w:t>
      </w:r>
    </w:p>
    <w:p w14:paraId="7A3C341C" w14:textId="77777777" w:rsidR="00EF26D9" w:rsidRDefault="004F418B" w:rsidP="006C075D">
      <w:pPr>
        <w:pStyle w:val="Centered"/>
      </w:pPr>
      <w:r>
        <w:t>Research</w:t>
      </w:r>
      <w:r w:rsidRPr="006C075D">
        <w:t xml:space="preserve"> </w:t>
      </w:r>
      <w:r>
        <w:t>Triangle</w:t>
      </w:r>
      <w:r w:rsidRPr="006C075D">
        <w:t xml:space="preserve"> </w:t>
      </w:r>
      <w:r>
        <w:t>Park,</w:t>
      </w:r>
      <w:r w:rsidRPr="006C075D">
        <w:t xml:space="preserve"> </w:t>
      </w:r>
      <w:r>
        <w:t>North</w:t>
      </w:r>
      <w:r w:rsidRPr="006C075D">
        <w:t xml:space="preserve"> </w:t>
      </w:r>
      <w:r>
        <w:t>Carolina</w:t>
      </w:r>
      <w:r w:rsidRPr="006C075D">
        <w:t xml:space="preserve"> </w:t>
      </w:r>
      <w:r>
        <w:t>27711</w:t>
      </w:r>
    </w:p>
    <w:p w14:paraId="72A81EEA" w14:textId="77777777" w:rsidR="00EF26D9" w:rsidRDefault="00EF26D9" w:rsidP="006C075D">
      <w:pPr>
        <w:pStyle w:val="Centered"/>
      </w:pPr>
    </w:p>
    <w:p w14:paraId="36B6E3E1" w14:textId="77777777" w:rsidR="00EF26D9" w:rsidRDefault="00EF26D9" w:rsidP="006C075D">
      <w:pPr>
        <w:pStyle w:val="Centered"/>
      </w:pPr>
    </w:p>
    <w:p w14:paraId="215105BB" w14:textId="77777777" w:rsidR="00EF26D9" w:rsidRDefault="00EF26D9" w:rsidP="006C075D">
      <w:pPr>
        <w:pStyle w:val="Centered"/>
      </w:pPr>
    </w:p>
    <w:p w14:paraId="3C55AC5A" w14:textId="77777777" w:rsidR="00EF26D9" w:rsidRDefault="00EF26D9" w:rsidP="006C075D">
      <w:pPr>
        <w:pStyle w:val="Centered"/>
      </w:pPr>
    </w:p>
    <w:p w14:paraId="3DC1D53B" w14:textId="77777777" w:rsidR="00EF26D9" w:rsidRDefault="00EF26D9" w:rsidP="006C075D">
      <w:pPr>
        <w:pStyle w:val="Centered"/>
      </w:pPr>
    </w:p>
    <w:p w14:paraId="501E1EC9" w14:textId="77777777" w:rsidR="00EF26D9" w:rsidRDefault="00EF26D9" w:rsidP="006C075D">
      <w:pPr>
        <w:pStyle w:val="Centered"/>
      </w:pPr>
    </w:p>
    <w:p w14:paraId="2E8FE381" w14:textId="77777777" w:rsidR="00EF26D9" w:rsidRDefault="00EF26D9" w:rsidP="006C075D">
      <w:pPr>
        <w:pStyle w:val="Centered"/>
      </w:pPr>
    </w:p>
    <w:p w14:paraId="6117A793" w14:textId="77777777" w:rsidR="00EF26D9" w:rsidRDefault="00EF26D9" w:rsidP="006C075D">
      <w:pPr>
        <w:pStyle w:val="Centered"/>
      </w:pPr>
    </w:p>
    <w:p w14:paraId="638498D4" w14:textId="77777777" w:rsidR="00EF26D9" w:rsidRDefault="00EF26D9" w:rsidP="006C075D">
      <w:pPr>
        <w:pStyle w:val="Centered"/>
      </w:pPr>
    </w:p>
    <w:p w14:paraId="70E7E277" w14:textId="77777777" w:rsidR="00EF26D9" w:rsidRDefault="00EF26D9" w:rsidP="006C075D">
      <w:pPr>
        <w:pStyle w:val="Centered"/>
      </w:pPr>
    </w:p>
    <w:p w14:paraId="0AE7ED30" w14:textId="77777777" w:rsidR="00EF26D9" w:rsidRDefault="00EF26D9" w:rsidP="006C075D">
      <w:pPr>
        <w:pStyle w:val="Centered"/>
      </w:pPr>
    </w:p>
    <w:p w14:paraId="7E830AF3" w14:textId="77777777" w:rsidR="00EF26D9" w:rsidRPr="00961685" w:rsidRDefault="00EF26D9" w:rsidP="00961685">
      <w:pPr>
        <w:pStyle w:val="Centered"/>
      </w:pPr>
    </w:p>
    <w:p w14:paraId="0447F52E" w14:textId="3D0E6DD4" w:rsidR="00EF26D9" w:rsidRDefault="005E0C82" w:rsidP="00F5119F">
      <w:pPr>
        <w:pStyle w:val="Centered"/>
        <w:sectPr w:rsidR="00EF26D9" w:rsidSect="00F5119F">
          <w:headerReference w:type="default" r:id="rId13"/>
          <w:footerReference w:type="default" r:id="rId14"/>
          <w:type w:val="continuous"/>
          <w:pgSz w:w="12240" w:h="15840"/>
          <w:pgMar w:top="1440" w:right="1440" w:bottom="1440" w:left="1440" w:header="720" w:footer="720" w:gutter="0"/>
          <w:pgNumType w:start="1"/>
          <w:cols w:space="720"/>
        </w:sectPr>
      </w:pPr>
      <w:r>
        <w:t>September 22</w:t>
      </w:r>
      <w:r w:rsidR="004F418B">
        <w:t>, 201</w:t>
      </w:r>
      <w:r w:rsidR="00BA45C7">
        <w:t>7</w:t>
      </w:r>
    </w:p>
    <w:p w14:paraId="5795A493" w14:textId="77777777" w:rsidR="004F418B" w:rsidRPr="004A02C7" w:rsidRDefault="004F418B" w:rsidP="003055DB">
      <w:pPr>
        <w:pStyle w:val="DocumentTitle"/>
      </w:pPr>
      <w:r>
        <w:lastRenderedPageBreak/>
        <w:t>SUPPORTING STATEMENT</w:t>
      </w:r>
      <w:r w:rsidR="006C075D">
        <w:br/>
      </w:r>
      <w:r>
        <w:t>INFORMATION COLLECTION REQUEST</w:t>
      </w:r>
      <w:r w:rsidRPr="00134F50">
        <w:t xml:space="preserve"> </w:t>
      </w:r>
      <w:r>
        <w:t>FOR PLYWOOD AND COMPOSITE WOOD PRODUCTS NATIONAL EMISSION</w:t>
      </w:r>
      <w:r w:rsidRPr="00134F50">
        <w:t xml:space="preserve"> </w:t>
      </w:r>
      <w:r>
        <w:t>STANDARDS FOR HAZARDOUS AIR POLLUTANTS (NESHAP) RESIDUAL RISK</w:t>
      </w:r>
      <w:r w:rsidRPr="00134F50">
        <w:t xml:space="preserve"> </w:t>
      </w:r>
      <w:r>
        <w:t>AND TECHNOLOGY REVIEW (RTR)</w:t>
      </w:r>
    </w:p>
    <w:p w14:paraId="22D78474" w14:textId="77777777" w:rsidR="00EF26D9" w:rsidRPr="00430471" w:rsidRDefault="004F418B" w:rsidP="00430471">
      <w:pPr>
        <w:pStyle w:val="SectionA"/>
      </w:pPr>
      <w:bookmarkStart w:id="1" w:name="Part_A_of_the_Supporting_Statement"/>
      <w:bookmarkEnd w:id="1"/>
      <w:r w:rsidRPr="00430471">
        <w:t>Part A of the Supporting Statement</w:t>
      </w:r>
    </w:p>
    <w:p w14:paraId="410122F1" w14:textId="77777777" w:rsidR="00EF26D9" w:rsidRPr="00430471" w:rsidRDefault="00134F50" w:rsidP="00430471">
      <w:pPr>
        <w:pStyle w:val="Section1"/>
      </w:pPr>
      <w:bookmarkStart w:id="2" w:name="1._Identification_of_the_Information_Col"/>
      <w:bookmarkEnd w:id="2"/>
      <w:r w:rsidRPr="00430471">
        <w:t>1.</w:t>
      </w:r>
      <w:r w:rsidRPr="00430471">
        <w:tab/>
      </w:r>
      <w:r w:rsidR="004F418B" w:rsidRPr="00430471">
        <w:t>Identification of the Information Collection</w:t>
      </w:r>
    </w:p>
    <w:p w14:paraId="63A6585B" w14:textId="77777777" w:rsidR="00EF26D9" w:rsidRPr="00430471" w:rsidRDefault="00134F50" w:rsidP="00430471">
      <w:pPr>
        <w:pStyle w:val="Sectiona0"/>
      </w:pPr>
      <w:bookmarkStart w:id="3" w:name="(a)_Title_of_the_Information_Collection_"/>
      <w:bookmarkEnd w:id="3"/>
      <w:r w:rsidRPr="00430471">
        <w:t>(a)</w:t>
      </w:r>
      <w:r w:rsidRPr="00430471">
        <w:tab/>
      </w:r>
      <w:r w:rsidR="004F418B" w:rsidRPr="00430471">
        <w:t>Title of the Information Collection</w:t>
      </w:r>
    </w:p>
    <w:p w14:paraId="7F988EF8" w14:textId="77777777" w:rsidR="00EF26D9" w:rsidRPr="00134F50" w:rsidRDefault="004F418B" w:rsidP="003055DB">
      <w:pPr>
        <w:pStyle w:val="Paragraph"/>
      </w:pPr>
      <w:r w:rsidRPr="00134F50">
        <w:t>“Information Collection Request for Plywood and Composite Wood Products National Emission Standards for Hazardous Air Pollutants (NESHAP) Residual Risk and Technology Review (RTR).” This is a new information collection request (ICR).</w:t>
      </w:r>
    </w:p>
    <w:p w14:paraId="1AB1C039" w14:textId="77777777" w:rsidR="00EF26D9" w:rsidRPr="004A02C7" w:rsidRDefault="00134F50" w:rsidP="00430471">
      <w:pPr>
        <w:pStyle w:val="Sectiona0"/>
      </w:pPr>
      <w:bookmarkStart w:id="4" w:name="(b)_Short_Characterization"/>
      <w:bookmarkEnd w:id="4"/>
      <w:r>
        <w:t>(b)</w:t>
      </w:r>
      <w:r>
        <w:tab/>
      </w:r>
      <w:r w:rsidR="004F418B">
        <w:t>Short Characterization</w:t>
      </w:r>
    </w:p>
    <w:p w14:paraId="30281590" w14:textId="40632798" w:rsidR="00EF26D9" w:rsidRDefault="004F418B" w:rsidP="003055DB">
      <w:pPr>
        <w:pStyle w:val="Paragraph"/>
      </w:pPr>
      <w:r>
        <w:t xml:space="preserve">This </w:t>
      </w:r>
      <w:r w:rsidRPr="00C51D5D">
        <w:t xml:space="preserve">information collection is being conducted by </w:t>
      </w:r>
      <w:r w:rsidR="00674C80">
        <w:t xml:space="preserve">the </w:t>
      </w:r>
      <w:r w:rsidR="004835B1">
        <w:t>U.S. Environmental Protection Agency (</w:t>
      </w:r>
      <w:r w:rsidRPr="00C51D5D">
        <w:t>EPA</w:t>
      </w:r>
      <w:r w:rsidR="004835B1">
        <w:t>)</w:t>
      </w:r>
      <w:r w:rsidRPr="00C51D5D">
        <w:t>’s Office of Air and Radiation (OAR) to assist the EPA Administrator, as required by sections 112(d)</w:t>
      </w:r>
      <w:r w:rsidR="00850015">
        <w:t>(2)-(3), 112(d)(6)</w:t>
      </w:r>
      <w:r w:rsidR="00977747">
        <w:t>,</w:t>
      </w:r>
      <w:r w:rsidRPr="00C51D5D">
        <w:t xml:space="preserve"> and 112(f)(</w:t>
      </w:r>
      <w:r w:rsidR="00562135">
        <w:t>2</w:t>
      </w:r>
      <w:r w:rsidRPr="00C51D5D">
        <w:t xml:space="preserve">) of the Clean Air Act (CAA), as amended, to determine the current affected population of </w:t>
      </w:r>
      <w:r w:rsidR="004835B1" w:rsidRPr="00134F50">
        <w:t>plywood and composite wood products (PCWP)</w:t>
      </w:r>
      <w:r w:rsidR="004835B1">
        <w:t xml:space="preserve"> </w:t>
      </w:r>
      <w:r w:rsidRPr="00C51D5D">
        <w:t xml:space="preserve">processes and to reevaluate emission </w:t>
      </w:r>
      <w:r w:rsidRPr="003055DB">
        <w:t>standards for th</w:t>
      </w:r>
      <w:r w:rsidR="004835B1" w:rsidRPr="003055DB">
        <w:t>e</w:t>
      </w:r>
      <w:r w:rsidRPr="003055DB">
        <w:t xml:space="preserve"> source categor</w:t>
      </w:r>
      <w:r w:rsidR="003055DB" w:rsidRPr="003055DB">
        <w:t>y</w:t>
      </w:r>
      <w:r w:rsidRPr="003055DB">
        <w:t>. The</w:t>
      </w:r>
      <w:r w:rsidRPr="00C51D5D">
        <w:t xml:space="preserve"> information</w:t>
      </w:r>
      <w:r w:rsidR="00A2195B" w:rsidRPr="00C51D5D">
        <w:t xml:space="preserve"> </w:t>
      </w:r>
      <w:r w:rsidRPr="00C51D5D">
        <w:t>from this ICR would also be made available to the publ</w:t>
      </w:r>
      <w:r>
        <w:t>ic.</w:t>
      </w:r>
    </w:p>
    <w:p w14:paraId="02D7C4DE" w14:textId="4135E4A9" w:rsidR="00AD569A" w:rsidRDefault="004F418B" w:rsidP="003055DB">
      <w:pPr>
        <w:pStyle w:val="Paragraph"/>
      </w:pPr>
      <w:r>
        <w:t xml:space="preserve">This </w:t>
      </w:r>
      <w:r w:rsidRPr="00C51D5D">
        <w:t xml:space="preserve">is a one-time information collection. Currently, information necessary to identify </w:t>
      </w:r>
      <w:r w:rsidR="00B565F2" w:rsidRPr="003055DB">
        <w:t xml:space="preserve">PCWP </w:t>
      </w:r>
      <w:r w:rsidR="00D1216F" w:rsidRPr="003055DB">
        <w:t>facilitie</w:t>
      </w:r>
      <w:r w:rsidRPr="003055DB">
        <w:t>s is</w:t>
      </w:r>
      <w:r w:rsidRPr="00C51D5D">
        <w:t xml:space="preserve"> available from </w:t>
      </w:r>
      <w:r w:rsidR="00674C80">
        <w:t xml:space="preserve">the </w:t>
      </w:r>
      <w:r w:rsidR="00ED066E" w:rsidRPr="00C51D5D">
        <w:t>EPA’s Toxic</w:t>
      </w:r>
      <w:r w:rsidR="00F33FE8">
        <w:t>s</w:t>
      </w:r>
      <w:r w:rsidR="00ED066E" w:rsidRPr="00C51D5D">
        <w:t xml:space="preserve"> Release Inventory (TRI)</w:t>
      </w:r>
      <w:r w:rsidRPr="00C51D5D">
        <w:t xml:space="preserve"> and from </w:t>
      </w:r>
      <w:r w:rsidR="00C51D5D" w:rsidRPr="00C51D5D">
        <w:t xml:space="preserve">the </w:t>
      </w:r>
      <w:r w:rsidRPr="00C51D5D">
        <w:t xml:space="preserve">EPA’s </w:t>
      </w:r>
      <w:r w:rsidR="00A01EAE" w:rsidRPr="00A01EAE">
        <w:t xml:space="preserve">Emission Inventory System </w:t>
      </w:r>
      <w:r w:rsidRPr="00C51D5D">
        <w:t>(</w:t>
      </w:r>
      <w:r w:rsidR="00977EEE" w:rsidRPr="00C51D5D">
        <w:t>EIS</w:t>
      </w:r>
      <w:r w:rsidR="00546D16">
        <w:t xml:space="preserve">). </w:t>
      </w:r>
      <w:r w:rsidRPr="00C51D5D">
        <w:t xml:space="preserve">Neither the </w:t>
      </w:r>
      <w:r w:rsidR="00ED066E" w:rsidRPr="00C51D5D">
        <w:t xml:space="preserve">TRI </w:t>
      </w:r>
      <w:r w:rsidRPr="00C51D5D">
        <w:t xml:space="preserve">nor the </w:t>
      </w:r>
      <w:r w:rsidR="00977EEE" w:rsidRPr="00C51D5D">
        <w:t xml:space="preserve">EIS </w:t>
      </w:r>
      <w:r w:rsidRPr="00C51D5D">
        <w:t>contain all of the details (capacity, fuel types, operating schedule, emission source design, materials processed, emissions collection and control systems, regulatory alternatives used, and emission</w:t>
      </w:r>
      <w:r w:rsidR="002F0B86">
        <w:t>s</w:t>
      </w:r>
      <w:r w:rsidRPr="00C51D5D">
        <w:t xml:space="preserve"> test data) necessary to characterize affected sources</w:t>
      </w:r>
      <w:r w:rsidR="00284D31">
        <w:t xml:space="preserve"> subject to the </w:t>
      </w:r>
      <w:r w:rsidR="00284D31" w:rsidRPr="00BB3FFF">
        <w:t xml:space="preserve">National Emission Standards for Hazardous Air Pollutants </w:t>
      </w:r>
      <w:r w:rsidR="00802AA5">
        <w:t xml:space="preserve">for </w:t>
      </w:r>
      <w:r w:rsidR="00284D31" w:rsidRPr="00BB3FFF">
        <w:t>Plywood and Composite Wood Products (40</w:t>
      </w:r>
      <w:r w:rsidR="00284D31">
        <w:t> </w:t>
      </w:r>
      <w:r w:rsidR="00284D31" w:rsidRPr="00BB3FFF">
        <w:t>CFR part 63, subpart DDDD) (hereafter referred to as the PCWP NESHAP)</w:t>
      </w:r>
      <w:r w:rsidRPr="00C51D5D">
        <w:t xml:space="preserve"> for purposes of regulatory analyses</w:t>
      </w:r>
      <w:r w:rsidR="00674C80">
        <w:t xml:space="preserve">. </w:t>
      </w:r>
      <w:r w:rsidRPr="00C51D5D">
        <w:t xml:space="preserve">Although some of the needed information may be included in title V or </w:t>
      </w:r>
      <w:r w:rsidR="00622924" w:rsidRPr="00C51D5D">
        <w:t>state</w:t>
      </w:r>
      <w:r w:rsidRPr="00C51D5D">
        <w:t xml:space="preserve"> air emission</w:t>
      </w:r>
      <w:r w:rsidR="002F0B86">
        <w:t>s</w:t>
      </w:r>
      <w:r w:rsidRPr="00C51D5D">
        <w:t xml:space="preserve"> permits, many permits do not contain all of the detail needed and are not readily available from any single source.</w:t>
      </w:r>
      <w:r w:rsidR="00546D16">
        <w:t xml:space="preserve"> </w:t>
      </w:r>
      <w:r w:rsidRPr="00C51D5D">
        <w:t xml:space="preserve">Furthermore, there are no readily available sources for </w:t>
      </w:r>
      <w:r w:rsidR="00802AA5">
        <w:t xml:space="preserve">results of </w:t>
      </w:r>
      <w:r w:rsidRPr="00C51D5D">
        <w:t>previously conducted emissions test</w:t>
      </w:r>
      <w:r w:rsidR="00802AA5">
        <w:t>s</w:t>
      </w:r>
      <w:r w:rsidRPr="00C51D5D">
        <w:t xml:space="preserve"> (since the </w:t>
      </w:r>
      <w:r w:rsidR="00ED066E" w:rsidRPr="00C51D5D">
        <w:t>late</w:t>
      </w:r>
      <w:r w:rsidR="00895383">
        <w:t xml:space="preserve"> </w:t>
      </w:r>
      <w:r w:rsidRPr="00C51D5D">
        <w:t xml:space="preserve">1990s) that will provide data for emissions of the variety of pollutants under consideration. To obtain this information, </w:t>
      </w:r>
      <w:r w:rsidR="00674C80">
        <w:t xml:space="preserve">the </w:t>
      </w:r>
      <w:r w:rsidRPr="00C51D5D">
        <w:t xml:space="preserve">EPA is soliciting information with a survey, under authority of CAA section 114, from all potentially </w:t>
      </w:r>
      <w:r w:rsidR="00546D16">
        <w:t xml:space="preserve">affected </w:t>
      </w:r>
      <w:r w:rsidR="00850015">
        <w:t>facilities</w:t>
      </w:r>
      <w:r w:rsidR="00546D16">
        <w:t xml:space="preserve">. The </w:t>
      </w:r>
      <w:r w:rsidRPr="00C51D5D">
        <w:t xml:space="preserve">EPA </w:t>
      </w:r>
      <w:r w:rsidRPr="00C51D5D">
        <w:lastRenderedPageBreak/>
        <w:t>intends to administer the survey in electronic</w:t>
      </w:r>
      <w:r w:rsidR="00A16C6F" w:rsidRPr="00C51D5D">
        <w:t xml:space="preserve"> </w:t>
      </w:r>
      <w:r w:rsidR="00DE64B9">
        <w:t>format</w:t>
      </w:r>
      <w:r w:rsidR="00802AA5">
        <w:t>,</w:t>
      </w:r>
      <w:r w:rsidR="00DE64B9">
        <w:t xml:space="preserve"> as indicated by the s</w:t>
      </w:r>
      <w:r w:rsidR="00A16C6F" w:rsidRPr="00C51D5D">
        <w:t>preadsheet</w:t>
      </w:r>
      <w:r w:rsidR="00DE64B9">
        <w:t xml:space="preserve"> and instruction document </w:t>
      </w:r>
      <w:r w:rsidR="00A16C6F" w:rsidRPr="00C51D5D">
        <w:t xml:space="preserve">in </w:t>
      </w:r>
      <w:r w:rsidR="00A16C6F" w:rsidRPr="00F5119F">
        <w:t>Attachment 1</w:t>
      </w:r>
      <w:r w:rsidRPr="00C51D5D">
        <w:t>.</w:t>
      </w:r>
      <w:r w:rsidR="00546D16">
        <w:t xml:space="preserve"> </w:t>
      </w:r>
      <w:r w:rsidRPr="00C51D5D">
        <w:t xml:space="preserve">The survey will be sent to all facilities </w:t>
      </w:r>
      <w:r w:rsidR="00AD569A" w:rsidRPr="00AD569A">
        <w:t>that produce PCWP or kiln-dried lumber or are otherwise subject to the PCWP NESHAP</w:t>
      </w:r>
      <w:r w:rsidR="00AD569A">
        <w:t xml:space="preserve"> and that are </w:t>
      </w:r>
      <w:r w:rsidR="00ED066E" w:rsidRPr="00C51D5D">
        <w:t>described</w:t>
      </w:r>
      <w:r w:rsidRPr="00C51D5D">
        <w:t xml:space="preserve"> </w:t>
      </w:r>
      <w:r w:rsidR="00ED066E" w:rsidRPr="00C51D5D">
        <w:t xml:space="preserve">as CAA major </w:t>
      </w:r>
      <w:r w:rsidR="00802AA5">
        <w:t xml:space="preserve">sources </w:t>
      </w:r>
      <w:r w:rsidR="00DE64B9">
        <w:t xml:space="preserve">or synthetic area </w:t>
      </w:r>
      <w:r w:rsidR="00ED066E" w:rsidRPr="00C51D5D">
        <w:t>sources</w:t>
      </w:r>
      <w:r w:rsidR="009C009B">
        <w:t xml:space="preserve"> (</w:t>
      </w:r>
      <w:r w:rsidR="00AD569A">
        <w:t>that</w:t>
      </w:r>
      <w:r w:rsidR="00AD569A" w:rsidRPr="00C51D5D">
        <w:t xml:space="preserve"> </w:t>
      </w:r>
      <w:r w:rsidR="009C009B" w:rsidRPr="00C51D5D">
        <w:t>used technology to avoid major PCWP</w:t>
      </w:r>
      <w:r w:rsidR="009C009B">
        <w:t xml:space="preserve"> </w:t>
      </w:r>
      <w:r w:rsidR="009C009B" w:rsidRPr="00C51D5D">
        <w:t>NESHAP source status</w:t>
      </w:r>
      <w:r w:rsidR="009C009B">
        <w:t xml:space="preserve">) </w:t>
      </w:r>
      <w:r w:rsidR="00ED066E" w:rsidRPr="00C51D5D">
        <w:t xml:space="preserve">in </w:t>
      </w:r>
      <w:r w:rsidR="00482F70">
        <w:t xml:space="preserve">the </w:t>
      </w:r>
      <w:r w:rsidR="00ED066E" w:rsidRPr="00C51D5D">
        <w:t>EPA</w:t>
      </w:r>
      <w:r w:rsidR="00482F70">
        <w:t>’s</w:t>
      </w:r>
      <w:r w:rsidR="00ED066E" w:rsidRPr="00C51D5D">
        <w:t xml:space="preserve"> database</w:t>
      </w:r>
      <w:r w:rsidR="00ED066E">
        <w:t>s</w:t>
      </w:r>
      <w:r>
        <w:t>.</w:t>
      </w:r>
    </w:p>
    <w:p w14:paraId="3F48A9C8" w14:textId="3404CA04" w:rsidR="00EF26D9" w:rsidRPr="004A02C7" w:rsidRDefault="004F418B" w:rsidP="00341306">
      <w:pPr>
        <w:pStyle w:val="Paragraph"/>
      </w:pPr>
      <w:r w:rsidRPr="00F55EA2">
        <w:t xml:space="preserve">The EPA estimates the total cost to industry of the </w:t>
      </w:r>
      <w:r w:rsidR="00F33FE8" w:rsidRPr="00F55EA2">
        <w:t>ICR</w:t>
      </w:r>
      <w:r w:rsidRPr="00F55EA2">
        <w:t xml:space="preserve"> (</w:t>
      </w:r>
      <w:r w:rsidR="00802AA5" w:rsidRPr="00F55EA2">
        <w:t xml:space="preserve">for </w:t>
      </w:r>
      <w:r w:rsidR="002A07F2" w:rsidRPr="00F55EA2">
        <w:t xml:space="preserve">the </w:t>
      </w:r>
      <w:r w:rsidRPr="00F55EA2">
        <w:t>gathering, entering, and quality assur</w:t>
      </w:r>
      <w:r w:rsidR="00F33FE8" w:rsidRPr="00F55EA2">
        <w:t xml:space="preserve">ance </w:t>
      </w:r>
      <w:r w:rsidRPr="00F55EA2">
        <w:t xml:space="preserve">(QA) of data submitted in response to the survey for </w:t>
      </w:r>
      <w:r w:rsidR="00AD569A" w:rsidRPr="00F55EA2">
        <w:t>39</w:t>
      </w:r>
      <w:r w:rsidR="001D192A">
        <w:t>1</w:t>
      </w:r>
      <w:r w:rsidRPr="00F55EA2">
        <w:t xml:space="preserve"> respondents) will </w:t>
      </w:r>
      <w:r w:rsidR="002A1547" w:rsidRPr="00F55EA2">
        <w:t>be</w:t>
      </w:r>
      <w:r w:rsidR="0063158F" w:rsidRPr="00F55EA2">
        <w:t xml:space="preserve"> </w:t>
      </w:r>
      <w:r w:rsidR="00AD569A" w:rsidRPr="00F55EA2">
        <w:t>59</w:t>
      </w:r>
      <w:r w:rsidR="0063158F" w:rsidRPr="00F55EA2">
        <w:t>,</w:t>
      </w:r>
      <w:r w:rsidR="001D192A">
        <w:t>265</w:t>
      </w:r>
      <w:r w:rsidR="0063158F" w:rsidRPr="00F55EA2">
        <w:t xml:space="preserve"> hours and $</w:t>
      </w:r>
      <w:r w:rsidR="007D4688" w:rsidRPr="00F55EA2">
        <w:t>4,1</w:t>
      </w:r>
      <w:r w:rsidR="001D192A">
        <w:t>87,020</w:t>
      </w:r>
      <w:r w:rsidR="002A1547" w:rsidRPr="00F55EA2">
        <w:t>,</w:t>
      </w:r>
      <w:r w:rsidR="0063158F" w:rsidRPr="00F55EA2">
        <w:t xml:space="preserve"> including $</w:t>
      </w:r>
      <w:r w:rsidR="00AD569A" w:rsidRPr="00F55EA2">
        <w:t>6,</w:t>
      </w:r>
      <w:r w:rsidR="001D192A">
        <w:t>549</w:t>
      </w:r>
      <w:r w:rsidR="0063158F" w:rsidRPr="00F55EA2">
        <w:t xml:space="preserve"> </w:t>
      </w:r>
      <w:r w:rsidRPr="00F55EA2">
        <w:t xml:space="preserve">in </w:t>
      </w:r>
      <w:r w:rsidR="00046F15" w:rsidRPr="00F55EA2">
        <w:t>operating</w:t>
      </w:r>
      <w:r w:rsidRPr="00F55EA2">
        <w:t xml:space="preserve"> and maintenance (O&amp;M) costs for</w:t>
      </w:r>
      <w:r w:rsidR="00BA3E34" w:rsidRPr="00F55EA2">
        <w:t xml:space="preserve"> digital media (CD, DVD, or flash drive) and</w:t>
      </w:r>
      <w:r w:rsidRPr="00F55EA2">
        <w:t xml:space="preserve"> postage for mailing survey responses to </w:t>
      </w:r>
      <w:r w:rsidR="00674C80" w:rsidRPr="00F55EA2">
        <w:t xml:space="preserve">the </w:t>
      </w:r>
      <w:r w:rsidRPr="00F55EA2">
        <w:t>EPA</w:t>
      </w:r>
      <w:r w:rsidR="0063158F" w:rsidRPr="00F55EA2">
        <w:t xml:space="preserve">. </w:t>
      </w:r>
      <w:r w:rsidR="002A1547" w:rsidRPr="00F55EA2">
        <w:t xml:space="preserve">The EPA estimates that the total cost of the ICR to PCWP facilities will be </w:t>
      </w:r>
      <w:r w:rsidR="00AD569A" w:rsidRPr="00F55EA2">
        <w:t>4</w:t>
      </w:r>
      <w:r w:rsidR="001D192A">
        <w:t>6,588</w:t>
      </w:r>
      <w:r w:rsidR="00AD569A" w:rsidRPr="00F55EA2">
        <w:t xml:space="preserve"> </w:t>
      </w:r>
      <w:r w:rsidR="002A1547" w:rsidRPr="00F55EA2">
        <w:t>hours and $</w:t>
      </w:r>
      <w:r w:rsidR="00245CEE" w:rsidRPr="00F55EA2">
        <w:t>3,</w:t>
      </w:r>
      <w:r w:rsidR="001D192A">
        <w:t>289,362</w:t>
      </w:r>
      <w:r w:rsidR="00245CEE" w:rsidRPr="00F55EA2">
        <w:t>, including $3,1</w:t>
      </w:r>
      <w:r w:rsidR="001D192A">
        <w:t>16</w:t>
      </w:r>
      <w:r w:rsidR="00245CEE" w:rsidRPr="00F55EA2">
        <w:t xml:space="preserve"> in O&amp;M costs,</w:t>
      </w:r>
      <w:r w:rsidR="002A1547" w:rsidRPr="00F55EA2">
        <w:t xml:space="preserve"> and that the total cost of the ICR to </w:t>
      </w:r>
      <w:r w:rsidR="00AD569A" w:rsidRPr="00F55EA2">
        <w:t xml:space="preserve">lumber mills with dry </w:t>
      </w:r>
      <w:r w:rsidR="002A1547" w:rsidRPr="00F55EA2">
        <w:t xml:space="preserve">kilns will be </w:t>
      </w:r>
      <w:r w:rsidR="00AD569A" w:rsidRPr="00F55EA2">
        <w:t>1</w:t>
      </w:r>
      <w:r w:rsidR="00562135" w:rsidRPr="00F55EA2">
        <w:t>2</w:t>
      </w:r>
      <w:r w:rsidR="00AD569A" w:rsidRPr="00F55EA2">
        <w:t>,</w:t>
      </w:r>
      <w:r w:rsidR="001D192A">
        <w:t>677</w:t>
      </w:r>
      <w:r w:rsidR="002A1547" w:rsidRPr="00F55EA2">
        <w:t xml:space="preserve"> hours and $</w:t>
      </w:r>
      <w:r w:rsidR="00245CEE" w:rsidRPr="00F55EA2">
        <w:t>8</w:t>
      </w:r>
      <w:r w:rsidR="001D192A">
        <w:t>97,658</w:t>
      </w:r>
      <w:r w:rsidR="00245CEE" w:rsidRPr="00F55EA2">
        <w:t>, including $3,</w:t>
      </w:r>
      <w:r w:rsidR="001D192A">
        <w:t>434</w:t>
      </w:r>
      <w:r w:rsidR="00245CEE" w:rsidRPr="00F55EA2">
        <w:t xml:space="preserve"> in O&amp;M costs</w:t>
      </w:r>
      <w:r w:rsidR="002A1547" w:rsidRPr="00F55EA2">
        <w:t>.</w:t>
      </w:r>
      <w:r w:rsidR="00674C80" w:rsidRPr="00F55EA2">
        <w:t xml:space="preserve"> </w:t>
      </w:r>
      <w:r w:rsidRPr="00F55EA2">
        <w:t xml:space="preserve">The </w:t>
      </w:r>
      <w:r w:rsidR="0063158F" w:rsidRPr="00F55EA2">
        <w:t xml:space="preserve">overall </w:t>
      </w:r>
      <w:r w:rsidRPr="00F55EA2">
        <w:t xml:space="preserve">average burden </w:t>
      </w:r>
      <w:r w:rsidR="0063158F" w:rsidRPr="00F55EA2">
        <w:t xml:space="preserve">and cost </w:t>
      </w:r>
      <w:r w:rsidRPr="00F55EA2">
        <w:t xml:space="preserve">per respondent </w:t>
      </w:r>
      <w:r w:rsidR="002A1547" w:rsidRPr="00F55EA2">
        <w:t>is estimated to be</w:t>
      </w:r>
      <w:r w:rsidR="0063158F" w:rsidRPr="00F55EA2">
        <w:t xml:space="preserve"> </w:t>
      </w:r>
      <w:r w:rsidR="00AD569A" w:rsidRPr="00F55EA2">
        <w:t>1</w:t>
      </w:r>
      <w:r w:rsidR="007D4688" w:rsidRPr="00F55EA2">
        <w:t>5</w:t>
      </w:r>
      <w:r w:rsidR="001D192A">
        <w:t>2</w:t>
      </w:r>
      <w:r w:rsidR="0063158F" w:rsidRPr="00F55EA2">
        <w:t xml:space="preserve"> </w:t>
      </w:r>
      <w:r w:rsidR="00E55669" w:rsidRPr="00F55EA2">
        <w:t xml:space="preserve">hours and </w:t>
      </w:r>
      <w:r w:rsidR="0063158F" w:rsidRPr="00F55EA2">
        <w:t>$</w:t>
      </w:r>
      <w:r w:rsidR="00742831" w:rsidRPr="00F55EA2">
        <w:t>1</w:t>
      </w:r>
      <w:r w:rsidR="007D4688" w:rsidRPr="00F55EA2">
        <w:t>0,</w:t>
      </w:r>
      <w:r w:rsidR="001D192A">
        <w:t>692</w:t>
      </w:r>
      <w:r w:rsidR="0063158F" w:rsidRPr="00F55EA2">
        <w:t xml:space="preserve"> </w:t>
      </w:r>
      <w:r w:rsidR="002A1547" w:rsidRPr="00F55EA2">
        <w:t>(</w:t>
      </w:r>
      <w:r w:rsidR="00AD569A" w:rsidRPr="00F55EA2">
        <w:t>250</w:t>
      </w:r>
      <w:r w:rsidR="002A1547" w:rsidRPr="00F55EA2">
        <w:t xml:space="preserve"> hours and $</w:t>
      </w:r>
      <w:r w:rsidR="007D4688" w:rsidRPr="00F55EA2">
        <w:t>1</w:t>
      </w:r>
      <w:r w:rsidR="005C361C" w:rsidRPr="00F55EA2">
        <w:t>7,</w:t>
      </w:r>
      <w:r w:rsidR="007D4688" w:rsidRPr="00F55EA2">
        <w:t>66</w:t>
      </w:r>
      <w:r w:rsidR="001D192A">
        <w:t>8</w:t>
      </w:r>
      <w:r w:rsidR="002A1547" w:rsidRPr="00F55EA2">
        <w:t xml:space="preserve"> </w:t>
      </w:r>
      <w:r w:rsidR="00245CEE" w:rsidRPr="00F55EA2">
        <w:t xml:space="preserve">per respondent </w:t>
      </w:r>
      <w:r w:rsidR="002A1547" w:rsidRPr="00F55EA2">
        <w:t xml:space="preserve">for PCWP facilities and </w:t>
      </w:r>
      <w:r w:rsidR="001D192A">
        <w:t>62</w:t>
      </w:r>
      <w:r w:rsidR="00AD569A" w:rsidRPr="00F55EA2">
        <w:t xml:space="preserve"> </w:t>
      </w:r>
      <w:r w:rsidR="002A1547" w:rsidRPr="00F55EA2">
        <w:t>hours and $</w:t>
      </w:r>
      <w:r w:rsidR="007D4688" w:rsidRPr="00F55EA2">
        <w:t>4,</w:t>
      </w:r>
      <w:r w:rsidR="001D192A">
        <w:t>362</w:t>
      </w:r>
      <w:r w:rsidR="002A1547" w:rsidRPr="00F55EA2">
        <w:t xml:space="preserve"> </w:t>
      </w:r>
      <w:r w:rsidR="00245CEE" w:rsidRPr="00F55EA2">
        <w:t xml:space="preserve">per respondent </w:t>
      </w:r>
      <w:r w:rsidR="002A1547" w:rsidRPr="00F55EA2">
        <w:t xml:space="preserve">for </w:t>
      </w:r>
      <w:r w:rsidR="00562135" w:rsidRPr="00F55EA2">
        <w:t>lumber mills with dry kilns</w:t>
      </w:r>
      <w:r w:rsidR="002A1547" w:rsidRPr="00F55EA2">
        <w:t>)</w:t>
      </w:r>
      <w:r w:rsidRPr="00F55EA2">
        <w:t>.</w:t>
      </w:r>
    </w:p>
    <w:p w14:paraId="61A63732" w14:textId="77777777" w:rsidR="00EF26D9" w:rsidRDefault="00134F50" w:rsidP="00430471">
      <w:pPr>
        <w:pStyle w:val="Section1"/>
      </w:pPr>
      <w:bookmarkStart w:id="5" w:name="2._Need_for_and_Use_of_the_Collection"/>
      <w:bookmarkEnd w:id="5"/>
      <w:r>
        <w:t xml:space="preserve">2. </w:t>
      </w:r>
      <w:r>
        <w:tab/>
      </w:r>
      <w:r w:rsidR="004F418B">
        <w:t>Need for and Use of the Collection</w:t>
      </w:r>
    </w:p>
    <w:p w14:paraId="40A05553" w14:textId="77777777" w:rsidR="00EF26D9" w:rsidRPr="004A02C7" w:rsidRDefault="00134F50" w:rsidP="00430471">
      <w:pPr>
        <w:pStyle w:val="Sectiona0"/>
      </w:pPr>
      <w:bookmarkStart w:id="6" w:name="(a)_Need/Authority_for_the_Collection"/>
      <w:bookmarkEnd w:id="6"/>
      <w:r>
        <w:t>(a)</w:t>
      </w:r>
      <w:r>
        <w:tab/>
      </w:r>
      <w:r w:rsidR="004F418B">
        <w:t>Need/Authority for the Collection</w:t>
      </w:r>
    </w:p>
    <w:p w14:paraId="61F63B06" w14:textId="4A66E9F4" w:rsidR="00EF26D9" w:rsidRPr="00BB3FFF" w:rsidRDefault="004F418B" w:rsidP="004A02C7">
      <w:pPr>
        <w:pStyle w:val="Paragraph"/>
      </w:pPr>
      <w:r>
        <w:t xml:space="preserve">The </w:t>
      </w:r>
      <w:r w:rsidR="00B565F2">
        <w:t>PCWP</w:t>
      </w:r>
      <w:r w:rsidR="00B565F2" w:rsidRPr="00600F02">
        <w:t xml:space="preserve"> </w:t>
      </w:r>
      <w:r w:rsidRPr="00C51D5D">
        <w:t xml:space="preserve">production source </w:t>
      </w:r>
      <w:r w:rsidR="00B565F2" w:rsidRPr="00C51D5D">
        <w:t>categor</w:t>
      </w:r>
      <w:r w:rsidR="002A07F2">
        <w:t>y</w:t>
      </w:r>
      <w:r w:rsidRPr="00C51D5D">
        <w:t xml:space="preserve"> includes any </w:t>
      </w:r>
      <w:r w:rsidR="00A01EAE">
        <w:t>CAA</w:t>
      </w:r>
      <w:r w:rsidR="00B565F2" w:rsidRPr="00C51D5D">
        <w:t xml:space="preserve"> major source </w:t>
      </w:r>
      <w:r w:rsidRPr="00C51D5D">
        <w:t xml:space="preserve">facility engaged in the production </w:t>
      </w:r>
      <w:r w:rsidR="00FC210E" w:rsidRPr="00C51D5D">
        <w:t xml:space="preserve">of </w:t>
      </w:r>
      <w:r w:rsidR="00F33FE8">
        <w:t>PCWP</w:t>
      </w:r>
      <w:r w:rsidR="00FC210E" w:rsidRPr="00C51D5D">
        <w:t xml:space="preserve"> and</w:t>
      </w:r>
      <w:r w:rsidR="005E346D">
        <w:t>/or</w:t>
      </w:r>
      <w:r w:rsidR="00FC210E" w:rsidRPr="00C51D5D">
        <w:t xml:space="preserve"> </w:t>
      </w:r>
      <w:r w:rsidR="00FC210E">
        <w:t xml:space="preserve">kiln-dried </w:t>
      </w:r>
      <w:r w:rsidR="00FC210E" w:rsidRPr="00C51D5D">
        <w:t>lumber</w:t>
      </w:r>
      <w:r w:rsidR="00674C80">
        <w:t xml:space="preserve">. </w:t>
      </w:r>
      <w:r w:rsidRPr="00C51D5D">
        <w:t xml:space="preserve">This category includes, but is not limited to, </w:t>
      </w:r>
      <w:r w:rsidR="00ED066E" w:rsidRPr="00C51D5D">
        <w:t xml:space="preserve">plywood, </w:t>
      </w:r>
      <w:r w:rsidR="00FC210E">
        <w:t xml:space="preserve">dry veneer, </w:t>
      </w:r>
      <w:r w:rsidR="00ED066E" w:rsidRPr="00C51D5D">
        <w:t xml:space="preserve">particleboard, </w:t>
      </w:r>
      <w:r w:rsidR="00FC210E" w:rsidRPr="00C51D5D">
        <w:t>medium density fiberboard</w:t>
      </w:r>
      <w:r w:rsidR="00ED066E" w:rsidRPr="00C51D5D">
        <w:t xml:space="preserve"> (MDF), hardboard, fiberboard, </w:t>
      </w:r>
      <w:r w:rsidR="00FC210E" w:rsidRPr="00C51D5D">
        <w:t xml:space="preserve">oriented strand board </w:t>
      </w:r>
      <w:r w:rsidR="00ED066E" w:rsidRPr="00C51D5D">
        <w:t xml:space="preserve">(OSB), </w:t>
      </w:r>
      <w:r w:rsidR="005A62B5" w:rsidRPr="00C51D5D">
        <w:t xml:space="preserve">engineered wood products </w:t>
      </w:r>
      <w:r w:rsidR="00303708">
        <w:t>(EWP)</w:t>
      </w:r>
      <w:r w:rsidR="00977747">
        <w:t>,</w:t>
      </w:r>
      <w:r w:rsidR="00303708">
        <w:t xml:space="preserve"> </w:t>
      </w:r>
      <w:r w:rsidR="00ED066E" w:rsidRPr="00C51D5D">
        <w:t xml:space="preserve">and </w:t>
      </w:r>
      <w:r w:rsidR="00850015">
        <w:t xml:space="preserve">kiln-dried </w:t>
      </w:r>
      <w:r w:rsidR="00ED066E" w:rsidRPr="00C51D5D">
        <w:t>lumber</w:t>
      </w:r>
      <w:r w:rsidRPr="00C51D5D">
        <w:t xml:space="preserve">. The </w:t>
      </w:r>
      <w:r w:rsidR="006D1E14" w:rsidRPr="00C51D5D">
        <w:t>PCWP</w:t>
      </w:r>
      <w:r w:rsidRPr="00600F02">
        <w:t xml:space="preserve"> </w:t>
      </w:r>
      <w:r w:rsidRPr="00C51D5D">
        <w:t xml:space="preserve">production process units include operations such as </w:t>
      </w:r>
      <w:r w:rsidR="006D1E14" w:rsidRPr="00C51D5D">
        <w:t>conditioning, digesting, refining</w:t>
      </w:r>
      <w:r w:rsidRPr="00C51D5D">
        <w:t xml:space="preserve">, </w:t>
      </w:r>
      <w:r w:rsidR="00FC210E">
        <w:t xml:space="preserve">fiber </w:t>
      </w:r>
      <w:r w:rsidR="00B565F2" w:rsidRPr="00C51D5D">
        <w:t xml:space="preserve">washing, </w:t>
      </w:r>
      <w:r w:rsidR="006D1E14" w:rsidRPr="00C51D5D">
        <w:t>drying</w:t>
      </w:r>
      <w:r w:rsidRPr="00C51D5D">
        <w:t xml:space="preserve">, </w:t>
      </w:r>
      <w:r w:rsidR="00B565F2" w:rsidRPr="00BB3FFF">
        <w:t>adhesive application,</w:t>
      </w:r>
      <w:r w:rsidR="00B565F2" w:rsidRPr="00C51D5D">
        <w:t xml:space="preserve"> </w:t>
      </w:r>
      <w:r w:rsidR="006D1E14" w:rsidRPr="00C51D5D">
        <w:t xml:space="preserve">forming, pressing, </w:t>
      </w:r>
      <w:r w:rsidR="00B565F2" w:rsidRPr="00C51D5D">
        <w:t xml:space="preserve">cooling, </w:t>
      </w:r>
      <w:r w:rsidR="006D1E14" w:rsidRPr="00C51D5D">
        <w:t>sawing, sanding</w:t>
      </w:r>
      <w:r w:rsidR="007D1D4F" w:rsidRPr="00C51D5D">
        <w:t>,</w:t>
      </w:r>
      <w:r w:rsidR="00B565F2" w:rsidRPr="00C51D5D">
        <w:t xml:space="preserve"> </w:t>
      </w:r>
      <w:r w:rsidR="007D1D4F" w:rsidRPr="00C51D5D">
        <w:t>wastewater treatment</w:t>
      </w:r>
      <w:r w:rsidR="00977747">
        <w:t>,</w:t>
      </w:r>
      <w:r w:rsidR="007D1D4F" w:rsidRPr="00C51D5D">
        <w:t xml:space="preserve"> </w:t>
      </w:r>
      <w:r w:rsidR="00B565F2" w:rsidRPr="00C51D5D">
        <w:t xml:space="preserve">and </w:t>
      </w:r>
      <w:r w:rsidR="00FC210E" w:rsidRPr="00F5119F">
        <w:t xml:space="preserve">miscellaneous </w:t>
      </w:r>
      <w:r w:rsidR="00B565F2" w:rsidRPr="00F5119F">
        <w:t>coating application</w:t>
      </w:r>
      <w:r w:rsidRPr="00F5119F">
        <w:t>. Different</w:t>
      </w:r>
      <w:r w:rsidRPr="00C51D5D">
        <w:t xml:space="preserve"> </w:t>
      </w:r>
      <w:r w:rsidR="00C66DFE" w:rsidRPr="00C51D5D">
        <w:t>material preparation, drying, adhesive</w:t>
      </w:r>
      <w:r w:rsidR="00F27159" w:rsidRPr="00C51D5D">
        <w:t>,</w:t>
      </w:r>
      <w:r w:rsidR="00C66DFE" w:rsidRPr="00C51D5D">
        <w:t xml:space="preserve"> pressing</w:t>
      </w:r>
      <w:r w:rsidR="00977747">
        <w:t>,</w:t>
      </w:r>
      <w:r w:rsidR="00F27159" w:rsidRPr="00C51D5D">
        <w:t xml:space="preserve"> and coating</w:t>
      </w:r>
      <w:r w:rsidRPr="00C51D5D">
        <w:t xml:space="preserve"> processes are used</w:t>
      </w:r>
      <w:r w:rsidR="00C66DFE" w:rsidRPr="00C51D5D">
        <w:t xml:space="preserve"> in the different industry segments</w:t>
      </w:r>
      <w:r w:rsidRPr="00C51D5D">
        <w:t xml:space="preserve">. The </w:t>
      </w:r>
      <w:r w:rsidR="00BB3FFF">
        <w:t>federal emission standard</w:t>
      </w:r>
      <w:r w:rsidRPr="00C51D5D">
        <w:t xml:space="preserve"> that </w:t>
      </w:r>
      <w:r w:rsidR="00BB3FFF">
        <w:t>is</w:t>
      </w:r>
      <w:r w:rsidRPr="00C51D5D">
        <w:t xml:space="preserve"> the subject of this information collection </w:t>
      </w:r>
      <w:r w:rsidR="00BB3FFF">
        <w:t xml:space="preserve">is the </w:t>
      </w:r>
      <w:r w:rsidR="000674E5" w:rsidRPr="00BB3FFF">
        <w:t xml:space="preserve">PCWP </w:t>
      </w:r>
      <w:r w:rsidR="004835B1" w:rsidRPr="00BB3FFF">
        <w:t>NESHAP</w:t>
      </w:r>
      <w:r w:rsidR="00BB3FFF">
        <w:t>.</w:t>
      </w:r>
    </w:p>
    <w:p w14:paraId="3E434845" w14:textId="12BF093B" w:rsidR="00EF26D9" w:rsidRDefault="004F418B" w:rsidP="00A01125">
      <w:pPr>
        <w:pStyle w:val="Paragraph"/>
      </w:pPr>
      <w:r>
        <w:t xml:space="preserve">In </w:t>
      </w:r>
      <w:r w:rsidRPr="00C51D5D">
        <w:t xml:space="preserve">general, </w:t>
      </w:r>
      <w:r w:rsidR="000674E5">
        <w:t>the PCWP NESHAP</w:t>
      </w:r>
      <w:r w:rsidR="000674E5" w:rsidRPr="00C51D5D">
        <w:t xml:space="preserve"> </w:t>
      </w:r>
      <w:r w:rsidRPr="00C51D5D">
        <w:t xml:space="preserve">covers hazardous air pollutant (HAP) emissions from the </w:t>
      </w:r>
      <w:r w:rsidR="00F27159" w:rsidRPr="00C51D5D">
        <w:t>wood products</w:t>
      </w:r>
      <w:r w:rsidRPr="00C51D5D">
        <w:t xml:space="preserve"> production areas (</w:t>
      </w:r>
      <w:r w:rsidRPr="00895383">
        <w:rPr>
          <w:rStyle w:val="Italic"/>
        </w:rPr>
        <w:t>e.g.</w:t>
      </w:r>
      <w:r w:rsidRPr="00C51D5D">
        <w:t xml:space="preserve">, </w:t>
      </w:r>
      <w:r w:rsidR="00F27159" w:rsidRPr="00C51D5D">
        <w:t>material preparation, drying, adhesive</w:t>
      </w:r>
      <w:r w:rsidR="00A01125">
        <w:t xml:space="preserve"> application</w:t>
      </w:r>
      <w:r w:rsidR="00F27159" w:rsidRPr="00C51D5D">
        <w:t>, pressing</w:t>
      </w:r>
      <w:r w:rsidRPr="00C51D5D">
        <w:t xml:space="preserve">) at </w:t>
      </w:r>
      <w:r w:rsidR="00F27159" w:rsidRPr="00C51D5D">
        <w:t>PCWP</w:t>
      </w:r>
      <w:r w:rsidRPr="00C51D5D">
        <w:t xml:space="preserve"> </w:t>
      </w:r>
      <w:r w:rsidR="00D1216F">
        <w:t>facilities</w:t>
      </w:r>
      <w:r w:rsidRPr="00C51D5D">
        <w:t>.</w:t>
      </w:r>
      <w:r w:rsidR="00FC210E">
        <w:t xml:space="preserve"> </w:t>
      </w:r>
      <w:r w:rsidRPr="00C51D5D">
        <w:t xml:space="preserve">The </w:t>
      </w:r>
      <w:r w:rsidR="000674E5">
        <w:t>PCWP NESHAP</w:t>
      </w:r>
      <w:r w:rsidR="000674E5" w:rsidRPr="00C51D5D">
        <w:t xml:space="preserve"> </w:t>
      </w:r>
      <w:r w:rsidRPr="00C51D5D">
        <w:t>include</w:t>
      </w:r>
      <w:r w:rsidR="000674E5">
        <w:t>s</w:t>
      </w:r>
      <w:r w:rsidRPr="00C51D5D">
        <w:t xml:space="preserve"> several alternative emission limits for each covered process that are designed to provide flexibility and to promote and encourage the use of new technology, particularly air </w:t>
      </w:r>
      <w:r w:rsidR="00FC210E">
        <w:t xml:space="preserve">pollution </w:t>
      </w:r>
      <w:r w:rsidRPr="00C51D5D">
        <w:t>controls and pollution prevention technologies.</w:t>
      </w:r>
    </w:p>
    <w:p w14:paraId="3B22D3F9" w14:textId="156AAB3D" w:rsidR="00985B51" w:rsidRDefault="004F418B" w:rsidP="00A01125">
      <w:pPr>
        <w:pStyle w:val="Paragraph"/>
      </w:pPr>
      <w:r w:rsidRPr="00C51D5D">
        <w:t xml:space="preserve">Section 112(f)(2) of the CAA directs </w:t>
      </w:r>
      <w:r w:rsidR="00674C80">
        <w:t xml:space="preserve">the </w:t>
      </w:r>
      <w:r w:rsidRPr="00C51D5D">
        <w:t xml:space="preserve">EPA to conduct risk assessments on each source category subject to maximum achievable control technology (MACT) standards and determine if additional standards are needed to reduce residual risks. The section 112(f)(2) residual risk review is to be done 8 years after promulgation. Section 112(d)(6) of the CAA requires </w:t>
      </w:r>
      <w:r w:rsidR="00674C80">
        <w:t xml:space="preserve">the </w:t>
      </w:r>
      <w:r w:rsidRPr="00C51D5D">
        <w:t>EPA to review and revise the MACT standards, as necessary, taking into account developments in practices, processes, and control technologies</w:t>
      </w:r>
      <w:r w:rsidR="00674C80">
        <w:t xml:space="preserve">. </w:t>
      </w:r>
      <w:r w:rsidRPr="00C51D5D">
        <w:t>The section 112(d)(6) technology review is to be done at least every 8 years</w:t>
      </w:r>
      <w:r w:rsidR="00674C80">
        <w:t xml:space="preserve">. </w:t>
      </w:r>
      <w:r w:rsidR="000674E5">
        <w:t xml:space="preserve">The PCWP </w:t>
      </w:r>
      <w:r w:rsidR="00C033AD" w:rsidRPr="00A01125">
        <w:t>NESHAP w</w:t>
      </w:r>
      <w:r w:rsidR="00A01125" w:rsidRPr="00A01125">
        <w:t>as</w:t>
      </w:r>
      <w:r w:rsidRPr="00A01125">
        <w:t xml:space="preserve"> promulgated</w:t>
      </w:r>
      <w:r w:rsidRPr="00C51D5D">
        <w:t xml:space="preserve"> in </w:t>
      </w:r>
      <w:r w:rsidR="00A01125">
        <w:t xml:space="preserve">2004 </w:t>
      </w:r>
      <w:r w:rsidRPr="00C51D5D">
        <w:t xml:space="preserve">and </w:t>
      </w:r>
      <w:r w:rsidR="00A01125">
        <w:t>is</w:t>
      </w:r>
      <w:r w:rsidRPr="00C51D5D">
        <w:t xml:space="preserve"> due for review under CAA sections 112(f)(2) and 112(d)(6).</w:t>
      </w:r>
    </w:p>
    <w:p w14:paraId="363858E8" w14:textId="6246DF3E" w:rsidR="00095488" w:rsidRDefault="00510090" w:rsidP="00A01125">
      <w:pPr>
        <w:pStyle w:val="Paragraph"/>
      </w:pPr>
      <w:r w:rsidRPr="00C51D5D">
        <w:t xml:space="preserve">As a result of </w:t>
      </w:r>
      <w:r w:rsidR="00095488" w:rsidRPr="00C51D5D">
        <w:t xml:space="preserve">PCWP </w:t>
      </w:r>
      <w:r w:rsidR="000D63D7" w:rsidRPr="00C51D5D">
        <w:t xml:space="preserve">air pollution control </w:t>
      </w:r>
      <w:r w:rsidRPr="00C51D5D">
        <w:t xml:space="preserve">requirements, </w:t>
      </w:r>
      <w:r w:rsidR="00674C80">
        <w:t xml:space="preserve">the </w:t>
      </w:r>
      <w:r w:rsidRPr="00C51D5D">
        <w:t xml:space="preserve">EPA amended the 40 CFR part 429 effluent guidelines concurrent with the </w:t>
      </w:r>
      <w:r w:rsidR="00095488" w:rsidRPr="00C51D5D">
        <w:t xml:space="preserve">2004 </w:t>
      </w:r>
      <w:r w:rsidR="000674E5">
        <w:t xml:space="preserve">PCWP </w:t>
      </w:r>
      <w:r w:rsidR="000674E5" w:rsidRPr="00C51D5D">
        <w:t>NESHAP</w:t>
      </w:r>
      <w:r w:rsidR="00674C80">
        <w:t xml:space="preserve">. </w:t>
      </w:r>
      <w:r w:rsidRPr="00C51D5D">
        <w:t xml:space="preserve">It was determined that facilities subject to zero discharge limits in the </w:t>
      </w:r>
      <w:r w:rsidR="00095488" w:rsidRPr="00C51D5D">
        <w:t xml:space="preserve">Timber Processing Industry section of the </w:t>
      </w:r>
      <w:r w:rsidRPr="00C51D5D">
        <w:t xml:space="preserve">guidelines should be allowed an exception for discharges from pollution control equipment installed to comply with </w:t>
      </w:r>
      <w:r w:rsidR="000610C5">
        <w:t xml:space="preserve">the PCWP </w:t>
      </w:r>
      <w:r w:rsidR="000610C5" w:rsidRPr="00C51D5D">
        <w:t>NESHAP</w:t>
      </w:r>
      <w:r w:rsidR="00674C80">
        <w:t xml:space="preserve">. </w:t>
      </w:r>
      <w:r w:rsidR="00095488" w:rsidRPr="00C51D5D">
        <w:t>The amendments allowed facilities</w:t>
      </w:r>
      <w:r w:rsidRPr="00C51D5D">
        <w:t xml:space="preserve"> to establish case-by-case guideline limits</w:t>
      </w:r>
      <w:r w:rsidR="00985B51">
        <w:t>,</w:t>
      </w:r>
      <w:r w:rsidRPr="00C51D5D">
        <w:t xml:space="preserve"> and </w:t>
      </w:r>
      <w:r w:rsidR="00674C80">
        <w:t xml:space="preserve">the </w:t>
      </w:r>
      <w:r w:rsidRPr="00C51D5D">
        <w:t xml:space="preserve">EPA </w:t>
      </w:r>
      <w:r w:rsidR="00E7339F">
        <w:t xml:space="preserve">indicated at the time of </w:t>
      </w:r>
      <w:r w:rsidR="000674E5">
        <w:t xml:space="preserve">PCWP </w:t>
      </w:r>
      <w:r w:rsidR="000674E5" w:rsidRPr="00C51D5D">
        <w:t>NESHAP</w:t>
      </w:r>
      <w:r w:rsidR="00E7339F">
        <w:t xml:space="preserve"> promulgation that additional information would be necessary for </w:t>
      </w:r>
      <w:r w:rsidRPr="00C51D5D">
        <w:t xml:space="preserve">reviewing those </w:t>
      </w:r>
      <w:r w:rsidR="00095488" w:rsidRPr="00C51D5D">
        <w:t xml:space="preserve">limits subsequent to </w:t>
      </w:r>
      <w:r w:rsidR="000674E5">
        <w:t xml:space="preserve">PCWP </w:t>
      </w:r>
      <w:r w:rsidR="000674E5" w:rsidRPr="00C51D5D">
        <w:t xml:space="preserve">NESHAP </w:t>
      </w:r>
      <w:r w:rsidR="00095488" w:rsidRPr="00C51D5D">
        <w:t xml:space="preserve">compliance and </w:t>
      </w:r>
      <w:r w:rsidR="000D63D7">
        <w:t xml:space="preserve">to </w:t>
      </w:r>
      <w:r w:rsidR="00095488" w:rsidRPr="00C51D5D">
        <w:t>amend the effluent guidelines as necessary</w:t>
      </w:r>
      <w:r w:rsidR="00674C80">
        <w:t xml:space="preserve">. </w:t>
      </w:r>
      <w:r w:rsidR="00095488" w:rsidRPr="00C51D5D">
        <w:t xml:space="preserve">The planned ICR will </w:t>
      </w:r>
      <w:r w:rsidR="007C2078">
        <w:t>identify facilities that obtained case-by-case effluent limits associated with PCWP air pollution controls</w:t>
      </w:r>
      <w:r w:rsidR="00095488">
        <w:t>.</w:t>
      </w:r>
    </w:p>
    <w:p w14:paraId="2AB78DF4" w14:textId="3E8B620C" w:rsidR="00EF26D9" w:rsidRDefault="004F418B" w:rsidP="00932396">
      <w:pPr>
        <w:pStyle w:val="Paragraph"/>
      </w:pPr>
      <w:r w:rsidRPr="009910CA">
        <w:t xml:space="preserve">In </w:t>
      </w:r>
      <w:r w:rsidRPr="00C51D5D">
        <w:t>addition to the CAA-required reviews, recent case law and legal petitions suggest the need to review</w:t>
      </w:r>
      <w:r w:rsidR="00CB1185">
        <w:t xml:space="preserve"> the PCWP</w:t>
      </w:r>
      <w:r w:rsidRPr="00C51D5D">
        <w:t xml:space="preserve"> </w:t>
      </w:r>
      <w:r w:rsidR="000674E5">
        <w:t>NESHAP</w:t>
      </w:r>
      <w:r w:rsidRPr="00C51D5D">
        <w:t xml:space="preserve">. </w:t>
      </w:r>
      <w:r w:rsidR="002F10DD" w:rsidRPr="00C51D5D">
        <w:t xml:space="preserve">In June 2007, </w:t>
      </w:r>
      <w:r w:rsidR="009910CA" w:rsidRPr="00C51D5D">
        <w:t xml:space="preserve">The U.S. Court of Appeals for the District of Columbia Circuit </w:t>
      </w:r>
      <w:r w:rsidR="0094521B" w:rsidRPr="00C51D5D">
        <w:t>issued a remand order for</w:t>
      </w:r>
      <w:r w:rsidR="009910CA" w:rsidRPr="00C51D5D">
        <w:t xml:space="preserve"> </w:t>
      </w:r>
      <w:r w:rsidR="00674C80">
        <w:t xml:space="preserve">the </w:t>
      </w:r>
      <w:r w:rsidR="009910CA" w:rsidRPr="00C51D5D">
        <w:t xml:space="preserve">EPA to re-evaluate the MACT floors and standards for </w:t>
      </w:r>
      <w:r w:rsidR="00A743FD">
        <w:t xml:space="preserve">several </w:t>
      </w:r>
      <w:r w:rsidR="009910CA" w:rsidRPr="00C51D5D">
        <w:t>PCWP process unit groups. Among the issues to be addressed are MACT floors and standards that had no emission</w:t>
      </w:r>
      <w:r w:rsidR="002F0B86">
        <w:t>s</w:t>
      </w:r>
      <w:r w:rsidR="009910CA" w:rsidRPr="00C51D5D">
        <w:t xml:space="preserve"> reduction requirements. </w:t>
      </w:r>
      <w:r w:rsidR="00992834" w:rsidRPr="00C51D5D">
        <w:t>Also, i</w:t>
      </w:r>
      <w:r w:rsidR="00C033AD" w:rsidRPr="00C51D5D">
        <w:t>n</w:t>
      </w:r>
      <w:r w:rsidRPr="00C51D5D">
        <w:t xml:space="preserve"> December 2008, the U.S. Court of Appeals for the D.C. Circuit vacated the startup, shutdown, and malfunction (SSM) provisions contained in the NESHAP General Provisions that apply</w:t>
      </w:r>
      <w:r w:rsidRPr="009910CA">
        <w:t xml:space="preserve"> to </w:t>
      </w:r>
      <w:r w:rsidR="00C033AD" w:rsidRPr="009910CA">
        <w:t xml:space="preserve">PCWP </w:t>
      </w:r>
      <w:r w:rsidR="00D1216F">
        <w:t>facilities</w:t>
      </w:r>
      <w:r w:rsidRPr="00C51D5D">
        <w:t xml:space="preserve">. To the extent that these legal actions need to be addressed in the </w:t>
      </w:r>
      <w:r w:rsidR="00C033AD" w:rsidRPr="00C51D5D">
        <w:t>P</w:t>
      </w:r>
      <w:r w:rsidR="00C033AD" w:rsidRPr="009910CA">
        <w:t xml:space="preserve">CWP </w:t>
      </w:r>
      <w:r w:rsidRPr="00C51D5D">
        <w:t xml:space="preserve">NESHAP, </w:t>
      </w:r>
      <w:r w:rsidR="00674C80">
        <w:t xml:space="preserve">the </w:t>
      </w:r>
      <w:r w:rsidRPr="00C51D5D">
        <w:t>EPA intends to investigate potential rule revisions at the same time as the CAA statutory reviews are conducted</w:t>
      </w:r>
      <w:r w:rsidR="00A01EAE">
        <w:t>.</w:t>
      </w:r>
    </w:p>
    <w:p w14:paraId="5ECDA307" w14:textId="0CFD4CED" w:rsidR="00C923BF" w:rsidRPr="009910CA" w:rsidRDefault="00C923BF" w:rsidP="007A7B63">
      <w:pPr>
        <w:pStyle w:val="Paragraph"/>
      </w:pPr>
      <w:r>
        <w:t>Additionally, in 2008</w:t>
      </w:r>
      <w:r w:rsidRPr="00B66459">
        <w:t xml:space="preserve">, </w:t>
      </w:r>
      <w:r>
        <w:t>the California Air Resources Board (</w:t>
      </w:r>
      <w:r w:rsidRPr="00B66459">
        <w:t>CARB</w:t>
      </w:r>
      <w:r>
        <w:t>) finalized</w:t>
      </w:r>
      <w:r w:rsidRPr="00B66459">
        <w:t xml:space="preserve"> an </w:t>
      </w:r>
      <w:r>
        <w:t>Airborne Toxic Control Measure (</w:t>
      </w:r>
      <w:r w:rsidRPr="00B66459">
        <w:t>ATCM</w:t>
      </w:r>
      <w:r>
        <w:t>)</w:t>
      </w:r>
      <w:r w:rsidRPr="00B66459">
        <w:t xml:space="preserve"> to reduce formaldehyde emissions from hardwood plywood, </w:t>
      </w:r>
      <w:r>
        <w:t>MDF</w:t>
      </w:r>
      <w:r w:rsidRPr="00B66459">
        <w:t>, and particleboard</w:t>
      </w:r>
      <w:r>
        <w:t xml:space="preserve">. </w:t>
      </w:r>
      <w:r w:rsidR="00862C1A">
        <w:t>Consistent with the CARB ATCM, in 2008, Congress passed the</w:t>
      </w:r>
      <w:r w:rsidR="00862C1A" w:rsidRPr="00E26E4E">
        <w:t xml:space="preserve"> </w:t>
      </w:r>
      <w:r w:rsidR="00862C1A">
        <w:t>Formaldehyde Standards for Composite Wood Products Act, as Title VI of Toxic Substances Control Act (TSCA), [15 U.S.C. 2697], and the EPA subsequently proposed a rule in 2013 to implement TSCA Title VI to reduce formaldehyde emissions from composite wood products.</w:t>
      </w:r>
      <w:r w:rsidR="00862C1A">
        <w:rPr>
          <w:rStyle w:val="FootnoteReference"/>
        </w:rPr>
        <w:footnoteReference w:id="1"/>
      </w:r>
      <w:r w:rsidR="00862C1A">
        <w:t xml:space="preserve"> The TSCA implementation rule (Formaldehyde Emission Standards for Composite Wood Products, RIN 2070-AJ44) was finalized by the EPA on December 12, 2016</w:t>
      </w:r>
      <w:r w:rsidR="00977747">
        <w:t>,</w:t>
      </w:r>
      <w:r w:rsidR="00862C1A">
        <w:t xml:space="preserve"> (81 FR 89674). </w:t>
      </w:r>
      <w:r>
        <w:t xml:space="preserve">The CARB ATCM and </w:t>
      </w:r>
      <w:r w:rsidR="00FF2154">
        <w:t xml:space="preserve">the </w:t>
      </w:r>
      <w:r>
        <w:t>rule to implement TSCA Title VI emphasize the use of</w:t>
      </w:r>
      <w:r w:rsidR="00FF2154">
        <w:t xml:space="preserve"> low emission adhesives, including</w:t>
      </w:r>
      <w:r>
        <w:t xml:space="preserve"> ultra-low-emitting formaldehyde (ULEF) and no added formaldehyde (NAF) resin systems, and many composite wood products facilities have changed resin systems over the past 7 years following promulgation of the PCWP </w:t>
      </w:r>
      <w:r w:rsidR="000610C5" w:rsidRPr="00C51D5D">
        <w:t>NESHAP</w:t>
      </w:r>
      <w:r>
        <w:t xml:space="preserve">. The planned ICR would provide </w:t>
      </w:r>
      <w:r w:rsidR="00CB1185">
        <w:t xml:space="preserve">the </w:t>
      </w:r>
      <w:r>
        <w:t xml:space="preserve">EPA with information on the recent advances in resin system technology and allow </w:t>
      </w:r>
      <w:r w:rsidR="00CB1185">
        <w:t xml:space="preserve">the </w:t>
      </w:r>
      <w:r>
        <w:t xml:space="preserve">EPA to determine the effects of these changes on </w:t>
      </w:r>
      <w:r w:rsidR="00291867">
        <w:t>HAP emissions from composite wood product manufacturing facilities.</w:t>
      </w:r>
    </w:p>
    <w:p w14:paraId="11F43822" w14:textId="1EDB69F3" w:rsidR="00EF26D9" w:rsidRDefault="004F418B" w:rsidP="00D41A79">
      <w:pPr>
        <w:pStyle w:val="Paragraph"/>
      </w:pPr>
      <w:r>
        <w:t xml:space="preserve">The </w:t>
      </w:r>
      <w:r w:rsidRPr="00C51D5D">
        <w:t xml:space="preserve">data used as the basis for the originally promulgated </w:t>
      </w:r>
      <w:r w:rsidR="00C9649C" w:rsidRPr="00C51D5D">
        <w:t>PCWP</w:t>
      </w:r>
      <w:r w:rsidR="00C9649C" w:rsidRPr="009910CA">
        <w:t xml:space="preserve"> </w:t>
      </w:r>
      <w:r>
        <w:t>N</w:t>
      </w:r>
      <w:r w:rsidRPr="00C51D5D">
        <w:t xml:space="preserve">ESHAP are over </w:t>
      </w:r>
      <w:r w:rsidR="00C9649C" w:rsidRPr="00C51D5D">
        <w:t>1</w:t>
      </w:r>
      <w:r w:rsidR="00835B1F">
        <w:t>5</w:t>
      </w:r>
      <w:r w:rsidR="00742831">
        <w:t> </w:t>
      </w:r>
      <w:r w:rsidRPr="00C51D5D">
        <w:t xml:space="preserve">years old. The </w:t>
      </w:r>
      <w:r w:rsidR="00895383">
        <w:t>EPA</w:t>
      </w:r>
      <w:r w:rsidR="00895383" w:rsidRPr="00C51D5D">
        <w:t xml:space="preserve"> </w:t>
      </w:r>
      <w:r w:rsidRPr="00C51D5D">
        <w:t xml:space="preserve">is aware that significant changes have been made in the intervening years in the number of affected facilities, in industry ownership practices, </w:t>
      </w:r>
      <w:r w:rsidR="00303708">
        <w:t xml:space="preserve">types of resins used, </w:t>
      </w:r>
      <w:r w:rsidRPr="00C51D5D">
        <w:t>and in emission</w:t>
      </w:r>
      <w:r w:rsidR="002F0B86">
        <w:t>s</w:t>
      </w:r>
      <w:r w:rsidRPr="00C51D5D">
        <w:t xml:space="preserve"> collection and control configurations. Further, in light of the statutory requirements for reviewing emission standards under CAA </w:t>
      </w:r>
      <w:r w:rsidR="00C9649C" w:rsidRPr="00C51D5D">
        <w:t>section</w:t>
      </w:r>
      <w:r w:rsidRPr="00C51D5D">
        <w:t xml:space="preserve"> 112 and the recent case law interpreting those requirements, the </w:t>
      </w:r>
      <w:r w:rsidR="00895383">
        <w:t>EPA</w:t>
      </w:r>
      <w:r w:rsidR="00895383" w:rsidRPr="00C51D5D">
        <w:t xml:space="preserve"> </w:t>
      </w:r>
      <w:r w:rsidRPr="00C51D5D">
        <w:t>has</w:t>
      </w:r>
      <w:bookmarkStart w:id="7" w:name="_bookmark0"/>
      <w:bookmarkEnd w:id="7"/>
      <w:r w:rsidR="00C9649C" w:rsidRPr="00C51D5D">
        <w:t xml:space="preserve"> </w:t>
      </w:r>
      <w:r w:rsidRPr="00C51D5D">
        <w:t>concluded that obtaining updated information will be crucial to informing its decisions on the</w:t>
      </w:r>
      <w:r w:rsidR="00AF70FE" w:rsidRPr="00C51D5D">
        <w:t xml:space="preserve"> </w:t>
      </w:r>
      <w:r w:rsidR="000674E5" w:rsidRPr="00C51D5D">
        <w:t xml:space="preserve">RTR </w:t>
      </w:r>
      <w:r w:rsidR="000674E5">
        <w:t xml:space="preserve">for the </w:t>
      </w:r>
      <w:r w:rsidR="000674E5" w:rsidRPr="00600F02">
        <w:t xml:space="preserve">manufacturing </w:t>
      </w:r>
      <w:r w:rsidR="000674E5">
        <w:t>sources</w:t>
      </w:r>
      <w:r w:rsidR="000674E5" w:rsidRPr="00C51D5D">
        <w:t xml:space="preserve"> </w:t>
      </w:r>
      <w:r w:rsidR="000674E5">
        <w:t xml:space="preserve">covered by the </w:t>
      </w:r>
      <w:r w:rsidR="00AF70FE" w:rsidRPr="00C51D5D">
        <w:t xml:space="preserve">PCWP </w:t>
      </w:r>
      <w:r w:rsidR="000674E5" w:rsidRPr="00C51D5D">
        <w:t>NESHAP</w:t>
      </w:r>
      <w:r>
        <w:t>.</w:t>
      </w:r>
    </w:p>
    <w:p w14:paraId="611A3C1A" w14:textId="4D56B572" w:rsidR="00EF26D9" w:rsidRPr="00600F02" w:rsidRDefault="00AF70FE" w:rsidP="00D41A79">
      <w:pPr>
        <w:pStyle w:val="Paragraph"/>
      </w:pPr>
      <w:r>
        <w:t xml:space="preserve">Compliance </w:t>
      </w:r>
      <w:r w:rsidR="00D7490B">
        <w:t xml:space="preserve">and engineering </w:t>
      </w:r>
      <w:r w:rsidR="00D7490B" w:rsidRPr="00C51D5D">
        <w:t xml:space="preserve">test data </w:t>
      </w:r>
      <w:r w:rsidRPr="00C51D5D">
        <w:t xml:space="preserve">collected </w:t>
      </w:r>
      <w:r w:rsidR="00A743FD">
        <w:t>through this ICR are</w:t>
      </w:r>
      <w:r w:rsidR="0094521B" w:rsidRPr="00C51D5D">
        <w:t xml:space="preserve"> expected to provide most of the emissions data for the sources regulated by the </w:t>
      </w:r>
      <w:r w:rsidR="000674E5" w:rsidRPr="00C51D5D">
        <w:t>PCWP NESHAP</w:t>
      </w:r>
      <w:r w:rsidR="00D7490B">
        <w:t xml:space="preserve">. </w:t>
      </w:r>
      <w:r w:rsidR="0094521B" w:rsidRPr="00C51D5D">
        <w:t xml:space="preserve">Additionally, the ICR is expected to provide </w:t>
      </w:r>
      <w:r w:rsidR="00A743FD">
        <w:t>emissions test data, emission</w:t>
      </w:r>
      <w:r w:rsidR="002F0B86">
        <w:t>s</w:t>
      </w:r>
      <w:r w:rsidR="00A743FD">
        <w:t xml:space="preserve"> estimates, information on work practices</w:t>
      </w:r>
      <w:r w:rsidR="0094521B" w:rsidRPr="00C51D5D">
        <w:t xml:space="preserve"> </w:t>
      </w:r>
      <w:r w:rsidR="00FF2154">
        <w:t xml:space="preserve">and equipment design criteria </w:t>
      </w:r>
      <w:r w:rsidR="0094521B" w:rsidRPr="00C51D5D">
        <w:t xml:space="preserve">for the </w:t>
      </w:r>
      <w:r w:rsidR="00A743FD">
        <w:t xml:space="preserve">process units </w:t>
      </w:r>
      <w:r w:rsidR="0094521B" w:rsidRPr="00C51D5D">
        <w:t xml:space="preserve">remanded for regulation by the U.S. </w:t>
      </w:r>
      <w:r w:rsidR="003E45F2" w:rsidRPr="00C51D5D">
        <w:t xml:space="preserve">Court of Appeals in 2007. </w:t>
      </w:r>
      <w:r w:rsidR="00A743FD">
        <w:t xml:space="preserve">Since the remand was issued, </w:t>
      </w:r>
      <w:r w:rsidR="003E45F2" w:rsidRPr="00C51D5D">
        <w:t xml:space="preserve">environmental research </w:t>
      </w:r>
      <w:r w:rsidR="00864E65">
        <w:t xml:space="preserve">conducted by the wood products industry </w:t>
      </w:r>
      <w:r w:rsidR="003E45F2" w:rsidRPr="00C51D5D">
        <w:t xml:space="preserve">has included </w:t>
      </w:r>
      <w:r w:rsidR="00864E65">
        <w:t xml:space="preserve">some </w:t>
      </w:r>
      <w:r w:rsidR="003E45F2" w:rsidRPr="00C51D5D">
        <w:t xml:space="preserve">effort to </w:t>
      </w:r>
      <w:r w:rsidR="00A743FD">
        <w:t xml:space="preserve">evaluate the suitability of remanded process units for emissions testing and to </w:t>
      </w:r>
      <w:r w:rsidR="003E45F2" w:rsidRPr="00C51D5D">
        <w:t>develop emission factor</w:t>
      </w:r>
      <w:r w:rsidR="00D7490B">
        <w:t xml:space="preserve">s. </w:t>
      </w:r>
      <w:r w:rsidR="003E45F2" w:rsidRPr="00C51D5D">
        <w:t xml:space="preserve">The ICR will inform </w:t>
      </w:r>
      <w:r w:rsidR="00674C80">
        <w:t xml:space="preserve">the </w:t>
      </w:r>
      <w:r w:rsidR="003E45F2" w:rsidRPr="00C51D5D">
        <w:t xml:space="preserve">EPA about the </w:t>
      </w:r>
      <w:r w:rsidR="00864E65">
        <w:t xml:space="preserve">availability </w:t>
      </w:r>
      <w:r w:rsidR="00A743FD">
        <w:t>of emissions test data</w:t>
      </w:r>
      <w:r w:rsidR="00A87012">
        <w:t>, use of work practices that reduce emissions,</w:t>
      </w:r>
      <w:r w:rsidR="00A743FD">
        <w:t xml:space="preserve"> </w:t>
      </w:r>
      <w:r w:rsidR="00864E65">
        <w:t xml:space="preserve">and </w:t>
      </w:r>
      <w:r w:rsidR="003E45F2" w:rsidRPr="00C51D5D">
        <w:t>application</w:t>
      </w:r>
      <w:r w:rsidR="00864E65">
        <w:t xml:space="preserve"> of any new emission factors. </w:t>
      </w:r>
      <w:r w:rsidR="009064E5" w:rsidRPr="00C51D5D">
        <w:t>The emissions data collected by the ICR may also have benefits to other EPA p</w:t>
      </w:r>
      <w:r w:rsidR="00D7490B">
        <w:t xml:space="preserve">rograms valued by the public. The </w:t>
      </w:r>
      <w:r w:rsidR="009064E5" w:rsidRPr="00C51D5D">
        <w:t xml:space="preserve">RTR ICR data can be used for </w:t>
      </w:r>
      <w:r w:rsidR="00A524B0">
        <w:t>QA</w:t>
      </w:r>
      <w:r w:rsidR="009064E5" w:rsidRPr="00C51D5D">
        <w:t xml:space="preserve"> of information in </w:t>
      </w:r>
      <w:r w:rsidR="00901D7F" w:rsidRPr="00C51D5D">
        <w:t xml:space="preserve">the EPA’s National Air Toxics Assessment (NATA) program as well the </w:t>
      </w:r>
      <w:r w:rsidR="00901D7F" w:rsidRPr="00306378">
        <w:t>National Emissions Inventory</w:t>
      </w:r>
      <w:r w:rsidR="00AD44D7">
        <w:t xml:space="preserve"> (NEI)</w:t>
      </w:r>
      <w:r w:rsidR="004E66B2">
        <w:t>,</w:t>
      </w:r>
      <w:r w:rsidR="00901D7F" w:rsidRPr="00306378">
        <w:t xml:space="preserve"> </w:t>
      </w:r>
      <w:r w:rsidR="00306378">
        <w:t>which is built using</w:t>
      </w:r>
      <w:r w:rsidR="00306378" w:rsidRPr="00306378">
        <w:t xml:space="preserve"> </w:t>
      </w:r>
      <w:r w:rsidR="00901D7F" w:rsidRPr="00306378">
        <w:t xml:space="preserve">the </w:t>
      </w:r>
      <w:r w:rsidR="00901D7F" w:rsidRPr="00C51D5D">
        <w:t>EIS</w:t>
      </w:r>
      <w:r w:rsidR="00306378" w:rsidRPr="00306378">
        <w:t xml:space="preserve"> first to collect the data from </w:t>
      </w:r>
      <w:r w:rsidR="004E66B2" w:rsidRPr="00306378">
        <w:t xml:space="preserve">state, local, and tribal </w:t>
      </w:r>
      <w:r w:rsidR="00306378" w:rsidRPr="00306378">
        <w:t>air agencies and then to blend that data with other data sources</w:t>
      </w:r>
      <w:r w:rsidR="009064E5" w:rsidRPr="00C51D5D">
        <w:t>.</w:t>
      </w:r>
      <w:r w:rsidR="0057048C" w:rsidRPr="00C51D5D">
        <w:t xml:space="preserve"> </w:t>
      </w:r>
      <w:r w:rsidR="00D7490B">
        <w:t xml:space="preserve">The </w:t>
      </w:r>
      <w:r w:rsidR="009064E5" w:rsidRPr="00C51D5D">
        <w:t xml:space="preserve">RTR ICR data collected in the survey may be helpful in updating </w:t>
      </w:r>
      <w:r w:rsidR="00901D7F" w:rsidRPr="00C51D5D">
        <w:t>the</w:t>
      </w:r>
      <w:r w:rsidR="00DF35E0" w:rsidRPr="00C51D5D">
        <w:t xml:space="preserve"> </w:t>
      </w:r>
      <w:r w:rsidR="004F418B" w:rsidRPr="00C51D5D">
        <w:t xml:space="preserve">data sets for </w:t>
      </w:r>
      <w:r w:rsidR="00D1216F">
        <w:t>facilities</w:t>
      </w:r>
      <w:r w:rsidR="009064E5" w:rsidRPr="00C51D5D">
        <w:t xml:space="preserve"> with no data or inaccurate data in </w:t>
      </w:r>
      <w:r w:rsidR="00901D7F" w:rsidRPr="00C51D5D">
        <w:t>current databases</w:t>
      </w:r>
      <w:r w:rsidR="004F418B" w:rsidRPr="00C51D5D">
        <w:t xml:space="preserve">. Preliminary risk analysis results for </w:t>
      </w:r>
      <w:r w:rsidR="009064E5" w:rsidRPr="00C51D5D">
        <w:t xml:space="preserve">this industry </w:t>
      </w:r>
      <w:r w:rsidR="004F418B" w:rsidRPr="00C51D5D">
        <w:t xml:space="preserve">sector (based on the current </w:t>
      </w:r>
      <w:r w:rsidR="00DF35E0" w:rsidRPr="00C51D5D">
        <w:t xml:space="preserve">NATA </w:t>
      </w:r>
      <w:r w:rsidR="004F418B" w:rsidRPr="00C51D5D">
        <w:t xml:space="preserve">data sets) indicate that some </w:t>
      </w:r>
      <w:r w:rsidR="00D1216F">
        <w:t>facilities</w:t>
      </w:r>
      <w:r w:rsidR="004F418B" w:rsidRPr="00C51D5D">
        <w:t xml:space="preserve"> may present risk above the thresholds for further consideration under the residual risk process</w:t>
      </w:r>
      <w:r w:rsidR="004F418B" w:rsidRPr="00600F02">
        <w:t>.</w:t>
      </w:r>
      <w:r w:rsidR="004B799E" w:rsidRPr="00600F02">
        <w:t xml:space="preserve"> </w:t>
      </w:r>
      <w:r w:rsidR="00D1216F">
        <w:t>Additional facility</w:t>
      </w:r>
      <w:r w:rsidR="004F418B" w:rsidRPr="00C51D5D">
        <w:t xml:space="preserve">-specific information would allow </w:t>
      </w:r>
      <w:r w:rsidR="00674C80">
        <w:t xml:space="preserve">the </w:t>
      </w:r>
      <w:r w:rsidR="004F418B" w:rsidRPr="00C51D5D">
        <w:t>EPA to better characterize emission</w:t>
      </w:r>
      <w:r w:rsidR="002F0B86">
        <w:t>s</w:t>
      </w:r>
      <w:r w:rsidR="004F418B" w:rsidRPr="00C51D5D">
        <w:t xml:space="preserve"> sources, refine the risk analysis, and to address any unacceptable residual risk that remains. Information collected directly from </w:t>
      </w:r>
      <w:r w:rsidR="00CB789F" w:rsidRPr="00C51D5D">
        <w:t>PCWP</w:t>
      </w:r>
      <w:r w:rsidR="00CB789F">
        <w:t xml:space="preserve"> </w:t>
      </w:r>
      <w:r w:rsidR="00D1216F">
        <w:t>facilities</w:t>
      </w:r>
      <w:r w:rsidR="004F418B" w:rsidRPr="00C51D5D">
        <w:t xml:space="preserve"> will have the greatest practical utility for purposes of performing the RTR </w:t>
      </w:r>
      <w:r w:rsidR="00513AAA" w:rsidRPr="00C51D5D">
        <w:t>regulatory analyses</w:t>
      </w:r>
      <w:r w:rsidR="00985B51">
        <w:t>,</w:t>
      </w:r>
      <w:r w:rsidR="00513AAA" w:rsidRPr="00C51D5D">
        <w:t xml:space="preserve"> </w:t>
      </w:r>
      <w:r w:rsidR="004F418B" w:rsidRPr="00C51D5D">
        <w:t>as information from the affected industry will contain the most up-to-date, accurate, and reliable equipment an</w:t>
      </w:r>
      <w:r w:rsidR="00D1216F">
        <w:t>d operational data for each facility</w:t>
      </w:r>
      <w:r w:rsidR="00674C80">
        <w:t xml:space="preserve">. </w:t>
      </w:r>
      <w:r w:rsidR="004F418B" w:rsidRPr="00C51D5D">
        <w:t xml:space="preserve">The ICR will request that new information be supplied for a </w:t>
      </w:r>
      <w:r w:rsidR="00CB789F" w:rsidRPr="00C51D5D">
        <w:t>201</w:t>
      </w:r>
      <w:r w:rsidR="006B2310">
        <w:t>6</w:t>
      </w:r>
      <w:r w:rsidR="004F418B" w:rsidRPr="00C51D5D">
        <w:t xml:space="preserve"> base year, and</w:t>
      </w:r>
      <w:r w:rsidR="00985B51">
        <w:t>,</w:t>
      </w:r>
      <w:r w:rsidR="004F418B" w:rsidRPr="00C51D5D">
        <w:t xml:space="preserve"> therefore, will not suffer from the considerable “lag time”</w:t>
      </w:r>
      <w:r w:rsidR="00CB789F" w:rsidRPr="00C51D5D">
        <w:t xml:space="preserve"> </w:t>
      </w:r>
      <w:r w:rsidR="004F418B" w:rsidRPr="00C51D5D">
        <w:t>that can be associated with different inventory and permit review cycles (</w:t>
      </w:r>
      <w:r w:rsidR="004F418B" w:rsidRPr="004E66B2">
        <w:rPr>
          <w:rStyle w:val="Italic"/>
        </w:rPr>
        <w:t>e.g.</w:t>
      </w:r>
      <w:r w:rsidR="004F418B" w:rsidRPr="00C51D5D">
        <w:t>, where the currently available inventory does not yet reflect recent changes in equipmen</w:t>
      </w:r>
      <w:r w:rsidR="004F418B">
        <w:t>t).</w:t>
      </w:r>
      <w:r w:rsidR="00C71069">
        <w:rPr>
          <w:rStyle w:val="FootnoteReference"/>
        </w:rPr>
        <w:footnoteReference w:id="2"/>
      </w:r>
    </w:p>
    <w:p w14:paraId="4680A3C9" w14:textId="77777777" w:rsidR="00EF26D9" w:rsidRDefault="004F418B" w:rsidP="00966E3C">
      <w:pPr>
        <w:pStyle w:val="Paragraph"/>
        <w:keepNext/>
      </w:pPr>
      <w:r>
        <w:t xml:space="preserve">CAA </w:t>
      </w:r>
      <w:r w:rsidRPr="00C51D5D">
        <w:t>section 114(a) states that the Administrator may require any owner or operator subject to any requirement of the Act</w:t>
      </w:r>
      <w:r>
        <w:t xml:space="preserve"> to:</w:t>
      </w:r>
    </w:p>
    <w:p w14:paraId="501836E7" w14:textId="7A8BCC57" w:rsidR="00EF26D9" w:rsidRDefault="00961685" w:rsidP="00961685">
      <w:pPr>
        <w:pStyle w:val="BlockQuote"/>
      </w:pPr>
      <w:r w:rsidRPr="00961685">
        <w:t xml:space="preserve">(A) </w:t>
      </w:r>
      <w:r w:rsidR="004F418B" w:rsidRPr="00961685">
        <w:t xml:space="preserve">Establish and maintain such records; (B) make such reports; (C) install, use, </w:t>
      </w:r>
      <w:r w:rsidR="004F418B">
        <w:t>and</w:t>
      </w:r>
      <w:r w:rsidR="004F418B" w:rsidRPr="00600F02">
        <w:t xml:space="preserve"> maintain </w:t>
      </w:r>
      <w:r w:rsidR="004F418B">
        <w:t>such</w:t>
      </w:r>
      <w:r w:rsidR="004F418B" w:rsidRPr="00600F02">
        <w:t xml:space="preserve"> monitoring equipment, </w:t>
      </w:r>
      <w:r w:rsidR="004F418B">
        <w:t>and</w:t>
      </w:r>
      <w:r w:rsidR="004F418B" w:rsidRPr="00600F02">
        <w:t xml:space="preserve"> </w:t>
      </w:r>
      <w:r w:rsidR="004F418B">
        <w:t>use</w:t>
      </w:r>
      <w:r w:rsidR="004F418B" w:rsidRPr="00600F02">
        <w:t xml:space="preserve"> </w:t>
      </w:r>
      <w:r w:rsidR="004F418B">
        <w:t>such</w:t>
      </w:r>
      <w:r w:rsidR="004F418B" w:rsidRPr="00600F02">
        <w:t xml:space="preserve"> </w:t>
      </w:r>
      <w:r w:rsidR="004F418B">
        <w:t>audit</w:t>
      </w:r>
      <w:r w:rsidR="004F418B" w:rsidRPr="00600F02">
        <w:t xml:space="preserve"> </w:t>
      </w:r>
      <w:r w:rsidR="004F418B">
        <w:t>procedures,</w:t>
      </w:r>
      <w:r w:rsidR="004F418B" w:rsidRPr="00600F02">
        <w:t xml:space="preserve"> </w:t>
      </w:r>
      <w:r w:rsidR="004F418B">
        <w:t>or</w:t>
      </w:r>
      <w:r w:rsidR="004F418B" w:rsidRPr="00600F02">
        <w:t xml:space="preserve"> methods;</w:t>
      </w:r>
      <w:r w:rsidR="004F418B">
        <w:t xml:space="preserve"> (D) </w:t>
      </w:r>
      <w:r w:rsidR="004F418B" w:rsidRPr="00600F02">
        <w:t>sample</w:t>
      </w:r>
      <w:r w:rsidR="004F418B">
        <w:t xml:space="preserve"> such </w:t>
      </w:r>
      <w:r w:rsidR="004F418B" w:rsidRPr="00600F02">
        <w:t>emissions</w:t>
      </w:r>
      <w:r w:rsidR="004F418B">
        <w:t xml:space="preserve"> (in accordance with such</w:t>
      </w:r>
      <w:r w:rsidR="004F418B" w:rsidRPr="00600F02">
        <w:t xml:space="preserve"> </w:t>
      </w:r>
      <w:r w:rsidR="004F418B">
        <w:t>procedures</w:t>
      </w:r>
      <w:r w:rsidR="004F418B" w:rsidRPr="00600F02">
        <w:t xml:space="preserve"> </w:t>
      </w:r>
      <w:r w:rsidR="004F418B">
        <w:t>or</w:t>
      </w:r>
      <w:r w:rsidR="004F418B" w:rsidRPr="00600F02">
        <w:t xml:space="preserve"> methods, </w:t>
      </w:r>
      <w:r w:rsidR="004F418B">
        <w:t>at</w:t>
      </w:r>
      <w:r w:rsidR="004F418B" w:rsidRPr="00600F02">
        <w:t xml:space="preserve"> </w:t>
      </w:r>
      <w:r w:rsidR="004F418B">
        <w:t>such</w:t>
      </w:r>
      <w:r w:rsidR="004F418B" w:rsidRPr="00600F02">
        <w:t xml:space="preserve"> </w:t>
      </w:r>
      <w:r w:rsidR="004F418B">
        <w:t>locations,</w:t>
      </w:r>
      <w:r w:rsidR="004F418B" w:rsidRPr="00600F02">
        <w:t xml:space="preserve"> </w:t>
      </w:r>
      <w:r w:rsidR="004F418B">
        <w:t>at</w:t>
      </w:r>
      <w:r w:rsidR="004F418B" w:rsidRPr="00600F02">
        <w:t xml:space="preserve"> </w:t>
      </w:r>
      <w:r w:rsidR="004F418B">
        <w:t>such</w:t>
      </w:r>
      <w:r w:rsidR="004F418B" w:rsidRPr="00600F02">
        <w:t xml:space="preserve"> </w:t>
      </w:r>
      <w:r w:rsidR="004F418B">
        <w:t>intervals,</w:t>
      </w:r>
      <w:r w:rsidR="004F418B" w:rsidRPr="00600F02">
        <w:t xml:space="preserve"> </w:t>
      </w:r>
      <w:r w:rsidR="004F418B">
        <w:t>during</w:t>
      </w:r>
      <w:r w:rsidR="004F418B" w:rsidRPr="00600F02">
        <w:t xml:space="preserve"> </w:t>
      </w:r>
      <w:r w:rsidR="004F418B">
        <w:t>such</w:t>
      </w:r>
      <w:r w:rsidR="004F418B" w:rsidRPr="00600F02">
        <w:t xml:space="preserve"> </w:t>
      </w:r>
      <w:r w:rsidR="004F418B">
        <w:t>periods,</w:t>
      </w:r>
      <w:r w:rsidR="004F418B" w:rsidRPr="00600F02">
        <w:t xml:space="preserve"> </w:t>
      </w:r>
      <w:r w:rsidR="004F418B">
        <w:t>and</w:t>
      </w:r>
      <w:r w:rsidR="004F418B" w:rsidRPr="00600F02">
        <w:t xml:space="preserve"> </w:t>
      </w:r>
      <w:r w:rsidR="004F418B">
        <w:t>in</w:t>
      </w:r>
      <w:r w:rsidR="004F418B" w:rsidRPr="00600F02">
        <w:t xml:space="preserve"> </w:t>
      </w:r>
      <w:r w:rsidR="004F418B">
        <w:t>such</w:t>
      </w:r>
      <w:r w:rsidR="00D1216F">
        <w:t xml:space="preserve"> </w:t>
      </w:r>
      <w:r w:rsidR="004F418B" w:rsidRPr="00600F02">
        <w:t>manner</w:t>
      </w:r>
      <w:r w:rsidR="004F418B">
        <w:t xml:space="preserve"> as the </w:t>
      </w:r>
      <w:r w:rsidR="004F418B" w:rsidRPr="00600F02">
        <w:t>Administrator</w:t>
      </w:r>
      <w:r w:rsidR="004F418B">
        <w:t xml:space="preserve"> shall </w:t>
      </w:r>
      <w:r w:rsidR="004F418B" w:rsidRPr="00600F02">
        <w:t>prescribe);</w:t>
      </w:r>
      <w:r w:rsidR="004F418B">
        <w:t xml:space="preserve"> (E) keep </w:t>
      </w:r>
      <w:r w:rsidR="004F418B" w:rsidRPr="00600F02">
        <w:t>records</w:t>
      </w:r>
      <w:r w:rsidR="004F418B">
        <w:t xml:space="preserve"> on </w:t>
      </w:r>
      <w:r w:rsidR="004F418B" w:rsidRPr="00600F02">
        <w:t>control equipment</w:t>
      </w:r>
      <w:r w:rsidR="004F418B">
        <w:t xml:space="preserve"> </w:t>
      </w:r>
      <w:r w:rsidR="004F418B" w:rsidRPr="00600F02">
        <w:t>parameters,</w:t>
      </w:r>
      <w:r w:rsidR="004F418B">
        <w:t xml:space="preserve"> production variables</w:t>
      </w:r>
      <w:r w:rsidR="004F418B" w:rsidRPr="00600F02">
        <w:t xml:space="preserve"> </w:t>
      </w:r>
      <w:r w:rsidR="004F418B">
        <w:t>or</w:t>
      </w:r>
      <w:r w:rsidR="004F418B" w:rsidRPr="00600F02">
        <w:t xml:space="preserve"> </w:t>
      </w:r>
      <w:r w:rsidR="004F418B">
        <w:t>other</w:t>
      </w:r>
      <w:r w:rsidR="004F418B" w:rsidRPr="00600F02">
        <w:t xml:space="preserve"> </w:t>
      </w:r>
      <w:r w:rsidR="004F418B">
        <w:t>indirect</w:t>
      </w:r>
      <w:r w:rsidR="004F418B" w:rsidRPr="00600F02">
        <w:t xml:space="preserve"> </w:t>
      </w:r>
      <w:r w:rsidR="004F418B">
        <w:t>data</w:t>
      </w:r>
      <w:r w:rsidR="004F418B" w:rsidRPr="00600F02">
        <w:t xml:space="preserve"> </w:t>
      </w:r>
      <w:r w:rsidR="004F418B">
        <w:t>when</w:t>
      </w:r>
      <w:r w:rsidR="004F418B" w:rsidRPr="00600F02">
        <w:t xml:space="preserve"> </w:t>
      </w:r>
      <w:r w:rsidR="004F418B">
        <w:t>direct</w:t>
      </w:r>
      <w:r w:rsidR="004F418B" w:rsidRPr="00600F02">
        <w:t xml:space="preserve"> </w:t>
      </w:r>
      <w:r w:rsidR="004F418B">
        <w:t>monitoring</w:t>
      </w:r>
      <w:r w:rsidR="004F418B" w:rsidRPr="00600F02">
        <w:t xml:space="preserve"> </w:t>
      </w:r>
      <w:r w:rsidR="004F418B">
        <w:t>of</w:t>
      </w:r>
      <w:r w:rsidR="004F418B" w:rsidRPr="00600F02">
        <w:t xml:space="preserve"> emissions </w:t>
      </w:r>
      <w:r w:rsidR="004F418B">
        <w:t>is</w:t>
      </w:r>
      <w:r w:rsidR="004F418B" w:rsidRPr="00600F02">
        <w:t xml:space="preserve"> impractical; </w:t>
      </w:r>
      <w:r w:rsidR="004F418B">
        <w:t xml:space="preserve">(F) submit </w:t>
      </w:r>
      <w:r w:rsidR="004F418B" w:rsidRPr="00600F02">
        <w:t>compliance</w:t>
      </w:r>
      <w:r w:rsidR="004F418B">
        <w:t xml:space="preserve"> </w:t>
      </w:r>
      <w:r w:rsidR="004F418B" w:rsidRPr="00600F02">
        <w:t>certifications</w:t>
      </w:r>
      <w:r w:rsidR="004F418B">
        <w:t xml:space="preserve"> in</w:t>
      </w:r>
      <w:r w:rsidR="004F418B" w:rsidRPr="00600F02">
        <w:t xml:space="preserve"> accordance </w:t>
      </w:r>
      <w:r w:rsidR="004F418B">
        <w:t>with</w:t>
      </w:r>
      <w:r w:rsidR="004F418B" w:rsidRPr="00600F02">
        <w:t xml:space="preserve"> </w:t>
      </w:r>
      <w:r w:rsidR="004F418B">
        <w:t>section</w:t>
      </w:r>
      <w:r w:rsidR="004F418B" w:rsidRPr="00600F02">
        <w:t xml:space="preserve"> 114(a)(3); </w:t>
      </w:r>
      <w:r w:rsidR="004F418B">
        <w:t>and</w:t>
      </w:r>
      <w:r w:rsidR="004F418B" w:rsidRPr="00600F02">
        <w:t xml:space="preserve"> </w:t>
      </w:r>
      <w:r w:rsidR="004F418B">
        <w:t>(G)</w:t>
      </w:r>
      <w:r w:rsidR="004F418B" w:rsidRPr="00600F02">
        <w:t xml:space="preserve"> </w:t>
      </w:r>
      <w:r w:rsidR="004F418B">
        <w:t>provide</w:t>
      </w:r>
      <w:r w:rsidR="004F418B" w:rsidRPr="00600F02">
        <w:t xml:space="preserve"> </w:t>
      </w:r>
      <w:r w:rsidR="004F418B">
        <w:t xml:space="preserve">other </w:t>
      </w:r>
      <w:r w:rsidR="004F418B" w:rsidRPr="00600F02">
        <w:t>information</w:t>
      </w:r>
      <w:r w:rsidR="004F418B">
        <w:t xml:space="preserve"> as the</w:t>
      </w:r>
      <w:r w:rsidR="004F418B" w:rsidRPr="00600F02">
        <w:t xml:space="preserve"> Administrator</w:t>
      </w:r>
      <w:r w:rsidR="004F418B">
        <w:t xml:space="preserve"> </w:t>
      </w:r>
      <w:r w:rsidR="004F418B" w:rsidRPr="00600F02">
        <w:t>may</w:t>
      </w:r>
      <w:r w:rsidR="004F418B">
        <w:t xml:space="preserve"> reasonably require.</w:t>
      </w:r>
    </w:p>
    <w:p w14:paraId="4BFF1070" w14:textId="77777777" w:rsidR="00251C40" w:rsidRPr="004A02C7" w:rsidRDefault="00134F50" w:rsidP="00430471">
      <w:pPr>
        <w:pStyle w:val="Sectiona0"/>
      </w:pPr>
      <w:bookmarkStart w:id="8" w:name="(b)_Use/Users_of_the_Data"/>
      <w:bookmarkEnd w:id="8"/>
      <w:r>
        <w:t>(b)</w:t>
      </w:r>
      <w:r>
        <w:tab/>
      </w:r>
      <w:r w:rsidR="004F418B">
        <w:t>Use/Users of the Data</w:t>
      </w:r>
    </w:p>
    <w:p w14:paraId="13266E55" w14:textId="77777777" w:rsidR="00B73746" w:rsidRDefault="004F418B" w:rsidP="00D41A79">
      <w:pPr>
        <w:pStyle w:val="Paragraph"/>
      </w:pPr>
      <w:r>
        <w:t xml:space="preserve">As </w:t>
      </w:r>
      <w:r w:rsidRPr="00C51D5D">
        <w:t xml:space="preserve">mentioned </w:t>
      </w:r>
      <w:r w:rsidR="00AC164B" w:rsidRPr="00C51D5D">
        <w:t>above</w:t>
      </w:r>
      <w:r w:rsidRPr="00C51D5D">
        <w:t xml:space="preserve">, the data used for the originally promulgated NESHAP are outdated and do not reflect the significant changes in emissions collection and control configurations that have occurred since promulgation of the </w:t>
      </w:r>
      <w:r w:rsidR="000610C5" w:rsidRPr="00C51D5D">
        <w:t>NESHAP</w:t>
      </w:r>
      <w:r w:rsidRPr="00C51D5D">
        <w:t xml:space="preserve">. The </w:t>
      </w:r>
      <w:r w:rsidR="000610C5" w:rsidRPr="00C51D5D">
        <w:t xml:space="preserve">NESHAP </w:t>
      </w:r>
      <w:r w:rsidRPr="00C51D5D">
        <w:t>contain a number of compliance alternatives to allow for a variety of equipment configurations and process changes to be used in meeting the emission standards</w:t>
      </w:r>
      <w:r w:rsidR="004B799E">
        <w:t xml:space="preserve">. </w:t>
      </w:r>
      <w:r w:rsidR="00041E27">
        <w:t xml:space="preserve">The EPA is also required to address the </w:t>
      </w:r>
      <w:r w:rsidR="00041E27" w:rsidRPr="00041E27">
        <w:t>2007</w:t>
      </w:r>
      <w:r w:rsidR="00041E27">
        <w:t xml:space="preserve"> D.C</w:t>
      </w:r>
      <w:r w:rsidR="00D524F9">
        <w:t>.</w:t>
      </w:r>
      <w:r w:rsidR="00041E27">
        <w:t xml:space="preserve"> Circuit Court remand </w:t>
      </w:r>
      <w:r w:rsidR="00041E27" w:rsidRPr="00041E27">
        <w:t>order</w:t>
      </w:r>
      <w:r w:rsidR="00041E27">
        <w:t xml:space="preserve"> for the EPA to re-evaluate </w:t>
      </w:r>
      <w:r w:rsidR="00041E27" w:rsidRPr="00041E27">
        <w:t xml:space="preserve">MACT floors and standards for </w:t>
      </w:r>
      <w:r w:rsidR="00041E27">
        <w:t>several</w:t>
      </w:r>
      <w:r w:rsidR="00041E27" w:rsidRPr="00041E27">
        <w:t xml:space="preserve"> </w:t>
      </w:r>
      <w:r w:rsidR="00041E27">
        <w:t xml:space="preserve">“remanded” </w:t>
      </w:r>
      <w:r w:rsidR="00041E27" w:rsidRPr="00041E27">
        <w:t xml:space="preserve">PCWP process unit groups. </w:t>
      </w:r>
      <w:r w:rsidR="00E7339F">
        <w:t>The</w:t>
      </w:r>
      <w:r w:rsidR="00AC164B" w:rsidRPr="00C51D5D">
        <w:t xml:space="preserve"> </w:t>
      </w:r>
      <w:r w:rsidR="000610C5">
        <w:t xml:space="preserve">PCWP </w:t>
      </w:r>
      <w:r w:rsidR="000610C5" w:rsidRPr="00C51D5D">
        <w:t>NESHAP</w:t>
      </w:r>
      <w:r w:rsidR="00AC164B" w:rsidRPr="00C51D5D">
        <w:t xml:space="preserve"> required changes to</w:t>
      </w:r>
      <w:r w:rsidRPr="00C51D5D">
        <w:t xml:space="preserve"> effluent limitations under the Clean Water Act. </w:t>
      </w:r>
      <w:r w:rsidR="00E7339F">
        <w:t xml:space="preserve">Additionally, </w:t>
      </w:r>
      <w:r w:rsidR="00291867">
        <w:t xml:space="preserve">the CARB ATCM </w:t>
      </w:r>
      <w:r w:rsidR="00CB1185">
        <w:t xml:space="preserve">and the </w:t>
      </w:r>
      <w:r w:rsidR="00291867">
        <w:t xml:space="preserve">EPA’s TSCA implementation rule limit formaldehyde indoor-air emissions from composite wood products and have resulted in a shift to </w:t>
      </w:r>
      <w:r w:rsidR="00447136">
        <w:t xml:space="preserve">low emission adhesives, including </w:t>
      </w:r>
      <w:r w:rsidR="00291867">
        <w:t xml:space="preserve">ULEF and NAF resin systems at </w:t>
      </w:r>
      <w:r w:rsidR="00291867" w:rsidRPr="00291867">
        <w:t>hardwood plywood, MDF, and particleboard</w:t>
      </w:r>
      <w:r w:rsidR="00291867">
        <w:t xml:space="preserve"> products.</w:t>
      </w:r>
    </w:p>
    <w:p w14:paraId="44637DF5" w14:textId="1A90AE1C" w:rsidR="00EF26D9" w:rsidRDefault="004F418B" w:rsidP="00D41A79">
      <w:pPr>
        <w:pStyle w:val="Paragraph"/>
      </w:pPr>
      <w:r w:rsidRPr="00C51D5D">
        <w:t>At presen</w:t>
      </w:r>
      <w:r w:rsidR="00A524B0">
        <w:t>t, the EPA does not have a data</w:t>
      </w:r>
      <w:r w:rsidRPr="00C51D5D">
        <w:t>base reflecting the post-</w:t>
      </w:r>
      <w:r w:rsidR="000610C5" w:rsidRPr="00C51D5D">
        <w:t>NESHAP</w:t>
      </w:r>
      <w:r w:rsidRPr="00C51D5D">
        <w:t xml:space="preserve"> </w:t>
      </w:r>
      <w:r w:rsidR="00E26E4E">
        <w:t xml:space="preserve">and post-CARB </w:t>
      </w:r>
      <w:r w:rsidR="00566430">
        <w:t>(</w:t>
      </w:r>
      <w:r w:rsidR="00E26E4E">
        <w:t>or TSCA</w:t>
      </w:r>
      <w:r w:rsidR="00566430">
        <w:t xml:space="preserve"> implementation rule)</w:t>
      </w:r>
      <w:r w:rsidRPr="00C51D5D">
        <w:t xml:space="preserve"> configurations of </w:t>
      </w:r>
      <w:r w:rsidR="00CB789F" w:rsidRPr="00C51D5D">
        <w:t>PCWP</w:t>
      </w:r>
      <w:r w:rsidR="00CB789F">
        <w:t xml:space="preserve"> </w:t>
      </w:r>
      <w:r w:rsidR="00E26E4E">
        <w:t xml:space="preserve">resin systems, </w:t>
      </w:r>
      <w:r w:rsidRPr="00C51D5D">
        <w:t>emission</w:t>
      </w:r>
      <w:r w:rsidR="002F0B86">
        <w:t>s</w:t>
      </w:r>
      <w:r w:rsidRPr="00C51D5D">
        <w:t xml:space="preserve"> </w:t>
      </w:r>
      <w:r w:rsidR="002F0B86">
        <w:t>sources</w:t>
      </w:r>
      <w:r w:rsidR="00E26E4E">
        <w:t>,</w:t>
      </w:r>
      <w:r w:rsidRPr="00C51D5D">
        <w:t xml:space="preserve"> and air pollution control systems.</w:t>
      </w:r>
      <w:r w:rsidR="00041E27">
        <w:t xml:space="preserve"> </w:t>
      </w:r>
      <w:r w:rsidRPr="00C51D5D">
        <w:t>It is essential for the EPA to have updated information to use in the regulatory analyses required under CAA sections 112(d)</w:t>
      </w:r>
      <w:r w:rsidR="002365DD">
        <w:t>(2)-(3), 112(d)(6)</w:t>
      </w:r>
      <w:r w:rsidRPr="00C51D5D">
        <w:t xml:space="preserve"> and 112(f)(2). </w:t>
      </w:r>
      <w:r w:rsidR="002365DD">
        <w:t xml:space="preserve">The data would also support consideration of work practices under </w:t>
      </w:r>
      <w:r w:rsidR="003C13A5">
        <w:t xml:space="preserve">CAA section </w:t>
      </w:r>
      <w:r w:rsidR="002365DD">
        <w:t xml:space="preserve">112(h) to satisfy requirements under </w:t>
      </w:r>
      <w:r w:rsidR="003C13A5">
        <w:t xml:space="preserve">CAA sections </w:t>
      </w:r>
      <w:r w:rsidR="002365DD">
        <w:t xml:space="preserve">112(d)(2)-(3). </w:t>
      </w:r>
      <w:r w:rsidR="00041E27">
        <w:t>The EPA also needs information to develop standards for the remanded process unit groups, and to address the D.C</w:t>
      </w:r>
      <w:r w:rsidR="000610C5">
        <w:t>.</w:t>
      </w:r>
      <w:r w:rsidR="00041E27">
        <w:t xml:space="preserve"> Circuit Court’s vacatur of SSM provisions. T</w:t>
      </w:r>
      <w:r w:rsidRPr="00C51D5D">
        <w:t xml:space="preserve">he </w:t>
      </w:r>
      <w:r w:rsidR="00895383">
        <w:t>EPA</w:t>
      </w:r>
      <w:r w:rsidR="00895383" w:rsidRPr="00756C1C">
        <w:t xml:space="preserve"> </w:t>
      </w:r>
      <w:r w:rsidRPr="00C51D5D">
        <w:t xml:space="preserve">can make use of a single collection of information that would allow the </w:t>
      </w:r>
      <w:r w:rsidR="005E034D">
        <w:t>A</w:t>
      </w:r>
      <w:r w:rsidR="00895383" w:rsidRPr="00C51D5D">
        <w:t xml:space="preserve">gency </w:t>
      </w:r>
      <w:r w:rsidRPr="00C51D5D">
        <w:t xml:space="preserve">to consider control strategies that are the most effective for both HAP and </w:t>
      </w:r>
      <w:r w:rsidR="00977EEE" w:rsidRPr="00C51D5D">
        <w:t>effluent from pollution control devices</w:t>
      </w:r>
      <w:r w:rsidR="000610C5" w:rsidRPr="000610C5">
        <w:t xml:space="preserve"> </w:t>
      </w:r>
      <w:r w:rsidR="000610C5" w:rsidRPr="00C51D5D">
        <w:t>installed</w:t>
      </w:r>
      <w:r w:rsidR="000610C5">
        <w:t xml:space="preserve"> for compliance with the NESHAP</w:t>
      </w:r>
      <w:r w:rsidR="00041E27">
        <w:t xml:space="preserve">, and evaluate standards </w:t>
      </w:r>
      <w:r w:rsidR="0039278A">
        <w:t>(</w:t>
      </w:r>
      <w:r w:rsidR="0039278A" w:rsidRPr="00C60352">
        <w:rPr>
          <w:rStyle w:val="Italic"/>
        </w:rPr>
        <w:t>e.g.</w:t>
      </w:r>
      <w:r w:rsidR="0039278A">
        <w:t xml:space="preserve">, for the remanded </w:t>
      </w:r>
      <w:r w:rsidR="002F0B86" w:rsidRPr="00C51D5D">
        <w:t>emission</w:t>
      </w:r>
      <w:r w:rsidR="002F0B86">
        <w:t>s</w:t>
      </w:r>
      <w:r w:rsidR="002F0B86" w:rsidRPr="00C51D5D">
        <w:t xml:space="preserve"> </w:t>
      </w:r>
      <w:r w:rsidR="002F0B86">
        <w:t>sources</w:t>
      </w:r>
      <w:r w:rsidR="0039278A">
        <w:t xml:space="preserve">) </w:t>
      </w:r>
      <w:r w:rsidR="00041E27">
        <w:t>that are consistent with</w:t>
      </w:r>
      <w:r w:rsidR="0039278A">
        <w:t xml:space="preserve"> the advances in technology implemented to comply with the CARB ATCM and TSCA implementation rule</w:t>
      </w:r>
      <w:r w:rsidRPr="00C51D5D">
        <w:t xml:space="preserve">. The data would also allow the </w:t>
      </w:r>
      <w:r w:rsidR="00895383">
        <w:t>EPA</w:t>
      </w:r>
      <w:r w:rsidRPr="00C51D5D">
        <w:t xml:space="preserve"> to evaluate compliance options f</w:t>
      </w:r>
      <w:r w:rsidR="004E66B2">
        <w:t>or startup and shutdown periods</w:t>
      </w:r>
      <w:r w:rsidRPr="00C51D5D">
        <w:t xml:space="preserve"> and to consider ways to consolidate monitoring, reporting, and recordkeeping requirements </w:t>
      </w:r>
      <w:r w:rsidR="00622924">
        <w:t>for facilities subject to multiple requirements</w:t>
      </w:r>
      <w:r w:rsidRPr="00600F02">
        <w:t>.</w:t>
      </w:r>
    </w:p>
    <w:p w14:paraId="37E3F9FE" w14:textId="70E0C8B2" w:rsidR="00EF26D9" w:rsidRDefault="004F418B" w:rsidP="00134F50">
      <w:pPr>
        <w:pStyle w:val="Paragraph"/>
      </w:pPr>
      <w:r>
        <w:t xml:space="preserve">The </w:t>
      </w:r>
      <w:r w:rsidRPr="00C51D5D">
        <w:t xml:space="preserve">data collected will be used to update facility information and equipment configuration, develop new estimates of the population of affected units, and identify the control measures and alternative emission limits being used for compliance with the existing rules that </w:t>
      </w:r>
      <w:r w:rsidR="004B799E">
        <w:t xml:space="preserve">are under review. </w:t>
      </w:r>
      <w:r w:rsidRPr="00C51D5D">
        <w:t xml:space="preserve">This information, along with existing permitted emission limits will be used to establish a baseline for purposes of the regulatory reviews. The emissions test data (test reports and </w:t>
      </w:r>
      <w:r w:rsidR="00A01EAE" w:rsidRPr="00A01EAE">
        <w:t xml:space="preserve">continuous emission monitoring system </w:t>
      </w:r>
      <w:r w:rsidR="00A01EAE">
        <w:t>(</w:t>
      </w:r>
      <w:r w:rsidRPr="00C51D5D">
        <w:t>CEMS</w:t>
      </w:r>
      <w:r w:rsidR="00A01EAE">
        <w:t>)</w:t>
      </w:r>
      <w:r w:rsidRPr="00C51D5D">
        <w:t xml:space="preserve"> data) collected will be used to verify the performance of existing control measures, examine variability in emissions, evaluate emission limits, and to determine the performance of superior control measures considered for purposes of reducing residual risk</w:t>
      </w:r>
      <w:r w:rsidR="004B799E">
        <w:t>.</w:t>
      </w:r>
      <w:r w:rsidRPr="00C51D5D">
        <w:t xml:space="preserve"> </w:t>
      </w:r>
      <w:r w:rsidR="004B799E">
        <w:t xml:space="preserve">Emissions test data will also be used to formulate </w:t>
      </w:r>
      <w:r w:rsidRPr="00C51D5D">
        <w:t xml:space="preserve">options for </w:t>
      </w:r>
      <w:r w:rsidR="00977EEE" w:rsidRPr="00C51D5D">
        <w:t>MACT limits for the remanded PCWP process units</w:t>
      </w:r>
      <w:r w:rsidR="004B799E">
        <w:t xml:space="preserve"> that are feasible to test</w:t>
      </w:r>
      <w:r w:rsidRPr="00C51D5D">
        <w:t>.</w:t>
      </w:r>
      <w:r w:rsidR="004B799E">
        <w:t xml:space="preserve"> </w:t>
      </w:r>
      <w:r w:rsidRPr="00C51D5D">
        <w:t>Emissions data will also be used along</w:t>
      </w:r>
      <w:r w:rsidR="00977EEE" w:rsidRPr="00C51D5D">
        <w:t xml:space="preserve"> </w:t>
      </w:r>
      <w:r w:rsidRPr="00C51D5D">
        <w:t>with process unit details to consider subcategories for further regulation and to estimate the environmental and cost impacts associated with any regulatory options</w:t>
      </w:r>
      <w:r w:rsidRPr="00600F02">
        <w:t xml:space="preserve"> </w:t>
      </w:r>
      <w:r>
        <w:t>considered.</w:t>
      </w:r>
    </w:p>
    <w:p w14:paraId="3FFA64E2" w14:textId="6F1C9360" w:rsidR="00EF26D9" w:rsidRPr="00480183" w:rsidRDefault="004F418B" w:rsidP="00082A1F">
      <w:pPr>
        <w:pStyle w:val="Paragraph"/>
      </w:pPr>
      <w:r>
        <w:t>In</w:t>
      </w:r>
      <w:r w:rsidRPr="00C51D5D">
        <w:t xml:space="preserve"> addition to informing the CAA-required RTR regulatory analyses for the </w:t>
      </w:r>
      <w:r w:rsidR="00977EEE" w:rsidRPr="00C51D5D">
        <w:t>PCWP</w:t>
      </w:r>
      <w:r w:rsidR="00977EEE">
        <w:t xml:space="preserve"> </w:t>
      </w:r>
      <w:r w:rsidR="00977EEE" w:rsidRPr="00C51D5D">
        <w:t>categor</w:t>
      </w:r>
      <w:r w:rsidR="00F97C46">
        <w:t>y</w:t>
      </w:r>
      <w:r w:rsidRPr="00C51D5D">
        <w:t xml:space="preserve">, it is </w:t>
      </w:r>
      <w:r w:rsidR="00674C80">
        <w:t xml:space="preserve">the </w:t>
      </w:r>
      <w:r w:rsidRPr="00C51D5D">
        <w:t xml:space="preserve">EPA’s intent that the updates supplied through this information collection </w:t>
      </w:r>
      <w:r w:rsidR="00480183">
        <w:t xml:space="preserve">will be available for the affected industry and for state, local, and tribal agencies to </w:t>
      </w:r>
      <w:r w:rsidRPr="00C51D5D">
        <w:t xml:space="preserve">be used in future versions of the </w:t>
      </w:r>
      <w:r w:rsidR="00480183">
        <w:t>NEI</w:t>
      </w:r>
      <w:r w:rsidR="006E658B">
        <w:t>,</w:t>
      </w:r>
      <w:r w:rsidR="00480183">
        <w:t xml:space="preserve"> which is</w:t>
      </w:r>
      <w:r w:rsidR="00AD44D7">
        <w:t xml:space="preserve"> developed and</w:t>
      </w:r>
      <w:r w:rsidR="00480183">
        <w:t xml:space="preserve"> updated through the EIS</w:t>
      </w:r>
      <w:r w:rsidRPr="00C51D5D">
        <w:t xml:space="preserve">. The </w:t>
      </w:r>
      <w:r w:rsidR="00480183">
        <w:t>NEI</w:t>
      </w:r>
      <w:r w:rsidRPr="00C51D5D">
        <w:t xml:space="preserve"> is used by </w:t>
      </w:r>
      <w:r w:rsidR="00674C80">
        <w:t xml:space="preserve">the </w:t>
      </w:r>
      <w:r w:rsidRPr="00C51D5D">
        <w:t xml:space="preserve">EPA, </w:t>
      </w:r>
      <w:r w:rsidR="00622924" w:rsidRPr="00C51D5D">
        <w:t>state</w:t>
      </w:r>
      <w:r w:rsidRPr="00C51D5D">
        <w:t>s, and the public for a variety of purposes</w:t>
      </w:r>
      <w:r w:rsidR="00AD44D7">
        <w:t>,</w:t>
      </w:r>
      <w:r w:rsidRPr="00C51D5D">
        <w:t xml:space="preserve"> including tracking of national trends in </w:t>
      </w:r>
      <w:r w:rsidRPr="00480183">
        <w:t xml:space="preserve">emissions of criteria </w:t>
      </w:r>
      <w:r w:rsidR="006E658B" w:rsidRPr="00480183">
        <w:t xml:space="preserve">pollutants </w:t>
      </w:r>
      <w:r w:rsidRPr="00480183">
        <w:t xml:space="preserve">and </w:t>
      </w:r>
      <w:r w:rsidR="006E658B">
        <w:t>HAP</w:t>
      </w:r>
      <w:r w:rsidRPr="00480183">
        <w:t xml:space="preserve">. More information </w:t>
      </w:r>
      <w:r w:rsidR="00480183" w:rsidRPr="00480183">
        <w:t>o</w:t>
      </w:r>
      <w:r w:rsidRPr="00480183">
        <w:t xml:space="preserve">n the </w:t>
      </w:r>
      <w:r w:rsidR="00480183" w:rsidRPr="00480183">
        <w:t xml:space="preserve">NEI and </w:t>
      </w:r>
      <w:r w:rsidR="00977EEE" w:rsidRPr="00480183">
        <w:t>EIS</w:t>
      </w:r>
      <w:r w:rsidRPr="00480183">
        <w:t xml:space="preserve"> can be found at </w:t>
      </w:r>
      <w:hyperlink r:id="rId15" w:history="1">
        <w:r w:rsidR="000610C5" w:rsidRPr="00BA1C4A">
          <w:rPr>
            <w:rStyle w:val="Hyperlink"/>
          </w:rPr>
          <w:t>https://www.epa.gov/air-emissions-inventories/national-emissions-inventory</w:t>
        </w:r>
      </w:hyperlink>
      <w:r w:rsidR="000610C5">
        <w:t xml:space="preserve"> </w:t>
      </w:r>
      <w:r w:rsidR="00480183" w:rsidRPr="000610C5">
        <w:t xml:space="preserve">and </w:t>
      </w:r>
      <w:hyperlink r:id="rId16" w:history="1">
        <w:r w:rsidR="000610C5" w:rsidRPr="00BA1C4A">
          <w:rPr>
            <w:rStyle w:val="Hyperlink"/>
          </w:rPr>
          <w:t>https://www.epa.gov/air-emissions-inventories/emission-inventory-system-eis-gateway</w:t>
        </w:r>
      </w:hyperlink>
      <w:r w:rsidR="000610C5">
        <w:t>, respectively</w:t>
      </w:r>
      <w:r w:rsidR="00480183" w:rsidRPr="000610C5">
        <w:t>.</w:t>
      </w:r>
    </w:p>
    <w:p w14:paraId="03FD0341" w14:textId="77777777" w:rsidR="00EF26D9" w:rsidRDefault="004F418B" w:rsidP="00134F50">
      <w:pPr>
        <w:pStyle w:val="Paragraph"/>
      </w:pPr>
      <w:r>
        <w:t xml:space="preserve">The </w:t>
      </w:r>
      <w:r w:rsidRPr="00C51D5D">
        <w:t>non-confidential information collected with this ICR would also be available to the public, including industry trade groups that may find the information useful for their ongoing data gathering, analyses, and publications. In addition, such trade groups may wish to use the data collected to review and verify</w:t>
      </w:r>
      <w:r w:rsidR="00674C80">
        <w:t xml:space="preserve"> the</w:t>
      </w:r>
      <w:r w:rsidRPr="00C51D5D">
        <w:t xml:space="preserve"> EPA’s regulatory conclusions</w:t>
      </w:r>
      <w:r>
        <w:t>.</w:t>
      </w:r>
    </w:p>
    <w:p w14:paraId="1C727D3A" w14:textId="77777777" w:rsidR="00EF26D9" w:rsidRDefault="00134F50" w:rsidP="00430471">
      <w:pPr>
        <w:pStyle w:val="Section1"/>
      </w:pPr>
      <w:bookmarkStart w:id="9" w:name="3._Non-duplication,_Consultations,_and_O"/>
      <w:bookmarkEnd w:id="9"/>
      <w:r>
        <w:t>3.</w:t>
      </w:r>
      <w:r>
        <w:tab/>
      </w:r>
      <w:r w:rsidR="004F418B">
        <w:t xml:space="preserve">Non-duplication, </w:t>
      </w:r>
      <w:r w:rsidR="004F418B" w:rsidRPr="00600F02">
        <w:t>Consultations, and Other Collection Criteria</w:t>
      </w:r>
    </w:p>
    <w:p w14:paraId="6F3ADEC7" w14:textId="77777777" w:rsidR="00EF26D9" w:rsidRPr="004A02C7" w:rsidRDefault="00134F50" w:rsidP="00430471">
      <w:pPr>
        <w:pStyle w:val="Sectiona0"/>
      </w:pPr>
      <w:bookmarkStart w:id="10" w:name="(a)_Non-duplication_"/>
      <w:bookmarkEnd w:id="10"/>
      <w:r>
        <w:t>(a)</w:t>
      </w:r>
      <w:r>
        <w:tab/>
      </w:r>
      <w:r w:rsidR="004F418B">
        <w:t>Non-duplication</w:t>
      </w:r>
    </w:p>
    <w:p w14:paraId="408167C9" w14:textId="103FB8D3" w:rsidR="00EF26D9" w:rsidRDefault="004F418B" w:rsidP="00600F02">
      <w:pPr>
        <w:pStyle w:val="Paragraph"/>
      </w:pPr>
      <w:r>
        <w:t xml:space="preserve">The </w:t>
      </w:r>
      <w:r w:rsidR="00AD44D7">
        <w:t>A</w:t>
      </w:r>
      <w:r w:rsidR="00895383">
        <w:t>gency</w:t>
      </w:r>
      <w:r w:rsidRPr="00C51D5D">
        <w:t xml:space="preserve"> recognizes that </w:t>
      </w:r>
      <w:r w:rsidR="00480183">
        <w:t xml:space="preserve">a fraction </w:t>
      </w:r>
      <w:r w:rsidRPr="00C51D5D">
        <w:t xml:space="preserve">of the information requested in the information collection effort may already be included in the submittals made by individual companies, pursuant to </w:t>
      </w:r>
      <w:r w:rsidR="00622924" w:rsidRPr="00C51D5D">
        <w:t>state</w:t>
      </w:r>
      <w:r w:rsidRPr="00C51D5D">
        <w:t xml:space="preserve"> and national emission</w:t>
      </w:r>
      <w:r w:rsidR="002F0B86">
        <w:t>s</w:t>
      </w:r>
      <w:r w:rsidRPr="00C51D5D">
        <w:t xml:space="preserve"> inventories, operating permits applications, initial notification forms, and compliance reports. However, the complete extent of the data requested under this survey is not available in any consistent or usable format. Additionally, these sources </w:t>
      </w:r>
      <w:r w:rsidR="00622924">
        <w:t xml:space="preserve">of information </w:t>
      </w:r>
      <w:r w:rsidRPr="00C51D5D">
        <w:t xml:space="preserve">do not provide detailed emissions test data. As mentioned </w:t>
      </w:r>
      <w:r w:rsidR="003620B0" w:rsidRPr="00C51D5D">
        <w:t>above</w:t>
      </w:r>
      <w:r w:rsidRPr="00C51D5D">
        <w:t xml:space="preserve">, there is a lag time associated with </w:t>
      </w:r>
      <w:r w:rsidR="00622924" w:rsidRPr="00C51D5D">
        <w:t>state</w:t>
      </w:r>
      <w:r w:rsidRPr="00C51D5D">
        <w:t xml:space="preserve"> and national emission</w:t>
      </w:r>
      <w:r w:rsidR="002F0B86">
        <w:t>s</w:t>
      </w:r>
      <w:r w:rsidRPr="00C51D5D">
        <w:t xml:space="preserve"> inventories, and permit</w:t>
      </w:r>
      <w:r w:rsidR="00480183">
        <w:t xml:space="preserve"> review cycles. </w:t>
      </w:r>
      <w:r w:rsidRPr="00C51D5D">
        <w:t>There is also a lag time associated with obtaining emission</w:t>
      </w:r>
      <w:r w:rsidR="002F0B86">
        <w:t>s</w:t>
      </w:r>
      <w:r w:rsidRPr="00C51D5D">
        <w:t xml:space="preserve"> test reports from </w:t>
      </w:r>
      <w:r w:rsidR="00622924" w:rsidRPr="00C51D5D">
        <w:t>state</w:t>
      </w:r>
      <w:r w:rsidRPr="00C51D5D">
        <w:t xml:space="preserve"> agencies (</w:t>
      </w:r>
      <w:r w:rsidRPr="004E66B2">
        <w:rPr>
          <w:rStyle w:val="Italic"/>
        </w:rPr>
        <w:t>i.e.</w:t>
      </w:r>
      <w:r w:rsidRPr="00C51D5D">
        <w:t>, agencies may be reluctant to release emission</w:t>
      </w:r>
      <w:r w:rsidR="002F0B86">
        <w:t>s</w:t>
      </w:r>
      <w:r w:rsidRPr="00C51D5D">
        <w:t xml:space="preserve"> test results they have not yet processed). The EPA’s proposed information collection seeks up-to-date equipment configuration and operational data for the </w:t>
      </w:r>
      <w:r w:rsidR="003620B0" w:rsidRPr="00C51D5D">
        <w:t>201</w:t>
      </w:r>
      <w:r w:rsidR="006B2310">
        <w:t>6</w:t>
      </w:r>
      <w:r w:rsidR="00622924">
        <w:t xml:space="preserve"> operating year</w:t>
      </w:r>
      <w:r w:rsidRPr="00C51D5D">
        <w:t xml:space="preserve"> and thus avoids the effects of any such lag time on data availability. Although some </w:t>
      </w:r>
      <w:r w:rsidR="00622924" w:rsidRPr="00C51D5D">
        <w:t>state</w:t>
      </w:r>
      <w:r w:rsidRPr="00C51D5D">
        <w:t xml:space="preserve"> permits are provided to the public as searchable portable document format </w:t>
      </w:r>
      <w:r w:rsidR="00F33FE8" w:rsidRPr="00C51D5D">
        <w:t>(pdf)</w:t>
      </w:r>
      <w:r w:rsidR="00F33FE8">
        <w:t xml:space="preserve"> </w:t>
      </w:r>
      <w:r w:rsidRPr="00C51D5D">
        <w:t xml:space="preserve">files, </w:t>
      </w:r>
      <w:r w:rsidR="00AD44D7">
        <w:t>some</w:t>
      </w:r>
      <w:r w:rsidR="00AD44D7" w:rsidRPr="00C51D5D">
        <w:t xml:space="preserve"> </w:t>
      </w:r>
      <w:r w:rsidR="00622924" w:rsidRPr="00C51D5D">
        <w:t>state</w:t>
      </w:r>
      <w:r w:rsidRPr="00C51D5D">
        <w:t xml:space="preserve">s do not provide electronic versions of their issued </w:t>
      </w:r>
      <w:r w:rsidR="00F33FE8">
        <w:t>t</w:t>
      </w:r>
      <w:r w:rsidRPr="00C51D5D">
        <w:t>itle V permits. Even when the permit is available, the unit-specific operating data are often not contained within the permit.</w:t>
      </w:r>
      <w:r w:rsidR="00480183">
        <w:t xml:space="preserve"> </w:t>
      </w:r>
      <w:r w:rsidRPr="00C51D5D">
        <w:t>Some of the initial notifications and compliance reports s</w:t>
      </w:r>
      <w:r w:rsidR="00622924">
        <w:t xml:space="preserve">ubmitted are available in hard </w:t>
      </w:r>
      <w:r w:rsidRPr="00C51D5D">
        <w:t xml:space="preserve">copy only, </w:t>
      </w:r>
      <w:r w:rsidR="00480183">
        <w:t>where</w:t>
      </w:r>
      <w:r w:rsidRPr="00C51D5D">
        <w:t xml:space="preserve"> only the facility-level information (facility name, location, contact) is available in an electronic format. In order to address SSM issues</w:t>
      </w:r>
      <w:r w:rsidR="00480183">
        <w:t xml:space="preserve"> when reviewing another rule</w:t>
      </w:r>
      <w:r w:rsidRPr="00C51D5D">
        <w:t xml:space="preserve">, the </w:t>
      </w:r>
      <w:r w:rsidR="00895383">
        <w:t>EPA</w:t>
      </w:r>
      <w:r w:rsidRPr="00C51D5D">
        <w:t xml:space="preserve"> obtained</w:t>
      </w:r>
      <w:r w:rsidR="003620B0" w:rsidRPr="00C51D5D">
        <w:t xml:space="preserve"> </w:t>
      </w:r>
      <w:r w:rsidRPr="00C51D5D">
        <w:t>semi-annual compliance</w:t>
      </w:r>
      <w:r w:rsidR="00480183">
        <w:t xml:space="preserve"> reports </w:t>
      </w:r>
      <w:r w:rsidRPr="00C51D5D">
        <w:t>and found the reports to contain a widely varying level of detail. Such variation in the level of detail of permits and compliance reports means that it would be extremely time</w:t>
      </w:r>
      <w:r w:rsidR="006F7608">
        <w:t>-</w:t>
      </w:r>
      <w:r w:rsidRPr="00C51D5D">
        <w:t xml:space="preserve">consuming for the </w:t>
      </w:r>
      <w:r w:rsidR="00895383">
        <w:t>EPA</w:t>
      </w:r>
      <w:r w:rsidRPr="00C51D5D">
        <w:t xml:space="preserve"> to extract the level of process detail needed for regulatory analyses from existing documents (assuming that these documents were readily available to </w:t>
      </w:r>
      <w:r w:rsidR="00674C80">
        <w:t xml:space="preserve">the </w:t>
      </w:r>
      <w:r w:rsidRPr="00C51D5D">
        <w:t>EPA), and that significant data gaps would remain even after data from existing documents were compiled</w:t>
      </w:r>
      <w:r>
        <w:t>.</w:t>
      </w:r>
    </w:p>
    <w:p w14:paraId="3F776EA6" w14:textId="4EFD4415" w:rsidR="00EF26D9" w:rsidRDefault="004F418B" w:rsidP="00082A1F">
      <w:pPr>
        <w:pStyle w:val="Paragraph"/>
      </w:pPr>
      <w:r w:rsidRPr="00600F02">
        <w:t>Emissions</w:t>
      </w:r>
      <w:r>
        <w:t xml:space="preserve"> </w:t>
      </w:r>
      <w:r w:rsidRPr="00C51D5D">
        <w:t>test reports are</w:t>
      </w:r>
      <w:r w:rsidR="00D524F9">
        <w:t xml:space="preserve"> also</w:t>
      </w:r>
      <w:r w:rsidRPr="00C51D5D">
        <w:t xml:space="preserve"> often retained as hard copies by </w:t>
      </w:r>
      <w:r w:rsidR="00622924" w:rsidRPr="00C51D5D">
        <w:t>state</w:t>
      </w:r>
      <w:r w:rsidRPr="00C51D5D">
        <w:t xml:space="preserve"> agencies and thus are not readily available for all </w:t>
      </w:r>
      <w:r w:rsidR="00D1216F">
        <w:t>facilities</w:t>
      </w:r>
      <w:r w:rsidRPr="00C51D5D">
        <w:t xml:space="preserve">. Although one industry trade organization (National Council for Air and Stream </w:t>
      </w:r>
      <w:r w:rsidRPr="00656B4D">
        <w:t xml:space="preserve">Improvement </w:t>
      </w:r>
      <w:r w:rsidR="00656B4D" w:rsidRPr="00656B4D">
        <w:t>[</w:t>
      </w:r>
      <w:r w:rsidRPr="00656B4D">
        <w:t>NCASI</w:t>
      </w:r>
      <w:r w:rsidRPr="00C51D5D">
        <w:t>]) collects and compiles emissions test</w:t>
      </w:r>
      <w:r w:rsidR="00344AA6" w:rsidRPr="00C51D5D">
        <w:t xml:space="preserve"> </w:t>
      </w:r>
      <w:r w:rsidRPr="00C51D5D">
        <w:t>data in technical bulletins, these bulletins alone (while quite informative and valuable) do not</w:t>
      </w:r>
      <w:r w:rsidR="00344AA6" w:rsidRPr="00C51D5D">
        <w:t xml:space="preserve"> </w:t>
      </w:r>
      <w:r w:rsidRPr="00C51D5D">
        <w:t xml:space="preserve">inform all of </w:t>
      </w:r>
      <w:r w:rsidR="00674C80">
        <w:t xml:space="preserve">the </w:t>
      </w:r>
      <w:r w:rsidRPr="00C51D5D">
        <w:t xml:space="preserve">EPA’s emissions data analyses because: (1) the NCASI technical bulletins are coded to mask </w:t>
      </w:r>
      <w:r w:rsidR="00D1216F">
        <w:t>facility</w:t>
      </w:r>
      <w:r w:rsidRPr="00C51D5D">
        <w:t xml:space="preserve"> identities</w:t>
      </w:r>
      <w:r w:rsidR="00D524F9">
        <w:t>,</w:t>
      </w:r>
      <w:r w:rsidRPr="00C51D5D">
        <w:t xml:space="preserve"> such that the emissions data cannot be reconciled with other emissions data available to </w:t>
      </w:r>
      <w:r w:rsidR="00674C80">
        <w:t xml:space="preserve">the </w:t>
      </w:r>
      <w:r w:rsidRPr="00C51D5D">
        <w:t xml:space="preserve">EPA; (2) the data contained in the NCASI reports may not be reported in the units of measure needed for analysis of emission limits; (3) much of the data pre-dates implementation of the </w:t>
      </w:r>
      <w:r w:rsidR="000610C5" w:rsidRPr="00C51D5D">
        <w:t>NESHAP</w:t>
      </w:r>
      <w:r w:rsidRPr="00C51D5D">
        <w:t xml:space="preserve">, and (4) the data are generally representative of NCASI member </w:t>
      </w:r>
      <w:r w:rsidR="00D1216F">
        <w:t>facilities</w:t>
      </w:r>
      <w:r w:rsidR="006F7608">
        <w:t>,</w:t>
      </w:r>
      <w:r w:rsidRPr="00C51D5D">
        <w:t xml:space="preserve"> whereas information collected by </w:t>
      </w:r>
      <w:r w:rsidR="00674C80">
        <w:t xml:space="preserve">the </w:t>
      </w:r>
      <w:r w:rsidRPr="00C51D5D">
        <w:t>EPA would be requested from the entire population of affected</w:t>
      </w:r>
      <w:r w:rsidRPr="00600F02">
        <w:t xml:space="preserve"> </w:t>
      </w:r>
      <w:r w:rsidR="00D1216F" w:rsidRPr="00600F02">
        <w:t>facilities</w:t>
      </w:r>
      <w:r w:rsidR="00674C80" w:rsidRPr="00600F02">
        <w:t xml:space="preserve">. </w:t>
      </w:r>
      <w:r w:rsidR="000610C5">
        <w:t>E</w:t>
      </w:r>
      <w:r w:rsidR="008313CB" w:rsidRPr="00600F02">
        <w:t xml:space="preserve">missions test data collected by NCASI </w:t>
      </w:r>
      <w:r w:rsidR="000610C5">
        <w:t xml:space="preserve">before development of the PCWP NESHAP </w:t>
      </w:r>
      <w:r w:rsidR="008313CB" w:rsidRPr="00600F02">
        <w:t xml:space="preserve">were combined with emissions test reports collected by the EPA </w:t>
      </w:r>
      <w:r w:rsidR="000610C5">
        <w:t xml:space="preserve">before development of the PCWP NESHAP </w:t>
      </w:r>
      <w:r w:rsidR="008313CB" w:rsidRPr="00600F02">
        <w:t>and used to update the EPA’s AP-42 emission factor documentation for the PCWP industry. While these emission factors are useful for purposes of developing emission</w:t>
      </w:r>
      <w:r w:rsidR="002F0B86">
        <w:t>s</w:t>
      </w:r>
      <w:r w:rsidR="008313CB" w:rsidRPr="00600F02">
        <w:t xml:space="preserve"> estimates, they do not reflect changes to the industry that have occurred over the past decade (</w:t>
      </w:r>
      <w:r w:rsidR="008313CB" w:rsidRPr="004E66B2">
        <w:rPr>
          <w:rStyle w:val="Italic"/>
        </w:rPr>
        <w:t>i.e.</w:t>
      </w:r>
      <w:r w:rsidR="008313CB" w:rsidRPr="00600F02">
        <w:t xml:space="preserve">, implementation of </w:t>
      </w:r>
      <w:r w:rsidR="000610C5">
        <w:t xml:space="preserve">the PCWP NESHAP </w:t>
      </w:r>
      <w:r w:rsidR="00656B4D">
        <w:t>and the CARB ATCM</w:t>
      </w:r>
      <w:r w:rsidR="00223230">
        <w:t>/TSCA Title VI Amendments</w:t>
      </w:r>
      <w:r w:rsidR="00656B4D">
        <w:t>)</w:t>
      </w:r>
      <w:r w:rsidR="008313CB" w:rsidRPr="00600F02">
        <w:t>.</w:t>
      </w:r>
    </w:p>
    <w:p w14:paraId="63DCADF8" w14:textId="27A66588" w:rsidR="00EF26D9" w:rsidRDefault="004F418B" w:rsidP="00082A1F">
      <w:pPr>
        <w:pStyle w:val="Paragraph"/>
      </w:pPr>
      <w:r>
        <w:t>To</w:t>
      </w:r>
      <w:r w:rsidRPr="00600F02">
        <w:t xml:space="preserve"> summarize, </w:t>
      </w:r>
      <w:r>
        <w:t>the</w:t>
      </w:r>
      <w:r w:rsidRPr="00600F02">
        <w:t xml:space="preserve"> information </w:t>
      </w:r>
      <w:r>
        <w:t>requested</w:t>
      </w:r>
      <w:r w:rsidRPr="00600F02">
        <w:t xml:space="preserve"> relevant</w:t>
      </w:r>
      <w:r>
        <w:t xml:space="preserve"> to </w:t>
      </w:r>
      <w:r w:rsidRPr="00600F02">
        <w:t>the</w:t>
      </w:r>
      <w:r>
        <w:t xml:space="preserve"> </w:t>
      </w:r>
      <w:r w:rsidRPr="00600F02">
        <w:t>current</w:t>
      </w:r>
      <w:r>
        <w:t xml:space="preserve"> </w:t>
      </w:r>
      <w:r w:rsidRPr="00600F02">
        <w:t>(post-</w:t>
      </w:r>
      <w:r w:rsidR="000610C5">
        <w:t>PCWP NESHAP</w:t>
      </w:r>
      <w:r w:rsidRPr="00600F02">
        <w:t>)</w:t>
      </w:r>
      <w:r>
        <w:t xml:space="preserve"> </w:t>
      </w:r>
      <w:r w:rsidRPr="00600F02">
        <w:t xml:space="preserve">equipment configuration and operation, </w:t>
      </w:r>
      <w:r w:rsidR="00E4757B" w:rsidRPr="00600F02">
        <w:t xml:space="preserve">resin systems in use, </w:t>
      </w:r>
      <w:r w:rsidRPr="00E4757B">
        <w:t>regulatory alternatives, emissions data, and effectiveness of various control systems at removing HAP is not readily</w:t>
      </w:r>
      <w:r w:rsidR="00E4757B" w:rsidRPr="00E4757B">
        <w:t xml:space="preserve"> available from other sources. </w:t>
      </w:r>
      <w:r w:rsidRPr="00E4757B">
        <w:t xml:space="preserve">In the absence of an industry data collection, the EPA would be forced to try to obtain permits, compliance reports, and emissions test reports from </w:t>
      </w:r>
      <w:r w:rsidR="00622924" w:rsidRPr="00E4757B">
        <w:t>state</w:t>
      </w:r>
      <w:r w:rsidRPr="00E4757B">
        <w:t>s; extract information from these reports (which vary in detail); and then to fill data gaps where information is not available from the reports obtaine</w:t>
      </w:r>
      <w:r w:rsidRPr="00600F02">
        <w:t>d.</w:t>
      </w:r>
      <w:r w:rsidR="00CE479C">
        <w:t xml:space="preserve"> </w:t>
      </w:r>
      <w:r w:rsidRPr="00600F02">
        <w:t xml:space="preserve">This process of acquiring and extracting data </w:t>
      </w:r>
      <w:r>
        <w:t xml:space="preserve">from existing reports would require </w:t>
      </w:r>
      <w:r w:rsidRPr="00600F02">
        <w:t>more</w:t>
      </w:r>
      <w:r>
        <w:t xml:space="preserve"> </w:t>
      </w:r>
      <w:r w:rsidRPr="00600F02">
        <w:t>time</w:t>
      </w:r>
      <w:r>
        <w:t xml:space="preserve"> than</w:t>
      </w:r>
      <w:r w:rsidRPr="00600F02">
        <w:t xml:space="preserve"> </w:t>
      </w:r>
      <w:r>
        <w:t>an</w:t>
      </w:r>
      <w:r w:rsidRPr="00600F02">
        <w:t xml:space="preserve"> </w:t>
      </w:r>
      <w:r>
        <w:t>industry</w:t>
      </w:r>
      <w:r w:rsidRPr="00600F02">
        <w:t xml:space="preserve"> </w:t>
      </w:r>
      <w:r>
        <w:t>data</w:t>
      </w:r>
      <w:r w:rsidRPr="00600F02">
        <w:t xml:space="preserve"> </w:t>
      </w:r>
      <w:r>
        <w:t>collection,</w:t>
      </w:r>
      <w:r w:rsidRPr="00600F02">
        <w:t xml:space="preserve"> </w:t>
      </w:r>
      <w:r>
        <w:t>and</w:t>
      </w:r>
      <w:r w:rsidRPr="00600F02">
        <w:t xml:space="preserve"> ultimately</w:t>
      </w:r>
      <w:r>
        <w:t xml:space="preserve"> would be expected to yield </w:t>
      </w:r>
      <w:r w:rsidRPr="00600F02">
        <w:t>incomplete</w:t>
      </w:r>
      <w:r>
        <w:t xml:space="preserve"> </w:t>
      </w:r>
      <w:r w:rsidR="00CE479C" w:rsidRPr="00600F02">
        <w:t>information</w:t>
      </w:r>
      <w:r w:rsidR="00E044CE">
        <w:t>.</w:t>
      </w:r>
      <w:r w:rsidR="00CE479C" w:rsidRPr="00600F02">
        <w:t xml:space="preserve"> </w:t>
      </w:r>
      <w:r w:rsidR="00C13041" w:rsidRPr="00600F02">
        <w:t xml:space="preserve">Further, the </w:t>
      </w:r>
      <w:r w:rsidR="00E044CE">
        <w:t xml:space="preserve">RTR for the </w:t>
      </w:r>
      <w:r w:rsidR="000674E5" w:rsidRPr="00C51D5D">
        <w:t>PCWP</w:t>
      </w:r>
      <w:r w:rsidR="000674E5" w:rsidRPr="009910CA">
        <w:t xml:space="preserve"> </w:t>
      </w:r>
      <w:r w:rsidR="000674E5">
        <w:t>N</w:t>
      </w:r>
      <w:r w:rsidR="000674E5" w:rsidRPr="00C51D5D">
        <w:t xml:space="preserve">ESHAP </w:t>
      </w:r>
      <w:r w:rsidR="00E044CE">
        <w:t xml:space="preserve">is court-ordered by the </w:t>
      </w:r>
      <w:r w:rsidR="00C13041" w:rsidRPr="00600F02">
        <w:t>U.S. District Court of Washington D.C</w:t>
      </w:r>
      <w:r w:rsidR="00D524F9">
        <w:t>.</w:t>
      </w:r>
      <w:r w:rsidR="00E044CE">
        <w:t xml:space="preserve"> to be completed no later than June 30, 2020</w:t>
      </w:r>
      <w:r w:rsidR="00674C80">
        <w:t>.</w:t>
      </w:r>
      <w:r w:rsidR="00E044CE">
        <w:rPr>
          <w:rStyle w:val="FootnoteReference"/>
        </w:rPr>
        <w:footnoteReference w:id="3"/>
      </w:r>
      <w:r w:rsidR="00C13041" w:rsidRPr="00600F02">
        <w:t xml:space="preserve">. </w:t>
      </w:r>
      <w:r w:rsidRPr="00C51D5D">
        <w:t xml:space="preserve">Information collected directly from </w:t>
      </w:r>
      <w:r w:rsidR="00344AA6" w:rsidRPr="00C51D5D">
        <w:t xml:space="preserve">PCWP </w:t>
      </w:r>
      <w:r w:rsidR="00D1216F">
        <w:t>facilities</w:t>
      </w:r>
      <w:r w:rsidRPr="00C51D5D">
        <w:t xml:space="preserve"> would provide the </w:t>
      </w:r>
      <w:r w:rsidR="00533AC3" w:rsidRPr="00C51D5D">
        <w:t>timeliest</w:t>
      </w:r>
      <w:r w:rsidRPr="00C51D5D">
        <w:t xml:space="preserve"> and complete </w:t>
      </w:r>
      <w:r w:rsidR="000610C5">
        <w:t>current</w:t>
      </w:r>
      <w:r w:rsidRPr="00C51D5D">
        <w:t xml:space="preserve"> data set with the greatest practical utility for purposes of performing the RTR </w:t>
      </w:r>
      <w:r w:rsidR="00513AAA" w:rsidRPr="00C51D5D">
        <w:t xml:space="preserve">regulatory analyses </w:t>
      </w:r>
      <w:r w:rsidRPr="00C51D5D">
        <w:t>that are due to be completed under CAA sections 112(d)</w:t>
      </w:r>
      <w:r w:rsidR="002365DD">
        <w:t>(6)</w:t>
      </w:r>
      <w:r w:rsidRPr="00C51D5D">
        <w:t xml:space="preserve"> and (</w:t>
      </w:r>
      <w:r>
        <w:t>f)(2).</w:t>
      </w:r>
      <w:r w:rsidR="00E46F61">
        <w:t xml:space="preserve"> In addition to conducting the RTR, the data would allow the EPA to simultaneously address the remand to evaluate standards under CAA section</w:t>
      </w:r>
      <w:r w:rsidR="003C13A5">
        <w:t>s</w:t>
      </w:r>
      <w:r w:rsidR="00E46F61">
        <w:t xml:space="preserve"> 112(d)(2)-(3) and consider </w:t>
      </w:r>
      <w:r w:rsidR="003C13A5">
        <w:t xml:space="preserve">CAA section </w:t>
      </w:r>
      <w:r w:rsidR="00E46F61">
        <w:t>112(h) work practices for remanded units, as a matter of efficien</w:t>
      </w:r>
      <w:r w:rsidR="003C13A5">
        <w:t>c</w:t>
      </w:r>
      <w:r w:rsidR="00E46F61">
        <w:t xml:space="preserve">y </w:t>
      </w:r>
      <w:r w:rsidR="00F55EA2">
        <w:t xml:space="preserve">and </w:t>
      </w:r>
      <w:r w:rsidR="00E46F61">
        <w:t>to provide regulatory certainty for the affected industry.</w:t>
      </w:r>
      <w:r w:rsidR="00836CA7">
        <w:t xml:space="preserve"> The data would allow the EPA to conduct its risk and technology reviews for all process units in the category, including the remanded units. Conducting a simultaneous RTR for both the regulated and the remanded sources would allow </w:t>
      </w:r>
      <w:r w:rsidR="00482F70">
        <w:t xml:space="preserve">the </w:t>
      </w:r>
      <w:r w:rsidR="00836CA7">
        <w:t>EPA to avoid the burden of conducting a second RTR for the remanded sources in the future.</w:t>
      </w:r>
    </w:p>
    <w:p w14:paraId="240AF0DE" w14:textId="77777777" w:rsidR="00EF26D9" w:rsidRPr="004A02C7" w:rsidRDefault="00600F02" w:rsidP="00430471">
      <w:pPr>
        <w:pStyle w:val="Sectiona0"/>
      </w:pPr>
      <w:bookmarkStart w:id="11" w:name="(b)_Public_Notice_Required_Prior_to_ICR_"/>
      <w:bookmarkEnd w:id="11"/>
      <w:r>
        <w:t>(b)</w:t>
      </w:r>
      <w:r>
        <w:tab/>
      </w:r>
      <w:r w:rsidR="004F418B">
        <w:t>Public</w:t>
      </w:r>
      <w:r w:rsidR="004F418B" w:rsidRPr="00600F02">
        <w:t xml:space="preserve"> </w:t>
      </w:r>
      <w:r w:rsidR="004F418B">
        <w:t>Notice</w:t>
      </w:r>
      <w:r w:rsidR="004F418B" w:rsidRPr="00600F02">
        <w:t xml:space="preserve"> </w:t>
      </w:r>
      <w:r w:rsidR="004F418B">
        <w:t>Required</w:t>
      </w:r>
      <w:r w:rsidR="004F418B" w:rsidRPr="00600F02">
        <w:t xml:space="preserve"> </w:t>
      </w:r>
      <w:r w:rsidR="004F418B">
        <w:t>Prior</w:t>
      </w:r>
      <w:r w:rsidR="004F418B" w:rsidRPr="00600F02">
        <w:t xml:space="preserve"> </w:t>
      </w:r>
      <w:r w:rsidR="004F418B">
        <w:t>to</w:t>
      </w:r>
      <w:r w:rsidR="004F418B" w:rsidRPr="00600F02">
        <w:t xml:space="preserve"> </w:t>
      </w:r>
      <w:r w:rsidR="004F418B">
        <w:t>ICR</w:t>
      </w:r>
      <w:r w:rsidR="004F418B" w:rsidRPr="00600F02">
        <w:t xml:space="preserve"> </w:t>
      </w:r>
      <w:r w:rsidR="004F418B">
        <w:t>Submission</w:t>
      </w:r>
      <w:r w:rsidR="004F418B" w:rsidRPr="00600F02">
        <w:t xml:space="preserve"> </w:t>
      </w:r>
      <w:r w:rsidR="004F418B">
        <w:t>to</w:t>
      </w:r>
      <w:r w:rsidR="004F418B" w:rsidRPr="00600F02">
        <w:t xml:space="preserve"> </w:t>
      </w:r>
      <w:r w:rsidR="004F418B">
        <w:t>OMB</w:t>
      </w:r>
    </w:p>
    <w:p w14:paraId="52C72C18" w14:textId="14611572" w:rsidR="00EF26D9" w:rsidRDefault="004F418B" w:rsidP="00600F02">
      <w:pPr>
        <w:pStyle w:val="Paragraph"/>
      </w:pPr>
      <w:r>
        <w:t>This</w:t>
      </w:r>
      <w:r w:rsidRPr="00600F02">
        <w:t xml:space="preserve"> </w:t>
      </w:r>
      <w:r w:rsidRPr="00C51D5D">
        <w:t xml:space="preserve">ICR is being submitted </w:t>
      </w:r>
      <w:r w:rsidR="00BA45C7">
        <w:t xml:space="preserve">to </w:t>
      </w:r>
      <w:r w:rsidR="00BA45C7" w:rsidRPr="005379D7">
        <w:t xml:space="preserve">the </w:t>
      </w:r>
      <w:r w:rsidR="00BA45C7">
        <w:t>Office of Management and Budget (</w:t>
      </w:r>
      <w:r w:rsidR="00BA45C7" w:rsidRPr="005379D7">
        <w:t>OMB</w:t>
      </w:r>
      <w:r w:rsidR="00BA45C7">
        <w:t>)</w:t>
      </w:r>
      <w:r w:rsidRPr="00C51D5D">
        <w:t xml:space="preserve"> as required by the Paperwork Reduction Act of 1995 (PRA) and the subsequent rule issued by the OMB on August 29, 1995 (60 FR 44978)</w:t>
      </w:r>
      <w:r w:rsidR="00674C80">
        <w:t xml:space="preserve">. The </w:t>
      </w:r>
      <w:r w:rsidRPr="00C51D5D">
        <w:t xml:space="preserve">EPA </w:t>
      </w:r>
      <w:r w:rsidR="00BA45C7">
        <w:t>previously submitted the draft ICR for public review, and the ICR being submitted to the OMB includes revisions to</w:t>
      </w:r>
      <w:r w:rsidRPr="00C51D5D">
        <w:t xml:space="preserve"> address </w:t>
      </w:r>
      <w:r w:rsidR="00BA45C7">
        <w:t xml:space="preserve">the </w:t>
      </w:r>
      <w:r w:rsidRPr="00C51D5D">
        <w:t xml:space="preserve">public comments </w:t>
      </w:r>
      <w:r w:rsidR="00BA45C7">
        <w:t>received during that review period</w:t>
      </w:r>
      <w:r>
        <w:t>.</w:t>
      </w:r>
    </w:p>
    <w:p w14:paraId="3DF37E71" w14:textId="77777777" w:rsidR="00EF26D9" w:rsidRPr="004A02C7" w:rsidRDefault="00600F02" w:rsidP="00430471">
      <w:pPr>
        <w:pStyle w:val="Sectiona0"/>
      </w:pPr>
      <w:bookmarkStart w:id="12" w:name="(c)_Consultations_"/>
      <w:bookmarkEnd w:id="12"/>
      <w:r>
        <w:t>(c)</w:t>
      </w:r>
      <w:r>
        <w:tab/>
      </w:r>
      <w:r w:rsidR="004F418B">
        <w:t>Consultations</w:t>
      </w:r>
    </w:p>
    <w:p w14:paraId="41469A34" w14:textId="677CC16A" w:rsidR="00EF26D9" w:rsidRDefault="00C51D5D" w:rsidP="00600F02">
      <w:pPr>
        <w:pStyle w:val="Paragraph"/>
      </w:pPr>
      <w:r>
        <w:t xml:space="preserve">The </w:t>
      </w:r>
      <w:r w:rsidR="00C13041" w:rsidRPr="00C51D5D">
        <w:t>EPA has been in ongoing consultation with</w:t>
      </w:r>
      <w:r w:rsidR="004F418B" w:rsidRPr="00C51D5D">
        <w:t xml:space="preserve"> the affected industry regarding the scope of survey. </w:t>
      </w:r>
      <w:r w:rsidR="00BA45C7">
        <w:t>In addition, as noted previously, the public was given a</w:t>
      </w:r>
      <w:r w:rsidR="004F418B" w:rsidRPr="00C51D5D">
        <w:t xml:space="preserve">n opportunity </w:t>
      </w:r>
      <w:r w:rsidR="00BA45C7">
        <w:t>to provide</w:t>
      </w:r>
      <w:r w:rsidR="004F418B" w:rsidRPr="00C51D5D">
        <w:t xml:space="preserve"> detailed comments on the electronic survey</w:t>
      </w:r>
      <w:r w:rsidR="00BA45C7">
        <w:t>,</w:t>
      </w:r>
      <w:r w:rsidR="004F418B" w:rsidRPr="00C51D5D">
        <w:t xml:space="preserve"> </w:t>
      </w:r>
      <w:r w:rsidR="00BA45C7">
        <w:t>and the EPA has considered and addressed those</w:t>
      </w:r>
      <w:r w:rsidR="004F418B" w:rsidRPr="00C51D5D">
        <w:t xml:space="preserve"> comment</w:t>
      </w:r>
      <w:r w:rsidR="00BA45C7">
        <w:t>s</w:t>
      </w:r>
      <w:r w:rsidR="004F418B" w:rsidRPr="00600F02">
        <w:t>.</w:t>
      </w:r>
    </w:p>
    <w:p w14:paraId="4C969EF9" w14:textId="77777777" w:rsidR="00EF26D9" w:rsidRPr="004A02C7" w:rsidRDefault="00600F02" w:rsidP="00430471">
      <w:pPr>
        <w:pStyle w:val="Sectiona0"/>
      </w:pPr>
      <w:bookmarkStart w:id="13" w:name="(d)_Effects_of_Less_Frequent_Collection"/>
      <w:bookmarkEnd w:id="13"/>
      <w:r>
        <w:t>(d)</w:t>
      </w:r>
      <w:r>
        <w:tab/>
      </w:r>
      <w:r w:rsidR="004F418B">
        <w:t>Effects of Less Frequent</w:t>
      </w:r>
      <w:r w:rsidR="004F418B" w:rsidRPr="00600F02">
        <w:t xml:space="preserve"> </w:t>
      </w:r>
      <w:r w:rsidR="004F418B">
        <w:t>Collection</w:t>
      </w:r>
    </w:p>
    <w:p w14:paraId="495D8761" w14:textId="0FA1D064" w:rsidR="00EF26D9" w:rsidRDefault="004F418B" w:rsidP="00082A1F">
      <w:pPr>
        <w:pStyle w:val="Paragraph"/>
      </w:pPr>
      <w:r>
        <w:t>This ICR will require the</w:t>
      </w:r>
      <w:r w:rsidRPr="00600F02">
        <w:t xml:space="preserve"> </w:t>
      </w:r>
      <w:r>
        <w:t>owner/operator of each</w:t>
      </w:r>
      <w:r w:rsidRPr="00600F02">
        <w:t xml:space="preserve"> </w:t>
      </w:r>
      <w:r w:rsidR="009A10BB">
        <w:t>major source</w:t>
      </w:r>
      <w:r w:rsidR="009A10BB" w:rsidRPr="009A10BB">
        <w:t xml:space="preserve"> and </w:t>
      </w:r>
      <w:r w:rsidR="009C009B">
        <w:t xml:space="preserve">each </w:t>
      </w:r>
      <w:r w:rsidR="009A10BB" w:rsidRPr="009A10BB">
        <w:t xml:space="preserve">synthetic area source </w:t>
      </w:r>
      <w:r w:rsidR="007D1D4F">
        <w:t xml:space="preserve">PCWP </w:t>
      </w:r>
      <w:r w:rsidRPr="00C51D5D">
        <w:t>facility</w:t>
      </w:r>
      <w:r w:rsidR="009C009B">
        <w:t xml:space="preserve"> being surveyed </w:t>
      </w:r>
      <w:r w:rsidRPr="00C51D5D">
        <w:t xml:space="preserve">to complete an electronic update of their </w:t>
      </w:r>
      <w:r w:rsidR="007D1D4F" w:rsidRPr="00C51D5D">
        <w:t>201</w:t>
      </w:r>
      <w:r w:rsidR="006B2310">
        <w:t>6</w:t>
      </w:r>
      <w:r w:rsidRPr="00C51D5D">
        <w:t xml:space="preserve"> </w:t>
      </w:r>
      <w:r w:rsidR="007D1D4F" w:rsidRPr="00C51D5D">
        <w:t>facility and emissions</w:t>
      </w:r>
      <w:r w:rsidRPr="00C51D5D">
        <w:t xml:space="preserve"> data to be used for RTR purposes. </w:t>
      </w:r>
      <w:r w:rsidR="002A450B">
        <w:t>All f</w:t>
      </w:r>
      <w:r w:rsidR="007D1D4F" w:rsidRPr="00C51D5D">
        <w:t>a</w:t>
      </w:r>
      <w:r w:rsidRPr="00C51D5D">
        <w:t xml:space="preserve">cilities will be asked to complete an electronic survey of general facility information (production processes and capacities), equipment details (for </w:t>
      </w:r>
      <w:r w:rsidR="007D1D4F" w:rsidRPr="00C51D5D">
        <w:t xml:space="preserve">material preparation, drying, adhesive, </w:t>
      </w:r>
      <w:r w:rsidR="00282DB9" w:rsidRPr="00C51D5D">
        <w:t>and pressing</w:t>
      </w:r>
      <w:r w:rsidRPr="00C51D5D">
        <w:t>), permit limits, emission</w:t>
      </w:r>
      <w:r w:rsidR="002F0B86">
        <w:t>s</w:t>
      </w:r>
      <w:r w:rsidRPr="00C51D5D">
        <w:t xml:space="preserve"> control measures, and emissions test data (</w:t>
      </w:r>
      <w:r w:rsidR="002A450B">
        <w:t xml:space="preserve">for </w:t>
      </w:r>
      <w:r w:rsidRPr="00C51D5D">
        <w:t xml:space="preserve">previously conducted tests only). </w:t>
      </w:r>
      <w:r w:rsidR="00233817">
        <w:t xml:space="preserve">The </w:t>
      </w:r>
      <w:r w:rsidRPr="00C51D5D">
        <w:t xml:space="preserve">EPA expects the information requested in </w:t>
      </w:r>
      <w:r w:rsidR="00233817">
        <w:t xml:space="preserve">this </w:t>
      </w:r>
      <w:r w:rsidRPr="00C51D5D">
        <w:t>survey to be a one-time effort</w:t>
      </w:r>
      <w:r w:rsidR="007D1D4F" w:rsidRPr="00C51D5D">
        <w:t xml:space="preserve">. </w:t>
      </w:r>
      <w:r w:rsidR="007D1D4F" w:rsidRPr="00082A1F">
        <w:t>The</w:t>
      </w:r>
      <w:r w:rsidR="009B7969" w:rsidRPr="00082A1F">
        <w:t>se surveys are infrequent</w:t>
      </w:r>
      <w:r w:rsidR="00EB5CEF" w:rsidRPr="00082A1F">
        <w:t>;</w:t>
      </w:r>
      <w:r w:rsidR="009B7969" w:rsidRPr="00082A1F">
        <w:t xml:space="preserve"> the</w:t>
      </w:r>
      <w:r w:rsidR="007D1D4F" w:rsidRPr="00082A1F">
        <w:t xml:space="preserve"> last similar survey </w:t>
      </w:r>
      <w:r w:rsidR="00233817" w:rsidRPr="00082A1F">
        <w:t xml:space="preserve">was </w:t>
      </w:r>
      <w:r w:rsidR="007D1D4F" w:rsidRPr="00082A1F">
        <w:t xml:space="preserve">conducted </w:t>
      </w:r>
      <w:r w:rsidR="009B7969" w:rsidRPr="00082A1F">
        <w:t>in 2000, prior to rule proposal</w:t>
      </w:r>
      <w:r w:rsidRPr="00082A1F">
        <w:t>.</w:t>
      </w:r>
    </w:p>
    <w:p w14:paraId="241F74AC" w14:textId="77777777" w:rsidR="00EF26D9" w:rsidRPr="004A02C7" w:rsidRDefault="00600F02" w:rsidP="00430471">
      <w:pPr>
        <w:pStyle w:val="Sectiona0"/>
      </w:pPr>
      <w:bookmarkStart w:id="14" w:name="_(e)_General_Guidelines"/>
      <w:bookmarkEnd w:id="14"/>
      <w:r>
        <w:t>(e)</w:t>
      </w:r>
      <w:r>
        <w:tab/>
      </w:r>
      <w:r w:rsidR="004F418B">
        <w:t>General Guidelines</w:t>
      </w:r>
    </w:p>
    <w:p w14:paraId="65CBBB8E" w14:textId="77777777" w:rsidR="00EF26D9" w:rsidRDefault="004F418B" w:rsidP="00600F02">
      <w:pPr>
        <w:pStyle w:val="Paragraph"/>
      </w:pPr>
      <w:r>
        <w:t>This</w:t>
      </w:r>
      <w:r w:rsidRPr="00600F02">
        <w:t xml:space="preserve"> </w:t>
      </w:r>
      <w:r w:rsidRPr="00C51D5D">
        <w:t>ICR will adhere to the guidelines for Federal data requestors, as provided at 5 CFR 1320.6</w:t>
      </w:r>
      <w:r>
        <w:t>.</w:t>
      </w:r>
    </w:p>
    <w:p w14:paraId="53E724F4" w14:textId="77777777" w:rsidR="00EF26D9" w:rsidRPr="004A02C7" w:rsidRDefault="00600F02" w:rsidP="00430471">
      <w:pPr>
        <w:pStyle w:val="Sectiona0"/>
      </w:pPr>
      <w:bookmarkStart w:id="15" w:name="(f)_Confidentiality"/>
      <w:bookmarkEnd w:id="15"/>
      <w:r>
        <w:t>(f)</w:t>
      </w:r>
      <w:r>
        <w:tab/>
      </w:r>
      <w:r w:rsidR="004F418B">
        <w:t>Confidentiality</w:t>
      </w:r>
    </w:p>
    <w:p w14:paraId="658193D5" w14:textId="5EE9CC19" w:rsidR="00EF26D9" w:rsidRDefault="004F418B" w:rsidP="00600F02">
      <w:pPr>
        <w:pStyle w:val="Paragraph"/>
      </w:pPr>
      <w:r>
        <w:t>Respondents</w:t>
      </w:r>
      <w:r w:rsidRPr="00600F02">
        <w:t xml:space="preserve"> </w:t>
      </w:r>
      <w:r w:rsidRPr="00C51D5D">
        <w:t xml:space="preserve">will be required to respond under the authority of CAA section 114. If a respondent believes that disclosure of certain information requested would compromise a trade secret, it should be clearly identified as such and will be treated as confidential until and unless it is determined in accordance with established EPA procedure as set forth in 40 CFR Part 2 not to be entitled to confidential treatment. All information submitted to the </w:t>
      </w:r>
      <w:r w:rsidR="006F7608">
        <w:t>A</w:t>
      </w:r>
      <w:r w:rsidR="00895383" w:rsidRPr="00C51D5D">
        <w:t xml:space="preserve">gency </w:t>
      </w:r>
      <w:r w:rsidRPr="00C51D5D">
        <w:t xml:space="preserve">for which a claim of confidentiality is made will be safeguarded according to the </w:t>
      </w:r>
      <w:r w:rsidR="006F7608">
        <w:t>A</w:t>
      </w:r>
      <w:r w:rsidR="00895383" w:rsidRPr="00C51D5D">
        <w:t xml:space="preserve">gency </w:t>
      </w:r>
      <w:r w:rsidRPr="00C51D5D">
        <w:t>policies set forth in Title 40, Chapter 1, Part 2, Subpart B–Confidentiality of Business Information (see 40 CFR 2; 41 FR</w:t>
      </w:r>
      <w:r w:rsidR="007E32F1" w:rsidRPr="00C51D5D">
        <w:t xml:space="preserve"> </w:t>
      </w:r>
      <w:r w:rsidRPr="00C51D5D">
        <w:t xml:space="preserve">36902, September 1, 1976; amended by 43 FR </w:t>
      </w:r>
      <w:r w:rsidR="009B7969" w:rsidRPr="00C51D5D">
        <w:t>40000</w:t>
      </w:r>
      <w:r w:rsidRPr="00C51D5D">
        <w:t>, September 28, 1978; 43 FR 42251,</w:t>
      </w:r>
      <w:r w:rsidR="007E32F1" w:rsidRPr="00C51D5D">
        <w:t xml:space="preserve"> </w:t>
      </w:r>
      <w:r w:rsidRPr="00C51D5D">
        <w:t>September 28, 1978; 44 FR 17674, March 23, 1979</w:t>
      </w:r>
      <w:r w:rsidR="009B7969" w:rsidRPr="00C51D5D">
        <w:t>, 50 FR 51661, Dec. 18, 1985, 58 FR 461, Jan. 5, 1993, 76 FR 30817, May 26, 2</w:t>
      </w:r>
      <w:r w:rsidR="007E32F1" w:rsidRPr="00C51D5D">
        <w:t>011; 76 FR 64015, Oct. 17, 2011</w:t>
      </w:r>
      <w:r w:rsidRPr="00C51D5D">
        <w:t>)</w:t>
      </w:r>
      <w:r w:rsidR="00674C80">
        <w:t xml:space="preserve">. </w:t>
      </w:r>
      <w:r w:rsidRPr="00C51D5D">
        <w:t>Any information subsequently determined</w:t>
      </w:r>
      <w:bookmarkStart w:id="16" w:name="_bookmark1"/>
      <w:bookmarkEnd w:id="16"/>
      <w:r w:rsidR="009B7969" w:rsidRPr="00C51D5D">
        <w:t xml:space="preserve"> </w:t>
      </w:r>
      <w:r w:rsidRPr="00C51D5D">
        <w:t>to constitute a trade secret will be protected under 18 U.S.C. 1905</w:t>
      </w:r>
      <w:r w:rsidR="00674C80">
        <w:t xml:space="preserve">. </w:t>
      </w:r>
      <w:r w:rsidRPr="00C51D5D">
        <w:t xml:space="preserve">If no claim of confidentiality accompanies the information when it is received by </w:t>
      </w:r>
      <w:r w:rsidR="00674C80">
        <w:t xml:space="preserve">the </w:t>
      </w:r>
      <w:r w:rsidRPr="00C51D5D">
        <w:t>EPA, it may be made available to the public without further notice (40 CFR 2.203, September 1, 1976). Because CAA section 114(c) exempts emission data from claims of confidentiality, the emission data provided may be made available to the public. Therefore, emissions data should not be marked confidential</w:t>
      </w:r>
      <w:r w:rsidR="00674C80">
        <w:t xml:space="preserve">. </w:t>
      </w:r>
      <w:r w:rsidRPr="00C51D5D">
        <w:t xml:space="preserve">A definition of what </w:t>
      </w:r>
      <w:r w:rsidR="00674C80">
        <w:t xml:space="preserve">the </w:t>
      </w:r>
      <w:r w:rsidRPr="00C51D5D">
        <w:t>EPA considers emissions data is provided in 40 CFR 2.301(a)(2</w:t>
      </w:r>
      <w:r w:rsidRPr="00600F02">
        <w:t>)(i).</w:t>
      </w:r>
    </w:p>
    <w:p w14:paraId="37114180" w14:textId="77777777" w:rsidR="00EF26D9" w:rsidRPr="004A02C7" w:rsidRDefault="00600F02" w:rsidP="00430471">
      <w:pPr>
        <w:pStyle w:val="Sectiona0"/>
      </w:pPr>
      <w:bookmarkStart w:id="17" w:name="_(g)_Sensitive_questions_"/>
      <w:bookmarkEnd w:id="17"/>
      <w:r>
        <w:t>(g)</w:t>
      </w:r>
      <w:r>
        <w:tab/>
      </w:r>
      <w:r w:rsidR="004F418B" w:rsidRPr="00600F02">
        <w:t>Sensitive q</w:t>
      </w:r>
      <w:r w:rsidR="004F418B">
        <w:t>uestions</w:t>
      </w:r>
    </w:p>
    <w:p w14:paraId="2C0A8D4A" w14:textId="77777777" w:rsidR="00EF26D9" w:rsidRPr="00600F02" w:rsidRDefault="004F418B" w:rsidP="00B73746">
      <w:pPr>
        <w:pStyle w:val="Paragraph"/>
      </w:pPr>
      <w:r>
        <w:t>This</w:t>
      </w:r>
      <w:r w:rsidRPr="00600F02">
        <w:t xml:space="preserve"> </w:t>
      </w:r>
      <w:r>
        <w:t>section</w:t>
      </w:r>
      <w:r w:rsidRPr="00600F02">
        <w:t xml:space="preserve"> </w:t>
      </w:r>
      <w:r>
        <w:t>is</w:t>
      </w:r>
      <w:r w:rsidRPr="00600F02">
        <w:t xml:space="preserve"> </w:t>
      </w:r>
      <w:r>
        <w:t>not</w:t>
      </w:r>
      <w:r w:rsidRPr="00600F02">
        <w:t xml:space="preserve"> </w:t>
      </w:r>
      <w:r>
        <w:t>applicable</w:t>
      </w:r>
      <w:r w:rsidRPr="00600F02">
        <w:t xml:space="preserve"> </w:t>
      </w:r>
      <w:r>
        <w:t>because</w:t>
      </w:r>
      <w:r w:rsidRPr="00600F02">
        <w:t xml:space="preserve"> </w:t>
      </w:r>
      <w:r>
        <w:t>this ICR</w:t>
      </w:r>
      <w:r w:rsidRPr="00600F02">
        <w:t xml:space="preserve"> </w:t>
      </w:r>
      <w:r>
        <w:t>will</w:t>
      </w:r>
      <w:r w:rsidRPr="00600F02">
        <w:t xml:space="preserve"> </w:t>
      </w:r>
      <w:r>
        <w:t>not</w:t>
      </w:r>
      <w:r w:rsidRPr="00600F02">
        <w:t xml:space="preserve"> </w:t>
      </w:r>
      <w:r>
        <w:t>involve</w:t>
      </w:r>
      <w:r w:rsidRPr="00600F02">
        <w:t xml:space="preserve"> matter </w:t>
      </w:r>
      <w:r>
        <w:t>of</w:t>
      </w:r>
      <w:r w:rsidRPr="00600F02">
        <w:t xml:space="preserve"> </w:t>
      </w:r>
      <w:r>
        <w:t>a</w:t>
      </w:r>
      <w:r w:rsidRPr="00600F02">
        <w:t xml:space="preserve"> </w:t>
      </w:r>
      <w:r>
        <w:t>sensitive</w:t>
      </w:r>
      <w:r w:rsidR="00B73746">
        <w:t xml:space="preserve"> </w:t>
      </w:r>
      <w:r w:rsidRPr="00600F02">
        <w:t>nature.</w:t>
      </w:r>
    </w:p>
    <w:p w14:paraId="2BDB15CB" w14:textId="77777777" w:rsidR="00EF26D9" w:rsidRDefault="00600F02" w:rsidP="00430471">
      <w:pPr>
        <w:pStyle w:val="Section1"/>
      </w:pPr>
      <w:bookmarkStart w:id="18" w:name="4._The_Respondents_and_the_Information_R"/>
      <w:bookmarkEnd w:id="18"/>
      <w:r>
        <w:t>4.</w:t>
      </w:r>
      <w:r>
        <w:tab/>
      </w:r>
      <w:r w:rsidR="004F418B">
        <w:t>The Respondents and the Information Requested</w:t>
      </w:r>
    </w:p>
    <w:p w14:paraId="0EDFD248" w14:textId="1A2BBC71" w:rsidR="00EF26D9" w:rsidRPr="004A02C7" w:rsidRDefault="00600F02" w:rsidP="00430471">
      <w:pPr>
        <w:pStyle w:val="Sectiona0"/>
      </w:pPr>
      <w:bookmarkStart w:id="19" w:name="(a)_Respondents/NAICS_Codes."/>
      <w:bookmarkEnd w:id="19"/>
      <w:r>
        <w:t>(a)</w:t>
      </w:r>
      <w:r>
        <w:tab/>
      </w:r>
      <w:r w:rsidR="004F418B">
        <w:t>Respondents/NAICS Codes</w:t>
      </w:r>
    </w:p>
    <w:p w14:paraId="3B92DD36" w14:textId="6543E576" w:rsidR="00EF26D9" w:rsidRDefault="004F418B" w:rsidP="007A7B63">
      <w:pPr>
        <w:pStyle w:val="Paragraph"/>
      </w:pPr>
      <w:r>
        <w:t>Respondents</w:t>
      </w:r>
      <w:r w:rsidRPr="00600F02">
        <w:t xml:space="preserve"> </w:t>
      </w:r>
      <w:r>
        <w:t xml:space="preserve">affected by this action are </w:t>
      </w:r>
      <w:r w:rsidRPr="00600F02">
        <w:t>owners/operators</w:t>
      </w:r>
      <w:r>
        <w:t xml:space="preserve"> of </w:t>
      </w:r>
      <w:r w:rsidR="00D1216F" w:rsidRPr="00600F02">
        <w:t>facilities</w:t>
      </w:r>
      <w:r>
        <w:t xml:space="preserve"> that are </w:t>
      </w:r>
      <w:r w:rsidRPr="00600F02">
        <w:t xml:space="preserve">“major </w:t>
      </w:r>
      <w:r>
        <w:t>sources”</w:t>
      </w:r>
      <w:r w:rsidRPr="00600F02">
        <w:t xml:space="preserve"> </w:t>
      </w:r>
      <w:r w:rsidR="00742831">
        <w:t xml:space="preserve">or “synthetic area </w:t>
      </w:r>
      <w:r w:rsidR="00742831" w:rsidRPr="00C51D5D">
        <w:t>sources</w:t>
      </w:r>
      <w:r w:rsidR="00742831">
        <w:t xml:space="preserve">” </w:t>
      </w:r>
      <w:r>
        <w:t>of</w:t>
      </w:r>
      <w:r w:rsidRPr="00600F02">
        <w:t xml:space="preserve"> </w:t>
      </w:r>
      <w:r>
        <w:t>HAP</w:t>
      </w:r>
      <w:r w:rsidRPr="00600F02">
        <w:t xml:space="preserve"> emissions</w:t>
      </w:r>
      <w:r w:rsidR="00D524F9">
        <w:rPr>
          <w:rStyle w:val="FootnoteReference"/>
        </w:rPr>
        <w:footnoteReference w:id="4"/>
      </w:r>
      <w:r w:rsidRPr="00600F02">
        <w:t xml:space="preserve"> </w:t>
      </w:r>
      <w:r w:rsidR="00614E38" w:rsidRPr="00600F02">
        <w:t>and</w:t>
      </w:r>
      <w:r w:rsidR="00614E38" w:rsidRPr="00C51D5D">
        <w:t xml:space="preserve"> produce plywood, particleboard, MDF, hardboard, fiberboard, OSB, </w:t>
      </w:r>
      <w:r w:rsidR="00303708">
        <w:t xml:space="preserve">EWP </w:t>
      </w:r>
      <w:r w:rsidR="00614E38" w:rsidRPr="00C51D5D">
        <w:t>and/or operate lumber dry kilns</w:t>
      </w:r>
      <w:r w:rsidRPr="00C51D5D">
        <w:t>.</w:t>
      </w:r>
      <w:r w:rsidR="00C71069">
        <w:t xml:space="preserve"> In</w:t>
      </w:r>
      <w:r w:rsidRPr="00C51D5D">
        <w:t xml:space="preserve"> the U.S., </w:t>
      </w:r>
      <w:r w:rsidR="00674C80">
        <w:t xml:space="preserve">the </w:t>
      </w:r>
      <w:r w:rsidR="00282DB9" w:rsidRPr="00C51D5D">
        <w:t xml:space="preserve">EPA’s analysis </w:t>
      </w:r>
      <w:r w:rsidR="00FA2A5E" w:rsidRPr="00C51D5D">
        <w:t>indicate</w:t>
      </w:r>
      <w:r w:rsidR="00282DB9" w:rsidRPr="00C51D5D">
        <w:t>s</w:t>
      </w:r>
      <w:r w:rsidR="00FA2A5E" w:rsidRPr="00C51D5D">
        <w:t xml:space="preserve"> that there may be </w:t>
      </w:r>
      <w:r w:rsidRPr="00C51D5D">
        <w:t xml:space="preserve">a total of </w:t>
      </w:r>
      <w:r w:rsidR="00742831">
        <w:t>39</w:t>
      </w:r>
      <w:r w:rsidR="0070035D">
        <w:t>1</w:t>
      </w:r>
      <w:r w:rsidR="00282DB9" w:rsidRPr="00C51D5D">
        <w:t xml:space="preserve"> respondent</w:t>
      </w:r>
      <w:r w:rsidRPr="00C51D5D">
        <w:t xml:space="preserve"> </w:t>
      </w:r>
      <w:r w:rsidR="00D1216F">
        <w:t>facilities</w:t>
      </w:r>
      <w:r w:rsidRPr="00C51D5D">
        <w:t xml:space="preserve"> </w:t>
      </w:r>
      <w:r w:rsidR="00282DB9" w:rsidRPr="00C51D5D">
        <w:t>out of over 1000</w:t>
      </w:r>
      <w:r w:rsidR="00475045" w:rsidRPr="00C51D5D">
        <w:t xml:space="preserve"> listed in </w:t>
      </w:r>
      <w:r w:rsidR="00CB1185">
        <w:t xml:space="preserve">the </w:t>
      </w:r>
      <w:r w:rsidR="00475045" w:rsidRPr="00C51D5D">
        <w:t>EPA</w:t>
      </w:r>
      <w:r w:rsidR="00CB1185">
        <w:t>’s</w:t>
      </w:r>
      <w:r w:rsidR="00475045" w:rsidRPr="00C51D5D">
        <w:t xml:space="preserve"> databases</w:t>
      </w:r>
      <w:r w:rsidR="00046F15">
        <w:t xml:space="preserve"> </w:t>
      </w:r>
      <w:r w:rsidR="00046F15" w:rsidRPr="000C2960">
        <w:t>(</w:t>
      </w:r>
      <w:r w:rsidR="00046F15" w:rsidRPr="00622924">
        <w:rPr>
          <w:rStyle w:val="Italic"/>
        </w:rPr>
        <w:t>e.g.</w:t>
      </w:r>
      <w:r w:rsidR="00046F15">
        <w:t xml:space="preserve">, </w:t>
      </w:r>
      <w:r w:rsidR="00046F15" w:rsidRPr="000C2960">
        <w:t>EIS/NEI, Enforcement Compliance History Online</w:t>
      </w:r>
      <w:r w:rsidR="00046F15">
        <w:t xml:space="preserve"> [ECHO]</w:t>
      </w:r>
      <w:r w:rsidR="00046F15" w:rsidRPr="000C2960">
        <w:t xml:space="preserve"> and other </w:t>
      </w:r>
      <w:r w:rsidR="00046F15" w:rsidRPr="00046F15">
        <w:t xml:space="preserve">Office of Enforcement and Compliance Assurance </w:t>
      </w:r>
      <w:r w:rsidR="00046F15">
        <w:t>[</w:t>
      </w:r>
      <w:r w:rsidR="00046F15" w:rsidRPr="000C2960">
        <w:t>OECA</w:t>
      </w:r>
      <w:r w:rsidR="00046F15">
        <w:t>]</w:t>
      </w:r>
      <w:r w:rsidR="00046F15" w:rsidRPr="000C2960">
        <w:t xml:space="preserve"> databases) </w:t>
      </w:r>
      <w:r w:rsidR="00475045" w:rsidRPr="00C51D5D">
        <w:t>from</w:t>
      </w:r>
      <w:r w:rsidR="00282DB9" w:rsidRPr="00C51D5D">
        <w:t xml:space="preserve"> the regulated </w:t>
      </w:r>
      <w:r w:rsidR="006E658B" w:rsidRPr="00C51D5D">
        <w:t>North American Industry Classification System (NAICS) codes</w:t>
      </w:r>
      <w:r w:rsidR="00C71069">
        <w:t>.</w:t>
      </w:r>
      <w:r w:rsidR="006E658B">
        <w:rPr>
          <w:rStyle w:val="FootnoteReference"/>
        </w:rPr>
        <w:footnoteReference w:id="5"/>
      </w:r>
      <w:r w:rsidR="00C71069">
        <w:t xml:space="preserve"> </w:t>
      </w:r>
      <w:r w:rsidR="002F2AAF" w:rsidRPr="00C51D5D">
        <w:t>Only major sources and synthetic area sources which used technology to avoid major PCWP</w:t>
      </w:r>
      <w:r w:rsidR="002F2AAF">
        <w:t xml:space="preserve"> </w:t>
      </w:r>
      <w:r w:rsidR="002F2AAF" w:rsidRPr="00C51D5D">
        <w:t>NESHAP source status will be included in the respondent group</w:t>
      </w:r>
      <w:r w:rsidR="00C71069">
        <w:t xml:space="preserve">. </w:t>
      </w:r>
      <w:r w:rsidR="0054187C" w:rsidRPr="00C51D5D">
        <w:t xml:space="preserve">Respondents </w:t>
      </w:r>
      <w:r w:rsidR="0063678C">
        <w:t>(</w:t>
      </w:r>
      <w:r w:rsidR="00742831">
        <w:t>39</w:t>
      </w:r>
      <w:r w:rsidR="00BD7263">
        <w:t>1</w:t>
      </w:r>
      <w:r w:rsidR="0063678C">
        <w:t xml:space="preserve"> total) </w:t>
      </w:r>
      <w:r w:rsidR="0054187C" w:rsidRPr="00C51D5D">
        <w:t>include</w:t>
      </w:r>
      <w:r w:rsidR="00F60477" w:rsidRPr="00C51D5D">
        <w:t xml:space="preserve"> operations in the following wood products industry segmen</w:t>
      </w:r>
      <w:r w:rsidR="00F60477" w:rsidRPr="00600F02">
        <w:t>ts</w:t>
      </w:r>
      <w:r w:rsidRPr="00600F02">
        <w:t>:</w:t>
      </w:r>
    </w:p>
    <w:p w14:paraId="0C3D3E48" w14:textId="0555C333" w:rsidR="00EF26D9" w:rsidRPr="00F55EA2" w:rsidRDefault="00725522" w:rsidP="00600F02">
      <w:pPr>
        <w:pStyle w:val="ListBullet2"/>
      </w:pPr>
      <w:r w:rsidRPr="00F55EA2">
        <w:t>20</w:t>
      </w:r>
      <w:r w:rsidR="00BD7263">
        <w:t>5</w:t>
      </w:r>
      <w:r w:rsidRPr="00F55EA2">
        <w:t xml:space="preserve"> </w:t>
      </w:r>
      <w:r w:rsidR="00562135" w:rsidRPr="00F55EA2">
        <w:t>lumber mills with dry kilns</w:t>
      </w:r>
      <w:r w:rsidR="004F418B" w:rsidRPr="00F55EA2">
        <w:t>,</w:t>
      </w:r>
    </w:p>
    <w:p w14:paraId="248B0595" w14:textId="2C8A654E" w:rsidR="00F60477" w:rsidRPr="00F55EA2" w:rsidRDefault="002E13CD" w:rsidP="00600F02">
      <w:pPr>
        <w:pStyle w:val="ListBullet2"/>
      </w:pPr>
      <w:r w:rsidRPr="00F55EA2">
        <w:t>8</w:t>
      </w:r>
      <w:r w:rsidR="00BD7263">
        <w:t>7</w:t>
      </w:r>
      <w:r w:rsidR="00F60477" w:rsidRPr="00F55EA2">
        <w:t xml:space="preserve"> plywood and veneer </w:t>
      </w:r>
      <w:r w:rsidR="00D1216F" w:rsidRPr="00F55EA2">
        <w:t>facilities</w:t>
      </w:r>
      <w:r w:rsidR="00F60477" w:rsidRPr="00F55EA2">
        <w:t>,</w:t>
      </w:r>
    </w:p>
    <w:p w14:paraId="0461EC2A" w14:textId="3EFE67B1" w:rsidR="00F60477" w:rsidRPr="00F55EA2" w:rsidRDefault="002E13CD" w:rsidP="00600F02">
      <w:pPr>
        <w:pStyle w:val="ListBullet2"/>
      </w:pPr>
      <w:r w:rsidRPr="00F55EA2">
        <w:t>3</w:t>
      </w:r>
      <w:r w:rsidR="00725522" w:rsidRPr="00F55EA2">
        <w:t>0</w:t>
      </w:r>
      <w:r w:rsidR="00F60477" w:rsidRPr="00F55EA2">
        <w:t xml:space="preserve"> OSB </w:t>
      </w:r>
      <w:r w:rsidR="00D1216F" w:rsidRPr="00F55EA2">
        <w:t>facilities</w:t>
      </w:r>
      <w:r w:rsidR="00F60477" w:rsidRPr="00F55EA2">
        <w:t>,</w:t>
      </w:r>
    </w:p>
    <w:p w14:paraId="3BADC23A" w14:textId="1E852660" w:rsidR="00F60477" w:rsidRPr="00F55EA2" w:rsidRDefault="002E13CD" w:rsidP="00600F02">
      <w:pPr>
        <w:pStyle w:val="ListBullet2"/>
      </w:pPr>
      <w:r w:rsidRPr="00F55EA2">
        <w:t>16</w:t>
      </w:r>
      <w:r w:rsidR="00F60477" w:rsidRPr="00F55EA2">
        <w:t xml:space="preserve"> MDF </w:t>
      </w:r>
      <w:r w:rsidR="00D1216F" w:rsidRPr="00F55EA2">
        <w:t>facilities</w:t>
      </w:r>
      <w:r w:rsidR="00F60477" w:rsidRPr="00F55EA2">
        <w:t>,</w:t>
      </w:r>
    </w:p>
    <w:p w14:paraId="1401030A" w14:textId="75F5EE13" w:rsidR="00F60477" w:rsidRPr="00F55EA2" w:rsidRDefault="002E13CD" w:rsidP="00600F02">
      <w:pPr>
        <w:pStyle w:val="ListBullet2"/>
      </w:pPr>
      <w:r w:rsidRPr="00F55EA2">
        <w:t>1</w:t>
      </w:r>
      <w:r w:rsidR="009C4092">
        <w:t>5</w:t>
      </w:r>
      <w:r w:rsidR="00F60477" w:rsidRPr="00F55EA2">
        <w:t xml:space="preserve"> particleboard </w:t>
      </w:r>
      <w:r w:rsidR="00D1216F" w:rsidRPr="00F55EA2">
        <w:t>facilities</w:t>
      </w:r>
      <w:r w:rsidR="00F60477" w:rsidRPr="00F55EA2">
        <w:t>,</w:t>
      </w:r>
    </w:p>
    <w:p w14:paraId="05DE538E" w14:textId="18F049CC" w:rsidR="00F60477" w:rsidRPr="00F55EA2" w:rsidRDefault="002E13CD" w:rsidP="00600F02">
      <w:pPr>
        <w:pStyle w:val="ListBullet2"/>
      </w:pPr>
      <w:r w:rsidRPr="00F55EA2">
        <w:t>5</w:t>
      </w:r>
      <w:r w:rsidR="00F60477" w:rsidRPr="00F55EA2">
        <w:t xml:space="preserve"> hardboard </w:t>
      </w:r>
      <w:r w:rsidR="00D1216F" w:rsidRPr="00F55EA2">
        <w:t>facilities</w:t>
      </w:r>
      <w:r w:rsidR="00F60477" w:rsidRPr="00F55EA2">
        <w:t>,</w:t>
      </w:r>
    </w:p>
    <w:p w14:paraId="3D38158D" w14:textId="3026AFD9" w:rsidR="00F60477" w:rsidRPr="00F55EA2" w:rsidRDefault="0063678C" w:rsidP="00600F02">
      <w:pPr>
        <w:pStyle w:val="ListBullet2"/>
      </w:pPr>
      <w:r w:rsidRPr="00F55EA2">
        <w:t>4</w:t>
      </w:r>
      <w:r w:rsidR="00F60477" w:rsidRPr="00F55EA2">
        <w:t xml:space="preserve"> fiberboard </w:t>
      </w:r>
      <w:r w:rsidR="00D1216F" w:rsidRPr="00F55EA2">
        <w:t>facilities</w:t>
      </w:r>
      <w:r w:rsidR="00F60477" w:rsidRPr="00F55EA2">
        <w:t>,</w:t>
      </w:r>
    </w:p>
    <w:p w14:paraId="2B9F8715" w14:textId="76BB3E3E" w:rsidR="00F60477" w:rsidRPr="00F55EA2" w:rsidRDefault="002E13CD" w:rsidP="00600F02">
      <w:pPr>
        <w:pStyle w:val="ListBullet2"/>
      </w:pPr>
      <w:r w:rsidRPr="00F55EA2">
        <w:t>1</w:t>
      </w:r>
      <w:r w:rsidR="009C4092">
        <w:t>5</w:t>
      </w:r>
      <w:r w:rsidR="00C71069" w:rsidRPr="00F55EA2">
        <w:t xml:space="preserve"> </w:t>
      </w:r>
      <w:r w:rsidRPr="00F55EA2">
        <w:t>EWP</w:t>
      </w:r>
      <w:r w:rsidR="00F60477" w:rsidRPr="00F55EA2">
        <w:t xml:space="preserve"> </w:t>
      </w:r>
      <w:r w:rsidR="00D1216F" w:rsidRPr="00F55EA2">
        <w:t>facilities</w:t>
      </w:r>
      <w:r w:rsidRPr="00F55EA2">
        <w:t>,</w:t>
      </w:r>
    </w:p>
    <w:p w14:paraId="1AB96280" w14:textId="3D760461" w:rsidR="002E13CD" w:rsidRPr="00F55EA2" w:rsidRDefault="002E13CD" w:rsidP="00600F02">
      <w:pPr>
        <w:pStyle w:val="ListBullet2"/>
      </w:pPr>
      <w:r w:rsidRPr="00F55EA2">
        <w:t>1 OSB and MDF facility</w:t>
      </w:r>
      <w:r w:rsidR="00177477" w:rsidRPr="00F55EA2">
        <w:t>,</w:t>
      </w:r>
    </w:p>
    <w:p w14:paraId="0748F52B" w14:textId="084FCDBB" w:rsidR="002E13CD" w:rsidRPr="00F55EA2" w:rsidRDefault="00725522" w:rsidP="00600F02">
      <w:pPr>
        <w:pStyle w:val="ListBullet2"/>
      </w:pPr>
      <w:r w:rsidRPr="00F55EA2">
        <w:t>2</w:t>
      </w:r>
      <w:r w:rsidR="002E13CD" w:rsidRPr="00F55EA2">
        <w:t xml:space="preserve"> OSB and EWP facilit</w:t>
      </w:r>
      <w:r w:rsidR="009C4092">
        <w:t>ies</w:t>
      </w:r>
      <w:r w:rsidR="00177477" w:rsidRPr="00F55EA2">
        <w:t>,</w:t>
      </w:r>
    </w:p>
    <w:p w14:paraId="1C09455C" w14:textId="1B32253F" w:rsidR="002E13CD" w:rsidRPr="00F55EA2" w:rsidRDefault="002E13CD" w:rsidP="00600F02">
      <w:pPr>
        <w:pStyle w:val="ListBullet2"/>
      </w:pPr>
      <w:r w:rsidRPr="00F55EA2">
        <w:t>1 OSB and plywood/veneer facility,</w:t>
      </w:r>
    </w:p>
    <w:p w14:paraId="2B88678B" w14:textId="6B611528" w:rsidR="002E13CD" w:rsidRPr="00F55EA2" w:rsidRDefault="009C4092" w:rsidP="00600F02">
      <w:pPr>
        <w:pStyle w:val="ListBullet2"/>
      </w:pPr>
      <w:r>
        <w:t>2</w:t>
      </w:r>
      <w:r w:rsidR="002E13CD" w:rsidRPr="00F55EA2">
        <w:t xml:space="preserve"> particleboard and MDF facilit</w:t>
      </w:r>
      <w:r>
        <w:t>ies</w:t>
      </w:r>
      <w:r w:rsidR="00177477" w:rsidRPr="00F55EA2">
        <w:t>,</w:t>
      </w:r>
    </w:p>
    <w:p w14:paraId="44519732" w14:textId="57A6A5F0" w:rsidR="002E13CD" w:rsidRPr="00F55EA2" w:rsidRDefault="00725522" w:rsidP="002E13CD">
      <w:pPr>
        <w:pStyle w:val="ListBullet2"/>
      </w:pPr>
      <w:r w:rsidRPr="00F55EA2">
        <w:t>4</w:t>
      </w:r>
      <w:r w:rsidR="002E13CD" w:rsidRPr="00F55EA2">
        <w:t xml:space="preserve"> EWP and plywood/veneer facilities</w:t>
      </w:r>
      <w:r w:rsidR="00177477" w:rsidRPr="00F55EA2">
        <w:t>,</w:t>
      </w:r>
    </w:p>
    <w:p w14:paraId="22680492" w14:textId="50780AF6" w:rsidR="002E13CD" w:rsidRPr="00F55EA2" w:rsidRDefault="002E13CD" w:rsidP="002E13CD">
      <w:pPr>
        <w:pStyle w:val="ListBullet2"/>
      </w:pPr>
      <w:r w:rsidRPr="00F55EA2">
        <w:t>3 particleboard and plywood/veneer facilities</w:t>
      </w:r>
      <w:r w:rsidR="00177477" w:rsidRPr="00F55EA2">
        <w:t>, and</w:t>
      </w:r>
    </w:p>
    <w:p w14:paraId="2DB750C0" w14:textId="05E20B19" w:rsidR="002E13CD" w:rsidRPr="00F55EA2" w:rsidRDefault="002E13CD" w:rsidP="002E13CD">
      <w:pPr>
        <w:pStyle w:val="ListBullet2"/>
      </w:pPr>
      <w:r w:rsidRPr="00F55EA2">
        <w:t>1 hardboard, particleboard, and plywood/veneer facility</w:t>
      </w:r>
      <w:r w:rsidR="00177477" w:rsidRPr="00F55EA2">
        <w:t>.</w:t>
      </w:r>
    </w:p>
    <w:p w14:paraId="220E07B3" w14:textId="237AB4FA" w:rsidR="00D524F9" w:rsidRDefault="007D416E" w:rsidP="00600F02">
      <w:pPr>
        <w:pStyle w:val="Paragraph"/>
      </w:pPr>
      <w:r w:rsidRPr="00C51D5D">
        <w:t>The estimate above is likely to be larger than the actual number of facilities that will be required to respond to this ICR</w:t>
      </w:r>
      <w:r w:rsidR="00674C80">
        <w:t xml:space="preserve">. </w:t>
      </w:r>
      <w:r w:rsidRPr="00C51D5D">
        <w:t xml:space="preserve">There are </w:t>
      </w:r>
      <w:r w:rsidR="002E13CD">
        <w:t>three</w:t>
      </w:r>
      <w:r w:rsidRPr="00C51D5D">
        <w:t xml:space="preserve"> reasons this </w:t>
      </w:r>
      <w:r w:rsidR="00303708">
        <w:t xml:space="preserve">estimate is likely to be high. </w:t>
      </w:r>
      <w:r w:rsidR="007B53C0" w:rsidRPr="00C51D5D">
        <w:t xml:space="preserve">First, </w:t>
      </w:r>
      <w:r w:rsidR="00FB340A">
        <w:t xml:space="preserve">while the EPA has attempted to remove “true area” sources, </w:t>
      </w:r>
      <w:r w:rsidR="007B53C0" w:rsidRPr="00C51D5D">
        <w:t>the</w:t>
      </w:r>
      <w:r w:rsidRPr="00C51D5D">
        <w:t xml:space="preserve"> EPA </w:t>
      </w:r>
      <w:r w:rsidR="00FB340A">
        <w:t>found that i</w:t>
      </w:r>
      <w:r w:rsidR="00FB340A" w:rsidRPr="00FB340A">
        <w:t>n many cases</w:t>
      </w:r>
      <w:r w:rsidR="00FB340A">
        <w:t>,</w:t>
      </w:r>
      <w:r w:rsidR="00FB340A" w:rsidRPr="00FB340A">
        <w:t xml:space="preserve"> a source’s status as a synthetic area for HAP emissions was not consistently noted across information sources, leaving some degree of uncertainty regarding source status</w:t>
      </w:r>
      <w:r w:rsidR="00303708">
        <w:t xml:space="preserve">. </w:t>
      </w:r>
      <w:r w:rsidR="00FB340A">
        <w:t>Second</w:t>
      </w:r>
      <w:r w:rsidR="007B53C0" w:rsidRPr="00C51D5D">
        <w:t xml:space="preserve">, the base year for </w:t>
      </w:r>
      <w:r w:rsidR="00177477">
        <w:t xml:space="preserve">one of </w:t>
      </w:r>
      <w:r w:rsidR="007B53C0" w:rsidRPr="00C51D5D">
        <w:t xml:space="preserve">the </w:t>
      </w:r>
      <w:r w:rsidR="00177477">
        <w:t xml:space="preserve">key </w:t>
      </w:r>
      <w:r w:rsidR="00303708">
        <w:t xml:space="preserve">EPA </w:t>
      </w:r>
      <w:r w:rsidR="007B53C0" w:rsidRPr="00C51D5D">
        <w:t>database</w:t>
      </w:r>
      <w:r w:rsidR="00177477">
        <w:t>s</w:t>
      </w:r>
      <w:r w:rsidR="007B53C0" w:rsidRPr="00C51D5D">
        <w:t xml:space="preserve"> </w:t>
      </w:r>
      <w:r w:rsidR="00303708">
        <w:t xml:space="preserve">used to identify respondents was 2011. </w:t>
      </w:r>
      <w:r w:rsidR="00FB340A">
        <w:t>The EPA worked with select sources of more recent data as well as t</w:t>
      </w:r>
      <w:r w:rsidR="007B53C0" w:rsidRPr="00C51D5D">
        <w:t xml:space="preserve">rade </w:t>
      </w:r>
      <w:r w:rsidR="00FB340A">
        <w:t>groups to refine the list to reflect current ownership and operating status, but i</w:t>
      </w:r>
      <w:r w:rsidR="007B53C0" w:rsidRPr="00C51D5D">
        <w:t xml:space="preserve">t is likely that </w:t>
      </w:r>
      <w:r w:rsidR="00FB340A">
        <w:t>additional refinements are needed</w:t>
      </w:r>
      <w:r w:rsidR="00303708">
        <w:t xml:space="preserve">. </w:t>
      </w:r>
      <w:r w:rsidR="00FB340A">
        <w:t>Third</w:t>
      </w:r>
      <w:r w:rsidR="00303708">
        <w:t>, our experience with the Pulp and</w:t>
      </w:r>
      <w:r w:rsidR="007B53C0" w:rsidRPr="00C51D5D">
        <w:t xml:space="preserve"> Paper Sector ICR in 2011 indicates preliminary lists generally overestimate actual respondents, sometimes </w:t>
      </w:r>
      <w:r w:rsidR="002B4604" w:rsidRPr="00C51D5D">
        <w:t>substantially</w:t>
      </w:r>
      <w:r w:rsidR="00303708">
        <w:t xml:space="preserve">. The </w:t>
      </w:r>
      <w:r w:rsidR="00B6450D" w:rsidRPr="00C51D5D">
        <w:t xml:space="preserve">EPA initially identified </w:t>
      </w:r>
      <w:r w:rsidR="002B4604" w:rsidRPr="00C51D5D">
        <w:t>386</w:t>
      </w:r>
      <w:r w:rsidR="00B6450D" w:rsidRPr="00C51D5D">
        <w:t xml:space="preserve"> respondents subject </w:t>
      </w:r>
      <w:r w:rsidR="002B4604" w:rsidRPr="00C51D5D">
        <w:t>to</w:t>
      </w:r>
      <w:r w:rsidR="00B6450D" w:rsidRPr="00C51D5D">
        <w:t xml:space="preserve"> </w:t>
      </w:r>
      <w:r w:rsidR="002B4604" w:rsidRPr="00C51D5D">
        <w:t>that</w:t>
      </w:r>
      <w:r w:rsidR="00B6450D" w:rsidRPr="00C51D5D">
        <w:t xml:space="preserve"> ICR and ultimately only required 173 major so</w:t>
      </w:r>
      <w:r w:rsidR="00303708">
        <w:t>urces to complete that survey.</w:t>
      </w:r>
    </w:p>
    <w:p w14:paraId="0F4A140E" w14:textId="165B3BAD" w:rsidR="00EF26D9" w:rsidRPr="00600F02" w:rsidRDefault="00303708" w:rsidP="00600F02">
      <w:pPr>
        <w:pStyle w:val="Paragraph"/>
      </w:pPr>
      <w:r>
        <w:t xml:space="preserve">The </w:t>
      </w:r>
      <w:r w:rsidR="00517464" w:rsidRPr="00C51D5D">
        <w:t xml:space="preserve">EPA anticipates </w:t>
      </w:r>
      <w:r w:rsidR="00177477">
        <w:t xml:space="preserve">requesting comments from stakeholders on the facility list </w:t>
      </w:r>
      <w:r w:rsidR="00517464" w:rsidRPr="00C51D5D">
        <w:t>b</w:t>
      </w:r>
      <w:r>
        <w:t>efore proceed</w:t>
      </w:r>
      <w:r w:rsidR="00177477">
        <w:t>ing</w:t>
      </w:r>
      <w:r>
        <w:t xml:space="preserve"> with the ICR</w:t>
      </w:r>
      <w:r w:rsidR="00864A29">
        <w:t xml:space="preserve"> to further refine and </w:t>
      </w:r>
      <w:r w:rsidR="00177477">
        <w:t xml:space="preserve">focus the list on major sources or synthetic area sources that have applied technology on PCWP </w:t>
      </w:r>
      <w:r w:rsidR="00864A29">
        <w:t>processes</w:t>
      </w:r>
      <w:r>
        <w:t xml:space="preserve">. </w:t>
      </w:r>
      <w:r w:rsidR="004F418B" w:rsidRPr="00C51D5D">
        <w:t>The NAICS codes for respondents affected by the</w:t>
      </w:r>
      <w:r w:rsidR="00F5521D" w:rsidRPr="00C51D5D">
        <w:t xml:space="preserve"> information collection include </w:t>
      </w:r>
      <w:r w:rsidR="00B6450D" w:rsidRPr="00C51D5D">
        <w:t>321113</w:t>
      </w:r>
      <w:r w:rsidR="00F5521D" w:rsidRPr="00C51D5D">
        <w:t xml:space="preserve"> for </w:t>
      </w:r>
      <w:r w:rsidR="00B6450D" w:rsidRPr="00C51D5D">
        <w:t>Sawmills</w:t>
      </w:r>
      <w:r w:rsidR="00F5521D" w:rsidRPr="00C51D5D">
        <w:t xml:space="preserve">, </w:t>
      </w:r>
      <w:r w:rsidR="00B6450D" w:rsidRPr="00C51D5D">
        <w:t>321211</w:t>
      </w:r>
      <w:r w:rsidR="00F5521D" w:rsidRPr="00C51D5D">
        <w:t xml:space="preserve"> for </w:t>
      </w:r>
      <w:r w:rsidR="00B6450D" w:rsidRPr="00C51D5D">
        <w:t>Hardwood Plywood and Veneer</w:t>
      </w:r>
      <w:r w:rsidR="00F5521D" w:rsidRPr="00C51D5D">
        <w:t xml:space="preserve">, </w:t>
      </w:r>
      <w:r w:rsidR="00B6450D" w:rsidRPr="00C51D5D">
        <w:t>321212</w:t>
      </w:r>
      <w:r w:rsidR="00F5521D" w:rsidRPr="00C51D5D">
        <w:t xml:space="preserve"> for </w:t>
      </w:r>
      <w:r w:rsidR="00B6450D" w:rsidRPr="00C51D5D">
        <w:t>Softwood Plywood and Veneer, 32121 for Engineered Wood Products, 321219 for Particleboard, MDF, OSB, Hardboard and Fiberboard</w:t>
      </w:r>
      <w:r w:rsidR="00F5521D" w:rsidRPr="00600F02">
        <w:t>.</w:t>
      </w:r>
    </w:p>
    <w:p w14:paraId="27F00F24" w14:textId="77777777" w:rsidR="00EF26D9" w:rsidRPr="00647BDC" w:rsidRDefault="00A02539" w:rsidP="00430471">
      <w:pPr>
        <w:pStyle w:val="Sectiona0"/>
      </w:pPr>
      <w:bookmarkStart w:id="20" w:name="(b)_Information_Collected___"/>
      <w:bookmarkEnd w:id="20"/>
      <w:r>
        <w:t>(b)</w:t>
      </w:r>
      <w:r>
        <w:tab/>
      </w:r>
      <w:r w:rsidR="004F418B">
        <w:t>Information</w:t>
      </w:r>
      <w:r w:rsidR="004F418B" w:rsidRPr="00647BDC">
        <w:t xml:space="preserve"> </w:t>
      </w:r>
      <w:r w:rsidR="004F418B">
        <w:t>Collected</w:t>
      </w:r>
    </w:p>
    <w:p w14:paraId="69C20203" w14:textId="6196E642" w:rsidR="00EF26D9" w:rsidRPr="00FA2976" w:rsidRDefault="00A02539" w:rsidP="006B2310">
      <w:pPr>
        <w:pStyle w:val="Paragraph"/>
      </w:pPr>
      <w:r>
        <w:t>(i)</w:t>
      </w:r>
      <w:r>
        <w:tab/>
      </w:r>
      <w:r w:rsidR="004F418B" w:rsidRPr="00647BDC">
        <w:rPr>
          <w:rStyle w:val="Italic"/>
        </w:rPr>
        <w:t>Data Items</w:t>
      </w:r>
      <w:r w:rsidR="004F418B" w:rsidRPr="00600F02">
        <w:t xml:space="preserve">. </w:t>
      </w:r>
      <w:r w:rsidR="006B2310">
        <w:t>The ICR</w:t>
      </w:r>
      <w:r w:rsidR="00EB5CEF">
        <w:t xml:space="preserve"> will require e</w:t>
      </w:r>
      <w:r w:rsidR="004F418B" w:rsidRPr="00600F02">
        <w:t>ach</w:t>
      </w:r>
      <w:r w:rsidR="004F418B" w:rsidRPr="00C51D5D">
        <w:t xml:space="preserve"> owner/operator of each </w:t>
      </w:r>
      <w:r w:rsidR="00864A29">
        <w:t xml:space="preserve">major source </w:t>
      </w:r>
      <w:r w:rsidR="004F418B" w:rsidRPr="00C51D5D">
        <w:t xml:space="preserve">affected </w:t>
      </w:r>
      <w:r w:rsidR="00D1216F">
        <w:t xml:space="preserve">facility </w:t>
      </w:r>
      <w:r w:rsidR="004F418B" w:rsidRPr="00C51D5D">
        <w:t>to complete an electronic survey that contains several components</w:t>
      </w:r>
      <w:r w:rsidR="00674C80">
        <w:t xml:space="preserve">. </w:t>
      </w:r>
      <w:r w:rsidR="00864A29">
        <w:t xml:space="preserve">Facilities that are synthetic area sources would only be required to complete a one-page form and provide supporting documentation of their synthetic area source status. </w:t>
      </w:r>
      <w:r w:rsidR="00D9689C" w:rsidRPr="00C51D5D">
        <w:t>The</w:t>
      </w:r>
      <w:r w:rsidR="004F418B" w:rsidRPr="00C51D5D">
        <w:t xml:space="preserve"> </w:t>
      </w:r>
      <w:r w:rsidR="00D9689C" w:rsidRPr="00C51D5D">
        <w:t xml:space="preserve">required </w:t>
      </w:r>
      <w:r w:rsidR="004F418B" w:rsidRPr="00C51D5D">
        <w:t xml:space="preserve">components </w:t>
      </w:r>
      <w:r w:rsidR="00D524F9">
        <w:t xml:space="preserve">of the </w:t>
      </w:r>
      <w:r w:rsidR="00D524F9" w:rsidRPr="00C51D5D">
        <w:t xml:space="preserve">survey </w:t>
      </w:r>
      <w:r w:rsidR="00864A29">
        <w:t xml:space="preserve">for major sources </w:t>
      </w:r>
      <w:r w:rsidR="00D9689C" w:rsidRPr="00C51D5D">
        <w:t>vary based on the PCWP industry segment</w:t>
      </w:r>
      <w:r w:rsidR="00674C80">
        <w:t xml:space="preserve">. </w:t>
      </w:r>
      <w:r w:rsidR="004F418B" w:rsidRPr="00C51D5D">
        <w:t xml:space="preserve">The draft electronic survey is a Microsoft Excel spreadsheet file </w:t>
      </w:r>
      <w:r w:rsidR="003C56CA">
        <w:t>(</w:t>
      </w:r>
      <w:r w:rsidR="003C56CA" w:rsidRPr="00622924">
        <w:rPr>
          <w:rStyle w:val="Italic"/>
        </w:rPr>
        <w:t>PCWP_survey.xlsx</w:t>
      </w:r>
      <w:r w:rsidR="003C56CA">
        <w:t xml:space="preserve">) </w:t>
      </w:r>
      <w:r w:rsidR="004F418B" w:rsidRPr="00C51D5D">
        <w:t xml:space="preserve">that is divided into several worksheets </w:t>
      </w:r>
      <w:r w:rsidR="003C56CA">
        <w:t xml:space="preserve">or </w:t>
      </w:r>
      <w:r w:rsidR="004F418B" w:rsidRPr="00C51D5D">
        <w:t xml:space="preserve">“tabs” within the spreadsheet. </w:t>
      </w:r>
      <w:r w:rsidR="003C56CA">
        <w:t xml:space="preserve">A separate spreadsheet is provided for collection of </w:t>
      </w:r>
      <w:r w:rsidR="00A01EAE">
        <w:t xml:space="preserve">CEMS </w:t>
      </w:r>
      <w:r w:rsidR="003C56CA">
        <w:t>data (</w:t>
      </w:r>
      <w:r w:rsidR="003C56CA" w:rsidRPr="00622924">
        <w:rPr>
          <w:rStyle w:val="Italic"/>
        </w:rPr>
        <w:t>PCWP_CEMS.xlsx</w:t>
      </w:r>
      <w:r w:rsidR="003C56CA">
        <w:t xml:space="preserve">). </w:t>
      </w:r>
      <w:r w:rsidR="004F418B" w:rsidRPr="00C51D5D">
        <w:t xml:space="preserve">Table 1 </w:t>
      </w:r>
      <w:r w:rsidR="002F0B86">
        <w:t xml:space="preserve">of this document </w:t>
      </w:r>
      <w:r w:rsidR="004F418B" w:rsidRPr="00C51D5D">
        <w:t xml:space="preserve">denotes which </w:t>
      </w:r>
      <w:r w:rsidR="00431330" w:rsidRPr="00C51D5D">
        <w:t xml:space="preserve">PCWP </w:t>
      </w:r>
      <w:r w:rsidR="004F418B" w:rsidRPr="00C51D5D">
        <w:t>survey spreadsheet tabs are to be completed</w:t>
      </w:r>
      <w:r w:rsidR="005E346D">
        <w:t>,</w:t>
      </w:r>
      <w:r w:rsidR="004F418B" w:rsidRPr="00C51D5D">
        <w:t xml:space="preserve"> depending on the type of </w:t>
      </w:r>
      <w:r w:rsidR="00D1216F">
        <w:t>facility</w:t>
      </w:r>
      <w:r w:rsidR="00303708">
        <w:t xml:space="preserve">. </w:t>
      </w:r>
      <w:r w:rsidR="004F418B" w:rsidRPr="000C2960">
        <w:t>The</w:t>
      </w:r>
      <w:r w:rsidR="004F418B" w:rsidRPr="00600F02">
        <w:t xml:space="preserve"> </w:t>
      </w:r>
      <w:r w:rsidR="00FA40B4" w:rsidRPr="00647BDC">
        <w:rPr>
          <w:rStyle w:val="Italic"/>
        </w:rPr>
        <w:t>Mill</w:t>
      </w:r>
      <w:r w:rsidR="004F418B" w:rsidRPr="00600F02">
        <w:t xml:space="preserve">, </w:t>
      </w:r>
      <w:r w:rsidR="00FA40B4" w:rsidRPr="00647BDC">
        <w:rPr>
          <w:rStyle w:val="Italic"/>
        </w:rPr>
        <w:t>Prod</w:t>
      </w:r>
      <w:r w:rsidR="004F418B" w:rsidRPr="00FA2976">
        <w:t xml:space="preserve">, </w:t>
      </w:r>
      <w:r w:rsidR="004F418B" w:rsidRPr="00647BDC">
        <w:rPr>
          <w:rStyle w:val="Italic"/>
        </w:rPr>
        <w:t>Equip</w:t>
      </w:r>
      <w:r w:rsidRPr="00647BDC">
        <w:rPr>
          <w:rStyle w:val="Italic"/>
        </w:rPr>
        <w:t>D</w:t>
      </w:r>
      <w:r w:rsidR="004F418B" w:rsidRPr="00647BDC">
        <w:rPr>
          <w:rStyle w:val="Italic"/>
        </w:rPr>
        <w:t>etail</w:t>
      </w:r>
      <w:r w:rsidR="00FA40B4" w:rsidRPr="00600F02">
        <w:t xml:space="preserve">, </w:t>
      </w:r>
      <w:r w:rsidR="00FA40B4" w:rsidRPr="00647BDC">
        <w:rPr>
          <w:rStyle w:val="Italic"/>
        </w:rPr>
        <w:t>ReleaseP</w:t>
      </w:r>
      <w:r w:rsidR="008A276B">
        <w:rPr>
          <w:rStyle w:val="Italic"/>
        </w:rPr>
        <w:t>t</w:t>
      </w:r>
      <w:r w:rsidR="00FA40B4" w:rsidRPr="00600F02">
        <w:t xml:space="preserve">, </w:t>
      </w:r>
      <w:r w:rsidR="00FA40B4" w:rsidRPr="00647BDC">
        <w:rPr>
          <w:rStyle w:val="Italic"/>
        </w:rPr>
        <w:t>Permit</w:t>
      </w:r>
      <w:r w:rsidR="00E824C9">
        <w:t xml:space="preserve">, and </w:t>
      </w:r>
      <w:r w:rsidR="00E824C9" w:rsidRPr="00622924">
        <w:rPr>
          <w:rStyle w:val="Italic"/>
        </w:rPr>
        <w:t xml:space="preserve">HAP </w:t>
      </w:r>
      <w:r w:rsidR="004F418B" w:rsidRPr="00622924">
        <w:rPr>
          <w:rStyle w:val="Italic"/>
        </w:rPr>
        <w:t>Emissions</w:t>
      </w:r>
      <w:r w:rsidR="004F418B" w:rsidRPr="00622924">
        <w:t xml:space="preserve"> </w:t>
      </w:r>
      <w:r w:rsidR="004F418B" w:rsidRPr="00FA2976">
        <w:t>tabs</w:t>
      </w:r>
      <w:r w:rsidR="004F418B" w:rsidRPr="00600F02">
        <w:t xml:space="preserve"> </w:t>
      </w:r>
      <w:r w:rsidR="004F418B" w:rsidRPr="00303708">
        <w:t xml:space="preserve">must be completed </w:t>
      </w:r>
      <w:r w:rsidR="009C009B">
        <w:t>by</w:t>
      </w:r>
      <w:r w:rsidR="004F418B" w:rsidRPr="00303708">
        <w:t xml:space="preserve"> all</w:t>
      </w:r>
      <w:r w:rsidR="00FA40B4" w:rsidRPr="00303708">
        <w:t xml:space="preserve"> </w:t>
      </w:r>
      <w:r w:rsidR="009C009B">
        <w:t xml:space="preserve">surveyed </w:t>
      </w:r>
      <w:r w:rsidR="00FA40B4" w:rsidRPr="00303708">
        <w:t>PCWP</w:t>
      </w:r>
      <w:r w:rsidR="004F418B" w:rsidRPr="00303708">
        <w:t xml:space="preserve"> </w:t>
      </w:r>
      <w:r w:rsidR="00D1216F">
        <w:t>facilities</w:t>
      </w:r>
      <w:r w:rsidR="002E13CD">
        <w:t xml:space="preserve"> and all </w:t>
      </w:r>
      <w:r w:rsidR="00562135" w:rsidRPr="00BA0A5E">
        <w:t>lumber mills with dry kilns</w:t>
      </w:r>
      <w:r w:rsidR="00562135">
        <w:t xml:space="preserve"> </w:t>
      </w:r>
      <w:r w:rsidR="004F418B" w:rsidRPr="00303708">
        <w:t>that are major sources of HAP emissions.</w:t>
      </w:r>
      <w:r w:rsidR="00303708" w:rsidRPr="00303708">
        <w:t xml:space="preserve"> </w:t>
      </w:r>
      <w:r w:rsidR="00FA2976" w:rsidRPr="00303708">
        <w:t>Other tabs will be required on the installed process equipment, depending on either the business segment and/or the facility</w:t>
      </w:r>
      <w:r w:rsidR="004F418B" w:rsidRPr="00303708">
        <w:t xml:space="preserve">. </w:t>
      </w:r>
      <w:r w:rsidR="00D1216F">
        <w:t>Facilities</w:t>
      </w:r>
      <w:r w:rsidR="004F418B" w:rsidRPr="00303708">
        <w:t xml:space="preserve"> will also be asked to supply </w:t>
      </w:r>
      <w:r w:rsidR="00D524F9">
        <w:t>supporting documentation</w:t>
      </w:r>
      <w:r w:rsidR="005E346D">
        <w:t>,</w:t>
      </w:r>
      <w:r w:rsidR="00D524F9">
        <w:t xml:space="preserve"> such as </w:t>
      </w:r>
      <w:r w:rsidR="004F418B" w:rsidRPr="00303708">
        <w:t>process flow diagrams</w:t>
      </w:r>
      <w:r w:rsidR="005A514A">
        <w:t xml:space="preserve"> and </w:t>
      </w:r>
      <w:r w:rsidR="00D524F9">
        <w:t>copies of operating permits.</w:t>
      </w:r>
    </w:p>
    <w:p w14:paraId="52D41A8F" w14:textId="77777777" w:rsidR="00EF26D9" w:rsidRPr="00647BDC" w:rsidRDefault="00E96FB2" w:rsidP="00647BDC">
      <w:pPr>
        <w:pStyle w:val="TableTitle"/>
      </w:pPr>
      <w:r w:rsidRPr="00725522">
        <w:t xml:space="preserve">Table 1. </w:t>
      </w:r>
      <w:r w:rsidR="004F418B" w:rsidRPr="00725522">
        <w:t>Survey Spreadsheets and Tabs to Complete</w:t>
      </w:r>
    </w:p>
    <w:tbl>
      <w:tblPr>
        <w:tblW w:w="5000" w:type="pct"/>
        <w:tblCellMar>
          <w:left w:w="72" w:type="dxa"/>
          <w:right w:w="72" w:type="dxa"/>
        </w:tblCellMar>
        <w:tblLook w:val="01E0" w:firstRow="1" w:lastRow="1" w:firstColumn="1" w:lastColumn="1" w:noHBand="0" w:noVBand="0"/>
      </w:tblPr>
      <w:tblGrid>
        <w:gridCol w:w="2587"/>
        <w:gridCol w:w="3798"/>
        <w:gridCol w:w="1296"/>
        <w:gridCol w:w="1823"/>
      </w:tblGrid>
      <w:tr w:rsidR="00284D31" w:rsidRPr="00D9689C" w14:paraId="7B9423AD" w14:textId="3A44A444" w:rsidTr="00AB141D">
        <w:trPr>
          <w:cantSplit/>
          <w:tblHeader/>
        </w:trPr>
        <w:tc>
          <w:tcPr>
            <w:tcW w:w="1361" w:type="pct"/>
            <w:tcBorders>
              <w:top w:val="single" w:sz="6" w:space="0" w:color="000000"/>
              <w:left w:val="single" w:sz="6" w:space="0" w:color="000000"/>
              <w:bottom w:val="single" w:sz="6" w:space="0" w:color="auto"/>
              <w:right w:val="single" w:sz="6" w:space="0" w:color="000000"/>
            </w:tcBorders>
            <w:shd w:val="clear" w:color="auto" w:fill="D9D9D9" w:themeFill="background1" w:themeFillShade="D9"/>
            <w:vAlign w:val="bottom"/>
          </w:tcPr>
          <w:p w14:paraId="2E0BC840" w14:textId="77777777" w:rsidR="00284D31" w:rsidRPr="00647BDC" w:rsidRDefault="00284D31" w:rsidP="00647BDC">
            <w:pPr>
              <w:pStyle w:val="TableHeading"/>
            </w:pPr>
            <w:r w:rsidRPr="00647BDC">
              <w:t>Spreadsheet tab</w:t>
            </w:r>
            <w:r>
              <w:t xml:space="preserve"> (abbreviated tab name)</w:t>
            </w:r>
          </w:p>
        </w:tc>
        <w:tc>
          <w:tcPr>
            <w:tcW w:w="1998" w:type="pct"/>
            <w:tcBorders>
              <w:top w:val="single" w:sz="6" w:space="0" w:color="000000"/>
              <w:left w:val="single" w:sz="6" w:space="0" w:color="000000"/>
              <w:bottom w:val="single" w:sz="6" w:space="0" w:color="auto"/>
              <w:right w:val="single" w:sz="6" w:space="0" w:color="000000"/>
            </w:tcBorders>
            <w:shd w:val="clear" w:color="auto" w:fill="D9D9D9" w:themeFill="background1" w:themeFillShade="D9"/>
            <w:vAlign w:val="bottom"/>
          </w:tcPr>
          <w:p w14:paraId="150E1319" w14:textId="77777777" w:rsidR="00284D31" w:rsidRPr="00647BDC" w:rsidRDefault="00284D31" w:rsidP="009A4BBB">
            <w:pPr>
              <w:pStyle w:val="TableHeading"/>
            </w:pPr>
            <w:r w:rsidRPr="00647BDC">
              <w:t xml:space="preserve">Types of facilities </w:t>
            </w:r>
            <w:r>
              <w:t xml:space="preserve">expected to </w:t>
            </w:r>
            <w:r w:rsidRPr="00647BDC">
              <w:t>complete this spreadsheet tab</w:t>
            </w:r>
          </w:p>
        </w:tc>
        <w:tc>
          <w:tcPr>
            <w:tcW w:w="682" w:type="pct"/>
            <w:tcBorders>
              <w:top w:val="single" w:sz="6" w:space="0" w:color="000000"/>
              <w:left w:val="single" w:sz="6" w:space="0" w:color="000000"/>
              <w:bottom w:val="single" w:sz="6" w:space="0" w:color="auto"/>
              <w:right w:val="single" w:sz="6" w:space="0" w:color="000000"/>
            </w:tcBorders>
            <w:shd w:val="clear" w:color="auto" w:fill="D9D9D9" w:themeFill="background1" w:themeFillShade="D9"/>
            <w:vAlign w:val="bottom"/>
          </w:tcPr>
          <w:p w14:paraId="57FF635F" w14:textId="77777777" w:rsidR="00284D31" w:rsidRPr="00647BDC" w:rsidRDefault="00284D31" w:rsidP="00647BDC">
            <w:pPr>
              <w:pStyle w:val="TableHeading"/>
            </w:pPr>
            <w:r w:rsidRPr="00647BDC">
              <w:t>Estimated number of facilities</w:t>
            </w:r>
          </w:p>
        </w:tc>
        <w:tc>
          <w:tcPr>
            <w:tcW w:w="959" w:type="pct"/>
            <w:tcBorders>
              <w:top w:val="single" w:sz="6" w:space="0" w:color="000000"/>
              <w:left w:val="single" w:sz="6" w:space="0" w:color="000000"/>
              <w:bottom w:val="single" w:sz="6" w:space="0" w:color="auto"/>
              <w:right w:val="single" w:sz="6" w:space="0" w:color="000000"/>
            </w:tcBorders>
            <w:shd w:val="clear" w:color="auto" w:fill="D9D9D9" w:themeFill="background1" w:themeFillShade="D9"/>
          </w:tcPr>
          <w:p w14:paraId="765E8630" w14:textId="67830832" w:rsidR="00284D31" w:rsidRPr="00647BDC" w:rsidRDefault="00284D31" w:rsidP="00647BDC">
            <w:pPr>
              <w:pStyle w:val="TableHeading"/>
            </w:pPr>
            <w:r w:rsidRPr="00284D31">
              <w:t xml:space="preserve">Estimated number of </w:t>
            </w:r>
            <w:r w:rsidR="00562135" w:rsidRPr="00BA0A5E">
              <w:t>lumber mills with dry kilns</w:t>
            </w:r>
          </w:p>
        </w:tc>
      </w:tr>
      <w:tr w:rsidR="00284D31" w:rsidRPr="00D9689C" w14:paraId="150FFF02" w14:textId="234ED633" w:rsidTr="00AB141D">
        <w:trPr>
          <w:cantSplit/>
        </w:trPr>
        <w:tc>
          <w:tcPr>
            <w:tcW w:w="1361" w:type="pct"/>
            <w:tcBorders>
              <w:top w:val="single" w:sz="6" w:space="0" w:color="auto"/>
              <w:left w:val="single" w:sz="5" w:space="0" w:color="000000"/>
              <w:bottom w:val="single" w:sz="5" w:space="0" w:color="000000"/>
            </w:tcBorders>
            <w:shd w:val="clear" w:color="auto" w:fill="DAEEF3" w:themeFill="accent5" w:themeFillTint="33"/>
          </w:tcPr>
          <w:p w14:paraId="7D29A0D3" w14:textId="77777777" w:rsidR="00284D31" w:rsidRPr="00AF3EEF" w:rsidRDefault="00284D31" w:rsidP="00D524F9">
            <w:pPr>
              <w:pStyle w:val="TableTextLeft"/>
              <w:keepNext/>
              <w:tabs>
                <w:tab w:val="center" w:pos="929"/>
              </w:tabs>
              <w:rPr>
                <w:rStyle w:val="BoldItalic"/>
              </w:rPr>
            </w:pPr>
            <w:r w:rsidRPr="00AF3EEF">
              <w:rPr>
                <w:rStyle w:val="BoldItalic"/>
              </w:rPr>
              <w:t>PCWP_survey.xlsx</w:t>
            </w:r>
          </w:p>
        </w:tc>
        <w:tc>
          <w:tcPr>
            <w:tcW w:w="1998" w:type="pct"/>
            <w:tcBorders>
              <w:top w:val="single" w:sz="6" w:space="0" w:color="auto"/>
              <w:bottom w:val="single" w:sz="6" w:space="0" w:color="000000"/>
            </w:tcBorders>
            <w:shd w:val="clear" w:color="auto" w:fill="DAEEF3" w:themeFill="accent5" w:themeFillTint="33"/>
          </w:tcPr>
          <w:p w14:paraId="410BBDF5" w14:textId="77777777" w:rsidR="00284D31" w:rsidRPr="00D9689C" w:rsidRDefault="00284D31" w:rsidP="00D524F9">
            <w:pPr>
              <w:pStyle w:val="TableTextLeft"/>
              <w:keepNext/>
            </w:pPr>
          </w:p>
        </w:tc>
        <w:tc>
          <w:tcPr>
            <w:tcW w:w="682" w:type="pct"/>
            <w:tcBorders>
              <w:top w:val="single" w:sz="6" w:space="0" w:color="auto"/>
              <w:left w:val="nil"/>
              <w:bottom w:val="single" w:sz="6" w:space="0" w:color="000000"/>
            </w:tcBorders>
            <w:shd w:val="clear" w:color="auto" w:fill="DAEEF3" w:themeFill="accent5" w:themeFillTint="33"/>
          </w:tcPr>
          <w:p w14:paraId="7A832ADB" w14:textId="77777777" w:rsidR="00284D31" w:rsidRDefault="00284D31" w:rsidP="00D524F9">
            <w:pPr>
              <w:pStyle w:val="TableTextCentered"/>
              <w:keepNext/>
            </w:pPr>
          </w:p>
        </w:tc>
        <w:tc>
          <w:tcPr>
            <w:tcW w:w="959" w:type="pct"/>
            <w:tcBorders>
              <w:top w:val="single" w:sz="6" w:space="0" w:color="auto"/>
              <w:bottom w:val="single" w:sz="6" w:space="0" w:color="000000"/>
              <w:right w:val="single" w:sz="6" w:space="0" w:color="000000"/>
            </w:tcBorders>
            <w:shd w:val="clear" w:color="auto" w:fill="DAEEF3" w:themeFill="accent5" w:themeFillTint="33"/>
          </w:tcPr>
          <w:p w14:paraId="227C389F" w14:textId="77777777" w:rsidR="00284D31" w:rsidRDefault="00284D31" w:rsidP="00D524F9">
            <w:pPr>
              <w:pStyle w:val="TableTextCentered"/>
              <w:keepNext/>
            </w:pPr>
          </w:p>
        </w:tc>
      </w:tr>
      <w:tr w:rsidR="00284D31" w:rsidRPr="00D9689C" w14:paraId="46D77D2A" w14:textId="1294FA4A"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21B6B57D" w14:textId="2103175E" w:rsidR="00284D31" w:rsidRPr="00647BDC" w:rsidRDefault="00284D31" w:rsidP="00284D31">
            <w:pPr>
              <w:pStyle w:val="TableTextLeft"/>
              <w:keepNext/>
              <w:tabs>
                <w:tab w:val="center" w:pos="929"/>
              </w:tabs>
              <w:rPr>
                <w:rFonts w:eastAsia="Times New Roman" w:cs="Times New Roman"/>
              </w:rPr>
            </w:pPr>
            <w:r w:rsidRPr="00647BDC">
              <w:t>Mill</w:t>
            </w:r>
            <w:r>
              <w:t xml:space="preserve"> </w:t>
            </w:r>
            <w:r w:rsidR="00A876D2">
              <w:t xml:space="preserve">(general information) </w:t>
            </w:r>
            <w:r>
              <w:t>(Mill)</w:t>
            </w:r>
          </w:p>
        </w:tc>
        <w:tc>
          <w:tcPr>
            <w:tcW w:w="1998" w:type="pct"/>
            <w:tcBorders>
              <w:top w:val="single" w:sz="6" w:space="0" w:color="000000"/>
              <w:left w:val="single" w:sz="5" w:space="0" w:color="000000"/>
              <w:bottom w:val="single" w:sz="5" w:space="0" w:color="000000"/>
              <w:right w:val="single" w:sz="5" w:space="0" w:color="000000"/>
            </w:tcBorders>
          </w:tcPr>
          <w:p w14:paraId="795D3401" w14:textId="77777777" w:rsidR="00284D31" w:rsidRPr="00D9689C" w:rsidRDefault="00284D31" w:rsidP="00284D31">
            <w:pPr>
              <w:pStyle w:val="TableTextLeft"/>
              <w:keepNext/>
              <w:rPr>
                <w:rFonts w:eastAsia="Times New Roman" w:cs="Times New Roman"/>
                <w:szCs w:val="20"/>
              </w:rPr>
            </w:pPr>
            <w:r w:rsidRPr="00D9689C">
              <w:t xml:space="preserve">All </w:t>
            </w:r>
            <w:r>
              <w:t>facilities</w:t>
            </w:r>
          </w:p>
        </w:tc>
        <w:tc>
          <w:tcPr>
            <w:tcW w:w="682" w:type="pct"/>
            <w:tcBorders>
              <w:top w:val="single" w:sz="6" w:space="0" w:color="000000"/>
              <w:left w:val="single" w:sz="5" w:space="0" w:color="000000"/>
              <w:bottom w:val="single" w:sz="5" w:space="0" w:color="000000"/>
              <w:right w:val="single" w:sz="5" w:space="0" w:color="000000"/>
            </w:tcBorders>
          </w:tcPr>
          <w:p w14:paraId="07A10207" w14:textId="096D43C3" w:rsidR="00284D31" w:rsidRPr="007A7B63" w:rsidRDefault="00284D31" w:rsidP="00284D31">
            <w:pPr>
              <w:pStyle w:val="TableTextCentered"/>
              <w:keepNext/>
            </w:pPr>
            <w:r w:rsidRPr="00DB7B5C">
              <w:t>18</w:t>
            </w:r>
            <w:r w:rsidR="00A529BB">
              <w:t>6</w:t>
            </w:r>
          </w:p>
        </w:tc>
        <w:tc>
          <w:tcPr>
            <w:tcW w:w="959" w:type="pct"/>
            <w:tcBorders>
              <w:top w:val="single" w:sz="6" w:space="0" w:color="000000"/>
              <w:left w:val="single" w:sz="5" w:space="0" w:color="000000"/>
              <w:bottom w:val="single" w:sz="5" w:space="0" w:color="000000"/>
              <w:right w:val="single" w:sz="5" w:space="0" w:color="000000"/>
            </w:tcBorders>
          </w:tcPr>
          <w:p w14:paraId="7852AA24" w14:textId="3FCD4258" w:rsidR="00284D31" w:rsidRPr="007A7B63" w:rsidRDefault="00284D31" w:rsidP="00284D31">
            <w:pPr>
              <w:pStyle w:val="TableTextCentered"/>
              <w:keepNext/>
            </w:pPr>
            <w:r w:rsidRPr="00DB7B5C">
              <w:t>2</w:t>
            </w:r>
            <w:r w:rsidR="00725522">
              <w:t>0</w:t>
            </w:r>
            <w:r w:rsidR="00A529BB">
              <w:t>5</w:t>
            </w:r>
          </w:p>
        </w:tc>
      </w:tr>
      <w:tr w:rsidR="00284D31" w:rsidRPr="00D9689C" w14:paraId="79DA4546" w14:textId="16562F4D"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53E99E0E" w14:textId="77777777" w:rsidR="00284D31" w:rsidRPr="00647BDC" w:rsidRDefault="00284D31" w:rsidP="00284D31">
            <w:pPr>
              <w:pStyle w:val="TableTextLeft"/>
              <w:keepNext/>
              <w:rPr>
                <w:rFonts w:eastAsia="Times New Roman" w:cs="Times New Roman"/>
              </w:rPr>
            </w:pPr>
            <w:r w:rsidRPr="00647BDC">
              <w:t>Products</w:t>
            </w:r>
            <w:r>
              <w:t xml:space="preserve"> (Prod)</w:t>
            </w:r>
          </w:p>
        </w:tc>
        <w:tc>
          <w:tcPr>
            <w:tcW w:w="1998" w:type="pct"/>
            <w:tcBorders>
              <w:top w:val="single" w:sz="5" w:space="0" w:color="000000"/>
              <w:left w:val="single" w:sz="5" w:space="0" w:color="000000"/>
              <w:bottom w:val="single" w:sz="5" w:space="0" w:color="000000"/>
              <w:right w:val="single" w:sz="5" w:space="0" w:color="000000"/>
            </w:tcBorders>
          </w:tcPr>
          <w:p w14:paraId="44616B35" w14:textId="77777777" w:rsidR="00284D31" w:rsidRPr="00D9689C" w:rsidRDefault="00284D31" w:rsidP="00284D31">
            <w:pPr>
              <w:pStyle w:val="TableTextLeft"/>
              <w:keepNext/>
              <w:rPr>
                <w:rFonts w:eastAsia="Times New Roman" w:cs="Times New Roman"/>
                <w:szCs w:val="20"/>
              </w:rPr>
            </w:pPr>
            <w:r w:rsidRPr="00D9689C">
              <w:t xml:space="preserve">All </w:t>
            </w:r>
            <w:r>
              <w:t>facilities</w:t>
            </w:r>
          </w:p>
        </w:tc>
        <w:tc>
          <w:tcPr>
            <w:tcW w:w="682" w:type="pct"/>
            <w:tcBorders>
              <w:top w:val="single" w:sz="5" w:space="0" w:color="000000"/>
              <w:left w:val="single" w:sz="5" w:space="0" w:color="000000"/>
              <w:bottom w:val="single" w:sz="5" w:space="0" w:color="000000"/>
              <w:right w:val="single" w:sz="5" w:space="0" w:color="000000"/>
            </w:tcBorders>
          </w:tcPr>
          <w:p w14:paraId="685AAE36" w14:textId="4076EDC7" w:rsidR="00284D31" w:rsidRPr="007A7B63" w:rsidRDefault="00284D31" w:rsidP="00284D31">
            <w:pPr>
              <w:pStyle w:val="TableTextCentered"/>
              <w:keepNext/>
            </w:pPr>
            <w:r w:rsidRPr="00DB7B5C">
              <w:t>18</w:t>
            </w:r>
            <w:r w:rsidR="00A529BB">
              <w:t>6</w:t>
            </w:r>
          </w:p>
        </w:tc>
        <w:tc>
          <w:tcPr>
            <w:tcW w:w="959" w:type="pct"/>
            <w:tcBorders>
              <w:top w:val="single" w:sz="5" w:space="0" w:color="000000"/>
              <w:left w:val="single" w:sz="5" w:space="0" w:color="000000"/>
              <w:bottom w:val="single" w:sz="5" w:space="0" w:color="000000"/>
              <w:right w:val="single" w:sz="5" w:space="0" w:color="000000"/>
            </w:tcBorders>
          </w:tcPr>
          <w:p w14:paraId="03615925" w14:textId="2D8CD3E5" w:rsidR="00284D31" w:rsidRPr="007A7B63" w:rsidRDefault="00284D31" w:rsidP="00284D31">
            <w:pPr>
              <w:pStyle w:val="TableTextCentered"/>
              <w:keepNext/>
            </w:pPr>
            <w:r w:rsidRPr="00DB7B5C">
              <w:t>2</w:t>
            </w:r>
            <w:r w:rsidR="00725522">
              <w:t>0</w:t>
            </w:r>
            <w:r w:rsidR="00A529BB">
              <w:t>5</w:t>
            </w:r>
          </w:p>
        </w:tc>
      </w:tr>
      <w:tr w:rsidR="00284D31" w:rsidRPr="00D9689C" w14:paraId="507D6D14" w14:textId="48A58E72"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45A091B4" w14:textId="77777777" w:rsidR="00284D31" w:rsidRPr="00647BDC" w:rsidRDefault="00284D31" w:rsidP="00284D31">
            <w:pPr>
              <w:pStyle w:val="TableTextLeft"/>
              <w:keepNext/>
              <w:rPr>
                <w:rFonts w:eastAsia="Times New Roman" w:cs="Times New Roman"/>
              </w:rPr>
            </w:pPr>
            <w:r w:rsidRPr="00647BDC">
              <w:t>Equipment detail</w:t>
            </w:r>
            <w:r>
              <w:t xml:space="preserve"> (EquipDetail)</w:t>
            </w:r>
          </w:p>
        </w:tc>
        <w:tc>
          <w:tcPr>
            <w:tcW w:w="1998" w:type="pct"/>
            <w:tcBorders>
              <w:top w:val="single" w:sz="5" w:space="0" w:color="000000"/>
              <w:left w:val="single" w:sz="5" w:space="0" w:color="000000"/>
              <w:bottom w:val="single" w:sz="5" w:space="0" w:color="000000"/>
              <w:right w:val="single" w:sz="5" w:space="0" w:color="000000"/>
            </w:tcBorders>
          </w:tcPr>
          <w:p w14:paraId="3C028939" w14:textId="77777777" w:rsidR="00284D31" w:rsidRPr="00D9689C" w:rsidRDefault="00284D31" w:rsidP="00284D31">
            <w:pPr>
              <w:pStyle w:val="TableTextLeft"/>
              <w:keepNext/>
              <w:rPr>
                <w:rFonts w:eastAsia="Times New Roman" w:cs="Times New Roman"/>
                <w:szCs w:val="20"/>
              </w:rPr>
            </w:pPr>
            <w:r w:rsidRPr="00D9689C">
              <w:t xml:space="preserve">All </w:t>
            </w:r>
            <w:r>
              <w:t>facilities</w:t>
            </w:r>
          </w:p>
        </w:tc>
        <w:tc>
          <w:tcPr>
            <w:tcW w:w="682" w:type="pct"/>
            <w:tcBorders>
              <w:top w:val="single" w:sz="5" w:space="0" w:color="000000"/>
              <w:left w:val="single" w:sz="5" w:space="0" w:color="000000"/>
              <w:bottom w:val="single" w:sz="5" w:space="0" w:color="000000"/>
              <w:right w:val="single" w:sz="5" w:space="0" w:color="000000"/>
            </w:tcBorders>
          </w:tcPr>
          <w:p w14:paraId="48571996" w14:textId="0EA9C18D" w:rsidR="00284D31" w:rsidRPr="007A7B63" w:rsidRDefault="00284D31" w:rsidP="00284D31">
            <w:pPr>
              <w:pStyle w:val="TableTextCentered"/>
              <w:keepNext/>
            </w:pPr>
            <w:r w:rsidRPr="00DB7B5C">
              <w:t>18</w:t>
            </w:r>
            <w:r w:rsidR="00A529BB">
              <w:t>6</w:t>
            </w:r>
          </w:p>
        </w:tc>
        <w:tc>
          <w:tcPr>
            <w:tcW w:w="959" w:type="pct"/>
            <w:tcBorders>
              <w:top w:val="single" w:sz="5" w:space="0" w:color="000000"/>
              <w:left w:val="single" w:sz="5" w:space="0" w:color="000000"/>
              <w:bottom w:val="single" w:sz="5" w:space="0" w:color="000000"/>
              <w:right w:val="single" w:sz="5" w:space="0" w:color="000000"/>
            </w:tcBorders>
          </w:tcPr>
          <w:p w14:paraId="1256997D" w14:textId="2172EB08" w:rsidR="00284D31" w:rsidRPr="007A7B63" w:rsidRDefault="00284D31" w:rsidP="00284D31">
            <w:pPr>
              <w:pStyle w:val="TableTextCentered"/>
              <w:keepNext/>
            </w:pPr>
            <w:r w:rsidRPr="00DB7B5C">
              <w:t>2</w:t>
            </w:r>
            <w:r w:rsidR="00725522">
              <w:t>0</w:t>
            </w:r>
            <w:r w:rsidR="00A529BB">
              <w:t>5</w:t>
            </w:r>
          </w:p>
        </w:tc>
      </w:tr>
      <w:tr w:rsidR="00284D31" w:rsidRPr="00D9689C" w14:paraId="64A57069" w14:textId="1F4AFD5F"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76CE6D15" w14:textId="77777777" w:rsidR="00284D31" w:rsidRPr="00647BDC" w:rsidRDefault="00284D31" w:rsidP="00284D31">
            <w:pPr>
              <w:pStyle w:val="TableTextLeft"/>
              <w:keepNext/>
              <w:rPr>
                <w:rFonts w:eastAsia="Times New Roman" w:cs="Times New Roman"/>
              </w:rPr>
            </w:pPr>
            <w:r w:rsidRPr="00647BDC">
              <w:t>Release Point Detail</w:t>
            </w:r>
            <w:r>
              <w:t xml:space="preserve"> (ReleasePt)</w:t>
            </w:r>
          </w:p>
        </w:tc>
        <w:tc>
          <w:tcPr>
            <w:tcW w:w="1998" w:type="pct"/>
            <w:tcBorders>
              <w:top w:val="single" w:sz="5" w:space="0" w:color="000000"/>
              <w:left w:val="single" w:sz="5" w:space="0" w:color="000000"/>
              <w:bottom w:val="single" w:sz="5" w:space="0" w:color="000000"/>
              <w:right w:val="single" w:sz="5" w:space="0" w:color="000000"/>
            </w:tcBorders>
          </w:tcPr>
          <w:p w14:paraId="683BB025" w14:textId="77777777" w:rsidR="00284D31" w:rsidRPr="00D9689C" w:rsidRDefault="00284D31" w:rsidP="00284D31">
            <w:pPr>
              <w:pStyle w:val="TableTextLeft"/>
              <w:keepNext/>
              <w:rPr>
                <w:rFonts w:eastAsia="Times New Roman" w:cs="Times New Roman"/>
                <w:szCs w:val="20"/>
              </w:rPr>
            </w:pPr>
            <w:r w:rsidRPr="00D9689C">
              <w:t xml:space="preserve">All </w:t>
            </w:r>
            <w:r>
              <w:t>facilities</w:t>
            </w:r>
          </w:p>
        </w:tc>
        <w:tc>
          <w:tcPr>
            <w:tcW w:w="682" w:type="pct"/>
            <w:tcBorders>
              <w:top w:val="single" w:sz="5" w:space="0" w:color="000000"/>
              <w:left w:val="single" w:sz="5" w:space="0" w:color="000000"/>
              <w:bottom w:val="single" w:sz="5" w:space="0" w:color="000000"/>
              <w:right w:val="single" w:sz="5" w:space="0" w:color="000000"/>
            </w:tcBorders>
          </w:tcPr>
          <w:p w14:paraId="54E15C79" w14:textId="50AF5D35" w:rsidR="00284D31" w:rsidRPr="007A7B63" w:rsidRDefault="00284D31" w:rsidP="00284D31">
            <w:pPr>
              <w:pStyle w:val="TableTextCentered"/>
              <w:keepNext/>
            </w:pPr>
            <w:r w:rsidRPr="00DB7B5C">
              <w:t>18</w:t>
            </w:r>
            <w:r w:rsidR="00A529BB">
              <w:t>6</w:t>
            </w:r>
          </w:p>
        </w:tc>
        <w:tc>
          <w:tcPr>
            <w:tcW w:w="959" w:type="pct"/>
            <w:tcBorders>
              <w:top w:val="single" w:sz="5" w:space="0" w:color="000000"/>
              <w:left w:val="single" w:sz="5" w:space="0" w:color="000000"/>
              <w:bottom w:val="single" w:sz="5" w:space="0" w:color="000000"/>
              <w:right w:val="single" w:sz="5" w:space="0" w:color="000000"/>
            </w:tcBorders>
          </w:tcPr>
          <w:p w14:paraId="1AE6D864" w14:textId="7297A925" w:rsidR="00284D31" w:rsidRPr="007A7B63" w:rsidRDefault="00284D31" w:rsidP="00284D31">
            <w:pPr>
              <w:pStyle w:val="TableTextCentered"/>
              <w:keepNext/>
            </w:pPr>
            <w:r w:rsidRPr="00DB7B5C">
              <w:t>2</w:t>
            </w:r>
            <w:r w:rsidR="00725522">
              <w:t>0</w:t>
            </w:r>
            <w:r w:rsidR="00A529BB">
              <w:t>5</w:t>
            </w:r>
          </w:p>
        </w:tc>
      </w:tr>
      <w:tr w:rsidR="00284D31" w:rsidRPr="00D9689C" w14:paraId="51E1DFC1" w14:textId="2508349E"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39D65FE9" w14:textId="77777777" w:rsidR="00284D31" w:rsidRPr="00647BDC" w:rsidRDefault="00284D31" w:rsidP="00284D31">
            <w:pPr>
              <w:pStyle w:val="TableTextLeft"/>
            </w:pPr>
            <w:r w:rsidRPr="00647BDC">
              <w:t>Permit</w:t>
            </w:r>
            <w:r>
              <w:t xml:space="preserve"> (Permit)</w:t>
            </w:r>
          </w:p>
        </w:tc>
        <w:tc>
          <w:tcPr>
            <w:tcW w:w="1998" w:type="pct"/>
            <w:tcBorders>
              <w:top w:val="single" w:sz="5" w:space="0" w:color="000000"/>
              <w:left w:val="single" w:sz="5" w:space="0" w:color="000000"/>
              <w:bottom w:val="single" w:sz="5" w:space="0" w:color="000000"/>
              <w:right w:val="single" w:sz="5" w:space="0" w:color="000000"/>
            </w:tcBorders>
          </w:tcPr>
          <w:p w14:paraId="702A3978" w14:textId="77777777" w:rsidR="00284D31" w:rsidRPr="00D9689C" w:rsidRDefault="00284D31" w:rsidP="00284D31">
            <w:pPr>
              <w:pStyle w:val="TableTextLeft"/>
            </w:pPr>
            <w:r w:rsidRPr="00D9689C">
              <w:t xml:space="preserve">All </w:t>
            </w:r>
            <w:r>
              <w:t>facilities</w:t>
            </w:r>
          </w:p>
        </w:tc>
        <w:tc>
          <w:tcPr>
            <w:tcW w:w="682" w:type="pct"/>
            <w:tcBorders>
              <w:top w:val="single" w:sz="5" w:space="0" w:color="000000"/>
              <w:left w:val="single" w:sz="5" w:space="0" w:color="000000"/>
              <w:bottom w:val="single" w:sz="5" w:space="0" w:color="000000"/>
              <w:right w:val="single" w:sz="5" w:space="0" w:color="000000"/>
            </w:tcBorders>
          </w:tcPr>
          <w:p w14:paraId="1EEBA9E8" w14:textId="3F40EA0D" w:rsidR="00284D31" w:rsidRPr="007A7B63" w:rsidRDefault="00284D31" w:rsidP="00284D31">
            <w:pPr>
              <w:pStyle w:val="TableTextCentered"/>
            </w:pPr>
            <w:r w:rsidRPr="00DB7B5C">
              <w:t>18</w:t>
            </w:r>
            <w:r w:rsidR="00A529BB">
              <w:t>6</w:t>
            </w:r>
          </w:p>
        </w:tc>
        <w:tc>
          <w:tcPr>
            <w:tcW w:w="959" w:type="pct"/>
            <w:tcBorders>
              <w:top w:val="single" w:sz="5" w:space="0" w:color="000000"/>
              <w:left w:val="single" w:sz="5" w:space="0" w:color="000000"/>
              <w:bottom w:val="single" w:sz="5" w:space="0" w:color="000000"/>
              <w:right w:val="single" w:sz="5" w:space="0" w:color="000000"/>
            </w:tcBorders>
          </w:tcPr>
          <w:p w14:paraId="46D76565" w14:textId="385FC712" w:rsidR="00284D31" w:rsidRPr="007A7B63" w:rsidRDefault="00284D31" w:rsidP="00284D31">
            <w:pPr>
              <w:pStyle w:val="TableTextCentered"/>
            </w:pPr>
            <w:r w:rsidRPr="00DB7B5C">
              <w:t>2</w:t>
            </w:r>
            <w:r w:rsidR="00725522">
              <w:t>0</w:t>
            </w:r>
            <w:r w:rsidR="00A529BB">
              <w:t>5</w:t>
            </w:r>
          </w:p>
        </w:tc>
      </w:tr>
      <w:tr w:rsidR="00284D31" w:rsidRPr="00D9689C" w14:paraId="0BED3DD8" w14:textId="50599EEB"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6151CAF9" w14:textId="77777777" w:rsidR="00284D31" w:rsidRPr="00647BDC" w:rsidRDefault="00284D31" w:rsidP="00647BDC">
            <w:pPr>
              <w:pStyle w:val="TableTextLeft"/>
            </w:pPr>
            <w:r w:rsidRPr="00647BDC">
              <w:t>Resin</w:t>
            </w:r>
            <w:r>
              <w:t xml:space="preserve"> (Resin)</w:t>
            </w:r>
          </w:p>
        </w:tc>
        <w:tc>
          <w:tcPr>
            <w:tcW w:w="1998" w:type="pct"/>
            <w:tcBorders>
              <w:top w:val="single" w:sz="5" w:space="0" w:color="000000"/>
              <w:left w:val="single" w:sz="5" w:space="0" w:color="000000"/>
              <w:bottom w:val="single" w:sz="5" w:space="0" w:color="000000"/>
              <w:right w:val="single" w:sz="5" w:space="0" w:color="000000"/>
            </w:tcBorders>
          </w:tcPr>
          <w:p w14:paraId="19E4A6D3" w14:textId="739224A7" w:rsidR="00284D31" w:rsidRPr="00D9689C" w:rsidRDefault="00284D31" w:rsidP="00647BDC">
            <w:pPr>
              <w:pStyle w:val="TableTextLeft"/>
            </w:pPr>
            <w:r>
              <w:t>Plywood, OSB, MDF, Hardboard, Particleboard, EWP</w:t>
            </w:r>
          </w:p>
        </w:tc>
        <w:tc>
          <w:tcPr>
            <w:tcW w:w="682" w:type="pct"/>
            <w:tcBorders>
              <w:top w:val="single" w:sz="5" w:space="0" w:color="000000"/>
              <w:left w:val="single" w:sz="5" w:space="0" w:color="000000"/>
              <w:bottom w:val="single" w:sz="5" w:space="0" w:color="000000"/>
              <w:right w:val="single" w:sz="5" w:space="0" w:color="000000"/>
            </w:tcBorders>
          </w:tcPr>
          <w:p w14:paraId="73E0A37F" w14:textId="4D64C8EB" w:rsidR="00284D31" w:rsidRPr="00647BDC" w:rsidRDefault="00284D31" w:rsidP="00647BDC">
            <w:pPr>
              <w:pStyle w:val="TableTextCentered"/>
            </w:pPr>
            <w:r>
              <w:t>17</w:t>
            </w:r>
            <w:r w:rsidR="00A529BB">
              <w:t>1</w:t>
            </w:r>
          </w:p>
        </w:tc>
        <w:tc>
          <w:tcPr>
            <w:tcW w:w="959" w:type="pct"/>
            <w:tcBorders>
              <w:top w:val="single" w:sz="5" w:space="0" w:color="000000"/>
              <w:left w:val="single" w:sz="5" w:space="0" w:color="000000"/>
              <w:bottom w:val="single" w:sz="5" w:space="0" w:color="000000"/>
              <w:right w:val="single" w:sz="5" w:space="0" w:color="000000"/>
            </w:tcBorders>
          </w:tcPr>
          <w:p w14:paraId="1932854D" w14:textId="77777777" w:rsidR="00284D31" w:rsidRPr="00647BDC" w:rsidRDefault="00284D31" w:rsidP="00647BDC">
            <w:pPr>
              <w:pStyle w:val="TableTextCentered"/>
            </w:pPr>
          </w:p>
        </w:tc>
      </w:tr>
      <w:tr w:rsidR="00284D31" w:rsidRPr="00D9689C" w14:paraId="0E9C828D" w14:textId="42308BFA"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276A40F1" w14:textId="77777777" w:rsidR="00284D31" w:rsidRPr="00647BDC" w:rsidRDefault="00284D31" w:rsidP="00647BDC">
            <w:pPr>
              <w:pStyle w:val="TableTextLeft"/>
              <w:rPr>
                <w:rFonts w:eastAsia="Times New Roman" w:cs="Times New Roman"/>
              </w:rPr>
            </w:pPr>
            <w:r w:rsidRPr="00647BDC">
              <w:t>Tanks</w:t>
            </w:r>
            <w:r>
              <w:t xml:space="preserve"> (Tank)</w:t>
            </w:r>
          </w:p>
        </w:tc>
        <w:tc>
          <w:tcPr>
            <w:tcW w:w="1998" w:type="pct"/>
            <w:tcBorders>
              <w:top w:val="single" w:sz="5" w:space="0" w:color="000000"/>
              <w:left w:val="single" w:sz="5" w:space="0" w:color="000000"/>
              <w:bottom w:val="single" w:sz="5" w:space="0" w:color="000000"/>
              <w:right w:val="single" w:sz="5" w:space="0" w:color="000000"/>
            </w:tcBorders>
          </w:tcPr>
          <w:p w14:paraId="324A1D3E" w14:textId="76DE919B" w:rsidR="00284D31" w:rsidRPr="00D9689C" w:rsidRDefault="00284D31" w:rsidP="00647BDC">
            <w:pPr>
              <w:pStyle w:val="TableTextLeft"/>
              <w:rPr>
                <w:rFonts w:eastAsia="Times New Roman" w:cs="Times New Roman"/>
                <w:szCs w:val="20"/>
              </w:rPr>
            </w:pPr>
            <w:r>
              <w:t>Plywood, OSB, MDF, Hardboard, Particleboard, EWP</w:t>
            </w:r>
          </w:p>
        </w:tc>
        <w:tc>
          <w:tcPr>
            <w:tcW w:w="682" w:type="pct"/>
            <w:tcBorders>
              <w:top w:val="single" w:sz="5" w:space="0" w:color="000000"/>
              <w:left w:val="single" w:sz="5" w:space="0" w:color="000000"/>
              <w:bottom w:val="single" w:sz="5" w:space="0" w:color="000000"/>
              <w:right w:val="single" w:sz="5" w:space="0" w:color="000000"/>
            </w:tcBorders>
          </w:tcPr>
          <w:p w14:paraId="60509622" w14:textId="2E7CAEDF" w:rsidR="00284D31" w:rsidRPr="00647BDC" w:rsidRDefault="00284D31" w:rsidP="00647BDC">
            <w:pPr>
              <w:pStyle w:val="TableTextCentered"/>
            </w:pPr>
            <w:r>
              <w:t>17</w:t>
            </w:r>
            <w:r w:rsidR="00A529BB">
              <w:t>1</w:t>
            </w:r>
          </w:p>
        </w:tc>
        <w:tc>
          <w:tcPr>
            <w:tcW w:w="959" w:type="pct"/>
            <w:tcBorders>
              <w:top w:val="single" w:sz="5" w:space="0" w:color="000000"/>
              <w:left w:val="single" w:sz="5" w:space="0" w:color="000000"/>
              <w:bottom w:val="single" w:sz="5" w:space="0" w:color="000000"/>
              <w:right w:val="single" w:sz="5" w:space="0" w:color="000000"/>
            </w:tcBorders>
          </w:tcPr>
          <w:p w14:paraId="5B76C7B7" w14:textId="77777777" w:rsidR="00284D31" w:rsidRPr="00647BDC" w:rsidRDefault="00284D31" w:rsidP="00647BDC">
            <w:pPr>
              <w:pStyle w:val="TableTextCentered"/>
            </w:pPr>
          </w:p>
        </w:tc>
      </w:tr>
      <w:tr w:rsidR="00284D31" w:rsidRPr="00D9689C" w14:paraId="0DBDBB1C" w14:textId="76D8A5C6"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254919CA" w14:textId="77777777" w:rsidR="00284D31" w:rsidRPr="00647BDC" w:rsidRDefault="00284D31" w:rsidP="00647BDC">
            <w:pPr>
              <w:pStyle w:val="TableTextLeft"/>
              <w:rPr>
                <w:rFonts w:eastAsia="Times New Roman" w:cs="Times New Roman"/>
              </w:rPr>
            </w:pPr>
            <w:r w:rsidRPr="00647BDC">
              <w:t>Veneer Dryer</w:t>
            </w:r>
            <w:r>
              <w:t xml:space="preserve"> (VeneerDry)</w:t>
            </w:r>
          </w:p>
        </w:tc>
        <w:tc>
          <w:tcPr>
            <w:tcW w:w="1998" w:type="pct"/>
            <w:tcBorders>
              <w:top w:val="single" w:sz="5" w:space="0" w:color="000000"/>
              <w:left w:val="single" w:sz="5" w:space="0" w:color="000000"/>
              <w:bottom w:val="single" w:sz="5" w:space="0" w:color="000000"/>
              <w:right w:val="single" w:sz="5" w:space="0" w:color="000000"/>
            </w:tcBorders>
          </w:tcPr>
          <w:p w14:paraId="006F2790" w14:textId="77777777" w:rsidR="00284D31" w:rsidRPr="00D9689C" w:rsidRDefault="00284D31" w:rsidP="00647BDC">
            <w:pPr>
              <w:pStyle w:val="TableTextLeft"/>
              <w:rPr>
                <w:rFonts w:eastAsia="Times New Roman" w:cs="Times New Roman"/>
                <w:szCs w:val="20"/>
              </w:rPr>
            </w:pPr>
            <w:r>
              <w:t>Plywood, Veneer, laminated veneer lumber (LVL)</w:t>
            </w:r>
          </w:p>
        </w:tc>
        <w:tc>
          <w:tcPr>
            <w:tcW w:w="682" w:type="pct"/>
            <w:tcBorders>
              <w:top w:val="single" w:sz="5" w:space="0" w:color="000000"/>
              <w:left w:val="single" w:sz="5" w:space="0" w:color="000000"/>
              <w:bottom w:val="single" w:sz="5" w:space="0" w:color="000000"/>
              <w:right w:val="single" w:sz="5" w:space="0" w:color="000000"/>
            </w:tcBorders>
          </w:tcPr>
          <w:p w14:paraId="434D763C" w14:textId="004D7024" w:rsidR="00284D31" w:rsidRPr="00647BDC" w:rsidRDefault="00284D31" w:rsidP="00647BDC">
            <w:pPr>
              <w:pStyle w:val="TableTextCentered"/>
            </w:pPr>
            <w:r>
              <w:t>10</w:t>
            </w:r>
            <w:r w:rsidR="00A529BB">
              <w:t>4</w:t>
            </w:r>
          </w:p>
        </w:tc>
        <w:tc>
          <w:tcPr>
            <w:tcW w:w="959" w:type="pct"/>
            <w:tcBorders>
              <w:top w:val="single" w:sz="5" w:space="0" w:color="000000"/>
              <w:left w:val="single" w:sz="5" w:space="0" w:color="000000"/>
              <w:bottom w:val="single" w:sz="5" w:space="0" w:color="000000"/>
              <w:right w:val="single" w:sz="5" w:space="0" w:color="000000"/>
            </w:tcBorders>
          </w:tcPr>
          <w:p w14:paraId="705C8527" w14:textId="77777777" w:rsidR="00284D31" w:rsidRDefault="00284D31" w:rsidP="00647BDC">
            <w:pPr>
              <w:pStyle w:val="TableTextCentered"/>
            </w:pPr>
          </w:p>
        </w:tc>
      </w:tr>
      <w:tr w:rsidR="00284D31" w:rsidRPr="00D9689C" w14:paraId="56A386BB" w14:textId="286D1C7C"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42BFE1E9" w14:textId="77777777" w:rsidR="00284D31" w:rsidRPr="00647BDC" w:rsidRDefault="00284D31" w:rsidP="00647BDC">
            <w:pPr>
              <w:pStyle w:val="TableTextLeft"/>
              <w:rPr>
                <w:rFonts w:eastAsia="Times New Roman" w:cs="Times New Roman"/>
              </w:rPr>
            </w:pPr>
            <w:r w:rsidRPr="00647BDC">
              <w:t>Rotary Dryer</w:t>
            </w:r>
            <w:r>
              <w:t xml:space="preserve"> (RotaryDry)</w:t>
            </w:r>
          </w:p>
        </w:tc>
        <w:tc>
          <w:tcPr>
            <w:tcW w:w="1998" w:type="pct"/>
            <w:tcBorders>
              <w:top w:val="single" w:sz="5" w:space="0" w:color="000000"/>
              <w:left w:val="single" w:sz="5" w:space="0" w:color="000000"/>
              <w:bottom w:val="single" w:sz="5" w:space="0" w:color="000000"/>
              <w:right w:val="single" w:sz="5" w:space="0" w:color="000000"/>
            </w:tcBorders>
          </w:tcPr>
          <w:p w14:paraId="564A7F16" w14:textId="6F58E778" w:rsidR="00284D31" w:rsidRPr="00D9689C" w:rsidRDefault="00284D31" w:rsidP="00647BDC">
            <w:pPr>
              <w:pStyle w:val="TableTextLeft"/>
              <w:rPr>
                <w:rFonts w:eastAsia="Times New Roman" w:cs="Times New Roman"/>
                <w:szCs w:val="20"/>
              </w:rPr>
            </w:pPr>
            <w:r>
              <w:t>Particleboard, OSB</w:t>
            </w:r>
          </w:p>
        </w:tc>
        <w:tc>
          <w:tcPr>
            <w:tcW w:w="682" w:type="pct"/>
            <w:tcBorders>
              <w:top w:val="single" w:sz="5" w:space="0" w:color="000000"/>
              <w:left w:val="single" w:sz="5" w:space="0" w:color="000000"/>
              <w:bottom w:val="single" w:sz="5" w:space="0" w:color="000000"/>
              <w:right w:val="single" w:sz="5" w:space="0" w:color="000000"/>
            </w:tcBorders>
          </w:tcPr>
          <w:p w14:paraId="02FA47DC" w14:textId="40B4EBAB" w:rsidR="00284D31" w:rsidRPr="00647BDC" w:rsidRDefault="00284D31" w:rsidP="005A514A">
            <w:pPr>
              <w:pStyle w:val="TableTextCentered"/>
            </w:pPr>
            <w:r>
              <w:t>55</w:t>
            </w:r>
          </w:p>
        </w:tc>
        <w:tc>
          <w:tcPr>
            <w:tcW w:w="959" w:type="pct"/>
            <w:tcBorders>
              <w:top w:val="single" w:sz="5" w:space="0" w:color="000000"/>
              <w:left w:val="single" w:sz="5" w:space="0" w:color="000000"/>
              <w:bottom w:val="single" w:sz="5" w:space="0" w:color="000000"/>
              <w:right w:val="single" w:sz="5" w:space="0" w:color="000000"/>
            </w:tcBorders>
          </w:tcPr>
          <w:p w14:paraId="7CEA8980" w14:textId="77777777" w:rsidR="00284D31" w:rsidRDefault="00284D31" w:rsidP="005A514A">
            <w:pPr>
              <w:pStyle w:val="TableTextCentered"/>
            </w:pPr>
          </w:p>
        </w:tc>
      </w:tr>
      <w:tr w:rsidR="00284D31" w:rsidRPr="00D9689C" w14:paraId="139364D9" w14:textId="4CA9E624"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5A749C89" w14:textId="77777777" w:rsidR="00284D31" w:rsidRPr="00647BDC" w:rsidRDefault="00284D31" w:rsidP="00647BDC">
            <w:pPr>
              <w:pStyle w:val="TableTextLeft"/>
              <w:rPr>
                <w:rFonts w:eastAsia="Times New Roman" w:cs="Times New Roman"/>
              </w:rPr>
            </w:pPr>
            <w:r w:rsidRPr="00647BDC">
              <w:t>Tube Dryer</w:t>
            </w:r>
            <w:r>
              <w:t xml:space="preserve"> (TubeDry)</w:t>
            </w:r>
          </w:p>
        </w:tc>
        <w:tc>
          <w:tcPr>
            <w:tcW w:w="1998" w:type="pct"/>
            <w:tcBorders>
              <w:top w:val="single" w:sz="5" w:space="0" w:color="000000"/>
              <w:left w:val="single" w:sz="5" w:space="0" w:color="000000"/>
              <w:bottom w:val="single" w:sz="5" w:space="0" w:color="000000"/>
              <w:right w:val="single" w:sz="5" w:space="0" w:color="000000"/>
            </w:tcBorders>
          </w:tcPr>
          <w:p w14:paraId="46A61421" w14:textId="605741F0" w:rsidR="00284D31" w:rsidRPr="00D9689C" w:rsidRDefault="00284D31" w:rsidP="00647BDC">
            <w:pPr>
              <w:pStyle w:val="TableTextLeft"/>
              <w:rPr>
                <w:rFonts w:eastAsia="Times New Roman" w:cs="Times New Roman"/>
                <w:szCs w:val="20"/>
              </w:rPr>
            </w:pPr>
            <w:r>
              <w:t>MDF, Hardboard</w:t>
            </w:r>
          </w:p>
        </w:tc>
        <w:tc>
          <w:tcPr>
            <w:tcW w:w="682" w:type="pct"/>
            <w:tcBorders>
              <w:top w:val="single" w:sz="5" w:space="0" w:color="000000"/>
              <w:left w:val="single" w:sz="5" w:space="0" w:color="000000"/>
              <w:bottom w:val="single" w:sz="5" w:space="0" w:color="000000"/>
              <w:right w:val="single" w:sz="5" w:space="0" w:color="000000"/>
            </w:tcBorders>
          </w:tcPr>
          <w:p w14:paraId="6C5F0017" w14:textId="35D3C15D" w:rsidR="00284D31" w:rsidRPr="00647BDC" w:rsidRDefault="00284D31" w:rsidP="00EC5205">
            <w:pPr>
              <w:pStyle w:val="TableTextCentered"/>
            </w:pPr>
            <w:r w:rsidRPr="00647BDC">
              <w:t>2</w:t>
            </w:r>
            <w:r w:rsidR="00A529BB">
              <w:t>5</w:t>
            </w:r>
          </w:p>
        </w:tc>
        <w:tc>
          <w:tcPr>
            <w:tcW w:w="959" w:type="pct"/>
            <w:tcBorders>
              <w:top w:val="single" w:sz="5" w:space="0" w:color="000000"/>
              <w:left w:val="single" w:sz="5" w:space="0" w:color="000000"/>
              <w:bottom w:val="single" w:sz="5" w:space="0" w:color="000000"/>
              <w:right w:val="single" w:sz="5" w:space="0" w:color="000000"/>
            </w:tcBorders>
          </w:tcPr>
          <w:p w14:paraId="2CEEC99F" w14:textId="77777777" w:rsidR="00284D31" w:rsidRPr="00647BDC" w:rsidRDefault="00284D31" w:rsidP="00EC5205">
            <w:pPr>
              <w:pStyle w:val="TableTextCentered"/>
            </w:pPr>
          </w:p>
        </w:tc>
      </w:tr>
      <w:tr w:rsidR="00284D31" w:rsidRPr="00D9689C" w14:paraId="333269FE" w14:textId="5FB9AABB"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1890A14A" w14:textId="77777777" w:rsidR="00284D31" w:rsidRPr="00647BDC" w:rsidRDefault="00284D31" w:rsidP="00B475B7">
            <w:pPr>
              <w:pStyle w:val="TableTextLeft"/>
              <w:rPr>
                <w:rFonts w:eastAsia="Times New Roman" w:cs="Times New Roman"/>
              </w:rPr>
            </w:pPr>
            <w:r w:rsidRPr="00647BDC">
              <w:t>Conveyor Dryer</w:t>
            </w:r>
            <w:r>
              <w:t xml:space="preserve"> (ConvDry)</w:t>
            </w:r>
          </w:p>
        </w:tc>
        <w:tc>
          <w:tcPr>
            <w:tcW w:w="1998" w:type="pct"/>
            <w:tcBorders>
              <w:top w:val="single" w:sz="5" w:space="0" w:color="000000"/>
              <w:left w:val="single" w:sz="5" w:space="0" w:color="000000"/>
              <w:bottom w:val="single" w:sz="5" w:space="0" w:color="000000"/>
              <w:right w:val="single" w:sz="5" w:space="0" w:color="000000"/>
            </w:tcBorders>
          </w:tcPr>
          <w:p w14:paraId="7F886028" w14:textId="077F4091" w:rsidR="00284D31" w:rsidRPr="00D9689C" w:rsidRDefault="00284D31" w:rsidP="00647BDC">
            <w:pPr>
              <w:pStyle w:val="TableTextLeft"/>
              <w:rPr>
                <w:rFonts w:eastAsia="Times New Roman" w:cs="Times New Roman"/>
                <w:szCs w:val="20"/>
              </w:rPr>
            </w:pPr>
            <w:r>
              <w:t xml:space="preserve">OSB </w:t>
            </w:r>
            <w:r w:rsidRPr="00284D31">
              <w:t>facilities with conveyor dryers</w:t>
            </w:r>
          </w:p>
        </w:tc>
        <w:tc>
          <w:tcPr>
            <w:tcW w:w="682" w:type="pct"/>
            <w:tcBorders>
              <w:top w:val="single" w:sz="5" w:space="0" w:color="000000"/>
              <w:left w:val="single" w:sz="5" w:space="0" w:color="000000"/>
              <w:bottom w:val="single" w:sz="5" w:space="0" w:color="000000"/>
              <w:right w:val="single" w:sz="5" w:space="0" w:color="000000"/>
            </w:tcBorders>
          </w:tcPr>
          <w:p w14:paraId="2DDDDB4A" w14:textId="37DCBC9D" w:rsidR="00284D31" w:rsidRPr="00647BDC" w:rsidRDefault="00284D31" w:rsidP="00647BDC">
            <w:pPr>
              <w:pStyle w:val="TableTextCentered"/>
            </w:pPr>
            <w:r>
              <w:t>2</w:t>
            </w:r>
          </w:p>
        </w:tc>
        <w:tc>
          <w:tcPr>
            <w:tcW w:w="959" w:type="pct"/>
            <w:tcBorders>
              <w:top w:val="single" w:sz="5" w:space="0" w:color="000000"/>
              <w:left w:val="single" w:sz="5" w:space="0" w:color="000000"/>
              <w:bottom w:val="single" w:sz="5" w:space="0" w:color="000000"/>
              <w:right w:val="single" w:sz="5" w:space="0" w:color="000000"/>
            </w:tcBorders>
          </w:tcPr>
          <w:p w14:paraId="70D7BD32" w14:textId="77777777" w:rsidR="00284D31" w:rsidRDefault="00284D31" w:rsidP="00647BDC">
            <w:pPr>
              <w:pStyle w:val="TableTextCentered"/>
            </w:pPr>
          </w:p>
        </w:tc>
      </w:tr>
      <w:tr w:rsidR="00284D31" w:rsidRPr="00D9689C" w14:paraId="675E0AB9" w14:textId="1F820B45"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30191362" w14:textId="120D0688" w:rsidR="00284D31" w:rsidRPr="00647BDC" w:rsidRDefault="00284D31" w:rsidP="00647BDC">
            <w:pPr>
              <w:pStyle w:val="TableTextLeft"/>
              <w:rPr>
                <w:rFonts w:eastAsia="Times New Roman" w:cs="Times New Roman"/>
              </w:rPr>
            </w:pPr>
            <w:r w:rsidRPr="00647BDC">
              <w:t>Fiberboard/Hardboard Equipment</w:t>
            </w:r>
            <w:r>
              <w:t xml:space="preserve"> (FB</w:t>
            </w:r>
            <w:r w:rsidR="007D4688">
              <w:t>_</w:t>
            </w:r>
            <w:r>
              <w:t>HB)</w:t>
            </w:r>
          </w:p>
        </w:tc>
        <w:tc>
          <w:tcPr>
            <w:tcW w:w="1998" w:type="pct"/>
            <w:tcBorders>
              <w:top w:val="single" w:sz="5" w:space="0" w:color="000000"/>
              <w:left w:val="single" w:sz="5" w:space="0" w:color="000000"/>
              <w:bottom w:val="single" w:sz="5" w:space="0" w:color="000000"/>
              <w:right w:val="single" w:sz="5" w:space="0" w:color="000000"/>
            </w:tcBorders>
          </w:tcPr>
          <w:p w14:paraId="4D0975D6" w14:textId="77777777" w:rsidR="00284D31" w:rsidRPr="00D9689C" w:rsidRDefault="00284D31" w:rsidP="00647BDC">
            <w:pPr>
              <w:pStyle w:val="TableTextLeft"/>
              <w:rPr>
                <w:rFonts w:eastAsia="Times New Roman" w:cs="Times New Roman"/>
                <w:szCs w:val="20"/>
              </w:rPr>
            </w:pPr>
            <w:r>
              <w:t>Hardboard, Fiberboard</w:t>
            </w:r>
          </w:p>
        </w:tc>
        <w:tc>
          <w:tcPr>
            <w:tcW w:w="682" w:type="pct"/>
            <w:tcBorders>
              <w:top w:val="single" w:sz="5" w:space="0" w:color="000000"/>
              <w:left w:val="single" w:sz="5" w:space="0" w:color="000000"/>
              <w:bottom w:val="single" w:sz="5" w:space="0" w:color="000000"/>
              <w:right w:val="single" w:sz="5" w:space="0" w:color="000000"/>
            </w:tcBorders>
          </w:tcPr>
          <w:p w14:paraId="7EFA6768" w14:textId="2A3CA6E2" w:rsidR="00284D31" w:rsidRPr="00647BDC" w:rsidRDefault="00284D31" w:rsidP="00647BDC">
            <w:pPr>
              <w:pStyle w:val="TableTextCentered"/>
            </w:pPr>
            <w:r>
              <w:t>10</w:t>
            </w:r>
          </w:p>
        </w:tc>
        <w:tc>
          <w:tcPr>
            <w:tcW w:w="959" w:type="pct"/>
            <w:tcBorders>
              <w:top w:val="single" w:sz="5" w:space="0" w:color="000000"/>
              <w:left w:val="single" w:sz="5" w:space="0" w:color="000000"/>
              <w:bottom w:val="single" w:sz="5" w:space="0" w:color="000000"/>
              <w:right w:val="single" w:sz="5" w:space="0" w:color="000000"/>
            </w:tcBorders>
          </w:tcPr>
          <w:p w14:paraId="5AF72351" w14:textId="77777777" w:rsidR="00284D31" w:rsidRDefault="00284D31" w:rsidP="00647BDC">
            <w:pPr>
              <w:pStyle w:val="TableTextCentered"/>
            </w:pPr>
          </w:p>
        </w:tc>
      </w:tr>
      <w:tr w:rsidR="00284090" w:rsidRPr="00D9689C" w14:paraId="3F4BE6E0" w14:textId="77777777"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32CBBFF8" w14:textId="4C1540F4" w:rsidR="00284090" w:rsidRPr="00647BDC" w:rsidRDefault="00284090" w:rsidP="00284090">
            <w:pPr>
              <w:pStyle w:val="TableTextLeft"/>
            </w:pPr>
            <w:r w:rsidRPr="00647BDC">
              <w:t>Lumber Kilns</w:t>
            </w:r>
            <w:r>
              <w:t xml:space="preserve"> (LKiln)</w:t>
            </w:r>
          </w:p>
        </w:tc>
        <w:tc>
          <w:tcPr>
            <w:tcW w:w="1998" w:type="pct"/>
            <w:tcBorders>
              <w:top w:val="single" w:sz="5" w:space="0" w:color="000000"/>
              <w:left w:val="single" w:sz="5" w:space="0" w:color="000000"/>
              <w:bottom w:val="single" w:sz="5" w:space="0" w:color="000000"/>
              <w:right w:val="single" w:sz="5" w:space="0" w:color="000000"/>
            </w:tcBorders>
          </w:tcPr>
          <w:p w14:paraId="4D906728" w14:textId="6669A6BB" w:rsidR="00284090" w:rsidRDefault="00284090" w:rsidP="00284090">
            <w:pPr>
              <w:pStyle w:val="TableTextLeft"/>
            </w:pPr>
            <w:r>
              <w:t>Lumber</w:t>
            </w:r>
          </w:p>
        </w:tc>
        <w:tc>
          <w:tcPr>
            <w:tcW w:w="682" w:type="pct"/>
            <w:tcBorders>
              <w:top w:val="single" w:sz="5" w:space="0" w:color="000000"/>
              <w:left w:val="single" w:sz="5" w:space="0" w:color="000000"/>
              <w:bottom w:val="single" w:sz="5" w:space="0" w:color="000000"/>
              <w:right w:val="single" w:sz="5" w:space="0" w:color="000000"/>
            </w:tcBorders>
          </w:tcPr>
          <w:p w14:paraId="37D2501C" w14:textId="17ADCDAD" w:rsidR="00284090" w:rsidRDefault="006E7920" w:rsidP="00284090">
            <w:pPr>
              <w:pStyle w:val="TableTextCentered"/>
            </w:pPr>
            <w:r>
              <w:t>29</w:t>
            </w:r>
          </w:p>
        </w:tc>
        <w:tc>
          <w:tcPr>
            <w:tcW w:w="959" w:type="pct"/>
            <w:tcBorders>
              <w:top w:val="single" w:sz="5" w:space="0" w:color="000000"/>
              <w:left w:val="single" w:sz="5" w:space="0" w:color="000000"/>
              <w:bottom w:val="single" w:sz="5" w:space="0" w:color="000000"/>
              <w:right w:val="single" w:sz="5" w:space="0" w:color="000000"/>
            </w:tcBorders>
          </w:tcPr>
          <w:p w14:paraId="1A580F33" w14:textId="01B83341" w:rsidR="00284090" w:rsidRDefault="00284090" w:rsidP="00284090">
            <w:pPr>
              <w:pStyle w:val="TableTextCentered"/>
            </w:pPr>
            <w:r>
              <w:t>20</w:t>
            </w:r>
            <w:r w:rsidR="006E7920">
              <w:t>5</w:t>
            </w:r>
          </w:p>
        </w:tc>
      </w:tr>
      <w:tr w:rsidR="00284090" w:rsidRPr="00D9689C" w14:paraId="74F22E9A" w14:textId="5612BEAE"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1DCE447C" w14:textId="77777777" w:rsidR="00284090" w:rsidRPr="00647BDC" w:rsidRDefault="00284090" w:rsidP="00284090">
            <w:pPr>
              <w:pStyle w:val="TableTextLeft"/>
              <w:rPr>
                <w:rFonts w:eastAsia="Times New Roman" w:cs="Times New Roman"/>
              </w:rPr>
            </w:pPr>
            <w:r w:rsidRPr="00647BDC">
              <w:t>Direct Fired Dryer Fuel</w:t>
            </w:r>
            <w:r>
              <w:t xml:space="preserve"> (DFDryFuel)</w:t>
            </w:r>
          </w:p>
        </w:tc>
        <w:tc>
          <w:tcPr>
            <w:tcW w:w="1998" w:type="pct"/>
            <w:tcBorders>
              <w:top w:val="single" w:sz="5" w:space="0" w:color="000000"/>
              <w:left w:val="single" w:sz="5" w:space="0" w:color="000000"/>
              <w:bottom w:val="single" w:sz="5" w:space="0" w:color="000000"/>
              <w:right w:val="single" w:sz="5" w:space="0" w:color="000000"/>
            </w:tcBorders>
          </w:tcPr>
          <w:p w14:paraId="0D260465" w14:textId="73DAE964" w:rsidR="00284090" w:rsidRPr="00D9689C" w:rsidRDefault="00284090" w:rsidP="00284090">
            <w:pPr>
              <w:pStyle w:val="TableTextLeft"/>
              <w:rPr>
                <w:rFonts w:eastAsia="Times New Roman" w:cs="Times New Roman"/>
                <w:szCs w:val="20"/>
              </w:rPr>
            </w:pPr>
            <w:r>
              <w:t>PCWP facilities</w:t>
            </w:r>
            <w:r w:rsidRPr="00D9689C">
              <w:t xml:space="preserve"> that </w:t>
            </w:r>
            <w:r>
              <w:t>use direct combustion gas to heat dryers, whether from a burner built into the dryer or from a separate combustion unit serving one or more dryers,</w:t>
            </w:r>
            <w:r w:rsidRPr="00284D31">
              <w:t xml:space="preserve"> and lumber mills with direct-fired kilns</w:t>
            </w:r>
          </w:p>
        </w:tc>
        <w:tc>
          <w:tcPr>
            <w:tcW w:w="682" w:type="pct"/>
            <w:tcBorders>
              <w:top w:val="single" w:sz="5" w:space="0" w:color="000000"/>
              <w:left w:val="single" w:sz="5" w:space="0" w:color="000000"/>
              <w:bottom w:val="single" w:sz="5" w:space="0" w:color="000000"/>
              <w:right w:val="single" w:sz="5" w:space="0" w:color="000000"/>
            </w:tcBorders>
          </w:tcPr>
          <w:p w14:paraId="068344C7" w14:textId="1292EA15" w:rsidR="00284090" w:rsidRPr="00647BDC" w:rsidRDefault="00284090" w:rsidP="00284090">
            <w:pPr>
              <w:pStyle w:val="TableTextCentered"/>
            </w:pPr>
            <w:r>
              <w:t>9</w:t>
            </w:r>
            <w:r w:rsidR="006E7920">
              <w:t>3</w:t>
            </w:r>
          </w:p>
        </w:tc>
        <w:tc>
          <w:tcPr>
            <w:tcW w:w="959" w:type="pct"/>
            <w:tcBorders>
              <w:top w:val="single" w:sz="5" w:space="0" w:color="000000"/>
              <w:left w:val="single" w:sz="5" w:space="0" w:color="000000"/>
              <w:bottom w:val="single" w:sz="5" w:space="0" w:color="000000"/>
              <w:right w:val="single" w:sz="5" w:space="0" w:color="000000"/>
            </w:tcBorders>
          </w:tcPr>
          <w:p w14:paraId="2829F467" w14:textId="292AD437" w:rsidR="00284090" w:rsidRDefault="006E7920" w:rsidP="00284090">
            <w:pPr>
              <w:pStyle w:val="TableTextCentered"/>
            </w:pPr>
            <w:r>
              <w:t>100</w:t>
            </w:r>
          </w:p>
        </w:tc>
      </w:tr>
      <w:tr w:rsidR="00284090" w:rsidRPr="00D9689C" w14:paraId="351CCB71" w14:textId="6C91C910"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09F2BF83" w14:textId="77777777" w:rsidR="00284090" w:rsidRPr="00647BDC" w:rsidRDefault="00284090" w:rsidP="00284090">
            <w:pPr>
              <w:pStyle w:val="TableTextLeft"/>
              <w:rPr>
                <w:rFonts w:eastAsia="Times New Roman" w:cs="Times New Roman"/>
              </w:rPr>
            </w:pPr>
            <w:r w:rsidRPr="00647BDC">
              <w:t>Press</w:t>
            </w:r>
            <w:r>
              <w:t xml:space="preserve"> (Press)</w:t>
            </w:r>
          </w:p>
        </w:tc>
        <w:tc>
          <w:tcPr>
            <w:tcW w:w="1998" w:type="pct"/>
            <w:tcBorders>
              <w:top w:val="single" w:sz="5" w:space="0" w:color="000000"/>
              <w:left w:val="single" w:sz="5" w:space="0" w:color="000000"/>
              <w:bottom w:val="single" w:sz="5" w:space="0" w:color="000000"/>
              <w:right w:val="single" w:sz="5" w:space="0" w:color="000000"/>
            </w:tcBorders>
          </w:tcPr>
          <w:p w14:paraId="40A9B7EA" w14:textId="77777777" w:rsidR="00284090" w:rsidRPr="00D9689C" w:rsidRDefault="00284090" w:rsidP="00284090">
            <w:pPr>
              <w:pStyle w:val="TableTextLeft"/>
              <w:rPr>
                <w:rFonts w:eastAsia="Times New Roman" w:cs="Times New Roman"/>
                <w:szCs w:val="20"/>
              </w:rPr>
            </w:pPr>
            <w:r>
              <w:t>Plywood, OSB, MDF, Hardboard, Particleboard, EWP</w:t>
            </w:r>
          </w:p>
        </w:tc>
        <w:tc>
          <w:tcPr>
            <w:tcW w:w="682" w:type="pct"/>
            <w:tcBorders>
              <w:top w:val="single" w:sz="5" w:space="0" w:color="000000"/>
              <w:left w:val="single" w:sz="5" w:space="0" w:color="000000"/>
              <w:bottom w:val="single" w:sz="5" w:space="0" w:color="000000"/>
              <w:right w:val="single" w:sz="5" w:space="0" w:color="000000"/>
            </w:tcBorders>
          </w:tcPr>
          <w:p w14:paraId="4A01761B" w14:textId="1C3E30C1" w:rsidR="00284090" w:rsidRPr="00D9689C" w:rsidRDefault="00284090" w:rsidP="00284090">
            <w:pPr>
              <w:pStyle w:val="TableTextCentered"/>
            </w:pPr>
            <w:r>
              <w:t>156</w:t>
            </w:r>
          </w:p>
        </w:tc>
        <w:tc>
          <w:tcPr>
            <w:tcW w:w="959" w:type="pct"/>
            <w:tcBorders>
              <w:top w:val="single" w:sz="5" w:space="0" w:color="000000"/>
              <w:left w:val="single" w:sz="5" w:space="0" w:color="000000"/>
              <w:bottom w:val="single" w:sz="5" w:space="0" w:color="000000"/>
              <w:right w:val="single" w:sz="5" w:space="0" w:color="000000"/>
            </w:tcBorders>
          </w:tcPr>
          <w:p w14:paraId="2FDB6D1D" w14:textId="77777777" w:rsidR="00284090" w:rsidRDefault="00284090" w:rsidP="00284090">
            <w:pPr>
              <w:pStyle w:val="TableTextCentered"/>
            </w:pPr>
          </w:p>
        </w:tc>
      </w:tr>
      <w:tr w:rsidR="00284090" w:rsidRPr="00D9689C" w14:paraId="189F5199" w14:textId="0FF5C695"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2CB57B87" w14:textId="77777777" w:rsidR="00284090" w:rsidRPr="00647BDC" w:rsidRDefault="00284090" w:rsidP="00284090">
            <w:pPr>
              <w:pStyle w:val="TableTextLeft"/>
            </w:pPr>
            <w:r w:rsidRPr="00647BDC">
              <w:t>Board Coolers</w:t>
            </w:r>
            <w:r>
              <w:t xml:space="preserve"> (BC)</w:t>
            </w:r>
          </w:p>
        </w:tc>
        <w:tc>
          <w:tcPr>
            <w:tcW w:w="1998" w:type="pct"/>
            <w:tcBorders>
              <w:top w:val="single" w:sz="5" w:space="0" w:color="000000"/>
              <w:left w:val="single" w:sz="5" w:space="0" w:color="000000"/>
              <w:bottom w:val="single" w:sz="5" w:space="0" w:color="000000"/>
              <w:right w:val="single" w:sz="5" w:space="0" w:color="000000"/>
            </w:tcBorders>
          </w:tcPr>
          <w:p w14:paraId="4950BCD7" w14:textId="77777777" w:rsidR="00284090" w:rsidRPr="00D9689C" w:rsidRDefault="00284090" w:rsidP="00284090">
            <w:pPr>
              <w:pStyle w:val="TableTextLeft"/>
            </w:pPr>
            <w:r>
              <w:t>Particleboard, MDF</w:t>
            </w:r>
          </w:p>
        </w:tc>
        <w:tc>
          <w:tcPr>
            <w:tcW w:w="682" w:type="pct"/>
            <w:tcBorders>
              <w:top w:val="single" w:sz="5" w:space="0" w:color="000000"/>
              <w:left w:val="single" w:sz="5" w:space="0" w:color="000000"/>
              <w:bottom w:val="single" w:sz="5" w:space="0" w:color="000000"/>
              <w:right w:val="single" w:sz="5" w:space="0" w:color="000000"/>
            </w:tcBorders>
          </w:tcPr>
          <w:p w14:paraId="396952EE" w14:textId="7772E52D" w:rsidR="00284090" w:rsidRPr="00D9689C" w:rsidRDefault="00284090" w:rsidP="00284090">
            <w:pPr>
              <w:pStyle w:val="TableTextCentered"/>
            </w:pPr>
            <w:r>
              <w:t>38</w:t>
            </w:r>
          </w:p>
        </w:tc>
        <w:tc>
          <w:tcPr>
            <w:tcW w:w="959" w:type="pct"/>
            <w:tcBorders>
              <w:top w:val="single" w:sz="5" w:space="0" w:color="000000"/>
              <w:left w:val="single" w:sz="5" w:space="0" w:color="000000"/>
              <w:bottom w:val="single" w:sz="5" w:space="0" w:color="000000"/>
              <w:right w:val="single" w:sz="5" w:space="0" w:color="000000"/>
            </w:tcBorders>
          </w:tcPr>
          <w:p w14:paraId="62CFFBD2" w14:textId="77777777" w:rsidR="00284090" w:rsidRDefault="00284090" w:rsidP="00284090">
            <w:pPr>
              <w:pStyle w:val="TableTextCentered"/>
            </w:pPr>
          </w:p>
        </w:tc>
      </w:tr>
      <w:tr w:rsidR="00284090" w:rsidRPr="00D9689C" w14:paraId="1EA93ACD" w14:textId="5FFCA23F"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330A2BF5" w14:textId="77777777" w:rsidR="00284090" w:rsidRPr="00647BDC" w:rsidRDefault="00284090" w:rsidP="00284090">
            <w:pPr>
              <w:pStyle w:val="TableTextLeft"/>
            </w:pPr>
            <w:r w:rsidRPr="00647BDC">
              <w:t>EWP Press</w:t>
            </w:r>
            <w:r>
              <w:t xml:space="preserve"> (EWPPress)</w:t>
            </w:r>
          </w:p>
        </w:tc>
        <w:tc>
          <w:tcPr>
            <w:tcW w:w="1998" w:type="pct"/>
            <w:tcBorders>
              <w:top w:val="single" w:sz="5" w:space="0" w:color="000000"/>
              <w:left w:val="single" w:sz="5" w:space="0" w:color="000000"/>
              <w:bottom w:val="single" w:sz="5" w:space="0" w:color="000000"/>
              <w:right w:val="single" w:sz="5" w:space="0" w:color="000000"/>
            </w:tcBorders>
          </w:tcPr>
          <w:p w14:paraId="28451386" w14:textId="77777777" w:rsidR="00284090" w:rsidRPr="00D9689C" w:rsidRDefault="00284090" w:rsidP="00284090">
            <w:pPr>
              <w:pStyle w:val="TableTextLeft"/>
            </w:pPr>
            <w:r>
              <w:t>EWP</w:t>
            </w:r>
          </w:p>
        </w:tc>
        <w:tc>
          <w:tcPr>
            <w:tcW w:w="682" w:type="pct"/>
            <w:tcBorders>
              <w:top w:val="single" w:sz="5" w:space="0" w:color="000000"/>
              <w:left w:val="single" w:sz="5" w:space="0" w:color="000000"/>
              <w:bottom w:val="single" w:sz="5" w:space="0" w:color="000000"/>
              <w:right w:val="single" w:sz="5" w:space="0" w:color="000000"/>
            </w:tcBorders>
          </w:tcPr>
          <w:p w14:paraId="7D0AB406" w14:textId="6B1C0F61" w:rsidR="00284090" w:rsidRPr="00D9689C" w:rsidRDefault="00284090" w:rsidP="00284090">
            <w:pPr>
              <w:pStyle w:val="TableTextCentered"/>
            </w:pPr>
            <w:r>
              <w:t>2</w:t>
            </w:r>
            <w:r w:rsidR="006E7920">
              <w:t>1</w:t>
            </w:r>
          </w:p>
        </w:tc>
        <w:tc>
          <w:tcPr>
            <w:tcW w:w="959" w:type="pct"/>
            <w:tcBorders>
              <w:top w:val="single" w:sz="5" w:space="0" w:color="000000"/>
              <w:left w:val="single" w:sz="5" w:space="0" w:color="000000"/>
              <w:bottom w:val="single" w:sz="5" w:space="0" w:color="000000"/>
              <w:right w:val="single" w:sz="5" w:space="0" w:color="000000"/>
            </w:tcBorders>
          </w:tcPr>
          <w:p w14:paraId="79E9277F" w14:textId="77777777" w:rsidR="00284090" w:rsidRDefault="00284090" w:rsidP="00284090">
            <w:pPr>
              <w:pStyle w:val="TableTextCentered"/>
            </w:pPr>
          </w:p>
        </w:tc>
      </w:tr>
      <w:tr w:rsidR="00284090" w:rsidRPr="00D9689C" w14:paraId="46EC3308" w14:textId="53C4BA9B"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36DC4490" w14:textId="77777777" w:rsidR="00284090" w:rsidRPr="00647BDC" w:rsidRDefault="00284090" w:rsidP="00284090">
            <w:pPr>
              <w:pStyle w:val="TableTextLeft"/>
            </w:pPr>
            <w:r w:rsidRPr="00647BDC">
              <w:t>Other Equipment</w:t>
            </w:r>
            <w:r>
              <w:t xml:space="preserve"> (OtherEquip)</w:t>
            </w:r>
          </w:p>
        </w:tc>
        <w:tc>
          <w:tcPr>
            <w:tcW w:w="1998" w:type="pct"/>
            <w:tcBorders>
              <w:top w:val="single" w:sz="5" w:space="0" w:color="000000"/>
              <w:left w:val="single" w:sz="5" w:space="0" w:color="000000"/>
              <w:bottom w:val="single" w:sz="5" w:space="0" w:color="000000"/>
              <w:right w:val="single" w:sz="5" w:space="0" w:color="000000"/>
            </w:tcBorders>
          </w:tcPr>
          <w:p w14:paraId="3B3F0E99" w14:textId="05328BD5" w:rsidR="00284090" w:rsidRPr="00D9689C" w:rsidRDefault="00284090" w:rsidP="00284090">
            <w:pPr>
              <w:pStyle w:val="TableTextLeft"/>
            </w:pPr>
            <w:r>
              <w:t>Plywood, OSB, MDF, Hardboard, Fiberboard, Particleboard, EWP that operate digesters, refiners, dry blending and forming operations, finishing sanders, finishing saws, panel trim chippers, and log vats</w:t>
            </w:r>
          </w:p>
        </w:tc>
        <w:tc>
          <w:tcPr>
            <w:tcW w:w="682" w:type="pct"/>
            <w:tcBorders>
              <w:top w:val="single" w:sz="5" w:space="0" w:color="000000"/>
              <w:left w:val="single" w:sz="5" w:space="0" w:color="000000"/>
              <w:bottom w:val="single" w:sz="5" w:space="0" w:color="000000"/>
              <w:right w:val="single" w:sz="5" w:space="0" w:color="000000"/>
            </w:tcBorders>
          </w:tcPr>
          <w:p w14:paraId="7D1FC597" w14:textId="2E86EE6E" w:rsidR="00284090" w:rsidRPr="00D9689C" w:rsidRDefault="00284090" w:rsidP="00284090">
            <w:pPr>
              <w:pStyle w:val="TableTextCentered"/>
            </w:pPr>
            <w:r>
              <w:t>18</w:t>
            </w:r>
            <w:r w:rsidR="006E7920">
              <w:t>6</w:t>
            </w:r>
          </w:p>
        </w:tc>
        <w:tc>
          <w:tcPr>
            <w:tcW w:w="959" w:type="pct"/>
            <w:tcBorders>
              <w:top w:val="single" w:sz="5" w:space="0" w:color="000000"/>
              <w:left w:val="single" w:sz="5" w:space="0" w:color="000000"/>
              <w:bottom w:val="single" w:sz="5" w:space="0" w:color="000000"/>
              <w:right w:val="single" w:sz="5" w:space="0" w:color="000000"/>
            </w:tcBorders>
          </w:tcPr>
          <w:p w14:paraId="3D37B698" w14:textId="77777777" w:rsidR="00284090" w:rsidRDefault="00284090" w:rsidP="00284090">
            <w:pPr>
              <w:pStyle w:val="TableTextCentered"/>
            </w:pPr>
          </w:p>
        </w:tc>
      </w:tr>
      <w:tr w:rsidR="00284090" w:rsidRPr="00D9689C" w14:paraId="588E190B" w14:textId="067523CC"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59B98A75" w14:textId="77777777" w:rsidR="00284090" w:rsidRPr="00647BDC" w:rsidRDefault="00284090" w:rsidP="00284090">
            <w:pPr>
              <w:pStyle w:val="TableTextLeft"/>
            </w:pPr>
            <w:r w:rsidRPr="00647BDC">
              <w:t>Control Devices</w:t>
            </w:r>
            <w:r>
              <w:t xml:space="preserve"> (APCD)</w:t>
            </w:r>
          </w:p>
        </w:tc>
        <w:tc>
          <w:tcPr>
            <w:tcW w:w="1998" w:type="pct"/>
            <w:tcBorders>
              <w:top w:val="single" w:sz="5" w:space="0" w:color="000000"/>
              <w:left w:val="single" w:sz="5" w:space="0" w:color="000000"/>
              <w:bottom w:val="single" w:sz="5" w:space="0" w:color="000000"/>
              <w:right w:val="single" w:sz="5" w:space="0" w:color="000000"/>
            </w:tcBorders>
          </w:tcPr>
          <w:p w14:paraId="3E017E20" w14:textId="77777777" w:rsidR="00284090" w:rsidRPr="00647BDC" w:rsidRDefault="00284090" w:rsidP="00284090">
            <w:pPr>
              <w:pStyle w:val="TableTextLeft"/>
            </w:pPr>
            <w:r w:rsidRPr="00647BDC">
              <w:t>Plywood, OSB, MDF, Hardboard, Fiberboard, Particleboard, EWP</w:t>
            </w:r>
          </w:p>
        </w:tc>
        <w:tc>
          <w:tcPr>
            <w:tcW w:w="682" w:type="pct"/>
            <w:tcBorders>
              <w:top w:val="single" w:sz="5" w:space="0" w:color="000000"/>
              <w:left w:val="single" w:sz="5" w:space="0" w:color="000000"/>
              <w:bottom w:val="single" w:sz="5" w:space="0" w:color="000000"/>
              <w:right w:val="single" w:sz="5" w:space="0" w:color="000000"/>
            </w:tcBorders>
          </w:tcPr>
          <w:p w14:paraId="5A506060" w14:textId="0975C4E9" w:rsidR="00284090" w:rsidRPr="00AF3EEF" w:rsidRDefault="00284090" w:rsidP="00284090">
            <w:pPr>
              <w:pStyle w:val="TableTextCentered"/>
            </w:pPr>
            <w:r w:rsidRPr="00455E48">
              <w:t>18</w:t>
            </w:r>
            <w:r w:rsidR="006E7920">
              <w:t>6</w:t>
            </w:r>
          </w:p>
        </w:tc>
        <w:tc>
          <w:tcPr>
            <w:tcW w:w="959" w:type="pct"/>
            <w:tcBorders>
              <w:top w:val="single" w:sz="5" w:space="0" w:color="000000"/>
              <w:left w:val="single" w:sz="5" w:space="0" w:color="000000"/>
              <w:bottom w:val="single" w:sz="5" w:space="0" w:color="000000"/>
              <w:right w:val="single" w:sz="5" w:space="0" w:color="000000"/>
            </w:tcBorders>
          </w:tcPr>
          <w:p w14:paraId="56EB0F51" w14:textId="26631674" w:rsidR="00284090" w:rsidRDefault="00284090" w:rsidP="00284090">
            <w:pPr>
              <w:pStyle w:val="TableTextCentered"/>
            </w:pPr>
            <w:r>
              <w:t>0</w:t>
            </w:r>
          </w:p>
        </w:tc>
      </w:tr>
      <w:tr w:rsidR="00284090" w:rsidRPr="00D9689C" w14:paraId="6F7E2804" w14:textId="12B777D6"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5E63907D" w14:textId="77777777" w:rsidR="00284090" w:rsidRPr="00647BDC" w:rsidRDefault="00284090" w:rsidP="00284090">
            <w:pPr>
              <w:pStyle w:val="TableTextLeft"/>
            </w:pPr>
            <w:r w:rsidRPr="00647BDC">
              <w:t>SSM</w:t>
            </w:r>
            <w:r>
              <w:t xml:space="preserve"> (SSM)</w:t>
            </w:r>
          </w:p>
        </w:tc>
        <w:tc>
          <w:tcPr>
            <w:tcW w:w="1998" w:type="pct"/>
            <w:tcBorders>
              <w:top w:val="single" w:sz="5" w:space="0" w:color="000000"/>
              <w:left w:val="single" w:sz="5" w:space="0" w:color="000000"/>
              <w:bottom w:val="single" w:sz="5" w:space="0" w:color="000000"/>
              <w:right w:val="single" w:sz="5" w:space="0" w:color="000000"/>
            </w:tcBorders>
          </w:tcPr>
          <w:p w14:paraId="2CAAEEEB" w14:textId="77777777" w:rsidR="00284090" w:rsidRPr="00647BDC" w:rsidRDefault="00284090" w:rsidP="00284090">
            <w:pPr>
              <w:pStyle w:val="TableTextLeft"/>
            </w:pPr>
            <w:r w:rsidRPr="00647BDC">
              <w:t>Plywood, OSB, MDF, Hardboard, Fiberboard, Particleboard, EWP</w:t>
            </w:r>
          </w:p>
        </w:tc>
        <w:tc>
          <w:tcPr>
            <w:tcW w:w="682" w:type="pct"/>
            <w:tcBorders>
              <w:top w:val="single" w:sz="5" w:space="0" w:color="000000"/>
              <w:left w:val="single" w:sz="5" w:space="0" w:color="000000"/>
              <w:bottom w:val="single" w:sz="5" w:space="0" w:color="000000"/>
              <w:right w:val="single" w:sz="5" w:space="0" w:color="000000"/>
            </w:tcBorders>
          </w:tcPr>
          <w:p w14:paraId="349C693D" w14:textId="060FD50C" w:rsidR="00284090" w:rsidRPr="00647BDC" w:rsidRDefault="00284090" w:rsidP="00284090">
            <w:pPr>
              <w:pStyle w:val="TableTextCentered"/>
            </w:pPr>
            <w:r w:rsidRPr="00455E48">
              <w:t>18</w:t>
            </w:r>
            <w:r w:rsidR="006E7920">
              <w:t>6</w:t>
            </w:r>
          </w:p>
        </w:tc>
        <w:tc>
          <w:tcPr>
            <w:tcW w:w="959" w:type="pct"/>
            <w:tcBorders>
              <w:top w:val="single" w:sz="5" w:space="0" w:color="000000"/>
              <w:left w:val="single" w:sz="5" w:space="0" w:color="000000"/>
              <w:bottom w:val="single" w:sz="5" w:space="0" w:color="000000"/>
              <w:right w:val="single" w:sz="5" w:space="0" w:color="000000"/>
            </w:tcBorders>
          </w:tcPr>
          <w:p w14:paraId="237D0551" w14:textId="77777777" w:rsidR="00284090" w:rsidRDefault="00284090" w:rsidP="00284090">
            <w:pPr>
              <w:pStyle w:val="TableTextCentered"/>
            </w:pPr>
          </w:p>
        </w:tc>
      </w:tr>
      <w:tr w:rsidR="00284090" w:rsidRPr="00D9689C" w14:paraId="70C2A94F" w14:textId="0E41AD3A"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55D22002" w14:textId="77777777" w:rsidR="00284090" w:rsidRPr="00647BDC" w:rsidRDefault="00284090" w:rsidP="00284090">
            <w:pPr>
              <w:pStyle w:val="TableTextLeft"/>
            </w:pPr>
            <w:r w:rsidRPr="00647BDC">
              <w:t>Miscellaneous Coatings</w:t>
            </w:r>
            <w:r>
              <w:t xml:space="preserve"> (MiscCoat)</w:t>
            </w:r>
          </w:p>
        </w:tc>
        <w:tc>
          <w:tcPr>
            <w:tcW w:w="1998" w:type="pct"/>
            <w:tcBorders>
              <w:top w:val="single" w:sz="5" w:space="0" w:color="000000"/>
              <w:left w:val="single" w:sz="5" w:space="0" w:color="000000"/>
              <w:bottom w:val="single" w:sz="5" w:space="0" w:color="000000"/>
              <w:right w:val="single" w:sz="5" w:space="0" w:color="000000"/>
            </w:tcBorders>
          </w:tcPr>
          <w:p w14:paraId="7922BE9F" w14:textId="77777777" w:rsidR="00284090" w:rsidRPr="00647BDC" w:rsidRDefault="00284090" w:rsidP="00284090">
            <w:pPr>
              <w:pStyle w:val="TableTextLeft"/>
            </w:pPr>
            <w:r w:rsidRPr="00647BDC">
              <w:t>Plywood, OSB, MDF, Hardboard, Fiberboard, Particleboard, EWP</w:t>
            </w:r>
          </w:p>
        </w:tc>
        <w:tc>
          <w:tcPr>
            <w:tcW w:w="682" w:type="pct"/>
            <w:tcBorders>
              <w:top w:val="single" w:sz="5" w:space="0" w:color="000000"/>
              <w:left w:val="single" w:sz="5" w:space="0" w:color="000000"/>
              <w:bottom w:val="single" w:sz="5" w:space="0" w:color="000000"/>
              <w:right w:val="single" w:sz="5" w:space="0" w:color="000000"/>
            </w:tcBorders>
          </w:tcPr>
          <w:p w14:paraId="44F7C80E" w14:textId="286CDBE4" w:rsidR="00284090" w:rsidRPr="00647BDC" w:rsidRDefault="00284090" w:rsidP="00284090">
            <w:pPr>
              <w:pStyle w:val="TableTextCentered"/>
            </w:pPr>
            <w:r w:rsidRPr="00455E48">
              <w:t>18</w:t>
            </w:r>
            <w:r w:rsidR="006E7920">
              <w:t>6</w:t>
            </w:r>
          </w:p>
        </w:tc>
        <w:tc>
          <w:tcPr>
            <w:tcW w:w="959" w:type="pct"/>
            <w:tcBorders>
              <w:top w:val="single" w:sz="5" w:space="0" w:color="000000"/>
              <w:left w:val="single" w:sz="5" w:space="0" w:color="000000"/>
              <w:bottom w:val="single" w:sz="5" w:space="0" w:color="000000"/>
              <w:right w:val="single" w:sz="5" w:space="0" w:color="000000"/>
            </w:tcBorders>
          </w:tcPr>
          <w:p w14:paraId="089F3169" w14:textId="77777777" w:rsidR="00284090" w:rsidRDefault="00284090" w:rsidP="00284090">
            <w:pPr>
              <w:pStyle w:val="TableTextCentered"/>
            </w:pPr>
          </w:p>
        </w:tc>
      </w:tr>
      <w:tr w:rsidR="00284090" w:rsidRPr="00D9689C" w14:paraId="5CDB5FC2" w14:textId="5E374A7B"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76E62EF0" w14:textId="77777777" w:rsidR="00284090" w:rsidRPr="00647BDC" w:rsidRDefault="00284090" w:rsidP="00284090">
            <w:pPr>
              <w:pStyle w:val="TableTextLeft"/>
            </w:pPr>
            <w:r w:rsidRPr="00647BDC">
              <w:t>Wastewater</w:t>
            </w:r>
            <w:r>
              <w:t xml:space="preserve"> (WW)</w:t>
            </w:r>
          </w:p>
        </w:tc>
        <w:tc>
          <w:tcPr>
            <w:tcW w:w="1998" w:type="pct"/>
            <w:tcBorders>
              <w:top w:val="single" w:sz="5" w:space="0" w:color="000000"/>
              <w:left w:val="single" w:sz="5" w:space="0" w:color="000000"/>
              <w:bottom w:val="single" w:sz="5" w:space="0" w:color="000000"/>
              <w:right w:val="single" w:sz="5" w:space="0" w:color="000000"/>
            </w:tcBorders>
          </w:tcPr>
          <w:p w14:paraId="77A3951C" w14:textId="77777777" w:rsidR="00284090" w:rsidRPr="00647BDC" w:rsidRDefault="00284090" w:rsidP="00284090">
            <w:pPr>
              <w:pStyle w:val="TableTextLeft"/>
            </w:pPr>
            <w:r w:rsidRPr="00647BDC">
              <w:t>Plywood, OSB, MDF, Hardboard, Fiberboard, Particleboard, EWP</w:t>
            </w:r>
          </w:p>
        </w:tc>
        <w:tc>
          <w:tcPr>
            <w:tcW w:w="682" w:type="pct"/>
            <w:tcBorders>
              <w:top w:val="single" w:sz="5" w:space="0" w:color="000000"/>
              <w:left w:val="single" w:sz="5" w:space="0" w:color="000000"/>
              <w:bottom w:val="single" w:sz="5" w:space="0" w:color="000000"/>
              <w:right w:val="single" w:sz="5" w:space="0" w:color="000000"/>
            </w:tcBorders>
          </w:tcPr>
          <w:p w14:paraId="599C50FA" w14:textId="03955A6D" w:rsidR="00284090" w:rsidRPr="00647BDC" w:rsidRDefault="00284090" w:rsidP="00284090">
            <w:pPr>
              <w:pStyle w:val="TableTextCentered"/>
            </w:pPr>
            <w:r>
              <w:t>64</w:t>
            </w:r>
          </w:p>
        </w:tc>
        <w:tc>
          <w:tcPr>
            <w:tcW w:w="959" w:type="pct"/>
            <w:tcBorders>
              <w:top w:val="single" w:sz="5" w:space="0" w:color="000000"/>
              <w:left w:val="single" w:sz="5" w:space="0" w:color="000000"/>
              <w:bottom w:val="single" w:sz="5" w:space="0" w:color="000000"/>
              <w:right w:val="single" w:sz="5" w:space="0" w:color="000000"/>
            </w:tcBorders>
          </w:tcPr>
          <w:p w14:paraId="0A313983" w14:textId="77777777" w:rsidR="00284090" w:rsidRDefault="00284090" w:rsidP="00284090">
            <w:pPr>
              <w:pStyle w:val="TableTextCentered"/>
            </w:pPr>
          </w:p>
        </w:tc>
      </w:tr>
      <w:tr w:rsidR="00284090" w:rsidRPr="00D9689C" w14:paraId="25681F3F" w14:textId="1D780E7D"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66F5869E" w14:textId="77777777" w:rsidR="00284090" w:rsidRPr="00647BDC" w:rsidRDefault="00284090" w:rsidP="00284090">
            <w:pPr>
              <w:pStyle w:val="TableTextLeft"/>
            </w:pPr>
            <w:r w:rsidRPr="00647BDC">
              <w:t>Emission</w:t>
            </w:r>
            <w:r>
              <w:t>s</w:t>
            </w:r>
            <w:r w:rsidRPr="00647BDC">
              <w:t xml:space="preserve"> Tests</w:t>
            </w:r>
            <w:r>
              <w:t xml:space="preserve"> (EmTest)</w:t>
            </w:r>
          </w:p>
        </w:tc>
        <w:tc>
          <w:tcPr>
            <w:tcW w:w="1998" w:type="pct"/>
            <w:tcBorders>
              <w:top w:val="single" w:sz="5" w:space="0" w:color="000000"/>
              <w:left w:val="single" w:sz="5" w:space="0" w:color="000000"/>
              <w:bottom w:val="single" w:sz="5" w:space="0" w:color="000000"/>
              <w:right w:val="single" w:sz="5" w:space="0" w:color="000000"/>
            </w:tcBorders>
          </w:tcPr>
          <w:p w14:paraId="743A3FE0" w14:textId="77777777" w:rsidR="00284090" w:rsidRPr="00647BDC" w:rsidRDefault="00284090" w:rsidP="00284090">
            <w:pPr>
              <w:pStyle w:val="TableTextLeft"/>
            </w:pPr>
            <w:r w:rsidRPr="00647BDC">
              <w:t>Plywood, OSB, MDF, Hardboard, Fiberboard, Particleboard, EWP</w:t>
            </w:r>
          </w:p>
        </w:tc>
        <w:tc>
          <w:tcPr>
            <w:tcW w:w="682" w:type="pct"/>
            <w:tcBorders>
              <w:top w:val="single" w:sz="5" w:space="0" w:color="000000"/>
              <w:left w:val="single" w:sz="5" w:space="0" w:color="000000"/>
              <w:bottom w:val="single" w:sz="5" w:space="0" w:color="000000"/>
              <w:right w:val="single" w:sz="5" w:space="0" w:color="000000"/>
            </w:tcBorders>
          </w:tcPr>
          <w:p w14:paraId="79B16477" w14:textId="733C8BF2" w:rsidR="00284090" w:rsidRPr="00647BDC" w:rsidRDefault="00284090" w:rsidP="00284090">
            <w:pPr>
              <w:pStyle w:val="TableTextCentered"/>
            </w:pPr>
            <w:r>
              <w:t>18</w:t>
            </w:r>
            <w:r w:rsidR="006E7920">
              <w:t>6</w:t>
            </w:r>
          </w:p>
        </w:tc>
        <w:tc>
          <w:tcPr>
            <w:tcW w:w="959" w:type="pct"/>
            <w:tcBorders>
              <w:top w:val="single" w:sz="5" w:space="0" w:color="000000"/>
              <w:left w:val="single" w:sz="5" w:space="0" w:color="000000"/>
              <w:bottom w:val="single" w:sz="5" w:space="0" w:color="000000"/>
              <w:right w:val="single" w:sz="5" w:space="0" w:color="000000"/>
            </w:tcBorders>
          </w:tcPr>
          <w:p w14:paraId="21D09838" w14:textId="18ACF0F2" w:rsidR="00284090" w:rsidRDefault="00284090" w:rsidP="00284090">
            <w:pPr>
              <w:pStyle w:val="TableTextCentered"/>
            </w:pPr>
            <w:r>
              <w:t>10</w:t>
            </w:r>
          </w:p>
        </w:tc>
      </w:tr>
      <w:tr w:rsidR="00284090" w:rsidRPr="00D9689C" w14:paraId="3F4D709A" w14:textId="77777777"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0D35E083" w14:textId="6C30D80B" w:rsidR="00284090" w:rsidRPr="00647BDC" w:rsidRDefault="00284090" w:rsidP="00284090">
            <w:pPr>
              <w:pStyle w:val="TableTextLeft"/>
            </w:pPr>
            <w:r>
              <w:t xml:space="preserve">HAP </w:t>
            </w:r>
            <w:r w:rsidRPr="00647BDC">
              <w:t>Emissions</w:t>
            </w:r>
            <w:r>
              <w:t xml:space="preserve"> (HAP Emissions)</w:t>
            </w:r>
          </w:p>
        </w:tc>
        <w:tc>
          <w:tcPr>
            <w:tcW w:w="1998" w:type="pct"/>
            <w:tcBorders>
              <w:top w:val="single" w:sz="5" w:space="0" w:color="000000"/>
              <w:left w:val="single" w:sz="5" w:space="0" w:color="000000"/>
              <w:bottom w:val="single" w:sz="5" w:space="0" w:color="000000"/>
              <w:right w:val="single" w:sz="5" w:space="0" w:color="000000"/>
            </w:tcBorders>
          </w:tcPr>
          <w:p w14:paraId="66F2BC55" w14:textId="28DD19B4" w:rsidR="00284090" w:rsidRPr="00647BDC" w:rsidRDefault="00284090" w:rsidP="00284090">
            <w:pPr>
              <w:pStyle w:val="TableTextLeft"/>
            </w:pPr>
            <w:r>
              <w:t>All facilities</w:t>
            </w:r>
          </w:p>
        </w:tc>
        <w:tc>
          <w:tcPr>
            <w:tcW w:w="682" w:type="pct"/>
            <w:tcBorders>
              <w:top w:val="single" w:sz="5" w:space="0" w:color="000000"/>
              <w:left w:val="single" w:sz="5" w:space="0" w:color="000000"/>
              <w:bottom w:val="single" w:sz="5" w:space="0" w:color="000000"/>
              <w:right w:val="single" w:sz="5" w:space="0" w:color="000000"/>
            </w:tcBorders>
          </w:tcPr>
          <w:p w14:paraId="092FF24F" w14:textId="74D1C61C" w:rsidR="00284090" w:rsidRDefault="00284090" w:rsidP="00284090">
            <w:pPr>
              <w:pStyle w:val="TableTextCentered"/>
            </w:pPr>
            <w:r>
              <w:t>18</w:t>
            </w:r>
            <w:r w:rsidR="006E7920">
              <w:t>6</w:t>
            </w:r>
          </w:p>
        </w:tc>
        <w:tc>
          <w:tcPr>
            <w:tcW w:w="959" w:type="pct"/>
            <w:tcBorders>
              <w:top w:val="single" w:sz="5" w:space="0" w:color="000000"/>
              <w:left w:val="single" w:sz="5" w:space="0" w:color="000000"/>
              <w:bottom w:val="single" w:sz="5" w:space="0" w:color="000000"/>
              <w:right w:val="single" w:sz="5" w:space="0" w:color="000000"/>
            </w:tcBorders>
          </w:tcPr>
          <w:p w14:paraId="0F6F639E" w14:textId="2EAA2279" w:rsidR="00284090" w:rsidRDefault="00284090" w:rsidP="00284090">
            <w:pPr>
              <w:pStyle w:val="TableTextCentered"/>
            </w:pPr>
            <w:r>
              <w:t>20</w:t>
            </w:r>
            <w:r w:rsidR="006E7920">
              <w:t>5</w:t>
            </w:r>
          </w:p>
        </w:tc>
      </w:tr>
      <w:tr w:rsidR="00284090" w:rsidRPr="00D9689C" w14:paraId="5166E924" w14:textId="5A6C68C5"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0178ED8C" w14:textId="5F4F2371" w:rsidR="00284090" w:rsidRPr="00647BDC" w:rsidRDefault="00284090" w:rsidP="00284090">
            <w:pPr>
              <w:pStyle w:val="TableTextLeft"/>
            </w:pPr>
            <w:r>
              <w:t>Certification (Certification)</w:t>
            </w:r>
          </w:p>
        </w:tc>
        <w:tc>
          <w:tcPr>
            <w:tcW w:w="1998" w:type="pct"/>
            <w:tcBorders>
              <w:top w:val="single" w:sz="5" w:space="0" w:color="000000"/>
              <w:left w:val="single" w:sz="5" w:space="0" w:color="000000"/>
              <w:bottom w:val="single" w:sz="5" w:space="0" w:color="000000"/>
              <w:right w:val="single" w:sz="5" w:space="0" w:color="000000"/>
            </w:tcBorders>
          </w:tcPr>
          <w:p w14:paraId="173DD640" w14:textId="68E632EC" w:rsidR="00284090" w:rsidRPr="00647BDC" w:rsidRDefault="00284090" w:rsidP="00284090">
            <w:pPr>
              <w:pStyle w:val="TableTextLeft"/>
            </w:pPr>
            <w:r>
              <w:t>All facilities</w:t>
            </w:r>
          </w:p>
        </w:tc>
        <w:tc>
          <w:tcPr>
            <w:tcW w:w="682" w:type="pct"/>
            <w:tcBorders>
              <w:top w:val="single" w:sz="5" w:space="0" w:color="000000"/>
              <w:left w:val="single" w:sz="5" w:space="0" w:color="000000"/>
              <w:bottom w:val="single" w:sz="6" w:space="0" w:color="000000"/>
              <w:right w:val="single" w:sz="5" w:space="0" w:color="000000"/>
            </w:tcBorders>
          </w:tcPr>
          <w:p w14:paraId="3A51062E" w14:textId="4FF95100" w:rsidR="00284090" w:rsidRDefault="00284090" w:rsidP="00284090">
            <w:pPr>
              <w:pStyle w:val="TableTextCentered"/>
            </w:pPr>
            <w:r>
              <w:t>18</w:t>
            </w:r>
            <w:r w:rsidR="006E7920">
              <w:t>6</w:t>
            </w:r>
          </w:p>
        </w:tc>
        <w:tc>
          <w:tcPr>
            <w:tcW w:w="959" w:type="pct"/>
            <w:tcBorders>
              <w:top w:val="single" w:sz="5" w:space="0" w:color="000000"/>
              <w:left w:val="single" w:sz="5" w:space="0" w:color="000000"/>
              <w:bottom w:val="single" w:sz="6" w:space="0" w:color="000000"/>
              <w:right w:val="single" w:sz="5" w:space="0" w:color="000000"/>
            </w:tcBorders>
          </w:tcPr>
          <w:p w14:paraId="0BFC31E6" w14:textId="2AA54D0F" w:rsidR="00284090" w:rsidRDefault="00284090" w:rsidP="00284090">
            <w:pPr>
              <w:pStyle w:val="TableTextCentered"/>
            </w:pPr>
            <w:r>
              <w:t>20</w:t>
            </w:r>
            <w:r w:rsidR="006E7920">
              <w:t>5</w:t>
            </w:r>
          </w:p>
        </w:tc>
      </w:tr>
      <w:tr w:rsidR="00284090" w:rsidRPr="00AF3EEF" w14:paraId="5E43B156" w14:textId="65130058" w:rsidTr="00AB141D">
        <w:trPr>
          <w:cantSplit/>
        </w:trPr>
        <w:tc>
          <w:tcPr>
            <w:tcW w:w="1361" w:type="pct"/>
            <w:tcBorders>
              <w:top w:val="single" w:sz="5" w:space="0" w:color="000000"/>
              <w:left w:val="single" w:sz="5" w:space="0" w:color="000000"/>
              <w:bottom w:val="single" w:sz="5" w:space="0" w:color="000000"/>
            </w:tcBorders>
            <w:shd w:val="clear" w:color="auto" w:fill="DAEEF3" w:themeFill="accent5" w:themeFillTint="33"/>
          </w:tcPr>
          <w:p w14:paraId="26836AA9" w14:textId="7AD33A29" w:rsidR="00284090" w:rsidRPr="00AF3EEF" w:rsidRDefault="00284090" w:rsidP="00284090">
            <w:pPr>
              <w:pStyle w:val="TableTextLeft"/>
              <w:rPr>
                <w:rStyle w:val="BoldItalic"/>
              </w:rPr>
            </w:pPr>
            <w:r w:rsidRPr="00AF3EEF">
              <w:rPr>
                <w:rStyle w:val="BoldItalic"/>
              </w:rPr>
              <w:t>PCWP_CEMS.xlsx</w:t>
            </w:r>
          </w:p>
        </w:tc>
        <w:tc>
          <w:tcPr>
            <w:tcW w:w="1998" w:type="pct"/>
            <w:tcBorders>
              <w:top w:val="single" w:sz="6" w:space="0" w:color="000000"/>
              <w:bottom w:val="single" w:sz="6" w:space="0" w:color="000000"/>
            </w:tcBorders>
            <w:shd w:val="clear" w:color="auto" w:fill="DAEEF3" w:themeFill="accent5" w:themeFillTint="33"/>
          </w:tcPr>
          <w:p w14:paraId="1A9FA6C5" w14:textId="77777777" w:rsidR="00284090" w:rsidRPr="00AF3EEF" w:rsidRDefault="00284090" w:rsidP="00284090">
            <w:pPr>
              <w:pStyle w:val="TableTextLeft"/>
            </w:pPr>
          </w:p>
        </w:tc>
        <w:tc>
          <w:tcPr>
            <w:tcW w:w="682" w:type="pct"/>
            <w:tcBorders>
              <w:top w:val="single" w:sz="6" w:space="0" w:color="000000"/>
              <w:left w:val="nil"/>
              <w:bottom w:val="single" w:sz="6" w:space="0" w:color="000000"/>
            </w:tcBorders>
            <w:shd w:val="clear" w:color="auto" w:fill="DAEEF3" w:themeFill="accent5" w:themeFillTint="33"/>
          </w:tcPr>
          <w:p w14:paraId="79CD9114" w14:textId="77777777" w:rsidR="00284090" w:rsidRPr="00AF3EEF" w:rsidRDefault="00284090" w:rsidP="00284090">
            <w:pPr>
              <w:pStyle w:val="TableTextCentered"/>
            </w:pPr>
          </w:p>
        </w:tc>
        <w:tc>
          <w:tcPr>
            <w:tcW w:w="959" w:type="pct"/>
            <w:tcBorders>
              <w:top w:val="single" w:sz="6" w:space="0" w:color="000000"/>
              <w:bottom w:val="single" w:sz="6" w:space="0" w:color="000000"/>
              <w:right w:val="single" w:sz="6" w:space="0" w:color="000000"/>
            </w:tcBorders>
            <w:shd w:val="clear" w:color="auto" w:fill="DAEEF3" w:themeFill="accent5" w:themeFillTint="33"/>
          </w:tcPr>
          <w:p w14:paraId="25012E3A" w14:textId="77777777" w:rsidR="00284090" w:rsidRPr="00AF3EEF" w:rsidRDefault="00284090" w:rsidP="00284090">
            <w:pPr>
              <w:pStyle w:val="TableTextCentered"/>
            </w:pPr>
          </w:p>
        </w:tc>
      </w:tr>
      <w:tr w:rsidR="00284090" w:rsidRPr="00D9689C" w14:paraId="09CF13A8" w14:textId="39571D05" w:rsidTr="00AB141D">
        <w:trPr>
          <w:cantSplit/>
        </w:trPr>
        <w:tc>
          <w:tcPr>
            <w:tcW w:w="1361" w:type="pct"/>
            <w:tcBorders>
              <w:top w:val="single" w:sz="5" w:space="0" w:color="000000"/>
              <w:left w:val="single" w:sz="5" w:space="0" w:color="000000"/>
              <w:bottom w:val="single" w:sz="5" w:space="0" w:color="000000"/>
              <w:right w:val="single" w:sz="5" w:space="0" w:color="000000"/>
            </w:tcBorders>
          </w:tcPr>
          <w:p w14:paraId="65F720DB" w14:textId="77777777" w:rsidR="00284090" w:rsidRPr="00647BDC" w:rsidRDefault="00284090" w:rsidP="00284090">
            <w:pPr>
              <w:pStyle w:val="TableTextLeft"/>
            </w:pPr>
            <w:r w:rsidRPr="00647BDC">
              <w:t>CEMS</w:t>
            </w:r>
            <w:r>
              <w:t xml:space="preserve"> (CEMS)</w:t>
            </w:r>
          </w:p>
        </w:tc>
        <w:tc>
          <w:tcPr>
            <w:tcW w:w="1998" w:type="pct"/>
            <w:tcBorders>
              <w:top w:val="single" w:sz="6" w:space="0" w:color="000000"/>
              <w:left w:val="single" w:sz="5" w:space="0" w:color="000000"/>
              <w:bottom w:val="single" w:sz="5" w:space="0" w:color="000000"/>
              <w:right w:val="single" w:sz="5" w:space="0" w:color="000000"/>
            </w:tcBorders>
          </w:tcPr>
          <w:p w14:paraId="54B471FC" w14:textId="77777777" w:rsidR="00284090" w:rsidRPr="00647BDC" w:rsidRDefault="00284090" w:rsidP="00284090">
            <w:pPr>
              <w:pStyle w:val="TableTextLeft"/>
            </w:pPr>
            <w:r w:rsidRPr="00647BDC">
              <w:t>Facilities with controlled units monitored by CEMS</w:t>
            </w:r>
          </w:p>
        </w:tc>
        <w:tc>
          <w:tcPr>
            <w:tcW w:w="682" w:type="pct"/>
            <w:tcBorders>
              <w:top w:val="single" w:sz="6" w:space="0" w:color="000000"/>
              <w:left w:val="single" w:sz="5" w:space="0" w:color="000000"/>
              <w:bottom w:val="single" w:sz="5" w:space="0" w:color="000000"/>
              <w:right w:val="single" w:sz="5" w:space="0" w:color="000000"/>
            </w:tcBorders>
          </w:tcPr>
          <w:p w14:paraId="2985B720" w14:textId="228A0D0C" w:rsidR="00284090" w:rsidRPr="00647BDC" w:rsidRDefault="00284090" w:rsidP="00284090">
            <w:pPr>
              <w:pStyle w:val="TableTextCentered"/>
            </w:pPr>
            <w:r>
              <w:t>3</w:t>
            </w:r>
            <w:r w:rsidR="006E7920">
              <w:t>7</w:t>
            </w:r>
          </w:p>
        </w:tc>
        <w:tc>
          <w:tcPr>
            <w:tcW w:w="959" w:type="pct"/>
            <w:tcBorders>
              <w:top w:val="single" w:sz="6" w:space="0" w:color="000000"/>
              <w:left w:val="single" w:sz="5" w:space="0" w:color="000000"/>
              <w:bottom w:val="single" w:sz="5" w:space="0" w:color="000000"/>
              <w:right w:val="single" w:sz="5" w:space="0" w:color="000000"/>
            </w:tcBorders>
          </w:tcPr>
          <w:p w14:paraId="5E011A43" w14:textId="77777777" w:rsidR="00284090" w:rsidRDefault="00284090" w:rsidP="00284090">
            <w:pPr>
              <w:pStyle w:val="TableTextCentered"/>
            </w:pPr>
          </w:p>
        </w:tc>
      </w:tr>
    </w:tbl>
    <w:p w14:paraId="7987B62B" w14:textId="77777777" w:rsidR="003C56CA" w:rsidRDefault="003C56CA" w:rsidP="00A02539">
      <w:pPr>
        <w:pStyle w:val="Paragraph"/>
      </w:pPr>
    </w:p>
    <w:p w14:paraId="66648987" w14:textId="3EC93ACA" w:rsidR="00EF26D9" w:rsidRDefault="004F418B" w:rsidP="006F3B0C">
      <w:pPr>
        <w:pStyle w:val="Paragraph"/>
      </w:pPr>
      <w:r w:rsidRPr="00C564E9">
        <w:t xml:space="preserve">Emissions data collected will allow </w:t>
      </w:r>
      <w:r w:rsidR="00674C80">
        <w:t xml:space="preserve">the </w:t>
      </w:r>
      <w:r w:rsidRPr="00C564E9">
        <w:t>EPA to characterize the performance of equipment and controls, reevaluate emissions limits, and consider variability. Emissions data</w:t>
      </w:r>
      <w:r w:rsidR="005A4A4A">
        <w:t xml:space="preserve"> from previously conducted emissions tests, including copies of </w:t>
      </w:r>
      <w:r w:rsidRPr="00C564E9">
        <w:t>test reports</w:t>
      </w:r>
      <w:r w:rsidR="005A4A4A">
        <w:t xml:space="preserve"> and</w:t>
      </w:r>
      <w:r w:rsidR="00FA2976" w:rsidRPr="00147C27">
        <w:t xml:space="preserve"> </w:t>
      </w:r>
      <w:r w:rsidRPr="00147C27">
        <w:t>CEMS data</w:t>
      </w:r>
      <w:r w:rsidR="006B2310">
        <w:t>,</w:t>
      </w:r>
      <w:r w:rsidRPr="00147C27">
        <w:t xml:space="preserve"> are being requested for affected sources and </w:t>
      </w:r>
      <w:r w:rsidR="00864A29">
        <w:t>process</w:t>
      </w:r>
      <w:r w:rsidRPr="00147C27">
        <w:t xml:space="preserve"> units for which emissions limits may be reevaluated under RTR. The pollutants for which emissions data are requested include </w:t>
      </w:r>
      <w:r w:rsidR="005A4A4A">
        <w:t>a</w:t>
      </w:r>
      <w:r w:rsidR="00FA2976" w:rsidRPr="001D0233">
        <w:t xml:space="preserve">ll HAP regulated under the PCWP </w:t>
      </w:r>
      <w:r w:rsidR="000674E5">
        <w:t>NESHAP</w:t>
      </w:r>
      <w:r w:rsidR="005A514A">
        <w:t>,</w:t>
      </w:r>
      <w:r w:rsidR="00FA2976" w:rsidRPr="001D0233">
        <w:t xml:space="preserve"> any surrogate used to demonstrate compliance with </w:t>
      </w:r>
      <w:r w:rsidR="00DD168E">
        <w:t xml:space="preserve">the </w:t>
      </w:r>
      <w:r w:rsidR="00FA2976" w:rsidRPr="001D0233">
        <w:t>regulated HAP</w:t>
      </w:r>
      <w:r w:rsidR="005A514A">
        <w:t>, volatile organic compounds, particulate matter (</w:t>
      </w:r>
      <w:r w:rsidR="00520348">
        <w:t>both filterable and</w:t>
      </w:r>
      <w:r w:rsidR="005A514A" w:rsidRPr="005A514A">
        <w:t xml:space="preserve"> condensable of any size fraction), </w:t>
      </w:r>
      <w:r w:rsidR="00520348">
        <w:t>the species of</w:t>
      </w:r>
      <w:r w:rsidR="00DD168E">
        <w:t xml:space="preserve"> any</w:t>
      </w:r>
      <w:r w:rsidR="005A514A" w:rsidRPr="005A514A">
        <w:t xml:space="preserve"> HAP metals, and opacity. </w:t>
      </w:r>
      <w:r w:rsidR="005A4A4A">
        <w:t xml:space="preserve">The </w:t>
      </w:r>
      <w:r w:rsidR="005A4A4A" w:rsidRPr="00622924">
        <w:rPr>
          <w:rStyle w:val="Italic"/>
        </w:rPr>
        <w:t>EmTest</w:t>
      </w:r>
      <w:r w:rsidR="005A4A4A">
        <w:t xml:space="preserve"> tab of the </w:t>
      </w:r>
      <w:r w:rsidR="005A4A4A" w:rsidRPr="005A514A">
        <w:rPr>
          <w:rStyle w:val="Italic"/>
        </w:rPr>
        <w:t>PCWP_survey.xlsx</w:t>
      </w:r>
      <w:r w:rsidR="005A4A4A">
        <w:t xml:space="preserve"> spreadsheet requests a summary of the emission</w:t>
      </w:r>
      <w:r w:rsidR="002F0B86">
        <w:t>s</w:t>
      </w:r>
      <w:r w:rsidR="005A4A4A">
        <w:t xml:space="preserve"> test reports provided. The </w:t>
      </w:r>
      <w:r w:rsidR="005A4A4A" w:rsidRPr="005A514A">
        <w:rPr>
          <w:rStyle w:val="Italic"/>
        </w:rPr>
        <w:t>PCWP_CEMS.xlsx</w:t>
      </w:r>
      <w:r w:rsidR="005A4A4A">
        <w:t xml:space="preserve"> spreadsheet contains</w:t>
      </w:r>
      <w:r w:rsidR="00FA2976" w:rsidRPr="001D0233">
        <w:t xml:space="preserve"> </w:t>
      </w:r>
      <w:r w:rsidRPr="001D0233">
        <w:t>CEMS</w:t>
      </w:r>
      <w:r w:rsidR="00FA2976" w:rsidRPr="001D0233">
        <w:t xml:space="preserve"> </w:t>
      </w:r>
      <w:r w:rsidR="005A4A4A">
        <w:t>work</w:t>
      </w:r>
      <w:r w:rsidRPr="001D0233">
        <w:t>sheet</w:t>
      </w:r>
      <w:r w:rsidR="00FA2976" w:rsidRPr="001D0233">
        <w:t>s</w:t>
      </w:r>
      <w:r w:rsidRPr="001D0233">
        <w:t xml:space="preserve"> for different polluta</w:t>
      </w:r>
      <w:r w:rsidRPr="000C2960">
        <w:t>nts</w:t>
      </w:r>
      <w:r w:rsidR="005A4A4A">
        <w:t xml:space="preserve"> and averaging periods (</w:t>
      </w:r>
      <w:r w:rsidR="005A4A4A" w:rsidRPr="00C60352">
        <w:rPr>
          <w:rStyle w:val="Italic"/>
        </w:rPr>
        <w:t>e.g.</w:t>
      </w:r>
      <w:r w:rsidR="005A4A4A">
        <w:t xml:space="preserve">, for 1-hour, 3-hour, or 24-hour average </w:t>
      </w:r>
      <w:r w:rsidR="00F33FE8">
        <w:t>total hydrocarbon</w:t>
      </w:r>
      <w:r w:rsidR="005A4A4A">
        <w:t xml:space="preserve"> data)</w:t>
      </w:r>
      <w:r>
        <w:t>.</w:t>
      </w:r>
    </w:p>
    <w:p w14:paraId="39FCEE43" w14:textId="22F94374" w:rsidR="00B73746" w:rsidRDefault="004F418B" w:rsidP="00A02539">
      <w:pPr>
        <w:pStyle w:val="Paragraph"/>
      </w:pPr>
      <w:r>
        <w:t>The</w:t>
      </w:r>
      <w:r w:rsidRPr="00600F02">
        <w:t xml:space="preserve"> </w:t>
      </w:r>
      <w:r w:rsidR="00F81F16" w:rsidRPr="00622924">
        <w:rPr>
          <w:rStyle w:val="Italic"/>
        </w:rPr>
        <w:t>APCD</w:t>
      </w:r>
      <w:r w:rsidRPr="000C2960">
        <w:t xml:space="preserve"> </w:t>
      </w:r>
      <w:r w:rsidR="003A6EB9" w:rsidRPr="000C2960">
        <w:t>tab</w:t>
      </w:r>
      <w:r w:rsidRPr="000C2960">
        <w:t xml:space="preserve"> </w:t>
      </w:r>
      <w:r w:rsidR="005A4A4A">
        <w:t xml:space="preserve">of the </w:t>
      </w:r>
      <w:r w:rsidR="005A4A4A" w:rsidRPr="005A514A">
        <w:rPr>
          <w:rStyle w:val="Italic"/>
        </w:rPr>
        <w:t>PCWP_survey.xlsx</w:t>
      </w:r>
      <w:r w:rsidR="005A4A4A">
        <w:t xml:space="preserve"> spreadsheet </w:t>
      </w:r>
      <w:r w:rsidRPr="000C2960">
        <w:t>requests information related to the capital</w:t>
      </w:r>
      <w:r w:rsidR="00046F15">
        <w:t xml:space="preserve"> and O&amp;M</w:t>
      </w:r>
      <w:r w:rsidRPr="000C2960">
        <w:t xml:space="preserve"> costs </w:t>
      </w:r>
      <w:r w:rsidR="00864A29">
        <w:t>(if known) for</w:t>
      </w:r>
      <w:r w:rsidRPr="000C2960">
        <w:t xml:space="preserve"> </w:t>
      </w:r>
      <w:r w:rsidR="00864A29">
        <w:t xml:space="preserve">HAP </w:t>
      </w:r>
      <w:r w:rsidRPr="000C2960">
        <w:t xml:space="preserve">controls </w:t>
      </w:r>
      <w:r w:rsidR="003A6EB9" w:rsidRPr="000C2960">
        <w:t>and</w:t>
      </w:r>
      <w:r w:rsidRPr="000C2960">
        <w:t xml:space="preserve"> </w:t>
      </w:r>
      <w:r w:rsidR="003A6EB9" w:rsidRPr="000C2960">
        <w:t xml:space="preserve">parameter monitoring </w:t>
      </w:r>
      <w:r w:rsidR="00F81F16">
        <w:t xml:space="preserve">equipment. </w:t>
      </w:r>
      <w:r w:rsidRPr="000C2960">
        <w:t xml:space="preserve">The </w:t>
      </w:r>
      <w:r w:rsidR="00F81F16">
        <w:t>EPA</w:t>
      </w:r>
      <w:r w:rsidRPr="000C2960">
        <w:t xml:space="preserve"> </w:t>
      </w:r>
      <w:r w:rsidR="003A6EB9" w:rsidRPr="000C2960">
        <w:t>requires</w:t>
      </w:r>
      <w:r w:rsidRPr="000C2960">
        <w:t xml:space="preserve"> cost information</w:t>
      </w:r>
      <w:r w:rsidR="003A6EB9" w:rsidRPr="000C2960">
        <w:t xml:space="preserve"> in order</w:t>
      </w:r>
      <w:r w:rsidRPr="000C2960">
        <w:t xml:space="preserve"> to perform the CAA-required regulatory analyses</w:t>
      </w:r>
      <w:r w:rsidR="00674C80">
        <w:t>.</w:t>
      </w:r>
    </w:p>
    <w:p w14:paraId="2EA5FB95" w14:textId="66FAFE4B" w:rsidR="00EF26D9" w:rsidRDefault="004F418B" w:rsidP="006F3B0C">
      <w:pPr>
        <w:pStyle w:val="Paragraph"/>
      </w:pPr>
      <w:r>
        <w:t xml:space="preserve">Although </w:t>
      </w:r>
      <w:r w:rsidRPr="000C2960">
        <w:t xml:space="preserve">a large amount of information </w:t>
      </w:r>
      <w:r w:rsidR="006F3B0C">
        <w:t>is needed for regulatory review</w:t>
      </w:r>
      <w:r w:rsidRPr="000C2960">
        <w:t xml:space="preserve"> of </w:t>
      </w:r>
      <w:r w:rsidRPr="006F3B0C">
        <w:t xml:space="preserve">the </w:t>
      </w:r>
      <w:r w:rsidR="006F3B0C" w:rsidRPr="006F3B0C">
        <w:t>N</w:t>
      </w:r>
      <w:r w:rsidRPr="006F3B0C">
        <w:t>ESHAP,</w:t>
      </w:r>
      <w:r w:rsidRPr="000C2960">
        <w:t xml:space="preserve"> the EPA has designed the </w:t>
      </w:r>
      <w:r w:rsidR="003A6EB9" w:rsidRPr="000C2960">
        <w:t xml:space="preserve">PCWP </w:t>
      </w:r>
      <w:r w:rsidRPr="000C2960">
        <w:t>information collection in a way to minimize the burden associated with supplying and processing this information</w:t>
      </w:r>
      <w:r w:rsidR="00674C80">
        <w:t xml:space="preserve">. </w:t>
      </w:r>
      <w:r w:rsidRPr="000C2960">
        <w:t>The survey will collect information to suppl</w:t>
      </w:r>
      <w:r w:rsidRPr="00B40DA7">
        <w:t>y multiple regulatory actions in order</w:t>
      </w:r>
      <w:r w:rsidRPr="000C2960">
        <w:t xml:space="preserve"> to minimize the burden associated with multiple collections. The </w:t>
      </w:r>
      <w:r w:rsidR="003A6EB9" w:rsidRPr="000C2960">
        <w:t xml:space="preserve">PCWP </w:t>
      </w:r>
      <w:r w:rsidRPr="000C2960">
        <w:t>information collection is being administered in spreadsh</w:t>
      </w:r>
      <w:r w:rsidR="00A524B0">
        <w:t>eet form (as opposed to data</w:t>
      </w:r>
      <w:r w:rsidRPr="000C2960">
        <w:t>base software) because respondents are likely to be more familiar with spreadsheet use than with databases</w:t>
      </w:r>
      <w:r w:rsidR="00DB2C5F">
        <w:t>.</w:t>
      </w:r>
      <w:r w:rsidRPr="000C2960">
        <w:t xml:space="preserve"> </w:t>
      </w:r>
      <w:r w:rsidR="005A514A" w:rsidRPr="005A514A">
        <w:t>A table containing only the relevant and current source classification codes (SCC) will be provided to ensure that valid codes are used and to reduce respondent time associated with locating codes on the NEI website.</w:t>
      </w:r>
      <w:r w:rsidR="005A514A">
        <w:t xml:space="preserve"> </w:t>
      </w:r>
      <w:r w:rsidR="00DB2C5F">
        <w:t>F</w:t>
      </w:r>
      <w:r w:rsidRPr="000C2960">
        <w:t>ollowing QA</w:t>
      </w:r>
      <w:r w:rsidR="00DB2C5F">
        <w:t xml:space="preserve"> of the data, the</w:t>
      </w:r>
      <w:r w:rsidRPr="000C2960">
        <w:t xml:space="preserve"> data from the Excel spreadsheet rows can be re</w:t>
      </w:r>
      <w:r w:rsidR="00A524B0">
        <w:t>adily imported into Access data</w:t>
      </w:r>
      <w:r w:rsidRPr="000C2960">
        <w:t xml:space="preserve">base software for use by the </w:t>
      </w:r>
      <w:r w:rsidR="005579CF">
        <w:t>A</w:t>
      </w:r>
      <w:r w:rsidR="00895383" w:rsidRPr="000C2960">
        <w:t xml:space="preserve">gency </w:t>
      </w:r>
      <w:r w:rsidRPr="000C2960">
        <w:t xml:space="preserve">(eliminating the time required for </w:t>
      </w:r>
      <w:r w:rsidR="00674C80">
        <w:t xml:space="preserve">the </w:t>
      </w:r>
      <w:r w:rsidRPr="000C2960">
        <w:t xml:space="preserve">EPA to key-enter data). The </w:t>
      </w:r>
      <w:r w:rsidR="003A6EB9" w:rsidRPr="000C2960">
        <w:t xml:space="preserve">PCWP </w:t>
      </w:r>
      <w:r w:rsidRPr="000C2960">
        <w:t xml:space="preserve">survey spreadsheets </w:t>
      </w:r>
      <w:r w:rsidR="00AE244C">
        <w:t xml:space="preserve">and instructions </w:t>
      </w:r>
      <w:r w:rsidR="003A6EB9" w:rsidRPr="000C2960">
        <w:t>will</w:t>
      </w:r>
      <w:r w:rsidRPr="000C2960">
        <w:t xml:space="preserve"> be provided to </w:t>
      </w:r>
      <w:r w:rsidR="00D1216F">
        <w:t>facilities</w:t>
      </w:r>
      <w:r w:rsidRPr="000C2960">
        <w:t xml:space="preserve"> on a </w:t>
      </w:r>
      <w:r w:rsidR="000619EC">
        <w:t xml:space="preserve">website where they can be downloaded. Respondents will </w:t>
      </w:r>
      <w:r w:rsidRPr="000C2960">
        <w:t xml:space="preserve">save and submit their </w:t>
      </w:r>
      <w:r w:rsidR="000619EC">
        <w:t>completed survey spreadsheets and other materials requested</w:t>
      </w:r>
      <w:r w:rsidR="008119D8">
        <w:t>,</w:t>
      </w:r>
      <w:r w:rsidR="000619EC">
        <w:t xml:space="preserve"> such as </w:t>
      </w:r>
      <w:r w:rsidRPr="000C2960">
        <w:t xml:space="preserve">electronic copies </w:t>
      </w:r>
      <w:r w:rsidR="003A6EB9" w:rsidRPr="000C2960">
        <w:t>of production</w:t>
      </w:r>
      <w:r w:rsidRPr="000C2960">
        <w:t xml:space="preserve"> flow diagrams, </w:t>
      </w:r>
      <w:r w:rsidR="003A6EB9" w:rsidRPr="000C2960">
        <w:t xml:space="preserve">operating permits, </w:t>
      </w:r>
      <w:r w:rsidR="000619EC">
        <w:t xml:space="preserve">and </w:t>
      </w:r>
      <w:r w:rsidRPr="000C2960">
        <w:t>emission</w:t>
      </w:r>
      <w:r w:rsidR="002F0B86">
        <w:t>s</w:t>
      </w:r>
      <w:r w:rsidRPr="000C2960">
        <w:t xml:space="preserve"> test reports</w:t>
      </w:r>
      <w:r w:rsidR="000619EC">
        <w:t xml:space="preserve"> on digital media such as a CD</w:t>
      </w:r>
      <w:r w:rsidR="00C5595B">
        <w:t>, DVD,</w:t>
      </w:r>
      <w:r w:rsidR="000619EC">
        <w:t xml:space="preserve"> or flash drive</w:t>
      </w:r>
      <w:r w:rsidRPr="000C2960">
        <w:t>.</w:t>
      </w:r>
      <w:r w:rsidR="00FC1A83">
        <w:rPr>
          <w:rStyle w:val="FootnoteReference"/>
        </w:rPr>
        <w:footnoteReference w:id="6"/>
      </w:r>
      <w:r w:rsidRPr="000C2960">
        <w:t xml:space="preserve"> The burden associated with collection of emissions test data has be</w:t>
      </w:r>
      <w:r w:rsidR="007422CB">
        <w:t>en</w:t>
      </w:r>
      <w:r w:rsidRPr="000C2960">
        <w:t xml:space="preserve"> reduced in several</w:t>
      </w:r>
      <w:r w:rsidRPr="00600F02">
        <w:t xml:space="preserve"> </w:t>
      </w:r>
      <w:r>
        <w:t>ways:</w:t>
      </w:r>
    </w:p>
    <w:p w14:paraId="30B1442B" w14:textId="01251AD9" w:rsidR="000619EC" w:rsidRPr="008334FE" w:rsidRDefault="004F418B" w:rsidP="00A02539">
      <w:pPr>
        <w:pStyle w:val="ListNumber3"/>
      </w:pPr>
      <w:r>
        <w:t xml:space="preserve">Only existing </w:t>
      </w:r>
      <w:r w:rsidRPr="00600F02">
        <w:t>emissions</w:t>
      </w:r>
      <w:r>
        <w:t xml:space="preserve"> data </w:t>
      </w:r>
      <w:r w:rsidRPr="00600F02">
        <w:t>(CEMS</w:t>
      </w:r>
      <w:r>
        <w:t xml:space="preserve"> data</w:t>
      </w:r>
      <w:r w:rsidRPr="00600F02">
        <w:t xml:space="preserve"> </w:t>
      </w:r>
      <w:r>
        <w:t xml:space="preserve">or </w:t>
      </w:r>
      <w:r w:rsidRPr="00600F02">
        <w:t>emissions</w:t>
      </w:r>
      <w:r>
        <w:t xml:space="preserve"> test reports)</w:t>
      </w:r>
      <w:r w:rsidRPr="00600F02">
        <w:t xml:space="preserve"> </w:t>
      </w:r>
      <w:r>
        <w:t>are</w:t>
      </w:r>
      <w:r w:rsidRPr="00600F02">
        <w:t xml:space="preserve"> </w:t>
      </w:r>
      <w:r>
        <w:t>being</w:t>
      </w:r>
      <w:r w:rsidRPr="00600F02">
        <w:t xml:space="preserve"> </w:t>
      </w:r>
      <w:r>
        <w:t>requested</w:t>
      </w:r>
      <w:r w:rsidRPr="00600F02">
        <w:t>.</w:t>
      </w:r>
      <w:r w:rsidR="000619EC" w:rsidRPr="00600F02">
        <w:t xml:space="preserve"> </w:t>
      </w:r>
      <w:r w:rsidR="00D1216F">
        <w:t>Facilities</w:t>
      </w:r>
      <w:r w:rsidRPr="00600F02">
        <w:t xml:space="preserve"> </w:t>
      </w:r>
      <w:r>
        <w:t>are</w:t>
      </w:r>
      <w:r w:rsidRPr="00600F02">
        <w:t xml:space="preserve"> not </w:t>
      </w:r>
      <w:r>
        <w:t>required</w:t>
      </w:r>
      <w:r w:rsidRPr="00600F02">
        <w:t xml:space="preserve"> </w:t>
      </w:r>
      <w:r>
        <w:t>to</w:t>
      </w:r>
      <w:r w:rsidRPr="00600F02">
        <w:t xml:space="preserve"> </w:t>
      </w:r>
      <w:r>
        <w:t>conduct</w:t>
      </w:r>
      <w:r w:rsidRPr="00600F02">
        <w:t xml:space="preserve"> </w:t>
      </w:r>
      <w:r>
        <w:t>any</w:t>
      </w:r>
      <w:r w:rsidRPr="00600F02">
        <w:t xml:space="preserve"> </w:t>
      </w:r>
      <w:r>
        <w:t>new</w:t>
      </w:r>
      <w:r w:rsidRPr="00600F02">
        <w:t xml:space="preserve"> emissions </w:t>
      </w:r>
      <w:r>
        <w:t>testing</w:t>
      </w:r>
      <w:r w:rsidRPr="00600F02">
        <w:t xml:space="preserve"> </w:t>
      </w:r>
      <w:r w:rsidR="006B2310">
        <w:t>for</w:t>
      </w:r>
      <w:r w:rsidR="000619EC" w:rsidRPr="00600F02">
        <w:t xml:space="preserve"> the ICR.</w:t>
      </w:r>
    </w:p>
    <w:p w14:paraId="1B90F293" w14:textId="18023F25" w:rsidR="00EF26D9" w:rsidRDefault="00D1216F" w:rsidP="00A02539">
      <w:pPr>
        <w:pStyle w:val="ListNumber3"/>
      </w:pPr>
      <w:r w:rsidRPr="00600F02">
        <w:t>Facilities</w:t>
      </w:r>
      <w:r w:rsidR="000619EC" w:rsidRPr="00600F02">
        <w:t xml:space="preserve"> are not required to </w:t>
      </w:r>
      <w:r w:rsidR="004F418B">
        <w:t>install</w:t>
      </w:r>
      <w:r w:rsidR="004F418B" w:rsidRPr="00600F02">
        <w:t xml:space="preserve"> </w:t>
      </w:r>
      <w:r w:rsidR="004F418B">
        <w:t>or</w:t>
      </w:r>
      <w:r w:rsidR="004F418B" w:rsidRPr="00600F02">
        <w:t xml:space="preserve"> </w:t>
      </w:r>
      <w:r w:rsidR="004F418B">
        <w:t>operate</w:t>
      </w:r>
      <w:r w:rsidR="004F418B" w:rsidRPr="00600F02">
        <w:t xml:space="preserve"> </w:t>
      </w:r>
      <w:r w:rsidR="004F418B">
        <w:t>any</w:t>
      </w:r>
      <w:r w:rsidR="004F418B" w:rsidRPr="00600F02">
        <w:t xml:space="preserve"> </w:t>
      </w:r>
      <w:r w:rsidR="004F418B">
        <w:t>new</w:t>
      </w:r>
      <w:r w:rsidR="004F418B" w:rsidRPr="00600F02">
        <w:t xml:space="preserve"> </w:t>
      </w:r>
      <w:r w:rsidR="004F418B">
        <w:t>CEMS</w:t>
      </w:r>
      <w:r w:rsidR="004F418B" w:rsidRPr="00600F02">
        <w:t xml:space="preserve"> to respond to this survey.</w:t>
      </w:r>
    </w:p>
    <w:p w14:paraId="57021954" w14:textId="76281E9F" w:rsidR="00EF26D9" w:rsidRDefault="000619EC" w:rsidP="00C9486E">
      <w:pPr>
        <w:pStyle w:val="ListNumber3"/>
      </w:pPr>
      <w:r>
        <w:t xml:space="preserve">The </w:t>
      </w:r>
      <w:r w:rsidR="004F418B">
        <w:t xml:space="preserve">EPA has developed a </w:t>
      </w:r>
      <w:r w:rsidR="004F418B" w:rsidRPr="00600F02">
        <w:t>matrix</w:t>
      </w:r>
      <w:r w:rsidR="004F418B">
        <w:t xml:space="preserve"> of </w:t>
      </w:r>
      <w:r w:rsidR="00EA5ADC">
        <w:t>process</w:t>
      </w:r>
      <w:r w:rsidR="004F418B">
        <w:t xml:space="preserve"> units and pollutants for which </w:t>
      </w:r>
      <w:r w:rsidR="006F12EA">
        <w:t xml:space="preserve">previous emissions </w:t>
      </w:r>
      <w:r w:rsidR="004F418B">
        <w:t>test data are</w:t>
      </w:r>
      <w:r w:rsidR="004F418B" w:rsidRPr="00600F02">
        <w:t xml:space="preserve"> </w:t>
      </w:r>
      <w:r w:rsidR="004F418B">
        <w:t>requested.</w:t>
      </w:r>
      <w:r w:rsidR="004F418B" w:rsidRPr="00600F02">
        <w:t xml:space="preserve"> </w:t>
      </w:r>
      <w:r w:rsidR="006F12EA">
        <w:t>Previous e</w:t>
      </w:r>
      <w:r w:rsidR="004F418B" w:rsidRPr="00600F02">
        <w:t xml:space="preserve">missions </w:t>
      </w:r>
      <w:r w:rsidR="004F418B">
        <w:t>data</w:t>
      </w:r>
      <w:r w:rsidR="004F418B" w:rsidRPr="00600F02">
        <w:t xml:space="preserve"> </w:t>
      </w:r>
      <w:r w:rsidR="004F418B">
        <w:t>are</w:t>
      </w:r>
      <w:r w:rsidR="004F418B" w:rsidRPr="00600F02">
        <w:t xml:space="preserve"> </w:t>
      </w:r>
      <w:r w:rsidR="004F418B">
        <w:t>only</w:t>
      </w:r>
      <w:r w:rsidR="004F418B" w:rsidRPr="00600F02">
        <w:t xml:space="preserve"> </w:t>
      </w:r>
      <w:r w:rsidR="004F418B">
        <w:t>being</w:t>
      </w:r>
      <w:r w:rsidR="004F418B" w:rsidRPr="00600F02">
        <w:t xml:space="preserve"> </w:t>
      </w:r>
      <w:r w:rsidR="004F418B">
        <w:t xml:space="preserve">requested for </w:t>
      </w:r>
      <w:r w:rsidR="00864A29">
        <w:t>process</w:t>
      </w:r>
      <w:r w:rsidR="004F418B">
        <w:t xml:space="preserve"> unit and pollutant</w:t>
      </w:r>
      <w:r w:rsidR="004F418B" w:rsidRPr="00600F02">
        <w:t xml:space="preserve"> combinations</w:t>
      </w:r>
      <w:r w:rsidR="004F418B">
        <w:t xml:space="preserve"> for which </w:t>
      </w:r>
      <w:r w:rsidR="004F418B" w:rsidRPr="00600F02">
        <w:t>emissions</w:t>
      </w:r>
      <w:r w:rsidR="004F418B">
        <w:t xml:space="preserve"> </w:t>
      </w:r>
      <w:r w:rsidR="004F418B" w:rsidRPr="00600F02">
        <w:t xml:space="preserve">limits may </w:t>
      </w:r>
      <w:r w:rsidR="004F418B">
        <w:t>be</w:t>
      </w:r>
      <w:r w:rsidR="004F418B" w:rsidRPr="00600F02">
        <w:t xml:space="preserve"> </w:t>
      </w:r>
      <w:r w:rsidR="004F418B">
        <w:t>reevaluated</w:t>
      </w:r>
      <w:r w:rsidR="004F418B" w:rsidRPr="00600F02">
        <w:t xml:space="preserve"> </w:t>
      </w:r>
      <w:r w:rsidR="004F418B">
        <w:t>under</w:t>
      </w:r>
      <w:r w:rsidR="004F418B" w:rsidRPr="00600F02">
        <w:t xml:space="preserve"> </w:t>
      </w:r>
      <w:r w:rsidR="004F418B">
        <w:t>RTR (or for pollutant</w:t>
      </w:r>
      <w:r w:rsidR="000448FF">
        <w:t>s</w:t>
      </w:r>
      <w:r w:rsidR="004F418B">
        <w:t xml:space="preserve"> that </w:t>
      </w:r>
      <w:r w:rsidR="004F418B" w:rsidRPr="00600F02">
        <w:t>may</w:t>
      </w:r>
      <w:r w:rsidR="004F418B">
        <w:t xml:space="preserve"> serve as an</w:t>
      </w:r>
      <w:r w:rsidR="004F418B" w:rsidRPr="00600F02">
        <w:t xml:space="preserve"> </w:t>
      </w:r>
      <w:r w:rsidR="004F418B">
        <w:t xml:space="preserve">indicator or surrogate for </w:t>
      </w:r>
      <w:r w:rsidR="00EA5ADC">
        <w:t>process</w:t>
      </w:r>
      <w:r w:rsidR="004F418B">
        <w:t xml:space="preserve"> unit or</w:t>
      </w:r>
      <w:r w:rsidR="004F418B" w:rsidRPr="00600F02">
        <w:t xml:space="preserve"> </w:t>
      </w:r>
      <w:r w:rsidR="004F418B">
        <w:t xml:space="preserve">control system </w:t>
      </w:r>
      <w:r w:rsidR="004F418B" w:rsidRPr="00600F02">
        <w:t>performance).</w:t>
      </w:r>
      <w:r>
        <w:t xml:space="preserve"> </w:t>
      </w:r>
      <w:r w:rsidR="004F418B">
        <w:t>The matrix</w:t>
      </w:r>
      <w:r w:rsidR="004F418B" w:rsidRPr="00600F02">
        <w:t xml:space="preserve"> </w:t>
      </w:r>
      <w:r w:rsidR="004F418B">
        <w:t xml:space="preserve">provides </w:t>
      </w:r>
      <w:r w:rsidR="00C9486E">
        <w:t>a 200</w:t>
      </w:r>
      <w:r w:rsidR="00AE244C">
        <w:t>4</w:t>
      </w:r>
      <w:r w:rsidR="00C9486E">
        <w:t xml:space="preserve"> </w:t>
      </w:r>
      <w:r w:rsidR="00AE244C">
        <w:t xml:space="preserve">or 2012 </w:t>
      </w:r>
      <w:r w:rsidR="004F418B">
        <w:t xml:space="preserve">cutoff date for selected </w:t>
      </w:r>
      <w:r w:rsidR="00EA5ADC">
        <w:t>process</w:t>
      </w:r>
      <w:r w:rsidR="004F418B" w:rsidRPr="00600F02">
        <w:t xml:space="preserve"> </w:t>
      </w:r>
      <w:r w:rsidR="004F418B">
        <w:t>unit</w:t>
      </w:r>
      <w:r w:rsidR="004F418B" w:rsidRPr="00600F02">
        <w:t xml:space="preserve"> </w:t>
      </w:r>
      <w:r w:rsidR="004F418B">
        <w:t>and</w:t>
      </w:r>
      <w:r w:rsidR="004F418B" w:rsidRPr="00600F02">
        <w:t xml:space="preserve"> </w:t>
      </w:r>
      <w:r w:rsidR="004F418B">
        <w:t>pollutant</w:t>
      </w:r>
      <w:r w:rsidR="004F418B" w:rsidRPr="00600F02">
        <w:t xml:space="preserve"> combinations </w:t>
      </w:r>
      <w:r w:rsidR="004F418B">
        <w:t>(or</w:t>
      </w:r>
      <w:r w:rsidR="004F418B" w:rsidRPr="00600F02">
        <w:t xml:space="preserve"> </w:t>
      </w:r>
      <w:r w:rsidR="004F418B">
        <w:t>in</w:t>
      </w:r>
      <w:r w:rsidR="004F418B" w:rsidRPr="00600F02">
        <w:t xml:space="preserve"> some </w:t>
      </w:r>
      <w:r w:rsidR="004F418B">
        <w:t xml:space="preserve">cases, only requests the </w:t>
      </w:r>
      <w:r w:rsidR="004F418B" w:rsidRPr="00600F02">
        <w:t>most</w:t>
      </w:r>
      <w:r w:rsidR="004F418B">
        <w:t xml:space="preserve"> recent </w:t>
      </w:r>
      <w:r w:rsidR="00AE244C">
        <w:t>five tests</w:t>
      </w:r>
      <w:r w:rsidR="004F418B">
        <w:t>)</w:t>
      </w:r>
      <w:r w:rsidR="004F418B" w:rsidRPr="00600F02">
        <w:t xml:space="preserve"> </w:t>
      </w:r>
      <w:r w:rsidR="004F418B">
        <w:t>in</w:t>
      </w:r>
      <w:r w:rsidR="004F418B" w:rsidRPr="00600F02">
        <w:t xml:space="preserve"> </w:t>
      </w:r>
      <w:r w:rsidR="004F418B">
        <w:t>order</w:t>
      </w:r>
      <w:r w:rsidR="004F418B" w:rsidRPr="00600F02">
        <w:t xml:space="preserve"> </w:t>
      </w:r>
      <w:r w:rsidR="004F418B">
        <w:t>to</w:t>
      </w:r>
      <w:r w:rsidR="004F418B" w:rsidRPr="00600F02">
        <w:t xml:space="preserve"> minimize</w:t>
      </w:r>
      <w:r w:rsidR="004F418B">
        <w:t xml:space="preserve"> respondent</w:t>
      </w:r>
      <w:r w:rsidR="004F418B" w:rsidRPr="00600F02">
        <w:t xml:space="preserve"> burden </w:t>
      </w:r>
      <w:r w:rsidR="004F418B">
        <w:t>and</w:t>
      </w:r>
      <w:r w:rsidR="004F418B" w:rsidRPr="00600F02">
        <w:t xml:space="preserve"> </w:t>
      </w:r>
      <w:r w:rsidR="004F418B">
        <w:t>to</w:t>
      </w:r>
      <w:r w:rsidR="004F418B" w:rsidRPr="00600F02">
        <w:t xml:space="preserve"> </w:t>
      </w:r>
      <w:r w:rsidR="004F418B">
        <w:t>ensure</w:t>
      </w:r>
      <w:r w:rsidR="004F418B" w:rsidRPr="00600F02">
        <w:t xml:space="preserve"> </w:t>
      </w:r>
      <w:r w:rsidR="004F418B">
        <w:t>the</w:t>
      </w:r>
      <w:r w:rsidR="004F418B" w:rsidRPr="00600F02">
        <w:t xml:space="preserve"> </w:t>
      </w:r>
      <w:r w:rsidR="00895383">
        <w:t>EPA</w:t>
      </w:r>
      <w:r w:rsidR="004F418B">
        <w:t>’s</w:t>
      </w:r>
      <w:r w:rsidR="004F418B" w:rsidRPr="00600F02">
        <w:t xml:space="preserve"> </w:t>
      </w:r>
      <w:r w:rsidR="004F418B">
        <w:t>ability</w:t>
      </w:r>
      <w:r w:rsidR="004F418B" w:rsidRPr="00600F02">
        <w:t xml:space="preserve"> </w:t>
      </w:r>
      <w:r w:rsidR="004F418B">
        <w:t>to</w:t>
      </w:r>
      <w:r w:rsidR="004F418B" w:rsidRPr="00600F02">
        <w:t xml:space="preserve"> </w:t>
      </w:r>
      <w:r w:rsidR="004F418B">
        <w:t>process</w:t>
      </w:r>
      <w:r w:rsidR="004F418B" w:rsidRPr="00600F02">
        <w:t xml:space="preserve"> </w:t>
      </w:r>
      <w:r w:rsidR="004F418B">
        <w:t>the</w:t>
      </w:r>
      <w:r w:rsidR="004F418B" w:rsidRPr="00600F02">
        <w:t xml:space="preserve"> </w:t>
      </w:r>
      <w:r w:rsidR="004F418B">
        <w:t>data</w:t>
      </w:r>
      <w:r w:rsidR="004F418B" w:rsidRPr="00600F02">
        <w:t xml:space="preserve"> </w:t>
      </w:r>
      <w:r w:rsidR="004F418B">
        <w:t>requested.</w:t>
      </w:r>
    </w:p>
    <w:p w14:paraId="06928608" w14:textId="16D0D52E" w:rsidR="00EF26D9" w:rsidRDefault="007422CB" w:rsidP="00AC231F">
      <w:pPr>
        <w:pStyle w:val="ListNumber3"/>
      </w:pPr>
      <w:r>
        <w:t xml:space="preserve">Rather than </w:t>
      </w:r>
      <w:r w:rsidR="00AC231F">
        <w:t>entering</w:t>
      </w:r>
      <w:r>
        <w:t xml:space="preserve"> </w:t>
      </w:r>
      <w:r w:rsidR="00AC231F">
        <w:t>run</w:t>
      </w:r>
      <w:r w:rsidR="00BF06B3">
        <w:t>-</w:t>
      </w:r>
      <w:r w:rsidR="00AC231F">
        <w:t>by</w:t>
      </w:r>
      <w:r w:rsidR="00BF06B3">
        <w:t>-</w:t>
      </w:r>
      <w:r w:rsidR="00AC231F">
        <w:t xml:space="preserve">run </w:t>
      </w:r>
      <w:r w:rsidR="00BF06B3">
        <w:t>entries</w:t>
      </w:r>
      <w:r w:rsidR="00AC231F">
        <w:t xml:space="preserve"> of previous </w:t>
      </w:r>
      <w:r>
        <w:t>test data within the ICR, r</w:t>
      </w:r>
      <w:r w:rsidR="004F418B" w:rsidRPr="000619EC">
        <w:t xml:space="preserve">espondents are </w:t>
      </w:r>
      <w:r>
        <w:t xml:space="preserve">simply </w:t>
      </w:r>
      <w:r w:rsidR="004F418B" w:rsidRPr="000619EC">
        <w:t xml:space="preserve">required to </w:t>
      </w:r>
      <w:r w:rsidR="00BF06B3">
        <w:t xml:space="preserve">enter summary data and </w:t>
      </w:r>
      <w:r w:rsidR="004F418B" w:rsidRPr="000619EC">
        <w:t xml:space="preserve">submit </w:t>
      </w:r>
      <w:r>
        <w:t xml:space="preserve">copies of </w:t>
      </w:r>
      <w:r w:rsidR="004F418B" w:rsidRPr="000619EC">
        <w:t>emissions test reports in</w:t>
      </w:r>
      <w:r w:rsidR="005E3F7C" w:rsidRPr="000619EC">
        <w:t xml:space="preserve"> searchable electronic format</w:t>
      </w:r>
      <w:r w:rsidR="00BF06B3">
        <w:t>.</w:t>
      </w:r>
      <w:r w:rsidR="004F418B" w:rsidRPr="000619EC">
        <w:t xml:space="preserve"> </w:t>
      </w:r>
      <w:r w:rsidR="00BF06B3">
        <w:t>T</w:t>
      </w:r>
      <w:r w:rsidR="00674C80">
        <w:t xml:space="preserve">he </w:t>
      </w:r>
      <w:r w:rsidR="004F418B" w:rsidRPr="000619EC">
        <w:t xml:space="preserve">EPA (or </w:t>
      </w:r>
      <w:r w:rsidR="00BF06B3">
        <w:t xml:space="preserve">the </w:t>
      </w:r>
      <w:r w:rsidR="004F418B" w:rsidRPr="000619EC">
        <w:t>EPA</w:t>
      </w:r>
      <w:r w:rsidR="00BF06B3">
        <w:t>’s</w:t>
      </w:r>
      <w:r w:rsidR="004F418B" w:rsidRPr="000619EC">
        <w:t xml:space="preserve"> contractor</w:t>
      </w:r>
      <w:r w:rsidR="008119D8">
        <w:t>)</w:t>
      </w:r>
      <w:r w:rsidR="004F418B" w:rsidRPr="000619EC">
        <w:t xml:space="preserve"> personnel familiar with extracting test data from test reports </w:t>
      </w:r>
      <w:r w:rsidR="00BF06B3">
        <w:t>will</w:t>
      </w:r>
      <w:r w:rsidR="004F418B" w:rsidRPr="000619EC">
        <w:t xml:space="preserve"> enter the </w:t>
      </w:r>
      <w:r w:rsidR="00AC231F">
        <w:t>run</w:t>
      </w:r>
      <w:r w:rsidR="00BF06B3">
        <w:t>-</w:t>
      </w:r>
      <w:r w:rsidR="00AC231F">
        <w:t>by</w:t>
      </w:r>
      <w:r w:rsidR="00BF06B3">
        <w:t>-</w:t>
      </w:r>
      <w:r w:rsidR="00AC231F">
        <w:t xml:space="preserve">run </w:t>
      </w:r>
      <w:r w:rsidR="00D02102">
        <w:t xml:space="preserve">HAP </w:t>
      </w:r>
      <w:r w:rsidR="004F418B" w:rsidRPr="000619EC">
        <w:t>data in a manner that ensures consistent and reliable treatment of the data (</w:t>
      </w:r>
      <w:r w:rsidR="004F418B" w:rsidRPr="004E66B2">
        <w:rPr>
          <w:rStyle w:val="Italic"/>
        </w:rPr>
        <w:t>e.g.</w:t>
      </w:r>
      <w:r w:rsidR="004F418B" w:rsidRPr="000619EC">
        <w:t>, with respect to data averaging, non-detects</w:t>
      </w:r>
      <w:r w:rsidR="004F418B">
        <w:t>).</w:t>
      </w:r>
    </w:p>
    <w:p w14:paraId="2B1CDF28" w14:textId="7740BF8D" w:rsidR="00AD0F83" w:rsidRDefault="00AD0F83" w:rsidP="006F3B0C">
      <w:pPr>
        <w:pStyle w:val="Paragraph"/>
      </w:pPr>
      <w:r>
        <w:t>The burden for synthetic area sources has been reduced by allowing these facilities to complete a single-page response as opposed to the survey spreadsheets. In addition, the EPA has reduced the burden for major sources by building provisional HAP emissions calculations into the spreadsheet for optional use by facilities that do not have site-specific data for certain combinations of processes and pollutants.</w:t>
      </w:r>
    </w:p>
    <w:p w14:paraId="51B22957" w14:textId="79436F97" w:rsidR="00EB5CEF" w:rsidRDefault="004F418B" w:rsidP="006F3B0C">
      <w:pPr>
        <w:pStyle w:val="Paragraph"/>
      </w:pPr>
      <w:r>
        <w:t>Finally,</w:t>
      </w:r>
      <w:r w:rsidRPr="00600F02">
        <w:t xml:space="preserve"> </w:t>
      </w:r>
      <w:r w:rsidRPr="000C2960">
        <w:t xml:space="preserve">the EPA has minimized the collection of control measure cost information by focusing the collection of cost information on air pollution controls and process changes of particular interest for </w:t>
      </w:r>
      <w:r w:rsidR="002A3F6D">
        <w:t xml:space="preserve">the </w:t>
      </w:r>
      <w:r w:rsidRPr="000C2960">
        <w:t>RTR (</w:t>
      </w:r>
      <w:r w:rsidR="0087781B" w:rsidRPr="00C60352">
        <w:rPr>
          <w:rStyle w:val="Italic"/>
        </w:rPr>
        <w:t>i.e.</w:t>
      </w:r>
      <w:r w:rsidR="0087781B">
        <w:t xml:space="preserve">, HAP control measures </w:t>
      </w:r>
      <w:r w:rsidRPr="000C2960">
        <w:t xml:space="preserve">as opposed to all control measures employed by </w:t>
      </w:r>
      <w:r w:rsidR="005E3F7C" w:rsidRPr="000C2960">
        <w:t xml:space="preserve">PCWP </w:t>
      </w:r>
      <w:r w:rsidR="00D1216F">
        <w:t>facilities</w:t>
      </w:r>
      <w:r w:rsidRPr="000C2960">
        <w:t xml:space="preserve">). The EPA expects cost information obtained from the industry to be some of the most reliable and valid information available since the cost data would be specific to </w:t>
      </w:r>
      <w:r w:rsidR="005E3F7C" w:rsidRPr="000C2960">
        <w:t xml:space="preserve">PCWP </w:t>
      </w:r>
      <w:r w:rsidR="00A524B0">
        <w:t xml:space="preserve">applications. </w:t>
      </w:r>
      <w:r w:rsidRPr="000C2960">
        <w:t>In addition, collection of cost information from the industry (as opposed to a separate collection from other sources such as vendors) would accelerate</w:t>
      </w:r>
      <w:r w:rsidR="00674C80">
        <w:t xml:space="preserve"> the</w:t>
      </w:r>
      <w:r w:rsidRPr="000C2960">
        <w:t xml:space="preserve"> EPA’s ability to analyze the cost impacts of regulatory options</w:t>
      </w:r>
      <w:r>
        <w:t>.</w:t>
      </w:r>
    </w:p>
    <w:p w14:paraId="0E225D51" w14:textId="4B5F97CC" w:rsidR="007422CB" w:rsidRDefault="00A02539" w:rsidP="00EB598F">
      <w:pPr>
        <w:pStyle w:val="Paragraph"/>
      </w:pPr>
      <w:r w:rsidRPr="00647BDC">
        <w:rPr>
          <w:rStyle w:val="Italic"/>
        </w:rPr>
        <w:t>(ii)</w:t>
      </w:r>
      <w:r w:rsidRPr="00647BDC">
        <w:rPr>
          <w:rStyle w:val="Italic"/>
        </w:rPr>
        <w:tab/>
      </w:r>
      <w:r w:rsidR="004F418B" w:rsidRPr="00647BDC">
        <w:rPr>
          <w:rStyle w:val="Italic"/>
        </w:rPr>
        <w:t>Respondent</w:t>
      </w:r>
      <w:r w:rsidR="004F418B" w:rsidRPr="00600F02">
        <w:t xml:space="preserve"> </w:t>
      </w:r>
      <w:r w:rsidR="00A524B0" w:rsidRPr="00647BDC">
        <w:rPr>
          <w:rStyle w:val="Italic"/>
        </w:rPr>
        <w:t xml:space="preserve">Activities. </w:t>
      </w:r>
      <w:r w:rsidR="004F418B" w:rsidRPr="000C2960">
        <w:t xml:space="preserve">The activities a respondent must undertake to fulfill the requirements of the information collection are </w:t>
      </w:r>
      <w:r w:rsidR="004F418B" w:rsidRPr="00620D9B">
        <w:t>presented</w:t>
      </w:r>
      <w:r w:rsidR="00A16C6F" w:rsidRPr="00620D9B">
        <w:t xml:space="preserve"> </w:t>
      </w:r>
      <w:r w:rsidR="007422CB" w:rsidRPr="00620D9B">
        <w:t xml:space="preserve">in </w:t>
      </w:r>
      <w:r w:rsidR="004F418B" w:rsidRPr="00620D9B">
        <w:t>Attachment 2</w:t>
      </w:r>
      <w:r w:rsidR="004F418B" w:rsidRPr="000C2960">
        <w:t xml:space="preserve">. These include: </w:t>
      </w:r>
      <w:r w:rsidR="008119D8">
        <w:t>(</w:t>
      </w:r>
      <w:r w:rsidR="004F418B" w:rsidRPr="000C2960">
        <w:t xml:space="preserve">i) read instructions; </w:t>
      </w:r>
      <w:r w:rsidR="008119D8">
        <w:t>(</w:t>
      </w:r>
      <w:r w:rsidR="004F418B" w:rsidRPr="000C2960">
        <w:t xml:space="preserve">ii) provide information on each affected source through electronic survey; and </w:t>
      </w:r>
      <w:r w:rsidR="008119D8">
        <w:t>(</w:t>
      </w:r>
      <w:r w:rsidR="004F418B" w:rsidRPr="000C2960">
        <w:t xml:space="preserve">iii) submit electronic copies of flow diagrams, </w:t>
      </w:r>
      <w:r w:rsidR="00B140DD">
        <w:t xml:space="preserve">a </w:t>
      </w:r>
      <w:r w:rsidR="00EA5ADC">
        <w:t xml:space="preserve">release point map, </w:t>
      </w:r>
      <w:r w:rsidR="004F418B" w:rsidRPr="000C2960">
        <w:t>previous emission</w:t>
      </w:r>
      <w:r w:rsidR="002F0B86">
        <w:t>s</w:t>
      </w:r>
      <w:r w:rsidR="004F418B" w:rsidRPr="000C2960">
        <w:t xml:space="preserve"> test reports, </w:t>
      </w:r>
      <w:r w:rsidR="00B140DD">
        <w:t xml:space="preserve">compliance reports, </w:t>
      </w:r>
      <w:r w:rsidR="00A16C6F" w:rsidRPr="000C2960">
        <w:t>operating permits</w:t>
      </w:r>
      <w:r w:rsidR="00EB5F8A">
        <w:t xml:space="preserve">, </w:t>
      </w:r>
      <w:r w:rsidR="00EB5F8A" w:rsidRPr="00EB5F8A">
        <w:t xml:space="preserve">emissions </w:t>
      </w:r>
      <w:r w:rsidR="00EB5F8A">
        <w:t>averaging plans,</w:t>
      </w:r>
      <w:r w:rsidR="00EB5F8A" w:rsidRPr="00EB5F8A">
        <w:t xml:space="preserve"> copies of </w:t>
      </w:r>
      <w:r w:rsidR="00EB5F8A">
        <w:t>wastewater discharge permits,</w:t>
      </w:r>
      <w:r w:rsidR="00EB5F8A" w:rsidRPr="00EB5F8A">
        <w:t xml:space="preserve"> </w:t>
      </w:r>
      <w:r w:rsidR="00EB5F8A">
        <w:t>lumber dry kiln schedules,</w:t>
      </w:r>
      <w:r w:rsidR="00EB5F8A" w:rsidRPr="00EB5F8A">
        <w:t xml:space="preserve"> and data supporting emissions estimates for</w:t>
      </w:r>
      <w:r w:rsidR="00AB141D">
        <w:t xml:space="preserve"> wastewater operations</w:t>
      </w:r>
      <w:r w:rsidR="00D02102">
        <w:t>, as applicable</w:t>
      </w:r>
      <w:r w:rsidR="004F418B">
        <w:t>.</w:t>
      </w:r>
    </w:p>
    <w:p w14:paraId="57629868" w14:textId="77777777" w:rsidR="00EF26D9" w:rsidRDefault="00A02539" w:rsidP="00430471">
      <w:pPr>
        <w:pStyle w:val="Section1"/>
      </w:pPr>
      <w:bookmarkStart w:id="21" w:name="5._The_Information_Collected_–_Agency_Ac"/>
      <w:bookmarkEnd w:id="21"/>
      <w:r>
        <w:t>5.</w:t>
      </w:r>
      <w:r>
        <w:tab/>
      </w:r>
      <w:r w:rsidR="004F418B">
        <w:t>The Information Collected – Agency Activities, Collection Methodology, and</w:t>
      </w:r>
      <w:r w:rsidR="004F418B" w:rsidRPr="00647BDC">
        <w:t xml:space="preserve"> </w:t>
      </w:r>
      <w:r w:rsidR="004F418B">
        <w:t>Information Management</w:t>
      </w:r>
    </w:p>
    <w:p w14:paraId="7C7DBF85" w14:textId="77777777" w:rsidR="00EF26D9" w:rsidRPr="004A02C7" w:rsidRDefault="00A02539" w:rsidP="00430471">
      <w:pPr>
        <w:pStyle w:val="Sectiona0"/>
      </w:pPr>
      <w:bookmarkStart w:id="22" w:name="(a)_Agency_Activities"/>
      <w:bookmarkEnd w:id="22"/>
      <w:r>
        <w:t>(a)</w:t>
      </w:r>
      <w:r>
        <w:tab/>
      </w:r>
      <w:r w:rsidR="004F418B">
        <w:t>Agency Activities</w:t>
      </w:r>
    </w:p>
    <w:p w14:paraId="7F29472D" w14:textId="03E94DA1" w:rsidR="00EF26D9" w:rsidRPr="00CE479C" w:rsidRDefault="004F418B" w:rsidP="009B63EB">
      <w:pPr>
        <w:pStyle w:val="Paragraph"/>
      </w:pPr>
      <w:r>
        <w:t xml:space="preserve">A </w:t>
      </w:r>
      <w:r w:rsidRPr="000C2960">
        <w:t xml:space="preserve">list of activities required of the EPA is provided in </w:t>
      </w:r>
      <w:r w:rsidRPr="00F5119F">
        <w:t>Attachment 3</w:t>
      </w:r>
      <w:r w:rsidRPr="000C2960">
        <w:t xml:space="preserve">. These include: </w:t>
      </w:r>
      <w:r w:rsidR="008119D8">
        <w:t>(</w:t>
      </w:r>
      <w:r w:rsidRPr="000C2960">
        <w:t>i)</w:t>
      </w:r>
      <w:r w:rsidR="0072528C" w:rsidRPr="003D382A">
        <w:t> </w:t>
      </w:r>
      <w:r w:rsidRPr="000C2960">
        <w:t xml:space="preserve">develop </w:t>
      </w:r>
      <w:r w:rsidR="001423FF">
        <w:t xml:space="preserve">an </w:t>
      </w:r>
      <w:r w:rsidRPr="000C2960">
        <w:t xml:space="preserve">electronic questionnaire and </w:t>
      </w:r>
      <w:r w:rsidR="001423FF">
        <w:t xml:space="preserve">the </w:t>
      </w:r>
      <w:r w:rsidRPr="000C2960">
        <w:t xml:space="preserve">packages for </w:t>
      </w:r>
      <w:r w:rsidR="00A16C6F" w:rsidRPr="000C2960">
        <w:t>mail out</w:t>
      </w:r>
      <w:r w:rsidRPr="000C2960">
        <w:t xml:space="preserve">; </w:t>
      </w:r>
      <w:r w:rsidR="008119D8">
        <w:t>(</w:t>
      </w:r>
      <w:r w:rsidRPr="000C2960">
        <w:t xml:space="preserve">ii) </w:t>
      </w:r>
      <w:r w:rsidR="001423FF">
        <w:t xml:space="preserve">to </w:t>
      </w:r>
      <w:r w:rsidRPr="000C2960">
        <w:t xml:space="preserve">answer respondent questions </w:t>
      </w:r>
      <w:r w:rsidRPr="001423FF">
        <w:t>(including</w:t>
      </w:r>
      <w:r w:rsidR="001423FF" w:rsidRPr="001423FF">
        <w:t xml:space="preserve"> any</w:t>
      </w:r>
      <w:r w:rsidRPr="001423FF">
        <w:t xml:space="preserve"> claims of true area source status or </w:t>
      </w:r>
      <w:r w:rsidR="001423FF" w:rsidRPr="001423FF">
        <w:t xml:space="preserve">claims </w:t>
      </w:r>
      <w:r w:rsidRPr="001423FF">
        <w:t xml:space="preserve">that </w:t>
      </w:r>
      <w:r w:rsidR="001423FF" w:rsidRPr="001423FF">
        <w:t xml:space="preserve">the </w:t>
      </w:r>
      <w:r w:rsidR="00D1216F" w:rsidRPr="001423FF">
        <w:t xml:space="preserve">facility </w:t>
      </w:r>
      <w:r w:rsidR="001423FF" w:rsidRPr="001423FF">
        <w:t>is</w:t>
      </w:r>
      <w:r w:rsidRPr="001423FF">
        <w:t xml:space="preserve"> not engaged in processes of interest);</w:t>
      </w:r>
      <w:r w:rsidR="00A16C6F" w:rsidRPr="000C2960">
        <w:t xml:space="preserve"> </w:t>
      </w:r>
      <w:r w:rsidR="008119D8">
        <w:t>(</w:t>
      </w:r>
      <w:r w:rsidRPr="000C2960">
        <w:t xml:space="preserve">iii) review and analyze responses and emissions data; and </w:t>
      </w:r>
      <w:r w:rsidR="008119D8">
        <w:t>(</w:t>
      </w:r>
      <w:r w:rsidRPr="000C2960">
        <w:t>iv) analyze requests for confidentialit</w:t>
      </w:r>
      <w:r w:rsidRPr="00600F02">
        <w:t>y.</w:t>
      </w:r>
    </w:p>
    <w:p w14:paraId="6D9C7EE8" w14:textId="77777777" w:rsidR="00EF26D9" w:rsidRPr="004A02C7" w:rsidRDefault="00A02539" w:rsidP="00430471">
      <w:pPr>
        <w:pStyle w:val="Sectiona0"/>
      </w:pPr>
      <w:bookmarkStart w:id="23" w:name="_(b)_Collection_Methodology_and_Manageme"/>
      <w:bookmarkEnd w:id="23"/>
      <w:r>
        <w:t>(b)</w:t>
      </w:r>
      <w:r>
        <w:tab/>
      </w:r>
      <w:r w:rsidR="004F418B">
        <w:t>Collection Methodology and Management</w:t>
      </w:r>
    </w:p>
    <w:p w14:paraId="27BD8A56" w14:textId="625FF77E" w:rsidR="00EF26D9" w:rsidRDefault="004F418B" w:rsidP="00A02539">
      <w:pPr>
        <w:pStyle w:val="Paragraph"/>
      </w:pPr>
      <w:r>
        <w:t xml:space="preserve">In </w:t>
      </w:r>
      <w:r w:rsidRPr="000C2960">
        <w:t xml:space="preserve">collecting and analyzing the information associated with this ICR, </w:t>
      </w:r>
      <w:r w:rsidR="00E96FB2">
        <w:t xml:space="preserve">the </w:t>
      </w:r>
      <w:r w:rsidRPr="000C2960">
        <w:t>EPA will use</w:t>
      </w:r>
      <w:r w:rsidR="003741DD" w:rsidRPr="000C2960">
        <w:t xml:space="preserve"> </w:t>
      </w:r>
      <w:r w:rsidRPr="000C2960">
        <w:t>personal computers</w:t>
      </w:r>
      <w:r w:rsidR="00A12A0F">
        <w:t>,</w:t>
      </w:r>
      <w:r w:rsidRPr="000C2960">
        <w:t xml:space="preserve"> applicable spreadsheet</w:t>
      </w:r>
      <w:r w:rsidR="00C76B60">
        <w:t>s,</w:t>
      </w:r>
      <w:r w:rsidRPr="000C2960">
        <w:t xml:space="preserve"> and database software. To better facilitate uniformity in the format of the requested data, and, thus, increase the ease of database entry, standardized survey questions, example responses, and Excel spreadsheet forms will </w:t>
      </w:r>
      <w:r w:rsidR="00A524B0">
        <w:t xml:space="preserve">be distributed to respondents. </w:t>
      </w:r>
      <w:r w:rsidR="002D1081">
        <w:t xml:space="preserve">The Excel spreadsheet forms used to collect information have been programmed with </w:t>
      </w:r>
      <w:r w:rsidR="00B140DD">
        <w:t>drop</w:t>
      </w:r>
      <w:r w:rsidR="002D1081">
        <w:t xml:space="preserve">-down menus and to pre-populate certain </w:t>
      </w:r>
      <w:r w:rsidR="00EA5ADC">
        <w:t>process</w:t>
      </w:r>
      <w:r w:rsidR="002D1081">
        <w:t xml:space="preserve"> unit identification fields to reduce common respondent transcription errors that can impede database functionality. </w:t>
      </w:r>
      <w:r w:rsidR="00A524B0">
        <w:t xml:space="preserve">The </w:t>
      </w:r>
      <w:r w:rsidRPr="000C2960">
        <w:t xml:space="preserve">EPA will ensure the accuracy and completeness of the collected information by reviewing </w:t>
      </w:r>
      <w:r w:rsidR="00A524B0">
        <w:t xml:space="preserve">each submittal. </w:t>
      </w:r>
      <w:r w:rsidRPr="000C2960">
        <w:t>Flow diagrams may be used to answer any questions rev</w:t>
      </w:r>
      <w:r w:rsidR="00A524B0">
        <w:t>ealed during QA</w:t>
      </w:r>
      <w:r w:rsidRPr="000C2960">
        <w:t xml:space="preserve"> of each submittal. The EPA may place follow-up calls to </w:t>
      </w:r>
      <w:r w:rsidR="00D1216F">
        <w:t>facilities</w:t>
      </w:r>
      <w:r w:rsidRPr="000C2960">
        <w:t xml:space="preserve"> should questions remain after reviewing all materials submitted. Following QA of each submittal, the spreadsheet information from each </w:t>
      </w:r>
      <w:r w:rsidR="00D1216F">
        <w:t xml:space="preserve">facility </w:t>
      </w:r>
      <w:r w:rsidRPr="000C2960">
        <w:t>will be uploaded into an Access d</w:t>
      </w:r>
      <w:r w:rsidR="00A524B0">
        <w:t xml:space="preserve">atabase for further analysis. </w:t>
      </w:r>
      <w:r w:rsidRPr="000C2960">
        <w:t xml:space="preserve">Survey responses claimed as </w:t>
      </w:r>
      <w:r w:rsidR="00A01EAE">
        <w:t>confidential</w:t>
      </w:r>
      <w:r w:rsidRPr="000C2960">
        <w:t xml:space="preserve"> wi</w:t>
      </w:r>
      <w:r w:rsidR="00A524B0">
        <w:t>ll be housed in a separate data</w:t>
      </w:r>
      <w:r w:rsidRPr="000C2960">
        <w:t>base from the non-</w:t>
      </w:r>
      <w:r w:rsidR="00A01EAE">
        <w:t>confidential</w:t>
      </w:r>
      <w:r w:rsidRPr="000C2960">
        <w:t xml:space="preserve"> survey responses</w:t>
      </w:r>
      <w:r w:rsidR="008119D8">
        <w:t xml:space="preserve"> and will be </w:t>
      </w:r>
      <w:r w:rsidR="008119D8" w:rsidRPr="008119D8">
        <w:t>safeguarded according to the Agency policies set forth in Title 40, Chapter 1, Part 2, Subpart B–Confidentiality of Business Inform</w:t>
      </w:r>
      <w:r w:rsidR="008119D8">
        <w:t>ation</w:t>
      </w:r>
      <w:r w:rsidRPr="000C2960">
        <w:t xml:space="preserve">. </w:t>
      </w:r>
      <w:r w:rsidR="00BF06B3">
        <w:t xml:space="preserve">Run-by-run </w:t>
      </w:r>
      <w:r w:rsidR="00D02102">
        <w:t xml:space="preserve">HAP </w:t>
      </w:r>
      <w:r w:rsidR="00BF06B3">
        <w:t>data from p</w:t>
      </w:r>
      <w:r w:rsidR="00861578">
        <w:t>revious</w:t>
      </w:r>
      <w:r w:rsidR="002D1081">
        <w:t xml:space="preserve"> e</w:t>
      </w:r>
      <w:r w:rsidRPr="000C2960">
        <w:t>missions test report</w:t>
      </w:r>
      <w:r w:rsidR="00BF06B3">
        <w:t>s</w:t>
      </w:r>
      <w:r w:rsidRPr="000C2960">
        <w:t xml:space="preserve"> will b</w:t>
      </w:r>
      <w:r w:rsidR="00A524B0">
        <w:t>e entered into a data</w:t>
      </w:r>
      <w:r w:rsidRPr="000C2960">
        <w:t xml:space="preserve">base by </w:t>
      </w:r>
      <w:r w:rsidR="00A524B0">
        <w:t xml:space="preserve">the </w:t>
      </w:r>
      <w:r w:rsidRPr="000C2960">
        <w:t xml:space="preserve">EPA (or </w:t>
      </w:r>
      <w:r w:rsidR="00BF06B3">
        <w:t xml:space="preserve">the </w:t>
      </w:r>
      <w:r w:rsidRPr="000C2960">
        <w:t>EPA</w:t>
      </w:r>
      <w:r w:rsidR="00BF06B3">
        <w:t>’s</w:t>
      </w:r>
      <w:r w:rsidRPr="000C2960">
        <w:t xml:space="preserve"> contractor personnel) familiar with extracting test data from test reports. In addition</w:t>
      </w:r>
      <w:r w:rsidR="006B2310">
        <w:t>,</w:t>
      </w:r>
      <w:r w:rsidRPr="000C2960">
        <w:t xml:space="preserve"> CEMS d</w:t>
      </w:r>
      <w:r w:rsidR="00A524B0">
        <w:t>ata w</w:t>
      </w:r>
      <w:r w:rsidR="003D5E66">
        <w:t>ill</w:t>
      </w:r>
      <w:r w:rsidR="00A524B0">
        <w:t xml:space="preserve"> be uploaded in a data</w:t>
      </w:r>
      <w:r w:rsidRPr="000C2960">
        <w:t>base for analysis of emissions v</w:t>
      </w:r>
      <w:r w:rsidR="00A524B0">
        <w:t>ariability. The resulting datab</w:t>
      </w:r>
      <w:r w:rsidRPr="000C2960">
        <w:t xml:space="preserve">ases will be </w:t>
      </w:r>
      <w:r w:rsidR="00D749CC">
        <w:t xml:space="preserve">checked for </w:t>
      </w:r>
      <w:r w:rsidRPr="000C2960">
        <w:t>QA prior to and as part of regulatory analyses</w:t>
      </w:r>
      <w:r>
        <w:t>.</w:t>
      </w:r>
    </w:p>
    <w:p w14:paraId="2D70C90E" w14:textId="77777777" w:rsidR="00EF26D9" w:rsidRPr="004A02C7" w:rsidRDefault="00A02539" w:rsidP="00430471">
      <w:pPr>
        <w:pStyle w:val="Sectiona0"/>
      </w:pPr>
      <w:bookmarkStart w:id="24" w:name="_(c)_Small_Entity_Flexibility"/>
      <w:bookmarkEnd w:id="24"/>
      <w:r>
        <w:t>(c)</w:t>
      </w:r>
      <w:r>
        <w:tab/>
      </w:r>
      <w:r w:rsidR="004F418B">
        <w:t>Small Entity</w:t>
      </w:r>
      <w:r w:rsidR="004F418B" w:rsidRPr="00647BDC">
        <w:t xml:space="preserve"> Flexibility</w:t>
      </w:r>
    </w:p>
    <w:p w14:paraId="5ADDE052" w14:textId="1A6B329D" w:rsidR="00EF26D9" w:rsidRDefault="004F418B" w:rsidP="006F3B0C">
      <w:pPr>
        <w:pStyle w:val="Paragraph"/>
      </w:pPr>
      <w:r>
        <w:t xml:space="preserve">All </w:t>
      </w:r>
      <w:r w:rsidRPr="000C2960">
        <w:t xml:space="preserve">respondents required to comply with the </w:t>
      </w:r>
      <w:r w:rsidR="003741DD" w:rsidRPr="000C2960">
        <w:t xml:space="preserve">PCWP </w:t>
      </w:r>
      <w:r w:rsidRPr="000C2960">
        <w:t>data gathering effort will be sub</w:t>
      </w:r>
      <w:r w:rsidR="00A524B0">
        <w:t xml:space="preserve">ject to the same requirements. The </w:t>
      </w:r>
      <w:r w:rsidRPr="000C2960">
        <w:t xml:space="preserve">EPA expects respondents </w:t>
      </w:r>
      <w:r w:rsidR="00154AB0">
        <w:t xml:space="preserve">to </w:t>
      </w:r>
      <w:r w:rsidR="00154AB0" w:rsidRPr="000C2960">
        <w:t>the PCWP data</w:t>
      </w:r>
      <w:r w:rsidR="00154AB0">
        <w:t>-</w:t>
      </w:r>
      <w:r w:rsidR="00154AB0" w:rsidRPr="000C2960">
        <w:t xml:space="preserve">gathering effort </w:t>
      </w:r>
      <w:r w:rsidR="00A128B3" w:rsidRPr="000C2960">
        <w:t>will</w:t>
      </w:r>
      <w:r w:rsidRPr="000C2960">
        <w:t xml:space="preserve"> </w:t>
      </w:r>
      <w:r w:rsidR="00A128B3" w:rsidRPr="000C2960">
        <w:t>include</w:t>
      </w:r>
      <w:r w:rsidRPr="000C2960">
        <w:t xml:space="preserve"> small entities. </w:t>
      </w:r>
      <w:r w:rsidR="000868B2">
        <w:t>T</w:t>
      </w:r>
      <w:r w:rsidR="00154AB0">
        <w:t xml:space="preserve">he ICR does not </w:t>
      </w:r>
      <w:r w:rsidR="000868B2">
        <w:t>explicitly provide different instructions for s</w:t>
      </w:r>
      <w:r w:rsidR="00154AB0">
        <w:t>mall entities,</w:t>
      </w:r>
      <w:r w:rsidR="000868B2">
        <w:t xml:space="preserve"> but</w:t>
      </w:r>
      <w:r w:rsidR="00154AB0">
        <w:t xml:space="preserve"> </w:t>
      </w:r>
      <w:r w:rsidR="00366A27">
        <w:t xml:space="preserve">the EPA expects that </w:t>
      </w:r>
      <w:r w:rsidR="00AC3779">
        <w:t>s</w:t>
      </w:r>
      <w:r w:rsidRPr="000C2960">
        <w:t xml:space="preserve">mall entities are likely to be </w:t>
      </w:r>
      <w:r w:rsidR="003741DD" w:rsidRPr="000C2960">
        <w:t>lumber</w:t>
      </w:r>
      <w:r w:rsidRPr="000C2960">
        <w:t xml:space="preserve"> mills </w:t>
      </w:r>
      <w:r w:rsidR="003741DD" w:rsidRPr="000C2960">
        <w:t>or</w:t>
      </w:r>
      <w:r w:rsidRPr="000C2960">
        <w:t xml:space="preserve"> lower-capacity </w:t>
      </w:r>
      <w:r w:rsidR="00D1216F">
        <w:t>PCWP facilities</w:t>
      </w:r>
      <w:r w:rsidR="00154AB0">
        <w:t xml:space="preserve"> </w:t>
      </w:r>
      <w:r w:rsidR="000868B2">
        <w:t>that will not be required to complete every tab of the survey</w:t>
      </w:r>
      <w:r w:rsidRPr="000C2960">
        <w:t xml:space="preserve">. </w:t>
      </w:r>
      <w:r w:rsidR="008A5D4D">
        <w:t>Facilities</w:t>
      </w:r>
      <w:r w:rsidR="003741DD" w:rsidRPr="000C2960">
        <w:t xml:space="preserve"> </w:t>
      </w:r>
      <w:r w:rsidRPr="000C2960">
        <w:t>that are not major or synthetic area sources of HAP emissions (</w:t>
      </w:r>
      <w:r w:rsidRPr="004E66B2">
        <w:rPr>
          <w:rStyle w:val="Italic"/>
        </w:rPr>
        <w:t>i.e.</w:t>
      </w:r>
      <w:r w:rsidRPr="000C2960">
        <w:t>, true area sources) w</w:t>
      </w:r>
      <w:r w:rsidR="003D5E66">
        <w:t>ill</w:t>
      </w:r>
      <w:r w:rsidRPr="000C2960">
        <w:t xml:space="preserve"> not be required to complete the survey</w:t>
      </w:r>
      <w:r w:rsidR="00276E10">
        <w:t>,</w:t>
      </w:r>
      <w:r w:rsidRPr="000C2960">
        <w:t xml:space="preserve"> provided that they submit documentation of their true area source status. </w:t>
      </w:r>
      <w:r w:rsidR="008A5D4D">
        <w:t>Facilities</w:t>
      </w:r>
      <w:r w:rsidR="008A5D4D" w:rsidRPr="000C2960">
        <w:t xml:space="preserve"> </w:t>
      </w:r>
      <w:r w:rsidR="003D5E66" w:rsidRPr="000C2960">
        <w:t>that are synthetic area sources of HAP emissions</w:t>
      </w:r>
      <w:r w:rsidR="003D5E66">
        <w:t xml:space="preserve"> </w:t>
      </w:r>
      <w:r w:rsidR="00AB141D">
        <w:t xml:space="preserve">that are not subject to the PWCP rule </w:t>
      </w:r>
      <w:r w:rsidR="003D5E66" w:rsidRPr="000C2960">
        <w:t>w</w:t>
      </w:r>
      <w:r w:rsidR="003D5E66">
        <w:t>ill</w:t>
      </w:r>
      <w:r w:rsidR="003D5E66" w:rsidRPr="000C2960">
        <w:t xml:space="preserve"> </w:t>
      </w:r>
      <w:r w:rsidR="003D5E66">
        <w:t xml:space="preserve">only </w:t>
      </w:r>
      <w:r w:rsidR="003D5E66" w:rsidRPr="000C2960">
        <w:t xml:space="preserve">be required to complete </w:t>
      </w:r>
      <w:r w:rsidR="003D5E66">
        <w:t xml:space="preserve">a one-page form and the </w:t>
      </w:r>
      <w:r w:rsidR="003D5E66" w:rsidRPr="000C2960">
        <w:t xml:space="preserve">documentation </w:t>
      </w:r>
      <w:r w:rsidR="003D5E66">
        <w:t>requested on that form, and they would not be required to complete any other sections of the survey</w:t>
      </w:r>
      <w:r w:rsidR="003D5E66" w:rsidRPr="000C2960">
        <w:t xml:space="preserve">. </w:t>
      </w:r>
      <w:r w:rsidR="00154AB0">
        <w:t xml:space="preserve">The EPA expects that </w:t>
      </w:r>
      <w:r w:rsidR="008A5D4D">
        <w:t>s</w:t>
      </w:r>
      <w:r w:rsidR="000448FF" w:rsidRPr="000C2960">
        <w:t>mall entities that are</w:t>
      </w:r>
      <w:r w:rsidRPr="000C2960">
        <w:t xml:space="preserve"> major sources of HAP emissions, </w:t>
      </w:r>
      <w:r w:rsidR="003741DD" w:rsidRPr="000C2960">
        <w:t>particularly lumber mills</w:t>
      </w:r>
      <w:r w:rsidR="000448FF" w:rsidRPr="000C2960">
        <w:t>,</w:t>
      </w:r>
      <w:r w:rsidR="003741DD" w:rsidRPr="000C2960">
        <w:t xml:space="preserve"> </w:t>
      </w:r>
      <w:r w:rsidR="000448FF" w:rsidRPr="000C2960">
        <w:t>will</w:t>
      </w:r>
      <w:r w:rsidRPr="000C2960">
        <w:t xml:space="preserve"> have </w:t>
      </w:r>
      <w:r w:rsidR="00154AB0" w:rsidRPr="000C2960">
        <w:t xml:space="preserve">less extensive operations </w:t>
      </w:r>
      <w:r w:rsidR="00154AB0">
        <w:t xml:space="preserve">than large entities, so </w:t>
      </w:r>
      <w:r w:rsidRPr="000C2960">
        <w:t xml:space="preserve">fewer portions of the survey </w:t>
      </w:r>
      <w:r w:rsidR="00154AB0">
        <w:t xml:space="preserve">will apply </w:t>
      </w:r>
      <w:r w:rsidRPr="000C2960">
        <w:t xml:space="preserve">to </w:t>
      </w:r>
      <w:r w:rsidR="00154AB0">
        <w:t>those facilities</w:t>
      </w:r>
      <w:r w:rsidRPr="000C2960">
        <w:t xml:space="preserve">. </w:t>
      </w:r>
      <w:r w:rsidR="00D02102">
        <w:t xml:space="preserve">The average hour burden for lumber mills is estimated to be one-fourth of the burden for PCWP facilities. </w:t>
      </w:r>
      <w:r w:rsidRPr="000C2960">
        <w:t xml:space="preserve">The </w:t>
      </w:r>
      <w:r w:rsidR="00FD2E78">
        <w:t>A</w:t>
      </w:r>
      <w:r w:rsidR="00895383" w:rsidRPr="000C2960">
        <w:t xml:space="preserve">gency </w:t>
      </w:r>
      <w:r w:rsidRPr="000C2960">
        <w:t xml:space="preserve">also plans to use an electronic format of the questionnaire in order to reduce the burden and improve the data accuracy from all respondents, including small entities. </w:t>
      </w:r>
      <w:r w:rsidR="008A2DDF">
        <w:t xml:space="preserve">Finally, </w:t>
      </w:r>
      <w:r w:rsidRPr="000C2960">
        <w:t>the survey will contain a question to determine the small entity status of a facility. This question will help to identify, quantify, and minimize the burden on small entities during the revised rulemaking process</w:t>
      </w:r>
      <w:r>
        <w:t>.</w:t>
      </w:r>
    </w:p>
    <w:p w14:paraId="0CF39983" w14:textId="77777777" w:rsidR="00EF26D9" w:rsidRPr="004A02C7" w:rsidRDefault="00A02539" w:rsidP="00430471">
      <w:pPr>
        <w:pStyle w:val="Sectiona0"/>
      </w:pPr>
      <w:bookmarkStart w:id="25" w:name="(d)_Collection_Schedule"/>
      <w:bookmarkEnd w:id="25"/>
      <w:r>
        <w:t>(d)</w:t>
      </w:r>
      <w:r>
        <w:tab/>
      </w:r>
      <w:r w:rsidR="004F418B">
        <w:t>Collection Schedule</w:t>
      </w:r>
    </w:p>
    <w:p w14:paraId="7854E365" w14:textId="3B066215" w:rsidR="00EF26D9" w:rsidRDefault="000C2960" w:rsidP="006F3B0C">
      <w:pPr>
        <w:pStyle w:val="Paragraph"/>
      </w:pPr>
      <w:r>
        <w:t xml:space="preserve">The </w:t>
      </w:r>
      <w:r w:rsidR="004F418B">
        <w:t>EPA</w:t>
      </w:r>
      <w:r w:rsidR="004F418B" w:rsidRPr="00600F02">
        <w:t xml:space="preserve"> </w:t>
      </w:r>
      <w:r w:rsidR="004F418B" w:rsidRPr="000C2960">
        <w:t xml:space="preserve">anticipates issuing the CAA section 114 </w:t>
      </w:r>
      <w:r w:rsidR="00674ED9" w:rsidRPr="000C2960">
        <w:t xml:space="preserve">letters </w:t>
      </w:r>
      <w:r w:rsidR="008A2DDF">
        <w:t xml:space="preserve">for </w:t>
      </w:r>
      <w:r w:rsidR="00867356">
        <w:t>the information collection</w:t>
      </w:r>
      <w:r w:rsidR="008A2DDF">
        <w:t xml:space="preserve"> </w:t>
      </w:r>
      <w:r w:rsidR="00674ED9" w:rsidRPr="000C2960">
        <w:t>in</w:t>
      </w:r>
      <w:r w:rsidR="003741DD" w:rsidRPr="000C2960">
        <w:t xml:space="preserve"> </w:t>
      </w:r>
      <w:r w:rsidR="003D5E66">
        <w:t>the summer of</w:t>
      </w:r>
      <w:r w:rsidR="006F3B0C">
        <w:t xml:space="preserve"> </w:t>
      </w:r>
      <w:r w:rsidR="003741DD" w:rsidRPr="00FF1C58">
        <w:t>201</w:t>
      </w:r>
      <w:r w:rsidR="006F3B0C">
        <w:t>7</w:t>
      </w:r>
      <w:r w:rsidR="004F418B" w:rsidRPr="000C2960">
        <w:t xml:space="preserve">. These CAA section 114 letters would require the owner/operator of each </w:t>
      </w:r>
      <w:r w:rsidR="00674ED9" w:rsidRPr="000C2960">
        <w:t xml:space="preserve">PCWP </w:t>
      </w:r>
      <w:r w:rsidR="00D1216F">
        <w:t xml:space="preserve">facility </w:t>
      </w:r>
      <w:r w:rsidR="004F418B" w:rsidRPr="000C2960">
        <w:t xml:space="preserve">to complete the survey spreadsheet and submit emissions test data within </w:t>
      </w:r>
      <w:r w:rsidR="00867356" w:rsidRPr="00F55EA2">
        <w:t>120</w:t>
      </w:r>
      <w:r w:rsidR="005E75DF" w:rsidRPr="00F55EA2">
        <w:t> </w:t>
      </w:r>
      <w:r w:rsidR="004F418B" w:rsidRPr="00F55EA2">
        <w:t>days of receipt of the survey</w:t>
      </w:r>
      <w:r w:rsidR="00674C80" w:rsidRPr="00F55EA2">
        <w:t xml:space="preserve">. </w:t>
      </w:r>
      <w:r w:rsidR="008A2DDF" w:rsidRPr="00F55EA2">
        <w:t>The</w:t>
      </w:r>
      <w:r w:rsidR="00E96FB2" w:rsidRPr="00F55EA2">
        <w:t xml:space="preserve"> </w:t>
      </w:r>
      <w:r w:rsidR="004F418B" w:rsidRPr="00F55EA2">
        <w:t>EPA will compile and analyze survey response data upon</w:t>
      </w:r>
      <w:r w:rsidR="004F418B" w:rsidRPr="000C2960">
        <w:t xml:space="preserve"> receipt</w:t>
      </w:r>
      <w:r w:rsidR="004F418B" w:rsidRPr="00600F02">
        <w:t>.</w:t>
      </w:r>
    </w:p>
    <w:p w14:paraId="6BA48B5B" w14:textId="77777777" w:rsidR="00EF26D9" w:rsidRDefault="00A02539" w:rsidP="00430471">
      <w:pPr>
        <w:pStyle w:val="Section1"/>
      </w:pPr>
      <w:bookmarkStart w:id="26" w:name="6._Estimating_the_Burden_and_Cost_of_the"/>
      <w:bookmarkEnd w:id="26"/>
      <w:r>
        <w:t>6.</w:t>
      </w:r>
      <w:r>
        <w:tab/>
      </w:r>
      <w:r w:rsidR="004F418B">
        <w:t>Estimating the Burden and Cost of the Collection</w:t>
      </w:r>
    </w:p>
    <w:p w14:paraId="22831108" w14:textId="77777777" w:rsidR="00B73746" w:rsidRDefault="00A02539" w:rsidP="00430471">
      <w:pPr>
        <w:pStyle w:val="Sectiona0"/>
      </w:pPr>
      <w:bookmarkStart w:id="27" w:name="(a)_Estimating_Respondent_Burden_and_Cos"/>
      <w:bookmarkEnd w:id="27"/>
      <w:r>
        <w:t>(a)</w:t>
      </w:r>
      <w:r>
        <w:tab/>
      </w:r>
      <w:r w:rsidR="004F418B">
        <w:t>Estimating</w:t>
      </w:r>
      <w:r w:rsidR="004F418B" w:rsidRPr="00647BDC">
        <w:t xml:space="preserve"> </w:t>
      </w:r>
      <w:r w:rsidR="004F418B">
        <w:t>Respondent</w:t>
      </w:r>
      <w:r w:rsidR="004F418B" w:rsidRPr="00647BDC">
        <w:t xml:space="preserve"> </w:t>
      </w:r>
      <w:r w:rsidR="004F418B">
        <w:t>Burden</w:t>
      </w:r>
    </w:p>
    <w:p w14:paraId="193113D6" w14:textId="3F68D917" w:rsidR="00A42FBD" w:rsidRPr="00620D9B" w:rsidRDefault="00A42FBD" w:rsidP="00CF6CDA">
      <w:pPr>
        <w:pStyle w:val="Paragraph"/>
      </w:pPr>
      <w:r w:rsidRPr="00600F02">
        <w:t>The</w:t>
      </w:r>
      <w:r>
        <w:t xml:space="preserve"> </w:t>
      </w:r>
      <w:r w:rsidR="00444CB8" w:rsidRPr="000C2960">
        <w:t xml:space="preserve">data collection </w:t>
      </w:r>
      <w:r w:rsidRPr="000C2960">
        <w:t xml:space="preserve">activities a respondent must undertake to fulfill the requirements of the information collection are </w:t>
      </w:r>
      <w:r w:rsidRPr="00620D9B">
        <w:t xml:space="preserve">presented </w:t>
      </w:r>
      <w:r w:rsidR="00276E10">
        <w:t xml:space="preserve">in </w:t>
      </w:r>
      <w:r w:rsidRPr="00620D9B">
        <w:t xml:space="preserve">Attachment 2. </w:t>
      </w:r>
      <w:r w:rsidR="00276E10">
        <w:t>D</w:t>
      </w:r>
      <w:r w:rsidR="00CF6CDA" w:rsidRPr="00620D9B">
        <w:t xml:space="preserve">ata collection activities </w:t>
      </w:r>
      <w:r w:rsidRPr="00620D9B">
        <w:t xml:space="preserve">include: </w:t>
      </w:r>
      <w:r w:rsidR="00670B62">
        <w:t>(</w:t>
      </w:r>
      <w:r w:rsidRPr="00620D9B">
        <w:t>i)</w:t>
      </w:r>
      <w:r w:rsidR="00670B62" w:rsidRPr="003D382A">
        <w:t> </w:t>
      </w:r>
      <w:r w:rsidRPr="00620D9B">
        <w:t xml:space="preserve">read instructions; </w:t>
      </w:r>
      <w:r w:rsidR="00670B62">
        <w:t>(</w:t>
      </w:r>
      <w:r w:rsidRPr="00620D9B">
        <w:t xml:space="preserve">ii) provide information on each affected source through electronic survey; and </w:t>
      </w:r>
      <w:r w:rsidR="00670B62">
        <w:t>(</w:t>
      </w:r>
      <w:r w:rsidRPr="00620D9B">
        <w:t>iii) submit ele</w:t>
      </w:r>
      <w:r w:rsidR="00EB5F8A" w:rsidRPr="00620D9B">
        <w:t>ctronic copies of flow diagrams,</w:t>
      </w:r>
      <w:r w:rsidRPr="00620D9B">
        <w:t xml:space="preserve"> </w:t>
      </w:r>
      <w:r w:rsidR="00D02102">
        <w:t xml:space="preserve">a </w:t>
      </w:r>
      <w:r w:rsidR="00EA5ADC">
        <w:t xml:space="preserve">release point map, </w:t>
      </w:r>
      <w:r w:rsidRPr="00620D9B">
        <w:t>previous emission</w:t>
      </w:r>
      <w:r w:rsidR="002F0B86" w:rsidRPr="00620D9B">
        <w:t>s</w:t>
      </w:r>
      <w:r w:rsidRPr="00620D9B">
        <w:t xml:space="preserve"> test reports, </w:t>
      </w:r>
      <w:r w:rsidR="00D02102">
        <w:t xml:space="preserve">compliance reports, </w:t>
      </w:r>
      <w:r w:rsidRPr="00620D9B">
        <w:t>operating permits</w:t>
      </w:r>
      <w:r w:rsidR="00EB5F8A" w:rsidRPr="00620D9B">
        <w:t>, emissions averaging plans, copies of wastewater discharge permits,</w:t>
      </w:r>
      <w:r w:rsidR="00E64828" w:rsidRPr="00620D9B">
        <w:t xml:space="preserve"> </w:t>
      </w:r>
      <w:r w:rsidR="00EB5F8A" w:rsidRPr="00620D9B">
        <w:t>lumber dry kiln schedules,</w:t>
      </w:r>
      <w:r w:rsidR="00E64828" w:rsidRPr="00620D9B">
        <w:t xml:space="preserve"> </w:t>
      </w:r>
      <w:r w:rsidR="00EB5F8A" w:rsidRPr="00620D9B">
        <w:t>and data supporting emissions estimates for</w:t>
      </w:r>
      <w:r w:rsidR="00AB141D">
        <w:t xml:space="preserve"> wastewater operations</w:t>
      </w:r>
      <w:r w:rsidR="00D02102">
        <w:t>, as applicable</w:t>
      </w:r>
      <w:r w:rsidR="00EB5F8A" w:rsidRPr="00620D9B">
        <w:t>.</w:t>
      </w:r>
    </w:p>
    <w:p w14:paraId="0AD2A780" w14:textId="77777777" w:rsidR="00A42FBD" w:rsidRPr="004A02C7" w:rsidRDefault="00A02539" w:rsidP="00430471">
      <w:pPr>
        <w:pStyle w:val="Sectiona0"/>
      </w:pPr>
      <w:r w:rsidRPr="00620D9B">
        <w:t>(b)</w:t>
      </w:r>
      <w:r w:rsidRPr="00620D9B">
        <w:tab/>
      </w:r>
      <w:r w:rsidR="00A42FBD" w:rsidRPr="00620D9B">
        <w:t>Estimating Respondent Costs</w:t>
      </w:r>
    </w:p>
    <w:p w14:paraId="4E709A2A" w14:textId="2331543D" w:rsidR="00B73746" w:rsidRDefault="004F418B" w:rsidP="00CF6CDA">
      <w:pPr>
        <w:pStyle w:val="Paragraph"/>
      </w:pPr>
      <w:r w:rsidRPr="00620D9B">
        <w:t xml:space="preserve">Attachment 2 </w:t>
      </w:r>
      <w:r w:rsidR="00444CB8" w:rsidRPr="00620D9B">
        <w:t>also</w:t>
      </w:r>
      <w:r w:rsidR="00444CB8" w:rsidRPr="000C2960">
        <w:t xml:space="preserve"> </w:t>
      </w:r>
      <w:r w:rsidRPr="000C2960">
        <w:t>present</w:t>
      </w:r>
      <w:r w:rsidR="006B2310">
        <w:t>s</w:t>
      </w:r>
      <w:r w:rsidRPr="000C2960">
        <w:t xml:space="preserve"> estimated costs for the required data collection activities</w:t>
      </w:r>
      <w:r w:rsidR="00674C80">
        <w:t xml:space="preserve">. </w:t>
      </w:r>
      <w:r w:rsidR="00444CB8" w:rsidRPr="000C2960">
        <w:t xml:space="preserve">The basis for the </w:t>
      </w:r>
      <w:r w:rsidR="00670B62">
        <w:t>(</w:t>
      </w:r>
      <w:r w:rsidR="00444CB8" w:rsidRPr="000C2960">
        <w:t xml:space="preserve">i) labor cost estimate and </w:t>
      </w:r>
      <w:r w:rsidR="00670B62">
        <w:t>(</w:t>
      </w:r>
      <w:r w:rsidR="00444CB8" w:rsidRPr="000C2960">
        <w:t>ii) capital and operations (overhead) cost estimates follow</w:t>
      </w:r>
      <w:r w:rsidRPr="000C2960">
        <w:t xml:space="preserve">. Labor rates and associated costs are based on </w:t>
      </w:r>
      <w:r w:rsidR="003D076D">
        <w:t xml:space="preserve">data from the U.S. </w:t>
      </w:r>
      <w:r w:rsidRPr="000C2960">
        <w:t xml:space="preserve">Bureau of Labor Statistics </w:t>
      </w:r>
      <w:r w:rsidR="003D076D">
        <w:t>(BLS)</w:t>
      </w:r>
      <w:r>
        <w:t>.</w:t>
      </w:r>
    </w:p>
    <w:p w14:paraId="50D70DBB" w14:textId="6567C75B" w:rsidR="00351E7E" w:rsidRDefault="001D1A5E" w:rsidP="00351E7E">
      <w:pPr>
        <w:pStyle w:val="Paragraph"/>
      </w:pPr>
      <w:r w:rsidRPr="001D1A5E">
        <w:rPr>
          <w:rStyle w:val="Italic"/>
        </w:rPr>
        <w:t>(i)</w:t>
      </w:r>
      <w:r w:rsidRPr="001D1A5E">
        <w:rPr>
          <w:rStyle w:val="Italic"/>
        </w:rPr>
        <w:tab/>
      </w:r>
      <w:r w:rsidR="00DB349B" w:rsidRPr="001D1A5E">
        <w:rPr>
          <w:rStyle w:val="Italic"/>
        </w:rPr>
        <w:t>Estimating Labor Costs</w:t>
      </w:r>
      <w:r w:rsidR="00DB349B" w:rsidRPr="00647BDC">
        <w:rPr>
          <w:rStyle w:val="Italic"/>
        </w:rPr>
        <w:t>.</w:t>
      </w:r>
      <w:r w:rsidR="00DB349B">
        <w:t xml:space="preserve"> </w:t>
      </w:r>
      <w:r w:rsidR="004F418B" w:rsidRPr="000C2960">
        <w:t xml:space="preserve">Technical, management, and clerical average hourly rates for private industry workers were </w:t>
      </w:r>
      <w:r w:rsidR="007D4688" w:rsidRPr="00F55EA2">
        <w:t>estimated based on the BLS</w:t>
      </w:r>
      <w:r w:rsidR="00CC07C0" w:rsidRPr="00F55EA2">
        <w:t xml:space="preserve"> </w:t>
      </w:r>
      <w:r w:rsidR="00CC07C0" w:rsidRPr="00F55EA2">
        <w:rPr>
          <w:rStyle w:val="Italic"/>
        </w:rPr>
        <w:t>May 2016 National Industry-Specific Occupational Employment and Wage Estimates</w:t>
      </w:r>
      <w:r w:rsidR="007D4688" w:rsidRPr="00F55EA2">
        <w:t xml:space="preserve"> for NAICS code 321000—Wood Product Manufacturing</w:t>
      </w:r>
      <w:r w:rsidR="004F418B" w:rsidRPr="00F55EA2">
        <w:t>, available at</w:t>
      </w:r>
      <w:r w:rsidR="0082421A">
        <w:t xml:space="preserve"> </w:t>
      </w:r>
      <w:hyperlink r:id="rId17" w:history="1">
        <w:r w:rsidR="0082421A" w:rsidRPr="00970F60">
          <w:rPr>
            <w:rStyle w:val="Hyperlink"/>
          </w:rPr>
          <w:t>https://www.bls.gov/oes/current/naics3_321000.htm</w:t>
        </w:r>
      </w:hyperlink>
      <w:r w:rsidR="004F418B" w:rsidRPr="00F55EA2">
        <w:t>.</w:t>
      </w:r>
      <w:r w:rsidR="0082421A">
        <w:t xml:space="preserve"> </w:t>
      </w:r>
      <w:r w:rsidR="00CC07C0" w:rsidRPr="00F55EA2">
        <w:t>Mean hourly w</w:t>
      </w:r>
      <w:r w:rsidR="004F418B" w:rsidRPr="00F55EA2">
        <w:t>ages for occupational groups are used as the basis</w:t>
      </w:r>
      <w:r w:rsidR="00110426" w:rsidRPr="00F55EA2">
        <w:t xml:space="preserve"> </w:t>
      </w:r>
      <w:r w:rsidR="004F418B" w:rsidRPr="00F55EA2">
        <w:t>for the labor rates</w:t>
      </w:r>
      <w:r w:rsidR="00CC07C0" w:rsidRPr="00F55EA2">
        <w:t>:</w:t>
      </w:r>
      <w:r w:rsidR="004F418B" w:rsidRPr="00F55EA2">
        <w:t xml:space="preserve"> $</w:t>
      </w:r>
      <w:r w:rsidR="00CC07C0" w:rsidRPr="00F55EA2">
        <w:t>34.38</w:t>
      </w:r>
      <w:r w:rsidR="00110426" w:rsidRPr="00F55EA2">
        <w:t xml:space="preserve"> </w:t>
      </w:r>
      <w:r w:rsidR="004F418B" w:rsidRPr="00F55EA2">
        <w:t>per hour for technical</w:t>
      </w:r>
      <w:r w:rsidR="00110426" w:rsidRPr="00F55EA2">
        <w:t>/professional</w:t>
      </w:r>
      <w:r w:rsidR="004F418B" w:rsidRPr="00F55EA2">
        <w:t>, $</w:t>
      </w:r>
      <w:r w:rsidR="00CC07C0" w:rsidRPr="00F55EA2">
        <w:t>50.55</w:t>
      </w:r>
      <w:r w:rsidR="004F418B" w:rsidRPr="00F55EA2">
        <w:t xml:space="preserve"> per hour for managerial, and $</w:t>
      </w:r>
      <w:r w:rsidR="00CC07C0" w:rsidRPr="00F55EA2">
        <w:t>17.21</w:t>
      </w:r>
      <w:r w:rsidR="004F418B" w:rsidRPr="00F55EA2">
        <w:t xml:space="preserve"> per hour for clerical.</w:t>
      </w:r>
      <w:r w:rsidR="00674C80" w:rsidRPr="00F55EA2">
        <w:t xml:space="preserve"> </w:t>
      </w:r>
      <w:r w:rsidR="00CC07C0" w:rsidRPr="00F55EA2">
        <w:t xml:space="preserve">These base labor rates were adjusted by </w:t>
      </w:r>
      <w:r w:rsidR="004F418B" w:rsidRPr="00F55EA2">
        <w:t xml:space="preserve">110 percent to account for </w:t>
      </w:r>
      <w:r w:rsidR="00CC07C0" w:rsidRPr="00F55EA2">
        <w:t>fringe benefits and overhead</w:t>
      </w:r>
      <w:r w:rsidR="004F418B" w:rsidRPr="00F55EA2">
        <w:t>. The fully-burdened hourly wage rates used to represent respondent labor costs are: technical at $</w:t>
      </w:r>
      <w:r w:rsidR="00CC07C0" w:rsidRPr="00F55EA2">
        <w:t>72.20</w:t>
      </w:r>
      <w:r w:rsidR="004F418B" w:rsidRPr="00F55EA2">
        <w:t>, management at $</w:t>
      </w:r>
      <w:r w:rsidR="00CC07C0" w:rsidRPr="00F55EA2">
        <w:t>106.16</w:t>
      </w:r>
      <w:r w:rsidR="004F418B" w:rsidRPr="00F55EA2">
        <w:t>, and clerical at $</w:t>
      </w:r>
      <w:r w:rsidR="00CC07C0" w:rsidRPr="00F55EA2">
        <w:t>36.14</w:t>
      </w:r>
      <w:r w:rsidR="00674C80" w:rsidRPr="00F55EA2">
        <w:t xml:space="preserve">. </w:t>
      </w:r>
      <w:r w:rsidR="004F418B" w:rsidRPr="00F55EA2">
        <w:t>These estimates represent the one-time burden that will be incurred by the recipients.</w:t>
      </w:r>
    </w:p>
    <w:p w14:paraId="697CF84C" w14:textId="7B77CB2A" w:rsidR="00DB349B" w:rsidRPr="00647BDC" w:rsidRDefault="00A02539" w:rsidP="00E55669">
      <w:pPr>
        <w:pStyle w:val="Paragraph"/>
        <w:rPr>
          <w:rStyle w:val="Italic"/>
        </w:rPr>
      </w:pPr>
      <w:r w:rsidRPr="00647BDC">
        <w:rPr>
          <w:rStyle w:val="Italic"/>
        </w:rPr>
        <w:t>(</w:t>
      </w:r>
      <w:r w:rsidR="001D1A5E">
        <w:rPr>
          <w:rStyle w:val="Italic"/>
        </w:rPr>
        <w:t>i</w:t>
      </w:r>
      <w:r w:rsidRPr="00647BDC">
        <w:rPr>
          <w:rStyle w:val="Italic"/>
        </w:rPr>
        <w:t>i)</w:t>
      </w:r>
      <w:r w:rsidRPr="00647BDC">
        <w:rPr>
          <w:rStyle w:val="Italic"/>
        </w:rPr>
        <w:tab/>
      </w:r>
      <w:r w:rsidR="00DB349B" w:rsidRPr="00647BDC">
        <w:rPr>
          <w:rStyle w:val="Italic"/>
        </w:rPr>
        <w:t xml:space="preserve">Estimating </w:t>
      </w:r>
      <w:r w:rsidR="00046F15" w:rsidRPr="00647BDC">
        <w:rPr>
          <w:rStyle w:val="Italic"/>
        </w:rPr>
        <w:t xml:space="preserve">Operating and Maintenance (O&amp;M) </w:t>
      </w:r>
      <w:r w:rsidR="00DB349B" w:rsidRPr="00647BDC">
        <w:rPr>
          <w:rStyle w:val="Italic"/>
        </w:rPr>
        <w:t xml:space="preserve">Costs. </w:t>
      </w:r>
      <w:r w:rsidR="00DB349B" w:rsidRPr="000C2960">
        <w:t xml:space="preserve">Costs for mailing survey responses to </w:t>
      </w:r>
      <w:r w:rsidR="00E96FB2">
        <w:t xml:space="preserve">the </w:t>
      </w:r>
      <w:r w:rsidR="00DB349B" w:rsidRPr="000C2960">
        <w:t xml:space="preserve">EPA </w:t>
      </w:r>
      <w:r w:rsidR="005D361F">
        <w:t xml:space="preserve">including </w:t>
      </w:r>
      <w:r w:rsidR="005D361F" w:rsidRPr="005D361F">
        <w:t xml:space="preserve">digital media (CD, DVD, or flash drive) </w:t>
      </w:r>
      <w:r w:rsidR="005D361F">
        <w:t xml:space="preserve">and postage </w:t>
      </w:r>
      <w:r w:rsidR="00DB349B" w:rsidRPr="000C2960">
        <w:t xml:space="preserve">are </w:t>
      </w:r>
      <w:r w:rsidR="00DB349B" w:rsidRPr="00F5119F">
        <w:t xml:space="preserve">estimated at </w:t>
      </w:r>
      <w:r w:rsidR="00EE50C9" w:rsidRPr="00F5119F">
        <w:t>$</w:t>
      </w:r>
      <w:r w:rsidR="003D5E66">
        <w:t>6</w:t>
      </w:r>
      <w:r w:rsidR="00EE50C9" w:rsidRPr="00F5119F">
        <w:t>,</w:t>
      </w:r>
      <w:r w:rsidR="006E7920">
        <w:t>549</w:t>
      </w:r>
      <w:r w:rsidR="00DB349B" w:rsidRPr="00F5119F">
        <w:t>.</w:t>
      </w:r>
      <w:r w:rsidR="00247834">
        <w:t xml:space="preserve"> The O&amp;M cost would be lower for facilities opting to upload their non-confidential responses online to </w:t>
      </w:r>
      <w:r w:rsidR="003D076D" w:rsidRPr="00B043DB">
        <w:t>the EPA’s Compliance and Emissions Data Reporting Interface</w:t>
      </w:r>
      <w:r w:rsidR="003D076D">
        <w:t xml:space="preserve"> (CEDRI)</w:t>
      </w:r>
      <w:r w:rsidR="00247834">
        <w:t>.</w:t>
      </w:r>
    </w:p>
    <w:p w14:paraId="7A4E62DB" w14:textId="77777777" w:rsidR="00DB349B" w:rsidRPr="00647BDC" w:rsidRDefault="00A02539" w:rsidP="00A02539">
      <w:pPr>
        <w:pStyle w:val="Paragraph"/>
        <w:rPr>
          <w:rStyle w:val="Italic"/>
        </w:rPr>
      </w:pPr>
      <w:r w:rsidRPr="00647BDC">
        <w:rPr>
          <w:rStyle w:val="Italic"/>
        </w:rPr>
        <w:t>(i</w:t>
      </w:r>
      <w:r w:rsidR="001D1A5E">
        <w:rPr>
          <w:rStyle w:val="Italic"/>
        </w:rPr>
        <w:t>i</w:t>
      </w:r>
      <w:r w:rsidRPr="00647BDC">
        <w:rPr>
          <w:rStyle w:val="Italic"/>
        </w:rPr>
        <w:t>i)</w:t>
      </w:r>
      <w:r w:rsidRPr="00647BDC">
        <w:rPr>
          <w:rStyle w:val="Italic"/>
        </w:rPr>
        <w:tab/>
      </w:r>
      <w:r w:rsidR="00046F15" w:rsidRPr="00647BDC">
        <w:rPr>
          <w:rStyle w:val="Italic"/>
        </w:rPr>
        <w:t xml:space="preserve">Estimating </w:t>
      </w:r>
      <w:r w:rsidR="00DB349B" w:rsidRPr="00647BDC">
        <w:rPr>
          <w:rStyle w:val="Italic"/>
        </w:rPr>
        <w:t>Capital/Start-up Costs</w:t>
      </w:r>
      <w:r w:rsidR="00674C80" w:rsidRPr="00647BDC">
        <w:rPr>
          <w:rStyle w:val="Italic"/>
        </w:rPr>
        <w:t xml:space="preserve">. </w:t>
      </w:r>
      <w:r w:rsidR="00DB349B" w:rsidRPr="00DB349B">
        <w:t xml:space="preserve">We </w:t>
      </w:r>
      <w:r w:rsidR="00DB349B" w:rsidRPr="000C2960">
        <w:t>do not anticipate any capital costs</w:t>
      </w:r>
      <w:r w:rsidR="00DB349B" w:rsidRPr="00DB349B">
        <w:t>.</w:t>
      </w:r>
    </w:p>
    <w:p w14:paraId="2C33774D" w14:textId="0E774287" w:rsidR="00DB349B" w:rsidRPr="00647BDC" w:rsidRDefault="00A02539" w:rsidP="00A02539">
      <w:pPr>
        <w:pStyle w:val="Paragraph"/>
        <w:rPr>
          <w:rStyle w:val="Italic"/>
        </w:rPr>
      </w:pPr>
      <w:r w:rsidRPr="00647BDC">
        <w:rPr>
          <w:rStyle w:val="Italic"/>
        </w:rPr>
        <w:t>(i</w:t>
      </w:r>
      <w:r w:rsidR="001D1A5E">
        <w:rPr>
          <w:rStyle w:val="Italic"/>
        </w:rPr>
        <w:t>v</w:t>
      </w:r>
      <w:r w:rsidR="00EB5F8A">
        <w:rPr>
          <w:rStyle w:val="Italic"/>
        </w:rPr>
        <w:t>)</w:t>
      </w:r>
      <w:r w:rsidR="00EB5F8A">
        <w:rPr>
          <w:rStyle w:val="Italic"/>
        </w:rPr>
        <w:tab/>
      </w:r>
      <w:r w:rsidR="00DB349B" w:rsidRPr="00647BDC">
        <w:rPr>
          <w:rStyle w:val="Italic"/>
        </w:rPr>
        <w:t xml:space="preserve">Annualizing Capital Costs. </w:t>
      </w:r>
      <w:r w:rsidR="00DB349B" w:rsidRPr="00DB349B">
        <w:t xml:space="preserve">We do not anticipate any capital </w:t>
      </w:r>
      <w:r w:rsidR="0073757B">
        <w:t>costs</w:t>
      </w:r>
      <w:r w:rsidR="00670B62">
        <w:t>,</w:t>
      </w:r>
      <w:r w:rsidR="0073757B">
        <w:t xml:space="preserve"> so there are no annualized capital costs.</w:t>
      </w:r>
    </w:p>
    <w:p w14:paraId="4D7495AC" w14:textId="77777777" w:rsidR="00EF26D9" w:rsidRPr="004A02C7" w:rsidRDefault="00A02539" w:rsidP="00430471">
      <w:pPr>
        <w:pStyle w:val="Sectiona0"/>
      </w:pPr>
      <w:bookmarkStart w:id="28" w:name="(b)_Estimating_Agency_Burden_and_Costs"/>
      <w:bookmarkEnd w:id="28"/>
      <w:r>
        <w:t>(c)</w:t>
      </w:r>
      <w:r>
        <w:tab/>
      </w:r>
      <w:r w:rsidR="004F418B">
        <w:t>Estimating Agency Burden and Costs</w:t>
      </w:r>
    </w:p>
    <w:p w14:paraId="0C9EB304" w14:textId="0AA87EDB" w:rsidR="00EF26D9" w:rsidRDefault="004F418B" w:rsidP="00A02539">
      <w:pPr>
        <w:pStyle w:val="Paragraph"/>
      </w:pPr>
      <w:r>
        <w:t>The</w:t>
      </w:r>
      <w:r w:rsidRPr="00600F02">
        <w:t xml:space="preserve"> </w:t>
      </w:r>
      <w:r w:rsidRPr="000C2960">
        <w:t xml:space="preserve">costs the </w:t>
      </w:r>
      <w:r w:rsidR="00670B62">
        <w:t>f</w:t>
      </w:r>
      <w:r w:rsidRPr="000C2960">
        <w:t xml:space="preserve">ederal </w:t>
      </w:r>
      <w:r w:rsidR="00670B62">
        <w:t>g</w:t>
      </w:r>
      <w:r w:rsidRPr="000C2960">
        <w:t xml:space="preserve">overnment would incur are presented </w:t>
      </w:r>
      <w:r w:rsidRPr="00F5119F">
        <w:t>in Attachment 3. The</w:t>
      </w:r>
      <w:r w:rsidRPr="000C2960">
        <w:t xml:space="preserve"> </w:t>
      </w:r>
      <w:r w:rsidR="00FD2E78">
        <w:t>A</w:t>
      </w:r>
      <w:r w:rsidR="00895383" w:rsidRPr="000C2960">
        <w:t xml:space="preserve">gency </w:t>
      </w:r>
      <w:r w:rsidRPr="000C2960">
        <w:t xml:space="preserve">labor rates are from the Office of Personnel Management (OPM) </w:t>
      </w:r>
      <w:r w:rsidR="003F7FAA" w:rsidRPr="000C2960">
        <w:t>201</w:t>
      </w:r>
      <w:r w:rsidR="003D5E66">
        <w:t>7</w:t>
      </w:r>
      <w:r w:rsidRPr="000C2960">
        <w:t xml:space="preserve"> General Schedule which excludes locality rates of pay. These rates can be obtained from Salary Table 201</w:t>
      </w:r>
      <w:r w:rsidR="00FC4F46">
        <w:t>7</w:t>
      </w:r>
      <w:r w:rsidRPr="000C2960">
        <w:t xml:space="preserve">-GS, available on the OPM website at </w:t>
      </w:r>
      <w:hyperlink r:id="rId18" w:history="1">
        <w:r w:rsidR="003D5E66">
          <w:rPr>
            <w:rStyle w:val="Hyperlink"/>
          </w:rPr>
          <w:t>https://www.opm.gov/policy-data-oversight/pay-leave/salaries-wages/2017/general-schedule/</w:t>
        </w:r>
      </w:hyperlink>
      <w:r w:rsidR="00495FE0">
        <w:t xml:space="preserve">. </w:t>
      </w:r>
      <w:r w:rsidRPr="001423FF">
        <w:t>The government employee labor rates are $16.</w:t>
      </w:r>
      <w:r w:rsidR="003D5E66" w:rsidRPr="001423FF">
        <w:t>94</w:t>
      </w:r>
      <w:r w:rsidRPr="001423FF">
        <w:t xml:space="preserve"> per hour for clerical (GS-7, Step 1),</w:t>
      </w:r>
      <w:r w:rsidRPr="000C2960">
        <w:t xml:space="preserve"> $</w:t>
      </w:r>
      <w:r w:rsidR="003F7FAA" w:rsidRPr="000C2960">
        <w:t>35</w:t>
      </w:r>
      <w:r w:rsidRPr="000C2960">
        <w:t>.</w:t>
      </w:r>
      <w:r w:rsidR="003D5E66">
        <w:t>74</w:t>
      </w:r>
      <w:r w:rsidRPr="000C2960">
        <w:t xml:space="preserve"> for technical</w:t>
      </w:r>
      <w:r w:rsidR="00495FE0">
        <w:t xml:space="preserve"> (GS-</w:t>
      </w:r>
      <w:r w:rsidRPr="000C2960">
        <w:t>13, Step 1), and $</w:t>
      </w:r>
      <w:r w:rsidR="003F7FAA" w:rsidRPr="000C2960">
        <w:t>49</w:t>
      </w:r>
      <w:r w:rsidRPr="000C2960">
        <w:t>.</w:t>
      </w:r>
      <w:r w:rsidR="003D5E66">
        <w:t>6</w:t>
      </w:r>
      <w:r w:rsidR="003F7FAA" w:rsidRPr="000C2960">
        <w:t>8</w:t>
      </w:r>
      <w:r w:rsidRPr="000C2960">
        <w:t xml:space="preserve"> for managerial (GS-15, Step 1). These rates were increased by 60 percent to include fringe benefits and overhead. The fully-burdened wage rates used to represent Agency labor costs are: clerical at $2</w:t>
      </w:r>
      <w:r w:rsidR="005C361C">
        <w:t>7.10</w:t>
      </w:r>
      <w:r w:rsidRPr="000C2960">
        <w:t>, technical at $</w:t>
      </w:r>
      <w:r w:rsidR="003F7FAA" w:rsidRPr="000C2960">
        <w:t>5</w:t>
      </w:r>
      <w:r w:rsidR="005C361C">
        <w:t>7.18</w:t>
      </w:r>
      <w:r w:rsidRPr="000C2960">
        <w:t>, and managerial at $</w:t>
      </w:r>
      <w:r w:rsidR="003F7FAA" w:rsidRPr="000C2960">
        <w:t>7</w:t>
      </w:r>
      <w:r w:rsidR="005C361C">
        <w:t>9.49</w:t>
      </w:r>
      <w:r w:rsidRPr="00600F02">
        <w:t>.</w:t>
      </w:r>
    </w:p>
    <w:p w14:paraId="3F465787" w14:textId="77777777" w:rsidR="00EF26D9" w:rsidRPr="004A02C7" w:rsidRDefault="00A02539" w:rsidP="00430471">
      <w:pPr>
        <w:pStyle w:val="Sectiona0"/>
      </w:pPr>
      <w:bookmarkStart w:id="29" w:name="(c)_Estimating_the_Respondent_Universe_a"/>
      <w:bookmarkEnd w:id="29"/>
      <w:r>
        <w:t>(d)</w:t>
      </w:r>
      <w:r>
        <w:tab/>
      </w:r>
      <w:r w:rsidR="004F418B">
        <w:t>Estimating the Respondent Universe and Total Burden and Costs</w:t>
      </w:r>
    </w:p>
    <w:p w14:paraId="08989CEE" w14:textId="01ACBDAB" w:rsidR="00B73746" w:rsidRDefault="004F418B" w:rsidP="00A875FB">
      <w:pPr>
        <w:pStyle w:val="Paragraph"/>
      </w:pPr>
      <w:r w:rsidRPr="000C2960">
        <w:t>Estimates</w:t>
      </w:r>
      <w:r w:rsidR="00912D40" w:rsidRPr="000C2960">
        <w:t xml:space="preserve"> based on</w:t>
      </w:r>
      <w:r w:rsidR="00863EF4" w:rsidRPr="000C2960">
        <w:t xml:space="preserve"> several</w:t>
      </w:r>
      <w:r w:rsidR="00912D40" w:rsidRPr="000C2960">
        <w:t xml:space="preserve"> </w:t>
      </w:r>
      <w:r w:rsidR="00BF06B3">
        <w:t xml:space="preserve">of the </w:t>
      </w:r>
      <w:r w:rsidR="00912D40" w:rsidRPr="000C2960">
        <w:t>EPA</w:t>
      </w:r>
      <w:r w:rsidR="00BF06B3">
        <w:t>’s</w:t>
      </w:r>
      <w:r w:rsidR="00863EF4" w:rsidRPr="000C2960">
        <w:t xml:space="preserve"> database</w:t>
      </w:r>
      <w:r w:rsidR="00912D40" w:rsidRPr="000C2960">
        <w:t xml:space="preserve">s </w:t>
      </w:r>
      <w:r w:rsidR="00863EF4" w:rsidRPr="000C2960">
        <w:t>(</w:t>
      </w:r>
      <w:r w:rsidR="00C80A97" w:rsidRPr="00622924">
        <w:rPr>
          <w:rStyle w:val="Italic"/>
        </w:rPr>
        <w:t>e.g.</w:t>
      </w:r>
      <w:r w:rsidR="00C80A97">
        <w:t xml:space="preserve">, </w:t>
      </w:r>
      <w:r w:rsidR="00863EF4" w:rsidRPr="000C2960">
        <w:t xml:space="preserve">EIS/NEI, </w:t>
      </w:r>
      <w:r w:rsidR="00CF01C6">
        <w:t>ECHO</w:t>
      </w:r>
      <w:r w:rsidR="00863EF4" w:rsidRPr="000C2960">
        <w:t xml:space="preserve"> and other OECA databases) </w:t>
      </w:r>
      <w:r w:rsidR="005C361C">
        <w:t xml:space="preserve">and other industry references </w:t>
      </w:r>
      <w:r w:rsidR="00863EF4" w:rsidRPr="000C2960">
        <w:t>indicate</w:t>
      </w:r>
      <w:r w:rsidRPr="000C2960">
        <w:t xml:space="preserve"> that the potential respondent universe </w:t>
      </w:r>
      <w:r w:rsidRPr="00F55EA2">
        <w:t xml:space="preserve">consists of </w:t>
      </w:r>
      <w:r w:rsidR="005C361C" w:rsidRPr="00F55EA2">
        <w:t>39</w:t>
      </w:r>
      <w:r w:rsidR="006E7920">
        <w:t>1</w:t>
      </w:r>
      <w:r w:rsidRPr="00F55EA2">
        <w:t xml:space="preserve"> </w:t>
      </w:r>
      <w:r w:rsidR="00D1216F" w:rsidRPr="00F55EA2">
        <w:t>facilities</w:t>
      </w:r>
      <w:r w:rsidRPr="00F55EA2">
        <w:t xml:space="preserve">. All </w:t>
      </w:r>
      <w:r w:rsidR="005C361C" w:rsidRPr="00F55EA2">
        <w:t>39</w:t>
      </w:r>
      <w:r w:rsidR="006E7920">
        <w:t>1</w:t>
      </w:r>
      <w:r w:rsidRPr="00F55EA2">
        <w:t xml:space="preserve"> of these </w:t>
      </w:r>
      <w:r w:rsidR="00D1216F" w:rsidRPr="00F55EA2">
        <w:t>facilities</w:t>
      </w:r>
      <w:r w:rsidRPr="00F55EA2">
        <w:t xml:space="preserve"> will</w:t>
      </w:r>
      <w:r w:rsidRPr="000C2960">
        <w:t xml:space="preserve"> be required to complete some portion of the electronic survey, with the exception of </w:t>
      </w:r>
      <w:r w:rsidR="00D1216F">
        <w:t>facilities</w:t>
      </w:r>
      <w:r w:rsidRPr="000C2960">
        <w:t xml:space="preserve"> that provide documentation to </w:t>
      </w:r>
      <w:r w:rsidR="00E96FB2">
        <w:t xml:space="preserve">the </w:t>
      </w:r>
      <w:r w:rsidRPr="000C2960">
        <w:t>EPA showing that either: (</w:t>
      </w:r>
      <w:r w:rsidR="0072528C">
        <w:t>i</w:t>
      </w:r>
      <w:r w:rsidRPr="000C2960">
        <w:t>) they are not a major or synthetic area source of HAP emissions, (</w:t>
      </w:r>
      <w:r w:rsidR="0072528C">
        <w:t>ii</w:t>
      </w:r>
      <w:r w:rsidRPr="000C2960">
        <w:t xml:space="preserve">) they were not operational in </w:t>
      </w:r>
      <w:r w:rsidR="00955C44" w:rsidRPr="000C2960">
        <w:t>201</w:t>
      </w:r>
      <w:r w:rsidR="006B2310">
        <w:t>6</w:t>
      </w:r>
      <w:r w:rsidRPr="000C2960">
        <w:t xml:space="preserve"> and remain closed, or (</w:t>
      </w:r>
      <w:r w:rsidR="0072528C">
        <w:t>iii</w:t>
      </w:r>
      <w:r w:rsidRPr="000C2960">
        <w:t xml:space="preserve">) they do not produce </w:t>
      </w:r>
      <w:r w:rsidR="00955C44" w:rsidRPr="000C2960">
        <w:t>PCWP</w:t>
      </w:r>
      <w:r w:rsidRPr="000C2960">
        <w:t xml:space="preserve"> products</w:t>
      </w:r>
      <w:r w:rsidRPr="00600F02">
        <w:t>.</w:t>
      </w:r>
    </w:p>
    <w:p w14:paraId="61C9037E" w14:textId="3485E9A9" w:rsidR="00EF26D9" w:rsidRDefault="004F418B" w:rsidP="00A875FB">
      <w:pPr>
        <w:pStyle w:val="Paragraph"/>
      </w:pPr>
      <w:r w:rsidRPr="000C2960">
        <w:t xml:space="preserve">The government burden estimate provided in </w:t>
      </w:r>
      <w:r w:rsidRPr="00F5119F">
        <w:t>Attachment 3</w:t>
      </w:r>
      <w:r w:rsidRPr="000C2960">
        <w:t xml:space="preserve"> assumes that 15 percent of </w:t>
      </w:r>
      <w:r w:rsidR="00D1216F">
        <w:t>facilities</w:t>
      </w:r>
      <w:r w:rsidRPr="000C2960">
        <w:t xml:space="preserve"> will provide documentation of true area source status, </w:t>
      </w:r>
      <w:r w:rsidR="00D1216F">
        <w:t xml:space="preserve">facility </w:t>
      </w:r>
      <w:r w:rsidRPr="000C2960">
        <w:t xml:space="preserve">closure, or that </w:t>
      </w:r>
      <w:r w:rsidR="00A128B3" w:rsidRPr="000C2960">
        <w:t>PCWP operations are</w:t>
      </w:r>
      <w:r w:rsidR="00D1216F">
        <w:t xml:space="preserve"> not performed at the facility</w:t>
      </w:r>
      <w:r w:rsidR="00674C80">
        <w:t xml:space="preserve">. </w:t>
      </w:r>
      <w:r w:rsidRPr="000C2960">
        <w:t>However, it is not known how many of these claims will be valid</w:t>
      </w:r>
      <w:r w:rsidR="00B4785F">
        <w:t>,</w:t>
      </w:r>
      <w:r w:rsidRPr="000C2960">
        <w:t xml:space="preserve"> so all </w:t>
      </w:r>
      <w:r w:rsidR="00D1216F">
        <w:t>facilities</w:t>
      </w:r>
      <w:r w:rsidRPr="000C2960">
        <w:t xml:space="preserve"> are included in the burden estimate for </w:t>
      </w:r>
      <w:r w:rsidRPr="00620D9B">
        <w:t>respondents (in Attachment</w:t>
      </w:r>
      <w:r w:rsidR="006B2310">
        <w:t> </w:t>
      </w:r>
      <w:r w:rsidRPr="00620D9B">
        <w:t>2). Attachment 2 lists the various portions of the survey in detail an</w:t>
      </w:r>
      <w:r w:rsidRPr="000C2960">
        <w:t xml:space="preserve">d provides an estimated number of </w:t>
      </w:r>
      <w:r w:rsidR="00D1216F">
        <w:t>facilities</w:t>
      </w:r>
      <w:r w:rsidRPr="000C2960">
        <w:t xml:space="preserve"> required to complete each portion of the survey</w:t>
      </w:r>
      <w:r w:rsidR="00674C80">
        <w:t xml:space="preserve">. </w:t>
      </w:r>
      <w:r w:rsidRPr="000C2960">
        <w:t xml:space="preserve">Specific counts of the different types of </w:t>
      </w:r>
      <w:r w:rsidR="00D1216F">
        <w:t>facilities</w:t>
      </w:r>
      <w:r w:rsidRPr="000C2960">
        <w:t xml:space="preserve"> used in the burden estimates are provided in </w:t>
      </w:r>
      <w:r w:rsidR="00B4785F">
        <w:t>Section 4(a)</w:t>
      </w:r>
      <w:r w:rsidRPr="000C2960">
        <w:t xml:space="preserve"> of this supporting statement</w:t>
      </w:r>
      <w:r w:rsidRPr="00600F02">
        <w:t>.</w:t>
      </w:r>
    </w:p>
    <w:p w14:paraId="7797D8FA" w14:textId="77777777" w:rsidR="00EF26D9" w:rsidRPr="004A02C7" w:rsidRDefault="00A02539" w:rsidP="00430471">
      <w:pPr>
        <w:pStyle w:val="Sectiona0"/>
      </w:pPr>
      <w:bookmarkStart w:id="30" w:name="_(d)_Bottom_Line_Burden_Hours_and_Costs_"/>
      <w:bookmarkEnd w:id="30"/>
      <w:r>
        <w:t>(e)</w:t>
      </w:r>
      <w:r>
        <w:tab/>
      </w:r>
      <w:r w:rsidR="004F418B">
        <w:t>Bottom Line Burden Hours and Costs Tables</w:t>
      </w:r>
    </w:p>
    <w:p w14:paraId="176BF7B8" w14:textId="06249088" w:rsidR="00EF26D9" w:rsidRPr="00F5119F" w:rsidRDefault="00A02539" w:rsidP="0078386F">
      <w:pPr>
        <w:pStyle w:val="Paragraph"/>
      </w:pPr>
      <w:r w:rsidRPr="0078386F">
        <w:rPr>
          <w:rStyle w:val="Italic"/>
        </w:rPr>
        <w:t>(i)</w:t>
      </w:r>
      <w:r w:rsidRPr="0078386F">
        <w:rPr>
          <w:rStyle w:val="Italic"/>
        </w:rPr>
        <w:tab/>
      </w:r>
      <w:r w:rsidR="004F418B" w:rsidRPr="0078386F">
        <w:rPr>
          <w:rStyle w:val="Italic"/>
        </w:rPr>
        <w:t>Respondent tally</w:t>
      </w:r>
      <w:r w:rsidR="00674C80" w:rsidRPr="0078386F">
        <w:t xml:space="preserve">. </w:t>
      </w:r>
      <w:r w:rsidR="004F418B" w:rsidRPr="0078386F">
        <w:t xml:space="preserve">The bottom line industry burden hours and costs, presented in Attachment 2, are calculated by summing the person-hours column and by summing the cost </w:t>
      </w:r>
      <w:r w:rsidR="004F418B" w:rsidRPr="00F55EA2">
        <w:t xml:space="preserve">column. The burden and cost to the industry for </w:t>
      </w:r>
      <w:r w:rsidR="005C361C" w:rsidRPr="00F55EA2">
        <w:t>39</w:t>
      </w:r>
      <w:r w:rsidR="006E7920">
        <w:t>1</w:t>
      </w:r>
      <w:r w:rsidR="004F418B" w:rsidRPr="00F55EA2">
        <w:t xml:space="preserve"> respondents is </w:t>
      </w:r>
      <w:r w:rsidR="00CC07C0" w:rsidRPr="00F55EA2">
        <w:t>59,</w:t>
      </w:r>
      <w:r w:rsidR="006E7920">
        <w:t>265</w:t>
      </w:r>
      <w:r w:rsidR="005C361C" w:rsidRPr="00F55EA2">
        <w:t xml:space="preserve"> hours and $</w:t>
      </w:r>
      <w:r w:rsidR="00CC07C0" w:rsidRPr="00F55EA2">
        <w:t>4,1</w:t>
      </w:r>
      <w:r w:rsidR="006E7920">
        <w:t>87,020</w:t>
      </w:r>
      <w:r w:rsidR="004F418B" w:rsidRPr="00F55EA2">
        <w:t>. No capital or annualized costs are applicable</w:t>
      </w:r>
      <w:r w:rsidR="0072528C" w:rsidRPr="00F55EA2">
        <w:t>,</w:t>
      </w:r>
      <w:r w:rsidR="004F418B" w:rsidRPr="00F55EA2">
        <w:t xml:space="preserve"> because this is a one-time submittal. O&amp;M costs of </w:t>
      </w:r>
      <w:r w:rsidR="005C361C" w:rsidRPr="00F55EA2">
        <w:t>$6,</w:t>
      </w:r>
      <w:r w:rsidR="006E7920">
        <w:t>549</w:t>
      </w:r>
      <w:r w:rsidR="005C361C" w:rsidRPr="00F55EA2">
        <w:t xml:space="preserve"> </w:t>
      </w:r>
      <w:r w:rsidR="004F418B" w:rsidRPr="00F55EA2">
        <w:t>are estimated for</w:t>
      </w:r>
      <w:r w:rsidR="005D361F" w:rsidRPr="00F55EA2">
        <w:t xml:space="preserve"> digital media (CD, DVD, or flash drive) and</w:t>
      </w:r>
      <w:r w:rsidR="00A464DD" w:rsidRPr="00F55EA2">
        <w:t xml:space="preserve"> </w:t>
      </w:r>
      <w:r w:rsidR="004F418B" w:rsidRPr="00F55EA2">
        <w:t xml:space="preserve">postage to mail in the survey response to </w:t>
      </w:r>
      <w:r w:rsidR="00E96FB2" w:rsidRPr="00F55EA2">
        <w:t xml:space="preserve">the </w:t>
      </w:r>
      <w:r w:rsidR="004F418B" w:rsidRPr="00F55EA2">
        <w:t>EPA.</w:t>
      </w:r>
      <w:r w:rsidR="005C361C" w:rsidRPr="00F55EA2">
        <w:t xml:space="preserve"> The estimated total cost of the ICR to PCWP facilities is </w:t>
      </w:r>
      <w:r w:rsidR="00CC07C0" w:rsidRPr="00F55EA2">
        <w:t>4</w:t>
      </w:r>
      <w:r w:rsidR="006E7920">
        <w:t>6,588</w:t>
      </w:r>
      <w:r w:rsidR="005C361C" w:rsidRPr="00F55EA2">
        <w:t xml:space="preserve"> hours and $</w:t>
      </w:r>
      <w:r w:rsidR="00CC07C0" w:rsidRPr="00F55EA2">
        <w:t>3,</w:t>
      </w:r>
      <w:r w:rsidR="006E7920">
        <w:t>289,362</w:t>
      </w:r>
      <w:r w:rsidR="005C361C" w:rsidRPr="00F55EA2">
        <w:t xml:space="preserve"> and the estimated total cost of the ICR to lumber mills with dry kilns is </w:t>
      </w:r>
      <w:r w:rsidR="00CC07C0" w:rsidRPr="00F55EA2">
        <w:t>12,</w:t>
      </w:r>
      <w:r w:rsidR="006E7920">
        <w:t>677</w:t>
      </w:r>
      <w:r w:rsidR="005C361C" w:rsidRPr="00F55EA2">
        <w:t xml:space="preserve"> hours and $</w:t>
      </w:r>
      <w:r w:rsidR="00CC07C0" w:rsidRPr="00F55EA2">
        <w:t>8</w:t>
      </w:r>
      <w:r w:rsidR="006E7920">
        <w:t>97,658</w:t>
      </w:r>
      <w:r w:rsidR="005C361C" w:rsidRPr="00F55EA2">
        <w:t>.</w:t>
      </w:r>
    </w:p>
    <w:p w14:paraId="240AFBED" w14:textId="2EA1ADA4" w:rsidR="00EF26D9" w:rsidRPr="004A02C7" w:rsidRDefault="00A02539" w:rsidP="005B5BDD">
      <w:pPr>
        <w:pStyle w:val="Paragraph"/>
      </w:pPr>
      <w:r w:rsidRPr="0063158F">
        <w:rPr>
          <w:rStyle w:val="Italic"/>
        </w:rPr>
        <w:t>(ii)</w:t>
      </w:r>
      <w:r w:rsidRPr="0063158F">
        <w:rPr>
          <w:rStyle w:val="Italic"/>
        </w:rPr>
        <w:tab/>
      </w:r>
      <w:r w:rsidR="004F418B" w:rsidRPr="0063158F">
        <w:rPr>
          <w:rStyle w:val="Italic"/>
        </w:rPr>
        <w:t>Agency tally</w:t>
      </w:r>
      <w:r w:rsidR="004F418B" w:rsidRPr="004A02C7">
        <w:t>.</w:t>
      </w:r>
      <w:r w:rsidR="004F418B" w:rsidRPr="0063158F">
        <w:t xml:space="preserve"> The bottom line Agency burden and cost, presented in Attachment</w:t>
      </w:r>
      <w:r w:rsidR="005C361C">
        <w:t> </w:t>
      </w:r>
      <w:r w:rsidR="004F418B" w:rsidRPr="0063158F">
        <w:t>3</w:t>
      </w:r>
      <w:r w:rsidR="00867356">
        <w:t>,</w:t>
      </w:r>
      <w:r w:rsidR="004F418B" w:rsidRPr="0063158F">
        <w:t xml:space="preserve"> is calculated in the same manner as the industry burden and cost. The estimated burden and cost for </w:t>
      </w:r>
      <w:r w:rsidR="005C361C">
        <w:t>39</w:t>
      </w:r>
      <w:r w:rsidR="006E7920">
        <w:t>1</w:t>
      </w:r>
      <w:r w:rsidR="004F418B" w:rsidRPr="0063158F">
        <w:t xml:space="preserve"> respondents is </w:t>
      </w:r>
      <w:r w:rsidR="005C361C">
        <w:t>12,</w:t>
      </w:r>
      <w:r w:rsidR="006E7920">
        <w:t>046</w:t>
      </w:r>
      <w:r w:rsidR="002A42F4" w:rsidRPr="0063158F">
        <w:t xml:space="preserve"> hours and $</w:t>
      </w:r>
      <w:r w:rsidR="005C361C">
        <w:t>6</w:t>
      </w:r>
      <w:r w:rsidR="006E7920">
        <w:t>75,247</w:t>
      </w:r>
      <w:r w:rsidR="004F418B" w:rsidRPr="0063158F">
        <w:t xml:space="preserve">, which includes </w:t>
      </w:r>
      <w:r w:rsidR="00A875FB" w:rsidRPr="0063158F">
        <w:t>$</w:t>
      </w:r>
      <w:r w:rsidR="00CC07C0">
        <w:t>6,</w:t>
      </w:r>
      <w:r w:rsidR="006E7920">
        <w:t>243</w:t>
      </w:r>
      <w:r w:rsidR="00EE50C9" w:rsidRPr="0063158F">
        <w:t xml:space="preserve"> </w:t>
      </w:r>
      <w:r w:rsidR="004F418B" w:rsidRPr="0063158F">
        <w:t xml:space="preserve">in O&amp;M costs to send certified CAA section 114 letters to all respondents with electronic return receipt, questionnaire printing costs, and </w:t>
      </w:r>
      <w:r w:rsidR="004F418B" w:rsidRPr="004A02C7">
        <w:t>computer storage of data received.</w:t>
      </w:r>
    </w:p>
    <w:p w14:paraId="546F81C5" w14:textId="77777777" w:rsidR="00A464DD" w:rsidRPr="004A02C7" w:rsidRDefault="00A464DD" w:rsidP="00A464DD">
      <w:pPr>
        <w:pStyle w:val="Paragraph"/>
      </w:pPr>
      <w:r w:rsidRPr="004A02C7">
        <w:rPr>
          <w:rStyle w:val="Italic"/>
        </w:rPr>
        <w:t>(iii)</w:t>
      </w:r>
      <w:r w:rsidRPr="004A02C7">
        <w:rPr>
          <w:rStyle w:val="Italic"/>
        </w:rPr>
        <w:tab/>
        <w:t>The complex collection</w:t>
      </w:r>
      <w:r w:rsidR="00C60352">
        <w:t xml:space="preserve">. </w:t>
      </w:r>
      <w:r w:rsidRPr="00A464DD">
        <w:t>This ICR is a simple collection; therefore, this section does not apply.</w:t>
      </w:r>
    </w:p>
    <w:p w14:paraId="54D25821" w14:textId="603DD4B1" w:rsidR="00EF26D9" w:rsidRPr="004A02C7" w:rsidRDefault="00A464DD" w:rsidP="00A02539">
      <w:pPr>
        <w:pStyle w:val="Paragraph"/>
      </w:pPr>
      <w:r w:rsidRPr="004A02C7">
        <w:rPr>
          <w:rStyle w:val="Italic"/>
        </w:rPr>
        <w:t>(iv</w:t>
      </w:r>
      <w:r w:rsidR="00A02539" w:rsidRPr="004A02C7">
        <w:rPr>
          <w:rStyle w:val="Italic"/>
        </w:rPr>
        <w:t>)</w:t>
      </w:r>
      <w:r w:rsidR="00A02539" w:rsidRPr="004A02C7">
        <w:rPr>
          <w:rStyle w:val="Italic"/>
        </w:rPr>
        <w:tab/>
      </w:r>
      <w:r w:rsidR="004F418B" w:rsidRPr="004A02C7">
        <w:rPr>
          <w:rStyle w:val="Italic"/>
        </w:rPr>
        <w:t>Variations in the annual bottom line</w:t>
      </w:r>
      <w:r w:rsidR="004F418B" w:rsidRPr="004A02C7">
        <w:t>. This section does not apply</w:t>
      </w:r>
      <w:r w:rsidR="0072528C">
        <w:t>,</w:t>
      </w:r>
      <w:r w:rsidR="004F418B" w:rsidRPr="004A02C7">
        <w:t xml:space="preserve"> as this is a one</w:t>
      </w:r>
      <w:r w:rsidR="00961685" w:rsidRPr="004A02C7">
        <w:t>-</w:t>
      </w:r>
      <w:r w:rsidR="004F418B" w:rsidRPr="004A02C7">
        <w:t>time collection.</w:t>
      </w:r>
    </w:p>
    <w:p w14:paraId="248BC39B" w14:textId="77777777" w:rsidR="00EF26D9" w:rsidRPr="004A02C7" w:rsidRDefault="0076787F" w:rsidP="004E66B2">
      <w:pPr>
        <w:pStyle w:val="Sectiona0"/>
      </w:pPr>
      <w:bookmarkStart w:id="31" w:name="(e)_Reasons_for_Change_in_Burden"/>
      <w:bookmarkEnd w:id="31"/>
      <w:r>
        <w:t>(f)</w:t>
      </w:r>
      <w:r>
        <w:tab/>
      </w:r>
      <w:r w:rsidR="004F418B">
        <w:t>Reasons for Change in Burden</w:t>
      </w:r>
    </w:p>
    <w:p w14:paraId="20DBCE14" w14:textId="77777777" w:rsidR="00EF26D9" w:rsidRDefault="004F418B" w:rsidP="0076787F">
      <w:pPr>
        <w:pStyle w:val="Paragraph"/>
      </w:pPr>
      <w:bookmarkStart w:id="32" w:name="This_is_the_initial_estimation_of_burden"/>
      <w:bookmarkEnd w:id="32"/>
      <w:r>
        <w:t xml:space="preserve">This </w:t>
      </w:r>
      <w:r w:rsidRPr="000C2960">
        <w:t>is the initial estimation of burden for this information collection; therefore, this section does not apply</w:t>
      </w:r>
      <w:r>
        <w:t>.</w:t>
      </w:r>
    </w:p>
    <w:p w14:paraId="2B7D94A8" w14:textId="77777777" w:rsidR="00EF26D9" w:rsidRPr="004A02C7" w:rsidRDefault="0076787F" w:rsidP="00430471">
      <w:pPr>
        <w:pStyle w:val="Sectiona0"/>
      </w:pPr>
      <w:bookmarkStart w:id="33" w:name="(f)_Burden_Statement"/>
      <w:bookmarkEnd w:id="33"/>
      <w:r>
        <w:t>(g)</w:t>
      </w:r>
      <w:r>
        <w:tab/>
      </w:r>
      <w:r w:rsidR="004F418B">
        <w:t>Burden Statement</w:t>
      </w:r>
    </w:p>
    <w:p w14:paraId="0BBCBE23" w14:textId="2CEB5A92" w:rsidR="00EF26D9" w:rsidRDefault="004F418B" w:rsidP="0076787F">
      <w:pPr>
        <w:pStyle w:val="Paragraph"/>
      </w:pPr>
      <w:r w:rsidRPr="000C2960">
        <w:t xml:space="preserve">Burden means the total time, effort, or financial resources expended by persons to generate, maintain, retain, disclose or provide information to or for a </w:t>
      </w:r>
      <w:r w:rsidR="0072528C">
        <w:t>f</w:t>
      </w:r>
      <w:r w:rsidRPr="000C2960">
        <w:t>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w:t>
      </w:r>
      <w:r w:rsidR="001000C2" w:rsidRPr="000C2960">
        <w:t xml:space="preserve"> </w:t>
      </w:r>
      <w:r w:rsidRPr="000C2960">
        <w:t xml:space="preserve">currently valid OMB control number. The OMB control numbers for </w:t>
      </w:r>
      <w:r w:rsidR="00E96FB2">
        <w:t xml:space="preserve">the </w:t>
      </w:r>
      <w:r w:rsidRPr="000C2960">
        <w:t>EPA’s regulations are listed in 40 CFR part 9 and 48 CFR chapter 15</w:t>
      </w:r>
      <w:r>
        <w:t>.</w:t>
      </w:r>
    </w:p>
    <w:p w14:paraId="22840D6C" w14:textId="4BA9D580" w:rsidR="005C361C" w:rsidRPr="004A02C7" w:rsidRDefault="004F418B" w:rsidP="005C361C">
      <w:pPr>
        <w:pStyle w:val="Paragraph"/>
      </w:pPr>
      <w:r w:rsidRPr="00F55EA2">
        <w:t xml:space="preserve">The total cost burden for the </w:t>
      </w:r>
      <w:r w:rsidR="001000C2" w:rsidRPr="00F55EA2">
        <w:t>PCWP</w:t>
      </w:r>
      <w:r w:rsidRPr="00F55EA2">
        <w:t xml:space="preserve"> data gathering effort is estimated to </w:t>
      </w:r>
      <w:r w:rsidR="002A1547" w:rsidRPr="00F55EA2">
        <w:t>be</w:t>
      </w:r>
      <w:r w:rsidRPr="00F55EA2">
        <w:t xml:space="preserve"> </w:t>
      </w:r>
      <w:r w:rsidR="00CC07C0" w:rsidRPr="00F55EA2">
        <w:t>59,</w:t>
      </w:r>
      <w:r w:rsidR="006E7920">
        <w:t>265</w:t>
      </w:r>
      <w:r w:rsidR="005C361C" w:rsidRPr="00F55EA2">
        <w:t xml:space="preserve"> hours and $</w:t>
      </w:r>
      <w:r w:rsidR="00CC07C0" w:rsidRPr="00F55EA2">
        <w:t>4,1</w:t>
      </w:r>
      <w:r w:rsidR="006E7920">
        <w:t>87,020</w:t>
      </w:r>
      <w:r w:rsidR="00620D9B" w:rsidRPr="00F55EA2">
        <w:t xml:space="preserve"> </w:t>
      </w:r>
      <w:r w:rsidRPr="00F55EA2">
        <w:t>(</w:t>
      </w:r>
      <w:r w:rsidR="005C361C" w:rsidRPr="00F55EA2">
        <w:t>1</w:t>
      </w:r>
      <w:r w:rsidR="00CC07C0" w:rsidRPr="00F55EA2">
        <w:t>5</w:t>
      </w:r>
      <w:r w:rsidR="006E7920">
        <w:t>2</w:t>
      </w:r>
      <w:r w:rsidR="005C361C" w:rsidRPr="00F55EA2">
        <w:t xml:space="preserve"> hours and $</w:t>
      </w:r>
      <w:r w:rsidR="00CC07C0" w:rsidRPr="00F55EA2">
        <w:t>10,</w:t>
      </w:r>
      <w:r w:rsidR="006E7920">
        <w:t>692</w:t>
      </w:r>
      <w:r w:rsidR="005C361C" w:rsidRPr="00F55EA2">
        <w:t xml:space="preserve"> </w:t>
      </w:r>
      <w:r w:rsidRPr="00F55EA2">
        <w:t xml:space="preserve">for </w:t>
      </w:r>
      <w:r w:rsidR="005C361C" w:rsidRPr="00F55EA2">
        <w:t>39</w:t>
      </w:r>
      <w:r w:rsidR="006E7920">
        <w:t>1</w:t>
      </w:r>
      <w:r w:rsidRPr="00F55EA2">
        <w:t xml:space="preserve"> respondents). This ICR does not include any requirements that would cause the respondents to incur either capital or start-up costs. O&amp;M costs of </w:t>
      </w:r>
      <w:r w:rsidR="005C361C" w:rsidRPr="00F55EA2">
        <w:t>$6,</w:t>
      </w:r>
      <w:r w:rsidR="00EE21A4">
        <w:t>549</w:t>
      </w:r>
      <w:r w:rsidR="00620D9B" w:rsidRPr="00F55EA2">
        <w:t xml:space="preserve"> </w:t>
      </w:r>
      <w:r w:rsidR="00A06B69" w:rsidRPr="00F55EA2">
        <w:t>($</w:t>
      </w:r>
      <w:r w:rsidR="00620D9B" w:rsidRPr="00F55EA2">
        <w:t xml:space="preserve">16.75 </w:t>
      </w:r>
      <w:r w:rsidRPr="00F55EA2">
        <w:t xml:space="preserve">per respondent) are estimated for </w:t>
      </w:r>
      <w:r w:rsidR="005D361F" w:rsidRPr="00F55EA2">
        <w:t xml:space="preserve">digital media (CD, DVD, or flash drive) and </w:t>
      </w:r>
      <w:r w:rsidRPr="00F55EA2">
        <w:t xml:space="preserve">postage to mail in the survey response to </w:t>
      </w:r>
      <w:r w:rsidR="00E96FB2" w:rsidRPr="00F55EA2">
        <w:t xml:space="preserve">the </w:t>
      </w:r>
      <w:r w:rsidRPr="00F55EA2">
        <w:t>EPA.</w:t>
      </w:r>
      <w:r w:rsidR="005C361C" w:rsidRPr="00F55EA2">
        <w:t xml:space="preserve"> The total cost of the ICR to PCWP facilities is estimated to be </w:t>
      </w:r>
      <w:r w:rsidR="00CC07C0" w:rsidRPr="00F55EA2">
        <w:t>4</w:t>
      </w:r>
      <w:r w:rsidR="00EE21A4">
        <w:t>6,588</w:t>
      </w:r>
      <w:r w:rsidR="00CC07C0" w:rsidRPr="00F55EA2">
        <w:t xml:space="preserve"> hours and </w:t>
      </w:r>
      <w:r w:rsidR="005B5BDD" w:rsidRPr="00F55EA2">
        <w:t>$3,</w:t>
      </w:r>
      <w:r w:rsidR="00EE21A4">
        <w:t>289,362</w:t>
      </w:r>
      <w:r w:rsidR="005C361C" w:rsidRPr="00F55EA2">
        <w:t xml:space="preserve"> (250 hours and $</w:t>
      </w:r>
      <w:r w:rsidR="00CC07C0" w:rsidRPr="00F55EA2">
        <w:t>17,66</w:t>
      </w:r>
      <w:r w:rsidR="00EE21A4">
        <w:t>8</w:t>
      </w:r>
      <w:r w:rsidR="005C361C" w:rsidRPr="00F55EA2">
        <w:t xml:space="preserve"> for 18</w:t>
      </w:r>
      <w:r w:rsidR="00EE21A4">
        <w:t>6</w:t>
      </w:r>
      <w:r w:rsidR="005C361C" w:rsidRPr="00F55EA2">
        <w:t xml:space="preserve"> respondents) and the total cost of the ICR to lumber mills with dry kilns is estimated to be </w:t>
      </w:r>
      <w:r w:rsidR="00CC07C0" w:rsidRPr="00F55EA2">
        <w:t>12,</w:t>
      </w:r>
      <w:r w:rsidR="00EE21A4">
        <w:t>677</w:t>
      </w:r>
      <w:r w:rsidR="00CC07C0" w:rsidRPr="00F55EA2">
        <w:t xml:space="preserve"> hours and </w:t>
      </w:r>
      <w:r w:rsidR="005B5BDD" w:rsidRPr="00F55EA2">
        <w:t>$8</w:t>
      </w:r>
      <w:r w:rsidR="00EE21A4">
        <w:t>97,658</w:t>
      </w:r>
      <w:r w:rsidR="005C361C" w:rsidRPr="00F55EA2">
        <w:t xml:space="preserve"> (</w:t>
      </w:r>
      <w:r w:rsidR="00EE21A4">
        <w:t>62</w:t>
      </w:r>
      <w:r w:rsidR="005C361C" w:rsidRPr="00F55EA2">
        <w:t xml:space="preserve"> hours and $</w:t>
      </w:r>
      <w:r w:rsidR="00CC07C0" w:rsidRPr="00F55EA2">
        <w:t>4,</w:t>
      </w:r>
      <w:r w:rsidR="00EE21A4">
        <w:t>362</w:t>
      </w:r>
      <w:r w:rsidR="005C361C" w:rsidRPr="00F55EA2">
        <w:t xml:space="preserve"> for 20</w:t>
      </w:r>
      <w:r w:rsidR="00EE21A4">
        <w:t>5</w:t>
      </w:r>
      <w:r w:rsidR="005C361C" w:rsidRPr="00F55EA2">
        <w:t xml:space="preserve"> respondents).</w:t>
      </w:r>
    </w:p>
    <w:p w14:paraId="70B841B2" w14:textId="6BEE1C6F" w:rsidR="00E67D92" w:rsidRPr="004A02C7" w:rsidRDefault="004F418B" w:rsidP="005309ED">
      <w:pPr>
        <w:pStyle w:val="Paragraph"/>
      </w:pPr>
      <w:r>
        <w:t xml:space="preserve">To </w:t>
      </w:r>
      <w:r w:rsidRPr="000C2960">
        <w:t xml:space="preserve">comment on the </w:t>
      </w:r>
      <w:r w:rsidR="00895383">
        <w:t>EPA</w:t>
      </w:r>
      <w:r w:rsidRPr="000C2960">
        <w:t xml:space="preserve">’s need for this information, the accuracy of the provided burden estimates, and any suggested methods for minimizing respondent burden, including the use of automated collection techniques, </w:t>
      </w:r>
      <w:r w:rsidR="00E96FB2">
        <w:t xml:space="preserve">the </w:t>
      </w:r>
      <w:r w:rsidRPr="000C2960">
        <w:t>EPA has established a docket for this ICR under Docket ID No. EPA-HQ-OAR-</w:t>
      </w:r>
      <w:r w:rsidR="00DD6F55" w:rsidRPr="00DD6F55">
        <w:t>2016-0243</w:t>
      </w:r>
      <w:r w:rsidR="005309ED">
        <w:t>. An electronic version of the public docket</w:t>
      </w:r>
      <w:r w:rsidRPr="000C2960">
        <w:t xml:space="preserve"> is available at</w:t>
      </w:r>
      <w:r w:rsidR="00DD6F55">
        <w:t xml:space="preserve"> </w:t>
      </w:r>
      <w:hyperlink r:id="rId19" w:history="1">
        <w:r w:rsidR="00DD6F55" w:rsidRPr="00BA1C4A">
          <w:rPr>
            <w:rStyle w:val="Hyperlink"/>
          </w:rPr>
          <w:t>http://www.regulations.gov</w:t>
        </w:r>
      </w:hyperlink>
      <w:r w:rsidR="00776E4E" w:rsidRPr="00DD6F55">
        <w:t>,</w:t>
      </w:r>
      <w:r w:rsidRPr="000C2960">
        <w:t xml:space="preserve"> </w:t>
      </w:r>
      <w:r w:rsidR="005309ED" w:rsidRPr="005309ED">
        <w:t>which may be used to obtain a copy of the draft collection of information, submit or view public comments, access the index listing of the contents of the docket, and access those documents in the public docket that are available electronically. When in the system, select “search,” then key in the docket ID number identified in this document. The documents are also available for public viewing at the EPA Docket Center, EPA WJC West Building, Room Number 3334, 1301 Constitution Ave., NW, Washington, DC. The Public Reading Room hours of operation are 8:30 a.m. to 4:30 p.m. Eastern Standard Time (EST), Monday through Friday, excluding legal holidays. The telephone number for the Public Reading Room is (202) 566-1744, and the telephone number for the Docket Center is (202) 566-1742. Send comments to the Office of Information and Regulatory Affairs, Office of Management and Budget, Attention: Desk Officer for EPA, 725 17th Street, NW, Washington, DC 20503. Please include the EPA Docket ID Number EPA-HQ-OAR-</w:t>
      </w:r>
      <w:r w:rsidR="005309ED" w:rsidRPr="002F60DB">
        <w:t>2016-0243 and OMB Control Number 2060-NEW in any correspondence.</w:t>
      </w:r>
    </w:p>
    <w:p w14:paraId="67BD2DEB" w14:textId="77777777" w:rsidR="00EF26D9" w:rsidRPr="00600F02" w:rsidRDefault="004F418B" w:rsidP="00430471">
      <w:pPr>
        <w:pStyle w:val="SectionA"/>
      </w:pPr>
      <w:r>
        <w:t>Part B of the Supporting Statement</w:t>
      </w:r>
    </w:p>
    <w:p w14:paraId="38665970" w14:textId="0C9BF5E2" w:rsidR="008D1CC1" w:rsidRDefault="008D1CC1" w:rsidP="00C607D3">
      <w:pPr>
        <w:pStyle w:val="Paragraph"/>
      </w:pPr>
      <w:bookmarkStart w:id="34" w:name="1._Respondent_Universe"/>
      <w:bookmarkEnd w:id="34"/>
      <w:r>
        <w:t>This part is not applicable because statistical methods are not used in data collection associated with the survey.</w:t>
      </w:r>
    </w:p>
    <w:p w14:paraId="6D65187F" w14:textId="2ED48F98" w:rsidR="00430471" w:rsidRDefault="00430471" w:rsidP="00E96FB2">
      <w:pPr>
        <w:pStyle w:val="Paragraph"/>
      </w:pPr>
    </w:p>
    <w:p w14:paraId="5A69A849" w14:textId="77777777" w:rsidR="00966E3C" w:rsidRDefault="003434A7" w:rsidP="00961685">
      <w:pPr>
        <w:sectPr w:rsidR="00966E3C" w:rsidSect="00F5119F">
          <w:footerReference w:type="default" r:id="rId20"/>
          <w:pgSz w:w="12240" w:h="15840" w:code="1"/>
          <w:pgMar w:top="1440" w:right="1440" w:bottom="1440" w:left="1440" w:header="720" w:footer="720" w:gutter="0"/>
          <w:cols w:space="720"/>
        </w:sectPr>
      </w:pPr>
      <w:r>
        <w:br w:type="page"/>
      </w:r>
    </w:p>
    <w:p w14:paraId="2269E4F1" w14:textId="77777777" w:rsidR="00EF26D9" w:rsidRDefault="004F418B" w:rsidP="005E555F">
      <w:pPr>
        <w:pStyle w:val="TableTitleNewPage"/>
      </w:pPr>
      <w:r>
        <w:t>Attachment 1.</w:t>
      </w:r>
    </w:p>
    <w:p w14:paraId="5380C505" w14:textId="77777777" w:rsidR="00EF26D9" w:rsidRPr="004A02C7" w:rsidRDefault="004F418B" w:rsidP="00647BDC">
      <w:pPr>
        <w:pStyle w:val="DocumentTitle"/>
      </w:pPr>
      <w:r>
        <w:t xml:space="preserve">Draft </w:t>
      </w:r>
      <w:r w:rsidRPr="00961685">
        <w:t>Questionnaire</w:t>
      </w:r>
      <w:r>
        <w:t xml:space="preserve"> Content</w:t>
      </w:r>
      <w:r w:rsidR="008C7836">
        <w:rPr>
          <w:rStyle w:val="FootnoteReference"/>
        </w:rPr>
        <w:footnoteReference w:id="7"/>
      </w:r>
    </w:p>
    <w:p w14:paraId="2A8E015E" w14:textId="7EE1F845" w:rsidR="00EA5ADC" w:rsidRPr="00647BDC" w:rsidRDefault="004F418B" w:rsidP="00647BDC">
      <w:r w:rsidRPr="00647BDC">
        <w:t>The draft electronic questionnaire may be found in separate files accompanying this supporting statement, including the following:</w:t>
      </w:r>
    </w:p>
    <w:p w14:paraId="1257E9B0" w14:textId="77777777" w:rsidR="005F758E" w:rsidRPr="00647BDC" w:rsidRDefault="005F758E" w:rsidP="00647BDC"/>
    <w:tbl>
      <w:tblPr>
        <w:tblW w:w="9360" w:type="dxa"/>
        <w:tblInd w:w="106" w:type="dxa"/>
        <w:tblLayout w:type="fixed"/>
        <w:tblCellMar>
          <w:left w:w="115" w:type="dxa"/>
          <w:right w:w="115" w:type="dxa"/>
        </w:tblCellMar>
        <w:tblLook w:val="01E0" w:firstRow="1" w:lastRow="1" w:firstColumn="1" w:lastColumn="1" w:noHBand="0" w:noVBand="0"/>
      </w:tblPr>
      <w:tblGrid>
        <w:gridCol w:w="2228"/>
        <w:gridCol w:w="540"/>
        <w:gridCol w:w="6592"/>
      </w:tblGrid>
      <w:tr w:rsidR="00EF26D9" w14:paraId="58F97989" w14:textId="77777777" w:rsidTr="003D382A">
        <w:tc>
          <w:tcPr>
            <w:tcW w:w="2228" w:type="dxa"/>
            <w:tcBorders>
              <w:top w:val="single" w:sz="6" w:space="0" w:color="000000"/>
              <w:left w:val="single" w:sz="5" w:space="0" w:color="000000"/>
              <w:bottom w:val="single" w:sz="6" w:space="0" w:color="000000"/>
              <w:right w:val="single" w:sz="5" w:space="0" w:color="000000"/>
            </w:tcBorders>
          </w:tcPr>
          <w:p w14:paraId="51ACB351" w14:textId="77777777" w:rsidR="00EF26D9" w:rsidRPr="00961685" w:rsidRDefault="004F418B" w:rsidP="00961685">
            <w:pPr>
              <w:pStyle w:val="Centered"/>
              <w:rPr>
                <w:rStyle w:val="Bold"/>
              </w:rPr>
            </w:pPr>
            <w:r w:rsidRPr="00961685">
              <w:rPr>
                <w:rStyle w:val="Bold"/>
              </w:rPr>
              <w:t>File name</w:t>
            </w:r>
          </w:p>
        </w:tc>
        <w:tc>
          <w:tcPr>
            <w:tcW w:w="7132" w:type="dxa"/>
            <w:gridSpan w:val="2"/>
            <w:tcBorders>
              <w:top w:val="single" w:sz="6" w:space="0" w:color="000000"/>
              <w:left w:val="single" w:sz="5" w:space="0" w:color="000000"/>
              <w:bottom w:val="single" w:sz="5" w:space="0" w:color="000000"/>
              <w:right w:val="single" w:sz="5" w:space="0" w:color="000000"/>
            </w:tcBorders>
          </w:tcPr>
          <w:p w14:paraId="696814F9" w14:textId="77777777" w:rsidR="00EF26D9" w:rsidRPr="00961685" w:rsidRDefault="004F418B" w:rsidP="00961685">
            <w:pPr>
              <w:pStyle w:val="Centered"/>
              <w:rPr>
                <w:rStyle w:val="Bold"/>
              </w:rPr>
            </w:pPr>
            <w:r w:rsidRPr="00961685">
              <w:rPr>
                <w:rStyle w:val="Bold"/>
              </w:rPr>
              <w:t>Description</w:t>
            </w:r>
          </w:p>
        </w:tc>
      </w:tr>
      <w:tr w:rsidR="00EF26D9" w:rsidRPr="00647BDC" w14:paraId="07207F39" w14:textId="77777777" w:rsidTr="003D382A">
        <w:tc>
          <w:tcPr>
            <w:tcW w:w="2228" w:type="dxa"/>
            <w:tcBorders>
              <w:top w:val="single" w:sz="6" w:space="0" w:color="000000"/>
              <w:left w:val="single" w:sz="6" w:space="0" w:color="000000"/>
              <w:right w:val="single" w:sz="6" w:space="0" w:color="000000"/>
            </w:tcBorders>
          </w:tcPr>
          <w:p w14:paraId="75B857E1" w14:textId="60B8173E" w:rsidR="00EF26D9" w:rsidRPr="00647BDC" w:rsidRDefault="00A1642D" w:rsidP="003D382A">
            <w:pPr>
              <w:pStyle w:val="TableTextL12pt"/>
              <w:rPr>
                <w:rStyle w:val="Italic"/>
              </w:rPr>
            </w:pPr>
            <w:r w:rsidRPr="00647BDC">
              <w:rPr>
                <w:rStyle w:val="Italic"/>
              </w:rPr>
              <w:t>PCWP_ICR_survey_instructions</w:t>
            </w:r>
            <w:r w:rsidR="004F418B" w:rsidRPr="00647BDC">
              <w:rPr>
                <w:rStyle w:val="Italic"/>
              </w:rPr>
              <w:t>.doc</w:t>
            </w:r>
            <w:r w:rsidR="003A262A">
              <w:rPr>
                <w:rStyle w:val="Italic"/>
              </w:rPr>
              <w:t>x</w:t>
            </w:r>
          </w:p>
        </w:tc>
        <w:tc>
          <w:tcPr>
            <w:tcW w:w="7132" w:type="dxa"/>
            <w:gridSpan w:val="2"/>
            <w:tcBorders>
              <w:top w:val="single" w:sz="5" w:space="0" w:color="000000"/>
              <w:left w:val="single" w:sz="6" w:space="0" w:color="000000"/>
              <w:right w:val="single" w:sz="5" w:space="0" w:color="000000"/>
            </w:tcBorders>
          </w:tcPr>
          <w:p w14:paraId="3C104E25" w14:textId="24E2013A" w:rsidR="00361A53" w:rsidRPr="00647BDC" w:rsidRDefault="004F418B" w:rsidP="003D382A">
            <w:pPr>
              <w:pStyle w:val="TableTextL12pt"/>
            </w:pPr>
            <w:r w:rsidRPr="00647BDC">
              <w:t xml:space="preserve">This is the survey </w:t>
            </w:r>
            <w:r w:rsidR="00285DFB" w:rsidRPr="00647BDC">
              <w:t xml:space="preserve">instruction </w:t>
            </w:r>
            <w:r w:rsidRPr="00647BDC">
              <w:t xml:space="preserve">document. This file provides instructions for completing and submitting the survey (including </w:t>
            </w:r>
            <w:r w:rsidR="00A01EAE">
              <w:t>confidential</w:t>
            </w:r>
            <w:r w:rsidR="00A01EAE" w:rsidRPr="000C2960">
              <w:t xml:space="preserve"> </w:t>
            </w:r>
            <w:r w:rsidRPr="00647BDC">
              <w:t>and non-</w:t>
            </w:r>
            <w:r w:rsidR="00A01EAE">
              <w:t>confidential</w:t>
            </w:r>
            <w:r w:rsidR="00A01EAE" w:rsidRPr="000C2960">
              <w:t xml:space="preserve"> </w:t>
            </w:r>
            <w:r w:rsidR="007A1E2D" w:rsidRPr="00647BDC">
              <w:t>responses)</w:t>
            </w:r>
            <w:r w:rsidR="00674C80" w:rsidRPr="00647BDC">
              <w:t xml:space="preserve">. </w:t>
            </w:r>
            <w:r w:rsidR="007A1E2D" w:rsidRPr="00647BDC">
              <w:t>The instruction document also contains</w:t>
            </w:r>
            <w:r w:rsidRPr="00647BDC">
              <w:t xml:space="preserve"> the request for flow diagrams; </w:t>
            </w:r>
            <w:r w:rsidR="00247834">
              <w:t xml:space="preserve">a </w:t>
            </w:r>
            <w:r w:rsidR="00EA5ADC">
              <w:t xml:space="preserve">release point map; </w:t>
            </w:r>
            <w:r w:rsidR="00BC3D4B">
              <w:t>previous</w:t>
            </w:r>
            <w:r w:rsidR="007A1E2D" w:rsidRPr="00647BDC">
              <w:t xml:space="preserve"> </w:t>
            </w:r>
            <w:r w:rsidRPr="00647BDC">
              <w:t>emission</w:t>
            </w:r>
            <w:r w:rsidR="002F0B86">
              <w:t>s</w:t>
            </w:r>
            <w:r w:rsidRPr="00647BDC">
              <w:t xml:space="preserve"> test data (emissions test reports or CEMS</w:t>
            </w:r>
            <w:r w:rsidR="007A1E2D" w:rsidRPr="00647BDC">
              <w:t xml:space="preserve"> data); emissions averaging plans; copies of air and wastewater discharge permi</w:t>
            </w:r>
            <w:r w:rsidR="00E64828">
              <w:t xml:space="preserve">ts; </w:t>
            </w:r>
            <w:r w:rsidR="00706B4D" w:rsidRPr="00647BDC">
              <w:t>lumber dry kiln schedules; and data supporting emissions estimates for</w:t>
            </w:r>
            <w:r w:rsidR="0082421A">
              <w:t xml:space="preserve"> wastewater operations</w:t>
            </w:r>
            <w:r w:rsidR="00247834">
              <w:t>, as applicable</w:t>
            </w:r>
            <w:r w:rsidR="00706B4D" w:rsidRPr="00647BDC">
              <w:t>.</w:t>
            </w:r>
          </w:p>
          <w:p w14:paraId="5892C193" w14:textId="77777777" w:rsidR="00361A53" w:rsidRPr="00647BDC" w:rsidRDefault="00361A53" w:rsidP="003D382A">
            <w:pPr>
              <w:pStyle w:val="TableTextL12pt"/>
            </w:pPr>
          </w:p>
          <w:p w14:paraId="1118FFF8" w14:textId="77777777" w:rsidR="00EF26D9" w:rsidRPr="00647BDC" w:rsidRDefault="00361A53" w:rsidP="003D382A">
            <w:pPr>
              <w:pStyle w:val="TableTextL12pt"/>
            </w:pPr>
            <w:r w:rsidRPr="00647BDC">
              <w:t>The following a</w:t>
            </w:r>
            <w:r w:rsidR="00737CAB" w:rsidRPr="00647BDC">
              <w:t xml:space="preserve">ppendices </w:t>
            </w:r>
            <w:r w:rsidRPr="00647BDC">
              <w:t xml:space="preserve">are included in the survey </w:t>
            </w:r>
            <w:r w:rsidR="00737CAB" w:rsidRPr="00647BDC">
              <w:t>instruction</w:t>
            </w:r>
            <w:r w:rsidR="004F418B" w:rsidRPr="00647BDC">
              <w:t xml:space="preserve"> document: </w:t>
            </w:r>
          </w:p>
        </w:tc>
      </w:tr>
      <w:tr w:rsidR="00E57FC9" w:rsidRPr="00647BDC" w14:paraId="1988DF67" w14:textId="77777777" w:rsidTr="003D382A">
        <w:tc>
          <w:tcPr>
            <w:tcW w:w="2228" w:type="dxa"/>
            <w:tcBorders>
              <w:left w:val="single" w:sz="6" w:space="0" w:color="000000"/>
              <w:right w:val="single" w:sz="6" w:space="0" w:color="000000"/>
            </w:tcBorders>
          </w:tcPr>
          <w:p w14:paraId="04BD750B" w14:textId="77777777" w:rsidR="00E57FC9" w:rsidRPr="00647BDC" w:rsidRDefault="00E57FC9" w:rsidP="003D382A">
            <w:pPr>
              <w:pStyle w:val="TableTextL12pt"/>
            </w:pPr>
          </w:p>
        </w:tc>
        <w:tc>
          <w:tcPr>
            <w:tcW w:w="540" w:type="dxa"/>
            <w:tcBorders>
              <w:left w:val="single" w:sz="6" w:space="0" w:color="000000"/>
            </w:tcBorders>
          </w:tcPr>
          <w:p w14:paraId="733FD779" w14:textId="1789FB4B" w:rsidR="00E57FC9" w:rsidRPr="00647BDC" w:rsidRDefault="00E57FC9" w:rsidP="003D382A">
            <w:pPr>
              <w:pStyle w:val="TableTextCenter12pt"/>
            </w:pPr>
            <w:r w:rsidRPr="00647BDC">
              <w:t>1</w:t>
            </w:r>
            <w:r w:rsidR="00EA5ADC">
              <w:t>A</w:t>
            </w:r>
          </w:p>
        </w:tc>
        <w:tc>
          <w:tcPr>
            <w:tcW w:w="6592" w:type="dxa"/>
            <w:tcBorders>
              <w:right w:val="single" w:sz="6" w:space="0" w:color="000000"/>
            </w:tcBorders>
          </w:tcPr>
          <w:p w14:paraId="733A2ACD" w14:textId="77777777" w:rsidR="00E57FC9" w:rsidRPr="00647BDC" w:rsidRDefault="00920587" w:rsidP="003D382A">
            <w:pPr>
              <w:pStyle w:val="TableTextL12pt"/>
            </w:pPr>
            <w:r>
              <w:t>Documentation of True Area Source, Non-Operational, or Non-Applicable Status</w:t>
            </w:r>
          </w:p>
        </w:tc>
      </w:tr>
      <w:tr w:rsidR="00EA5ADC" w:rsidRPr="00647BDC" w14:paraId="2FA7871C" w14:textId="77777777" w:rsidTr="003D382A">
        <w:tc>
          <w:tcPr>
            <w:tcW w:w="2228" w:type="dxa"/>
            <w:tcBorders>
              <w:left w:val="single" w:sz="6" w:space="0" w:color="000000"/>
              <w:right w:val="single" w:sz="6" w:space="0" w:color="000000"/>
            </w:tcBorders>
          </w:tcPr>
          <w:p w14:paraId="3EB8C4CE" w14:textId="77777777" w:rsidR="00EA5ADC" w:rsidRPr="00647BDC" w:rsidRDefault="00EA5ADC" w:rsidP="003D382A">
            <w:pPr>
              <w:pStyle w:val="TableTextL12pt"/>
            </w:pPr>
          </w:p>
        </w:tc>
        <w:tc>
          <w:tcPr>
            <w:tcW w:w="540" w:type="dxa"/>
            <w:tcBorders>
              <w:left w:val="single" w:sz="6" w:space="0" w:color="000000"/>
            </w:tcBorders>
          </w:tcPr>
          <w:p w14:paraId="5162E63B" w14:textId="3B0046EC" w:rsidR="00EA5ADC" w:rsidRPr="00647BDC" w:rsidRDefault="00EA5ADC" w:rsidP="003D382A">
            <w:pPr>
              <w:pStyle w:val="TableTextCenter12pt"/>
            </w:pPr>
            <w:r>
              <w:t>1B</w:t>
            </w:r>
          </w:p>
        </w:tc>
        <w:tc>
          <w:tcPr>
            <w:tcW w:w="6592" w:type="dxa"/>
            <w:tcBorders>
              <w:right w:val="single" w:sz="6" w:space="0" w:color="000000"/>
            </w:tcBorders>
          </w:tcPr>
          <w:p w14:paraId="5A2745A4" w14:textId="0CD1D783" w:rsidR="00EA5ADC" w:rsidRDefault="00EA5ADC" w:rsidP="003D382A">
            <w:pPr>
              <w:pStyle w:val="TableTextL12pt"/>
            </w:pPr>
            <w:r w:rsidRPr="00EA5ADC">
              <w:t>Documentation of Synthetic Area Source Status</w:t>
            </w:r>
          </w:p>
        </w:tc>
      </w:tr>
      <w:tr w:rsidR="00E57FC9" w:rsidRPr="00647BDC" w14:paraId="10BEA6D4" w14:textId="77777777" w:rsidTr="003D382A">
        <w:tc>
          <w:tcPr>
            <w:tcW w:w="2228" w:type="dxa"/>
            <w:tcBorders>
              <w:left w:val="single" w:sz="6" w:space="0" w:color="000000"/>
              <w:right w:val="single" w:sz="6" w:space="0" w:color="000000"/>
            </w:tcBorders>
          </w:tcPr>
          <w:p w14:paraId="32EF3FAC" w14:textId="77777777" w:rsidR="00E57FC9" w:rsidRPr="00647BDC" w:rsidRDefault="00E57FC9" w:rsidP="003D382A">
            <w:pPr>
              <w:pStyle w:val="TableTextL12pt"/>
            </w:pPr>
          </w:p>
        </w:tc>
        <w:tc>
          <w:tcPr>
            <w:tcW w:w="540" w:type="dxa"/>
            <w:tcBorders>
              <w:left w:val="single" w:sz="6" w:space="0" w:color="000000"/>
            </w:tcBorders>
          </w:tcPr>
          <w:p w14:paraId="1F6A6761" w14:textId="77777777" w:rsidR="00E57FC9" w:rsidRPr="00647BDC" w:rsidRDefault="00E57FC9" w:rsidP="003D382A">
            <w:pPr>
              <w:pStyle w:val="TableTextCenter12pt"/>
            </w:pPr>
            <w:r w:rsidRPr="00647BDC">
              <w:t>2</w:t>
            </w:r>
          </w:p>
        </w:tc>
        <w:tc>
          <w:tcPr>
            <w:tcW w:w="6592" w:type="dxa"/>
            <w:tcBorders>
              <w:right w:val="single" w:sz="6" w:space="0" w:color="000000"/>
            </w:tcBorders>
          </w:tcPr>
          <w:p w14:paraId="500CA910" w14:textId="7B5BF72A" w:rsidR="00E57FC9" w:rsidRPr="00647BDC" w:rsidRDefault="00EA5ADC" w:rsidP="003D382A">
            <w:pPr>
              <w:pStyle w:val="TableTextL12pt"/>
            </w:pPr>
            <w:r>
              <w:t>Process</w:t>
            </w:r>
            <w:r w:rsidR="00920587">
              <w:t xml:space="preserve"> Units to Include in the PCWP Survey Response</w:t>
            </w:r>
          </w:p>
        </w:tc>
      </w:tr>
      <w:tr w:rsidR="00E57FC9" w:rsidRPr="00647BDC" w14:paraId="50D6117B" w14:textId="77777777" w:rsidTr="003D382A">
        <w:tc>
          <w:tcPr>
            <w:tcW w:w="2228" w:type="dxa"/>
            <w:tcBorders>
              <w:left w:val="single" w:sz="6" w:space="0" w:color="000000"/>
              <w:right w:val="single" w:sz="6" w:space="0" w:color="000000"/>
            </w:tcBorders>
          </w:tcPr>
          <w:p w14:paraId="7D12C896" w14:textId="77777777" w:rsidR="00E57FC9" w:rsidRPr="00647BDC" w:rsidRDefault="00E57FC9" w:rsidP="003D382A">
            <w:pPr>
              <w:pStyle w:val="TableTextL12pt"/>
            </w:pPr>
          </w:p>
        </w:tc>
        <w:tc>
          <w:tcPr>
            <w:tcW w:w="540" w:type="dxa"/>
            <w:tcBorders>
              <w:left w:val="single" w:sz="6" w:space="0" w:color="000000"/>
            </w:tcBorders>
          </w:tcPr>
          <w:p w14:paraId="54A61DD3" w14:textId="77777777" w:rsidR="00E57FC9" w:rsidRPr="00647BDC" w:rsidRDefault="00E57FC9" w:rsidP="003D382A">
            <w:pPr>
              <w:pStyle w:val="TableTextCenter12pt"/>
            </w:pPr>
            <w:r w:rsidRPr="00647BDC">
              <w:t>3</w:t>
            </w:r>
          </w:p>
        </w:tc>
        <w:tc>
          <w:tcPr>
            <w:tcW w:w="6592" w:type="dxa"/>
            <w:tcBorders>
              <w:right w:val="single" w:sz="6" w:space="0" w:color="000000"/>
            </w:tcBorders>
          </w:tcPr>
          <w:p w14:paraId="03D300E5" w14:textId="12261141" w:rsidR="00E57FC9" w:rsidRPr="00647BDC" w:rsidRDefault="00920587" w:rsidP="003D382A">
            <w:pPr>
              <w:pStyle w:val="TableTextL12pt"/>
            </w:pPr>
            <w:r>
              <w:t xml:space="preserve">Previous Emissions Test </w:t>
            </w:r>
            <w:r w:rsidR="00EA5ADC">
              <w:t>Reports</w:t>
            </w:r>
            <w:r>
              <w:t xml:space="preserve"> Requested</w:t>
            </w:r>
          </w:p>
        </w:tc>
      </w:tr>
      <w:tr w:rsidR="00E57FC9" w:rsidRPr="00647BDC" w14:paraId="1B3EC767" w14:textId="77777777" w:rsidTr="003D382A">
        <w:tc>
          <w:tcPr>
            <w:tcW w:w="2228" w:type="dxa"/>
            <w:tcBorders>
              <w:left w:val="single" w:sz="6" w:space="0" w:color="000000"/>
              <w:right w:val="single" w:sz="6" w:space="0" w:color="000000"/>
            </w:tcBorders>
          </w:tcPr>
          <w:p w14:paraId="3F696FAE" w14:textId="77777777" w:rsidR="00E57FC9" w:rsidRPr="00647BDC" w:rsidRDefault="00E57FC9" w:rsidP="003D382A">
            <w:pPr>
              <w:pStyle w:val="TableTextL12pt"/>
            </w:pPr>
          </w:p>
        </w:tc>
        <w:tc>
          <w:tcPr>
            <w:tcW w:w="540" w:type="dxa"/>
            <w:tcBorders>
              <w:left w:val="single" w:sz="6" w:space="0" w:color="000000"/>
            </w:tcBorders>
          </w:tcPr>
          <w:p w14:paraId="4AEE3170" w14:textId="77777777" w:rsidR="00E57FC9" w:rsidRPr="00647BDC" w:rsidRDefault="00E57FC9" w:rsidP="003D382A">
            <w:pPr>
              <w:pStyle w:val="TableTextCenter12pt"/>
            </w:pPr>
            <w:r w:rsidRPr="00647BDC">
              <w:t>4</w:t>
            </w:r>
          </w:p>
        </w:tc>
        <w:tc>
          <w:tcPr>
            <w:tcW w:w="6592" w:type="dxa"/>
            <w:tcBorders>
              <w:right w:val="single" w:sz="6" w:space="0" w:color="000000"/>
            </w:tcBorders>
          </w:tcPr>
          <w:p w14:paraId="2EEB7D9D" w14:textId="77777777" w:rsidR="00E57FC9" w:rsidRPr="00647BDC" w:rsidRDefault="00920587" w:rsidP="003D382A">
            <w:pPr>
              <w:pStyle w:val="TableTextL12pt"/>
            </w:pPr>
            <w:r>
              <w:t>Acronyms and Abbreviations</w:t>
            </w:r>
          </w:p>
        </w:tc>
      </w:tr>
      <w:tr w:rsidR="00E57FC9" w:rsidRPr="00647BDC" w14:paraId="73147B65" w14:textId="77777777" w:rsidTr="003D382A">
        <w:tc>
          <w:tcPr>
            <w:tcW w:w="2228" w:type="dxa"/>
            <w:tcBorders>
              <w:left w:val="single" w:sz="6" w:space="0" w:color="000000"/>
              <w:right w:val="single" w:sz="6" w:space="0" w:color="000000"/>
            </w:tcBorders>
          </w:tcPr>
          <w:p w14:paraId="52748C50" w14:textId="77777777" w:rsidR="00E57FC9" w:rsidRPr="00647BDC" w:rsidRDefault="00E57FC9" w:rsidP="003D382A">
            <w:pPr>
              <w:pStyle w:val="TableTextL12pt"/>
            </w:pPr>
          </w:p>
        </w:tc>
        <w:tc>
          <w:tcPr>
            <w:tcW w:w="540" w:type="dxa"/>
            <w:tcBorders>
              <w:left w:val="single" w:sz="6" w:space="0" w:color="000000"/>
            </w:tcBorders>
          </w:tcPr>
          <w:p w14:paraId="5C37C75B" w14:textId="77777777" w:rsidR="00E57FC9" w:rsidRPr="00647BDC" w:rsidRDefault="00E57FC9" w:rsidP="003D382A">
            <w:pPr>
              <w:pStyle w:val="TableTextCenter12pt"/>
            </w:pPr>
            <w:r w:rsidRPr="00647BDC">
              <w:t>5</w:t>
            </w:r>
          </w:p>
        </w:tc>
        <w:tc>
          <w:tcPr>
            <w:tcW w:w="6592" w:type="dxa"/>
            <w:tcBorders>
              <w:right w:val="single" w:sz="6" w:space="0" w:color="000000"/>
            </w:tcBorders>
          </w:tcPr>
          <w:p w14:paraId="62E7D648" w14:textId="7CB03703" w:rsidR="00E57FC9" w:rsidRPr="00647BDC" w:rsidRDefault="003D382A" w:rsidP="003D382A">
            <w:pPr>
              <w:pStyle w:val="TableTextL12pt"/>
            </w:pPr>
            <w:r w:rsidRPr="008C631F">
              <w:t>Checklist of Materials to Submit with Your Survey Response</w:t>
            </w:r>
          </w:p>
        </w:tc>
      </w:tr>
      <w:tr w:rsidR="00A872BD" w:rsidRPr="00647BDC" w14:paraId="240C64BC" w14:textId="77777777" w:rsidTr="003D382A">
        <w:tc>
          <w:tcPr>
            <w:tcW w:w="2228" w:type="dxa"/>
            <w:tcBorders>
              <w:left w:val="single" w:sz="6" w:space="0" w:color="000000"/>
              <w:right w:val="single" w:sz="6" w:space="0" w:color="000000"/>
            </w:tcBorders>
          </w:tcPr>
          <w:p w14:paraId="73CEB977" w14:textId="77777777" w:rsidR="00A872BD" w:rsidRPr="00647BDC" w:rsidRDefault="00A872BD" w:rsidP="003D382A">
            <w:pPr>
              <w:pStyle w:val="TableTextL12pt"/>
            </w:pPr>
          </w:p>
        </w:tc>
        <w:tc>
          <w:tcPr>
            <w:tcW w:w="540" w:type="dxa"/>
            <w:tcBorders>
              <w:left w:val="single" w:sz="6" w:space="0" w:color="000000"/>
            </w:tcBorders>
          </w:tcPr>
          <w:p w14:paraId="5CADFA19" w14:textId="6A8A0441" w:rsidR="00A872BD" w:rsidRPr="00647BDC" w:rsidRDefault="00A959A8" w:rsidP="003D382A">
            <w:pPr>
              <w:pStyle w:val="TableTextCenter12pt"/>
            </w:pPr>
            <w:r w:rsidRPr="00647BDC">
              <w:t>6</w:t>
            </w:r>
            <w:r w:rsidR="00EA5ADC">
              <w:t>A</w:t>
            </w:r>
          </w:p>
        </w:tc>
        <w:tc>
          <w:tcPr>
            <w:tcW w:w="6592" w:type="dxa"/>
            <w:tcBorders>
              <w:right w:val="single" w:sz="6" w:space="0" w:color="000000"/>
            </w:tcBorders>
          </w:tcPr>
          <w:p w14:paraId="19607244" w14:textId="68ACB14A" w:rsidR="00A872BD" w:rsidRPr="00647BDC" w:rsidRDefault="003D382A" w:rsidP="003D382A">
            <w:pPr>
              <w:pStyle w:val="TableTextL12pt"/>
            </w:pPr>
            <w:r w:rsidRPr="003D382A">
              <w:t>CEDRI Upload Instructions</w:t>
            </w:r>
          </w:p>
        </w:tc>
      </w:tr>
      <w:tr w:rsidR="00EA5ADC" w:rsidRPr="00647BDC" w14:paraId="05F92525" w14:textId="77777777" w:rsidTr="003D382A">
        <w:tc>
          <w:tcPr>
            <w:tcW w:w="2228" w:type="dxa"/>
            <w:tcBorders>
              <w:left w:val="single" w:sz="6" w:space="0" w:color="000000"/>
              <w:right w:val="single" w:sz="6" w:space="0" w:color="000000"/>
            </w:tcBorders>
          </w:tcPr>
          <w:p w14:paraId="7B422795" w14:textId="77777777" w:rsidR="00EA5ADC" w:rsidRPr="00647BDC" w:rsidRDefault="00EA5ADC" w:rsidP="003D382A">
            <w:pPr>
              <w:pStyle w:val="TableTextL12pt"/>
            </w:pPr>
          </w:p>
        </w:tc>
        <w:tc>
          <w:tcPr>
            <w:tcW w:w="540" w:type="dxa"/>
            <w:tcBorders>
              <w:left w:val="single" w:sz="6" w:space="0" w:color="000000"/>
            </w:tcBorders>
          </w:tcPr>
          <w:p w14:paraId="33F583AE" w14:textId="4907F20E" w:rsidR="00EA5ADC" w:rsidRPr="00647BDC" w:rsidRDefault="00EA5ADC" w:rsidP="003D382A">
            <w:pPr>
              <w:pStyle w:val="TableTextCenter12pt"/>
            </w:pPr>
            <w:r>
              <w:t>6B</w:t>
            </w:r>
          </w:p>
        </w:tc>
        <w:tc>
          <w:tcPr>
            <w:tcW w:w="6592" w:type="dxa"/>
            <w:tcBorders>
              <w:right w:val="single" w:sz="6" w:space="0" w:color="000000"/>
            </w:tcBorders>
          </w:tcPr>
          <w:p w14:paraId="6CC96A1F" w14:textId="0C22EB45" w:rsidR="00EA5ADC" w:rsidRDefault="003D382A" w:rsidP="003D382A">
            <w:pPr>
              <w:pStyle w:val="TableTextL12pt"/>
            </w:pPr>
            <w:r w:rsidRPr="003D382A">
              <w:t>Instructions for CEDRI Registration Through CDX</w:t>
            </w:r>
          </w:p>
        </w:tc>
      </w:tr>
      <w:tr w:rsidR="00E57FC9" w:rsidRPr="00647BDC" w14:paraId="79B1DE51" w14:textId="77777777" w:rsidTr="003D382A">
        <w:tc>
          <w:tcPr>
            <w:tcW w:w="2228" w:type="dxa"/>
            <w:tcBorders>
              <w:left w:val="single" w:sz="6" w:space="0" w:color="000000"/>
              <w:right w:val="single" w:sz="6" w:space="0" w:color="000000"/>
            </w:tcBorders>
          </w:tcPr>
          <w:p w14:paraId="0A814576" w14:textId="77777777" w:rsidR="00E57FC9" w:rsidRPr="00647BDC" w:rsidRDefault="00E57FC9" w:rsidP="003D382A">
            <w:pPr>
              <w:pStyle w:val="TableTextL12pt"/>
            </w:pPr>
          </w:p>
        </w:tc>
        <w:tc>
          <w:tcPr>
            <w:tcW w:w="540" w:type="dxa"/>
            <w:tcBorders>
              <w:left w:val="single" w:sz="6" w:space="0" w:color="000000"/>
            </w:tcBorders>
          </w:tcPr>
          <w:p w14:paraId="1C526615" w14:textId="77777777" w:rsidR="00E57FC9" w:rsidRPr="00647BDC" w:rsidRDefault="00A959A8" w:rsidP="003D382A">
            <w:pPr>
              <w:pStyle w:val="TableTextCenter12pt"/>
            </w:pPr>
            <w:r w:rsidRPr="00647BDC">
              <w:t>7</w:t>
            </w:r>
          </w:p>
        </w:tc>
        <w:tc>
          <w:tcPr>
            <w:tcW w:w="6592" w:type="dxa"/>
            <w:tcBorders>
              <w:right w:val="single" w:sz="6" w:space="0" w:color="000000"/>
            </w:tcBorders>
          </w:tcPr>
          <w:p w14:paraId="2022FF89" w14:textId="3DE7A480" w:rsidR="00E57FC9" w:rsidRPr="00647BDC" w:rsidRDefault="003D382A" w:rsidP="003D382A">
            <w:pPr>
              <w:pStyle w:val="TableTextL12pt"/>
            </w:pPr>
            <w:r w:rsidRPr="003D382A">
              <w:t xml:space="preserve">Plywood and Composite Wood Products </w:t>
            </w:r>
            <w:r w:rsidR="00920587">
              <w:t>NESHAP Definitions</w:t>
            </w:r>
          </w:p>
        </w:tc>
      </w:tr>
      <w:tr w:rsidR="00E57FC9" w:rsidRPr="00647BDC" w14:paraId="4F3D5A64" w14:textId="77777777" w:rsidTr="003D382A">
        <w:tc>
          <w:tcPr>
            <w:tcW w:w="2228" w:type="dxa"/>
            <w:tcBorders>
              <w:left w:val="single" w:sz="6" w:space="0" w:color="000000"/>
              <w:right w:val="single" w:sz="6" w:space="0" w:color="000000"/>
            </w:tcBorders>
          </w:tcPr>
          <w:p w14:paraId="37AAC86E" w14:textId="77777777" w:rsidR="00E57FC9" w:rsidRPr="00647BDC" w:rsidRDefault="00E57FC9" w:rsidP="003D382A">
            <w:pPr>
              <w:pStyle w:val="TableTextL12pt"/>
            </w:pPr>
          </w:p>
        </w:tc>
        <w:tc>
          <w:tcPr>
            <w:tcW w:w="540" w:type="dxa"/>
            <w:tcBorders>
              <w:left w:val="single" w:sz="6" w:space="0" w:color="000000"/>
            </w:tcBorders>
          </w:tcPr>
          <w:p w14:paraId="2DD7F94E" w14:textId="77777777" w:rsidR="00E57FC9" w:rsidRPr="00647BDC" w:rsidRDefault="00A959A8" w:rsidP="003D382A">
            <w:pPr>
              <w:pStyle w:val="TableTextCenter12pt"/>
            </w:pPr>
            <w:r w:rsidRPr="00647BDC">
              <w:t>8</w:t>
            </w:r>
          </w:p>
        </w:tc>
        <w:tc>
          <w:tcPr>
            <w:tcW w:w="6592" w:type="dxa"/>
            <w:tcBorders>
              <w:right w:val="single" w:sz="6" w:space="0" w:color="000000"/>
            </w:tcBorders>
          </w:tcPr>
          <w:p w14:paraId="5183FAE7" w14:textId="77777777" w:rsidR="00E57FC9" w:rsidRPr="00647BDC" w:rsidRDefault="00920587" w:rsidP="003D382A">
            <w:pPr>
              <w:pStyle w:val="TableTextL12pt"/>
            </w:pPr>
            <w:r>
              <w:t>Industry Source Classification Codes</w:t>
            </w:r>
          </w:p>
        </w:tc>
      </w:tr>
      <w:tr w:rsidR="00E57FC9" w:rsidRPr="00647BDC" w14:paraId="02C837DF" w14:textId="77777777" w:rsidTr="003D382A">
        <w:tc>
          <w:tcPr>
            <w:tcW w:w="2228" w:type="dxa"/>
            <w:tcBorders>
              <w:left w:val="single" w:sz="6" w:space="0" w:color="000000"/>
              <w:right w:val="single" w:sz="6" w:space="0" w:color="000000"/>
            </w:tcBorders>
          </w:tcPr>
          <w:p w14:paraId="7FC18C6F" w14:textId="77777777" w:rsidR="00E57FC9" w:rsidRPr="00647BDC" w:rsidRDefault="00E57FC9" w:rsidP="003D382A">
            <w:pPr>
              <w:pStyle w:val="TableTextL12pt"/>
            </w:pPr>
          </w:p>
        </w:tc>
        <w:tc>
          <w:tcPr>
            <w:tcW w:w="540" w:type="dxa"/>
            <w:tcBorders>
              <w:left w:val="single" w:sz="6" w:space="0" w:color="000000"/>
            </w:tcBorders>
          </w:tcPr>
          <w:p w14:paraId="3F3583EC" w14:textId="77777777" w:rsidR="00E57FC9" w:rsidRPr="00647BDC" w:rsidRDefault="00A959A8" w:rsidP="003D382A">
            <w:pPr>
              <w:pStyle w:val="TableTextCenter12pt"/>
            </w:pPr>
            <w:r w:rsidRPr="00647BDC">
              <w:t>9</w:t>
            </w:r>
          </w:p>
        </w:tc>
        <w:tc>
          <w:tcPr>
            <w:tcW w:w="6592" w:type="dxa"/>
            <w:tcBorders>
              <w:right w:val="single" w:sz="6" w:space="0" w:color="000000"/>
            </w:tcBorders>
          </w:tcPr>
          <w:p w14:paraId="0312C97B" w14:textId="77777777" w:rsidR="00E57FC9" w:rsidRPr="00647BDC" w:rsidRDefault="00920587" w:rsidP="003D382A">
            <w:pPr>
              <w:pStyle w:val="TableTextL12pt"/>
            </w:pPr>
            <w:r>
              <w:t>List of Hazardous Air Pollutants</w:t>
            </w:r>
          </w:p>
        </w:tc>
      </w:tr>
      <w:tr w:rsidR="00E57FC9" w:rsidRPr="00647BDC" w14:paraId="3CC56D4C" w14:textId="77777777" w:rsidTr="003D382A">
        <w:tc>
          <w:tcPr>
            <w:tcW w:w="2228" w:type="dxa"/>
            <w:tcBorders>
              <w:left w:val="single" w:sz="6" w:space="0" w:color="000000"/>
              <w:right w:val="single" w:sz="6" w:space="0" w:color="000000"/>
            </w:tcBorders>
          </w:tcPr>
          <w:p w14:paraId="561424BA" w14:textId="77777777" w:rsidR="00E57FC9" w:rsidRPr="00647BDC" w:rsidRDefault="00E57FC9" w:rsidP="003D382A">
            <w:pPr>
              <w:pStyle w:val="TableTextL12pt"/>
            </w:pPr>
          </w:p>
        </w:tc>
        <w:tc>
          <w:tcPr>
            <w:tcW w:w="540" w:type="dxa"/>
            <w:tcBorders>
              <w:left w:val="single" w:sz="6" w:space="0" w:color="000000"/>
              <w:bottom w:val="single" w:sz="6" w:space="0" w:color="000000"/>
            </w:tcBorders>
          </w:tcPr>
          <w:p w14:paraId="5DD1E5AE" w14:textId="77777777" w:rsidR="00E57FC9" w:rsidRPr="00647BDC" w:rsidRDefault="00A959A8" w:rsidP="003D382A">
            <w:pPr>
              <w:pStyle w:val="TableTextCenter12pt"/>
            </w:pPr>
            <w:r w:rsidRPr="00647BDC">
              <w:t>10</w:t>
            </w:r>
          </w:p>
        </w:tc>
        <w:tc>
          <w:tcPr>
            <w:tcW w:w="6592" w:type="dxa"/>
            <w:tcBorders>
              <w:bottom w:val="single" w:sz="6" w:space="0" w:color="000000"/>
              <w:right w:val="single" w:sz="6" w:space="0" w:color="000000"/>
            </w:tcBorders>
          </w:tcPr>
          <w:p w14:paraId="58652EE8" w14:textId="77777777" w:rsidR="00E57FC9" w:rsidRPr="00647BDC" w:rsidRDefault="00920587" w:rsidP="003D382A">
            <w:pPr>
              <w:pStyle w:val="TableTextL12pt"/>
            </w:pPr>
            <w:r>
              <w:t>Resources for Estimating Emissions</w:t>
            </w:r>
          </w:p>
        </w:tc>
      </w:tr>
      <w:tr w:rsidR="00EF26D9" w14:paraId="4D765C69" w14:textId="77777777" w:rsidTr="003D382A">
        <w:tc>
          <w:tcPr>
            <w:tcW w:w="2228" w:type="dxa"/>
            <w:tcBorders>
              <w:top w:val="single" w:sz="6" w:space="0" w:color="000000"/>
              <w:left w:val="single" w:sz="5" w:space="0" w:color="000000"/>
              <w:bottom w:val="single" w:sz="6" w:space="0" w:color="000000"/>
              <w:right w:val="single" w:sz="5" w:space="0" w:color="000000"/>
            </w:tcBorders>
          </w:tcPr>
          <w:p w14:paraId="7CFECF7A" w14:textId="77821F22" w:rsidR="00EF26D9" w:rsidRPr="00961685" w:rsidRDefault="00A1642D" w:rsidP="003D382A">
            <w:pPr>
              <w:pStyle w:val="TableTextL12pt"/>
              <w:rPr>
                <w:rStyle w:val="Italic"/>
              </w:rPr>
            </w:pPr>
            <w:r w:rsidRPr="00961685">
              <w:rPr>
                <w:rStyle w:val="Italic"/>
              </w:rPr>
              <w:t>PCWP_survey</w:t>
            </w:r>
            <w:r w:rsidR="004F418B" w:rsidRPr="00961685">
              <w:rPr>
                <w:rStyle w:val="Italic"/>
              </w:rPr>
              <w:t>.xls</w:t>
            </w:r>
            <w:r w:rsidR="003A262A">
              <w:rPr>
                <w:rStyle w:val="Italic"/>
              </w:rPr>
              <w:t>x</w:t>
            </w:r>
          </w:p>
        </w:tc>
        <w:tc>
          <w:tcPr>
            <w:tcW w:w="7132" w:type="dxa"/>
            <w:gridSpan w:val="2"/>
            <w:tcBorders>
              <w:top w:val="single" w:sz="6" w:space="0" w:color="000000"/>
              <w:left w:val="single" w:sz="5" w:space="0" w:color="000000"/>
              <w:bottom w:val="single" w:sz="5" w:space="0" w:color="000000"/>
              <w:right w:val="single" w:sz="5" w:space="0" w:color="000000"/>
            </w:tcBorders>
          </w:tcPr>
          <w:p w14:paraId="566A777A" w14:textId="77777777" w:rsidR="00EF26D9" w:rsidRPr="00961685" w:rsidRDefault="004F418B" w:rsidP="003D382A">
            <w:pPr>
              <w:pStyle w:val="TableTextL12pt"/>
            </w:pPr>
            <w:r w:rsidRPr="00961685">
              <w:t>This multi-tabbed spreadsheet file is the main portion of the survey</w:t>
            </w:r>
            <w:r w:rsidR="00674C80" w:rsidRPr="00961685">
              <w:t xml:space="preserve">. </w:t>
            </w:r>
            <w:r w:rsidRPr="00961685">
              <w:t>A listing of the tabs in this file is provided in Table 1</w:t>
            </w:r>
            <w:r w:rsidR="00E76532" w:rsidRPr="00961685">
              <w:t>,</w:t>
            </w:r>
            <w:r w:rsidRPr="00961685">
              <w:t xml:space="preserve"> </w:t>
            </w:r>
            <w:r w:rsidR="00E76532" w:rsidRPr="00961685">
              <w:t>Section 4 of this supporting statement</w:t>
            </w:r>
            <w:r w:rsidRPr="00961685">
              <w:t>.</w:t>
            </w:r>
          </w:p>
        </w:tc>
      </w:tr>
      <w:tr w:rsidR="00BC3D4B" w14:paraId="6614F35F" w14:textId="77777777" w:rsidTr="003D382A">
        <w:tc>
          <w:tcPr>
            <w:tcW w:w="2228" w:type="dxa"/>
            <w:tcBorders>
              <w:top w:val="single" w:sz="6" w:space="0" w:color="000000"/>
              <w:left w:val="single" w:sz="6" w:space="0" w:color="000000"/>
              <w:bottom w:val="single" w:sz="6" w:space="0" w:color="000000"/>
              <w:right w:val="single" w:sz="6" w:space="0" w:color="000000"/>
            </w:tcBorders>
          </w:tcPr>
          <w:p w14:paraId="50C400DC" w14:textId="59709BFD" w:rsidR="00BC3D4B" w:rsidRPr="00961685" w:rsidRDefault="00BC3D4B" w:rsidP="003D382A">
            <w:pPr>
              <w:pStyle w:val="TableTextL12pt"/>
              <w:rPr>
                <w:rStyle w:val="Italic"/>
              </w:rPr>
            </w:pPr>
            <w:r w:rsidRPr="00BC3D4B">
              <w:rPr>
                <w:rStyle w:val="Italic"/>
              </w:rPr>
              <w:t>PCWP_CEMS.xlsx</w:t>
            </w:r>
          </w:p>
        </w:tc>
        <w:tc>
          <w:tcPr>
            <w:tcW w:w="7132" w:type="dxa"/>
            <w:gridSpan w:val="2"/>
            <w:tcBorders>
              <w:top w:val="single" w:sz="5" w:space="0" w:color="000000"/>
              <w:left w:val="single" w:sz="6" w:space="0" w:color="000000"/>
              <w:bottom w:val="single" w:sz="6" w:space="0" w:color="000000"/>
              <w:right w:val="single" w:sz="6" w:space="0" w:color="000000"/>
            </w:tcBorders>
          </w:tcPr>
          <w:p w14:paraId="0A61D42A" w14:textId="501D2DA6" w:rsidR="00BC3D4B" w:rsidRPr="00961685" w:rsidRDefault="00920587" w:rsidP="003D382A">
            <w:pPr>
              <w:pStyle w:val="TableTextL12pt"/>
            </w:pPr>
            <w:r>
              <w:t>This file contains templates for the requested CEMS data.</w:t>
            </w:r>
          </w:p>
        </w:tc>
      </w:tr>
    </w:tbl>
    <w:p w14:paraId="4CC9727B" w14:textId="77777777" w:rsidR="00D41497" w:rsidRDefault="00D41497" w:rsidP="0022125D">
      <w:pPr>
        <w:pStyle w:val="AfterTable"/>
      </w:pPr>
    </w:p>
    <w:p w14:paraId="6739B2E5" w14:textId="77777777" w:rsidR="00EF26D9" w:rsidRPr="005E555F" w:rsidRDefault="00EF26D9" w:rsidP="005E555F">
      <w:pPr>
        <w:sectPr w:rsidR="00EF26D9" w:rsidRPr="005E555F" w:rsidSect="00F5119F">
          <w:footerReference w:type="default" r:id="rId21"/>
          <w:pgSz w:w="12240" w:h="15840"/>
          <w:pgMar w:top="1397" w:right="1224" w:bottom="979" w:left="1224" w:header="720" w:footer="720" w:gutter="0"/>
          <w:pgNumType w:start="1"/>
          <w:cols w:space="720"/>
        </w:sectPr>
      </w:pPr>
    </w:p>
    <w:p w14:paraId="2B90EFB5" w14:textId="31A91225" w:rsidR="00EF26D9" w:rsidRDefault="0088130B" w:rsidP="00966E3C">
      <w:pPr>
        <w:pStyle w:val="TableTitleNewPage"/>
      </w:pPr>
      <w:r>
        <w:t>Attachment 2.</w:t>
      </w:r>
      <w:r w:rsidR="00741AA3">
        <w:br/>
      </w:r>
      <w:r w:rsidR="004F418B">
        <w:t xml:space="preserve">Industry Burden and Costs for </w:t>
      </w:r>
      <w:r w:rsidR="004F418B" w:rsidRPr="00647BDC">
        <w:t>Responding</w:t>
      </w:r>
      <w:r w:rsidR="004F418B">
        <w:t xml:space="preserve"> to the </w:t>
      </w:r>
      <w:r w:rsidR="000777AA">
        <w:t>PCWP ICR</w:t>
      </w:r>
    </w:p>
    <w:tbl>
      <w:tblPr>
        <w:tblW w:w="14616" w:type="dxa"/>
        <w:tblLayout w:type="fixed"/>
        <w:tblLook w:val="04A0" w:firstRow="1" w:lastRow="0" w:firstColumn="1" w:lastColumn="0" w:noHBand="0" w:noVBand="1"/>
      </w:tblPr>
      <w:tblGrid>
        <w:gridCol w:w="4675"/>
        <w:gridCol w:w="1242"/>
        <w:gridCol w:w="1243"/>
        <w:gridCol w:w="1242"/>
        <w:gridCol w:w="1223"/>
        <w:gridCol w:w="1350"/>
        <w:gridCol w:w="1155"/>
        <w:gridCol w:w="1243"/>
        <w:gridCol w:w="1243"/>
      </w:tblGrid>
      <w:tr w:rsidR="00E9161E" w:rsidRPr="00E9161E" w14:paraId="3F1156A2" w14:textId="77777777" w:rsidTr="00083090">
        <w:trPr>
          <w:tblHeader/>
        </w:trPr>
        <w:tc>
          <w:tcPr>
            <w:tcW w:w="4675" w:type="dxa"/>
            <w:tcBorders>
              <w:top w:val="single" w:sz="4" w:space="0" w:color="auto"/>
              <w:left w:val="single" w:sz="4" w:space="0" w:color="auto"/>
              <w:bottom w:val="double" w:sz="6" w:space="0" w:color="auto"/>
              <w:right w:val="single" w:sz="4" w:space="0" w:color="auto"/>
            </w:tcBorders>
            <w:shd w:val="clear" w:color="auto" w:fill="auto"/>
            <w:vAlign w:val="bottom"/>
            <w:hideMark/>
          </w:tcPr>
          <w:p w14:paraId="7248B789" w14:textId="77777777" w:rsidR="00E9161E" w:rsidRPr="00E9161E" w:rsidRDefault="00E9161E" w:rsidP="00AF3EEF">
            <w:pPr>
              <w:pStyle w:val="TableHeading-Burden"/>
            </w:pPr>
            <w:r w:rsidRPr="00E9161E">
              <w:t>Respondent Activity</w:t>
            </w:r>
          </w:p>
        </w:tc>
        <w:tc>
          <w:tcPr>
            <w:tcW w:w="1242" w:type="dxa"/>
            <w:tcBorders>
              <w:top w:val="single" w:sz="4" w:space="0" w:color="auto"/>
              <w:left w:val="nil"/>
              <w:bottom w:val="double" w:sz="6" w:space="0" w:color="auto"/>
              <w:right w:val="single" w:sz="4" w:space="0" w:color="auto"/>
            </w:tcBorders>
            <w:shd w:val="clear" w:color="auto" w:fill="auto"/>
            <w:vAlign w:val="bottom"/>
            <w:hideMark/>
          </w:tcPr>
          <w:p w14:paraId="6AB5F93B" w14:textId="77777777" w:rsidR="00E9161E" w:rsidRPr="00E9161E" w:rsidRDefault="00E9161E" w:rsidP="00AF3EEF">
            <w:pPr>
              <w:pStyle w:val="TableHeading-Burden"/>
            </w:pPr>
            <w:r w:rsidRPr="00E9161E">
              <w:t>(A) Hours per Occurrence</w:t>
            </w:r>
          </w:p>
        </w:tc>
        <w:tc>
          <w:tcPr>
            <w:tcW w:w="1243" w:type="dxa"/>
            <w:tcBorders>
              <w:top w:val="single" w:sz="4" w:space="0" w:color="auto"/>
              <w:left w:val="nil"/>
              <w:bottom w:val="double" w:sz="6" w:space="0" w:color="auto"/>
              <w:right w:val="single" w:sz="4" w:space="0" w:color="auto"/>
            </w:tcBorders>
            <w:shd w:val="clear" w:color="auto" w:fill="auto"/>
            <w:vAlign w:val="bottom"/>
            <w:hideMark/>
          </w:tcPr>
          <w:p w14:paraId="62272D04" w14:textId="43A4BD3A" w:rsidR="00E9161E" w:rsidRPr="00E9161E" w:rsidRDefault="00E9161E" w:rsidP="00AF3EEF">
            <w:pPr>
              <w:pStyle w:val="TableHeading-Burden"/>
            </w:pPr>
            <w:r w:rsidRPr="00E9161E">
              <w:t>(B) Occurrences/ Respondent/</w:t>
            </w:r>
            <w:r w:rsidR="00083090">
              <w:t xml:space="preserve"> </w:t>
            </w:r>
            <w:r w:rsidRPr="00E9161E">
              <w:t>Year</w:t>
            </w:r>
          </w:p>
        </w:tc>
        <w:tc>
          <w:tcPr>
            <w:tcW w:w="1242" w:type="dxa"/>
            <w:tcBorders>
              <w:top w:val="single" w:sz="4" w:space="0" w:color="auto"/>
              <w:left w:val="nil"/>
              <w:bottom w:val="double" w:sz="6" w:space="0" w:color="auto"/>
              <w:right w:val="single" w:sz="4" w:space="0" w:color="auto"/>
            </w:tcBorders>
            <w:shd w:val="clear" w:color="auto" w:fill="auto"/>
            <w:vAlign w:val="bottom"/>
            <w:hideMark/>
          </w:tcPr>
          <w:p w14:paraId="13F6D177" w14:textId="21230123" w:rsidR="00E9161E" w:rsidRPr="00E9161E" w:rsidRDefault="00E9161E" w:rsidP="00083090">
            <w:pPr>
              <w:pStyle w:val="TableHeading-Burden"/>
            </w:pPr>
            <w:r w:rsidRPr="00E9161E">
              <w:t>(C) Hours/ Respondent/ Year</w:t>
            </w:r>
            <w:r w:rsidR="00083090">
              <w:br/>
            </w:r>
            <w:r w:rsidRPr="00E9161E">
              <w:t>(A x B)</w:t>
            </w:r>
          </w:p>
        </w:tc>
        <w:tc>
          <w:tcPr>
            <w:tcW w:w="1223" w:type="dxa"/>
            <w:tcBorders>
              <w:top w:val="single" w:sz="4" w:space="0" w:color="auto"/>
              <w:left w:val="nil"/>
              <w:bottom w:val="double" w:sz="6" w:space="0" w:color="auto"/>
              <w:right w:val="single" w:sz="4" w:space="0" w:color="auto"/>
            </w:tcBorders>
            <w:shd w:val="clear" w:color="auto" w:fill="auto"/>
            <w:vAlign w:val="bottom"/>
            <w:hideMark/>
          </w:tcPr>
          <w:p w14:paraId="7ECE81FE" w14:textId="77777777" w:rsidR="00E9161E" w:rsidRPr="00E9161E" w:rsidRDefault="00157598" w:rsidP="00AF3EEF">
            <w:pPr>
              <w:pStyle w:val="TableHeading-Burden"/>
            </w:pPr>
            <w:r>
              <w:t>(D) Respondents/ Year</w:t>
            </w:r>
            <w:r w:rsidR="00E9161E" w:rsidRPr="00AB56FD">
              <w:rPr>
                <w:rStyle w:val="Superscript"/>
              </w:rPr>
              <w:t>1</w:t>
            </w:r>
          </w:p>
        </w:tc>
        <w:tc>
          <w:tcPr>
            <w:tcW w:w="1350" w:type="dxa"/>
            <w:tcBorders>
              <w:top w:val="single" w:sz="4" w:space="0" w:color="auto"/>
              <w:left w:val="nil"/>
              <w:bottom w:val="double" w:sz="6" w:space="0" w:color="auto"/>
              <w:right w:val="single" w:sz="4" w:space="0" w:color="auto"/>
            </w:tcBorders>
            <w:shd w:val="clear" w:color="auto" w:fill="auto"/>
            <w:vAlign w:val="bottom"/>
            <w:hideMark/>
          </w:tcPr>
          <w:p w14:paraId="535DDD37" w14:textId="77777777" w:rsidR="00E9161E" w:rsidRPr="00E9161E" w:rsidRDefault="00E9161E" w:rsidP="00AF3EEF">
            <w:pPr>
              <w:pStyle w:val="TableHeading-Burden"/>
            </w:pPr>
            <w:r w:rsidRPr="00E9161E">
              <w:t>(E) Technical Hours/Year</w:t>
            </w:r>
            <w:r w:rsidRPr="00E9161E">
              <w:br/>
              <w:t>(C x D)</w:t>
            </w:r>
          </w:p>
        </w:tc>
        <w:tc>
          <w:tcPr>
            <w:tcW w:w="1155" w:type="dxa"/>
            <w:tcBorders>
              <w:top w:val="single" w:sz="4" w:space="0" w:color="auto"/>
              <w:left w:val="nil"/>
              <w:bottom w:val="double" w:sz="6" w:space="0" w:color="auto"/>
              <w:right w:val="single" w:sz="4" w:space="0" w:color="auto"/>
            </w:tcBorders>
            <w:shd w:val="clear" w:color="auto" w:fill="auto"/>
            <w:vAlign w:val="bottom"/>
            <w:hideMark/>
          </w:tcPr>
          <w:p w14:paraId="52FC6F34" w14:textId="77777777" w:rsidR="00E9161E" w:rsidRPr="00E9161E" w:rsidRDefault="00E9161E" w:rsidP="00AF3EEF">
            <w:pPr>
              <w:pStyle w:val="TableHeading-Burden"/>
            </w:pPr>
            <w:r w:rsidRPr="00E9161E">
              <w:t>(F) Managerial Hours/Year</w:t>
            </w:r>
            <w:r w:rsidRPr="00E9161E">
              <w:br/>
              <w:t>(E x 0.05)</w:t>
            </w:r>
          </w:p>
        </w:tc>
        <w:tc>
          <w:tcPr>
            <w:tcW w:w="1243" w:type="dxa"/>
            <w:tcBorders>
              <w:top w:val="single" w:sz="4" w:space="0" w:color="auto"/>
              <w:left w:val="nil"/>
              <w:bottom w:val="double" w:sz="6" w:space="0" w:color="auto"/>
              <w:right w:val="single" w:sz="4" w:space="0" w:color="auto"/>
            </w:tcBorders>
            <w:shd w:val="clear" w:color="auto" w:fill="auto"/>
            <w:vAlign w:val="bottom"/>
            <w:hideMark/>
          </w:tcPr>
          <w:p w14:paraId="39431122" w14:textId="77777777" w:rsidR="00E9161E" w:rsidRPr="00E9161E" w:rsidRDefault="00E9161E" w:rsidP="00AF3EEF">
            <w:pPr>
              <w:pStyle w:val="TableHeading-Burden"/>
            </w:pPr>
            <w:r w:rsidRPr="00E9161E">
              <w:t>(G) Clerical Hours/Year</w:t>
            </w:r>
            <w:r w:rsidRPr="00E9161E">
              <w:br/>
              <w:t>(E x 0.10)</w:t>
            </w:r>
          </w:p>
        </w:tc>
        <w:tc>
          <w:tcPr>
            <w:tcW w:w="1243" w:type="dxa"/>
            <w:tcBorders>
              <w:top w:val="single" w:sz="4" w:space="0" w:color="auto"/>
              <w:left w:val="nil"/>
              <w:bottom w:val="double" w:sz="6" w:space="0" w:color="auto"/>
              <w:right w:val="single" w:sz="4" w:space="0" w:color="auto"/>
            </w:tcBorders>
            <w:shd w:val="clear" w:color="auto" w:fill="auto"/>
            <w:vAlign w:val="bottom"/>
            <w:hideMark/>
          </w:tcPr>
          <w:p w14:paraId="5CF506C3" w14:textId="77777777" w:rsidR="00E9161E" w:rsidRPr="00E9161E" w:rsidRDefault="00157598" w:rsidP="002D329C">
            <w:pPr>
              <w:pStyle w:val="TableHeading-Burden"/>
            </w:pPr>
            <w:r>
              <w:t>(H) Cost</w:t>
            </w:r>
            <w:r w:rsidR="002D329C">
              <w:t>, $</w:t>
            </w:r>
            <w:r>
              <w:t>/Year</w:t>
            </w:r>
            <w:r w:rsidR="00E9161E" w:rsidRPr="00AB56FD">
              <w:rPr>
                <w:rStyle w:val="Superscript"/>
              </w:rPr>
              <w:t>2</w:t>
            </w:r>
          </w:p>
        </w:tc>
      </w:tr>
      <w:tr w:rsidR="00E9161E" w:rsidRPr="00E9161E" w14:paraId="4097AB1A" w14:textId="77777777" w:rsidTr="00083090">
        <w:tc>
          <w:tcPr>
            <w:tcW w:w="4675" w:type="dxa"/>
            <w:tcBorders>
              <w:top w:val="nil"/>
              <w:left w:val="single" w:sz="8" w:space="0" w:color="000000"/>
              <w:bottom w:val="nil"/>
              <w:right w:val="nil"/>
            </w:tcBorders>
            <w:shd w:val="clear" w:color="auto" w:fill="auto"/>
            <w:vAlign w:val="center"/>
            <w:hideMark/>
          </w:tcPr>
          <w:p w14:paraId="17355EFE" w14:textId="77777777" w:rsidR="00E9161E" w:rsidRPr="00E9161E" w:rsidRDefault="00E9161E" w:rsidP="00CC4DBE">
            <w:pPr>
              <w:pStyle w:val="TableTextLeft-Burden"/>
            </w:pPr>
            <w:r w:rsidRPr="00E9161E">
              <w:t>1. APPLICATIONS (Not Applicable)</w:t>
            </w:r>
          </w:p>
        </w:tc>
        <w:tc>
          <w:tcPr>
            <w:tcW w:w="1242" w:type="dxa"/>
            <w:tcBorders>
              <w:top w:val="nil"/>
              <w:left w:val="single" w:sz="4" w:space="0" w:color="auto"/>
              <w:bottom w:val="single" w:sz="4" w:space="0" w:color="auto"/>
              <w:right w:val="single" w:sz="4" w:space="0" w:color="auto"/>
            </w:tcBorders>
            <w:shd w:val="clear" w:color="000000" w:fill="D8D8D8"/>
            <w:vAlign w:val="center"/>
          </w:tcPr>
          <w:p w14:paraId="7589FD74" w14:textId="0398D4EC" w:rsidR="00E9161E" w:rsidRPr="00E9161E" w:rsidRDefault="00E9161E" w:rsidP="00CC4DBE">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49CD3A69" w14:textId="2924CB52" w:rsidR="00E9161E" w:rsidRPr="00E9161E" w:rsidRDefault="00E9161E" w:rsidP="00CC4DBE">
            <w:pPr>
              <w:pStyle w:val="TableTextRight-Burden"/>
            </w:pPr>
          </w:p>
        </w:tc>
        <w:tc>
          <w:tcPr>
            <w:tcW w:w="1242" w:type="dxa"/>
            <w:tcBorders>
              <w:top w:val="nil"/>
              <w:left w:val="nil"/>
              <w:bottom w:val="single" w:sz="4" w:space="0" w:color="auto"/>
              <w:right w:val="single" w:sz="4" w:space="0" w:color="auto"/>
            </w:tcBorders>
            <w:shd w:val="clear" w:color="000000" w:fill="D8D8D8"/>
            <w:vAlign w:val="center"/>
          </w:tcPr>
          <w:p w14:paraId="61469DF1" w14:textId="1C5CA4A3" w:rsidR="00E9161E" w:rsidRPr="00E9161E" w:rsidRDefault="00E9161E" w:rsidP="00CC4DBE">
            <w:pPr>
              <w:pStyle w:val="TableTextRight-Burden"/>
            </w:pPr>
          </w:p>
        </w:tc>
        <w:tc>
          <w:tcPr>
            <w:tcW w:w="1223" w:type="dxa"/>
            <w:tcBorders>
              <w:top w:val="nil"/>
              <w:left w:val="nil"/>
              <w:bottom w:val="single" w:sz="4" w:space="0" w:color="auto"/>
              <w:right w:val="single" w:sz="4" w:space="0" w:color="auto"/>
            </w:tcBorders>
            <w:shd w:val="clear" w:color="000000" w:fill="D8D8D8"/>
            <w:vAlign w:val="center"/>
          </w:tcPr>
          <w:p w14:paraId="6D26118C" w14:textId="252F22F4" w:rsidR="00E9161E" w:rsidRPr="004A02C7" w:rsidRDefault="00E9161E" w:rsidP="004A02C7">
            <w:pPr>
              <w:pStyle w:val="TableTextRight-Burden"/>
            </w:pPr>
          </w:p>
        </w:tc>
        <w:tc>
          <w:tcPr>
            <w:tcW w:w="1350" w:type="dxa"/>
            <w:tcBorders>
              <w:top w:val="nil"/>
              <w:left w:val="nil"/>
              <w:bottom w:val="single" w:sz="4" w:space="0" w:color="auto"/>
              <w:right w:val="single" w:sz="4" w:space="0" w:color="auto"/>
            </w:tcBorders>
            <w:shd w:val="clear" w:color="000000" w:fill="D8D8D8"/>
            <w:vAlign w:val="center"/>
          </w:tcPr>
          <w:p w14:paraId="687C1062" w14:textId="0DA59AC5" w:rsidR="00E9161E" w:rsidRPr="004A02C7" w:rsidRDefault="00E9161E" w:rsidP="004A02C7">
            <w:pPr>
              <w:pStyle w:val="TableTextRight-Burden"/>
            </w:pPr>
          </w:p>
        </w:tc>
        <w:tc>
          <w:tcPr>
            <w:tcW w:w="1155" w:type="dxa"/>
            <w:tcBorders>
              <w:top w:val="nil"/>
              <w:left w:val="nil"/>
              <w:bottom w:val="single" w:sz="4" w:space="0" w:color="auto"/>
              <w:right w:val="single" w:sz="4" w:space="0" w:color="auto"/>
            </w:tcBorders>
            <w:shd w:val="clear" w:color="000000" w:fill="D8D8D8"/>
            <w:vAlign w:val="center"/>
          </w:tcPr>
          <w:p w14:paraId="7A8D686C" w14:textId="720A3BD0" w:rsidR="00E9161E" w:rsidRPr="004A02C7" w:rsidRDefault="00E9161E" w:rsidP="004A02C7">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1DEBFBDC" w14:textId="7E7F3B13" w:rsidR="00E9161E" w:rsidRPr="004A02C7" w:rsidRDefault="00E9161E" w:rsidP="004A02C7">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0129EDE2" w14:textId="76D90419" w:rsidR="00E9161E" w:rsidRPr="004A02C7" w:rsidRDefault="00E9161E" w:rsidP="004A02C7">
            <w:pPr>
              <w:pStyle w:val="TableTextRight-Burden"/>
            </w:pPr>
          </w:p>
        </w:tc>
      </w:tr>
      <w:tr w:rsidR="00E9161E" w:rsidRPr="00E9161E" w14:paraId="53422ED2" w14:textId="77777777" w:rsidTr="00083090">
        <w:tc>
          <w:tcPr>
            <w:tcW w:w="4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BE089" w14:textId="77777777" w:rsidR="00E9161E" w:rsidRPr="00E9161E" w:rsidRDefault="00E9161E" w:rsidP="00CC4DBE">
            <w:pPr>
              <w:pStyle w:val="TableTextLeft-Burden"/>
            </w:pPr>
            <w:r w:rsidRPr="00E9161E">
              <w:t>2. SURVEY AND STUDIES (Not Applicable)</w:t>
            </w:r>
          </w:p>
        </w:tc>
        <w:tc>
          <w:tcPr>
            <w:tcW w:w="1242" w:type="dxa"/>
            <w:tcBorders>
              <w:top w:val="nil"/>
              <w:left w:val="nil"/>
              <w:bottom w:val="single" w:sz="4" w:space="0" w:color="auto"/>
              <w:right w:val="single" w:sz="4" w:space="0" w:color="auto"/>
            </w:tcBorders>
            <w:shd w:val="clear" w:color="000000" w:fill="D8D8D8"/>
            <w:vAlign w:val="center"/>
          </w:tcPr>
          <w:p w14:paraId="3231AFC7" w14:textId="159AB60C" w:rsidR="00E9161E" w:rsidRPr="00E9161E" w:rsidRDefault="00E9161E" w:rsidP="00CC4DBE">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37312E20" w14:textId="480226E3" w:rsidR="00E9161E" w:rsidRPr="00E9161E" w:rsidRDefault="00E9161E" w:rsidP="00CC4DBE">
            <w:pPr>
              <w:pStyle w:val="TableTextRight-Burden"/>
            </w:pPr>
          </w:p>
        </w:tc>
        <w:tc>
          <w:tcPr>
            <w:tcW w:w="1242" w:type="dxa"/>
            <w:tcBorders>
              <w:top w:val="nil"/>
              <w:left w:val="nil"/>
              <w:bottom w:val="single" w:sz="4" w:space="0" w:color="auto"/>
              <w:right w:val="single" w:sz="4" w:space="0" w:color="auto"/>
            </w:tcBorders>
            <w:shd w:val="clear" w:color="000000" w:fill="D8D8D8"/>
            <w:vAlign w:val="center"/>
          </w:tcPr>
          <w:p w14:paraId="74C34A61" w14:textId="39FA0798" w:rsidR="00E9161E" w:rsidRPr="00E9161E" w:rsidRDefault="00E9161E" w:rsidP="00CC4DBE">
            <w:pPr>
              <w:pStyle w:val="TableTextRight-Burden"/>
            </w:pPr>
          </w:p>
        </w:tc>
        <w:tc>
          <w:tcPr>
            <w:tcW w:w="1223" w:type="dxa"/>
            <w:tcBorders>
              <w:top w:val="nil"/>
              <w:left w:val="nil"/>
              <w:bottom w:val="single" w:sz="4" w:space="0" w:color="auto"/>
              <w:right w:val="single" w:sz="4" w:space="0" w:color="auto"/>
            </w:tcBorders>
            <w:shd w:val="clear" w:color="000000" w:fill="D8D8D8"/>
            <w:vAlign w:val="center"/>
          </w:tcPr>
          <w:p w14:paraId="03095365" w14:textId="21AB0C0D" w:rsidR="00E9161E" w:rsidRPr="004A02C7" w:rsidRDefault="00E9161E" w:rsidP="004A02C7">
            <w:pPr>
              <w:pStyle w:val="TableTextRight-Burden"/>
            </w:pPr>
          </w:p>
        </w:tc>
        <w:tc>
          <w:tcPr>
            <w:tcW w:w="1350" w:type="dxa"/>
            <w:tcBorders>
              <w:top w:val="nil"/>
              <w:left w:val="nil"/>
              <w:bottom w:val="single" w:sz="4" w:space="0" w:color="auto"/>
              <w:right w:val="single" w:sz="4" w:space="0" w:color="auto"/>
            </w:tcBorders>
            <w:shd w:val="clear" w:color="000000" w:fill="D8D8D8"/>
            <w:vAlign w:val="center"/>
          </w:tcPr>
          <w:p w14:paraId="17D0E964" w14:textId="12FA26B1" w:rsidR="00E9161E" w:rsidRPr="004A02C7" w:rsidRDefault="00E9161E" w:rsidP="004A02C7">
            <w:pPr>
              <w:pStyle w:val="TableTextRight-Burden"/>
            </w:pPr>
          </w:p>
        </w:tc>
        <w:tc>
          <w:tcPr>
            <w:tcW w:w="1155" w:type="dxa"/>
            <w:tcBorders>
              <w:top w:val="nil"/>
              <w:left w:val="nil"/>
              <w:bottom w:val="single" w:sz="4" w:space="0" w:color="auto"/>
              <w:right w:val="single" w:sz="4" w:space="0" w:color="auto"/>
            </w:tcBorders>
            <w:shd w:val="clear" w:color="000000" w:fill="D8D8D8"/>
            <w:vAlign w:val="center"/>
          </w:tcPr>
          <w:p w14:paraId="44964E70" w14:textId="545D1BA3" w:rsidR="00E9161E" w:rsidRPr="004A02C7" w:rsidRDefault="00E9161E" w:rsidP="004A02C7">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554BF681" w14:textId="6EF8A84A" w:rsidR="00E9161E" w:rsidRPr="004A02C7" w:rsidRDefault="00E9161E" w:rsidP="004A02C7">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5E3C8835" w14:textId="192D03D4" w:rsidR="00E9161E" w:rsidRPr="004A02C7" w:rsidRDefault="00E9161E" w:rsidP="004A02C7">
            <w:pPr>
              <w:pStyle w:val="TableTextRight-Burden"/>
            </w:pPr>
          </w:p>
        </w:tc>
      </w:tr>
      <w:tr w:rsidR="00E9161E" w:rsidRPr="00E9161E" w14:paraId="23BC0DB4" w14:textId="77777777" w:rsidTr="00083090">
        <w:tc>
          <w:tcPr>
            <w:tcW w:w="4675" w:type="dxa"/>
            <w:tcBorders>
              <w:top w:val="nil"/>
              <w:left w:val="single" w:sz="4" w:space="0" w:color="auto"/>
              <w:bottom w:val="single" w:sz="4" w:space="0" w:color="auto"/>
              <w:right w:val="single" w:sz="4" w:space="0" w:color="auto"/>
            </w:tcBorders>
            <w:shd w:val="clear" w:color="auto" w:fill="auto"/>
            <w:vAlign w:val="center"/>
            <w:hideMark/>
          </w:tcPr>
          <w:p w14:paraId="2D0B18C3" w14:textId="77777777" w:rsidR="00E9161E" w:rsidRPr="00E9161E" w:rsidRDefault="00E9161E" w:rsidP="00CC4DBE">
            <w:pPr>
              <w:pStyle w:val="TableTextLeft-Burden"/>
            </w:pPr>
            <w:r w:rsidRPr="00E9161E">
              <w:t>3. ACQUISITION, INSTALLATION, AND UTILIZATION OF TECHNOLOGY AND SYSTEMS (Not Applicable)</w:t>
            </w:r>
          </w:p>
        </w:tc>
        <w:tc>
          <w:tcPr>
            <w:tcW w:w="1242" w:type="dxa"/>
            <w:tcBorders>
              <w:top w:val="nil"/>
              <w:left w:val="nil"/>
              <w:bottom w:val="single" w:sz="4" w:space="0" w:color="auto"/>
              <w:right w:val="single" w:sz="4" w:space="0" w:color="auto"/>
            </w:tcBorders>
            <w:shd w:val="clear" w:color="000000" w:fill="D8D8D8"/>
            <w:vAlign w:val="center"/>
          </w:tcPr>
          <w:p w14:paraId="1DC1CEF4" w14:textId="0CFC8683" w:rsidR="00E9161E" w:rsidRPr="00E9161E" w:rsidRDefault="00E9161E" w:rsidP="00CC4DBE">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2F2D1F83" w14:textId="00EFDCF6" w:rsidR="00E9161E" w:rsidRPr="00E9161E" w:rsidRDefault="00E9161E" w:rsidP="00CC4DBE">
            <w:pPr>
              <w:pStyle w:val="TableTextRight-Burden"/>
            </w:pPr>
          </w:p>
        </w:tc>
        <w:tc>
          <w:tcPr>
            <w:tcW w:w="1242" w:type="dxa"/>
            <w:tcBorders>
              <w:top w:val="nil"/>
              <w:left w:val="nil"/>
              <w:bottom w:val="single" w:sz="4" w:space="0" w:color="auto"/>
              <w:right w:val="single" w:sz="4" w:space="0" w:color="auto"/>
            </w:tcBorders>
            <w:shd w:val="clear" w:color="000000" w:fill="D8D8D8"/>
            <w:vAlign w:val="center"/>
          </w:tcPr>
          <w:p w14:paraId="711EB942" w14:textId="244EDFE3" w:rsidR="00E9161E" w:rsidRPr="00E9161E" w:rsidRDefault="00E9161E" w:rsidP="00CC4DBE">
            <w:pPr>
              <w:pStyle w:val="TableTextRight-Burden"/>
            </w:pPr>
          </w:p>
        </w:tc>
        <w:tc>
          <w:tcPr>
            <w:tcW w:w="1223" w:type="dxa"/>
            <w:tcBorders>
              <w:top w:val="nil"/>
              <w:left w:val="nil"/>
              <w:bottom w:val="single" w:sz="4" w:space="0" w:color="auto"/>
              <w:right w:val="single" w:sz="4" w:space="0" w:color="auto"/>
            </w:tcBorders>
            <w:shd w:val="clear" w:color="000000" w:fill="D8D8D8"/>
            <w:vAlign w:val="center"/>
          </w:tcPr>
          <w:p w14:paraId="42B5FC8E" w14:textId="114F2519" w:rsidR="00E9161E" w:rsidRPr="004A02C7" w:rsidRDefault="00E9161E" w:rsidP="004A02C7">
            <w:pPr>
              <w:pStyle w:val="TableTextRight-Burden"/>
            </w:pPr>
          </w:p>
        </w:tc>
        <w:tc>
          <w:tcPr>
            <w:tcW w:w="1350" w:type="dxa"/>
            <w:tcBorders>
              <w:top w:val="nil"/>
              <w:left w:val="nil"/>
              <w:bottom w:val="single" w:sz="4" w:space="0" w:color="auto"/>
              <w:right w:val="single" w:sz="4" w:space="0" w:color="auto"/>
            </w:tcBorders>
            <w:shd w:val="clear" w:color="000000" w:fill="D8D8D8"/>
            <w:vAlign w:val="center"/>
          </w:tcPr>
          <w:p w14:paraId="5AA6BCDC" w14:textId="5D5E9A37" w:rsidR="00E9161E" w:rsidRPr="004A02C7" w:rsidRDefault="00E9161E" w:rsidP="004A02C7">
            <w:pPr>
              <w:pStyle w:val="TableTextRight-Burden"/>
            </w:pPr>
          </w:p>
        </w:tc>
        <w:tc>
          <w:tcPr>
            <w:tcW w:w="1155" w:type="dxa"/>
            <w:tcBorders>
              <w:top w:val="nil"/>
              <w:left w:val="nil"/>
              <w:bottom w:val="single" w:sz="4" w:space="0" w:color="auto"/>
              <w:right w:val="single" w:sz="4" w:space="0" w:color="auto"/>
            </w:tcBorders>
            <w:shd w:val="clear" w:color="000000" w:fill="D8D8D8"/>
            <w:vAlign w:val="center"/>
          </w:tcPr>
          <w:p w14:paraId="49A825A1" w14:textId="71DA438E" w:rsidR="00E9161E" w:rsidRPr="004A02C7" w:rsidRDefault="00E9161E" w:rsidP="004A02C7">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52B865EF" w14:textId="116F31E8" w:rsidR="00E9161E" w:rsidRPr="004A02C7" w:rsidRDefault="00E9161E" w:rsidP="004A02C7">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072B5081" w14:textId="6B46AD31" w:rsidR="00E9161E" w:rsidRPr="004A02C7" w:rsidRDefault="00E9161E" w:rsidP="004A02C7">
            <w:pPr>
              <w:pStyle w:val="TableTextRight-Burden"/>
            </w:pPr>
          </w:p>
        </w:tc>
      </w:tr>
      <w:tr w:rsidR="00E9161E" w:rsidRPr="00E9161E" w14:paraId="45A09A4E" w14:textId="77777777" w:rsidTr="00083090">
        <w:tc>
          <w:tcPr>
            <w:tcW w:w="4675" w:type="dxa"/>
            <w:tcBorders>
              <w:top w:val="nil"/>
              <w:left w:val="single" w:sz="4" w:space="0" w:color="auto"/>
              <w:bottom w:val="single" w:sz="4" w:space="0" w:color="auto"/>
              <w:right w:val="single" w:sz="4" w:space="0" w:color="auto"/>
            </w:tcBorders>
            <w:shd w:val="clear" w:color="auto" w:fill="auto"/>
            <w:vAlign w:val="center"/>
            <w:hideMark/>
          </w:tcPr>
          <w:p w14:paraId="006665A5" w14:textId="77777777" w:rsidR="00E9161E" w:rsidRPr="00E9161E" w:rsidRDefault="00E9161E" w:rsidP="00CC4DBE">
            <w:pPr>
              <w:pStyle w:val="TableTextLeft-Burden"/>
            </w:pPr>
            <w:r w:rsidRPr="00E9161E">
              <w:t>4. REPORT REQUIREMENTS</w:t>
            </w:r>
          </w:p>
        </w:tc>
        <w:tc>
          <w:tcPr>
            <w:tcW w:w="1242" w:type="dxa"/>
            <w:tcBorders>
              <w:top w:val="nil"/>
              <w:left w:val="nil"/>
              <w:bottom w:val="single" w:sz="4" w:space="0" w:color="auto"/>
              <w:right w:val="single" w:sz="4" w:space="0" w:color="auto"/>
            </w:tcBorders>
            <w:shd w:val="clear" w:color="000000" w:fill="D8D8D8"/>
            <w:vAlign w:val="center"/>
          </w:tcPr>
          <w:p w14:paraId="735627B5" w14:textId="20D178D5" w:rsidR="00E9161E" w:rsidRPr="00E9161E" w:rsidRDefault="00E9161E" w:rsidP="00CC4DBE">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4B3E3082" w14:textId="1213E8AA" w:rsidR="00E9161E" w:rsidRPr="00E9161E" w:rsidRDefault="00E9161E" w:rsidP="00CC4DBE">
            <w:pPr>
              <w:pStyle w:val="TableTextRight-Burden"/>
            </w:pPr>
          </w:p>
        </w:tc>
        <w:tc>
          <w:tcPr>
            <w:tcW w:w="1242" w:type="dxa"/>
            <w:tcBorders>
              <w:top w:val="nil"/>
              <w:left w:val="nil"/>
              <w:bottom w:val="single" w:sz="4" w:space="0" w:color="auto"/>
              <w:right w:val="single" w:sz="4" w:space="0" w:color="auto"/>
            </w:tcBorders>
            <w:shd w:val="clear" w:color="000000" w:fill="D8D8D8"/>
            <w:vAlign w:val="center"/>
          </w:tcPr>
          <w:p w14:paraId="2BD7C6B7" w14:textId="4F62884E" w:rsidR="00E9161E" w:rsidRPr="00E9161E" w:rsidRDefault="00E9161E" w:rsidP="00CC4DBE">
            <w:pPr>
              <w:pStyle w:val="TableTextRight-Burden"/>
            </w:pPr>
          </w:p>
        </w:tc>
        <w:tc>
          <w:tcPr>
            <w:tcW w:w="1223" w:type="dxa"/>
            <w:tcBorders>
              <w:top w:val="nil"/>
              <w:left w:val="nil"/>
              <w:bottom w:val="single" w:sz="4" w:space="0" w:color="auto"/>
              <w:right w:val="single" w:sz="4" w:space="0" w:color="auto"/>
            </w:tcBorders>
            <w:shd w:val="clear" w:color="000000" w:fill="D8D8D8"/>
            <w:vAlign w:val="center"/>
          </w:tcPr>
          <w:p w14:paraId="0FEF2C01" w14:textId="0040C216" w:rsidR="00E9161E" w:rsidRPr="004A02C7" w:rsidRDefault="00E9161E" w:rsidP="004A02C7">
            <w:pPr>
              <w:pStyle w:val="TableTextRight-Burden"/>
            </w:pPr>
          </w:p>
        </w:tc>
        <w:tc>
          <w:tcPr>
            <w:tcW w:w="1350" w:type="dxa"/>
            <w:tcBorders>
              <w:top w:val="nil"/>
              <w:left w:val="nil"/>
              <w:bottom w:val="single" w:sz="4" w:space="0" w:color="auto"/>
              <w:right w:val="single" w:sz="4" w:space="0" w:color="auto"/>
            </w:tcBorders>
            <w:shd w:val="clear" w:color="000000" w:fill="D8D8D8"/>
            <w:vAlign w:val="center"/>
          </w:tcPr>
          <w:p w14:paraId="6577EDD0" w14:textId="0DF4B7ED" w:rsidR="00E9161E" w:rsidRPr="004A02C7" w:rsidRDefault="00E9161E" w:rsidP="004A02C7">
            <w:pPr>
              <w:pStyle w:val="TableTextRight-Burden"/>
            </w:pPr>
          </w:p>
        </w:tc>
        <w:tc>
          <w:tcPr>
            <w:tcW w:w="1155" w:type="dxa"/>
            <w:tcBorders>
              <w:top w:val="nil"/>
              <w:left w:val="nil"/>
              <w:bottom w:val="single" w:sz="4" w:space="0" w:color="auto"/>
              <w:right w:val="single" w:sz="4" w:space="0" w:color="auto"/>
            </w:tcBorders>
            <w:shd w:val="clear" w:color="000000" w:fill="D8D8D8"/>
            <w:vAlign w:val="center"/>
          </w:tcPr>
          <w:p w14:paraId="44EB4165" w14:textId="09DA1217" w:rsidR="00E9161E" w:rsidRPr="004A02C7" w:rsidRDefault="00E9161E" w:rsidP="004A02C7">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10388AB3" w14:textId="5EE171DD" w:rsidR="00E9161E" w:rsidRPr="004A02C7" w:rsidRDefault="00E9161E" w:rsidP="004A02C7">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642DA1AF" w14:textId="4EC10B75" w:rsidR="00E9161E" w:rsidRPr="004A02C7" w:rsidRDefault="00E9161E" w:rsidP="004A02C7">
            <w:pPr>
              <w:pStyle w:val="TableTextRight-Burden"/>
            </w:pPr>
          </w:p>
        </w:tc>
      </w:tr>
      <w:tr w:rsidR="00DF5258" w:rsidRPr="00E9161E" w14:paraId="0FFFE8FF" w14:textId="77777777" w:rsidTr="00083090">
        <w:tc>
          <w:tcPr>
            <w:tcW w:w="4675" w:type="dxa"/>
            <w:tcBorders>
              <w:top w:val="nil"/>
              <w:left w:val="single" w:sz="4" w:space="0" w:color="auto"/>
              <w:bottom w:val="single" w:sz="4" w:space="0" w:color="auto"/>
              <w:right w:val="single" w:sz="4" w:space="0" w:color="auto"/>
            </w:tcBorders>
            <w:shd w:val="clear" w:color="auto" w:fill="auto"/>
            <w:vAlign w:val="center"/>
            <w:hideMark/>
          </w:tcPr>
          <w:p w14:paraId="3D4C731C" w14:textId="77777777" w:rsidR="00DF5258" w:rsidRPr="00E9161E" w:rsidRDefault="00DF5258" w:rsidP="00DF5258">
            <w:pPr>
              <w:pStyle w:val="TableTextLeft-Burden"/>
            </w:pPr>
            <w:r w:rsidRPr="00E9161E">
              <w:t>A. Read Instructions</w:t>
            </w:r>
          </w:p>
        </w:tc>
        <w:tc>
          <w:tcPr>
            <w:tcW w:w="1242" w:type="dxa"/>
            <w:tcBorders>
              <w:top w:val="single" w:sz="4" w:space="0" w:color="auto"/>
              <w:left w:val="nil"/>
              <w:bottom w:val="single" w:sz="4" w:space="0" w:color="auto"/>
              <w:right w:val="single" w:sz="4" w:space="0" w:color="auto"/>
            </w:tcBorders>
            <w:shd w:val="clear" w:color="auto" w:fill="D8D8D8"/>
            <w:vAlign w:val="center"/>
          </w:tcPr>
          <w:p w14:paraId="38E8CBAB" w14:textId="63F73574" w:rsidR="00DF5258" w:rsidRPr="00E9161E" w:rsidRDefault="00DF5258" w:rsidP="00DF5258">
            <w:pPr>
              <w:pStyle w:val="TableTextRight-Burden"/>
            </w:pPr>
          </w:p>
        </w:tc>
        <w:tc>
          <w:tcPr>
            <w:tcW w:w="1243" w:type="dxa"/>
            <w:tcBorders>
              <w:top w:val="single" w:sz="4" w:space="0" w:color="auto"/>
              <w:left w:val="nil"/>
              <w:bottom w:val="single" w:sz="4" w:space="0" w:color="auto"/>
              <w:right w:val="single" w:sz="4" w:space="0" w:color="auto"/>
            </w:tcBorders>
            <w:shd w:val="clear" w:color="auto" w:fill="D8D8D8"/>
            <w:vAlign w:val="center"/>
          </w:tcPr>
          <w:p w14:paraId="55DA386F" w14:textId="7B3CBBA2" w:rsidR="00DF5258" w:rsidRPr="00E9161E" w:rsidRDefault="00DF5258" w:rsidP="00DF5258">
            <w:pPr>
              <w:pStyle w:val="TableTextRight-Burden"/>
            </w:pPr>
          </w:p>
        </w:tc>
        <w:tc>
          <w:tcPr>
            <w:tcW w:w="1242" w:type="dxa"/>
            <w:tcBorders>
              <w:top w:val="single" w:sz="4" w:space="0" w:color="auto"/>
              <w:left w:val="nil"/>
              <w:bottom w:val="single" w:sz="4" w:space="0" w:color="auto"/>
              <w:right w:val="single" w:sz="4" w:space="0" w:color="auto"/>
            </w:tcBorders>
            <w:shd w:val="clear" w:color="auto" w:fill="D8D8D8"/>
            <w:vAlign w:val="center"/>
          </w:tcPr>
          <w:p w14:paraId="2FB3E7F2" w14:textId="5B984284" w:rsidR="00DF5258" w:rsidRPr="00E9161E" w:rsidRDefault="00DF5258" w:rsidP="00DF5258">
            <w:pPr>
              <w:pStyle w:val="TableTextRight-Burden"/>
            </w:pPr>
          </w:p>
        </w:tc>
        <w:tc>
          <w:tcPr>
            <w:tcW w:w="1223" w:type="dxa"/>
            <w:tcBorders>
              <w:top w:val="single" w:sz="4" w:space="0" w:color="auto"/>
              <w:left w:val="single" w:sz="4" w:space="0" w:color="auto"/>
              <w:bottom w:val="single" w:sz="4" w:space="0" w:color="auto"/>
              <w:right w:val="single" w:sz="4" w:space="0" w:color="auto"/>
            </w:tcBorders>
            <w:shd w:val="clear" w:color="auto" w:fill="D8D8D8"/>
            <w:vAlign w:val="center"/>
          </w:tcPr>
          <w:p w14:paraId="23D5FECA" w14:textId="0F521910" w:rsidR="00DF5258" w:rsidRPr="004A02C7" w:rsidRDefault="00DF5258" w:rsidP="00DF5258">
            <w:pPr>
              <w:pStyle w:val="TableTextRight-Burden"/>
            </w:pPr>
          </w:p>
        </w:tc>
        <w:tc>
          <w:tcPr>
            <w:tcW w:w="1350" w:type="dxa"/>
            <w:tcBorders>
              <w:top w:val="single" w:sz="4" w:space="0" w:color="auto"/>
              <w:left w:val="nil"/>
              <w:bottom w:val="single" w:sz="4" w:space="0" w:color="auto"/>
              <w:right w:val="single" w:sz="4" w:space="0" w:color="auto"/>
            </w:tcBorders>
            <w:shd w:val="clear" w:color="auto" w:fill="D8D8D8"/>
            <w:vAlign w:val="center"/>
          </w:tcPr>
          <w:p w14:paraId="639C56FC" w14:textId="55288A65" w:rsidR="00DF5258" w:rsidRPr="004A02C7" w:rsidRDefault="00DF5258" w:rsidP="00DF5258">
            <w:pPr>
              <w:pStyle w:val="TableTextRight-Burden"/>
            </w:pPr>
          </w:p>
        </w:tc>
        <w:tc>
          <w:tcPr>
            <w:tcW w:w="1155" w:type="dxa"/>
            <w:tcBorders>
              <w:top w:val="single" w:sz="4" w:space="0" w:color="auto"/>
              <w:left w:val="nil"/>
              <w:bottom w:val="single" w:sz="4" w:space="0" w:color="auto"/>
              <w:right w:val="single" w:sz="4" w:space="0" w:color="auto"/>
            </w:tcBorders>
            <w:shd w:val="clear" w:color="auto" w:fill="D8D8D8"/>
            <w:vAlign w:val="center"/>
          </w:tcPr>
          <w:p w14:paraId="7FC1E5F2" w14:textId="2C9E6F82" w:rsidR="00DF5258" w:rsidRPr="004A02C7" w:rsidRDefault="00DF5258" w:rsidP="00DF5258">
            <w:pPr>
              <w:pStyle w:val="TableTextRight-Burden"/>
            </w:pPr>
          </w:p>
        </w:tc>
        <w:tc>
          <w:tcPr>
            <w:tcW w:w="1243" w:type="dxa"/>
            <w:tcBorders>
              <w:top w:val="single" w:sz="4" w:space="0" w:color="auto"/>
              <w:left w:val="nil"/>
              <w:bottom w:val="single" w:sz="4" w:space="0" w:color="auto"/>
              <w:right w:val="single" w:sz="4" w:space="0" w:color="auto"/>
            </w:tcBorders>
            <w:shd w:val="clear" w:color="auto" w:fill="D8D8D8"/>
            <w:vAlign w:val="center"/>
          </w:tcPr>
          <w:p w14:paraId="4C9F8467" w14:textId="0ECEBFBD" w:rsidR="00DF5258" w:rsidRPr="004A02C7" w:rsidRDefault="00DF5258" w:rsidP="00DF5258">
            <w:pPr>
              <w:pStyle w:val="TableTextRight-Burden"/>
            </w:pPr>
          </w:p>
        </w:tc>
        <w:tc>
          <w:tcPr>
            <w:tcW w:w="1243" w:type="dxa"/>
            <w:tcBorders>
              <w:top w:val="single" w:sz="4" w:space="0" w:color="auto"/>
              <w:left w:val="nil"/>
              <w:bottom w:val="single" w:sz="4" w:space="0" w:color="auto"/>
              <w:right w:val="single" w:sz="4" w:space="0" w:color="auto"/>
            </w:tcBorders>
            <w:shd w:val="clear" w:color="auto" w:fill="D8D8D8"/>
            <w:vAlign w:val="center"/>
          </w:tcPr>
          <w:p w14:paraId="1EA73744" w14:textId="1F154A43" w:rsidR="00DF5258" w:rsidRPr="004A02C7" w:rsidRDefault="00DF5258" w:rsidP="00DF5258">
            <w:pPr>
              <w:pStyle w:val="TableTextRight-Burden"/>
            </w:pPr>
          </w:p>
        </w:tc>
      </w:tr>
      <w:tr w:rsidR="00EE21A4" w:rsidRPr="00E9161E" w14:paraId="5FCD257D" w14:textId="77777777" w:rsidTr="00083090">
        <w:tc>
          <w:tcPr>
            <w:tcW w:w="4675" w:type="dxa"/>
            <w:tcBorders>
              <w:top w:val="nil"/>
              <w:left w:val="single" w:sz="4" w:space="0" w:color="auto"/>
              <w:bottom w:val="single" w:sz="4" w:space="0" w:color="auto"/>
              <w:right w:val="single" w:sz="4" w:space="0" w:color="auto"/>
            </w:tcBorders>
            <w:shd w:val="clear" w:color="auto" w:fill="auto"/>
          </w:tcPr>
          <w:p w14:paraId="2518886B" w14:textId="329CAFCC" w:rsidR="00EE21A4" w:rsidRPr="00E9161E" w:rsidRDefault="00EE21A4" w:rsidP="00EE21A4">
            <w:pPr>
              <w:pStyle w:val="TableTextIndent1-Burden"/>
            </w:pPr>
            <w:r w:rsidRPr="002F469B">
              <w:t>PCWP facilities</w:t>
            </w:r>
          </w:p>
        </w:tc>
        <w:tc>
          <w:tcPr>
            <w:tcW w:w="1242" w:type="dxa"/>
            <w:tcBorders>
              <w:top w:val="nil"/>
              <w:left w:val="nil"/>
              <w:bottom w:val="single" w:sz="4" w:space="0" w:color="auto"/>
              <w:right w:val="single" w:sz="4" w:space="0" w:color="auto"/>
            </w:tcBorders>
            <w:shd w:val="clear" w:color="auto" w:fill="auto"/>
          </w:tcPr>
          <w:p w14:paraId="393634C2" w14:textId="463E8229" w:rsidR="00EE21A4" w:rsidRPr="00911388" w:rsidRDefault="00EE21A4" w:rsidP="00EE21A4">
            <w:pPr>
              <w:pStyle w:val="TableTextRight-Burden"/>
            </w:pPr>
            <w:r w:rsidRPr="000C267B">
              <w:t>10</w:t>
            </w:r>
          </w:p>
        </w:tc>
        <w:tc>
          <w:tcPr>
            <w:tcW w:w="1243" w:type="dxa"/>
            <w:tcBorders>
              <w:top w:val="nil"/>
              <w:left w:val="nil"/>
              <w:bottom w:val="single" w:sz="4" w:space="0" w:color="auto"/>
              <w:right w:val="single" w:sz="4" w:space="0" w:color="auto"/>
            </w:tcBorders>
            <w:shd w:val="clear" w:color="auto" w:fill="auto"/>
          </w:tcPr>
          <w:p w14:paraId="6F92BFAE" w14:textId="0FD6BEB1" w:rsidR="00EE21A4" w:rsidRPr="00911388" w:rsidRDefault="00EE21A4" w:rsidP="00EE21A4">
            <w:pPr>
              <w:pStyle w:val="TableTextRight-Burden"/>
            </w:pPr>
            <w:r w:rsidRPr="000C267B">
              <w:t>1</w:t>
            </w:r>
          </w:p>
        </w:tc>
        <w:tc>
          <w:tcPr>
            <w:tcW w:w="1242" w:type="dxa"/>
            <w:tcBorders>
              <w:top w:val="nil"/>
              <w:left w:val="nil"/>
              <w:bottom w:val="single" w:sz="4" w:space="0" w:color="auto"/>
              <w:right w:val="single" w:sz="4" w:space="0" w:color="auto"/>
            </w:tcBorders>
            <w:shd w:val="clear" w:color="auto" w:fill="auto"/>
          </w:tcPr>
          <w:p w14:paraId="6BD061CE" w14:textId="0A819BC6" w:rsidR="00EE21A4" w:rsidRPr="00911388" w:rsidRDefault="00EE21A4" w:rsidP="00EE21A4">
            <w:pPr>
              <w:pStyle w:val="TableTextRight-Burden"/>
            </w:pPr>
            <w:r w:rsidRPr="000C267B">
              <w:t>10</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344515BF" w14:textId="186AE4E5" w:rsidR="00EE21A4" w:rsidRPr="004A02C7" w:rsidRDefault="00EE21A4" w:rsidP="00EE21A4">
            <w:pPr>
              <w:pStyle w:val="TableTextRight-Burden"/>
            </w:pPr>
            <w:r w:rsidRPr="00950FC2">
              <w:t>186</w:t>
            </w:r>
          </w:p>
        </w:tc>
        <w:tc>
          <w:tcPr>
            <w:tcW w:w="1350" w:type="dxa"/>
            <w:tcBorders>
              <w:top w:val="single" w:sz="4" w:space="0" w:color="auto"/>
              <w:left w:val="nil"/>
              <w:bottom w:val="single" w:sz="4" w:space="0" w:color="auto"/>
              <w:right w:val="single" w:sz="4" w:space="0" w:color="auto"/>
            </w:tcBorders>
            <w:shd w:val="clear" w:color="auto" w:fill="auto"/>
          </w:tcPr>
          <w:p w14:paraId="5960083E" w14:textId="57DBEA46" w:rsidR="00EE21A4" w:rsidRPr="004A02C7" w:rsidRDefault="00EE21A4" w:rsidP="00EE21A4">
            <w:pPr>
              <w:pStyle w:val="TableTextRight-Burden"/>
            </w:pPr>
            <w:r w:rsidRPr="00950FC2">
              <w:t>1,860</w:t>
            </w:r>
          </w:p>
        </w:tc>
        <w:tc>
          <w:tcPr>
            <w:tcW w:w="1155" w:type="dxa"/>
            <w:tcBorders>
              <w:top w:val="single" w:sz="4" w:space="0" w:color="auto"/>
              <w:left w:val="nil"/>
              <w:bottom w:val="single" w:sz="4" w:space="0" w:color="auto"/>
              <w:right w:val="single" w:sz="4" w:space="0" w:color="auto"/>
            </w:tcBorders>
            <w:shd w:val="clear" w:color="auto" w:fill="auto"/>
          </w:tcPr>
          <w:p w14:paraId="542913C8" w14:textId="2AB76B67" w:rsidR="00EE21A4" w:rsidRPr="004A02C7" w:rsidRDefault="00EE21A4" w:rsidP="00EE21A4">
            <w:pPr>
              <w:pStyle w:val="TableTextRight-Burden"/>
            </w:pPr>
            <w:r w:rsidRPr="00950FC2">
              <w:t>93</w:t>
            </w:r>
          </w:p>
        </w:tc>
        <w:tc>
          <w:tcPr>
            <w:tcW w:w="1243" w:type="dxa"/>
            <w:tcBorders>
              <w:top w:val="single" w:sz="4" w:space="0" w:color="auto"/>
              <w:left w:val="nil"/>
              <w:bottom w:val="single" w:sz="4" w:space="0" w:color="auto"/>
              <w:right w:val="single" w:sz="4" w:space="0" w:color="auto"/>
            </w:tcBorders>
            <w:shd w:val="clear" w:color="auto" w:fill="auto"/>
          </w:tcPr>
          <w:p w14:paraId="46E8B0A7" w14:textId="59A01E71" w:rsidR="00EE21A4" w:rsidRPr="004A02C7" w:rsidRDefault="00EE21A4" w:rsidP="00EE21A4">
            <w:pPr>
              <w:pStyle w:val="TableTextRight-Burden"/>
            </w:pPr>
            <w:r w:rsidRPr="00950FC2">
              <w:t>186</w:t>
            </w:r>
          </w:p>
        </w:tc>
        <w:tc>
          <w:tcPr>
            <w:tcW w:w="1243" w:type="dxa"/>
            <w:tcBorders>
              <w:top w:val="single" w:sz="4" w:space="0" w:color="auto"/>
              <w:left w:val="nil"/>
              <w:bottom w:val="single" w:sz="4" w:space="0" w:color="auto"/>
              <w:right w:val="single" w:sz="4" w:space="0" w:color="auto"/>
            </w:tcBorders>
            <w:shd w:val="clear" w:color="auto" w:fill="auto"/>
          </w:tcPr>
          <w:p w14:paraId="67CDDE11" w14:textId="6EBCAE96" w:rsidR="00EE21A4" w:rsidRPr="004A02C7" w:rsidRDefault="00EE21A4" w:rsidP="00EE21A4">
            <w:pPr>
              <w:pStyle w:val="TableTextRight-Burden"/>
            </w:pPr>
            <w:r w:rsidRPr="00950FC2">
              <w:t xml:space="preserve">$150,883 </w:t>
            </w:r>
          </w:p>
        </w:tc>
      </w:tr>
      <w:tr w:rsidR="00EE21A4" w:rsidRPr="00E9161E" w14:paraId="2C09F8D6" w14:textId="77777777" w:rsidTr="00083090">
        <w:tc>
          <w:tcPr>
            <w:tcW w:w="4675" w:type="dxa"/>
            <w:tcBorders>
              <w:top w:val="nil"/>
              <w:left w:val="single" w:sz="4" w:space="0" w:color="auto"/>
              <w:bottom w:val="single" w:sz="4" w:space="0" w:color="auto"/>
              <w:right w:val="single" w:sz="4" w:space="0" w:color="auto"/>
            </w:tcBorders>
            <w:shd w:val="clear" w:color="auto" w:fill="auto"/>
          </w:tcPr>
          <w:p w14:paraId="22E28B8D" w14:textId="4010ED31" w:rsidR="00EE21A4" w:rsidRPr="00E9161E" w:rsidRDefault="00EE21A4" w:rsidP="00EE21A4">
            <w:pPr>
              <w:pStyle w:val="TableTextIndent1-Burden"/>
            </w:pPr>
            <w:r w:rsidRPr="002F469B">
              <w:t>Lumber mills with dry kilns</w:t>
            </w:r>
          </w:p>
        </w:tc>
        <w:tc>
          <w:tcPr>
            <w:tcW w:w="1242" w:type="dxa"/>
            <w:tcBorders>
              <w:top w:val="nil"/>
              <w:left w:val="nil"/>
              <w:bottom w:val="single" w:sz="4" w:space="0" w:color="auto"/>
              <w:right w:val="single" w:sz="4" w:space="0" w:color="auto"/>
            </w:tcBorders>
            <w:shd w:val="clear" w:color="auto" w:fill="auto"/>
          </w:tcPr>
          <w:p w14:paraId="68105964" w14:textId="5731305E" w:rsidR="00EE21A4" w:rsidRPr="00911388" w:rsidRDefault="00EE21A4" w:rsidP="00EE21A4">
            <w:pPr>
              <w:pStyle w:val="TableTextRight-Burden"/>
            </w:pPr>
            <w:r w:rsidRPr="000C267B">
              <w:t>5</w:t>
            </w:r>
          </w:p>
        </w:tc>
        <w:tc>
          <w:tcPr>
            <w:tcW w:w="1243" w:type="dxa"/>
            <w:tcBorders>
              <w:top w:val="nil"/>
              <w:left w:val="nil"/>
              <w:bottom w:val="single" w:sz="4" w:space="0" w:color="auto"/>
              <w:right w:val="single" w:sz="4" w:space="0" w:color="auto"/>
            </w:tcBorders>
            <w:shd w:val="clear" w:color="auto" w:fill="auto"/>
          </w:tcPr>
          <w:p w14:paraId="564241DF" w14:textId="09C93B7B" w:rsidR="00EE21A4" w:rsidRPr="00911388" w:rsidRDefault="00EE21A4" w:rsidP="00EE21A4">
            <w:pPr>
              <w:pStyle w:val="TableTextRight-Burden"/>
            </w:pPr>
            <w:r w:rsidRPr="000C267B">
              <w:t>1</w:t>
            </w:r>
          </w:p>
        </w:tc>
        <w:tc>
          <w:tcPr>
            <w:tcW w:w="1242" w:type="dxa"/>
            <w:tcBorders>
              <w:top w:val="nil"/>
              <w:left w:val="nil"/>
              <w:bottom w:val="single" w:sz="4" w:space="0" w:color="auto"/>
              <w:right w:val="single" w:sz="4" w:space="0" w:color="auto"/>
            </w:tcBorders>
            <w:shd w:val="clear" w:color="auto" w:fill="auto"/>
          </w:tcPr>
          <w:p w14:paraId="46E5DB1B" w14:textId="5B584868" w:rsidR="00EE21A4" w:rsidRPr="00911388" w:rsidRDefault="00EE21A4" w:rsidP="00EE21A4">
            <w:pPr>
              <w:pStyle w:val="TableTextRight-Burden"/>
            </w:pPr>
            <w:r w:rsidRPr="000C267B">
              <w:t>5</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7B138581" w14:textId="1A70E2DD" w:rsidR="00EE21A4" w:rsidRPr="004A02C7" w:rsidRDefault="00EE21A4" w:rsidP="00EE21A4">
            <w:pPr>
              <w:pStyle w:val="TableTextRight-Burden"/>
            </w:pPr>
            <w:r w:rsidRPr="00950FC2">
              <w:t>205</w:t>
            </w:r>
          </w:p>
        </w:tc>
        <w:tc>
          <w:tcPr>
            <w:tcW w:w="1350" w:type="dxa"/>
            <w:tcBorders>
              <w:top w:val="single" w:sz="4" w:space="0" w:color="auto"/>
              <w:left w:val="nil"/>
              <w:bottom w:val="single" w:sz="4" w:space="0" w:color="auto"/>
              <w:right w:val="single" w:sz="4" w:space="0" w:color="auto"/>
            </w:tcBorders>
            <w:shd w:val="clear" w:color="auto" w:fill="auto"/>
          </w:tcPr>
          <w:p w14:paraId="36F598E1" w14:textId="77BC0AA1" w:rsidR="00EE21A4" w:rsidRPr="004A02C7" w:rsidRDefault="00EE21A4" w:rsidP="00EE21A4">
            <w:pPr>
              <w:pStyle w:val="TableTextRight-Burden"/>
            </w:pPr>
            <w:r w:rsidRPr="00950FC2">
              <w:t>1,025</w:t>
            </w:r>
          </w:p>
        </w:tc>
        <w:tc>
          <w:tcPr>
            <w:tcW w:w="1155" w:type="dxa"/>
            <w:tcBorders>
              <w:top w:val="single" w:sz="4" w:space="0" w:color="auto"/>
              <w:left w:val="nil"/>
              <w:bottom w:val="single" w:sz="4" w:space="0" w:color="auto"/>
              <w:right w:val="single" w:sz="4" w:space="0" w:color="auto"/>
            </w:tcBorders>
            <w:shd w:val="clear" w:color="auto" w:fill="auto"/>
          </w:tcPr>
          <w:p w14:paraId="06F6C2B0" w14:textId="03F0B43C" w:rsidR="00EE21A4" w:rsidRPr="004A02C7" w:rsidRDefault="00EE21A4" w:rsidP="00EE21A4">
            <w:pPr>
              <w:pStyle w:val="TableTextRight-Burden"/>
            </w:pPr>
            <w:r w:rsidRPr="00950FC2">
              <w:t>51</w:t>
            </w:r>
          </w:p>
        </w:tc>
        <w:tc>
          <w:tcPr>
            <w:tcW w:w="1243" w:type="dxa"/>
            <w:tcBorders>
              <w:top w:val="single" w:sz="4" w:space="0" w:color="auto"/>
              <w:left w:val="nil"/>
              <w:bottom w:val="single" w:sz="4" w:space="0" w:color="auto"/>
              <w:right w:val="single" w:sz="4" w:space="0" w:color="auto"/>
            </w:tcBorders>
            <w:shd w:val="clear" w:color="auto" w:fill="auto"/>
          </w:tcPr>
          <w:p w14:paraId="43979056" w14:textId="443F0B15" w:rsidR="00EE21A4" w:rsidRPr="004A02C7" w:rsidRDefault="00EE21A4" w:rsidP="00EE21A4">
            <w:pPr>
              <w:pStyle w:val="TableTextRight-Burden"/>
            </w:pPr>
            <w:r w:rsidRPr="00950FC2">
              <w:t>102.5</w:t>
            </w:r>
          </w:p>
        </w:tc>
        <w:tc>
          <w:tcPr>
            <w:tcW w:w="1243" w:type="dxa"/>
            <w:tcBorders>
              <w:top w:val="single" w:sz="4" w:space="0" w:color="auto"/>
              <w:left w:val="nil"/>
              <w:bottom w:val="single" w:sz="4" w:space="0" w:color="auto"/>
              <w:right w:val="single" w:sz="4" w:space="0" w:color="auto"/>
            </w:tcBorders>
            <w:shd w:val="clear" w:color="auto" w:fill="auto"/>
          </w:tcPr>
          <w:p w14:paraId="28890823" w14:textId="419901B1" w:rsidR="00EE21A4" w:rsidRPr="004A02C7" w:rsidRDefault="00EE21A4" w:rsidP="00EE21A4">
            <w:pPr>
              <w:pStyle w:val="TableTextRight-Burden"/>
            </w:pPr>
            <w:r w:rsidRPr="00950FC2">
              <w:t xml:space="preserve">$83,148 </w:t>
            </w:r>
          </w:p>
        </w:tc>
      </w:tr>
      <w:tr w:rsidR="00E9161E" w:rsidRPr="00E9161E" w14:paraId="2A1D33A8" w14:textId="77777777" w:rsidTr="00083090">
        <w:tc>
          <w:tcPr>
            <w:tcW w:w="4675" w:type="dxa"/>
            <w:tcBorders>
              <w:top w:val="nil"/>
              <w:left w:val="single" w:sz="4" w:space="0" w:color="auto"/>
              <w:bottom w:val="single" w:sz="4" w:space="0" w:color="auto"/>
              <w:right w:val="single" w:sz="4" w:space="0" w:color="auto"/>
            </w:tcBorders>
            <w:shd w:val="clear" w:color="auto" w:fill="auto"/>
            <w:vAlign w:val="center"/>
            <w:hideMark/>
          </w:tcPr>
          <w:p w14:paraId="679A4870" w14:textId="77777777" w:rsidR="00E9161E" w:rsidRPr="00E9161E" w:rsidRDefault="00E9161E" w:rsidP="00CC4DBE">
            <w:pPr>
              <w:pStyle w:val="TableTextLeft-Burden"/>
            </w:pPr>
            <w:r w:rsidRPr="00E9161E">
              <w:t>B. Required Activities</w:t>
            </w:r>
          </w:p>
        </w:tc>
        <w:tc>
          <w:tcPr>
            <w:tcW w:w="1242" w:type="dxa"/>
            <w:tcBorders>
              <w:top w:val="nil"/>
              <w:left w:val="nil"/>
              <w:bottom w:val="single" w:sz="4" w:space="0" w:color="auto"/>
              <w:right w:val="single" w:sz="4" w:space="0" w:color="auto"/>
            </w:tcBorders>
            <w:shd w:val="clear" w:color="000000" w:fill="D8D8D8"/>
            <w:vAlign w:val="center"/>
          </w:tcPr>
          <w:p w14:paraId="24D9EDAB" w14:textId="6E0C3342" w:rsidR="00E9161E" w:rsidRPr="00E9161E" w:rsidRDefault="00E9161E" w:rsidP="00CC4DBE">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577F920F" w14:textId="5E90A4B9" w:rsidR="00E9161E" w:rsidRPr="00E9161E" w:rsidRDefault="00E9161E" w:rsidP="00CC4DBE">
            <w:pPr>
              <w:pStyle w:val="TableTextRight-Burden"/>
            </w:pPr>
          </w:p>
        </w:tc>
        <w:tc>
          <w:tcPr>
            <w:tcW w:w="1242" w:type="dxa"/>
            <w:tcBorders>
              <w:top w:val="nil"/>
              <w:left w:val="nil"/>
              <w:bottom w:val="single" w:sz="4" w:space="0" w:color="auto"/>
              <w:right w:val="single" w:sz="4" w:space="0" w:color="auto"/>
            </w:tcBorders>
            <w:shd w:val="clear" w:color="000000" w:fill="D8D8D8"/>
            <w:vAlign w:val="center"/>
          </w:tcPr>
          <w:p w14:paraId="54133A97" w14:textId="56784234" w:rsidR="00E9161E" w:rsidRPr="00E9161E" w:rsidRDefault="00E9161E" w:rsidP="00CC4DBE">
            <w:pPr>
              <w:pStyle w:val="TableTextRight-Burden"/>
            </w:pPr>
          </w:p>
        </w:tc>
        <w:tc>
          <w:tcPr>
            <w:tcW w:w="1223" w:type="dxa"/>
            <w:tcBorders>
              <w:top w:val="nil"/>
              <w:left w:val="nil"/>
              <w:bottom w:val="single" w:sz="4" w:space="0" w:color="auto"/>
              <w:right w:val="single" w:sz="4" w:space="0" w:color="auto"/>
            </w:tcBorders>
            <w:shd w:val="clear" w:color="000000" w:fill="D8D8D8"/>
            <w:vAlign w:val="center"/>
          </w:tcPr>
          <w:p w14:paraId="00BB9757" w14:textId="6D970A6F" w:rsidR="00E9161E" w:rsidRPr="004A02C7" w:rsidRDefault="00E9161E" w:rsidP="004A02C7">
            <w:pPr>
              <w:pStyle w:val="TableTextRight-Burden"/>
            </w:pPr>
          </w:p>
        </w:tc>
        <w:tc>
          <w:tcPr>
            <w:tcW w:w="1350" w:type="dxa"/>
            <w:tcBorders>
              <w:top w:val="nil"/>
              <w:left w:val="nil"/>
              <w:bottom w:val="single" w:sz="4" w:space="0" w:color="auto"/>
              <w:right w:val="single" w:sz="4" w:space="0" w:color="auto"/>
            </w:tcBorders>
            <w:shd w:val="clear" w:color="000000" w:fill="D8D8D8"/>
            <w:vAlign w:val="center"/>
          </w:tcPr>
          <w:p w14:paraId="37A987F9" w14:textId="5275003D" w:rsidR="00E9161E" w:rsidRPr="004A02C7" w:rsidRDefault="00E9161E" w:rsidP="004A02C7">
            <w:pPr>
              <w:pStyle w:val="TableTextRight-Burden"/>
            </w:pPr>
          </w:p>
        </w:tc>
        <w:tc>
          <w:tcPr>
            <w:tcW w:w="1155" w:type="dxa"/>
            <w:tcBorders>
              <w:top w:val="nil"/>
              <w:left w:val="nil"/>
              <w:bottom w:val="single" w:sz="4" w:space="0" w:color="auto"/>
              <w:right w:val="single" w:sz="4" w:space="0" w:color="auto"/>
            </w:tcBorders>
            <w:shd w:val="clear" w:color="000000" w:fill="D8D8D8"/>
            <w:vAlign w:val="center"/>
          </w:tcPr>
          <w:p w14:paraId="7DD22B1B" w14:textId="07869E56" w:rsidR="00E9161E" w:rsidRPr="004A02C7" w:rsidRDefault="00E9161E" w:rsidP="004A02C7">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02CC9356" w14:textId="6976A436" w:rsidR="00E9161E" w:rsidRPr="004A02C7" w:rsidRDefault="00E9161E" w:rsidP="004A02C7">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7D3D0CB3" w14:textId="7987CAA9" w:rsidR="00E9161E" w:rsidRPr="004A02C7" w:rsidRDefault="00E9161E" w:rsidP="004A02C7">
            <w:pPr>
              <w:pStyle w:val="TableTextRight-Burden"/>
            </w:pPr>
          </w:p>
        </w:tc>
      </w:tr>
      <w:tr w:rsidR="00E9161E" w:rsidRPr="00E9161E" w14:paraId="3BC030D3" w14:textId="77777777" w:rsidTr="00083090">
        <w:tc>
          <w:tcPr>
            <w:tcW w:w="4675" w:type="dxa"/>
            <w:tcBorders>
              <w:top w:val="nil"/>
              <w:left w:val="single" w:sz="4" w:space="0" w:color="auto"/>
              <w:bottom w:val="single" w:sz="4" w:space="0" w:color="auto"/>
              <w:right w:val="single" w:sz="4" w:space="0" w:color="auto"/>
            </w:tcBorders>
            <w:shd w:val="clear" w:color="auto" w:fill="auto"/>
            <w:vAlign w:val="center"/>
            <w:hideMark/>
          </w:tcPr>
          <w:p w14:paraId="3D536B8E" w14:textId="231A9B4E" w:rsidR="00E9161E" w:rsidRPr="00E9161E" w:rsidRDefault="00DF5258" w:rsidP="00CC4DBE">
            <w:pPr>
              <w:pStyle w:val="TableTextIndent1-Burden"/>
            </w:pPr>
            <w:r>
              <w:t xml:space="preserve">i. </w:t>
            </w:r>
            <w:r w:rsidRPr="00E9161E">
              <w:t>Complete and submit survey spreadsheet tabs, as follows:</w:t>
            </w:r>
          </w:p>
        </w:tc>
        <w:tc>
          <w:tcPr>
            <w:tcW w:w="1242" w:type="dxa"/>
            <w:tcBorders>
              <w:top w:val="nil"/>
              <w:left w:val="nil"/>
              <w:bottom w:val="single" w:sz="4" w:space="0" w:color="auto"/>
              <w:right w:val="single" w:sz="4" w:space="0" w:color="auto"/>
            </w:tcBorders>
            <w:shd w:val="clear" w:color="000000" w:fill="D8D8D8"/>
            <w:vAlign w:val="center"/>
          </w:tcPr>
          <w:p w14:paraId="4451F0EA" w14:textId="6A08842B" w:rsidR="00E9161E" w:rsidRPr="00E9161E" w:rsidRDefault="00E9161E" w:rsidP="00CC4DBE">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1694220B" w14:textId="265D72C4" w:rsidR="00E9161E" w:rsidRPr="00E9161E" w:rsidRDefault="00E9161E" w:rsidP="00CC4DBE">
            <w:pPr>
              <w:pStyle w:val="TableTextRight-Burden"/>
            </w:pPr>
          </w:p>
        </w:tc>
        <w:tc>
          <w:tcPr>
            <w:tcW w:w="1242" w:type="dxa"/>
            <w:tcBorders>
              <w:top w:val="nil"/>
              <w:left w:val="nil"/>
              <w:bottom w:val="single" w:sz="4" w:space="0" w:color="auto"/>
              <w:right w:val="single" w:sz="4" w:space="0" w:color="auto"/>
            </w:tcBorders>
            <w:shd w:val="clear" w:color="000000" w:fill="D8D8D8"/>
            <w:vAlign w:val="center"/>
          </w:tcPr>
          <w:p w14:paraId="4BEABC17" w14:textId="08CFC8F7" w:rsidR="00E9161E" w:rsidRPr="00E9161E" w:rsidRDefault="00E9161E" w:rsidP="00CC4DBE">
            <w:pPr>
              <w:pStyle w:val="TableTextRight-Burden"/>
            </w:pPr>
          </w:p>
        </w:tc>
        <w:tc>
          <w:tcPr>
            <w:tcW w:w="1223" w:type="dxa"/>
            <w:tcBorders>
              <w:top w:val="nil"/>
              <w:left w:val="nil"/>
              <w:bottom w:val="single" w:sz="4" w:space="0" w:color="auto"/>
              <w:right w:val="single" w:sz="4" w:space="0" w:color="auto"/>
            </w:tcBorders>
            <w:shd w:val="clear" w:color="000000" w:fill="D8D8D8"/>
            <w:vAlign w:val="center"/>
          </w:tcPr>
          <w:p w14:paraId="073E8BC3" w14:textId="5DD9D511" w:rsidR="00E9161E" w:rsidRPr="004A02C7" w:rsidRDefault="00E9161E" w:rsidP="004A02C7">
            <w:pPr>
              <w:pStyle w:val="TableTextRight-Burden"/>
            </w:pPr>
          </w:p>
        </w:tc>
        <w:tc>
          <w:tcPr>
            <w:tcW w:w="1350" w:type="dxa"/>
            <w:tcBorders>
              <w:top w:val="nil"/>
              <w:left w:val="nil"/>
              <w:bottom w:val="single" w:sz="4" w:space="0" w:color="auto"/>
              <w:right w:val="single" w:sz="4" w:space="0" w:color="auto"/>
            </w:tcBorders>
            <w:shd w:val="clear" w:color="000000" w:fill="D8D8D8"/>
            <w:vAlign w:val="center"/>
          </w:tcPr>
          <w:p w14:paraId="05845D4F" w14:textId="0A258E89" w:rsidR="00E9161E" w:rsidRPr="004A02C7" w:rsidRDefault="00E9161E" w:rsidP="004A02C7">
            <w:pPr>
              <w:pStyle w:val="TableTextRight-Burden"/>
            </w:pPr>
          </w:p>
        </w:tc>
        <w:tc>
          <w:tcPr>
            <w:tcW w:w="1155" w:type="dxa"/>
            <w:tcBorders>
              <w:top w:val="nil"/>
              <w:left w:val="nil"/>
              <w:bottom w:val="single" w:sz="4" w:space="0" w:color="auto"/>
              <w:right w:val="single" w:sz="4" w:space="0" w:color="auto"/>
            </w:tcBorders>
            <w:shd w:val="clear" w:color="000000" w:fill="D8D8D8"/>
            <w:vAlign w:val="center"/>
          </w:tcPr>
          <w:p w14:paraId="41FC4C48" w14:textId="53694FC1" w:rsidR="00E9161E" w:rsidRPr="004A02C7" w:rsidRDefault="00E9161E" w:rsidP="004A02C7">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070742EC" w14:textId="4AFC7D8C" w:rsidR="00E9161E" w:rsidRPr="004A02C7" w:rsidRDefault="00E9161E" w:rsidP="004A02C7">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3C9F0644" w14:textId="651753F3" w:rsidR="00E9161E" w:rsidRPr="004A02C7" w:rsidRDefault="00E9161E" w:rsidP="004A02C7">
            <w:pPr>
              <w:pStyle w:val="TableTextRight-Burden"/>
            </w:pPr>
          </w:p>
        </w:tc>
      </w:tr>
      <w:tr w:rsidR="00E9161E" w:rsidRPr="00E9161E" w14:paraId="07F2C4CB" w14:textId="77777777" w:rsidTr="00083090">
        <w:tc>
          <w:tcPr>
            <w:tcW w:w="4675" w:type="dxa"/>
            <w:tcBorders>
              <w:top w:val="nil"/>
              <w:left w:val="single" w:sz="4" w:space="0" w:color="auto"/>
              <w:bottom w:val="single" w:sz="4" w:space="0" w:color="auto"/>
              <w:right w:val="single" w:sz="4" w:space="0" w:color="auto"/>
            </w:tcBorders>
            <w:shd w:val="clear" w:color="auto" w:fill="auto"/>
            <w:vAlign w:val="center"/>
            <w:hideMark/>
          </w:tcPr>
          <w:p w14:paraId="571DEB7D" w14:textId="4EC4CD30" w:rsidR="00E9161E" w:rsidRPr="00E9161E" w:rsidRDefault="00DF5258" w:rsidP="00CC4DBE">
            <w:pPr>
              <w:pStyle w:val="TableTextIndent2-Burden"/>
            </w:pPr>
            <w:r>
              <w:t xml:space="preserve">PCWP facilities </w:t>
            </w:r>
          </w:p>
        </w:tc>
        <w:tc>
          <w:tcPr>
            <w:tcW w:w="1242" w:type="dxa"/>
            <w:tcBorders>
              <w:top w:val="nil"/>
              <w:left w:val="nil"/>
              <w:bottom w:val="single" w:sz="4" w:space="0" w:color="auto"/>
              <w:right w:val="single" w:sz="4" w:space="0" w:color="auto"/>
            </w:tcBorders>
            <w:shd w:val="clear" w:color="000000" w:fill="D8D8D8"/>
            <w:vAlign w:val="center"/>
          </w:tcPr>
          <w:p w14:paraId="31DFF646" w14:textId="11EB755E" w:rsidR="00E9161E" w:rsidRPr="00E9161E" w:rsidRDefault="00E9161E" w:rsidP="00CC4DBE">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77F7A96D" w14:textId="324165CF" w:rsidR="00E9161E" w:rsidRPr="00E9161E" w:rsidRDefault="00E9161E" w:rsidP="00CC4DBE">
            <w:pPr>
              <w:pStyle w:val="TableTextRight-Burden"/>
            </w:pPr>
          </w:p>
        </w:tc>
        <w:tc>
          <w:tcPr>
            <w:tcW w:w="1242" w:type="dxa"/>
            <w:tcBorders>
              <w:top w:val="nil"/>
              <w:left w:val="nil"/>
              <w:bottom w:val="single" w:sz="4" w:space="0" w:color="auto"/>
              <w:right w:val="single" w:sz="4" w:space="0" w:color="auto"/>
            </w:tcBorders>
            <w:shd w:val="clear" w:color="000000" w:fill="D8D8D8"/>
            <w:vAlign w:val="center"/>
          </w:tcPr>
          <w:p w14:paraId="732BBE2B" w14:textId="6E75A4D5" w:rsidR="00E9161E" w:rsidRPr="00E9161E" w:rsidRDefault="00E9161E" w:rsidP="00CC4DBE">
            <w:pPr>
              <w:pStyle w:val="TableTextRight-Burden"/>
            </w:pPr>
          </w:p>
        </w:tc>
        <w:tc>
          <w:tcPr>
            <w:tcW w:w="1223" w:type="dxa"/>
            <w:tcBorders>
              <w:top w:val="nil"/>
              <w:left w:val="nil"/>
              <w:bottom w:val="single" w:sz="4" w:space="0" w:color="auto"/>
              <w:right w:val="single" w:sz="4" w:space="0" w:color="auto"/>
            </w:tcBorders>
            <w:shd w:val="clear" w:color="000000" w:fill="D8D8D8"/>
            <w:vAlign w:val="center"/>
          </w:tcPr>
          <w:p w14:paraId="702B7652" w14:textId="76FD4CBB" w:rsidR="00E9161E" w:rsidRPr="004A02C7" w:rsidRDefault="00E9161E" w:rsidP="004A02C7">
            <w:pPr>
              <w:pStyle w:val="TableTextRight-Burden"/>
            </w:pPr>
          </w:p>
        </w:tc>
        <w:tc>
          <w:tcPr>
            <w:tcW w:w="1350" w:type="dxa"/>
            <w:tcBorders>
              <w:top w:val="nil"/>
              <w:left w:val="nil"/>
              <w:bottom w:val="single" w:sz="4" w:space="0" w:color="auto"/>
              <w:right w:val="single" w:sz="4" w:space="0" w:color="auto"/>
            </w:tcBorders>
            <w:shd w:val="clear" w:color="000000" w:fill="D8D8D8"/>
            <w:vAlign w:val="center"/>
          </w:tcPr>
          <w:p w14:paraId="4E672DFC" w14:textId="6F003BA6" w:rsidR="00E9161E" w:rsidRPr="004A02C7" w:rsidRDefault="00E9161E" w:rsidP="004A02C7">
            <w:pPr>
              <w:pStyle w:val="TableTextRight-Burden"/>
            </w:pPr>
          </w:p>
        </w:tc>
        <w:tc>
          <w:tcPr>
            <w:tcW w:w="1155" w:type="dxa"/>
            <w:tcBorders>
              <w:top w:val="nil"/>
              <w:left w:val="nil"/>
              <w:bottom w:val="single" w:sz="4" w:space="0" w:color="auto"/>
              <w:right w:val="single" w:sz="4" w:space="0" w:color="auto"/>
            </w:tcBorders>
            <w:shd w:val="clear" w:color="000000" w:fill="D8D8D8"/>
            <w:vAlign w:val="center"/>
          </w:tcPr>
          <w:p w14:paraId="675C02AC" w14:textId="3EF8EF47" w:rsidR="00E9161E" w:rsidRPr="004A02C7" w:rsidRDefault="00E9161E" w:rsidP="004A02C7">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4FDF706D" w14:textId="59DE448E" w:rsidR="00E9161E" w:rsidRPr="004A02C7" w:rsidRDefault="00E9161E" w:rsidP="004A02C7">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49E8EDAC" w14:textId="63C363F3" w:rsidR="00E9161E" w:rsidRPr="004A02C7" w:rsidRDefault="00E9161E" w:rsidP="004A02C7">
            <w:pPr>
              <w:pStyle w:val="TableTextRight-Burden"/>
            </w:pPr>
          </w:p>
        </w:tc>
      </w:tr>
      <w:tr w:rsidR="00EE21A4" w:rsidRPr="00E9161E" w14:paraId="511348D2"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0774430B" w14:textId="24460599" w:rsidR="00EE21A4" w:rsidRPr="00E9161E" w:rsidRDefault="00EE21A4" w:rsidP="00EE21A4">
            <w:pPr>
              <w:pStyle w:val="TableTextIndent3-Burden"/>
            </w:pPr>
            <w:r w:rsidRPr="00CE4851">
              <w:t>Mill (general information</w:t>
            </w:r>
            <w:r>
              <w:t>)</w:t>
            </w:r>
            <w:r w:rsidRPr="00CE4851">
              <w:t xml:space="preserve"> (Mill)</w:t>
            </w:r>
          </w:p>
        </w:tc>
        <w:tc>
          <w:tcPr>
            <w:tcW w:w="1242" w:type="dxa"/>
            <w:tcBorders>
              <w:top w:val="nil"/>
              <w:left w:val="nil"/>
              <w:bottom w:val="single" w:sz="4" w:space="0" w:color="auto"/>
              <w:right w:val="single" w:sz="4" w:space="0" w:color="auto"/>
            </w:tcBorders>
            <w:shd w:val="clear" w:color="auto" w:fill="auto"/>
            <w:hideMark/>
          </w:tcPr>
          <w:p w14:paraId="123C9F51" w14:textId="6F0079B6" w:rsidR="00EE21A4" w:rsidRPr="00E9161E" w:rsidRDefault="00EE21A4" w:rsidP="00EE21A4">
            <w:pPr>
              <w:pStyle w:val="TableTextRight-Burden"/>
            </w:pPr>
            <w:r w:rsidRPr="00AE68B9">
              <w:t>3</w:t>
            </w:r>
          </w:p>
        </w:tc>
        <w:tc>
          <w:tcPr>
            <w:tcW w:w="1243" w:type="dxa"/>
            <w:tcBorders>
              <w:top w:val="nil"/>
              <w:left w:val="nil"/>
              <w:bottom w:val="single" w:sz="4" w:space="0" w:color="auto"/>
              <w:right w:val="single" w:sz="4" w:space="0" w:color="auto"/>
            </w:tcBorders>
            <w:shd w:val="clear" w:color="auto" w:fill="auto"/>
            <w:hideMark/>
          </w:tcPr>
          <w:p w14:paraId="3AB8A13F" w14:textId="004A1BB4"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580EB7EA" w14:textId="3615811D" w:rsidR="00EE21A4" w:rsidRPr="00E9161E" w:rsidRDefault="00EE21A4" w:rsidP="00EE21A4">
            <w:pPr>
              <w:pStyle w:val="TableTextRight-Burden"/>
            </w:pPr>
            <w:r w:rsidRPr="00AE68B9">
              <w:t>3</w:t>
            </w:r>
          </w:p>
        </w:tc>
        <w:tc>
          <w:tcPr>
            <w:tcW w:w="1223" w:type="dxa"/>
            <w:tcBorders>
              <w:top w:val="single" w:sz="4" w:space="0" w:color="auto"/>
              <w:left w:val="single" w:sz="4" w:space="0" w:color="auto"/>
              <w:bottom w:val="single" w:sz="4" w:space="0" w:color="auto"/>
              <w:right w:val="single" w:sz="4" w:space="0" w:color="auto"/>
            </w:tcBorders>
            <w:shd w:val="clear" w:color="auto" w:fill="auto"/>
            <w:hideMark/>
          </w:tcPr>
          <w:p w14:paraId="47B27788" w14:textId="4664DFC1" w:rsidR="00EE21A4" w:rsidRPr="004A02C7" w:rsidRDefault="00EE21A4" w:rsidP="00EE21A4">
            <w:pPr>
              <w:pStyle w:val="TableTextRight-Burden"/>
            </w:pPr>
            <w:r w:rsidRPr="00FF4963">
              <w:t>186</w:t>
            </w:r>
          </w:p>
        </w:tc>
        <w:tc>
          <w:tcPr>
            <w:tcW w:w="1350" w:type="dxa"/>
            <w:tcBorders>
              <w:top w:val="single" w:sz="4" w:space="0" w:color="auto"/>
              <w:left w:val="nil"/>
              <w:bottom w:val="single" w:sz="4" w:space="0" w:color="auto"/>
              <w:right w:val="single" w:sz="4" w:space="0" w:color="auto"/>
            </w:tcBorders>
            <w:shd w:val="clear" w:color="auto" w:fill="auto"/>
            <w:hideMark/>
          </w:tcPr>
          <w:p w14:paraId="24A068FC" w14:textId="4A63D678" w:rsidR="00EE21A4" w:rsidRPr="004A02C7" w:rsidRDefault="00EE21A4" w:rsidP="00EE21A4">
            <w:pPr>
              <w:pStyle w:val="TableTextRight-Burden"/>
            </w:pPr>
            <w:r w:rsidRPr="00FF4963">
              <w:t>558</w:t>
            </w:r>
          </w:p>
        </w:tc>
        <w:tc>
          <w:tcPr>
            <w:tcW w:w="1155" w:type="dxa"/>
            <w:tcBorders>
              <w:top w:val="single" w:sz="4" w:space="0" w:color="auto"/>
              <w:left w:val="nil"/>
              <w:bottom w:val="single" w:sz="4" w:space="0" w:color="auto"/>
              <w:right w:val="single" w:sz="4" w:space="0" w:color="auto"/>
            </w:tcBorders>
            <w:shd w:val="clear" w:color="auto" w:fill="auto"/>
            <w:hideMark/>
          </w:tcPr>
          <w:p w14:paraId="38E85773" w14:textId="50CE554E" w:rsidR="00EE21A4" w:rsidRPr="004A02C7" w:rsidRDefault="00EE21A4" w:rsidP="00EE21A4">
            <w:pPr>
              <w:pStyle w:val="TableTextRight-Burden"/>
            </w:pPr>
            <w:r w:rsidRPr="00FF4963">
              <w:t>28</w:t>
            </w:r>
          </w:p>
        </w:tc>
        <w:tc>
          <w:tcPr>
            <w:tcW w:w="1243" w:type="dxa"/>
            <w:tcBorders>
              <w:top w:val="single" w:sz="4" w:space="0" w:color="auto"/>
              <w:left w:val="nil"/>
              <w:bottom w:val="single" w:sz="4" w:space="0" w:color="auto"/>
              <w:right w:val="single" w:sz="4" w:space="0" w:color="auto"/>
            </w:tcBorders>
            <w:shd w:val="clear" w:color="auto" w:fill="auto"/>
            <w:hideMark/>
          </w:tcPr>
          <w:p w14:paraId="446FB0B1" w14:textId="4AC25D6E" w:rsidR="00EE21A4" w:rsidRPr="004A02C7" w:rsidRDefault="00EE21A4" w:rsidP="00EE21A4">
            <w:pPr>
              <w:pStyle w:val="TableTextRight-Burden"/>
            </w:pPr>
            <w:r w:rsidRPr="00FF4963">
              <w:t>55.8</w:t>
            </w:r>
          </w:p>
        </w:tc>
        <w:tc>
          <w:tcPr>
            <w:tcW w:w="1243" w:type="dxa"/>
            <w:tcBorders>
              <w:top w:val="single" w:sz="4" w:space="0" w:color="auto"/>
              <w:left w:val="nil"/>
              <w:bottom w:val="single" w:sz="4" w:space="0" w:color="auto"/>
              <w:right w:val="single" w:sz="4" w:space="0" w:color="auto"/>
            </w:tcBorders>
            <w:shd w:val="clear" w:color="auto" w:fill="auto"/>
            <w:hideMark/>
          </w:tcPr>
          <w:p w14:paraId="0BDA4EF2" w14:textId="65E3170E" w:rsidR="00EE21A4" w:rsidRPr="004A02C7" w:rsidRDefault="00EE21A4" w:rsidP="00EE21A4">
            <w:pPr>
              <w:pStyle w:val="TableTextRight-Burden"/>
            </w:pPr>
            <w:r w:rsidRPr="00FF4963">
              <w:t xml:space="preserve">$45,265 </w:t>
            </w:r>
          </w:p>
        </w:tc>
      </w:tr>
      <w:tr w:rsidR="00EE21A4" w:rsidRPr="00E9161E" w14:paraId="0827BF7B"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6BDD6EE3" w14:textId="77777777" w:rsidR="00EE21A4" w:rsidRPr="00E9161E" w:rsidRDefault="00EE21A4" w:rsidP="00EE21A4">
            <w:pPr>
              <w:pStyle w:val="TableTextIndent3-Burden"/>
            </w:pPr>
            <w:r w:rsidRPr="00CE4851">
              <w:t>Products (Prod)</w:t>
            </w:r>
          </w:p>
        </w:tc>
        <w:tc>
          <w:tcPr>
            <w:tcW w:w="1242" w:type="dxa"/>
            <w:tcBorders>
              <w:top w:val="nil"/>
              <w:left w:val="nil"/>
              <w:bottom w:val="single" w:sz="4" w:space="0" w:color="auto"/>
              <w:right w:val="single" w:sz="4" w:space="0" w:color="auto"/>
            </w:tcBorders>
            <w:shd w:val="clear" w:color="auto" w:fill="auto"/>
            <w:hideMark/>
          </w:tcPr>
          <w:p w14:paraId="28F3E910" w14:textId="4E80E2C9" w:rsidR="00EE21A4" w:rsidRPr="00E9161E" w:rsidRDefault="00EE21A4" w:rsidP="00EE21A4">
            <w:pPr>
              <w:pStyle w:val="TableTextRight-Burden"/>
            </w:pPr>
            <w:r w:rsidRPr="00AE68B9">
              <w:t>3</w:t>
            </w:r>
          </w:p>
        </w:tc>
        <w:tc>
          <w:tcPr>
            <w:tcW w:w="1243" w:type="dxa"/>
            <w:tcBorders>
              <w:top w:val="nil"/>
              <w:left w:val="nil"/>
              <w:bottom w:val="single" w:sz="4" w:space="0" w:color="auto"/>
              <w:right w:val="single" w:sz="4" w:space="0" w:color="auto"/>
            </w:tcBorders>
            <w:shd w:val="clear" w:color="auto" w:fill="auto"/>
            <w:hideMark/>
          </w:tcPr>
          <w:p w14:paraId="3040C230" w14:textId="418926A4"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3F6667D4" w14:textId="459C3174" w:rsidR="00EE21A4" w:rsidRPr="00E9161E" w:rsidRDefault="00EE21A4" w:rsidP="00EE21A4">
            <w:pPr>
              <w:pStyle w:val="TableTextRight-Burden"/>
            </w:pPr>
            <w:r w:rsidRPr="00AE68B9">
              <w:t>3</w:t>
            </w:r>
          </w:p>
        </w:tc>
        <w:tc>
          <w:tcPr>
            <w:tcW w:w="1223" w:type="dxa"/>
            <w:tcBorders>
              <w:top w:val="nil"/>
              <w:left w:val="single" w:sz="4" w:space="0" w:color="auto"/>
              <w:bottom w:val="single" w:sz="4" w:space="0" w:color="auto"/>
              <w:right w:val="single" w:sz="4" w:space="0" w:color="auto"/>
            </w:tcBorders>
            <w:shd w:val="clear" w:color="auto" w:fill="auto"/>
            <w:hideMark/>
          </w:tcPr>
          <w:p w14:paraId="56AA194A" w14:textId="78ACC4F0" w:rsidR="00EE21A4" w:rsidRPr="004A02C7" w:rsidRDefault="00EE21A4" w:rsidP="00EE21A4">
            <w:pPr>
              <w:pStyle w:val="TableTextRight-Burden"/>
            </w:pPr>
            <w:r w:rsidRPr="00FF4963">
              <w:t>186</w:t>
            </w:r>
          </w:p>
        </w:tc>
        <w:tc>
          <w:tcPr>
            <w:tcW w:w="1350" w:type="dxa"/>
            <w:tcBorders>
              <w:top w:val="nil"/>
              <w:left w:val="nil"/>
              <w:bottom w:val="single" w:sz="4" w:space="0" w:color="auto"/>
              <w:right w:val="single" w:sz="4" w:space="0" w:color="auto"/>
            </w:tcBorders>
            <w:shd w:val="clear" w:color="auto" w:fill="auto"/>
            <w:hideMark/>
          </w:tcPr>
          <w:p w14:paraId="56990D97" w14:textId="47E6B8B7" w:rsidR="00EE21A4" w:rsidRPr="004A02C7" w:rsidRDefault="00EE21A4" w:rsidP="00EE21A4">
            <w:pPr>
              <w:pStyle w:val="TableTextRight-Burden"/>
            </w:pPr>
            <w:r w:rsidRPr="00FF4963">
              <w:t>558</w:t>
            </w:r>
          </w:p>
        </w:tc>
        <w:tc>
          <w:tcPr>
            <w:tcW w:w="1155" w:type="dxa"/>
            <w:tcBorders>
              <w:top w:val="nil"/>
              <w:left w:val="nil"/>
              <w:bottom w:val="single" w:sz="4" w:space="0" w:color="auto"/>
              <w:right w:val="single" w:sz="4" w:space="0" w:color="auto"/>
            </w:tcBorders>
            <w:shd w:val="clear" w:color="auto" w:fill="auto"/>
            <w:hideMark/>
          </w:tcPr>
          <w:p w14:paraId="48AB2E4D" w14:textId="042E6C33" w:rsidR="00EE21A4" w:rsidRPr="004A02C7" w:rsidRDefault="00EE21A4" w:rsidP="00EE21A4">
            <w:pPr>
              <w:pStyle w:val="TableTextRight-Burden"/>
            </w:pPr>
            <w:r w:rsidRPr="00FF4963">
              <w:t>28</w:t>
            </w:r>
          </w:p>
        </w:tc>
        <w:tc>
          <w:tcPr>
            <w:tcW w:w="1243" w:type="dxa"/>
            <w:tcBorders>
              <w:top w:val="nil"/>
              <w:left w:val="nil"/>
              <w:bottom w:val="single" w:sz="4" w:space="0" w:color="auto"/>
              <w:right w:val="single" w:sz="4" w:space="0" w:color="auto"/>
            </w:tcBorders>
            <w:shd w:val="clear" w:color="auto" w:fill="auto"/>
            <w:hideMark/>
          </w:tcPr>
          <w:p w14:paraId="6A1C0EA5" w14:textId="1825C23F" w:rsidR="00EE21A4" w:rsidRPr="004A02C7" w:rsidRDefault="00EE21A4" w:rsidP="00EE21A4">
            <w:pPr>
              <w:pStyle w:val="TableTextRight-Burden"/>
            </w:pPr>
            <w:r w:rsidRPr="00FF4963">
              <w:t>55.8</w:t>
            </w:r>
          </w:p>
        </w:tc>
        <w:tc>
          <w:tcPr>
            <w:tcW w:w="1243" w:type="dxa"/>
            <w:tcBorders>
              <w:top w:val="nil"/>
              <w:left w:val="nil"/>
              <w:bottom w:val="single" w:sz="4" w:space="0" w:color="auto"/>
              <w:right w:val="single" w:sz="4" w:space="0" w:color="auto"/>
            </w:tcBorders>
            <w:shd w:val="clear" w:color="auto" w:fill="auto"/>
            <w:hideMark/>
          </w:tcPr>
          <w:p w14:paraId="516AC581" w14:textId="5031DDE3" w:rsidR="00EE21A4" w:rsidRPr="004A02C7" w:rsidRDefault="00EE21A4" w:rsidP="00EE21A4">
            <w:pPr>
              <w:pStyle w:val="TableTextRight-Burden"/>
            </w:pPr>
            <w:r w:rsidRPr="00FF4963">
              <w:t xml:space="preserve">$45,265 </w:t>
            </w:r>
          </w:p>
        </w:tc>
      </w:tr>
      <w:tr w:rsidR="00EE21A4" w:rsidRPr="00E9161E" w14:paraId="201A9C4F"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77E98E73" w14:textId="0137F9DE" w:rsidR="00EE21A4" w:rsidRPr="00E9161E" w:rsidRDefault="00EE21A4" w:rsidP="00EE21A4">
            <w:pPr>
              <w:pStyle w:val="TableTextIndent3-Burden"/>
            </w:pPr>
            <w:r w:rsidRPr="00CE4851">
              <w:t xml:space="preserve">Equipment </w:t>
            </w:r>
            <w:r>
              <w:t>D</w:t>
            </w:r>
            <w:r w:rsidRPr="00CE4851">
              <w:t>etail (EquipDetail)</w:t>
            </w:r>
          </w:p>
        </w:tc>
        <w:tc>
          <w:tcPr>
            <w:tcW w:w="1242" w:type="dxa"/>
            <w:tcBorders>
              <w:top w:val="nil"/>
              <w:left w:val="nil"/>
              <w:bottom w:val="single" w:sz="4" w:space="0" w:color="auto"/>
              <w:right w:val="single" w:sz="4" w:space="0" w:color="auto"/>
            </w:tcBorders>
            <w:shd w:val="clear" w:color="auto" w:fill="auto"/>
            <w:hideMark/>
          </w:tcPr>
          <w:p w14:paraId="560AB787" w14:textId="07715B0C" w:rsidR="00EE21A4" w:rsidRPr="00E9161E" w:rsidRDefault="00EE21A4" w:rsidP="00EE21A4">
            <w:pPr>
              <w:pStyle w:val="TableTextRight-Burden"/>
            </w:pPr>
            <w:r w:rsidRPr="00AE68B9">
              <w:t>24</w:t>
            </w:r>
          </w:p>
        </w:tc>
        <w:tc>
          <w:tcPr>
            <w:tcW w:w="1243" w:type="dxa"/>
            <w:tcBorders>
              <w:top w:val="nil"/>
              <w:left w:val="nil"/>
              <w:bottom w:val="single" w:sz="4" w:space="0" w:color="auto"/>
              <w:right w:val="single" w:sz="4" w:space="0" w:color="auto"/>
            </w:tcBorders>
            <w:shd w:val="clear" w:color="auto" w:fill="auto"/>
            <w:hideMark/>
          </w:tcPr>
          <w:p w14:paraId="742FA9A8" w14:textId="22BE8BB1"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638C7649" w14:textId="0301BEDA" w:rsidR="00EE21A4" w:rsidRPr="00E9161E" w:rsidRDefault="00EE21A4" w:rsidP="00EE21A4">
            <w:pPr>
              <w:pStyle w:val="TableTextRight-Burden"/>
            </w:pPr>
            <w:r w:rsidRPr="00AE68B9">
              <w:t>24</w:t>
            </w:r>
          </w:p>
        </w:tc>
        <w:tc>
          <w:tcPr>
            <w:tcW w:w="1223" w:type="dxa"/>
            <w:tcBorders>
              <w:top w:val="nil"/>
              <w:left w:val="single" w:sz="4" w:space="0" w:color="auto"/>
              <w:bottom w:val="single" w:sz="4" w:space="0" w:color="auto"/>
              <w:right w:val="single" w:sz="4" w:space="0" w:color="auto"/>
            </w:tcBorders>
            <w:shd w:val="clear" w:color="auto" w:fill="auto"/>
            <w:hideMark/>
          </w:tcPr>
          <w:p w14:paraId="1EA2A9DC" w14:textId="1A9C2A6D" w:rsidR="00EE21A4" w:rsidRPr="004A02C7" w:rsidRDefault="00EE21A4" w:rsidP="00EE21A4">
            <w:pPr>
              <w:pStyle w:val="TableTextRight-Burden"/>
            </w:pPr>
            <w:r w:rsidRPr="00FF4963">
              <w:t>186</w:t>
            </w:r>
          </w:p>
        </w:tc>
        <w:tc>
          <w:tcPr>
            <w:tcW w:w="1350" w:type="dxa"/>
            <w:tcBorders>
              <w:top w:val="nil"/>
              <w:left w:val="nil"/>
              <w:bottom w:val="single" w:sz="4" w:space="0" w:color="auto"/>
              <w:right w:val="single" w:sz="4" w:space="0" w:color="auto"/>
            </w:tcBorders>
            <w:shd w:val="clear" w:color="auto" w:fill="auto"/>
            <w:hideMark/>
          </w:tcPr>
          <w:p w14:paraId="615B2081" w14:textId="48A5342E" w:rsidR="00EE21A4" w:rsidRPr="004A02C7" w:rsidRDefault="00EE21A4" w:rsidP="00EE21A4">
            <w:pPr>
              <w:pStyle w:val="TableTextRight-Burden"/>
            </w:pPr>
            <w:r w:rsidRPr="00FF4963">
              <w:t>4,464</w:t>
            </w:r>
          </w:p>
        </w:tc>
        <w:tc>
          <w:tcPr>
            <w:tcW w:w="1155" w:type="dxa"/>
            <w:tcBorders>
              <w:top w:val="nil"/>
              <w:left w:val="nil"/>
              <w:bottom w:val="single" w:sz="4" w:space="0" w:color="auto"/>
              <w:right w:val="single" w:sz="4" w:space="0" w:color="auto"/>
            </w:tcBorders>
            <w:shd w:val="clear" w:color="auto" w:fill="auto"/>
            <w:hideMark/>
          </w:tcPr>
          <w:p w14:paraId="7FFAEEEB" w14:textId="2B70DA59" w:rsidR="00EE21A4" w:rsidRPr="004A02C7" w:rsidRDefault="00EE21A4" w:rsidP="00EE21A4">
            <w:pPr>
              <w:pStyle w:val="TableTextRight-Burden"/>
            </w:pPr>
            <w:r w:rsidRPr="00FF4963">
              <w:t>223</w:t>
            </w:r>
          </w:p>
        </w:tc>
        <w:tc>
          <w:tcPr>
            <w:tcW w:w="1243" w:type="dxa"/>
            <w:tcBorders>
              <w:top w:val="nil"/>
              <w:left w:val="nil"/>
              <w:bottom w:val="single" w:sz="4" w:space="0" w:color="auto"/>
              <w:right w:val="single" w:sz="4" w:space="0" w:color="auto"/>
            </w:tcBorders>
            <w:shd w:val="clear" w:color="auto" w:fill="auto"/>
            <w:hideMark/>
          </w:tcPr>
          <w:p w14:paraId="58ACA973" w14:textId="646FFB44" w:rsidR="00EE21A4" w:rsidRPr="004A02C7" w:rsidRDefault="00EE21A4" w:rsidP="00EE21A4">
            <w:pPr>
              <w:pStyle w:val="TableTextRight-Burden"/>
            </w:pPr>
            <w:r w:rsidRPr="00FF4963">
              <w:t>446.4</w:t>
            </w:r>
          </w:p>
        </w:tc>
        <w:tc>
          <w:tcPr>
            <w:tcW w:w="1243" w:type="dxa"/>
            <w:tcBorders>
              <w:top w:val="nil"/>
              <w:left w:val="nil"/>
              <w:bottom w:val="single" w:sz="4" w:space="0" w:color="auto"/>
              <w:right w:val="single" w:sz="4" w:space="0" w:color="auto"/>
            </w:tcBorders>
            <w:shd w:val="clear" w:color="auto" w:fill="auto"/>
            <w:hideMark/>
          </w:tcPr>
          <w:p w14:paraId="72ED992F" w14:textId="2C3FCF46" w:rsidR="00EE21A4" w:rsidRPr="004A02C7" w:rsidRDefault="00EE21A4" w:rsidP="00EE21A4">
            <w:pPr>
              <w:pStyle w:val="TableTextRight-Burden"/>
            </w:pPr>
            <w:r w:rsidRPr="00FF4963">
              <w:t xml:space="preserve">$362,119 </w:t>
            </w:r>
          </w:p>
        </w:tc>
      </w:tr>
      <w:tr w:rsidR="00EE21A4" w:rsidRPr="00E9161E" w14:paraId="62F098A8"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37EB3C78" w14:textId="77777777" w:rsidR="00EE21A4" w:rsidRPr="00E9161E" w:rsidRDefault="00EE21A4" w:rsidP="00EE21A4">
            <w:pPr>
              <w:pStyle w:val="TableTextIndent3-Burden"/>
            </w:pPr>
            <w:r w:rsidRPr="00CE4851">
              <w:t>Release Point Detail (ReleasePt)</w:t>
            </w:r>
          </w:p>
        </w:tc>
        <w:tc>
          <w:tcPr>
            <w:tcW w:w="1242" w:type="dxa"/>
            <w:tcBorders>
              <w:top w:val="nil"/>
              <w:left w:val="nil"/>
              <w:bottom w:val="single" w:sz="4" w:space="0" w:color="auto"/>
              <w:right w:val="single" w:sz="4" w:space="0" w:color="auto"/>
            </w:tcBorders>
            <w:shd w:val="clear" w:color="auto" w:fill="auto"/>
            <w:hideMark/>
          </w:tcPr>
          <w:p w14:paraId="567BA328" w14:textId="59E40EA4" w:rsidR="00EE21A4" w:rsidRPr="00E9161E" w:rsidRDefault="00EE21A4" w:rsidP="00EE21A4">
            <w:pPr>
              <w:pStyle w:val="TableTextRight-Burden"/>
            </w:pPr>
            <w:r w:rsidRPr="00AE68B9">
              <w:t>24</w:t>
            </w:r>
          </w:p>
        </w:tc>
        <w:tc>
          <w:tcPr>
            <w:tcW w:w="1243" w:type="dxa"/>
            <w:tcBorders>
              <w:top w:val="nil"/>
              <w:left w:val="nil"/>
              <w:bottom w:val="single" w:sz="4" w:space="0" w:color="auto"/>
              <w:right w:val="single" w:sz="4" w:space="0" w:color="auto"/>
            </w:tcBorders>
            <w:shd w:val="clear" w:color="auto" w:fill="auto"/>
            <w:hideMark/>
          </w:tcPr>
          <w:p w14:paraId="602F0E05" w14:textId="1D129328"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0839C384" w14:textId="6CA41662" w:rsidR="00EE21A4" w:rsidRPr="00E9161E" w:rsidRDefault="00EE21A4" w:rsidP="00EE21A4">
            <w:pPr>
              <w:pStyle w:val="TableTextRight-Burden"/>
            </w:pPr>
            <w:r w:rsidRPr="00AE68B9">
              <w:t>24</w:t>
            </w:r>
          </w:p>
        </w:tc>
        <w:tc>
          <w:tcPr>
            <w:tcW w:w="1223" w:type="dxa"/>
            <w:tcBorders>
              <w:top w:val="nil"/>
              <w:left w:val="single" w:sz="4" w:space="0" w:color="auto"/>
              <w:bottom w:val="single" w:sz="4" w:space="0" w:color="auto"/>
              <w:right w:val="single" w:sz="4" w:space="0" w:color="auto"/>
            </w:tcBorders>
            <w:shd w:val="clear" w:color="auto" w:fill="auto"/>
            <w:hideMark/>
          </w:tcPr>
          <w:p w14:paraId="2B0E4F6F" w14:textId="2F43C5F9" w:rsidR="00EE21A4" w:rsidRPr="004A02C7" w:rsidRDefault="00EE21A4" w:rsidP="00EE21A4">
            <w:pPr>
              <w:pStyle w:val="TableTextRight-Burden"/>
            </w:pPr>
            <w:r w:rsidRPr="00FF4963">
              <w:t>186</w:t>
            </w:r>
          </w:p>
        </w:tc>
        <w:tc>
          <w:tcPr>
            <w:tcW w:w="1350" w:type="dxa"/>
            <w:tcBorders>
              <w:top w:val="nil"/>
              <w:left w:val="nil"/>
              <w:bottom w:val="single" w:sz="4" w:space="0" w:color="auto"/>
              <w:right w:val="single" w:sz="4" w:space="0" w:color="auto"/>
            </w:tcBorders>
            <w:shd w:val="clear" w:color="auto" w:fill="auto"/>
            <w:hideMark/>
          </w:tcPr>
          <w:p w14:paraId="5F0A1CCE" w14:textId="09885A16" w:rsidR="00EE21A4" w:rsidRPr="004A02C7" w:rsidRDefault="00EE21A4" w:rsidP="00EE21A4">
            <w:pPr>
              <w:pStyle w:val="TableTextRight-Burden"/>
            </w:pPr>
            <w:r w:rsidRPr="00FF4963">
              <w:t>4,464</w:t>
            </w:r>
          </w:p>
        </w:tc>
        <w:tc>
          <w:tcPr>
            <w:tcW w:w="1155" w:type="dxa"/>
            <w:tcBorders>
              <w:top w:val="nil"/>
              <w:left w:val="nil"/>
              <w:bottom w:val="single" w:sz="4" w:space="0" w:color="auto"/>
              <w:right w:val="single" w:sz="4" w:space="0" w:color="auto"/>
            </w:tcBorders>
            <w:shd w:val="clear" w:color="auto" w:fill="auto"/>
            <w:hideMark/>
          </w:tcPr>
          <w:p w14:paraId="21FFEF9E" w14:textId="1A6BEFBC" w:rsidR="00EE21A4" w:rsidRPr="004A02C7" w:rsidRDefault="00EE21A4" w:rsidP="00EE21A4">
            <w:pPr>
              <w:pStyle w:val="TableTextRight-Burden"/>
            </w:pPr>
            <w:r w:rsidRPr="00FF4963">
              <w:t>223</w:t>
            </w:r>
          </w:p>
        </w:tc>
        <w:tc>
          <w:tcPr>
            <w:tcW w:w="1243" w:type="dxa"/>
            <w:tcBorders>
              <w:top w:val="nil"/>
              <w:left w:val="nil"/>
              <w:bottom w:val="single" w:sz="4" w:space="0" w:color="auto"/>
              <w:right w:val="single" w:sz="4" w:space="0" w:color="auto"/>
            </w:tcBorders>
            <w:shd w:val="clear" w:color="auto" w:fill="auto"/>
            <w:hideMark/>
          </w:tcPr>
          <w:p w14:paraId="72983FA3" w14:textId="4E067149" w:rsidR="00EE21A4" w:rsidRPr="004A02C7" w:rsidRDefault="00EE21A4" w:rsidP="00EE21A4">
            <w:pPr>
              <w:pStyle w:val="TableTextRight-Burden"/>
            </w:pPr>
            <w:r w:rsidRPr="00FF4963">
              <w:t>446.4</w:t>
            </w:r>
          </w:p>
        </w:tc>
        <w:tc>
          <w:tcPr>
            <w:tcW w:w="1243" w:type="dxa"/>
            <w:tcBorders>
              <w:top w:val="nil"/>
              <w:left w:val="nil"/>
              <w:bottom w:val="single" w:sz="4" w:space="0" w:color="auto"/>
              <w:right w:val="single" w:sz="4" w:space="0" w:color="auto"/>
            </w:tcBorders>
            <w:shd w:val="clear" w:color="auto" w:fill="auto"/>
            <w:hideMark/>
          </w:tcPr>
          <w:p w14:paraId="55CE35BE" w14:textId="4D78FEA1" w:rsidR="00EE21A4" w:rsidRPr="004A02C7" w:rsidRDefault="00EE21A4" w:rsidP="00EE21A4">
            <w:pPr>
              <w:pStyle w:val="TableTextRight-Burden"/>
            </w:pPr>
            <w:r w:rsidRPr="00FF4963">
              <w:t xml:space="preserve">$362,119 </w:t>
            </w:r>
          </w:p>
        </w:tc>
      </w:tr>
      <w:tr w:rsidR="00EE21A4" w:rsidRPr="00E9161E" w14:paraId="6FB272D3"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431D4EAE" w14:textId="77777777" w:rsidR="00EE21A4" w:rsidRPr="00E9161E" w:rsidRDefault="00EE21A4" w:rsidP="00EE21A4">
            <w:pPr>
              <w:pStyle w:val="TableTextIndent3-Burden"/>
            </w:pPr>
            <w:r w:rsidRPr="00CE4851">
              <w:t>Permit</w:t>
            </w:r>
          </w:p>
        </w:tc>
        <w:tc>
          <w:tcPr>
            <w:tcW w:w="1242" w:type="dxa"/>
            <w:tcBorders>
              <w:top w:val="nil"/>
              <w:left w:val="nil"/>
              <w:bottom w:val="single" w:sz="4" w:space="0" w:color="auto"/>
              <w:right w:val="single" w:sz="4" w:space="0" w:color="auto"/>
            </w:tcBorders>
            <w:shd w:val="clear" w:color="auto" w:fill="auto"/>
            <w:hideMark/>
          </w:tcPr>
          <w:p w14:paraId="56604765" w14:textId="684BFB9B" w:rsidR="00EE21A4" w:rsidRPr="00E9161E" w:rsidRDefault="00EE21A4" w:rsidP="00EE21A4">
            <w:pPr>
              <w:pStyle w:val="TableTextRight-Burden"/>
            </w:pPr>
            <w:r w:rsidRPr="00AE68B9">
              <w:t>8</w:t>
            </w:r>
          </w:p>
        </w:tc>
        <w:tc>
          <w:tcPr>
            <w:tcW w:w="1243" w:type="dxa"/>
            <w:tcBorders>
              <w:top w:val="nil"/>
              <w:left w:val="nil"/>
              <w:bottom w:val="single" w:sz="4" w:space="0" w:color="auto"/>
              <w:right w:val="single" w:sz="4" w:space="0" w:color="auto"/>
            </w:tcBorders>
            <w:shd w:val="clear" w:color="auto" w:fill="auto"/>
            <w:hideMark/>
          </w:tcPr>
          <w:p w14:paraId="469FD3E5" w14:textId="46004E8A"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7C90C8BC" w14:textId="14D1D249" w:rsidR="00EE21A4" w:rsidRPr="00E9161E" w:rsidRDefault="00EE21A4" w:rsidP="00EE21A4">
            <w:pPr>
              <w:pStyle w:val="TableTextRight-Burden"/>
            </w:pPr>
            <w:r w:rsidRPr="00AE68B9">
              <w:t>8</w:t>
            </w:r>
          </w:p>
        </w:tc>
        <w:tc>
          <w:tcPr>
            <w:tcW w:w="1223" w:type="dxa"/>
            <w:tcBorders>
              <w:top w:val="nil"/>
              <w:left w:val="single" w:sz="4" w:space="0" w:color="auto"/>
              <w:bottom w:val="single" w:sz="4" w:space="0" w:color="auto"/>
              <w:right w:val="single" w:sz="4" w:space="0" w:color="auto"/>
            </w:tcBorders>
            <w:shd w:val="clear" w:color="auto" w:fill="auto"/>
            <w:hideMark/>
          </w:tcPr>
          <w:p w14:paraId="5971DE9D" w14:textId="1E9CA304" w:rsidR="00EE21A4" w:rsidRPr="004A02C7" w:rsidRDefault="00EE21A4" w:rsidP="00EE21A4">
            <w:pPr>
              <w:pStyle w:val="TableTextRight-Burden"/>
            </w:pPr>
            <w:r w:rsidRPr="00FF4963">
              <w:t>186</w:t>
            </w:r>
          </w:p>
        </w:tc>
        <w:tc>
          <w:tcPr>
            <w:tcW w:w="1350" w:type="dxa"/>
            <w:tcBorders>
              <w:top w:val="nil"/>
              <w:left w:val="nil"/>
              <w:bottom w:val="single" w:sz="4" w:space="0" w:color="auto"/>
              <w:right w:val="single" w:sz="4" w:space="0" w:color="auto"/>
            </w:tcBorders>
            <w:shd w:val="clear" w:color="auto" w:fill="auto"/>
            <w:hideMark/>
          </w:tcPr>
          <w:p w14:paraId="007612DE" w14:textId="3699A55A" w:rsidR="00EE21A4" w:rsidRPr="004A02C7" w:rsidRDefault="00EE21A4" w:rsidP="00EE21A4">
            <w:pPr>
              <w:pStyle w:val="TableTextRight-Burden"/>
            </w:pPr>
            <w:r w:rsidRPr="00FF4963">
              <w:t>1,488</w:t>
            </w:r>
          </w:p>
        </w:tc>
        <w:tc>
          <w:tcPr>
            <w:tcW w:w="1155" w:type="dxa"/>
            <w:tcBorders>
              <w:top w:val="nil"/>
              <w:left w:val="nil"/>
              <w:bottom w:val="single" w:sz="4" w:space="0" w:color="auto"/>
              <w:right w:val="single" w:sz="4" w:space="0" w:color="auto"/>
            </w:tcBorders>
            <w:shd w:val="clear" w:color="auto" w:fill="auto"/>
            <w:hideMark/>
          </w:tcPr>
          <w:p w14:paraId="4CBE7C5B" w14:textId="44B0A707" w:rsidR="00EE21A4" w:rsidRPr="004A02C7" w:rsidRDefault="00EE21A4" w:rsidP="00EE21A4">
            <w:pPr>
              <w:pStyle w:val="TableTextRight-Burden"/>
            </w:pPr>
            <w:r w:rsidRPr="00FF4963">
              <w:t>74</w:t>
            </w:r>
          </w:p>
        </w:tc>
        <w:tc>
          <w:tcPr>
            <w:tcW w:w="1243" w:type="dxa"/>
            <w:tcBorders>
              <w:top w:val="nil"/>
              <w:left w:val="nil"/>
              <w:bottom w:val="single" w:sz="4" w:space="0" w:color="auto"/>
              <w:right w:val="single" w:sz="4" w:space="0" w:color="auto"/>
            </w:tcBorders>
            <w:shd w:val="clear" w:color="auto" w:fill="auto"/>
            <w:hideMark/>
          </w:tcPr>
          <w:p w14:paraId="42B58142" w14:textId="73136538" w:rsidR="00EE21A4" w:rsidRPr="004A02C7" w:rsidRDefault="00EE21A4" w:rsidP="00EE21A4">
            <w:pPr>
              <w:pStyle w:val="TableTextRight-Burden"/>
            </w:pPr>
            <w:r w:rsidRPr="00FF4963">
              <w:t>148.8</w:t>
            </w:r>
          </w:p>
        </w:tc>
        <w:tc>
          <w:tcPr>
            <w:tcW w:w="1243" w:type="dxa"/>
            <w:tcBorders>
              <w:top w:val="nil"/>
              <w:left w:val="nil"/>
              <w:bottom w:val="single" w:sz="4" w:space="0" w:color="auto"/>
              <w:right w:val="single" w:sz="4" w:space="0" w:color="auto"/>
            </w:tcBorders>
            <w:shd w:val="clear" w:color="auto" w:fill="auto"/>
            <w:hideMark/>
          </w:tcPr>
          <w:p w14:paraId="482C89E2" w14:textId="227C90C9" w:rsidR="00EE21A4" w:rsidRPr="004A02C7" w:rsidRDefault="00EE21A4" w:rsidP="00EE21A4">
            <w:pPr>
              <w:pStyle w:val="TableTextRight-Burden"/>
            </w:pPr>
            <w:r w:rsidRPr="00FF4963">
              <w:t xml:space="preserve">$120,706 </w:t>
            </w:r>
          </w:p>
        </w:tc>
      </w:tr>
      <w:tr w:rsidR="00EE21A4" w:rsidRPr="00E9161E" w14:paraId="4438858F"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2BEBECAF" w14:textId="77777777" w:rsidR="00EE21A4" w:rsidRPr="00E9161E" w:rsidRDefault="00EE21A4" w:rsidP="00EE21A4">
            <w:pPr>
              <w:pStyle w:val="TableTextIndent3-Burden"/>
            </w:pPr>
            <w:r w:rsidRPr="00CE4851">
              <w:t>Resin</w:t>
            </w:r>
          </w:p>
        </w:tc>
        <w:tc>
          <w:tcPr>
            <w:tcW w:w="1242" w:type="dxa"/>
            <w:tcBorders>
              <w:top w:val="nil"/>
              <w:left w:val="nil"/>
              <w:bottom w:val="single" w:sz="4" w:space="0" w:color="auto"/>
              <w:right w:val="single" w:sz="4" w:space="0" w:color="auto"/>
            </w:tcBorders>
            <w:shd w:val="clear" w:color="auto" w:fill="auto"/>
            <w:hideMark/>
          </w:tcPr>
          <w:p w14:paraId="14E3BBEF" w14:textId="7663ED77" w:rsidR="00EE21A4" w:rsidRPr="00E9161E" w:rsidRDefault="00EE21A4" w:rsidP="00EE21A4">
            <w:pPr>
              <w:pStyle w:val="TableTextRight-Burden"/>
            </w:pPr>
            <w:r w:rsidRPr="00AE68B9">
              <w:t>2</w:t>
            </w:r>
          </w:p>
        </w:tc>
        <w:tc>
          <w:tcPr>
            <w:tcW w:w="1243" w:type="dxa"/>
            <w:tcBorders>
              <w:top w:val="nil"/>
              <w:left w:val="nil"/>
              <w:bottom w:val="single" w:sz="4" w:space="0" w:color="auto"/>
              <w:right w:val="single" w:sz="4" w:space="0" w:color="auto"/>
            </w:tcBorders>
            <w:shd w:val="clear" w:color="auto" w:fill="auto"/>
            <w:hideMark/>
          </w:tcPr>
          <w:p w14:paraId="7FAD88CD" w14:textId="7299D9D3"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3F661D87" w14:textId="13466D90" w:rsidR="00EE21A4" w:rsidRPr="00E9161E" w:rsidRDefault="00EE21A4" w:rsidP="00EE21A4">
            <w:pPr>
              <w:pStyle w:val="TableTextRight-Burden"/>
            </w:pPr>
            <w:r w:rsidRPr="00AE68B9">
              <w:t>2</w:t>
            </w:r>
          </w:p>
        </w:tc>
        <w:tc>
          <w:tcPr>
            <w:tcW w:w="1223" w:type="dxa"/>
            <w:tcBorders>
              <w:top w:val="nil"/>
              <w:left w:val="single" w:sz="4" w:space="0" w:color="auto"/>
              <w:bottom w:val="single" w:sz="4" w:space="0" w:color="auto"/>
              <w:right w:val="single" w:sz="4" w:space="0" w:color="auto"/>
            </w:tcBorders>
            <w:shd w:val="clear" w:color="auto" w:fill="auto"/>
            <w:hideMark/>
          </w:tcPr>
          <w:p w14:paraId="4B87A407" w14:textId="51333A12" w:rsidR="00EE21A4" w:rsidRPr="004A02C7" w:rsidRDefault="00EE21A4" w:rsidP="00EE21A4">
            <w:pPr>
              <w:pStyle w:val="TableTextRight-Burden"/>
            </w:pPr>
            <w:r w:rsidRPr="00FF4963">
              <w:t>171</w:t>
            </w:r>
          </w:p>
        </w:tc>
        <w:tc>
          <w:tcPr>
            <w:tcW w:w="1350" w:type="dxa"/>
            <w:tcBorders>
              <w:top w:val="nil"/>
              <w:left w:val="nil"/>
              <w:bottom w:val="single" w:sz="4" w:space="0" w:color="auto"/>
              <w:right w:val="single" w:sz="4" w:space="0" w:color="auto"/>
            </w:tcBorders>
            <w:shd w:val="clear" w:color="auto" w:fill="auto"/>
            <w:hideMark/>
          </w:tcPr>
          <w:p w14:paraId="2DAC6E2C" w14:textId="1B17786F" w:rsidR="00EE21A4" w:rsidRPr="004A02C7" w:rsidRDefault="00EE21A4" w:rsidP="00EE21A4">
            <w:pPr>
              <w:pStyle w:val="TableTextRight-Burden"/>
            </w:pPr>
            <w:r w:rsidRPr="00FF4963">
              <w:t>342</w:t>
            </w:r>
          </w:p>
        </w:tc>
        <w:tc>
          <w:tcPr>
            <w:tcW w:w="1155" w:type="dxa"/>
            <w:tcBorders>
              <w:top w:val="nil"/>
              <w:left w:val="nil"/>
              <w:bottom w:val="single" w:sz="4" w:space="0" w:color="auto"/>
              <w:right w:val="single" w:sz="4" w:space="0" w:color="auto"/>
            </w:tcBorders>
            <w:shd w:val="clear" w:color="auto" w:fill="auto"/>
            <w:hideMark/>
          </w:tcPr>
          <w:p w14:paraId="4B0B485A" w14:textId="72902AF5" w:rsidR="00EE21A4" w:rsidRPr="004A02C7" w:rsidRDefault="00EE21A4" w:rsidP="00EE21A4">
            <w:pPr>
              <w:pStyle w:val="TableTextRight-Burden"/>
            </w:pPr>
            <w:r w:rsidRPr="00FF4963">
              <w:t>17</w:t>
            </w:r>
          </w:p>
        </w:tc>
        <w:tc>
          <w:tcPr>
            <w:tcW w:w="1243" w:type="dxa"/>
            <w:tcBorders>
              <w:top w:val="nil"/>
              <w:left w:val="nil"/>
              <w:bottom w:val="single" w:sz="4" w:space="0" w:color="auto"/>
              <w:right w:val="single" w:sz="4" w:space="0" w:color="auto"/>
            </w:tcBorders>
            <w:shd w:val="clear" w:color="auto" w:fill="auto"/>
            <w:hideMark/>
          </w:tcPr>
          <w:p w14:paraId="0AE391A5" w14:textId="14F17E78" w:rsidR="00EE21A4" w:rsidRPr="004A02C7" w:rsidRDefault="00EE21A4" w:rsidP="00EE21A4">
            <w:pPr>
              <w:pStyle w:val="TableTextRight-Burden"/>
            </w:pPr>
            <w:r w:rsidRPr="00FF4963">
              <w:t>34.2</w:t>
            </w:r>
          </w:p>
        </w:tc>
        <w:tc>
          <w:tcPr>
            <w:tcW w:w="1243" w:type="dxa"/>
            <w:tcBorders>
              <w:top w:val="nil"/>
              <w:left w:val="nil"/>
              <w:bottom w:val="single" w:sz="4" w:space="0" w:color="auto"/>
              <w:right w:val="single" w:sz="4" w:space="0" w:color="auto"/>
            </w:tcBorders>
            <w:shd w:val="clear" w:color="auto" w:fill="auto"/>
            <w:hideMark/>
          </w:tcPr>
          <w:p w14:paraId="57571E76" w14:textId="43ED4163" w:rsidR="00EE21A4" w:rsidRPr="004A02C7" w:rsidRDefault="00EE21A4" w:rsidP="00EE21A4">
            <w:pPr>
              <w:pStyle w:val="TableTextRight-Burden"/>
            </w:pPr>
            <w:r w:rsidRPr="00FF4963">
              <w:t xml:space="preserve">$27,743 </w:t>
            </w:r>
          </w:p>
        </w:tc>
      </w:tr>
      <w:tr w:rsidR="00EE21A4" w:rsidRPr="00E9161E" w14:paraId="421C2D5B"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47689FFB" w14:textId="77777777" w:rsidR="00EE21A4" w:rsidRPr="00E9161E" w:rsidRDefault="00EE21A4" w:rsidP="00EE21A4">
            <w:pPr>
              <w:pStyle w:val="TableTextIndent3-Burden"/>
            </w:pPr>
            <w:r w:rsidRPr="00CE4851">
              <w:t>Tanks (Tank)</w:t>
            </w:r>
          </w:p>
        </w:tc>
        <w:tc>
          <w:tcPr>
            <w:tcW w:w="1242" w:type="dxa"/>
            <w:tcBorders>
              <w:top w:val="nil"/>
              <w:left w:val="nil"/>
              <w:bottom w:val="single" w:sz="4" w:space="0" w:color="auto"/>
              <w:right w:val="single" w:sz="4" w:space="0" w:color="auto"/>
            </w:tcBorders>
            <w:shd w:val="clear" w:color="auto" w:fill="auto"/>
            <w:hideMark/>
          </w:tcPr>
          <w:p w14:paraId="13CE42A4" w14:textId="66347EA3" w:rsidR="00EE21A4" w:rsidRPr="00E9161E" w:rsidRDefault="00EE21A4" w:rsidP="00EE21A4">
            <w:pPr>
              <w:pStyle w:val="TableTextRight-Burden"/>
            </w:pPr>
            <w:r w:rsidRPr="00AE68B9">
              <w:t>2</w:t>
            </w:r>
          </w:p>
        </w:tc>
        <w:tc>
          <w:tcPr>
            <w:tcW w:w="1243" w:type="dxa"/>
            <w:tcBorders>
              <w:top w:val="nil"/>
              <w:left w:val="nil"/>
              <w:bottom w:val="single" w:sz="4" w:space="0" w:color="auto"/>
              <w:right w:val="single" w:sz="4" w:space="0" w:color="auto"/>
            </w:tcBorders>
            <w:shd w:val="clear" w:color="auto" w:fill="auto"/>
            <w:hideMark/>
          </w:tcPr>
          <w:p w14:paraId="6ADF5AFA" w14:textId="06EB25DC"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15B21B04" w14:textId="061818F4" w:rsidR="00EE21A4" w:rsidRPr="00E9161E" w:rsidRDefault="00EE21A4" w:rsidP="00EE21A4">
            <w:pPr>
              <w:pStyle w:val="TableTextRight-Burden"/>
            </w:pPr>
            <w:r w:rsidRPr="00AE68B9">
              <w:t>2</w:t>
            </w:r>
          </w:p>
        </w:tc>
        <w:tc>
          <w:tcPr>
            <w:tcW w:w="1223" w:type="dxa"/>
            <w:tcBorders>
              <w:top w:val="nil"/>
              <w:left w:val="single" w:sz="4" w:space="0" w:color="auto"/>
              <w:bottom w:val="single" w:sz="4" w:space="0" w:color="auto"/>
              <w:right w:val="single" w:sz="4" w:space="0" w:color="auto"/>
            </w:tcBorders>
            <w:shd w:val="clear" w:color="auto" w:fill="auto"/>
            <w:hideMark/>
          </w:tcPr>
          <w:p w14:paraId="6CC31508" w14:textId="0ECF5D1F" w:rsidR="00EE21A4" w:rsidRPr="004A02C7" w:rsidRDefault="00EE21A4" w:rsidP="00EE21A4">
            <w:pPr>
              <w:pStyle w:val="TableTextRight-Burden"/>
            </w:pPr>
            <w:r w:rsidRPr="00FF4963">
              <w:t>171</w:t>
            </w:r>
          </w:p>
        </w:tc>
        <w:tc>
          <w:tcPr>
            <w:tcW w:w="1350" w:type="dxa"/>
            <w:tcBorders>
              <w:top w:val="nil"/>
              <w:left w:val="nil"/>
              <w:bottom w:val="single" w:sz="4" w:space="0" w:color="auto"/>
              <w:right w:val="single" w:sz="4" w:space="0" w:color="auto"/>
            </w:tcBorders>
            <w:shd w:val="clear" w:color="auto" w:fill="auto"/>
            <w:hideMark/>
          </w:tcPr>
          <w:p w14:paraId="130AD709" w14:textId="202FD3A0" w:rsidR="00EE21A4" w:rsidRPr="004A02C7" w:rsidRDefault="00EE21A4" w:rsidP="00EE21A4">
            <w:pPr>
              <w:pStyle w:val="TableTextRight-Burden"/>
            </w:pPr>
            <w:r w:rsidRPr="00FF4963">
              <w:t>342</w:t>
            </w:r>
          </w:p>
        </w:tc>
        <w:tc>
          <w:tcPr>
            <w:tcW w:w="1155" w:type="dxa"/>
            <w:tcBorders>
              <w:top w:val="nil"/>
              <w:left w:val="nil"/>
              <w:bottom w:val="single" w:sz="4" w:space="0" w:color="auto"/>
              <w:right w:val="single" w:sz="4" w:space="0" w:color="auto"/>
            </w:tcBorders>
            <w:shd w:val="clear" w:color="auto" w:fill="auto"/>
            <w:hideMark/>
          </w:tcPr>
          <w:p w14:paraId="21E822F4" w14:textId="6DEDC1C8" w:rsidR="00EE21A4" w:rsidRPr="004A02C7" w:rsidRDefault="00EE21A4" w:rsidP="00EE21A4">
            <w:pPr>
              <w:pStyle w:val="TableTextRight-Burden"/>
            </w:pPr>
            <w:r w:rsidRPr="00FF4963">
              <w:t>17</w:t>
            </w:r>
          </w:p>
        </w:tc>
        <w:tc>
          <w:tcPr>
            <w:tcW w:w="1243" w:type="dxa"/>
            <w:tcBorders>
              <w:top w:val="nil"/>
              <w:left w:val="nil"/>
              <w:bottom w:val="single" w:sz="4" w:space="0" w:color="auto"/>
              <w:right w:val="single" w:sz="4" w:space="0" w:color="auto"/>
            </w:tcBorders>
            <w:shd w:val="clear" w:color="auto" w:fill="auto"/>
            <w:hideMark/>
          </w:tcPr>
          <w:p w14:paraId="6191A455" w14:textId="3033B123" w:rsidR="00EE21A4" w:rsidRPr="004A02C7" w:rsidRDefault="00EE21A4" w:rsidP="00EE21A4">
            <w:pPr>
              <w:pStyle w:val="TableTextRight-Burden"/>
            </w:pPr>
            <w:r w:rsidRPr="00FF4963">
              <w:t>34.2</w:t>
            </w:r>
          </w:p>
        </w:tc>
        <w:tc>
          <w:tcPr>
            <w:tcW w:w="1243" w:type="dxa"/>
            <w:tcBorders>
              <w:top w:val="nil"/>
              <w:left w:val="nil"/>
              <w:bottom w:val="single" w:sz="4" w:space="0" w:color="auto"/>
              <w:right w:val="single" w:sz="4" w:space="0" w:color="auto"/>
            </w:tcBorders>
            <w:shd w:val="clear" w:color="auto" w:fill="auto"/>
            <w:hideMark/>
          </w:tcPr>
          <w:p w14:paraId="2B5A4BD6" w14:textId="2EE448A7" w:rsidR="00EE21A4" w:rsidRPr="004A02C7" w:rsidRDefault="00EE21A4" w:rsidP="00EE21A4">
            <w:pPr>
              <w:pStyle w:val="TableTextRight-Burden"/>
            </w:pPr>
            <w:r w:rsidRPr="00FF4963">
              <w:t xml:space="preserve">$27,743 </w:t>
            </w:r>
          </w:p>
        </w:tc>
      </w:tr>
      <w:tr w:rsidR="00EE21A4" w:rsidRPr="00E9161E" w14:paraId="3672F57E"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4E04C304" w14:textId="77777777" w:rsidR="00EE21A4" w:rsidRPr="00E9161E" w:rsidRDefault="00EE21A4" w:rsidP="00EE21A4">
            <w:pPr>
              <w:pStyle w:val="TableTextIndent3-Burden"/>
            </w:pPr>
            <w:r w:rsidRPr="00CE4851">
              <w:t>Veneer Dryer (VeneerDry)</w:t>
            </w:r>
          </w:p>
        </w:tc>
        <w:tc>
          <w:tcPr>
            <w:tcW w:w="1242" w:type="dxa"/>
            <w:tcBorders>
              <w:top w:val="nil"/>
              <w:left w:val="nil"/>
              <w:bottom w:val="single" w:sz="4" w:space="0" w:color="auto"/>
              <w:right w:val="single" w:sz="4" w:space="0" w:color="auto"/>
            </w:tcBorders>
            <w:shd w:val="clear" w:color="auto" w:fill="auto"/>
            <w:hideMark/>
          </w:tcPr>
          <w:p w14:paraId="27BA4AD2" w14:textId="4684271A" w:rsidR="00EE21A4" w:rsidRPr="00E9161E" w:rsidRDefault="00EE21A4" w:rsidP="00EE21A4">
            <w:pPr>
              <w:pStyle w:val="TableTextRight-Burden"/>
            </w:pPr>
            <w:r w:rsidRPr="00AE68B9">
              <w:t>4</w:t>
            </w:r>
          </w:p>
        </w:tc>
        <w:tc>
          <w:tcPr>
            <w:tcW w:w="1243" w:type="dxa"/>
            <w:tcBorders>
              <w:top w:val="nil"/>
              <w:left w:val="nil"/>
              <w:bottom w:val="single" w:sz="4" w:space="0" w:color="auto"/>
              <w:right w:val="single" w:sz="4" w:space="0" w:color="auto"/>
            </w:tcBorders>
            <w:shd w:val="clear" w:color="auto" w:fill="auto"/>
            <w:hideMark/>
          </w:tcPr>
          <w:p w14:paraId="30D51004" w14:textId="56DCE94F"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78D425FE" w14:textId="73EF65DF" w:rsidR="00EE21A4" w:rsidRPr="00E9161E" w:rsidRDefault="00EE21A4" w:rsidP="00EE21A4">
            <w:pPr>
              <w:pStyle w:val="TableTextRight-Burden"/>
            </w:pPr>
            <w:r w:rsidRPr="00AE68B9">
              <w:t>4</w:t>
            </w:r>
          </w:p>
        </w:tc>
        <w:tc>
          <w:tcPr>
            <w:tcW w:w="1223" w:type="dxa"/>
            <w:tcBorders>
              <w:top w:val="nil"/>
              <w:left w:val="single" w:sz="4" w:space="0" w:color="auto"/>
              <w:bottom w:val="single" w:sz="4" w:space="0" w:color="auto"/>
              <w:right w:val="single" w:sz="4" w:space="0" w:color="auto"/>
            </w:tcBorders>
            <w:shd w:val="clear" w:color="auto" w:fill="auto"/>
            <w:hideMark/>
          </w:tcPr>
          <w:p w14:paraId="7DC2787B" w14:textId="251D87BA" w:rsidR="00EE21A4" w:rsidRPr="004A02C7" w:rsidRDefault="00EE21A4" w:rsidP="00EE21A4">
            <w:pPr>
              <w:pStyle w:val="TableTextRight-Burden"/>
            </w:pPr>
            <w:r w:rsidRPr="00FF4963">
              <w:t>104</w:t>
            </w:r>
          </w:p>
        </w:tc>
        <w:tc>
          <w:tcPr>
            <w:tcW w:w="1350" w:type="dxa"/>
            <w:tcBorders>
              <w:top w:val="nil"/>
              <w:left w:val="nil"/>
              <w:bottom w:val="single" w:sz="4" w:space="0" w:color="auto"/>
              <w:right w:val="single" w:sz="4" w:space="0" w:color="auto"/>
            </w:tcBorders>
            <w:shd w:val="clear" w:color="auto" w:fill="auto"/>
            <w:hideMark/>
          </w:tcPr>
          <w:p w14:paraId="28950697" w14:textId="29A5D674" w:rsidR="00EE21A4" w:rsidRPr="004A02C7" w:rsidRDefault="00EE21A4" w:rsidP="00EE21A4">
            <w:pPr>
              <w:pStyle w:val="TableTextRight-Burden"/>
            </w:pPr>
            <w:r w:rsidRPr="00FF4963">
              <w:t>416</w:t>
            </w:r>
          </w:p>
        </w:tc>
        <w:tc>
          <w:tcPr>
            <w:tcW w:w="1155" w:type="dxa"/>
            <w:tcBorders>
              <w:top w:val="nil"/>
              <w:left w:val="nil"/>
              <w:bottom w:val="single" w:sz="4" w:space="0" w:color="auto"/>
              <w:right w:val="single" w:sz="4" w:space="0" w:color="auto"/>
            </w:tcBorders>
            <w:shd w:val="clear" w:color="auto" w:fill="auto"/>
            <w:hideMark/>
          </w:tcPr>
          <w:p w14:paraId="782A84BA" w14:textId="3C7976FF" w:rsidR="00EE21A4" w:rsidRPr="004A02C7" w:rsidRDefault="00EE21A4" w:rsidP="00EE21A4">
            <w:pPr>
              <w:pStyle w:val="TableTextRight-Burden"/>
            </w:pPr>
            <w:r w:rsidRPr="00FF4963">
              <w:t>21</w:t>
            </w:r>
          </w:p>
        </w:tc>
        <w:tc>
          <w:tcPr>
            <w:tcW w:w="1243" w:type="dxa"/>
            <w:tcBorders>
              <w:top w:val="nil"/>
              <w:left w:val="nil"/>
              <w:bottom w:val="single" w:sz="4" w:space="0" w:color="auto"/>
              <w:right w:val="single" w:sz="4" w:space="0" w:color="auto"/>
            </w:tcBorders>
            <w:shd w:val="clear" w:color="auto" w:fill="auto"/>
            <w:hideMark/>
          </w:tcPr>
          <w:p w14:paraId="1232C46A" w14:textId="41E0D77E" w:rsidR="00EE21A4" w:rsidRPr="004A02C7" w:rsidRDefault="00EE21A4" w:rsidP="00EE21A4">
            <w:pPr>
              <w:pStyle w:val="TableTextRight-Burden"/>
            </w:pPr>
            <w:r w:rsidRPr="00FF4963">
              <w:t>41.6</w:t>
            </w:r>
          </w:p>
        </w:tc>
        <w:tc>
          <w:tcPr>
            <w:tcW w:w="1243" w:type="dxa"/>
            <w:tcBorders>
              <w:top w:val="nil"/>
              <w:left w:val="nil"/>
              <w:bottom w:val="single" w:sz="4" w:space="0" w:color="auto"/>
              <w:right w:val="single" w:sz="4" w:space="0" w:color="auto"/>
            </w:tcBorders>
            <w:shd w:val="clear" w:color="auto" w:fill="auto"/>
            <w:hideMark/>
          </w:tcPr>
          <w:p w14:paraId="40A5DF43" w14:textId="4DF30839" w:rsidR="00EE21A4" w:rsidRPr="004A02C7" w:rsidRDefault="00EE21A4" w:rsidP="00EE21A4">
            <w:pPr>
              <w:pStyle w:val="TableTextRight-Burden"/>
            </w:pPr>
            <w:r w:rsidRPr="00FF4963">
              <w:t xml:space="preserve">$33,746 </w:t>
            </w:r>
          </w:p>
        </w:tc>
      </w:tr>
      <w:tr w:rsidR="00EE21A4" w:rsidRPr="00E9161E" w14:paraId="161A98C5"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7340A8AE" w14:textId="77777777" w:rsidR="00EE21A4" w:rsidRPr="00E9161E" w:rsidRDefault="00EE21A4" w:rsidP="00EE21A4">
            <w:pPr>
              <w:pStyle w:val="TableTextIndent3-Burden"/>
            </w:pPr>
            <w:r w:rsidRPr="00CE4851">
              <w:t>Rotary Dryer (RotaryDry)</w:t>
            </w:r>
          </w:p>
        </w:tc>
        <w:tc>
          <w:tcPr>
            <w:tcW w:w="1242" w:type="dxa"/>
            <w:tcBorders>
              <w:top w:val="nil"/>
              <w:left w:val="nil"/>
              <w:bottom w:val="single" w:sz="4" w:space="0" w:color="auto"/>
              <w:right w:val="single" w:sz="4" w:space="0" w:color="auto"/>
            </w:tcBorders>
            <w:shd w:val="clear" w:color="auto" w:fill="auto"/>
            <w:hideMark/>
          </w:tcPr>
          <w:p w14:paraId="1294071C" w14:textId="089CF82E" w:rsidR="00EE21A4" w:rsidRPr="00E9161E" w:rsidRDefault="00EE21A4" w:rsidP="00EE21A4">
            <w:pPr>
              <w:pStyle w:val="TableTextRight-Burden"/>
            </w:pPr>
            <w:r w:rsidRPr="00AE68B9">
              <w:t>4</w:t>
            </w:r>
          </w:p>
        </w:tc>
        <w:tc>
          <w:tcPr>
            <w:tcW w:w="1243" w:type="dxa"/>
            <w:tcBorders>
              <w:top w:val="nil"/>
              <w:left w:val="nil"/>
              <w:bottom w:val="single" w:sz="4" w:space="0" w:color="auto"/>
              <w:right w:val="single" w:sz="4" w:space="0" w:color="auto"/>
            </w:tcBorders>
            <w:shd w:val="clear" w:color="auto" w:fill="auto"/>
            <w:hideMark/>
          </w:tcPr>
          <w:p w14:paraId="53E1863A" w14:textId="08E9A95F"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0DE73CBC" w14:textId="07135EE2" w:rsidR="00EE21A4" w:rsidRPr="00E9161E" w:rsidRDefault="00EE21A4" w:rsidP="00EE21A4">
            <w:pPr>
              <w:pStyle w:val="TableTextRight-Burden"/>
            </w:pPr>
            <w:r w:rsidRPr="00AE68B9">
              <w:t>4</w:t>
            </w:r>
          </w:p>
        </w:tc>
        <w:tc>
          <w:tcPr>
            <w:tcW w:w="1223" w:type="dxa"/>
            <w:tcBorders>
              <w:top w:val="nil"/>
              <w:left w:val="single" w:sz="4" w:space="0" w:color="auto"/>
              <w:bottom w:val="single" w:sz="4" w:space="0" w:color="auto"/>
              <w:right w:val="single" w:sz="4" w:space="0" w:color="auto"/>
            </w:tcBorders>
            <w:shd w:val="clear" w:color="auto" w:fill="auto"/>
            <w:hideMark/>
          </w:tcPr>
          <w:p w14:paraId="7B11ADB8" w14:textId="37392B61" w:rsidR="00EE21A4" w:rsidRPr="004A02C7" w:rsidRDefault="00EE21A4" w:rsidP="00EE21A4">
            <w:pPr>
              <w:pStyle w:val="TableTextRight-Burden"/>
            </w:pPr>
            <w:r w:rsidRPr="00FF4963">
              <w:t>55</w:t>
            </w:r>
          </w:p>
        </w:tc>
        <w:tc>
          <w:tcPr>
            <w:tcW w:w="1350" w:type="dxa"/>
            <w:tcBorders>
              <w:top w:val="nil"/>
              <w:left w:val="nil"/>
              <w:bottom w:val="single" w:sz="4" w:space="0" w:color="auto"/>
              <w:right w:val="single" w:sz="4" w:space="0" w:color="auto"/>
            </w:tcBorders>
            <w:shd w:val="clear" w:color="auto" w:fill="auto"/>
            <w:hideMark/>
          </w:tcPr>
          <w:p w14:paraId="7042593D" w14:textId="269C35E0" w:rsidR="00EE21A4" w:rsidRPr="004A02C7" w:rsidRDefault="00EE21A4" w:rsidP="00EE21A4">
            <w:pPr>
              <w:pStyle w:val="TableTextRight-Burden"/>
            </w:pPr>
            <w:r w:rsidRPr="00FF4963">
              <w:t>220</w:t>
            </w:r>
          </w:p>
        </w:tc>
        <w:tc>
          <w:tcPr>
            <w:tcW w:w="1155" w:type="dxa"/>
            <w:tcBorders>
              <w:top w:val="nil"/>
              <w:left w:val="nil"/>
              <w:bottom w:val="single" w:sz="4" w:space="0" w:color="auto"/>
              <w:right w:val="single" w:sz="4" w:space="0" w:color="auto"/>
            </w:tcBorders>
            <w:shd w:val="clear" w:color="auto" w:fill="auto"/>
            <w:hideMark/>
          </w:tcPr>
          <w:p w14:paraId="3C665A7E" w14:textId="0B9AE2AD" w:rsidR="00EE21A4" w:rsidRPr="004A02C7" w:rsidRDefault="00EE21A4" w:rsidP="00EE21A4">
            <w:pPr>
              <w:pStyle w:val="TableTextRight-Burden"/>
            </w:pPr>
            <w:r w:rsidRPr="00FF4963">
              <w:t>11</w:t>
            </w:r>
          </w:p>
        </w:tc>
        <w:tc>
          <w:tcPr>
            <w:tcW w:w="1243" w:type="dxa"/>
            <w:tcBorders>
              <w:top w:val="nil"/>
              <w:left w:val="nil"/>
              <w:bottom w:val="single" w:sz="4" w:space="0" w:color="auto"/>
              <w:right w:val="single" w:sz="4" w:space="0" w:color="auto"/>
            </w:tcBorders>
            <w:shd w:val="clear" w:color="auto" w:fill="auto"/>
            <w:hideMark/>
          </w:tcPr>
          <w:p w14:paraId="3DAA6BD1" w14:textId="47F7CC95" w:rsidR="00EE21A4" w:rsidRPr="004A02C7" w:rsidRDefault="00EE21A4" w:rsidP="00EE21A4">
            <w:pPr>
              <w:pStyle w:val="TableTextRight-Burden"/>
            </w:pPr>
            <w:r w:rsidRPr="00FF4963">
              <w:t>22</w:t>
            </w:r>
          </w:p>
        </w:tc>
        <w:tc>
          <w:tcPr>
            <w:tcW w:w="1243" w:type="dxa"/>
            <w:tcBorders>
              <w:top w:val="nil"/>
              <w:left w:val="nil"/>
              <w:bottom w:val="single" w:sz="4" w:space="0" w:color="auto"/>
              <w:right w:val="single" w:sz="4" w:space="0" w:color="auto"/>
            </w:tcBorders>
            <w:shd w:val="clear" w:color="auto" w:fill="auto"/>
            <w:hideMark/>
          </w:tcPr>
          <w:p w14:paraId="4DF6F4CF" w14:textId="56AA4293" w:rsidR="00EE21A4" w:rsidRPr="004A02C7" w:rsidRDefault="00EE21A4" w:rsidP="00EE21A4">
            <w:pPr>
              <w:pStyle w:val="TableTextRight-Burden"/>
            </w:pPr>
            <w:r w:rsidRPr="00FF4963">
              <w:t xml:space="preserve">$17,846 </w:t>
            </w:r>
          </w:p>
        </w:tc>
      </w:tr>
      <w:tr w:rsidR="00EE21A4" w:rsidRPr="00E9161E" w14:paraId="77526BA9"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156382CE" w14:textId="77777777" w:rsidR="00EE21A4" w:rsidRPr="00E9161E" w:rsidRDefault="00EE21A4" w:rsidP="00EE21A4">
            <w:pPr>
              <w:pStyle w:val="TableTextIndent3-Burden"/>
            </w:pPr>
            <w:r w:rsidRPr="00CE4851">
              <w:t>Tube Dryer (TubeDry)</w:t>
            </w:r>
          </w:p>
        </w:tc>
        <w:tc>
          <w:tcPr>
            <w:tcW w:w="1242" w:type="dxa"/>
            <w:tcBorders>
              <w:top w:val="nil"/>
              <w:left w:val="nil"/>
              <w:bottom w:val="single" w:sz="4" w:space="0" w:color="auto"/>
              <w:right w:val="single" w:sz="4" w:space="0" w:color="auto"/>
            </w:tcBorders>
            <w:shd w:val="clear" w:color="auto" w:fill="auto"/>
            <w:hideMark/>
          </w:tcPr>
          <w:p w14:paraId="259DC605" w14:textId="4BE7F97E" w:rsidR="00EE21A4" w:rsidRPr="00E9161E" w:rsidRDefault="00EE21A4" w:rsidP="00EE21A4">
            <w:pPr>
              <w:pStyle w:val="TableTextRight-Burden"/>
            </w:pPr>
            <w:r w:rsidRPr="00AE68B9">
              <w:t>4</w:t>
            </w:r>
          </w:p>
        </w:tc>
        <w:tc>
          <w:tcPr>
            <w:tcW w:w="1243" w:type="dxa"/>
            <w:tcBorders>
              <w:top w:val="nil"/>
              <w:left w:val="nil"/>
              <w:bottom w:val="single" w:sz="4" w:space="0" w:color="auto"/>
              <w:right w:val="single" w:sz="4" w:space="0" w:color="auto"/>
            </w:tcBorders>
            <w:shd w:val="clear" w:color="auto" w:fill="auto"/>
            <w:hideMark/>
          </w:tcPr>
          <w:p w14:paraId="30C27599" w14:textId="1D5B22D4"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2F2648DF" w14:textId="4C53E081" w:rsidR="00EE21A4" w:rsidRPr="00E9161E" w:rsidRDefault="00EE21A4" w:rsidP="00EE21A4">
            <w:pPr>
              <w:pStyle w:val="TableTextRight-Burden"/>
            </w:pPr>
            <w:r w:rsidRPr="00AE68B9">
              <w:t>4</w:t>
            </w:r>
          </w:p>
        </w:tc>
        <w:tc>
          <w:tcPr>
            <w:tcW w:w="1223" w:type="dxa"/>
            <w:tcBorders>
              <w:top w:val="nil"/>
              <w:left w:val="single" w:sz="4" w:space="0" w:color="auto"/>
              <w:bottom w:val="single" w:sz="4" w:space="0" w:color="auto"/>
              <w:right w:val="single" w:sz="4" w:space="0" w:color="auto"/>
            </w:tcBorders>
            <w:shd w:val="clear" w:color="auto" w:fill="auto"/>
            <w:hideMark/>
          </w:tcPr>
          <w:p w14:paraId="6AC66821" w14:textId="23640A9B" w:rsidR="00EE21A4" w:rsidRPr="004A02C7" w:rsidRDefault="00EE21A4" w:rsidP="00EE21A4">
            <w:pPr>
              <w:pStyle w:val="TableTextRight-Burden"/>
            </w:pPr>
            <w:r w:rsidRPr="00FF4963">
              <w:t>25</w:t>
            </w:r>
          </w:p>
        </w:tc>
        <w:tc>
          <w:tcPr>
            <w:tcW w:w="1350" w:type="dxa"/>
            <w:tcBorders>
              <w:top w:val="nil"/>
              <w:left w:val="nil"/>
              <w:bottom w:val="single" w:sz="4" w:space="0" w:color="auto"/>
              <w:right w:val="single" w:sz="4" w:space="0" w:color="auto"/>
            </w:tcBorders>
            <w:shd w:val="clear" w:color="auto" w:fill="auto"/>
            <w:hideMark/>
          </w:tcPr>
          <w:p w14:paraId="5895A103" w14:textId="6C9AE6E8" w:rsidR="00EE21A4" w:rsidRPr="004A02C7" w:rsidRDefault="00EE21A4" w:rsidP="00EE21A4">
            <w:pPr>
              <w:pStyle w:val="TableTextRight-Burden"/>
            </w:pPr>
            <w:r w:rsidRPr="00FF4963">
              <w:t>100</w:t>
            </w:r>
          </w:p>
        </w:tc>
        <w:tc>
          <w:tcPr>
            <w:tcW w:w="1155" w:type="dxa"/>
            <w:tcBorders>
              <w:top w:val="nil"/>
              <w:left w:val="nil"/>
              <w:bottom w:val="single" w:sz="4" w:space="0" w:color="auto"/>
              <w:right w:val="single" w:sz="4" w:space="0" w:color="auto"/>
            </w:tcBorders>
            <w:shd w:val="clear" w:color="auto" w:fill="auto"/>
            <w:hideMark/>
          </w:tcPr>
          <w:p w14:paraId="7F4EE6FF" w14:textId="4B1E51E7" w:rsidR="00EE21A4" w:rsidRPr="004A02C7" w:rsidRDefault="00EE21A4" w:rsidP="00EE21A4">
            <w:pPr>
              <w:pStyle w:val="TableTextRight-Burden"/>
            </w:pPr>
            <w:r w:rsidRPr="00FF4963">
              <w:t>5</w:t>
            </w:r>
          </w:p>
        </w:tc>
        <w:tc>
          <w:tcPr>
            <w:tcW w:w="1243" w:type="dxa"/>
            <w:tcBorders>
              <w:top w:val="nil"/>
              <w:left w:val="nil"/>
              <w:bottom w:val="single" w:sz="4" w:space="0" w:color="auto"/>
              <w:right w:val="single" w:sz="4" w:space="0" w:color="auto"/>
            </w:tcBorders>
            <w:shd w:val="clear" w:color="auto" w:fill="auto"/>
            <w:hideMark/>
          </w:tcPr>
          <w:p w14:paraId="1100CEF5" w14:textId="50C6EE01" w:rsidR="00EE21A4" w:rsidRPr="004A02C7" w:rsidRDefault="00EE21A4" w:rsidP="00EE21A4">
            <w:pPr>
              <w:pStyle w:val="TableTextRight-Burden"/>
            </w:pPr>
            <w:r w:rsidRPr="00FF4963">
              <w:t>10</w:t>
            </w:r>
          </w:p>
        </w:tc>
        <w:tc>
          <w:tcPr>
            <w:tcW w:w="1243" w:type="dxa"/>
            <w:tcBorders>
              <w:top w:val="nil"/>
              <w:left w:val="nil"/>
              <w:bottom w:val="single" w:sz="4" w:space="0" w:color="auto"/>
              <w:right w:val="single" w:sz="4" w:space="0" w:color="auto"/>
            </w:tcBorders>
            <w:shd w:val="clear" w:color="auto" w:fill="auto"/>
            <w:hideMark/>
          </w:tcPr>
          <w:p w14:paraId="67104C77" w14:textId="3986511F" w:rsidR="00EE21A4" w:rsidRPr="004A02C7" w:rsidRDefault="00EE21A4" w:rsidP="00EE21A4">
            <w:pPr>
              <w:pStyle w:val="TableTextRight-Burden"/>
            </w:pPr>
            <w:r w:rsidRPr="00FF4963">
              <w:t xml:space="preserve">$8,112 </w:t>
            </w:r>
          </w:p>
        </w:tc>
      </w:tr>
      <w:tr w:rsidR="00EE21A4" w:rsidRPr="00E9161E" w14:paraId="1D34FD6E"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2FF92AF5" w14:textId="035A8DEE" w:rsidR="00EE21A4" w:rsidRPr="00E9161E" w:rsidRDefault="00EE21A4" w:rsidP="00EE21A4">
            <w:pPr>
              <w:pStyle w:val="TableTextIndent3-Burden"/>
            </w:pPr>
            <w:r w:rsidRPr="00CE4851">
              <w:t>Conveyor Dryer (Con</w:t>
            </w:r>
            <w:r>
              <w:t>v</w:t>
            </w:r>
            <w:r w:rsidRPr="00CE4851">
              <w:t>Dry)</w:t>
            </w:r>
          </w:p>
        </w:tc>
        <w:tc>
          <w:tcPr>
            <w:tcW w:w="1242" w:type="dxa"/>
            <w:tcBorders>
              <w:top w:val="nil"/>
              <w:left w:val="nil"/>
              <w:bottom w:val="single" w:sz="4" w:space="0" w:color="auto"/>
              <w:right w:val="single" w:sz="4" w:space="0" w:color="auto"/>
            </w:tcBorders>
            <w:shd w:val="clear" w:color="auto" w:fill="auto"/>
            <w:hideMark/>
          </w:tcPr>
          <w:p w14:paraId="04F1B686" w14:textId="66A7536F" w:rsidR="00EE21A4" w:rsidRPr="00E9161E" w:rsidRDefault="00EE21A4" w:rsidP="00EE21A4">
            <w:pPr>
              <w:pStyle w:val="TableTextRight-Burden"/>
            </w:pPr>
            <w:r w:rsidRPr="00AE68B9">
              <w:t>4</w:t>
            </w:r>
          </w:p>
        </w:tc>
        <w:tc>
          <w:tcPr>
            <w:tcW w:w="1243" w:type="dxa"/>
            <w:tcBorders>
              <w:top w:val="nil"/>
              <w:left w:val="nil"/>
              <w:bottom w:val="single" w:sz="4" w:space="0" w:color="auto"/>
              <w:right w:val="single" w:sz="4" w:space="0" w:color="auto"/>
            </w:tcBorders>
            <w:shd w:val="clear" w:color="auto" w:fill="auto"/>
            <w:hideMark/>
          </w:tcPr>
          <w:p w14:paraId="47F3EB07" w14:textId="3C38A45D"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738C35CB" w14:textId="640651DC" w:rsidR="00EE21A4" w:rsidRPr="00E9161E" w:rsidRDefault="00EE21A4" w:rsidP="00EE21A4">
            <w:pPr>
              <w:pStyle w:val="TableTextRight-Burden"/>
            </w:pPr>
            <w:r w:rsidRPr="00AE68B9">
              <w:t>4</w:t>
            </w:r>
          </w:p>
        </w:tc>
        <w:tc>
          <w:tcPr>
            <w:tcW w:w="1223" w:type="dxa"/>
            <w:tcBorders>
              <w:top w:val="nil"/>
              <w:left w:val="single" w:sz="4" w:space="0" w:color="auto"/>
              <w:bottom w:val="single" w:sz="4" w:space="0" w:color="auto"/>
              <w:right w:val="single" w:sz="4" w:space="0" w:color="auto"/>
            </w:tcBorders>
            <w:shd w:val="clear" w:color="auto" w:fill="auto"/>
            <w:hideMark/>
          </w:tcPr>
          <w:p w14:paraId="64F8AD2C" w14:textId="4D62E94A" w:rsidR="00EE21A4" w:rsidRPr="004A02C7" w:rsidRDefault="00EE21A4" w:rsidP="00EE21A4">
            <w:pPr>
              <w:pStyle w:val="TableTextRight-Burden"/>
            </w:pPr>
            <w:r w:rsidRPr="00FF4963">
              <w:t>2</w:t>
            </w:r>
          </w:p>
        </w:tc>
        <w:tc>
          <w:tcPr>
            <w:tcW w:w="1350" w:type="dxa"/>
            <w:tcBorders>
              <w:top w:val="nil"/>
              <w:left w:val="nil"/>
              <w:bottom w:val="single" w:sz="4" w:space="0" w:color="auto"/>
              <w:right w:val="single" w:sz="4" w:space="0" w:color="auto"/>
            </w:tcBorders>
            <w:shd w:val="clear" w:color="auto" w:fill="auto"/>
            <w:hideMark/>
          </w:tcPr>
          <w:p w14:paraId="331857B6" w14:textId="1F2BB743" w:rsidR="00EE21A4" w:rsidRPr="004A02C7" w:rsidRDefault="00EE21A4" w:rsidP="00EE21A4">
            <w:pPr>
              <w:pStyle w:val="TableTextRight-Burden"/>
            </w:pPr>
            <w:r w:rsidRPr="00FF4963">
              <w:t>8</w:t>
            </w:r>
          </w:p>
        </w:tc>
        <w:tc>
          <w:tcPr>
            <w:tcW w:w="1155" w:type="dxa"/>
            <w:tcBorders>
              <w:top w:val="nil"/>
              <w:left w:val="nil"/>
              <w:bottom w:val="single" w:sz="4" w:space="0" w:color="auto"/>
              <w:right w:val="single" w:sz="4" w:space="0" w:color="auto"/>
            </w:tcBorders>
            <w:shd w:val="clear" w:color="auto" w:fill="auto"/>
            <w:hideMark/>
          </w:tcPr>
          <w:p w14:paraId="47E9BC14" w14:textId="1D741E5F" w:rsidR="00EE21A4" w:rsidRPr="004A02C7" w:rsidRDefault="00EE21A4" w:rsidP="00EE21A4">
            <w:pPr>
              <w:pStyle w:val="TableTextRight-Burden"/>
            </w:pPr>
            <w:r w:rsidRPr="00FF4963">
              <w:t>0</w:t>
            </w:r>
          </w:p>
        </w:tc>
        <w:tc>
          <w:tcPr>
            <w:tcW w:w="1243" w:type="dxa"/>
            <w:tcBorders>
              <w:top w:val="nil"/>
              <w:left w:val="nil"/>
              <w:bottom w:val="single" w:sz="4" w:space="0" w:color="auto"/>
              <w:right w:val="single" w:sz="4" w:space="0" w:color="auto"/>
            </w:tcBorders>
            <w:shd w:val="clear" w:color="auto" w:fill="auto"/>
            <w:hideMark/>
          </w:tcPr>
          <w:p w14:paraId="6CE138BC" w14:textId="33DD6D82" w:rsidR="00EE21A4" w:rsidRPr="004A02C7" w:rsidRDefault="00EE21A4" w:rsidP="00EE21A4">
            <w:pPr>
              <w:pStyle w:val="TableTextRight-Burden"/>
            </w:pPr>
            <w:r w:rsidRPr="00FF4963">
              <w:t>0.8</w:t>
            </w:r>
          </w:p>
        </w:tc>
        <w:tc>
          <w:tcPr>
            <w:tcW w:w="1243" w:type="dxa"/>
            <w:tcBorders>
              <w:top w:val="nil"/>
              <w:left w:val="nil"/>
              <w:bottom w:val="single" w:sz="4" w:space="0" w:color="auto"/>
              <w:right w:val="single" w:sz="4" w:space="0" w:color="auto"/>
            </w:tcBorders>
            <w:shd w:val="clear" w:color="auto" w:fill="auto"/>
            <w:hideMark/>
          </w:tcPr>
          <w:p w14:paraId="174A6C9A" w14:textId="47191B59" w:rsidR="00EE21A4" w:rsidRPr="004A02C7" w:rsidRDefault="00EE21A4" w:rsidP="00EE21A4">
            <w:pPr>
              <w:pStyle w:val="TableTextRight-Burden"/>
            </w:pPr>
            <w:r w:rsidRPr="00FF4963">
              <w:t xml:space="preserve">$649 </w:t>
            </w:r>
          </w:p>
        </w:tc>
      </w:tr>
      <w:tr w:rsidR="00EE21A4" w:rsidRPr="00E9161E" w14:paraId="2489CE7A"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14EB2241" w14:textId="70BB6028" w:rsidR="00EE21A4" w:rsidRPr="00E9161E" w:rsidRDefault="00EE21A4" w:rsidP="00EE21A4">
            <w:pPr>
              <w:pStyle w:val="TableTextIndent3-Burden"/>
            </w:pPr>
            <w:r w:rsidRPr="00CE4851">
              <w:t>Fiberboard/Hardboard Equipment (FB</w:t>
            </w:r>
            <w:r>
              <w:t>_</w:t>
            </w:r>
            <w:r w:rsidRPr="00CE4851">
              <w:t>HB)</w:t>
            </w:r>
          </w:p>
        </w:tc>
        <w:tc>
          <w:tcPr>
            <w:tcW w:w="1242" w:type="dxa"/>
            <w:tcBorders>
              <w:top w:val="nil"/>
              <w:left w:val="nil"/>
              <w:bottom w:val="single" w:sz="4" w:space="0" w:color="auto"/>
              <w:right w:val="single" w:sz="4" w:space="0" w:color="auto"/>
            </w:tcBorders>
            <w:shd w:val="clear" w:color="auto" w:fill="auto"/>
            <w:hideMark/>
          </w:tcPr>
          <w:p w14:paraId="1B8DE16C" w14:textId="3330BE83" w:rsidR="00EE21A4" w:rsidRPr="00E9161E" w:rsidRDefault="00EE21A4" w:rsidP="00EE21A4">
            <w:pPr>
              <w:pStyle w:val="TableTextRight-Burden"/>
            </w:pPr>
            <w:r w:rsidRPr="00AE68B9">
              <w:t>4</w:t>
            </w:r>
          </w:p>
        </w:tc>
        <w:tc>
          <w:tcPr>
            <w:tcW w:w="1243" w:type="dxa"/>
            <w:tcBorders>
              <w:top w:val="nil"/>
              <w:left w:val="nil"/>
              <w:bottom w:val="single" w:sz="4" w:space="0" w:color="auto"/>
              <w:right w:val="single" w:sz="4" w:space="0" w:color="auto"/>
            </w:tcBorders>
            <w:shd w:val="clear" w:color="auto" w:fill="auto"/>
            <w:hideMark/>
          </w:tcPr>
          <w:p w14:paraId="2D0D9C7D" w14:textId="70097ECE"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7E394059" w14:textId="37529CCC" w:rsidR="00EE21A4" w:rsidRPr="00E9161E" w:rsidRDefault="00EE21A4" w:rsidP="00EE21A4">
            <w:pPr>
              <w:pStyle w:val="TableTextRight-Burden"/>
            </w:pPr>
            <w:r w:rsidRPr="00AE68B9">
              <w:t>4</w:t>
            </w:r>
          </w:p>
        </w:tc>
        <w:tc>
          <w:tcPr>
            <w:tcW w:w="1223" w:type="dxa"/>
            <w:tcBorders>
              <w:top w:val="nil"/>
              <w:left w:val="single" w:sz="4" w:space="0" w:color="auto"/>
              <w:bottom w:val="single" w:sz="4" w:space="0" w:color="auto"/>
              <w:right w:val="single" w:sz="4" w:space="0" w:color="auto"/>
            </w:tcBorders>
            <w:shd w:val="clear" w:color="auto" w:fill="auto"/>
            <w:hideMark/>
          </w:tcPr>
          <w:p w14:paraId="75668779" w14:textId="589DFE2C" w:rsidR="00EE21A4" w:rsidRPr="004A02C7" w:rsidRDefault="00EE21A4" w:rsidP="00EE21A4">
            <w:pPr>
              <w:pStyle w:val="TableTextRight-Burden"/>
            </w:pPr>
            <w:r w:rsidRPr="00FF4963">
              <w:t>10</w:t>
            </w:r>
          </w:p>
        </w:tc>
        <w:tc>
          <w:tcPr>
            <w:tcW w:w="1350" w:type="dxa"/>
            <w:tcBorders>
              <w:top w:val="nil"/>
              <w:left w:val="nil"/>
              <w:bottom w:val="single" w:sz="4" w:space="0" w:color="auto"/>
              <w:right w:val="single" w:sz="4" w:space="0" w:color="auto"/>
            </w:tcBorders>
            <w:shd w:val="clear" w:color="auto" w:fill="auto"/>
            <w:hideMark/>
          </w:tcPr>
          <w:p w14:paraId="79681195" w14:textId="0E55AE2C" w:rsidR="00EE21A4" w:rsidRPr="004A02C7" w:rsidRDefault="00EE21A4" w:rsidP="00EE21A4">
            <w:pPr>
              <w:pStyle w:val="TableTextRight-Burden"/>
            </w:pPr>
            <w:r w:rsidRPr="00FF4963">
              <w:t>40</w:t>
            </w:r>
          </w:p>
        </w:tc>
        <w:tc>
          <w:tcPr>
            <w:tcW w:w="1155" w:type="dxa"/>
            <w:tcBorders>
              <w:top w:val="nil"/>
              <w:left w:val="nil"/>
              <w:bottom w:val="single" w:sz="4" w:space="0" w:color="auto"/>
              <w:right w:val="single" w:sz="4" w:space="0" w:color="auto"/>
            </w:tcBorders>
            <w:shd w:val="clear" w:color="auto" w:fill="auto"/>
            <w:hideMark/>
          </w:tcPr>
          <w:p w14:paraId="28777F3C" w14:textId="2503C643" w:rsidR="00EE21A4" w:rsidRPr="004A02C7" w:rsidRDefault="00EE21A4" w:rsidP="00EE21A4">
            <w:pPr>
              <w:pStyle w:val="TableTextRight-Burden"/>
            </w:pPr>
            <w:r w:rsidRPr="00FF4963">
              <w:t>2</w:t>
            </w:r>
          </w:p>
        </w:tc>
        <w:tc>
          <w:tcPr>
            <w:tcW w:w="1243" w:type="dxa"/>
            <w:tcBorders>
              <w:top w:val="nil"/>
              <w:left w:val="nil"/>
              <w:bottom w:val="single" w:sz="4" w:space="0" w:color="auto"/>
              <w:right w:val="single" w:sz="4" w:space="0" w:color="auto"/>
            </w:tcBorders>
            <w:shd w:val="clear" w:color="auto" w:fill="auto"/>
            <w:hideMark/>
          </w:tcPr>
          <w:p w14:paraId="0B58EF40" w14:textId="69615767" w:rsidR="00EE21A4" w:rsidRPr="004A02C7" w:rsidRDefault="00EE21A4" w:rsidP="00EE21A4">
            <w:pPr>
              <w:pStyle w:val="TableTextRight-Burden"/>
            </w:pPr>
            <w:r w:rsidRPr="00FF4963">
              <w:t>4</w:t>
            </w:r>
          </w:p>
        </w:tc>
        <w:tc>
          <w:tcPr>
            <w:tcW w:w="1243" w:type="dxa"/>
            <w:tcBorders>
              <w:top w:val="nil"/>
              <w:left w:val="nil"/>
              <w:bottom w:val="single" w:sz="4" w:space="0" w:color="auto"/>
              <w:right w:val="single" w:sz="4" w:space="0" w:color="auto"/>
            </w:tcBorders>
            <w:shd w:val="clear" w:color="auto" w:fill="auto"/>
            <w:hideMark/>
          </w:tcPr>
          <w:p w14:paraId="6DDF248B" w14:textId="2B7C8268" w:rsidR="00EE21A4" w:rsidRPr="004A02C7" w:rsidRDefault="00EE21A4" w:rsidP="00EE21A4">
            <w:pPr>
              <w:pStyle w:val="TableTextRight-Burden"/>
            </w:pPr>
            <w:r w:rsidRPr="00FF4963">
              <w:t xml:space="preserve">$3,245 </w:t>
            </w:r>
          </w:p>
        </w:tc>
      </w:tr>
      <w:tr w:rsidR="00EE21A4" w:rsidRPr="00E9161E" w14:paraId="24BDE081" w14:textId="77777777" w:rsidTr="00083090">
        <w:tc>
          <w:tcPr>
            <w:tcW w:w="4675" w:type="dxa"/>
            <w:tcBorders>
              <w:top w:val="nil"/>
              <w:left w:val="single" w:sz="4" w:space="0" w:color="auto"/>
              <w:bottom w:val="single" w:sz="4" w:space="0" w:color="auto"/>
              <w:right w:val="single" w:sz="4" w:space="0" w:color="auto"/>
            </w:tcBorders>
            <w:shd w:val="clear" w:color="auto" w:fill="auto"/>
          </w:tcPr>
          <w:p w14:paraId="3AAB6572" w14:textId="69EDFE89" w:rsidR="00EE21A4" w:rsidRPr="00CE4851" w:rsidRDefault="00EE21A4" w:rsidP="00EE21A4">
            <w:pPr>
              <w:pStyle w:val="TableTextIndent3-Burden"/>
            </w:pPr>
            <w:r w:rsidRPr="00D54BA0">
              <w:t>Lumber Kilns (L</w:t>
            </w:r>
            <w:r>
              <w:t>K</w:t>
            </w:r>
            <w:r w:rsidRPr="00D54BA0">
              <w:t>iln)</w:t>
            </w:r>
          </w:p>
        </w:tc>
        <w:tc>
          <w:tcPr>
            <w:tcW w:w="1242" w:type="dxa"/>
            <w:tcBorders>
              <w:top w:val="nil"/>
              <w:left w:val="nil"/>
              <w:bottom w:val="single" w:sz="4" w:space="0" w:color="auto"/>
              <w:right w:val="single" w:sz="4" w:space="0" w:color="auto"/>
            </w:tcBorders>
            <w:shd w:val="clear" w:color="auto" w:fill="auto"/>
          </w:tcPr>
          <w:p w14:paraId="5C5FA738" w14:textId="7E865F96" w:rsidR="00EE21A4" w:rsidRPr="00AE68B9" w:rsidRDefault="00EE21A4" w:rsidP="00EE21A4">
            <w:pPr>
              <w:pStyle w:val="TableTextRight-Burden"/>
            </w:pPr>
            <w:r w:rsidRPr="00AE68B9">
              <w:t>4</w:t>
            </w:r>
          </w:p>
        </w:tc>
        <w:tc>
          <w:tcPr>
            <w:tcW w:w="1243" w:type="dxa"/>
            <w:tcBorders>
              <w:top w:val="nil"/>
              <w:left w:val="nil"/>
              <w:bottom w:val="single" w:sz="4" w:space="0" w:color="auto"/>
              <w:right w:val="single" w:sz="4" w:space="0" w:color="auto"/>
            </w:tcBorders>
            <w:shd w:val="clear" w:color="auto" w:fill="auto"/>
          </w:tcPr>
          <w:p w14:paraId="5C9F0342" w14:textId="040E099D" w:rsidR="00EE21A4" w:rsidRPr="00AE68B9"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tcPr>
          <w:p w14:paraId="5B4CD4BD" w14:textId="299372ED" w:rsidR="00EE21A4" w:rsidRPr="00AE68B9" w:rsidRDefault="00EE21A4" w:rsidP="00EE21A4">
            <w:pPr>
              <w:pStyle w:val="TableTextRight-Burden"/>
            </w:pPr>
            <w:r w:rsidRPr="00AE68B9">
              <w:t>4</w:t>
            </w:r>
          </w:p>
        </w:tc>
        <w:tc>
          <w:tcPr>
            <w:tcW w:w="1223" w:type="dxa"/>
            <w:tcBorders>
              <w:top w:val="nil"/>
              <w:left w:val="single" w:sz="4" w:space="0" w:color="auto"/>
              <w:bottom w:val="single" w:sz="4" w:space="0" w:color="auto"/>
              <w:right w:val="single" w:sz="4" w:space="0" w:color="auto"/>
            </w:tcBorders>
            <w:shd w:val="clear" w:color="auto" w:fill="auto"/>
          </w:tcPr>
          <w:p w14:paraId="2D8A47BA" w14:textId="3B86CC3F" w:rsidR="00EE21A4" w:rsidRPr="00AE68B9" w:rsidRDefault="00EE21A4" w:rsidP="00EE21A4">
            <w:pPr>
              <w:pStyle w:val="TableTextRight-Burden"/>
            </w:pPr>
            <w:r w:rsidRPr="00FF4963">
              <w:t>29</w:t>
            </w:r>
          </w:p>
        </w:tc>
        <w:tc>
          <w:tcPr>
            <w:tcW w:w="1350" w:type="dxa"/>
            <w:tcBorders>
              <w:top w:val="nil"/>
              <w:left w:val="nil"/>
              <w:bottom w:val="single" w:sz="4" w:space="0" w:color="auto"/>
              <w:right w:val="single" w:sz="4" w:space="0" w:color="auto"/>
            </w:tcBorders>
            <w:shd w:val="clear" w:color="auto" w:fill="auto"/>
          </w:tcPr>
          <w:p w14:paraId="2CEE8815" w14:textId="33C460DE" w:rsidR="00EE21A4" w:rsidRPr="00AE68B9" w:rsidRDefault="00EE21A4" w:rsidP="00EE21A4">
            <w:pPr>
              <w:pStyle w:val="TableTextRight-Burden"/>
            </w:pPr>
            <w:r w:rsidRPr="00FF4963">
              <w:t>116</w:t>
            </w:r>
          </w:p>
        </w:tc>
        <w:tc>
          <w:tcPr>
            <w:tcW w:w="1155" w:type="dxa"/>
            <w:tcBorders>
              <w:top w:val="nil"/>
              <w:left w:val="nil"/>
              <w:bottom w:val="single" w:sz="4" w:space="0" w:color="auto"/>
              <w:right w:val="single" w:sz="4" w:space="0" w:color="auto"/>
            </w:tcBorders>
            <w:shd w:val="clear" w:color="auto" w:fill="auto"/>
          </w:tcPr>
          <w:p w14:paraId="55E75B7A" w14:textId="12EB1884" w:rsidR="00EE21A4" w:rsidRPr="00AE68B9" w:rsidRDefault="00EE21A4" w:rsidP="00EE21A4">
            <w:pPr>
              <w:pStyle w:val="TableTextRight-Burden"/>
            </w:pPr>
            <w:r w:rsidRPr="00FF4963">
              <w:t>6</w:t>
            </w:r>
          </w:p>
        </w:tc>
        <w:tc>
          <w:tcPr>
            <w:tcW w:w="1243" w:type="dxa"/>
            <w:tcBorders>
              <w:top w:val="nil"/>
              <w:left w:val="nil"/>
              <w:bottom w:val="single" w:sz="4" w:space="0" w:color="auto"/>
              <w:right w:val="single" w:sz="4" w:space="0" w:color="auto"/>
            </w:tcBorders>
            <w:shd w:val="clear" w:color="auto" w:fill="auto"/>
          </w:tcPr>
          <w:p w14:paraId="27AD4CF6" w14:textId="1E59B387" w:rsidR="00EE21A4" w:rsidRPr="00AE68B9" w:rsidRDefault="00EE21A4" w:rsidP="00EE21A4">
            <w:pPr>
              <w:pStyle w:val="TableTextRight-Burden"/>
            </w:pPr>
            <w:r w:rsidRPr="00FF4963">
              <w:t>11.6</w:t>
            </w:r>
          </w:p>
        </w:tc>
        <w:tc>
          <w:tcPr>
            <w:tcW w:w="1243" w:type="dxa"/>
            <w:tcBorders>
              <w:top w:val="nil"/>
              <w:left w:val="nil"/>
              <w:bottom w:val="single" w:sz="4" w:space="0" w:color="auto"/>
              <w:right w:val="single" w:sz="4" w:space="0" w:color="auto"/>
            </w:tcBorders>
            <w:shd w:val="clear" w:color="auto" w:fill="auto"/>
          </w:tcPr>
          <w:p w14:paraId="3E6E3396" w14:textId="76CE60A7" w:rsidR="00EE21A4" w:rsidRPr="00AE68B9" w:rsidRDefault="00EE21A4" w:rsidP="00EE21A4">
            <w:pPr>
              <w:pStyle w:val="TableTextRight-Burden"/>
            </w:pPr>
            <w:r w:rsidRPr="00FF4963">
              <w:t xml:space="preserve">$9,410 </w:t>
            </w:r>
          </w:p>
        </w:tc>
      </w:tr>
      <w:tr w:rsidR="00EE21A4" w:rsidRPr="00E9161E" w14:paraId="6C05C194"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55C2DA0A" w14:textId="77777777" w:rsidR="00EE21A4" w:rsidRPr="00E9161E" w:rsidRDefault="00EE21A4" w:rsidP="00EE21A4">
            <w:pPr>
              <w:pStyle w:val="TableTextIndent3-Burden"/>
            </w:pPr>
            <w:r w:rsidRPr="00CE4851">
              <w:t>Direct Fired Dryer Fuel (DFDryFuel)</w:t>
            </w:r>
          </w:p>
        </w:tc>
        <w:tc>
          <w:tcPr>
            <w:tcW w:w="1242" w:type="dxa"/>
            <w:tcBorders>
              <w:top w:val="nil"/>
              <w:left w:val="nil"/>
              <w:bottom w:val="single" w:sz="4" w:space="0" w:color="auto"/>
              <w:right w:val="single" w:sz="4" w:space="0" w:color="auto"/>
            </w:tcBorders>
            <w:shd w:val="clear" w:color="auto" w:fill="auto"/>
            <w:hideMark/>
          </w:tcPr>
          <w:p w14:paraId="2F33828F" w14:textId="54B0B7E1" w:rsidR="00EE21A4" w:rsidRPr="00E9161E" w:rsidRDefault="00EE21A4" w:rsidP="00EE21A4">
            <w:pPr>
              <w:pStyle w:val="TableTextRight-Burden"/>
            </w:pPr>
            <w:r w:rsidRPr="00AE68B9">
              <w:t>6</w:t>
            </w:r>
          </w:p>
        </w:tc>
        <w:tc>
          <w:tcPr>
            <w:tcW w:w="1243" w:type="dxa"/>
            <w:tcBorders>
              <w:top w:val="nil"/>
              <w:left w:val="nil"/>
              <w:bottom w:val="single" w:sz="4" w:space="0" w:color="auto"/>
              <w:right w:val="single" w:sz="4" w:space="0" w:color="auto"/>
            </w:tcBorders>
            <w:shd w:val="clear" w:color="auto" w:fill="auto"/>
            <w:hideMark/>
          </w:tcPr>
          <w:p w14:paraId="66246204" w14:textId="1A8B13A0"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1CD12AE4" w14:textId="647C8F47" w:rsidR="00EE21A4" w:rsidRPr="00E9161E" w:rsidRDefault="00EE21A4" w:rsidP="00EE21A4">
            <w:pPr>
              <w:pStyle w:val="TableTextRight-Burden"/>
            </w:pPr>
            <w:r w:rsidRPr="00AE68B9">
              <w:t>6</w:t>
            </w:r>
          </w:p>
        </w:tc>
        <w:tc>
          <w:tcPr>
            <w:tcW w:w="1223" w:type="dxa"/>
            <w:tcBorders>
              <w:top w:val="nil"/>
              <w:left w:val="single" w:sz="4" w:space="0" w:color="auto"/>
              <w:bottom w:val="single" w:sz="4" w:space="0" w:color="auto"/>
              <w:right w:val="single" w:sz="4" w:space="0" w:color="auto"/>
            </w:tcBorders>
            <w:shd w:val="clear" w:color="auto" w:fill="auto"/>
            <w:hideMark/>
          </w:tcPr>
          <w:p w14:paraId="1F6734D6" w14:textId="628F41F6" w:rsidR="00EE21A4" w:rsidRPr="004A02C7" w:rsidRDefault="00EE21A4" w:rsidP="00EE21A4">
            <w:pPr>
              <w:pStyle w:val="TableTextRight-Burden"/>
            </w:pPr>
            <w:r w:rsidRPr="00FF4963">
              <w:t>93</w:t>
            </w:r>
          </w:p>
        </w:tc>
        <w:tc>
          <w:tcPr>
            <w:tcW w:w="1350" w:type="dxa"/>
            <w:tcBorders>
              <w:top w:val="nil"/>
              <w:left w:val="nil"/>
              <w:bottom w:val="single" w:sz="4" w:space="0" w:color="auto"/>
              <w:right w:val="single" w:sz="4" w:space="0" w:color="auto"/>
            </w:tcBorders>
            <w:shd w:val="clear" w:color="auto" w:fill="auto"/>
            <w:hideMark/>
          </w:tcPr>
          <w:p w14:paraId="5562BE92" w14:textId="06BEADA3" w:rsidR="00EE21A4" w:rsidRPr="004A02C7" w:rsidRDefault="00EE21A4" w:rsidP="00EE21A4">
            <w:pPr>
              <w:pStyle w:val="TableTextRight-Burden"/>
            </w:pPr>
            <w:r w:rsidRPr="00FF4963">
              <w:t>558</w:t>
            </w:r>
          </w:p>
        </w:tc>
        <w:tc>
          <w:tcPr>
            <w:tcW w:w="1155" w:type="dxa"/>
            <w:tcBorders>
              <w:top w:val="nil"/>
              <w:left w:val="nil"/>
              <w:bottom w:val="single" w:sz="4" w:space="0" w:color="auto"/>
              <w:right w:val="single" w:sz="4" w:space="0" w:color="auto"/>
            </w:tcBorders>
            <w:shd w:val="clear" w:color="auto" w:fill="auto"/>
            <w:hideMark/>
          </w:tcPr>
          <w:p w14:paraId="4835D628" w14:textId="21201277" w:rsidR="00EE21A4" w:rsidRPr="004A02C7" w:rsidRDefault="00EE21A4" w:rsidP="00EE21A4">
            <w:pPr>
              <w:pStyle w:val="TableTextRight-Burden"/>
            </w:pPr>
            <w:r w:rsidRPr="00FF4963">
              <w:t>28</w:t>
            </w:r>
          </w:p>
        </w:tc>
        <w:tc>
          <w:tcPr>
            <w:tcW w:w="1243" w:type="dxa"/>
            <w:tcBorders>
              <w:top w:val="nil"/>
              <w:left w:val="nil"/>
              <w:bottom w:val="single" w:sz="4" w:space="0" w:color="auto"/>
              <w:right w:val="single" w:sz="4" w:space="0" w:color="auto"/>
            </w:tcBorders>
            <w:shd w:val="clear" w:color="auto" w:fill="auto"/>
            <w:hideMark/>
          </w:tcPr>
          <w:p w14:paraId="5465A4AE" w14:textId="1AB69DA0" w:rsidR="00EE21A4" w:rsidRPr="004A02C7" w:rsidRDefault="00EE21A4" w:rsidP="00EE21A4">
            <w:pPr>
              <w:pStyle w:val="TableTextRight-Burden"/>
            </w:pPr>
            <w:r w:rsidRPr="00FF4963">
              <w:t>55.8</w:t>
            </w:r>
          </w:p>
        </w:tc>
        <w:tc>
          <w:tcPr>
            <w:tcW w:w="1243" w:type="dxa"/>
            <w:tcBorders>
              <w:top w:val="nil"/>
              <w:left w:val="nil"/>
              <w:bottom w:val="single" w:sz="4" w:space="0" w:color="auto"/>
              <w:right w:val="single" w:sz="4" w:space="0" w:color="auto"/>
            </w:tcBorders>
            <w:shd w:val="clear" w:color="auto" w:fill="auto"/>
            <w:hideMark/>
          </w:tcPr>
          <w:p w14:paraId="5A6B937B" w14:textId="5C1DADB0" w:rsidR="00EE21A4" w:rsidRPr="004A02C7" w:rsidRDefault="00EE21A4" w:rsidP="00EE21A4">
            <w:pPr>
              <w:pStyle w:val="TableTextRight-Burden"/>
            </w:pPr>
            <w:r w:rsidRPr="00FF4963">
              <w:t xml:space="preserve">$45,265 </w:t>
            </w:r>
          </w:p>
        </w:tc>
      </w:tr>
      <w:tr w:rsidR="00EE21A4" w:rsidRPr="00E9161E" w14:paraId="5A3E6DFB"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33E03A2F" w14:textId="77777777" w:rsidR="00EE21A4" w:rsidRPr="00E9161E" w:rsidRDefault="00EE21A4" w:rsidP="00EE21A4">
            <w:pPr>
              <w:pStyle w:val="TableTextIndent3-Burden"/>
            </w:pPr>
            <w:r w:rsidRPr="00CE4851">
              <w:t>Press</w:t>
            </w:r>
          </w:p>
        </w:tc>
        <w:tc>
          <w:tcPr>
            <w:tcW w:w="1242" w:type="dxa"/>
            <w:tcBorders>
              <w:top w:val="nil"/>
              <w:left w:val="nil"/>
              <w:bottom w:val="single" w:sz="4" w:space="0" w:color="auto"/>
              <w:right w:val="single" w:sz="4" w:space="0" w:color="auto"/>
            </w:tcBorders>
            <w:shd w:val="clear" w:color="auto" w:fill="auto"/>
            <w:hideMark/>
          </w:tcPr>
          <w:p w14:paraId="3C24FACF" w14:textId="7FB32C87" w:rsidR="00EE21A4" w:rsidRPr="00E9161E" w:rsidRDefault="00EE21A4" w:rsidP="00EE21A4">
            <w:pPr>
              <w:pStyle w:val="TableTextRight-Burden"/>
            </w:pPr>
            <w:r w:rsidRPr="00AE68B9">
              <w:t>8</w:t>
            </w:r>
          </w:p>
        </w:tc>
        <w:tc>
          <w:tcPr>
            <w:tcW w:w="1243" w:type="dxa"/>
            <w:tcBorders>
              <w:top w:val="nil"/>
              <w:left w:val="nil"/>
              <w:bottom w:val="single" w:sz="4" w:space="0" w:color="auto"/>
              <w:right w:val="single" w:sz="4" w:space="0" w:color="auto"/>
            </w:tcBorders>
            <w:shd w:val="clear" w:color="auto" w:fill="auto"/>
            <w:hideMark/>
          </w:tcPr>
          <w:p w14:paraId="71B6B9F4" w14:textId="17C037C6"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0A08AEEB" w14:textId="44285CCE" w:rsidR="00EE21A4" w:rsidRPr="00E9161E" w:rsidRDefault="00EE21A4" w:rsidP="00EE21A4">
            <w:pPr>
              <w:pStyle w:val="TableTextRight-Burden"/>
            </w:pPr>
            <w:r w:rsidRPr="00AE68B9">
              <w:t>8</w:t>
            </w:r>
          </w:p>
        </w:tc>
        <w:tc>
          <w:tcPr>
            <w:tcW w:w="1223" w:type="dxa"/>
            <w:tcBorders>
              <w:top w:val="nil"/>
              <w:left w:val="single" w:sz="4" w:space="0" w:color="auto"/>
              <w:bottom w:val="single" w:sz="4" w:space="0" w:color="auto"/>
              <w:right w:val="single" w:sz="4" w:space="0" w:color="auto"/>
            </w:tcBorders>
            <w:shd w:val="clear" w:color="auto" w:fill="auto"/>
            <w:hideMark/>
          </w:tcPr>
          <w:p w14:paraId="0A2B28CB" w14:textId="1B05A109" w:rsidR="00EE21A4" w:rsidRPr="004A02C7" w:rsidRDefault="00EE21A4" w:rsidP="00EE21A4">
            <w:pPr>
              <w:pStyle w:val="TableTextRight-Burden"/>
            </w:pPr>
            <w:r w:rsidRPr="00FF4963">
              <w:t>156</w:t>
            </w:r>
          </w:p>
        </w:tc>
        <w:tc>
          <w:tcPr>
            <w:tcW w:w="1350" w:type="dxa"/>
            <w:tcBorders>
              <w:top w:val="nil"/>
              <w:left w:val="nil"/>
              <w:bottom w:val="single" w:sz="4" w:space="0" w:color="auto"/>
              <w:right w:val="single" w:sz="4" w:space="0" w:color="auto"/>
            </w:tcBorders>
            <w:shd w:val="clear" w:color="auto" w:fill="auto"/>
            <w:hideMark/>
          </w:tcPr>
          <w:p w14:paraId="34C8A8CC" w14:textId="04C42582" w:rsidR="00EE21A4" w:rsidRPr="004A02C7" w:rsidRDefault="00EE21A4" w:rsidP="00EE21A4">
            <w:pPr>
              <w:pStyle w:val="TableTextRight-Burden"/>
            </w:pPr>
            <w:r w:rsidRPr="00FF4963">
              <w:t>1,248</w:t>
            </w:r>
          </w:p>
        </w:tc>
        <w:tc>
          <w:tcPr>
            <w:tcW w:w="1155" w:type="dxa"/>
            <w:tcBorders>
              <w:top w:val="nil"/>
              <w:left w:val="nil"/>
              <w:bottom w:val="single" w:sz="4" w:space="0" w:color="auto"/>
              <w:right w:val="single" w:sz="4" w:space="0" w:color="auto"/>
            </w:tcBorders>
            <w:shd w:val="clear" w:color="auto" w:fill="auto"/>
            <w:hideMark/>
          </w:tcPr>
          <w:p w14:paraId="110064AB" w14:textId="665D3E48" w:rsidR="00EE21A4" w:rsidRPr="004A02C7" w:rsidRDefault="00EE21A4" w:rsidP="00EE21A4">
            <w:pPr>
              <w:pStyle w:val="TableTextRight-Burden"/>
            </w:pPr>
            <w:r w:rsidRPr="00FF4963">
              <w:t>62</w:t>
            </w:r>
          </w:p>
        </w:tc>
        <w:tc>
          <w:tcPr>
            <w:tcW w:w="1243" w:type="dxa"/>
            <w:tcBorders>
              <w:top w:val="nil"/>
              <w:left w:val="nil"/>
              <w:bottom w:val="single" w:sz="4" w:space="0" w:color="auto"/>
              <w:right w:val="single" w:sz="4" w:space="0" w:color="auto"/>
            </w:tcBorders>
            <w:shd w:val="clear" w:color="auto" w:fill="auto"/>
            <w:hideMark/>
          </w:tcPr>
          <w:p w14:paraId="57229D55" w14:textId="720A32DA" w:rsidR="00EE21A4" w:rsidRPr="004A02C7" w:rsidRDefault="00EE21A4" w:rsidP="00EE21A4">
            <w:pPr>
              <w:pStyle w:val="TableTextRight-Burden"/>
            </w:pPr>
            <w:r w:rsidRPr="00FF4963">
              <w:t>124.8</w:t>
            </w:r>
          </w:p>
        </w:tc>
        <w:tc>
          <w:tcPr>
            <w:tcW w:w="1243" w:type="dxa"/>
            <w:tcBorders>
              <w:top w:val="nil"/>
              <w:left w:val="nil"/>
              <w:bottom w:val="single" w:sz="4" w:space="0" w:color="auto"/>
              <w:right w:val="single" w:sz="4" w:space="0" w:color="auto"/>
            </w:tcBorders>
            <w:shd w:val="clear" w:color="auto" w:fill="auto"/>
            <w:hideMark/>
          </w:tcPr>
          <w:p w14:paraId="65FA9BF8" w14:textId="1DBEE14F" w:rsidR="00EE21A4" w:rsidRPr="004A02C7" w:rsidRDefault="00EE21A4" w:rsidP="00EE21A4">
            <w:pPr>
              <w:pStyle w:val="TableTextRight-Burden"/>
            </w:pPr>
            <w:r w:rsidRPr="00FF4963">
              <w:t xml:space="preserve">$101,238 </w:t>
            </w:r>
          </w:p>
        </w:tc>
      </w:tr>
      <w:tr w:rsidR="00EE21A4" w:rsidRPr="00E9161E" w14:paraId="6DDD8673"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280E1DD0" w14:textId="77777777" w:rsidR="00EE21A4" w:rsidRPr="00E9161E" w:rsidRDefault="00EE21A4" w:rsidP="00EE21A4">
            <w:pPr>
              <w:pStyle w:val="TableTextIndent3-Burden"/>
            </w:pPr>
            <w:r w:rsidRPr="00D54BA0">
              <w:t>Board Coolers (BC)</w:t>
            </w:r>
          </w:p>
        </w:tc>
        <w:tc>
          <w:tcPr>
            <w:tcW w:w="1242" w:type="dxa"/>
            <w:tcBorders>
              <w:top w:val="nil"/>
              <w:left w:val="nil"/>
              <w:bottom w:val="single" w:sz="4" w:space="0" w:color="auto"/>
              <w:right w:val="single" w:sz="4" w:space="0" w:color="auto"/>
            </w:tcBorders>
            <w:shd w:val="clear" w:color="auto" w:fill="auto"/>
            <w:hideMark/>
          </w:tcPr>
          <w:p w14:paraId="409A700E" w14:textId="57DB4137" w:rsidR="00EE21A4" w:rsidRPr="00E9161E" w:rsidRDefault="00EE21A4" w:rsidP="00EE21A4">
            <w:pPr>
              <w:pStyle w:val="TableTextRight-Burden"/>
            </w:pPr>
            <w:r w:rsidRPr="00AE68B9">
              <w:t>2</w:t>
            </w:r>
          </w:p>
        </w:tc>
        <w:tc>
          <w:tcPr>
            <w:tcW w:w="1243" w:type="dxa"/>
            <w:tcBorders>
              <w:top w:val="nil"/>
              <w:left w:val="nil"/>
              <w:bottom w:val="single" w:sz="4" w:space="0" w:color="auto"/>
              <w:right w:val="single" w:sz="4" w:space="0" w:color="auto"/>
            </w:tcBorders>
            <w:shd w:val="clear" w:color="auto" w:fill="auto"/>
            <w:hideMark/>
          </w:tcPr>
          <w:p w14:paraId="7FC9AB77" w14:textId="1161B75F"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76C3E106" w14:textId="6CC47507" w:rsidR="00EE21A4" w:rsidRPr="00E9161E" w:rsidRDefault="00EE21A4" w:rsidP="00EE21A4">
            <w:pPr>
              <w:pStyle w:val="TableTextRight-Burden"/>
            </w:pPr>
            <w:r w:rsidRPr="00AE68B9">
              <w:t>2</w:t>
            </w:r>
          </w:p>
        </w:tc>
        <w:tc>
          <w:tcPr>
            <w:tcW w:w="1223" w:type="dxa"/>
            <w:tcBorders>
              <w:top w:val="nil"/>
              <w:left w:val="single" w:sz="4" w:space="0" w:color="auto"/>
              <w:bottom w:val="single" w:sz="4" w:space="0" w:color="auto"/>
              <w:right w:val="single" w:sz="4" w:space="0" w:color="auto"/>
            </w:tcBorders>
            <w:shd w:val="clear" w:color="auto" w:fill="auto"/>
            <w:hideMark/>
          </w:tcPr>
          <w:p w14:paraId="539C997E" w14:textId="3F4FA5AE" w:rsidR="00EE21A4" w:rsidRPr="004A02C7" w:rsidRDefault="00EE21A4" w:rsidP="00EE21A4">
            <w:pPr>
              <w:pStyle w:val="TableTextRight-Burden"/>
            </w:pPr>
            <w:r w:rsidRPr="00FF4963">
              <w:t>38</w:t>
            </w:r>
          </w:p>
        </w:tc>
        <w:tc>
          <w:tcPr>
            <w:tcW w:w="1350" w:type="dxa"/>
            <w:tcBorders>
              <w:top w:val="nil"/>
              <w:left w:val="nil"/>
              <w:bottom w:val="single" w:sz="4" w:space="0" w:color="auto"/>
              <w:right w:val="single" w:sz="4" w:space="0" w:color="auto"/>
            </w:tcBorders>
            <w:shd w:val="clear" w:color="auto" w:fill="auto"/>
            <w:hideMark/>
          </w:tcPr>
          <w:p w14:paraId="39B9496C" w14:textId="5E3E78EF" w:rsidR="00EE21A4" w:rsidRPr="004A02C7" w:rsidRDefault="00EE21A4" w:rsidP="00EE21A4">
            <w:pPr>
              <w:pStyle w:val="TableTextRight-Burden"/>
            </w:pPr>
            <w:r w:rsidRPr="00FF4963">
              <w:t>76</w:t>
            </w:r>
          </w:p>
        </w:tc>
        <w:tc>
          <w:tcPr>
            <w:tcW w:w="1155" w:type="dxa"/>
            <w:tcBorders>
              <w:top w:val="nil"/>
              <w:left w:val="nil"/>
              <w:bottom w:val="single" w:sz="4" w:space="0" w:color="auto"/>
              <w:right w:val="single" w:sz="4" w:space="0" w:color="auto"/>
            </w:tcBorders>
            <w:shd w:val="clear" w:color="auto" w:fill="auto"/>
            <w:hideMark/>
          </w:tcPr>
          <w:p w14:paraId="14427520" w14:textId="5D82E519" w:rsidR="00EE21A4" w:rsidRPr="004A02C7" w:rsidRDefault="00EE21A4" w:rsidP="00EE21A4">
            <w:pPr>
              <w:pStyle w:val="TableTextRight-Burden"/>
            </w:pPr>
            <w:r w:rsidRPr="00FF4963">
              <w:t>4</w:t>
            </w:r>
          </w:p>
        </w:tc>
        <w:tc>
          <w:tcPr>
            <w:tcW w:w="1243" w:type="dxa"/>
            <w:tcBorders>
              <w:top w:val="nil"/>
              <w:left w:val="nil"/>
              <w:bottom w:val="single" w:sz="4" w:space="0" w:color="auto"/>
              <w:right w:val="single" w:sz="4" w:space="0" w:color="auto"/>
            </w:tcBorders>
            <w:shd w:val="clear" w:color="auto" w:fill="auto"/>
            <w:hideMark/>
          </w:tcPr>
          <w:p w14:paraId="54940BA4" w14:textId="5161AB9C" w:rsidR="00EE21A4" w:rsidRPr="004A02C7" w:rsidRDefault="00EE21A4" w:rsidP="00EE21A4">
            <w:pPr>
              <w:pStyle w:val="TableTextRight-Burden"/>
            </w:pPr>
            <w:r w:rsidRPr="00FF4963">
              <w:t>7.6</w:t>
            </w:r>
          </w:p>
        </w:tc>
        <w:tc>
          <w:tcPr>
            <w:tcW w:w="1243" w:type="dxa"/>
            <w:tcBorders>
              <w:top w:val="nil"/>
              <w:left w:val="nil"/>
              <w:bottom w:val="single" w:sz="4" w:space="0" w:color="auto"/>
              <w:right w:val="single" w:sz="4" w:space="0" w:color="auto"/>
            </w:tcBorders>
            <w:shd w:val="clear" w:color="auto" w:fill="auto"/>
            <w:hideMark/>
          </w:tcPr>
          <w:p w14:paraId="4E8F6333" w14:textId="71C1E675" w:rsidR="00EE21A4" w:rsidRPr="004A02C7" w:rsidRDefault="00EE21A4" w:rsidP="00EE21A4">
            <w:pPr>
              <w:pStyle w:val="TableTextRight-Burden"/>
            </w:pPr>
            <w:r w:rsidRPr="00FF4963">
              <w:t xml:space="preserve">$6,165 </w:t>
            </w:r>
          </w:p>
        </w:tc>
      </w:tr>
      <w:tr w:rsidR="00EE21A4" w:rsidRPr="00E9161E" w14:paraId="1F25B964"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667BCB55" w14:textId="77777777" w:rsidR="00EE21A4" w:rsidRPr="00E9161E" w:rsidRDefault="00EE21A4" w:rsidP="00EE21A4">
            <w:pPr>
              <w:pStyle w:val="TableTextIndent3-Burden"/>
            </w:pPr>
            <w:r w:rsidRPr="00D54BA0">
              <w:t>EWP Press (EWP)</w:t>
            </w:r>
          </w:p>
        </w:tc>
        <w:tc>
          <w:tcPr>
            <w:tcW w:w="1242" w:type="dxa"/>
            <w:tcBorders>
              <w:top w:val="nil"/>
              <w:left w:val="nil"/>
              <w:bottom w:val="single" w:sz="4" w:space="0" w:color="auto"/>
              <w:right w:val="single" w:sz="4" w:space="0" w:color="auto"/>
            </w:tcBorders>
            <w:shd w:val="clear" w:color="auto" w:fill="auto"/>
            <w:hideMark/>
          </w:tcPr>
          <w:p w14:paraId="363468E7" w14:textId="003C9FA8" w:rsidR="00EE21A4" w:rsidRPr="00E9161E" w:rsidRDefault="00EE21A4" w:rsidP="00EE21A4">
            <w:pPr>
              <w:pStyle w:val="TableTextRight-Burden"/>
            </w:pPr>
            <w:r w:rsidRPr="00AE68B9">
              <w:t>2</w:t>
            </w:r>
          </w:p>
        </w:tc>
        <w:tc>
          <w:tcPr>
            <w:tcW w:w="1243" w:type="dxa"/>
            <w:tcBorders>
              <w:top w:val="nil"/>
              <w:left w:val="nil"/>
              <w:bottom w:val="single" w:sz="4" w:space="0" w:color="auto"/>
              <w:right w:val="single" w:sz="4" w:space="0" w:color="auto"/>
            </w:tcBorders>
            <w:shd w:val="clear" w:color="auto" w:fill="auto"/>
            <w:hideMark/>
          </w:tcPr>
          <w:p w14:paraId="13A92469" w14:textId="30C5A1DC"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5AE6965A" w14:textId="28DF46BF" w:rsidR="00EE21A4" w:rsidRPr="00E9161E" w:rsidRDefault="00EE21A4" w:rsidP="00EE21A4">
            <w:pPr>
              <w:pStyle w:val="TableTextRight-Burden"/>
            </w:pPr>
            <w:r w:rsidRPr="00AE68B9">
              <w:t>2</w:t>
            </w:r>
          </w:p>
        </w:tc>
        <w:tc>
          <w:tcPr>
            <w:tcW w:w="1223" w:type="dxa"/>
            <w:tcBorders>
              <w:top w:val="nil"/>
              <w:left w:val="single" w:sz="4" w:space="0" w:color="auto"/>
              <w:bottom w:val="single" w:sz="4" w:space="0" w:color="auto"/>
              <w:right w:val="single" w:sz="4" w:space="0" w:color="auto"/>
            </w:tcBorders>
            <w:shd w:val="clear" w:color="auto" w:fill="auto"/>
            <w:hideMark/>
          </w:tcPr>
          <w:p w14:paraId="5B22DC1A" w14:textId="10864367" w:rsidR="00EE21A4" w:rsidRPr="004A02C7" w:rsidRDefault="00EE21A4" w:rsidP="00EE21A4">
            <w:pPr>
              <w:pStyle w:val="TableTextRight-Burden"/>
            </w:pPr>
            <w:r w:rsidRPr="00FF4963">
              <w:t>21</w:t>
            </w:r>
          </w:p>
        </w:tc>
        <w:tc>
          <w:tcPr>
            <w:tcW w:w="1350" w:type="dxa"/>
            <w:tcBorders>
              <w:top w:val="nil"/>
              <w:left w:val="nil"/>
              <w:bottom w:val="single" w:sz="4" w:space="0" w:color="auto"/>
              <w:right w:val="single" w:sz="4" w:space="0" w:color="auto"/>
            </w:tcBorders>
            <w:shd w:val="clear" w:color="auto" w:fill="auto"/>
            <w:hideMark/>
          </w:tcPr>
          <w:p w14:paraId="6362B061" w14:textId="375237FE" w:rsidR="00EE21A4" w:rsidRPr="004A02C7" w:rsidRDefault="00EE21A4" w:rsidP="00EE21A4">
            <w:pPr>
              <w:pStyle w:val="TableTextRight-Burden"/>
            </w:pPr>
            <w:r w:rsidRPr="00FF4963">
              <w:t>42</w:t>
            </w:r>
          </w:p>
        </w:tc>
        <w:tc>
          <w:tcPr>
            <w:tcW w:w="1155" w:type="dxa"/>
            <w:tcBorders>
              <w:top w:val="nil"/>
              <w:left w:val="nil"/>
              <w:bottom w:val="single" w:sz="4" w:space="0" w:color="auto"/>
              <w:right w:val="single" w:sz="4" w:space="0" w:color="auto"/>
            </w:tcBorders>
            <w:shd w:val="clear" w:color="auto" w:fill="auto"/>
            <w:hideMark/>
          </w:tcPr>
          <w:p w14:paraId="5C155865" w14:textId="370134DF" w:rsidR="00EE21A4" w:rsidRPr="004A02C7" w:rsidRDefault="00EE21A4" w:rsidP="00EE21A4">
            <w:pPr>
              <w:pStyle w:val="TableTextRight-Burden"/>
            </w:pPr>
            <w:r w:rsidRPr="00FF4963">
              <w:t>2</w:t>
            </w:r>
          </w:p>
        </w:tc>
        <w:tc>
          <w:tcPr>
            <w:tcW w:w="1243" w:type="dxa"/>
            <w:tcBorders>
              <w:top w:val="nil"/>
              <w:left w:val="nil"/>
              <w:bottom w:val="single" w:sz="4" w:space="0" w:color="auto"/>
              <w:right w:val="single" w:sz="4" w:space="0" w:color="auto"/>
            </w:tcBorders>
            <w:shd w:val="clear" w:color="auto" w:fill="auto"/>
            <w:hideMark/>
          </w:tcPr>
          <w:p w14:paraId="39ED0EC2" w14:textId="36D4B71A" w:rsidR="00EE21A4" w:rsidRPr="004A02C7" w:rsidRDefault="00EE21A4" w:rsidP="00EE21A4">
            <w:pPr>
              <w:pStyle w:val="TableTextRight-Burden"/>
            </w:pPr>
            <w:r w:rsidRPr="00FF4963">
              <w:t>4.2</w:t>
            </w:r>
          </w:p>
        </w:tc>
        <w:tc>
          <w:tcPr>
            <w:tcW w:w="1243" w:type="dxa"/>
            <w:tcBorders>
              <w:top w:val="nil"/>
              <w:left w:val="nil"/>
              <w:bottom w:val="single" w:sz="4" w:space="0" w:color="auto"/>
              <w:right w:val="single" w:sz="4" w:space="0" w:color="auto"/>
            </w:tcBorders>
            <w:shd w:val="clear" w:color="auto" w:fill="auto"/>
            <w:hideMark/>
          </w:tcPr>
          <w:p w14:paraId="565BE9D0" w14:textId="0E6C2B45" w:rsidR="00EE21A4" w:rsidRPr="004A02C7" w:rsidRDefault="00EE21A4" w:rsidP="00EE21A4">
            <w:pPr>
              <w:pStyle w:val="TableTextRight-Burden"/>
            </w:pPr>
            <w:r w:rsidRPr="00FF4963">
              <w:t xml:space="preserve">$3,407 </w:t>
            </w:r>
          </w:p>
        </w:tc>
      </w:tr>
      <w:tr w:rsidR="00EE21A4" w:rsidRPr="00E9161E" w14:paraId="570DCEF1"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03A330B2" w14:textId="77777777" w:rsidR="00EE21A4" w:rsidRPr="00E9161E" w:rsidRDefault="00EE21A4" w:rsidP="00EE21A4">
            <w:pPr>
              <w:pStyle w:val="TableTextIndent3-Burden"/>
            </w:pPr>
            <w:r w:rsidRPr="00D54BA0">
              <w:t>Other Equipment (OtherEquip)</w:t>
            </w:r>
          </w:p>
        </w:tc>
        <w:tc>
          <w:tcPr>
            <w:tcW w:w="1242" w:type="dxa"/>
            <w:tcBorders>
              <w:top w:val="nil"/>
              <w:left w:val="nil"/>
              <w:bottom w:val="single" w:sz="4" w:space="0" w:color="auto"/>
              <w:right w:val="single" w:sz="4" w:space="0" w:color="auto"/>
            </w:tcBorders>
            <w:shd w:val="clear" w:color="auto" w:fill="auto"/>
            <w:hideMark/>
          </w:tcPr>
          <w:p w14:paraId="268FCCD8" w14:textId="367E6180" w:rsidR="00EE21A4" w:rsidRPr="00E9161E" w:rsidRDefault="00EE21A4" w:rsidP="00EE21A4">
            <w:pPr>
              <w:pStyle w:val="TableTextRight-Burden"/>
            </w:pPr>
            <w:r w:rsidRPr="00AE68B9">
              <w:t>4</w:t>
            </w:r>
          </w:p>
        </w:tc>
        <w:tc>
          <w:tcPr>
            <w:tcW w:w="1243" w:type="dxa"/>
            <w:tcBorders>
              <w:top w:val="nil"/>
              <w:left w:val="nil"/>
              <w:bottom w:val="single" w:sz="4" w:space="0" w:color="auto"/>
              <w:right w:val="single" w:sz="4" w:space="0" w:color="auto"/>
            </w:tcBorders>
            <w:shd w:val="clear" w:color="auto" w:fill="auto"/>
            <w:hideMark/>
          </w:tcPr>
          <w:p w14:paraId="75B24C70" w14:textId="296F31DC"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542B59F3" w14:textId="29D88DE7" w:rsidR="00EE21A4" w:rsidRPr="00E9161E" w:rsidRDefault="00EE21A4" w:rsidP="00EE21A4">
            <w:pPr>
              <w:pStyle w:val="TableTextRight-Burden"/>
            </w:pPr>
            <w:r w:rsidRPr="00AE68B9">
              <w:t>4</w:t>
            </w:r>
          </w:p>
        </w:tc>
        <w:tc>
          <w:tcPr>
            <w:tcW w:w="1223" w:type="dxa"/>
            <w:tcBorders>
              <w:top w:val="nil"/>
              <w:left w:val="single" w:sz="4" w:space="0" w:color="auto"/>
              <w:bottom w:val="single" w:sz="4" w:space="0" w:color="auto"/>
              <w:right w:val="single" w:sz="4" w:space="0" w:color="auto"/>
            </w:tcBorders>
            <w:shd w:val="clear" w:color="auto" w:fill="auto"/>
            <w:hideMark/>
          </w:tcPr>
          <w:p w14:paraId="1E26A375" w14:textId="24F90505" w:rsidR="00EE21A4" w:rsidRPr="004A02C7" w:rsidRDefault="00EE21A4" w:rsidP="00EE21A4">
            <w:pPr>
              <w:pStyle w:val="TableTextRight-Burden"/>
            </w:pPr>
            <w:r w:rsidRPr="00FF4963">
              <w:t>186</w:t>
            </w:r>
          </w:p>
        </w:tc>
        <w:tc>
          <w:tcPr>
            <w:tcW w:w="1350" w:type="dxa"/>
            <w:tcBorders>
              <w:top w:val="nil"/>
              <w:left w:val="nil"/>
              <w:bottom w:val="single" w:sz="4" w:space="0" w:color="auto"/>
              <w:right w:val="single" w:sz="4" w:space="0" w:color="auto"/>
            </w:tcBorders>
            <w:shd w:val="clear" w:color="auto" w:fill="auto"/>
            <w:hideMark/>
          </w:tcPr>
          <w:p w14:paraId="4B5993B9" w14:textId="0AFA8F22" w:rsidR="00EE21A4" w:rsidRPr="004A02C7" w:rsidRDefault="00EE21A4" w:rsidP="00EE21A4">
            <w:pPr>
              <w:pStyle w:val="TableTextRight-Burden"/>
            </w:pPr>
            <w:r w:rsidRPr="00FF4963">
              <w:t>744</w:t>
            </w:r>
          </w:p>
        </w:tc>
        <w:tc>
          <w:tcPr>
            <w:tcW w:w="1155" w:type="dxa"/>
            <w:tcBorders>
              <w:top w:val="nil"/>
              <w:left w:val="nil"/>
              <w:bottom w:val="single" w:sz="4" w:space="0" w:color="auto"/>
              <w:right w:val="single" w:sz="4" w:space="0" w:color="auto"/>
            </w:tcBorders>
            <w:shd w:val="clear" w:color="auto" w:fill="auto"/>
            <w:hideMark/>
          </w:tcPr>
          <w:p w14:paraId="46850057" w14:textId="63402677" w:rsidR="00EE21A4" w:rsidRPr="004A02C7" w:rsidRDefault="00EE21A4" w:rsidP="00EE21A4">
            <w:pPr>
              <w:pStyle w:val="TableTextRight-Burden"/>
            </w:pPr>
            <w:r w:rsidRPr="00FF4963">
              <w:t>37</w:t>
            </w:r>
          </w:p>
        </w:tc>
        <w:tc>
          <w:tcPr>
            <w:tcW w:w="1243" w:type="dxa"/>
            <w:tcBorders>
              <w:top w:val="nil"/>
              <w:left w:val="nil"/>
              <w:bottom w:val="single" w:sz="4" w:space="0" w:color="auto"/>
              <w:right w:val="single" w:sz="4" w:space="0" w:color="auto"/>
            </w:tcBorders>
            <w:shd w:val="clear" w:color="auto" w:fill="auto"/>
            <w:hideMark/>
          </w:tcPr>
          <w:p w14:paraId="776AE52A" w14:textId="26F9C8F2" w:rsidR="00EE21A4" w:rsidRPr="004A02C7" w:rsidRDefault="00EE21A4" w:rsidP="00EE21A4">
            <w:pPr>
              <w:pStyle w:val="TableTextRight-Burden"/>
            </w:pPr>
            <w:r w:rsidRPr="00FF4963">
              <w:t>74.4</w:t>
            </w:r>
          </w:p>
        </w:tc>
        <w:tc>
          <w:tcPr>
            <w:tcW w:w="1243" w:type="dxa"/>
            <w:tcBorders>
              <w:top w:val="nil"/>
              <w:left w:val="nil"/>
              <w:bottom w:val="single" w:sz="4" w:space="0" w:color="auto"/>
              <w:right w:val="single" w:sz="4" w:space="0" w:color="auto"/>
            </w:tcBorders>
            <w:shd w:val="clear" w:color="auto" w:fill="auto"/>
            <w:hideMark/>
          </w:tcPr>
          <w:p w14:paraId="5AE67B1C" w14:textId="7DE213A4" w:rsidR="00EE21A4" w:rsidRPr="004A02C7" w:rsidRDefault="00EE21A4" w:rsidP="00EE21A4">
            <w:pPr>
              <w:pStyle w:val="TableTextRight-Burden"/>
            </w:pPr>
            <w:r w:rsidRPr="00FF4963">
              <w:t xml:space="preserve">$60,353 </w:t>
            </w:r>
          </w:p>
        </w:tc>
      </w:tr>
      <w:tr w:rsidR="00EE21A4" w:rsidRPr="00E9161E" w14:paraId="427B16EB"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47C8D15C" w14:textId="36FF1EF3" w:rsidR="00EE21A4" w:rsidRPr="00E9161E" w:rsidRDefault="00EE21A4" w:rsidP="00EE21A4">
            <w:pPr>
              <w:pStyle w:val="TableTextIndent3-Burden"/>
            </w:pPr>
            <w:r w:rsidRPr="00C92EAF">
              <w:t>Control Devices (APCD)</w:t>
            </w:r>
          </w:p>
        </w:tc>
        <w:tc>
          <w:tcPr>
            <w:tcW w:w="1242" w:type="dxa"/>
            <w:tcBorders>
              <w:top w:val="nil"/>
              <w:left w:val="nil"/>
              <w:bottom w:val="single" w:sz="4" w:space="0" w:color="auto"/>
              <w:right w:val="single" w:sz="4" w:space="0" w:color="auto"/>
            </w:tcBorders>
            <w:shd w:val="clear" w:color="auto" w:fill="auto"/>
            <w:hideMark/>
          </w:tcPr>
          <w:p w14:paraId="7E14A024" w14:textId="745313DC" w:rsidR="00EE21A4" w:rsidRPr="00E9161E" w:rsidRDefault="00EE21A4" w:rsidP="00EE21A4">
            <w:pPr>
              <w:pStyle w:val="TableTextRight-Burden"/>
            </w:pPr>
            <w:r w:rsidRPr="00AE68B9">
              <w:t>8</w:t>
            </w:r>
          </w:p>
        </w:tc>
        <w:tc>
          <w:tcPr>
            <w:tcW w:w="1243" w:type="dxa"/>
            <w:tcBorders>
              <w:top w:val="nil"/>
              <w:left w:val="nil"/>
              <w:bottom w:val="single" w:sz="4" w:space="0" w:color="auto"/>
              <w:right w:val="single" w:sz="4" w:space="0" w:color="auto"/>
            </w:tcBorders>
            <w:shd w:val="clear" w:color="auto" w:fill="auto"/>
            <w:hideMark/>
          </w:tcPr>
          <w:p w14:paraId="78509097" w14:textId="322DD8FB"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45C7F973" w14:textId="23E9EAFB" w:rsidR="00EE21A4" w:rsidRPr="00E9161E" w:rsidRDefault="00EE21A4" w:rsidP="00EE21A4">
            <w:pPr>
              <w:pStyle w:val="TableTextRight-Burden"/>
            </w:pPr>
            <w:r w:rsidRPr="00AE68B9">
              <w:t>8</w:t>
            </w:r>
          </w:p>
        </w:tc>
        <w:tc>
          <w:tcPr>
            <w:tcW w:w="1223" w:type="dxa"/>
            <w:tcBorders>
              <w:top w:val="nil"/>
              <w:left w:val="single" w:sz="4" w:space="0" w:color="auto"/>
              <w:bottom w:val="single" w:sz="4" w:space="0" w:color="auto"/>
              <w:right w:val="single" w:sz="4" w:space="0" w:color="auto"/>
            </w:tcBorders>
            <w:shd w:val="clear" w:color="auto" w:fill="auto"/>
            <w:hideMark/>
          </w:tcPr>
          <w:p w14:paraId="23B98FB7" w14:textId="74E39694" w:rsidR="00EE21A4" w:rsidRPr="004A02C7" w:rsidRDefault="00EE21A4" w:rsidP="00EE21A4">
            <w:pPr>
              <w:pStyle w:val="TableTextRight-Burden"/>
            </w:pPr>
            <w:r w:rsidRPr="00FF4963">
              <w:t>186</w:t>
            </w:r>
          </w:p>
        </w:tc>
        <w:tc>
          <w:tcPr>
            <w:tcW w:w="1350" w:type="dxa"/>
            <w:tcBorders>
              <w:top w:val="nil"/>
              <w:left w:val="nil"/>
              <w:bottom w:val="single" w:sz="4" w:space="0" w:color="auto"/>
              <w:right w:val="single" w:sz="4" w:space="0" w:color="auto"/>
            </w:tcBorders>
            <w:shd w:val="clear" w:color="auto" w:fill="auto"/>
            <w:hideMark/>
          </w:tcPr>
          <w:p w14:paraId="20CB1847" w14:textId="64E8487E" w:rsidR="00EE21A4" w:rsidRPr="004A02C7" w:rsidRDefault="00EE21A4" w:rsidP="00EE21A4">
            <w:pPr>
              <w:pStyle w:val="TableTextRight-Burden"/>
            </w:pPr>
            <w:r w:rsidRPr="00FF4963">
              <w:t>1,488</w:t>
            </w:r>
          </w:p>
        </w:tc>
        <w:tc>
          <w:tcPr>
            <w:tcW w:w="1155" w:type="dxa"/>
            <w:tcBorders>
              <w:top w:val="nil"/>
              <w:left w:val="nil"/>
              <w:bottom w:val="single" w:sz="4" w:space="0" w:color="auto"/>
              <w:right w:val="single" w:sz="4" w:space="0" w:color="auto"/>
            </w:tcBorders>
            <w:shd w:val="clear" w:color="auto" w:fill="auto"/>
            <w:hideMark/>
          </w:tcPr>
          <w:p w14:paraId="2A6F297F" w14:textId="1E9645F0" w:rsidR="00EE21A4" w:rsidRPr="004A02C7" w:rsidRDefault="00EE21A4" w:rsidP="00EE21A4">
            <w:pPr>
              <w:pStyle w:val="TableTextRight-Burden"/>
            </w:pPr>
            <w:r w:rsidRPr="00FF4963">
              <w:t>74</w:t>
            </w:r>
          </w:p>
        </w:tc>
        <w:tc>
          <w:tcPr>
            <w:tcW w:w="1243" w:type="dxa"/>
            <w:tcBorders>
              <w:top w:val="nil"/>
              <w:left w:val="nil"/>
              <w:bottom w:val="single" w:sz="4" w:space="0" w:color="auto"/>
              <w:right w:val="single" w:sz="4" w:space="0" w:color="auto"/>
            </w:tcBorders>
            <w:shd w:val="clear" w:color="auto" w:fill="auto"/>
            <w:hideMark/>
          </w:tcPr>
          <w:p w14:paraId="0597AE7A" w14:textId="26A98729" w:rsidR="00EE21A4" w:rsidRPr="004A02C7" w:rsidRDefault="00EE21A4" w:rsidP="00EE21A4">
            <w:pPr>
              <w:pStyle w:val="TableTextRight-Burden"/>
            </w:pPr>
            <w:r w:rsidRPr="00FF4963">
              <w:t>148.8</w:t>
            </w:r>
          </w:p>
        </w:tc>
        <w:tc>
          <w:tcPr>
            <w:tcW w:w="1243" w:type="dxa"/>
            <w:tcBorders>
              <w:top w:val="nil"/>
              <w:left w:val="nil"/>
              <w:bottom w:val="single" w:sz="4" w:space="0" w:color="auto"/>
              <w:right w:val="single" w:sz="4" w:space="0" w:color="auto"/>
            </w:tcBorders>
            <w:shd w:val="clear" w:color="auto" w:fill="auto"/>
            <w:hideMark/>
          </w:tcPr>
          <w:p w14:paraId="270D40C9" w14:textId="7F6F6421" w:rsidR="00EE21A4" w:rsidRPr="004A02C7" w:rsidRDefault="00EE21A4" w:rsidP="00EE21A4">
            <w:pPr>
              <w:pStyle w:val="TableTextRight-Burden"/>
            </w:pPr>
            <w:r w:rsidRPr="00FF4963">
              <w:t xml:space="preserve">$120,706 </w:t>
            </w:r>
          </w:p>
        </w:tc>
      </w:tr>
      <w:tr w:rsidR="00EE21A4" w:rsidRPr="00E9161E" w14:paraId="40E9F14A"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072AFC2F" w14:textId="1C2A8B46" w:rsidR="00EE21A4" w:rsidRPr="00E9161E" w:rsidRDefault="00EE21A4" w:rsidP="00EE21A4">
            <w:pPr>
              <w:pStyle w:val="TableTextIndent3-Burden"/>
            </w:pPr>
            <w:r w:rsidRPr="00C92EAF">
              <w:t>SSM</w:t>
            </w:r>
          </w:p>
        </w:tc>
        <w:tc>
          <w:tcPr>
            <w:tcW w:w="1242" w:type="dxa"/>
            <w:tcBorders>
              <w:top w:val="nil"/>
              <w:left w:val="nil"/>
              <w:bottom w:val="single" w:sz="4" w:space="0" w:color="auto"/>
              <w:right w:val="single" w:sz="4" w:space="0" w:color="auto"/>
            </w:tcBorders>
            <w:shd w:val="clear" w:color="auto" w:fill="auto"/>
            <w:hideMark/>
          </w:tcPr>
          <w:p w14:paraId="17193D24" w14:textId="272DC975" w:rsidR="00EE21A4" w:rsidRPr="00E9161E" w:rsidRDefault="00EE21A4" w:rsidP="00EE21A4">
            <w:pPr>
              <w:pStyle w:val="TableTextRight-Burden"/>
            </w:pPr>
            <w:r w:rsidRPr="00AE68B9">
              <w:t>8</w:t>
            </w:r>
          </w:p>
        </w:tc>
        <w:tc>
          <w:tcPr>
            <w:tcW w:w="1243" w:type="dxa"/>
            <w:tcBorders>
              <w:top w:val="nil"/>
              <w:left w:val="nil"/>
              <w:bottom w:val="single" w:sz="4" w:space="0" w:color="auto"/>
              <w:right w:val="single" w:sz="4" w:space="0" w:color="auto"/>
            </w:tcBorders>
            <w:shd w:val="clear" w:color="auto" w:fill="auto"/>
            <w:hideMark/>
          </w:tcPr>
          <w:p w14:paraId="3E4B4C0B" w14:textId="22965CDB"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69B12426" w14:textId="7D74FEBE" w:rsidR="00EE21A4" w:rsidRPr="00E9161E" w:rsidRDefault="00EE21A4" w:rsidP="00EE21A4">
            <w:pPr>
              <w:pStyle w:val="TableTextRight-Burden"/>
            </w:pPr>
            <w:r w:rsidRPr="00AE68B9">
              <w:t>8</w:t>
            </w:r>
          </w:p>
        </w:tc>
        <w:tc>
          <w:tcPr>
            <w:tcW w:w="1223" w:type="dxa"/>
            <w:tcBorders>
              <w:top w:val="nil"/>
              <w:left w:val="single" w:sz="4" w:space="0" w:color="auto"/>
              <w:bottom w:val="single" w:sz="4" w:space="0" w:color="auto"/>
              <w:right w:val="single" w:sz="4" w:space="0" w:color="auto"/>
            </w:tcBorders>
            <w:shd w:val="clear" w:color="auto" w:fill="auto"/>
            <w:hideMark/>
          </w:tcPr>
          <w:p w14:paraId="4BC4C40F" w14:textId="018C7A74" w:rsidR="00EE21A4" w:rsidRPr="004A02C7" w:rsidRDefault="00EE21A4" w:rsidP="00EE21A4">
            <w:pPr>
              <w:pStyle w:val="TableTextRight-Burden"/>
            </w:pPr>
            <w:r w:rsidRPr="00FF4963">
              <w:t>186</w:t>
            </w:r>
          </w:p>
        </w:tc>
        <w:tc>
          <w:tcPr>
            <w:tcW w:w="1350" w:type="dxa"/>
            <w:tcBorders>
              <w:top w:val="nil"/>
              <w:left w:val="nil"/>
              <w:bottom w:val="single" w:sz="4" w:space="0" w:color="auto"/>
              <w:right w:val="single" w:sz="4" w:space="0" w:color="auto"/>
            </w:tcBorders>
            <w:shd w:val="clear" w:color="auto" w:fill="auto"/>
            <w:hideMark/>
          </w:tcPr>
          <w:p w14:paraId="56A24FC3" w14:textId="5C748DC4" w:rsidR="00EE21A4" w:rsidRPr="004A02C7" w:rsidRDefault="00EE21A4" w:rsidP="00EE21A4">
            <w:pPr>
              <w:pStyle w:val="TableTextRight-Burden"/>
            </w:pPr>
            <w:r w:rsidRPr="00FF4963">
              <w:t>1,488</w:t>
            </w:r>
          </w:p>
        </w:tc>
        <w:tc>
          <w:tcPr>
            <w:tcW w:w="1155" w:type="dxa"/>
            <w:tcBorders>
              <w:top w:val="nil"/>
              <w:left w:val="nil"/>
              <w:bottom w:val="single" w:sz="4" w:space="0" w:color="auto"/>
              <w:right w:val="single" w:sz="4" w:space="0" w:color="auto"/>
            </w:tcBorders>
            <w:shd w:val="clear" w:color="auto" w:fill="auto"/>
            <w:hideMark/>
          </w:tcPr>
          <w:p w14:paraId="2BDABD4A" w14:textId="141947E8" w:rsidR="00EE21A4" w:rsidRPr="004A02C7" w:rsidRDefault="00EE21A4" w:rsidP="00EE21A4">
            <w:pPr>
              <w:pStyle w:val="TableTextRight-Burden"/>
            </w:pPr>
            <w:r w:rsidRPr="00FF4963">
              <w:t>74</w:t>
            </w:r>
          </w:p>
        </w:tc>
        <w:tc>
          <w:tcPr>
            <w:tcW w:w="1243" w:type="dxa"/>
            <w:tcBorders>
              <w:top w:val="nil"/>
              <w:left w:val="nil"/>
              <w:bottom w:val="single" w:sz="4" w:space="0" w:color="auto"/>
              <w:right w:val="single" w:sz="4" w:space="0" w:color="auto"/>
            </w:tcBorders>
            <w:shd w:val="clear" w:color="auto" w:fill="auto"/>
            <w:hideMark/>
          </w:tcPr>
          <w:p w14:paraId="019C845F" w14:textId="719ADB0B" w:rsidR="00EE21A4" w:rsidRPr="004A02C7" w:rsidRDefault="00EE21A4" w:rsidP="00EE21A4">
            <w:pPr>
              <w:pStyle w:val="TableTextRight-Burden"/>
            </w:pPr>
            <w:r w:rsidRPr="00FF4963">
              <w:t>148.8</w:t>
            </w:r>
          </w:p>
        </w:tc>
        <w:tc>
          <w:tcPr>
            <w:tcW w:w="1243" w:type="dxa"/>
            <w:tcBorders>
              <w:top w:val="nil"/>
              <w:left w:val="nil"/>
              <w:bottom w:val="single" w:sz="4" w:space="0" w:color="auto"/>
              <w:right w:val="single" w:sz="4" w:space="0" w:color="auto"/>
            </w:tcBorders>
            <w:shd w:val="clear" w:color="auto" w:fill="auto"/>
            <w:hideMark/>
          </w:tcPr>
          <w:p w14:paraId="6C8EE4BC" w14:textId="03EB9E56" w:rsidR="00EE21A4" w:rsidRPr="004A02C7" w:rsidRDefault="00EE21A4" w:rsidP="00EE21A4">
            <w:pPr>
              <w:pStyle w:val="TableTextRight-Burden"/>
            </w:pPr>
            <w:r w:rsidRPr="00FF4963">
              <w:t xml:space="preserve">$120,706 </w:t>
            </w:r>
          </w:p>
        </w:tc>
      </w:tr>
      <w:tr w:rsidR="00EE21A4" w:rsidRPr="00E9161E" w14:paraId="5EAD2C75"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69DA85F6" w14:textId="583915C2" w:rsidR="00EE21A4" w:rsidRPr="00E9161E" w:rsidRDefault="00EE21A4" w:rsidP="00EE21A4">
            <w:pPr>
              <w:pStyle w:val="TableTextIndent3-Burden"/>
            </w:pPr>
            <w:r w:rsidRPr="00C92EAF">
              <w:t>Miscellaneous Coatings (MiscCoat)</w:t>
            </w:r>
          </w:p>
        </w:tc>
        <w:tc>
          <w:tcPr>
            <w:tcW w:w="1242" w:type="dxa"/>
            <w:tcBorders>
              <w:top w:val="nil"/>
              <w:left w:val="nil"/>
              <w:bottom w:val="single" w:sz="4" w:space="0" w:color="auto"/>
              <w:right w:val="single" w:sz="4" w:space="0" w:color="auto"/>
            </w:tcBorders>
            <w:shd w:val="clear" w:color="auto" w:fill="auto"/>
            <w:hideMark/>
          </w:tcPr>
          <w:p w14:paraId="7F5225A6" w14:textId="210499FB" w:rsidR="00EE21A4" w:rsidRPr="00E9161E" w:rsidRDefault="00EE21A4" w:rsidP="00EE21A4">
            <w:pPr>
              <w:pStyle w:val="TableTextRight-Burden"/>
            </w:pPr>
            <w:r w:rsidRPr="00AE68B9">
              <w:t>4</w:t>
            </w:r>
          </w:p>
        </w:tc>
        <w:tc>
          <w:tcPr>
            <w:tcW w:w="1243" w:type="dxa"/>
            <w:tcBorders>
              <w:top w:val="nil"/>
              <w:left w:val="nil"/>
              <w:bottom w:val="single" w:sz="4" w:space="0" w:color="auto"/>
              <w:right w:val="single" w:sz="4" w:space="0" w:color="auto"/>
            </w:tcBorders>
            <w:shd w:val="clear" w:color="auto" w:fill="auto"/>
            <w:hideMark/>
          </w:tcPr>
          <w:p w14:paraId="0D7B581B" w14:textId="4893F83E"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4FEFAE98" w14:textId="6FA735FE" w:rsidR="00EE21A4" w:rsidRPr="00E9161E" w:rsidRDefault="00EE21A4" w:rsidP="00EE21A4">
            <w:pPr>
              <w:pStyle w:val="TableTextRight-Burden"/>
            </w:pPr>
            <w:r w:rsidRPr="00AE68B9">
              <w:t>4</w:t>
            </w:r>
          </w:p>
        </w:tc>
        <w:tc>
          <w:tcPr>
            <w:tcW w:w="1223" w:type="dxa"/>
            <w:tcBorders>
              <w:top w:val="nil"/>
              <w:left w:val="single" w:sz="4" w:space="0" w:color="auto"/>
              <w:bottom w:val="single" w:sz="4" w:space="0" w:color="auto"/>
              <w:right w:val="single" w:sz="4" w:space="0" w:color="auto"/>
            </w:tcBorders>
            <w:shd w:val="clear" w:color="auto" w:fill="auto"/>
            <w:hideMark/>
          </w:tcPr>
          <w:p w14:paraId="3909CC32" w14:textId="2720EA41" w:rsidR="00EE21A4" w:rsidRPr="004A02C7" w:rsidRDefault="00EE21A4" w:rsidP="00EE21A4">
            <w:pPr>
              <w:pStyle w:val="TableTextRight-Burden"/>
            </w:pPr>
            <w:r w:rsidRPr="00FF4963">
              <w:t>186</w:t>
            </w:r>
          </w:p>
        </w:tc>
        <w:tc>
          <w:tcPr>
            <w:tcW w:w="1350" w:type="dxa"/>
            <w:tcBorders>
              <w:top w:val="nil"/>
              <w:left w:val="nil"/>
              <w:bottom w:val="single" w:sz="4" w:space="0" w:color="auto"/>
              <w:right w:val="single" w:sz="4" w:space="0" w:color="auto"/>
            </w:tcBorders>
            <w:shd w:val="clear" w:color="auto" w:fill="auto"/>
            <w:hideMark/>
          </w:tcPr>
          <w:p w14:paraId="47EB5EE0" w14:textId="64B09E58" w:rsidR="00EE21A4" w:rsidRPr="004A02C7" w:rsidRDefault="00EE21A4" w:rsidP="00EE21A4">
            <w:pPr>
              <w:pStyle w:val="TableTextRight-Burden"/>
            </w:pPr>
            <w:r w:rsidRPr="00FF4963">
              <w:t>744</w:t>
            </w:r>
          </w:p>
        </w:tc>
        <w:tc>
          <w:tcPr>
            <w:tcW w:w="1155" w:type="dxa"/>
            <w:tcBorders>
              <w:top w:val="nil"/>
              <w:left w:val="nil"/>
              <w:bottom w:val="single" w:sz="4" w:space="0" w:color="auto"/>
              <w:right w:val="single" w:sz="4" w:space="0" w:color="auto"/>
            </w:tcBorders>
            <w:shd w:val="clear" w:color="auto" w:fill="auto"/>
            <w:hideMark/>
          </w:tcPr>
          <w:p w14:paraId="2BA38082" w14:textId="27E88726" w:rsidR="00EE21A4" w:rsidRPr="004A02C7" w:rsidRDefault="00EE21A4" w:rsidP="00EE21A4">
            <w:pPr>
              <w:pStyle w:val="TableTextRight-Burden"/>
            </w:pPr>
            <w:r w:rsidRPr="00FF4963">
              <w:t>37</w:t>
            </w:r>
          </w:p>
        </w:tc>
        <w:tc>
          <w:tcPr>
            <w:tcW w:w="1243" w:type="dxa"/>
            <w:tcBorders>
              <w:top w:val="nil"/>
              <w:left w:val="nil"/>
              <w:bottom w:val="single" w:sz="4" w:space="0" w:color="auto"/>
              <w:right w:val="single" w:sz="4" w:space="0" w:color="auto"/>
            </w:tcBorders>
            <w:shd w:val="clear" w:color="auto" w:fill="auto"/>
            <w:hideMark/>
          </w:tcPr>
          <w:p w14:paraId="3A85B97E" w14:textId="682932FF" w:rsidR="00EE21A4" w:rsidRPr="004A02C7" w:rsidRDefault="00EE21A4" w:rsidP="00EE21A4">
            <w:pPr>
              <w:pStyle w:val="TableTextRight-Burden"/>
            </w:pPr>
            <w:r w:rsidRPr="00FF4963">
              <w:t>74.4</w:t>
            </w:r>
          </w:p>
        </w:tc>
        <w:tc>
          <w:tcPr>
            <w:tcW w:w="1243" w:type="dxa"/>
            <w:tcBorders>
              <w:top w:val="nil"/>
              <w:left w:val="nil"/>
              <w:bottom w:val="single" w:sz="4" w:space="0" w:color="auto"/>
              <w:right w:val="single" w:sz="4" w:space="0" w:color="auto"/>
            </w:tcBorders>
            <w:shd w:val="clear" w:color="auto" w:fill="auto"/>
            <w:hideMark/>
          </w:tcPr>
          <w:p w14:paraId="3729EE71" w14:textId="1364D3F1" w:rsidR="00EE21A4" w:rsidRPr="004A02C7" w:rsidRDefault="00EE21A4" w:rsidP="00EE21A4">
            <w:pPr>
              <w:pStyle w:val="TableTextRight-Burden"/>
            </w:pPr>
            <w:r w:rsidRPr="00FF4963">
              <w:t xml:space="preserve">$60,353 </w:t>
            </w:r>
          </w:p>
        </w:tc>
      </w:tr>
      <w:tr w:rsidR="00EE21A4" w:rsidRPr="00E9161E" w14:paraId="4FDB09C2"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348F6251" w14:textId="149B83D9" w:rsidR="00EE21A4" w:rsidRPr="00E9161E" w:rsidRDefault="00EE21A4" w:rsidP="00EE21A4">
            <w:pPr>
              <w:pStyle w:val="TableTextIndent3-Burden"/>
            </w:pPr>
            <w:r w:rsidRPr="00C92EAF">
              <w:t>Wastewater (WW)</w:t>
            </w:r>
          </w:p>
        </w:tc>
        <w:tc>
          <w:tcPr>
            <w:tcW w:w="1242" w:type="dxa"/>
            <w:tcBorders>
              <w:top w:val="nil"/>
              <w:left w:val="nil"/>
              <w:bottom w:val="single" w:sz="4" w:space="0" w:color="auto"/>
              <w:right w:val="single" w:sz="4" w:space="0" w:color="auto"/>
            </w:tcBorders>
            <w:shd w:val="clear" w:color="auto" w:fill="auto"/>
            <w:hideMark/>
          </w:tcPr>
          <w:p w14:paraId="7BBB80C8" w14:textId="2D1DE929" w:rsidR="00EE21A4" w:rsidRPr="00E9161E" w:rsidRDefault="00EE21A4" w:rsidP="00EE21A4">
            <w:pPr>
              <w:pStyle w:val="TableTextRight-Burden"/>
            </w:pPr>
            <w:r w:rsidRPr="00AE68B9">
              <w:t>8</w:t>
            </w:r>
          </w:p>
        </w:tc>
        <w:tc>
          <w:tcPr>
            <w:tcW w:w="1243" w:type="dxa"/>
            <w:tcBorders>
              <w:top w:val="nil"/>
              <w:left w:val="nil"/>
              <w:bottom w:val="single" w:sz="4" w:space="0" w:color="auto"/>
              <w:right w:val="single" w:sz="4" w:space="0" w:color="auto"/>
            </w:tcBorders>
            <w:shd w:val="clear" w:color="auto" w:fill="auto"/>
            <w:hideMark/>
          </w:tcPr>
          <w:p w14:paraId="6348842C" w14:textId="6F868EC0"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70036E36" w14:textId="181F592F" w:rsidR="00EE21A4" w:rsidRPr="00E9161E" w:rsidRDefault="00EE21A4" w:rsidP="00EE21A4">
            <w:pPr>
              <w:pStyle w:val="TableTextRight-Burden"/>
            </w:pPr>
            <w:r w:rsidRPr="00AE68B9">
              <w:t>8</w:t>
            </w:r>
          </w:p>
        </w:tc>
        <w:tc>
          <w:tcPr>
            <w:tcW w:w="1223" w:type="dxa"/>
            <w:tcBorders>
              <w:top w:val="nil"/>
              <w:left w:val="single" w:sz="4" w:space="0" w:color="auto"/>
              <w:bottom w:val="single" w:sz="4" w:space="0" w:color="auto"/>
              <w:right w:val="single" w:sz="4" w:space="0" w:color="auto"/>
            </w:tcBorders>
            <w:shd w:val="clear" w:color="auto" w:fill="auto"/>
            <w:hideMark/>
          </w:tcPr>
          <w:p w14:paraId="4EA812D7" w14:textId="51CBF5B2" w:rsidR="00EE21A4" w:rsidRPr="004A02C7" w:rsidRDefault="00EE21A4" w:rsidP="00EE21A4">
            <w:pPr>
              <w:pStyle w:val="TableTextRight-Burden"/>
            </w:pPr>
            <w:r w:rsidRPr="00FF4963">
              <w:t>64</w:t>
            </w:r>
          </w:p>
        </w:tc>
        <w:tc>
          <w:tcPr>
            <w:tcW w:w="1350" w:type="dxa"/>
            <w:tcBorders>
              <w:top w:val="nil"/>
              <w:left w:val="nil"/>
              <w:bottom w:val="single" w:sz="4" w:space="0" w:color="auto"/>
              <w:right w:val="single" w:sz="4" w:space="0" w:color="auto"/>
            </w:tcBorders>
            <w:shd w:val="clear" w:color="auto" w:fill="auto"/>
            <w:hideMark/>
          </w:tcPr>
          <w:p w14:paraId="20E79A73" w14:textId="719A4C8C" w:rsidR="00EE21A4" w:rsidRPr="004A02C7" w:rsidRDefault="00EE21A4" w:rsidP="00EE21A4">
            <w:pPr>
              <w:pStyle w:val="TableTextRight-Burden"/>
            </w:pPr>
            <w:r w:rsidRPr="00FF4963">
              <w:t>512</w:t>
            </w:r>
          </w:p>
        </w:tc>
        <w:tc>
          <w:tcPr>
            <w:tcW w:w="1155" w:type="dxa"/>
            <w:tcBorders>
              <w:top w:val="nil"/>
              <w:left w:val="nil"/>
              <w:bottom w:val="single" w:sz="4" w:space="0" w:color="auto"/>
              <w:right w:val="single" w:sz="4" w:space="0" w:color="auto"/>
            </w:tcBorders>
            <w:shd w:val="clear" w:color="auto" w:fill="auto"/>
            <w:hideMark/>
          </w:tcPr>
          <w:p w14:paraId="701CE72B" w14:textId="4DB2432F" w:rsidR="00EE21A4" w:rsidRPr="004A02C7" w:rsidRDefault="00EE21A4" w:rsidP="00EE21A4">
            <w:pPr>
              <w:pStyle w:val="TableTextRight-Burden"/>
            </w:pPr>
            <w:r w:rsidRPr="00FF4963">
              <w:t>26</w:t>
            </w:r>
          </w:p>
        </w:tc>
        <w:tc>
          <w:tcPr>
            <w:tcW w:w="1243" w:type="dxa"/>
            <w:tcBorders>
              <w:top w:val="nil"/>
              <w:left w:val="nil"/>
              <w:bottom w:val="single" w:sz="4" w:space="0" w:color="auto"/>
              <w:right w:val="single" w:sz="4" w:space="0" w:color="auto"/>
            </w:tcBorders>
            <w:shd w:val="clear" w:color="auto" w:fill="auto"/>
            <w:hideMark/>
          </w:tcPr>
          <w:p w14:paraId="1FDD6212" w14:textId="01E84C91" w:rsidR="00EE21A4" w:rsidRPr="004A02C7" w:rsidRDefault="00EE21A4" w:rsidP="00EE21A4">
            <w:pPr>
              <w:pStyle w:val="TableTextRight-Burden"/>
            </w:pPr>
            <w:r w:rsidRPr="00FF4963">
              <w:t>51.2</w:t>
            </w:r>
          </w:p>
        </w:tc>
        <w:tc>
          <w:tcPr>
            <w:tcW w:w="1243" w:type="dxa"/>
            <w:tcBorders>
              <w:top w:val="nil"/>
              <w:left w:val="nil"/>
              <w:bottom w:val="single" w:sz="4" w:space="0" w:color="auto"/>
              <w:right w:val="single" w:sz="4" w:space="0" w:color="auto"/>
            </w:tcBorders>
            <w:shd w:val="clear" w:color="auto" w:fill="auto"/>
            <w:hideMark/>
          </w:tcPr>
          <w:p w14:paraId="0B08135A" w14:textId="4751215E" w:rsidR="00EE21A4" w:rsidRPr="004A02C7" w:rsidRDefault="00EE21A4" w:rsidP="00EE21A4">
            <w:pPr>
              <w:pStyle w:val="TableTextRight-Burden"/>
            </w:pPr>
            <w:r w:rsidRPr="00FF4963">
              <w:t xml:space="preserve">$41,533 </w:t>
            </w:r>
          </w:p>
        </w:tc>
      </w:tr>
      <w:tr w:rsidR="00EE21A4" w:rsidRPr="00E9161E" w14:paraId="6BA47B5A"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21123BCF" w14:textId="7E2A032B" w:rsidR="00EE21A4" w:rsidRPr="00E9161E" w:rsidRDefault="00EE21A4" w:rsidP="00EE21A4">
            <w:pPr>
              <w:pStyle w:val="TableTextIndent3-Burden"/>
            </w:pPr>
            <w:r w:rsidRPr="00C92EAF">
              <w:t>Emission Tests (EmTest)</w:t>
            </w:r>
            <w:r w:rsidRPr="00C607D3">
              <w:rPr>
                <w:rStyle w:val="Superscript"/>
              </w:rPr>
              <w:t>3</w:t>
            </w:r>
          </w:p>
        </w:tc>
        <w:tc>
          <w:tcPr>
            <w:tcW w:w="1242" w:type="dxa"/>
            <w:tcBorders>
              <w:top w:val="nil"/>
              <w:left w:val="nil"/>
              <w:bottom w:val="single" w:sz="4" w:space="0" w:color="auto"/>
              <w:right w:val="single" w:sz="4" w:space="0" w:color="auto"/>
            </w:tcBorders>
            <w:shd w:val="clear" w:color="auto" w:fill="auto"/>
            <w:hideMark/>
          </w:tcPr>
          <w:p w14:paraId="538D2FFE" w14:textId="63A383AC" w:rsidR="00EE21A4" w:rsidRPr="00E9161E" w:rsidRDefault="00EE21A4" w:rsidP="00EE21A4">
            <w:pPr>
              <w:pStyle w:val="TableTextRight-Burden"/>
            </w:pPr>
            <w:r w:rsidRPr="00A32C07">
              <w:t>8</w:t>
            </w:r>
          </w:p>
        </w:tc>
        <w:tc>
          <w:tcPr>
            <w:tcW w:w="1243" w:type="dxa"/>
            <w:tcBorders>
              <w:top w:val="nil"/>
              <w:left w:val="nil"/>
              <w:bottom w:val="single" w:sz="4" w:space="0" w:color="auto"/>
              <w:right w:val="single" w:sz="4" w:space="0" w:color="auto"/>
            </w:tcBorders>
            <w:shd w:val="clear" w:color="auto" w:fill="auto"/>
            <w:hideMark/>
          </w:tcPr>
          <w:p w14:paraId="6A76FB29" w14:textId="12FF43C4" w:rsidR="00EE21A4" w:rsidRPr="00E9161E" w:rsidRDefault="00EE21A4" w:rsidP="00EE21A4">
            <w:pPr>
              <w:pStyle w:val="TableTextRight-Burden"/>
            </w:pPr>
            <w:r w:rsidRPr="00A32C07">
              <w:t>1</w:t>
            </w:r>
          </w:p>
        </w:tc>
        <w:tc>
          <w:tcPr>
            <w:tcW w:w="1242" w:type="dxa"/>
            <w:tcBorders>
              <w:top w:val="nil"/>
              <w:left w:val="nil"/>
              <w:bottom w:val="single" w:sz="4" w:space="0" w:color="auto"/>
              <w:right w:val="single" w:sz="4" w:space="0" w:color="auto"/>
            </w:tcBorders>
            <w:shd w:val="clear" w:color="auto" w:fill="auto"/>
            <w:hideMark/>
          </w:tcPr>
          <w:p w14:paraId="718E5691" w14:textId="65D7675B" w:rsidR="00EE21A4" w:rsidRPr="00E9161E" w:rsidRDefault="00EE21A4" w:rsidP="00EE21A4">
            <w:pPr>
              <w:pStyle w:val="TableTextRight-Burden"/>
            </w:pPr>
            <w:r w:rsidRPr="00A32C07">
              <w:t>8</w:t>
            </w:r>
          </w:p>
        </w:tc>
        <w:tc>
          <w:tcPr>
            <w:tcW w:w="1223" w:type="dxa"/>
            <w:tcBorders>
              <w:top w:val="nil"/>
              <w:left w:val="single" w:sz="4" w:space="0" w:color="auto"/>
              <w:bottom w:val="single" w:sz="4" w:space="0" w:color="auto"/>
              <w:right w:val="single" w:sz="4" w:space="0" w:color="auto"/>
            </w:tcBorders>
            <w:shd w:val="clear" w:color="auto" w:fill="auto"/>
            <w:hideMark/>
          </w:tcPr>
          <w:p w14:paraId="7C9BF07C" w14:textId="75DEBF14" w:rsidR="00EE21A4" w:rsidRPr="004A02C7" w:rsidRDefault="00EE21A4" w:rsidP="00EE21A4">
            <w:pPr>
              <w:pStyle w:val="TableTextRight-Burden"/>
            </w:pPr>
            <w:r w:rsidRPr="00FF4963">
              <w:t>186</w:t>
            </w:r>
          </w:p>
        </w:tc>
        <w:tc>
          <w:tcPr>
            <w:tcW w:w="1350" w:type="dxa"/>
            <w:tcBorders>
              <w:top w:val="nil"/>
              <w:left w:val="nil"/>
              <w:bottom w:val="single" w:sz="4" w:space="0" w:color="auto"/>
              <w:right w:val="single" w:sz="4" w:space="0" w:color="auto"/>
            </w:tcBorders>
            <w:shd w:val="clear" w:color="auto" w:fill="auto"/>
            <w:hideMark/>
          </w:tcPr>
          <w:p w14:paraId="0565AFF9" w14:textId="50F158DB" w:rsidR="00EE21A4" w:rsidRPr="004A02C7" w:rsidRDefault="00EE21A4" w:rsidP="00EE21A4">
            <w:pPr>
              <w:pStyle w:val="TableTextRight-Burden"/>
            </w:pPr>
            <w:r w:rsidRPr="00FF4963">
              <w:t>1,488</w:t>
            </w:r>
          </w:p>
        </w:tc>
        <w:tc>
          <w:tcPr>
            <w:tcW w:w="1155" w:type="dxa"/>
            <w:tcBorders>
              <w:top w:val="nil"/>
              <w:left w:val="nil"/>
              <w:bottom w:val="single" w:sz="4" w:space="0" w:color="auto"/>
              <w:right w:val="single" w:sz="4" w:space="0" w:color="auto"/>
            </w:tcBorders>
            <w:shd w:val="clear" w:color="auto" w:fill="auto"/>
            <w:hideMark/>
          </w:tcPr>
          <w:p w14:paraId="291C9EBA" w14:textId="265A486B" w:rsidR="00EE21A4" w:rsidRPr="004A02C7" w:rsidRDefault="00EE21A4" w:rsidP="00EE21A4">
            <w:pPr>
              <w:pStyle w:val="TableTextRight-Burden"/>
            </w:pPr>
            <w:r w:rsidRPr="00FF4963">
              <w:t>74</w:t>
            </w:r>
          </w:p>
        </w:tc>
        <w:tc>
          <w:tcPr>
            <w:tcW w:w="1243" w:type="dxa"/>
            <w:tcBorders>
              <w:top w:val="nil"/>
              <w:left w:val="nil"/>
              <w:bottom w:val="single" w:sz="4" w:space="0" w:color="auto"/>
              <w:right w:val="single" w:sz="4" w:space="0" w:color="auto"/>
            </w:tcBorders>
            <w:shd w:val="clear" w:color="auto" w:fill="auto"/>
            <w:hideMark/>
          </w:tcPr>
          <w:p w14:paraId="4A02130C" w14:textId="35F2AB31" w:rsidR="00EE21A4" w:rsidRPr="004A02C7" w:rsidRDefault="00EE21A4" w:rsidP="00EE21A4">
            <w:pPr>
              <w:pStyle w:val="TableTextRight-Burden"/>
            </w:pPr>
            <w:r w:rsidRPr="00FF4963">
              <w:t>148.8</w:t>
            </w:r>
          </w:p>
        </w:tc>
        <w:tc>
          <w:tcPr>
            <w:tcW w:w="1243" w:type="dxa"/>
            <w:tcBorders>
              <w:top w:val="nil"/>
              <w:left w:val="nil"/>
              <w:bottom w:val="single" w:sz="4" w:space="0" w:color="auto"/>
              <w:right w:val="single" w:sz="4" w:space="0" w:color="auto"/>
            </w:tcBorders>
            <w:shd w:val="clear" w:color="auto" w:fill="auto"/>
            <w:hideMark/>
          </w:tcPr>
          <w:p w14:paraId="4CA18628" w14:textId="09AAF3B4" w:rsidR="00EE21A4" w:rsidRPr="004A02C7" w:rsidRDefault="00EE21A4" w:rsidP="00EE21A4">
            <w:pPr>
              <w:pStyle w:val="TableTextRight-Burden"/>
            </w:pPr>
            <w:r w:rsidRPr="00FF4963">
              <w:t xml:space="preserve">$120,706 </w:t>
            </w:r>
          </w:p>
        </w:tc>
      </w:tr>
      <w:tr w:rsidR="00EE21A4" w:rsidRPr="00E9161E" w14:paraId="75F35EB2"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201D2F32" w14:textId="7C325B3C" w:rsidR="00EE21A4" w:rsidRPr="00E9161E" w:rsidRDefault="00EE21A4" w:rsidP="00EE21A4">
            <w:pPr>
              <w:pStyle w:val="TableTextIndent3-Burden"/>
            </w:pPr>
            <w:r w:rsidRPr="00C92EAF">
              <w:t>HAP Emissions</w:t>
            </w:r>
          </w:p>
        </w:tc>
        <w:tc>
          <w:tcPr>
            <w:tcW w:w="1242" w:type="dxa"/>
            <w:tcBorders>
              <w:top w:val="nil"/>
              <w:left w:val="nil"/>
              <w:bottom w:val="single" w:sz="4" w:space="0" w:color="auto"/>
              <w:right w:val="single" w:sz="4" w:space="0" w:color="auto"/>
            </w:tcBorders>
            <w:shd w:val="clear" w:color="auto" w:fill="auto"/>
            <w:hideMark/>
          </w:tcPr>
          <w:p w14:paraId="1AA8629D" w14:textId="32E310AC" w:rsidR="00EE21A4" w:rsidRPr="00E9161E" w:rsidRDefault="00EE21A4" w:rsidP="00EE21A4">
            <w:pPr>
              <w:pStyle w:val="TableTextRight-Burden"/>
            </w:pPr>
            <w:r w:rsidRPr="00AE68B9">
              <w:t>80</w:t>
            </w:r>
          </w:p>
        </w:tc>
        <w:tc>
          <w:tcPr>
            <w:tcW w:w="1243" w:type="dxa"/>
            <w:tcBorders>
              <w:top w:val="nil"/>
              <w:left w:val="nil"/>
              <w:bottom w:val="single" w:sz="4" w:space="0" w:color="auto"/>
              <w:right w:val="single" w:sz="4" w:space="0" w:color="auto"/>
            </w:tcBorders>
            <w:shd w:val="clear" w:color="auto" w:fill="auto"/>
            <w:hideMark/>
          </w:tcPr>
          <w:p w14:paraId="48DBE585" w14:textId="4C036456"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3700F9E8" w14:textId="392D0684" w:rsidR="00EE21A4" w:rsidRPr="00E9161E" w:rsidRDefault="00EE21A4" w:rsidP="00EE21A4">
            <w:pPr>
              <w:pStyle w:val="TableTextRight-Burden"/>
            </w:pPr>
            <w:r w:rsidRPr="00AE68B9">
              <w:t>80</w:t>
            </w:r>
          </w:p>
        </w:tc>
        <w:tc>
          <w:tcPr>
            <w:tcW w:w="1223" w:type="dxa"/>
            <w:tcBorders>
              <w:top w:val="nil"/>
              <w:left w:val="single" w:sz="4" w:space="0" w:color="auto"/>
              <w:bottom w:val="single" w:sz="4" w:space="0" w:color="auto"/>
              <w:right w:val="single" w:sz="4" w:space="0" w:color="auto"/>
            </w:tcBorders>
            <w:shd w:val="clear" w:color="auto" w:fill="auto"/>
            <w:hideMark/>
          </w:tcPr>
          <w:p w14:paraId="3B8003E9" w14:textId="7404B13C" w:rsidR="00EE21A4" w:rsidRPr="004A02C7" w:rsidRDefault="00EE21A4" w:rsidP="00EE21A4">
            <w:pPr>
              <w:pStyle w:val="TableTextRight-Burden"/>
            </w:pPr>
            <w:r w:rsidRPr="00FF4963">
              <w:t>186</w:t>
            </w:r>
          </w:p>
        </w:tc>
        <w:tc>
          <w:tcPr>
            <w:tcW w:w="1350" w:type="dxa"/>
            <w:tcBorders>
              <w:top w:val="nil"/>
              <w:left w:val="nil"/>
              <w:bottom w:val="single" w:sz="4" w:space="0" w:color="auto"/>
              <w:right w:val="single" w:sz="4" w:space="0" w:color="auto"/>
            </w:tcBorders>
            <w:shd w:val="clear" w:color="auto" w:fill="auto"/>
            <w:hideMark/>
          </w:tcPr>
          <w:p w14:paraId="3922D830" w14:textId="50682FC9" w:rsidR="00EE21A4" w:rsidRPr="004A02C7" w:rsidRDefault="00EE21A4" w:rsidP="00EE21A4">
            <w:pPr>
              <w:pStyle w:val="TableTextRight-Burden"/>
            </w:pPr>
            <w:r w:rsidRPr="00FF4963">
              <w:t>14,880</w:t>
            </w:r>
          </w:p>
        </w:tc>
        <w:tc>
          <w:tcPr>
            <w:tcW w:w="1155" w:type="dxa"/>
            <w:tcBorders>
              <w:top w:val="nil"/>
              <w:left w:val="nil"/>
              <w:bottom w:val="single" w:sz="4" w:space="0" w:color="auto"/>
              <w:right w:val="single" w:sz="4" w:space="0" w:color="auto"/>
            </w:tcBorders>
            <w:shd w:val="clear" w:color="auto" w:fill="auto"/>
            <w:hideMark/>
          </w:tcPr>
          <w:p w14:paraId="08CC7B6A" w14:textId="77D4CBB2" w:rsidR="00EE21A4" w:rsidRPr="004A02C7" w:rsidRDefault="00EE21A4" w:rsidP="00EE21A4">
            <w:pPr>
              <w:pStyle w:val="TableTextRight-Burden"/>
            </w:pPr>
            <w:r w:rsidRPr="00FF4963">
              <w:t>744</w:t>
            </w:r>
          </w:p>
        </w:tc>
        <w:tc>
          <w:tcPr>
            <w:tcW w:w="1243" w:type="dxa"/>
            <w:tcBorders>
              <w:top w:val="nil"/>
              <w:left w:val="nil"/>
              <w:bottom w:val="single" w:sz="4" w:space="0" w:color="auto"/>
              <w:right w:val="single" w:sz="4" w:space="0" w:color="auto"/>
            </w:tcBorders>
            <w:shd w:val="clear" w:color="auto" w:fill="auto"/>
            <w:hideMark/>
          </w:tcPr>
          <w:p w14:paraId="27A73A0C" w14:textId="7E93D21A" w:rsidR="00EE21A4" w:rsidRPr="004A02C7" w:rsidRDefault="00EE21A4" w:rsidP="00EE21A4">
            <w:pPr>
              <w:pStyle w:val="TableTextRight-Burden"/>
            </w:pPr>
            <w:r w:rsidRPr="00FF4963">
              <w:t>1488</w:t>
            </w:r>
          </w:p>
        </w:tc>
        <w:tc>
          <w:tcPr>
            <w:tcW w:w="1243" w:type="dxa"/>
            <w:tcBorders>
              <w:top w:val="nil"/>
              <w:left w:val="nil"/>
              <w:bottom w:val="single" w:sz="4" w:space="0" w:color="auto"/>
              <w:right w:val="single" w:sz="4" w:space="0" w:color="auto"/>
            </w:tcBorders>
            <w:shd w:val="clear" w:color="auto" w:fill="auto"/>
            <w:hideMark/>
          </w:tcPr>
          <w:p w14:paraId="556A9C19" w14:textId="247AA3D1" w:rsidR="00EE21A4" w:rsidRPr="004A02C7" w:rsidRDefault="00EE21A4" w:rsidP="00EE21A4">
            <w:pPr>
              <w:pStyle w:val="TableTextRight-Burden"/>
            </w:pPr>
            <w:r w:rsidRPr="00FF4963">
              <w:t xml:space="preserve">$1,207,063 </w:t>
            </w:r>
          </w:p>
        </w:tc>
      </w:tr>
      <w:tr w:rsidR="00EE21A4" w:rsidRPr="00E9161E" w14:paraId="6E163C3F"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1484B6EC" w14:textId="77777777" w:rsidR="00EE21A4" w:rsidRPr="00E9161E" w:rsidRDefault="00EE21A4" w:rsidP="00EE21A4">
            <w:pPr>
              <w:pStyle w:val="TableTextIndent3-Burden"/>
            </w:pPr>
            <w:r>
              <w:t>CEMS</w:t>
            </w:r>
            <w:r w:rsidRPr="00AB56FD">
              <w:rPr>
                <w:rStyle w:val="Superscript"/>
              </w:rPr>
              <w:t>4</w:t>
            </w:r>
          </w:p>
        </w:tc>
        <w:tc>
          <w:tcPr>
            <w:tcW w:w="1242" w:type="dxa"/>
            <w:tcBorders>
              <w:top w:val="nil"/>
              <w:left w:val="nil"/>
              <w:bottom w:val="single" w:sz="4" w:space="0" w:color="auto"/>
              <w:right w:val="single" w:sz="4" w:space="0" w:color="auto"/>
            </w:tcBorders>
            <w:shd w:val="clear" w:color="auto" w:fill="auto"/>
            <w:hideMark/>
          </w:tcPr>
          <w:p w14:paraId="426A30B5" w14:textId="3095ED98" w:rsidR="00EE21A4" w:rsidRPr="00E9161E" w:rsidRDefault="00EE21A4" w:rsidP="00EE21A4">
            <w:pPr>
              <w:pStyle w:val="TableTextRight-Burden"/>
            </w:pPr>
            <w:r w:rsidRPr="00AE68B9">
              <w:t>4</w:t>
            </w:r>
          </w:p>
        </w:tc>
        <w:tc>
          <w:tcPr>
            <w:tcW w:w="1243" w:type="dxa"/>
            <w:tcBorders>
              <w:top w:val="nil"/>
              <w:left w:val="nil"/>
              <w:bottom w:val="single" w:sz="4" w:space="0" w:color="auto"/>
              <w:right w:val="single" w:sz="4" w:space="0" w:color="auto"/>
            </w:tcBorders>
            <w:shd w:val="clear" w:color="auto" w:fill="auto"/>
            <w:hideMark/>
          </w:tcPr>
          <w:p w14:paraId="7EDB79B3" w14:textId="02C8B0EC"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hideMark/>
          </w:tcPr>
          <w:p w14:paraId="44D8C216" w14:textId="6837F2E6" w:rsidR="00EE21A4" w:rsidRPr="00E9161E" w:rsidRDefault="00EE21A4" w:rsidP="00EE21A4">
            <w:pPr>
              <w:pStyle w:val="TableTextRight-Burden"/>
            </w:pPr>
            <w:r w:rsidRPr="00AE68B9">
              <w:t>4</w:t>
            </w:r>
          </w:p>
        </w:tc>
        <w:tc>
          <w:tcPr>
            <w:tcW w:w="1223" w:type="dxa"/>
            <w:tcBorders>
              <w:top w:val="nil"/>
              <w:left w:val="single" w:sz="4" w:space="0" w:color="auto"/>
              <w:bottom w:val="single" w:sz="4" w:space="0" w:color="auto"/>
              <w:right w:val="single" w:sz="4" w:space="0" w:color="auto"/>
            </w:tcBorders>
            <w:shd w:val="clear" w:color="auto" w:fill="auto"/>
            <w:hideMark/>
          </w:tcPr>
          <w:p w14:paraId="4A9A9BC9" w14:textId="4E98ABAB" w:rsidR="00EE21A4" w:rsidRPr="004A02C7" w:rsidRDefault="00EE21A4" w:rsidP="00EE21A4">
            <w:pPr>
              <w:pStyle w:val="TableTextRight-Burden"/>
            </w:pPr>
            <w:r w:rsidRPr="00FF4963">
              <w:t>37</w:t>
            </w:r>
          </w:p>
        </w:tc>
        <w:tc>
          <w:tcPr>
            <w:tcW w:w="1350" w:type="dxa"/>
            <w:tcBorders>
              <w:top w:val="nil"/>
              <w:left w:val="nil"/>
              <w:bottom w:val="single" w:sz="4" w:space="0" w:color="auto"/>
              <w:right w:val="single" w:sz="4" w:space="0" w:color="auto"/>
            </w:tcBorders>
            <w:shd w:val="clear" w:color="auto" w:fill="auto"/>
            <w:hideMark/>
          </w:tcPr>
          <w:p w14:paraId="28574709" w14:textId="2E2253D8" w:rsidR="00EE21A4" w:rsidRPr="004A02C7" w:rsidRDefault="00EE21A4" w:rsidP="00EE21A4">
            <w:pPr>
              <w:pStyle w:val="TableTextRight-Burden"/>
            </w:pPr>
            <w:r w:rsidRPr="00FF4963">
              <w:t>149</w:t>
            </w:r>
          </w:p>
        </w:tc>
        <w:tc>
          <w:tcPr>
            <w:tcW w:w="1155" w:type="dxa"/>
            <w:tcBorders>
              <w:top w:val="nil"/>
              <w:left w:val="nil"/>
              <w:bottom w:val="single" w:sz="4" w:space="0" w:color="auto"/>
              <w:right w:val="single" w:sz="4" w:space="0" w:color="auto"/>
            </w:tcBorders>
            <w:shd w:val="clear" w:color="auto" w:fill="auto"/>
            <w:hideMark/>
          </w:tcPr>
          <w:p w14:paraId="374CF604" w14:textId="2BE56455" w:rsidR="00EE21A4" w:rsidRPr="004A02C7" w:rsidRDefault="00EE21A4" w:rsidP="00EE21A4">
            <w:pPr>
              <w:pStyle w:val="TableTextRight-Burden"/>
            </w:pPr>
            <w:r w:rsidRPr="00FF4963">
              <w:t>7</w:t>
            </w:r>
          </w:p>
        </w:tc>
        <w:tc>
          <w:tcPr>
            <w:tcW w:w="1243" w:type="dxa"/>
            <w:tcBorders>
              <w:top w:val="nil"/>
              <w:left w:val="nil"/>
              <w:bottom w:val="single" w:sz="4" w:space="0" w:color="auto"/>
              <w:right w:val="single" w:sz="4" w:space="0" w:color="auto"/>
            </w:tcBorders>
            <w:shd w:val="clear" w:color="auto" w:fill="auto"/>
            <w:hideMark/>
          </w:tcPr>
          <w:p w14:paraId="1E86D7D0" w14:textId="2C0F38E2" w:rsidR="00EE21A4" w:rsidRPr="004A02C7" w:rsidRDefault="00EE21A4" w:rsidP="00EE21A4">
            <w:pPr>
              <w:pStyle w:val="TableTextRight-Burden"/>
            </w:pPr>
            <w:r w:rsidRPr="00FF4963">
              <w:t>14.88</w:t>
            </w:r>
          </w:p>
        </w:tc>
        <w:tc>
          <w:tcPr>
            <w:tcW w:w="1243" w:type="dxa"/>
            <w:tcBorders>
              <w:top w:val="nil"/>
              <w:left w:val="nil"/>
              <w:bottom w:val="single" w:sz="4" w:space="0" w:color="auto"/>
              <w:right w:val="single" w:sz="4" w:space="0" w:color="auto"/>
            </w:tcBorders>
            <w:shd w:val="clear" w:color="auto" w:fill="auto"/>
            <w:hideMark/>
          </w:tcPr>
          <w:p w14:paraId="361210AB" w14:textId="02431468" w:rsidR="00EE21A4" w:rsidRPr="004A02C7" w:rsidRDefault="00EE21A4" w:rsidP="00EE21A4">
            <w:pPr>
              <w:pStyle w:val="TableTextRight-Burden"/>
            </w:pPr>
            <w:r w:rsidRPr="00FF4963">
              <w:t xml:space="preserve">$12,071 </w:t>
            </w:r>
          </w:p>
        </w:tc>
      </w:tr>
      <w:tr w:rsidR="00EE21A4" w:rsidRPr="00E9161E" w14:paraId="02B4686A" w14:textId="77777777" w:rsidTr="00083090">
        <w:tc>
          <w:tcPr>
            <w:tcW w:w="4675" w:type="dxa"/>
            <w:tcBorders>
              <w:top w:val="nil"/>
              <w:left w:val="single" w:sz="4" w:space="0" w:color="auto"/>
              <w:bottom w:val="single" w:sz="4" w:space="0" w:color="auto"/>
              <w:right w:val="single" w:sz="4" w:space="0" w:color="auto"/>
            </w:tcBorders>
            <w:shd w:val="clear" w:color="auto" w:fill="auto"/>
          </w:tcPr>
          <w:p w14:paraId="66122BB4" w14:textId="41D828E0" w:rsidR="00EE21A4" w:rsidRPr="00D54BA0" w:rsidRDefault="00EE21A4" w:rsidP="00EE21A4">
            <w:pPr>
              <w:pStyle w:val="TableTextIndent3-Burden"/>
            </w:pPr>
            <w:r>
              <w:t>Certification</w:t>
            </w:r>
          </w:p>
        </w:tc>
        <w:tc>
          <w:tcPr>
            <w:tcW w:w="1242" w:type="dxa"/>
            <w:tcBorders>
              <w:top w:val="nil"/>
              <w:left w:val="nil"/>
              <w:bottom w:val="single" w:sz="4" w:space="0" w:color="auto"/>
              <w:right w:val="single" w:sz="4" w:space="0" w:color="auto"/>
            </w:tcBorders>
            <w:shd w:val="clear" w:color="auto" w:fill="auto"/>
          </w:tcPr>
          <w:p w14:paraId="62238B1B" w14:textId="1CA4F34B" w:rsidR="00EE21A4" w:rsidRPr="00E9161E" w:rsidRDefault="00EE21A4" w:rsidP="00EE21A4">
            <w:pPr>
              <w:pStyle w:val="TableTextRight-Burden"/>
            </w:pPr>
            <w:r w:rsidRPr="00AE68B9">
              <w:t>0.2</w:t>
            </w:r>
          </w:p>
        </w:tc>
        <w:tc>
          <w:tcPr>
            <w:tcW w:w="1243" w:type="dxa"/>
            <w:tcBorders>
              <w:top w:val="nil"/>
              <w:left w:val="nil"/>
              <w:bottom w:val="single" w:sz="4" w:space="0" w:color="auto"/>
              <w:right w:val="single" w:sz="4" w:space="0" w:color="auto"/>
            </w:tcBorders>
            <w:shd w:val="clear" w:color="auto" w:fill="auto"/>
          </w:tcPr>
          <w:p w14:paraId="089C682C" w14:textId="7F163685" w:rsidR="00EE21A4" w:rsidRPr="00E9161E" w:rsidRDefault="00EE21A4" w:rsidP="00EE21A4">
            <w:pPr>
              <w:pStyle w:val="TableTextRight-Burden"/>
            </w:pPr>
            <w:r w:rsidRPr="00AE68B9">
              <w:t>1</w:t>
            </w:r>
          </w:p>
        </w:tc>
        <w:tc>
          <w:tcPr>
            <w:tcW w:w="1242" w:type="dxa"/>
            <w:tcBorders>
              <w:top w:val="nil"/>
              <w:left w:val="nil"/>
              <w:bottom w:val="single" w:sz="4" w:space="0" w:color="auto"/>
              <w:right w:val="single" w:sz="4" w:space="0" w:color="auto"/>
            </w:tcBorders>
            <w:shd w:val="clear" w:color="auto" w:fill="auto"/>
          </w:tcPr>
          <w:p w14:paraId="73551FE5" w14:textId="123687F4" w:rsidR="00EE21A4" w:rsidRPr="00E9161E" w:rsidRDefault="00EE21A4" w:rsidP="00EE21A4">
            <w:pPr>
              <w:pStyle w:val="TableTextRight-Burden"/>
            </w:pPr>
            <w:r w:rsidRPr="00AE68B9">
              <w:t>0.2</w:t>
            </w:r>
          </w:p>
        </w:tc>
        <w:tc>
          <w:tcPr>
            <w:tcW w:w="1223" w:type="dxa"/>
            <w:tcBorders>
              <w:top w:val="nil"/>
              <w:left w:val="single" w:sz="4" w:space="0" w:color="auto"/>
              <w:bottom w:val="single" w:sz="4" w:space="0" w:color="auto"/>
              <w:right w:val="single" w:sz="4" w:space="0" w:color="auto"/>
            </w:tcBorders>
            <w:shd w:val="clear" w:color="auto" w:fill="auto"/>
          </w:tcPr>
          <w:p w14:paraId="23B59213" w14:textId="5DB944A2" w:rsidR="00EE21A4" w:rsidRPr="004A02C7" w:rsidRDefault="00EE21A4" w:rsidP="00EE21A4">
            <w:pPr>
              <w:pStyle w:val="TableTextRight-Burden"/>
            </w:pPr>
            <w:r w:rsidRPr="00FF4963">
              <w:t>186</w:t>
            </w:r>
          </w:p>
        </w:tc>
        <w:tc>
          <w:tcPr>
            <w:tcW w:w="1350" w:type="dxa"/>
            <w:tcBorders>
              <w:top w:val="nil"/>
              <w:left w:val="nil"/>
              <w:bottom w:val="single" w:sz="4" w:space="0" w:color="auto"/>
              <w:right w:val="single" w:sz="4" w:space="0" w:color="auto"/>
            </w:tcBorders>
            <w:shd w:val="clear" w:color="auto" w:fill="auto"/>
          </w:tcPr>
          <w:p w14:paraId="07B19C60" w14:textId="18F0C3B8" w:rsidR="00EE21A4" w:rsidRPr="004A02C7" w:rsidRDefault="00EE21A4" w:rsidP="00EE21A4">
            <w:pPr>
              <w:pStyle w:val="TableTextRight-Burden"/>
            </w:pPr>
            <w:r w:rsidRPr="00FF4963">
              <w:t>37</w:t>
            </w:r>
          </w:p>
        </w:tc>
        <w:tc>
          <w:tcPr>
            <w:tcW w:w="1155" w:type="dxa"/>
            <w:tcBorders>
              <w:top w:val="nil"/>
              <w:left w:val="nil"/>
              <w:bottom w:val="single" w:sz="4" w:space="0" w:color="auto"/>
              <w:right w:val="single" w:sz="4" w:space="0" w:color="auto"/>
            </w:tcBorders>
            <w:shd w:val="clear" w:color="auto" w:fill="auto"/>
          </w:tcPr>
          <w:p w14:paraId="43C8CE90" w14:textId="469CF343" w:rsidR="00EE21A4" w:rsidRPr="004A02C7" w:rsidRDefault="00EE21A4" w:rsidP="00EE21A4">
            <w:pPr>
              <w:pStyle w:val="TableTextRight-Burden"/>
            </w:pPr>
            <w:r w:rsidRPr="00FF4963">
              <w:t>2</w:t>
            </w:r>
          </w:p>
        </w:tc>
        <w:tc>
          <w:tcPr>
            <w:tcW w:w="1243" w:type="dxa"/>
            <w:tcBorders>
              <w:top w:val="nil"/>
              <w:left w:val="nil"/>
              <w:bottom w:val="single" w:sz="4" w:space="0" w:color="auto"/>
              <w:right w:val="single" w:sz="4" w:space="0" w:color="auto"/>
            </w:tcBorders>
            <w:shd w:val="clear" w:color="auto" w:fill="auto"/>
          </w:tcPr>
          <w:p w14:paraId="09A9534A" w14:textId="7426892B" w:rsidR="00EE21A4" w:rsidRPr="004A02C7" w:rsidRDefault="00EE21A4" w:rsidP="00EE21A4">
            <w:pPr>
              <w:pStyle w:val="TableTextRight-Burden"/>
            </w:pPr>
            <w:r w:rsidRPr="00FF4963">
              <w:t>3.72</w:t>
            </w:r>
          </w:p>
        </w:tc>
        <w:tc>
          <w:tcPr>
            <w:tcW w:w="1243" w:type="dxa"/>
            <w:tcBorders>
              <w:top w:val="nil"/>
              <w:left w:val="nil"/>
              <w:bottom w:val="single" w:sz="4" w:space="0" w:color="auto"/>
              <w:right w:val="single" w:sz="4" w:space="0" w:color="auto"/>
            </w:tcBorders>
            <w:shd w:val="clear" w:color="auto" w:fill="auto"/>
          </w:tcPr>
          <w:p w14:paraId="3FED03B7" w14:textId="2D19147A" w:rsidR="00EE21A4" w:rsidRPr="004A02C7" w:rsidRDefault="00EE21A4" w:rsidP="00EE21A4">
            <w:pPr>
              <w:pStyle w:val="TableTextRight-Burden"/>
            </w:pPr>
            <w:r w:rsidRPr="00FF4963">
              <w:t xml:space="preserve">$3,018 </w:t>
            </w:r>
          </w:p>
        </w:tc>
      </w:tr>
      <w:tr w:rsidR="00107E36" w:rsidRPr="00E9161E" w14:paraId="50E5F640" w14:textId="77777777" w:rsidTr="00083090">
        <w:tc>
          <w:tcPr>
            <w:tcW w:w="4675" w:type="dxa"/>
            <w:tcBorders>
              <w:top w:val="nil"/>
              <w:left w:val="single" w:sz="4" w:space="0" w:color="auto"/>
              <w:bottom w:val="single" w:sz="4" w:space="0" w:color="auto"/>
              <w:right w:val="single" w:sz="4" w:space="0" w:color="auto"/>
            </w:tcBorders>
            <w:shd w:val="clear" w:color="auto" w:fill="auto"/>
          </w:tcPr>
          <w:p w14:paraId="7306757F" w14:textId="13FABAAE" w:rsidR="00107E36" w:rsidRPr="00E9161E" w:rsidRDefault="00107E36" w:rsidP="00107E36">
            <w:pPr>
              <w:pStyle w:val="TableTextIndent2-Burden"/>
            </w:pPr>
            <w:r w:rsidRPr="00D86622">
              <w:t>Lumber mills with dry kilns</w:t>
            </w:r>
          </w:p>
        </w:tc>
        <w:tc>
          <w:tcPr>
            <w:tcW w:w="1242" w:type="dxa"/>
            <w:tcBorders>
              <w:top w:val="single" w:sz="4" w:space="0" w:color="auto"/>
              <w:left w:val="nil"/>
              <w:bottom w:val="single" w:sz="4" w:space="0" w:color="auto"/>
              <w:right w:val="single" w:sz="4" w:space="0" w:color="auto"/>
            </w:tcBorders>
            <w:shd w:val="clear" w:color="000000" w:fill="D8D8D8"/>
            <w:noWrap/>
            <w:vAlign w:val="center"/>
          </w:tcPr>
          <w:p w14:paraId="59D67E8C" w14:textId="77777777" w:rsidR="00107E36" w:rsidRPr="00E9161E" w:rsidRDefault="00107E36" w:rsidP="00107E36">
            <w:pPr>
              <w:pStyle w:val="TableTextRight-Burden"/>
            </w:pPr>
          </w:p>
        </w:tc>
        <w:tc>
          <w:tcPr>
            <w:tcW w:w="1243" w:type="dxa"/>
            <w:tcBorders>
              <w:top w:val="single" w:sz="4" w:space="0" w:color="auto"/>
              <w:left w:val="nil"/>
              <w:bottom w:val="single" w:sz="4" w:space="0" w:color="auto"/>
              <w:right w:val="single" w:sz="4" w:space="0" w:color="auto"/>
            </w:tcBorders>
            <w:shd w:val="clear" w:color="000000" w:fill="D8D8D8"/>
            <w:noWrap/>
            <w:vAlign w:val="center"/>
          </w:tcPr>
          <w:p w14:paraId="14C1B2FA" w14:textId="77777777" w:rsidR="00107E36" w:rsidRPr="00E9161E" w:rsidRDefault="00107E36" w:rsidP="00107E36">
            <w:pPr>
              <w:pStyle w:val="TableTextRight-Burden"/>
            </w:pPr>
          </w:p>
        </w:tc>
        <w:tc>
          <w:tcPr>
            <w:tcW w:w="1242" w:type="dxa"/>
            <w:tcBorders>
              <w:top w:val="single" w:sz="4" w:space="0" w:color="auto"/>
              <w:left w:val="nil"/>
              <w:bottom w:val="single" w:sz="4" w:space="0" w:color="auto"/>
              <w:right w:val="single" w:sz="4" w:space="0" w:color="auto"/>
            </w:tcBorders>
            <w:shd w:val="clear" w:color="000000" w:fill="D8D8D8"/>
            <w:vAlign w:val="center"/>
          </w:tcPr>
          <w:p w14:paraId="65FBECCC" w14:textId="77777777" w:rsidR="00107E36" w:rsidRPr="00E9161E" w:rsidRDefault="00107E36" w:rsidP="00107E36">
            <w:pPr>
              <w:pStyle w:val="TableTextRight-Burden"/>
            </w:pPr>
          </w:p>
        </w:tc>
        <w:tc>
          <w:tcPr>
            <w:tcW w:w="1223" w:type="dxa"/>
            <w:tcBorders>
              <w:top w:val="single" w:sz="4" w:space="0" w:color="auto"/>
              <w:left w:val="nil"/>
              <w:bottom w:val="single" w:sz="4" w:space="0" w:color="auto"/>
              <w:right w:val="single" w:sz="4" w:space="0" w:color="auto"/>
            </w:tcBorders>
            <w:shd w:val="clear" w:color="000000" w:fill="D8D8D8"/>
            <w:noWrap/>
            <w:vAlign w:val="center"/>
          </w:tcPr>
          <w:p w14:paraId="0CB82EFF" w14:textId="77777777" w:rsidR="00107E36" w:rsidRPr="004A02C7" w:rsidRDefault="00107E36" w:rsidP="00107E36">
            <w:pPr>
              <w:pStyle w:val="TableTextRight-Burden"/>
            </w:pPr>
          </w:p>
        </w:tc>
        <w:tc>
          <w:tcPr>
            <w:tcW w:w="1350" w:type="dxa"/>
            <w:tcBorders>
              <w:top w:val="single" w:sz="4" w:space="0" w:color="auto"/>
              <w:left w:val="nil"/>
              <w:bottom w:val="single" w:sz="4" w:space="0" w:color="auto"/>
              <w:right w:val="single" w:sz="4" w:space="0" w:color="auto"/>
            </w:tcBorders>
            <w:shd w:val="clear" w:color="000000" w:fill="D8D8D8"/>
            <w:vAlign w:val="center"/>
          </w:tcPr>
          <w:p w14:paraId="10EF9ACC" w14:textId="77777777" w:rsidR="00107E36" w:rsidRPr="004A02C7" w:rsidRDefault="00107E36" w:rsidP="00107E36">
            <w:pPr>
              <w:pStyle w:val="TableTextRight-Burden"/>
            </w:pPr>
          </w:p>
        </w:tc>
        <w:tc>
          <w:tcPr>
            <w:tcW w:w="1155" w:type="dxa"/>
            <w:tcBorders>
              <w:top w:val="single" w:sz="4" w:space="0" w:color="auto"/>
              <w:left w:val="nil"/>
              <w:bottom w:val="single" w:sz="4" w:space="0" w:color="auto"/>
              <w:right w:val="single" w:sz="4" w:space="0" w:color="auto"/>
            </w:tcBorders>
            <w:shd w:val="clear" w:color="000000" w:fill="D8D8D8"/>
            <w:vAlign w:val="center"/>
          </w:tcPr>
          <w:p w14:paraId="53123363" w14:textId="77777777" w:rsidR="00107E36" w:rsidRPr="004A02C7" w:rsidRDefault="00107E36" w:rsidP="00107E36">
            <w:pPr>
              <w:pStyle w:val="TableTextRight-Burden"/>
            </w:pPr>
          </w:p>
        </w:tc>
        <w:tc>
          <w:tcPr>
            <w:tcW w:w="1243" w:type="dxa"/>
            <w:tcBorders>
              <w:top w:val="single" w:sz="4" w:space="0" w:color="auto"/>
              <w:left w:val="nil"/>
              <w:bottom w:val="single" w:sz="4" w:space="0" w:color="auto"/>
              <w:right w:val="single" w:sz="4" w:space="0" w:color="auto"/>
            </w:tcBorders>
            <w:shd w:val="clear" w:color="000000" w:fill="D8D8D8"/>
            <w:vAlign w:val="center"/>
          </w:tcPr>
          <w:p w14:paraId="7C4A4E67" w14:textId="77777777" w:rsidR="00107E36" w:rsidRPr="004A02C7" w:rsidRDefault="00107E36" w:rsidP="00107E36">
            <w:pPr>
              <w:pStyle w:val="TableTextRight-Burden"/>
            </w:pPr>
          </w:p>
        </w:tc>
        <w:tc>
          <w:tcPr>
            <w:tcW w:w="1243" w:type="dxa"/>
            <w:tcBorders>
              <w:top w:val="single" w:sz="4" w:space="0" w:color="auto"/>
              <w:left w:val="nil"/>
              <w:bottom w:val="single" w:sz="4" w:space="0" w:color="auto"/>
              <w:right w:val="single" w:sz="4" w:space="0" w:color="auto"/>
            </w:tcBorders>
            <w:shd w:val="clear" w:color="000000" w:fill="D8D8D8"/>
            <w:vAlign w:val="center"/>
          </w:tcPr>
          <w:p w14:paraId="49AEC5C5" w14:textId="77777777" w:rsidR="00107E36" w:rsidRPr="004A02C7" w:rsidRDefault="00107E36" w:rsidP="00107E36">
            <w:pPr>
              <w:pStyle w:val="TableTextRight-Burden"/>
            </w:pPr>
          </w:p>
        </w:tc>
      </w:tr>
      <w:tr w:rsidR="00EE21A4" w:rsidRPr="00E9161E" w14:paraId="58D70C2C" w14:textId="77777777" w:rsidTr="00083090">
        <w:tc>
          <w:tcPr>
            <w:tcW w:w="4675" w:type="dxa"/>
            <w:tcBorders>
              <w:top w:val="nil"/>
              <w:left w:val="single" w:sz="4" w:space="0" w:color="auto"/>
              <w:bottom w:val="single" w:sz="4" w:space="0" w:color="auto"/>
              <w:right w:val="single" w:sz="4" w:space="0" w:color="auto"/>
            </w:tcBorders>
            <w:shd w:val="clear" w:color="auto" w:fill="auto"/>
          </w:tcPr>
          <w:p w14:paraId="2124CD5E" w14:textId="1E0C20E3" w:rsidR="00EE21A4" w:rsidRPr="00E9161E" w:rsidRDefault="00EE21A4" w:rsidP="00EE21A4">
            <w:pPr>
              <w:pStyle w:val="TableTextIndent3-Burden"/>
            </w:pPr>
            <w:r w:rsidRPr="00E86C89">
              <w:t xml:space="preserve">Mill </w:t>
            </w:r>
            <w:r>
              <w:t xml:space="preserve">(general information) </w:t>
            </w:r>
            <w:r w:rsidRPr="00E86C89">
              <w:t>(Mill)</w:t>
            </w:r>
          </w:p>
        </w:tc>
        <w:tc>
          <w:tcPr>
            <w:tcW w:w="1242" w:type="dxa"/>
            <w:tcBorders>
              <w:top w:val="single" w:sz="4" w:space="0" w:color="auto"/>
              <w:left w:val="nil"/>
              <w:bottom w:val="single" w:sz="4" w:space="0" w:color="auto"/>
              <w:right w:val="single" w:sz="4" w:space="0" w:color="auto"/>
            </w:tcBorders>
            <w:shd w:val="clear" w:color="000000" w:fill="auto"/>
            <w:noWrap/>
          </w:tcPr>
          <w:p w14:paraId="1BE75A01" w14:textId="43ACDDE3" w:rsidR="00EE21A4" w:rsidRPr="00E9161E" w:rsidRDefault="00EE21A4" w:rsidP="00EE21A4">
            <w:pPr>
              <w:pStyle w:val="TableTextRight-Burden"/>
            </w:pPr>
            <w:r w:rsidRPr="00E86C89">
              <w:t>3</w:t>
            </w:r>
          </w:p>
        </w:tc>
        <w:tc>
          <w:tcPr>
            <w:tcW w:w="1243" w:type="dxa"/>
            <w:tcBorders>
              <w:top w:val="single" w:sz="4" w:space="0" w:color="auto"/>
              <w:left w:val="nil"/>
              <w:bottom w:val="single" w:sz="4" w:space="0" w:color="auto"/>
              <w:right w:val="single" w:sz="4" w:space="0" w:color="auto"/>
            </w:tcBorders>
            <w:shd w:val="clear" w:color="000000" w:fill="auto"/>
            <w:noWrap/>
          </w:tcPr>
          <w:p w14:paraId="15749D73" w14:textId="15FE211D" w:rsidR="00EE21A4" w:rsidRPr="00E9161E" w:rsidRDefault="00EE21A4" w:rsidP="00EE21A4">
            <w:pPr>
              <w:pStyle w:val="TableTextRight-Burden"/>
            </w:pPr>
            <w:r w:rsidRPr="00E86C89">
              <w:t>1</w:t>
            </w:r>
          </w:p>
        </w:tc>
        <w:tc>
          <w:tcPr>
            <w:tcW w:w="1242" w:type="dxa"/>
            <w:tcBorders>
              <w:top w:val="single" w:sz="4" w:space="0" w:color="auto"/>
              <w:left w:val="nil"/>
              <w:bottom w:val="single" w:sz="4" w:space="0" w:color="auto"/>
              <w:right w:val="single" w:sz="4" w:space="0" w:color="auto"/>
            </w:tcBorders>
            <w:shd w:val="clear" w:color="000000" w:fill="auto"/>
          </w:tcPr>
          <w:p w14:paraId="35C90A63" w14:textId="7A86C2C6" w:rsidR="00EE21A4" w:rsidRPr="00E9161E" w:rsidRDefault="00EE21A4" w:rsidP="00EE21A4">
            <w:pPr>
              <w:pStyle w:val="TableTextRight-Burden"/>
            </w:pPr>
            <w:r w:rsidRPr="00E86C89">
              <w:t>3</w:t>
            </w:r>
          </w:p>
        </w:tc>
        <w:tc>
          <w:tcPr>
            <w:tcW w:w="1223" w:type="dxa"/>
            <w:tcBorders>
              <w:top w:val="single" w:sz="4" w:space="0" w:color="auto"/>
              <w:left w:val="nil"/>
              <w:bottom w:val="single" w:sz="4" w:space="0" w:color="auto"/>
              <w:right w:val="single" w:sz="4" w:space="0" w:color="auto"/>
            </w:tcBorders>
            <w:shd w:val="clear" w:color="000000" w:fill="auto"/>
            <w:noWrap/>
          </w:tcPr>
          <w:p w14:paraId="7CA047FC" w14:textId="4D7E9E90" w:rsidR="00EE21A4" w:rsidRPr="004A02C7" w:rsidRDefault="00EE21A4" w:rsidP="00EE21A4">
            <w:pPr>
              <w:pStyle w:val="TableTextRight-Burden"/>
            </w:pPr>
            <w:r w:rsidRPr="009C76E4">
              <w:t>205</w:t>
            </w:r>
          </w:p>
        </w:tc>
        <w:tc>
          <w:tcPr>
            <w:tcW w:w="1350" w:type="dxa"/>
            <w:tcBorders>
              <w:top w:val="single" w:sz="4" w:space="0" w:color="auto"/>
              <w:left w:val="nil"/>
              <w:bottom w:val="single" w:sz="4" w:space="0" w:color="auto"/>
              <w:right w:val="single" w:sz="4" w:space="0" w:color="auto"/>
            </w:tcBorders>
            <w:shd w:val="clear" w:color="000000" w:fill="auto"/>
          </w:tcPr>
          <w:p w14:paraId="2BF68E73" w14:textId="46943DE0" w:rsidR="00EE21A4" w:rsidRPr="004A02C7" w:rsidRDefault="00EE21A4" w:rsidP="00EE21A4">
            <w:pPr>
              <w:pStyle w:val="TableTextRight-Burden"/>
            </w:pPr>
            <w:r w:rsidRPr="009C76E4">
              <w:t>615</w:t>
            </w:r>
          </w:p>
        </w:tc>
        <w:tc>
          <w:tcPr>
            <w:tcW w:w="1155" w:type="dxa"/>
            <w:tcBorders>
              <w:top w:val="single" w:sz="4" w:space="0" w:color="auto"/>
              <w:left w:val="nil"/>
              <w:bottom w:val="single" w:sz="4" w:space="0" w:color="auto"/>
              <w:right w:val="single" w:sz="4" w:space="0" w:color="auto"/>
            </w:tcBorders>
            <w:shd w:val="clear" w:color="000000" w:fill="auto"/>
          </w:tcPr>
          <w:p w14:paraId="2CC3AE04" w14:textId="3F06FF38" w:rsidR="00EE21A4" w:rsidRPr="004A02C7" w:rsidRDefault="00EE21A4" w:rsidP="00EE21A4">
            <w:pPr>
              <w:pStyle w:val="TableTextRight-Burden"/>
            </w:pPr>
            <w:r w:rsidRPr="009C76E4">
              <w:t>31</w:t>
            </w:r>
          </w:p>
        </w:tc>
        <w:tc>
          <w:tcPr>
            <w:tcW w:w="1243" w:type="dxa"/>
            <w:tcBorders>
              <w:top w:val="single" w:sz="4" w:space="0" w:color="auto"/>
              <w:left w:val="nil"/>
              <w:bottom w:val="single" w:sz="4" w:space="0" w:color="auto"/>
              <w:right w:val="single" w:sz="4" w:space="0" w:color="auto"/>
            </w:tcBorders>
            <w:shd w:val="clear" w:color="000000" w:fill="auto"/>
          </w:tcPr>
          <w:p w14:paraId="69F799EE" w14:textId="00D798B7" w:rsidR="00EE21A4" w:rsidRPr="004A02C7" w:rsidRDefault="00EE21A4" w:rsidP="00EE21A4">
            <w:pPr>
              <w:pStyle w:val="TableTextRight-Burden"/>
            </w:pPr>
            <w:r w:rsidRPr="009C76E4">
              <w:t>61.5</w:t>
            </w:r>
          </w:p>
        </w:tc>
        <w:tc>
          <w:tcPr>
            <w:tcW w:w="1243" w:type="dxa"/>
            <w:tcBorders>
              <w:top w:val="single" w:sz="4" w:space="0" w:color="auto"/>
              <w:left w:val="nil"/>
              <w:bottom w:val="single" w:sz="4" w:space="0" w:color="auto"/>
              <w:right w:val="single" w:sz="4" w:space="0" w:color="auto"/>
            </w:tcBorders>
            <w:shd w:val="clear" w:color="000000" w:fill="auto"/>
          </w:tcPr>
          <w:p w14:paraId="5AD92E6E" w14:textId="2A9ADB25" w:rsidR="00EE21A4" w:rsidRPr="004A02C7" w:rsidRDefault="00EE21A4" w:rsidP="00EE21A4">
            <w:pPr>
              <w:pStyle w:val="TableTextRight-Burden"/>
            </w:pPr>
            <w:r w:rsidRPr="009C76E4">
              <w:t xml:space="preserve">$49,889 </w:t>
            </w:r>
          </w:p>
        </w:tc>
      </w:tr>
      <w:tr w:rsidR="00EE21A4" w:rsidRPr="00E9161E" w14:paraId="2C09DFD7" w14:textId="77777777" w:rsidTr="00083090">
        <w:tc>
          <w:tcPr>
            <w:tcW w:w="4675" w:type="dxa"/>
            <w:tcBorders>
              <w:top w:val="nil"/>
              <w:left w:val="single" w:sz="4" w:space="0" w:color="auto"/>
              <w:bottom w:val="single" w:sz="4" w:space="0" w:color="auto"/>
              <w:right w:val="single" w:sz="4" w:space="0" w:color="auto"/>
            </w:tcBorders>
            <w:shd w:val="clear" w:color="auto" w:fill="auto"/>
          </w:tcPr>
          <w:p w14:paraId="4CFAE87F" w14:textId="0B3DD6A3" w:rsidR="00EE21A4" w:rsidRPr="00E9161E" w:rsidRDefault="00EE21A4" w:rsidP="00EE21A4">
            <w:pPr>
              <w:pStyle w:val="TableTextIndent3-Burden"/>
            </w:pPr>
            <w:r w:rsidRPr="00E86C89">
              <w:t>Products (Prod)</w:t>
            </w:r>
          </w:p>
        </w:tc>
        <w:tc>
          <w:tcPr>
            <w:tcW w:w="1242" w:type="dxa"/>
            <w:tcBorders>
              <w:top w:val="single" w:sz="4" w:space="0" w:color="auto"/>
              <w:left w:val="nil"/>
              <w:bottom w:val="single" w:sz="4" w:space="0" w:color="auto"/>
              <w:right w:val="single" w:sz="4" w:space="0" w:color="auto"/>
            </w:tcBorders>
            <w:shd w:val="clear" w:color="000000" w:fill="auto"/>
            <w:noWrap/>
          </w:tcPr>
          <w:p w14:paraId="50B63B49" w14:textId="22479770" w:rsidR="00EE21A4" w:rsidRPr="00E9161E" w:rsidRDefault="00EE21A4" w:rsidP="00EE21A4">
            <w:pPr>
              <w:pStyle w:val="TableTextRight-Burden"/>
            </w:pPr>
            <w:r w:rsidRPr="00E86C89">
              <w:t>3</w:t>
            </w:r>
          </w:p>
        </w:tc>
        <w:tc>
          <w:tcPr>
            <w:tcW w:w="1243" w:type="dxa"/>
            <w:tcBorders>
              <w:top w:val="single" w:sz="4" w:space="0" w:color="auto"/>
              <w:left w:val="nil"/>
              <w:bottom w:val="single" w:sz="4" w:space="0" w:color="auto"/>
              <w:right w:val="single" w:sz="4" w:space="0" w:color="auto"/>
            </w:tcBorders>
            <w:shd w:val="clear" w:color="000000" w:fill="auto"/>
            <w:noWrap/>
          </w:tcPr>
          <w:p w14:paraId="7A0D2F9D" w14:textId="42BF397B" w:rsidR="00EE21A4" w:rsidRPr="00E9161E" w:rsidRDefault="00EE21A4" w:rsidP="00EE21A4">
            <w:pPr>
              <w:pStyle w:val="TableTextRight-Burden"/>
            </w:pPr>
            <w:r w:rsidRPr="00E86C89">
              <w:t>1</w:t>
            </w:r>
          </w:p>
        </w:tc>
        <w:tc>
          <w:tcPr>
            <w:tcW w:w="1242" w:type="dxa"/>
            <w:tcBorders>
              <w:top w:val="single" w:sz="4" w:space="0" w:color="auto"/>
              <w:left w:val="nil"/>
              <w:bottom w:val="single" w:sz="4" w:space="0" w:color="auto"/>
              <w:right w:val="single" w:sz="4" w:space="0" w:color="auto"/>
            </w:tcBorders>
            <w:shd w:val="clear" w:color="000000" w:fill="auto"/>
          </w:tcPr>
          <w:p w14:paraId="66E8A0E7" w14:textId="37FEFCFD" w:rsidR="00EE21A4" w:rsidRPr="00E9161E" w:rsidRDefault="00EE21A4" w:rsidP="00EE21A4">
            <w:pPr>
              <w:pStyle w:val="TableTextRight-Burden"/>
            </w:pPr>
            <w:r w:rsidRPr="00E86C89">
              <w:t>3</w:t>
            </w:r>
          </w:p>
        </w:tc>
        <w:tc>
          <w:tcPr>
            <w:tcW w:w="1223" w:type="dxa"/>
            <w:tcBorders>
              <w:top w:val="single" w:sz="4" w:space="0" w:color="auto"/>
              <w:left w:val="nil"/>
              <w:bottom w:val="single" w:sz="4" w:space="0" w:color="auto"/>
              <w:right w:val="single" w:sz="4" w:space="0" w:color="auto"/>
            </w:tcBorders>
            <w:shd w:val="clear" w:color="000000" w:fill="auto"/>
            <w:noWrap/>
          </w:tcPr>
          <w:p w14:paraId="0571BC53" w14:textId="536BD4FB" w:rsidR="00EE21A4" w:rsidRPr="004A02C7" w:rsidRDefault="00EE21A4" w:rsidP="00EE21A4">
            <w:pPr>
              <w:pStyle w:val="TableTextRight-Burden"/>
            </w:pPr>
            <w:r w:rsidRPr="009C76E4">
              <w:t>205</w:t>
            </w:r>
          </w:p>
        </w:tc>
        <w:tc>
          <w:tcPr>
            <w:tcW w:w="1350" w:type="dxa"/>
            <w:tcBorders>
              <w:top w:val="single" w:sz="4" w:space="0" w:color="auto"/>
              <w:left w:val="nil"/>
              <w:bottom w:val="single" w:sz="4" w:space="0" w:color="auto"/>
              <w:right w:val="single" w:sz="4" w:space="0" w:color="auto"/>
            </w:tcBorders>
            <w:shd w:val="clear" w:color="000000" w:fill="auto"/>
          </w:tcPr>
          <w:p w14:paraId="77528009" w14:textId="42067DAB" w:rsidR="00EE21A4" w:rsidRPr="004A02C7" w:rsidRDefault="00EE21A4" w:rsidP="00EE21A4">
            <w:pPr>
              <w:pStyle w:val="TableTextRight-Burden"/>
            </w:pPr>
            <w:r w:rsidRPr="009C76E4">
              <w:t>615</w:t>
            </w:r>
          </w:p>
        </w:tc>
        <w:tc>
          <w:tcPr>
            <w:tcW w:w="1155" w:type="dxa"/>
            <w:tcBorders>
              <w:top w:val="single" w:sz="4" w:space="0" w:color="auto"/>
              <w:left w:val="nil"/>
              <w:bottom w:val="single" w:sz="4" w:space="0" w:color="auto"/>
              <w:right w:val="single" w:sz="4" w:space="0" w:color="auto"/>
            </w:tcBorders>
            <w:shd w:val="clear" w:color="000000" w:fill="auto"/>
          </w:tcPr>
          <w:p w14:paraId="3306C8D7" w14:textId="149970FD" w:rsidR="00EE21A4" w:rsidRPr="004A02C7" w:rsidRDefault="00EE21A4" w:rsidP="00EE21A4">
            <w:pPr>
              <w:pStyle w:val="TableTextRight-Burden"/>
            </w:pPr>
            <w:r w:rsidRPr="009C76E4">
              <w:t>31</w:t>
            </w:r>
          </w:p>
        </w:tc>
        <w:tc>
          <w:tcPr>
            <w:tcW w:w="1243" w:type="dxa"/>
            <w:tcBorders>
              <w:top w:val="single" w:sz="4" w:space="0" w:color="auto"/>
              <w:left w:val="nil"/>
              <w:bottom w:val="single" w:sz="4" w:space="0" w:color="auto"/>
              <w:right w:val="single" w:sz="4" w:space="0" w:color="auto"/>
            </w:tcBorders>
            <w:shd w:val="clear" w:color="000000" w:fill="auto"/>
          </w:tcPr>
          <w:p w14:paraId="2653A56B" w14:textId="04012020" w:rsidR="00EE21A4" w:rsidRPr="004A02C7" w:rsidRDefault="00EE21A4" w:rsidP="00EE21A4">
            <w:pPr>
              <w:pStyle w:val="TableTextRight-Burden"/>
            </w:pPr>
            <w:r w:rsidRPr="009C76E4">
              <w:t>61.5</w:t>
            </w:r>
          </w:p>
        </w:tc>
        <w:tc>
          <w:tcPr>
            <w:tcW w:w="1243" w:type="dxa"/>
            <w:tcBorders>
              <w:top w:val="single" w:sz="4" w:space="0" w:color="auto"/>
              <w:left w:val="nil"/>
              <w:bottom w:val="single" w:sz="4" w:space="0" w:color="auto"/>
              <w:right w:val="single" w:sz="4" w:space="0" w:color="auto"/>
            </w:tcBorders>
            <w:shd w:val="clear" w:color="000000" w:fill="auto"/>
          </w:tcPr>
          <w:p w14:paraId="71FDAE05" w14:textId="603E5758" w:rsidR="00EE21A4" w:rsidRPr="004A02C7" w:rsidRDefault="00EE21A4" w:rsidP="00EE21A4">
            <w:pPr>
              <w:pStyle w:val="TableTextRight-Burden"/>
            </w:pPr>
            <w:r w:rsidRPr="009C76E4">
              <w:t xml:space="preserve">$49,889 </w:t>
            </w:r>
          </w:p>
        </w:tc>
      </w:tr>
      <w:tr w:rsidR="00EE21A4" w:rsidRPr="00E9161E" w14:paraId="57B4D48B" w14:textId="77777777" w:rsidTr="00083090">
        <w:tc>
          <w:tcPr>
            <w:tcW w:w="4675" w:type="dxa"/>
            <w:tcBorders>
              <w:top w:val="nil"/>
              <w:left w:val="single" w:sz="4" w:space="0" w:color="auto"/>
              <w:bottom w:val="single" w:sz="4" w:space="0" w:color="auto"/>
              <w:right w:val="single" w:sz="4" w:space="0" w:color="auto"/>
            </w:tcBorders>
            <w:shd w:val="clear" w:color="auto" w:fill="auto"/>
          </w:tcPr>
          <w:p w14:paraId="11DD15D9" w14:textId="522CD922" w:rsidR="00EE21A4" w:rsidRPr="00E9161E" w:rsidRDefault="00EE21A4" w:rsidP="00EE21A4">
            <w:pPr>
              <w:pStyle w:val="TableTextIndent3-Burden"/>
            </w:pPr>
            <w:r w:rsidRPr="00E86C89">
              <w:t xml:space="preserve">Equipment </w:t>
            </w:r>
            <w:r>
              <w:t>D</w:t>
            </w:r>
            <w:r w:rsidRPr="00E86C89">
              <w:t>etail (EquipDetail) - Kilns only</w:t>
            </w:r>
          </w:p>
        </w:tc>
        <w:tc>
          <w:tcPr>
            <w:tcW w:w="1242" w:type="dxa"/>
            <w:tcBorders>
              <w:top w:val="single" w:sz="4" w:space="0" w:color="auto"/>
              <w:left w:val="nil"/>
              <w:bottom w:val="single" w:sz="4" w:space="0" w:color="auto"/>
              <w:right w:val="single" w:sz="4" w:space="0" w:color="auto"/>
            </w:tcBorders>
            <w:shd w:val="clear" w:color="000000" w:fill="auto"/>
            <w:noWrap/>
          </w:tcPr>
          <w:p w14:paraId="699BD808" w14:textId="26FB3010" w:rsidR="00EE21A4" w:rsidRPr="00E9161E" w:rsidRDefault="00EE21A4" w:rsidP="00EE21A4">
            <w:pPr>
              <w:pStyle w:val="TableTextRight-Burden"/>
            </w:pPr>
            <w:r w:rsidRPr="00E86C89">
              <w:t>4</w:t>
            </w:r>
          </w:p>
        </w:tc>
        <w:tc>
          <w:tcPr>
            <w:tcW w:w="1243" w:type="dxa"/>
            <w:tcBorders>
              <w:top w:val="single" w:sz="4" w:space="0" w:color="auto"/>
              <w:left w:val="nil"/>
              <w:bottom w:val="single" w:sz="4" w:space="0" w:color="auto"/>
              <w:right w:val="single" w:sz="4" w:space="0" w:color="auto"/>
            </w:tcBorders>
            <w:shd w:val="clear" w:color="000000" w:fill="auto"/>
            <w:noWrap/>
          </w:tcPr>
          <w:p w14:paraId="1ABB9F92" w14:textId="0D906F6D" w:rsidR="00EE21A4" w:rsidRPr="00E9161E" w:rsidRDefault="00EE21A4" w:rsidP="00EE21A4">
            <w:pPr>
              <w:pStyle w:val="TableTextRight-Burden"/>
            </w:pPr>
            <w:r w:rsidRPr="00E86C89">
              <w:t>1</w:t>
            </w:r>
          </w:p>
        </w:tc>
        <w:tc>
          <w:tcPr>
            <w:tcW w:w="1242" w:type="dxa"/>
            <w:tcBorders>
              <w:top w:val="single" w:sz="4" w:space="0" w:color="auto"/>
              <w:left w:val="nil"/>
              <w:bottom w:val="single" w:sz="4" w:space="0" w:color="auto"/>
              <w:right w:val="single" w:sz="4" w:space="0" w:color="auto"/>
            </w:tcBorders>
            <w:shd w:val="clear" w:color="000000" w:fill="auto"/>
          </w:tcPr>
          <w:p w14:paraId="2AE576C3" w14:textId="5D0FB94A" w:rsidR="00EE21A4" w:rsidRPr="00E9161E" w:rsidRDefault="00EE21A4" w:rsidP="00EE21A4">
            <w:pPr>
              <w:pStyle w:val="TableTextRight-Burden"/>
            </w:pPr>
            <w:r w:rsidRPr="00E86C89">
              <w:t>4</w:t>
            </w:r>
          </w:p>
        </w:tc>
        <w:tc>
          <w:tcPr>
            <w:tcW w:w="1223" w:type="dxa"/>
            <w:tcBorders>
              <w:top w:val="single" w:sz="4" w:space="0" w:color="auto"/>
              <w:left w:val="nil"/>
              <w:bottom w:val="single" w:sz="4" w:space="0" w:color="auto"/>
              <w:right w:val="single" w:sz="4" w:space="0" w:color="auto"/>
            </w:tcBorders>
            <w:shd w:val="clear" w:color="000000" w:fill="auto"/>
            <w:noWrap/>
          </w:tcPr>
          <w:p w14:paraId="4009DEB2" w14:textId="52AB5948" w:rsidR="00EE21A4" w:rsidRPr="004A02C7" w:rsidRDefault="00EE21A4" w:rsidP="00EE21A4">
            <w:pPr>
              <w:pStyle w:val="TableTextRight-Burden"/>
            </w:pPr>
            <w:r w:rsidRPr="009C76E4">
              <w:t>205</w:t>
            </w:r>
          </w:p>
        </w:tc>
        <w:tc>
          <w:tcPr>
            <w:tcW w:w="1350" w:type="dxa"/>
            <w:tcBorders>
              <w:top w:val="single" w:sz="4" w:space="0" w:color="auto"/>
              <w:left w:val="nil"/>
              <w:bottom w:val="single" w:sz="4" w:space="0" w:color="auto"/>
              <w:right w:val="single" w:sz="4" w:space="0" w:color="auto"/>
            </w:tcBorders>
            <w:shd w:val="clear" w:color="000000" w:fill="auto"/>
          </w:tcPr>
          <w:p w14:paraId="55B133EC" w14:textId="4766C738" w:rsidR="00EE21A4" w:rsidRPr="004A02C7" w:rsidRDefault="00EE21A4" w:rsidP="00EE21A4">
            <w:pPr>
              <w:pStyle w:val="TableTextRight-Burden"/>
            </w:pPr>
            <w:r w:rsidRPr="009C76E4">
              <w:t>820</w:t>
            </w:r>
          </w:p>
        </w:tc>
        <w:tc>
          <w:tcPr>
            <w:tcW w:w="1155" w:type="dxa"/>
            <w:tcBorders>
              <w:top w:val="single" w:sz="4" w:space="0" w:color="auto"/>
              <w:left w:val="nil"/>
              <w:bottom w:val="single" w:sz="4" w:space="0" w:color="auto"/>
              <w:right w:val="single" w:sz="4" w:space="0" w:color="auto"/>
            </w:tcBorders>
            <w:shd w:val="clear" w:color="000000" w:fill="auto"/>
          </w:tcPr>
          <w:p w14:paraId="0A21B5BC" w14:textId="037717EC" w:rsidR="00EE21A4" w:rsidRPr="004A02C7" w:rsidRDefault="00EE21A4" w:rsidP="00EE21A4">
            <w:pPr>
              <w:pStyle w:val="TableTextRight-Burden"/>
            </w:pPr>
            <w:r w:rsidRPr="009C76E4">
              <w:t>41</w:t>
            </w:r>
          </w:p>
        </w:tc>
        <w:tc>
          <w:tcPr>
            <w:tcW w:w="1243" w:type="dxa"/>
            <w:tcBorders>
              <w:top w:val="single" w:sz="4" w:space="0" w:color="auto"/>
              <w:left w:val="nil"/>
              <w:bottom w:val="single" w:sz="4" w:space="0" w:color="auto"/>
              <w:right w:val="single" w:sz="4" w:space="0" w:color="auto"/>
            </w:tcBorders>
            <w:shd w:val="clear" w:color="000000" w:fill="auto"/>
          </w:tcPr>
          <w:p w14:paraId="4A45AE56" w14:textId="6A8A70ED" w:rsidR="00EE21A4" w:rsidRPr="004A02C7" w:rsidRDefault="00EE21A4" w:rsidP="00EE21A4">
            <w:pPr>
              <w:pStyle w:val="TableTextRight-Burden"/>
            </w:pPr>
            <w:r w:rsidRPr="009C76E4">
              <w:t>82</w:t>
            </w:r>
          </w:p>
        </w:tc>
        <w:tc>
          <w:tcPr>
            <w:tcW w:w="1243" w:type="dxa"/>
            <w:tcBorders>
              <w:top w:val="single" w:sz="4" w:space="0" w:color="auto"/>
              <w:left w:val="nil"/>
              <w:bottom w:val="single" w:sz="4" w:space="0" w:color="auto"/>
              <w:right w:val="single" w:sz="4" w:space="0" w:color="auto"/>
            </w:tcBorders>
            <w:shd w:val="clear" w:color="000000" w:fill="auto"/>
          </w:tcPr>
          <w:p w14:paraId="6E3DE631" w14:textId="18B85669" w:rsidR="00EE21A4" w:rsidRPr="004A02C7" w:rsidRDefault="00EE21A4" w:rsidP="00EE21A4">
            <w:pPr>
              <w:pStyle w:val="TableTextRight-Burden"/>
            </w:pPr>
            <w:r w:rsidRPr="009C76E4">
              <w:t xml:space="preserve">$66,518 </w:t>
            </w:r>
          </w:p>
        </w:tc>
      </w:tr>
      <w:tr w:rsidR="00EE21A4" w:rsidRPr="00E9161E" w14:paraId="406146EA" w14:textId="77777777" w:rsidTr="00083090">
        <w:tc>
          <w:tcPr>
            <w:tcW w:w="4675" w:type="dxa"/>
            <w:tcBorders>
              <w:top w:val="nil"/>
              <w:left w:val="single" w:sz="4" w:space="0" w:color="auto"/>
              <w:bottom w:val="single" w:sz="4" w:space="0" w:color="auto"/>
              <w:right w:val="single" w:sz="4" w:space="0" w:color="auto"/>
            </w:tcBorders>
            <w:shd w:val="clear" w:color="auto" w:fill="auto"/>
          </w:tcPr>
          <w:p w14:paraId="4F4AC451" w14:textId="182CC448" w:rsidR="00EE21A4" w:rsidRPr="00E9161E" w:rsidRDefault="00EE21A4" w:rsidP="00EE21A4">
            <w:pPr>
              <w:pStyle w:val="TableTextIndent3-Burden"/>
            </w:pPr>
            <w:r w:rsidRPr="00E86C89">
              <w:t>Release Point Detail (ReleasePt) - Kilns only</w:t>
            </w:r>
          </w:p>
        </w:tc>
        <w:tc>
          <w:tcPr>
            <w:tcW w:w="1242" w:type="dxa"/>
            <w:tcBorders>
              <w:top w:val="single" w:sz="4" w:space="0" w:color="auto"/>
              <w:left w:val="nil"/>
              <w:bottom w:val="single" w:sz="4" w:space="0" w:color="auto"/>
              <w:right w:val="single" w:sz="4" w:space="0" w:color="auto"/>
            </w:tcBorders>
            <w:shd w:val="clear" w:color="000000" w:fill="auto"/>
            <w:noWrap/>
          </w:tcPr>
          <w:p w14:paraId="025A3FE1" w14:textId="33EFDBB2" w:rsidR="00EE21A4" w:rsidRPr="00E9161E" w:rsidRDefault="00EE21A4" w:rsidP="00EE21A4">
            <w:pPr>
              <w:pStyle w:val="TableTextRight-Burden"/>
            </w:pPr>
            <w:r w:rsidRPr="00E86C89">
              <w:t>6</w:t>
            </w:r>
          </w:p>
        </w:tc>
        <w:tc>
          <w:tcPr>
            <w:tcW w:w="1243" w:type="dxa"/>
            <w:tcBorders>
              <w:top w:val="single" w:sz="4" w:space="0" w:color="auto"/>
              <w:left w:val="nil"/>
              <w:bottom w:val="single" w:sz="4" w:space="0" w:color="auto"/>
              <w:right w:val="single" w:sz="4" w:space="0" w:color="auto"/>
            </w:tcBorders>
            <w:shd w:val="clear" w:color="000000" w:fill="auto"/>
            <w:noWrap/>
          </w:tcPr>
          <w:p w14:paraId="5B515628" w14:textId="165F132D" w:rsidR="00EE21A4" w:rsidRPr="00E9161E" w:rsidRDefault="00EE21A4" w:rsidP="00EE21A4">
            <w:pPr>
              <w:pStyle w:val="TableTextRight-Burden"/>
            </w:pPr>
            <w:r w:rsidRPr="00E86C89">
              <w:t>1</w:t>
            </w:r>
          </w:p>
        </w:tc>
        <w:tc>
          <w:tcPr>
            <w:tcW w:w="1242" w:type="dxa"/>
            <w:tcBorders>
              <w:top w:val="single" w:sz="4" w:space="0" w:color="auto"/>
              <w:left w:val="nil"/>
              <w:bottom w:val="single" w:sz="4" w:space="0" w:color="auto"/>
              <w:right w:val="single" w:sz="4" w:space="0" w:color="auto"/>
            </w:tcBorders>
            <w:shd w:val="clear" w:color="000000" w:fill="auto"/>
          </w:tcPr>
          <w:p w14:paraId="5A6317F2" w14:textId="46753CDF" w:rsidR="00EE21A4" w:rsidRPr="00E9161E" w:rsidRDefault="00EE21A4" w:rsidP="00EE21A4">
            <w:pPr>
              <w:pStyle w:val="TableTextRight-Burden"/>
            </w:pPr>
            <w:r w:rsidRPr="00E86C89">
              <w:t>6</w:t>
            </w:r>
          </w:p>
        </w:tc>
        <w:tc>
          <w:tcPr>
            <w:tcW w:w="1223" w:type="dxa"/>
            <w:tcBorders>
              <w:top w:val="single" w:sz="4" w:space="0" w:color="auto"/>
              <w:left w:val="nil"/>
              <w:bottom w:val="single" w:sz="4" w:space="0" w:color="auto"/>
              <w:right w:val="single" w:sz="4" w:space="0" w:color="auto"/>
            </w:tcBorders>
            <w:shd w:val="clear" w:color="000000" w:fill="auto"/>
            <w:noWrap/>
          </w:tcPr>
          <w:p w14:paraId="269A8079" w14:textId="5691456B" w:rsidR="00EE21A4" w:rsidRPr="004A02C7" w:rsidRDefault="00EE21A4" w:rsidP="00EE21A4">
            <w:pPr>
              <w:pStyle w:val="TableTextRight-Burden"/>
            </w:pPr>
            <w:r w:rsidRPr="009C76E4">
              <w:t>205</w:t>
            </w:r>
          </w:p>
        </w:tc>
        <w:tc>
          <w:tcPr>
            <w:tcW w:w="1350" w:type="dxa"/>
            <w:tcBorders>
              <w:top w:val="single" w:sz="4" w:space="0" w:color="auto"/>
              <w:left w:val="nil"/>
              <w:bottom w:val="single" w:sz="4" w:space="0" w:color="auto"/>
              <w:right w:val="single" w:sz="4" w:space="0" w:color="auto"/>
            </w:tcBorders>
            <w:shd w:val="clear" w:color="000000" w:fill="auto"/>
          </w:tcPr>
          <w:p w14:paraId="103F6878" w14:textId="6FFBECC1" w:rsidR="00EE21A4" w:rsidRPr="004A02C7" w:rsidRDefault="00EE21A4" w:rsidP="00EE21A4">
            <w:pPr>
              <w:pStyle w:val="TableTextRight-Burden"/>
            </w:pPr>
            <w:r w:rsidRPr="009C76E4">
              <w:t>1,230</w:t>
            </w:r>
          </w:p>
        </w:tc>
        <w:tc>
          <w:tcPr>
            <w:tcW w:w="1155" w:type="dxa"/>
            <w:tcBorders>
              <w:top w:val="single" w:sz="4" w:space="0" w:color="auto"/>
              <w:left w:val="nil"/>
              <w:bottom w:val="single" w:sz="4" w:space="0" w:color="auto"/>
              <w:right w:val="single" w:sz="4" w:space="0" w:color="auto"/>
            </w:tcBorders>
            <w:shd w:val="clear" w:color="000000" w:fill="auto"/>
          </w:tcPr>
          <w:p w14:paraId="6B977425" w14:textId="2E085855" w:rsidR="00EE21A4" w:rsidRPr="004A02C7" w:rsidRDefault="00EE21A4" w:rsidP="00EE21A4">
            <w:pPr>
              <w:pStyle w:val="TableTextRight-Burden"/>
            </w:pPr>
            <w:r w:rsidRPr="009C76E4">
              <w:t>62</w:t>
            </w:r>
          </w:p>
        </w:tc>
        <w:tc>
          <w:tcPr>
            <w:tcW w:w="1243" w:type="dxa"/>
            <w:tcBorders>
              <w:top w:val="single" w:sz="4" w:space="0" w:color="auto"/>
              <w:left w:val="nil"/>
              <w:bottom w:val="single" w:sz="4" w:space="0" w:color="auto"/>
              <w:right w:val="single" w:sz="4" w:space="0" w:color="auto"/>
            </w:tcBorders>
            <w:shd w:val="clear" w:color="000000" w:fill="auto"/>
          </w:tcPr>
          <w:p w14:paraId="2C4FA442" w14:textId="33AD6C7E" w:rsidR="00EE21A4" w:rsidRPr="004A02C7" w:rsidRDefault="00EE21A4" w:rsidP="00EE21A4">
            <w:pPr>
              <w:pStyle w:val="TableTextRight-Burden"/>
            </w:pPr>
            <w:r w:rsidRPr="009C76E4">
              <w:t>123</w:t>
            </w:r>
          </w:p>
        </w:tc>
        <w:tc>
          <w:tcPr>
            <w:tcW w:w="1243" w:type="dxa"/>
            <w:tcBorders>
              <w:top w:val="single" w:sz="4" w:space="0" w:color="auto"/>
              <w:left w:val="nil"/>
              <w:bottom w:val="single" w:sz="4" w:space="0" w:color="auto"/>
              <w:right w:val="single" w:sz="4" w:space="0" w:color="auto"/>
            </w:tcBorders>
            <w:shd w:val="clear" w:color="000000" w:fill="auto"/>
          </w:tcPr>
          <w:p w14:paraId="065D3259" w14:textId="5ADD3902" w:rsidR="00EE21A4" w:rsidRPr="004A02C7" w:rsidRDefault="00EE21A4" w:rsidP="00EE21A4">
            <w:pPr>
              <w:pStyle w:val="TableTextRight-Burden"/>
            </w:pPr>
            <w:r w:rsidRPr="009C76E4">
              <w:t xml:space="preserve">$99,777 </w:t>
            </w:r>
          </w:p>
        </w:tc>
      </w:tr>
      <w:tr w:rsidR="00EE21A4" w:rsidRPr="00E9161E" w14:paraId="50C2700C" w14:textId="77777777" w:rsidTr="00083090">
        <w:tc>
          <w:tcPr>
            <w:tcW w:w="4675" w:type="dxa"/>
            <w:tcBorders>
              <w:top w:val="nil"/>
              <w:left w:val="single" w:sz="4" w:space="0" w:color="auto"/>
              <w:bottom w:val="single" w:sz="4" w:space="0" w:color="auto"/>
              <w:right w:val="single" w:sz="4" w:space="0" w:color="auto"/>
            </w:tcBorders>
            <w:shd w:val="clear" w:color="auto" w:fill="auto"/>
          </w:tcPr>
          <w:p w14:paraId="6EEA5CE4" w14:textId="6D0E8FD5" w:rsidR="00EE21A4" w:rsidRPr="00E9161E" w:rsidRDefault="00EE21A4" w:rsidP="00EE21A4">
            <w:pPr>
              <w:pStyle w:val="TableTextIndent3-Burden"/>
            </w:pPr>
            <w:r w:rsidRPr="00E86C89">
              <w:t>Permit - Kilns only</w:t>
            </w:r>
          </w:p>
        </w:tc>
        <w:tc>
          <w:tcPr>
            <w:tcW w:w="1242" w:type="dxa"/>
            <w:tcBorders>
              <w:top w:val="single" w:sz="4" w:space="0" w:color="auto"/>
              <w:left w:val="nil"/>
              <w:bottom w:val="single" w:sz="4" w:space="0" w:color="auto"/>
              <w:right w:val="single" w:sz="4" w:space="0" w:color="auto"/>
            </w:tcBorders>
            <w:shd w:val="clear" w:color="000000" w:fill="auto"/>
            <w:noWrap/>
          </w:tcPr>
          <w:p w14:paraId="2FFA8786" w14:textId="31A37911" w:rsidR="00EE21A4" w:rsidRPr="00E9161E" w:rsidRDefault="00EE21A4" w:rsidP="00EE21A4">
            <w:pPr>
              <w:pStyle w:val="TableTextRight-Burden"/>
            </w:pPr>
            <w:r w:rsidRPr="00E86C89">
              <w:t>2</w:t>
            </w:r>
          </w:p>
        </w:tc>
        <w:tc>
          <w:tcPr>
            <w:tcW w:w="1243" w:type="dxa"/>
            <w:tcBorders>
              <w:top w:val="single" w:sz="4" w:space="0" w:color="auto"/>
              <w:left w:val="nil"/>
              <w:bottom w:val="single" w:sz="4" w:space="0" w:color="auto"/>
              <w:right w:val="single" w:sz="4" w:space="0" w:color="auto"/>
            </w:tcBorders>
            <w:shd w:val="clear" w:color="000000" w:fill="auto"/>
            <w:noWrap/>
          </w:tcPr>
          <w:p w14:paraId="392DDA59" w14:textId="29251DE1" w:rsidR="00EE21A4" w:rsidRPr="00E9161E" w:rsidRDefault="00EE21A4" w:rsidP="00EE21A4">
            <w:pPr>
              <w:pStyle w:val="TableTextRight-Burden"/>
            </w:pPr>
            <w:r w:rsidRPr="00E86C89">
              <w:t>1</w:t>
            </w:r>
          </w:p>
        </w:tc>
        <w:tc>
          <w:tcPr>
            <w:tcW w:w="1242" w:type="dxa"/>
            <w:tcBorders>
              <w:top w:val="single" w:sz="4" w:space="0" w:color="auto"/>
              <w:left w:val="nil"/>
              <w:bottom w:val="single" w:sz="4" w:space="0" w:color="auto"/>
              <w:right w:val="single" w:sz="4" w:space="0" w:color="auto"/>
            </w:tcBorders>
            <w:shd w:val="clear" w:color="000000" w:fill="auto"/>
          </w:tcPr>
          <w:p w14:paraId="2F1E6ACA" w14:textId="36F90CCD" w:rsidR="00EE21A4" w:rsidRPr="00E9161E" w:rsidRDefault="00EE21A4" w:rsidP="00EE21A4">
            <w:pPr>
              <w:pStyle w:val="TableTextRight-Burden"/>
            </w:pPr>
            <w:r w:rsidRPr="00E86C89">
              <w:t>2</w:t>
            </w:r>
          </w:p>
        </w:tc>
        <w:tc>
          <w:tcPr>
            <w:tcW w:w="1223" w:type="dxa"/>
            <w:tcBorders>
              <w:top w:val="single" w:sz="4" w:space="0" w:color="auto"/>
              <w:left w:val="nil"/>
              <w:bottom w:val="single" w:sz="4" w:space="0" w:color="auto"/>
              <w:right w:val="single" w:sz="4" w:space="0" w:color="auto"/>
            </w:tcBorders>
            <w:shd w:val="clear" w:color="000000" w:fill="auto"/>
            <w:noWrap/>
          </w:tcPr>
          <w:p w14:paraId="3CF394C9" w14:textId="1695E15B" w:rsidR="00EE21A4" w:rsidRPr="004A02C7" w:rsidRDefault="00EE21A4" w:rsidP="00EE21A4">
            <w:pPr>
              <w:pStyle w:val="TableTextRight-Burden"/>
            </w:pPr>
            <w:r w:rsidRPr="009C76E4">
              <w:t>205</w:t>
            </w:r>
          </w:p>
        </w:tc>
        <w:tc>
          <w:tcPr>
            <w:tcW w:w="1350" w:type="dxa"/>
            <w:tcBorders>
              <w:top w:val="single" w:sz="4" w:space="0" w:color="auto"/>
              <w:left w:val="nil"/>
              <w:bottom w:val="single" w:sz="4" w:space="0" w:color="auto"/>
              <w:right w:val="single" w:sz="4" w:space="0" w:color="auto"/>
            </w:tcBorders>
            <w:shd w:val="clear" w:color="000000" w:fill="auto"/>
          </w:tcPr>
          <w:p w14:paraId="679FAED8" w14:textId="208BA610" w:rsidR="00EE21A4" w:rsidRPr="004A02C7" w:rsidRDefault="00EE21A4" w:rsidP="00EE21A4">
            <w:pPr>
              <w:pStyle w:val="TableTextRight-Burden"/>
            </w:pPr>
            <w:r w:rsidRPr="009C76E4">
              <w:t>410</w:t>
            </w:r>
          </w:p>
        </w:tc>
        <w:tc>
          <w:tcPr>
            <w:tcW w:w="1155" w:type="dxa"/>
            <w:tcBorders>
              <w:top w:val="single" w:sz="4" w:space="0" w:color="auto"/>
              <w:left w:val="nil"/>
              <w:bottom w:val="single" w:sz="4" w:space="0" w:color="auto"/>
              <w:right w:val="single" w:sz="4" w:space="0" w:color="auto"/>
            </w:tcBorders>
            <w:shd w:val="clear" w:color="000000" w:fill="auto"/>
          </w:tcPr>
          <w:p w14:paraId="74038DC6" w14:textId="2EEA8EA4" w:rsidR="00EE21A4" w:rsidRPr="004A02C7" w:rsidRDefault="00EE21A4" w:rsidP="00EE21A4">
            <w:pPr>
              <w:pStyle w:val="TableTextRight-Burden"/>
            </w:pPr>
            <w:r w:rsidRPr="009C76E4">
              <w:t>21</w:t>
            </w:r>
          </w:p>
        </w:tc>
        <w:tc>
          <w:tcPr>
            <w:tcW w:w="1243" w:type="dxa"/>
            <w:tcBorders>
              <w:top w:val="single" w:sz="4" w:space="0" w:color="auto"/>
              <w:left w:val="nil"/>
              <w:bottom w:val="single" w:sz="4" w:space="0" w:color="auto"/>
              <w:right w:val="single" w:sz="4" w:space="0" w:color="auto"/>
            </w:tcBorders>
            <w:shd w:val="clear" w:color="000000" w:fill="auto"/>
          </w:tcPr>
          <w:p w14:paraId="4762E80E" w14:textId="7858F7BF" w:rsidR="00EE21A4" w:rsidRPr="004A02C7" w:rsidRDefault="00EE21A4" w:rsidP="00EE21A4">
            <w:pPr>
              <w:pStyle w:val="TableTextRight-Burden"/>
            </w:pPr>
            <w:r w:rsidRPr="009C76E4">
              <w:t>41</w:t>
            </w:r>
          </w:p>
        </w:tc>
        <w:tc>
          <w:tcPr>
            <w:tcW w:w="1243" w:type="dxa"/>
            <w:tcBorders>
              <w:top w:val="single" w:sz="4" w:space="0" w:color="auto"/>
              <w:left w:val="nil"/>
              <w:bottom w:val="single" w:sz="4" w:space="0" w:color="auto"/>
              <w:right w:val="single" w:sz="4" w:space="0" w:color="auto"/>
            </w:tcBorders>
            <w:shd w:val="clear" w:color="000000" w:fill="auto"/>
          </w:tcPr>
          <w:p w14:paraId="386D3621" w14:textId="1CEB9AC7" w:rsidR="00EE21A4" w:rsidRPr="004A02C7" w:rsidRDefault="00EE21A4" w:rsidP="00EE21A4">
            <w:pPr>
              <w:pStyle w:val="TableTextRight-Burden"/>
            </w:pPr>
            <w:r w:rsidRPr="009C76E4">
              <w:t xml:space="preserve">$33,259 </w:t>
            </w:r>
          </w:p>
        </w:tc>
      </w:tr>
      <w:tr w:rsidR="00EE21A4" w:rsidRPr="00E9161E" w14:paraId="4423B001" w14:textId="77777777" w:rsidTr="00083090">
        <w:tc>
          <w:tcPr>
            <w:tcW w:w="4675" w:type="dxa"/>
            <w:tcBorders>
              <w:top w:val="nil"/>
              <w:left w:val="single" w:sz="4" w:space="0" w:color="auto"/>
              <w:bottom w:val="single" w:sz="4" w:space="0" w:color="auto"/>
              <w:right w:val="single" w:sz="4" w:space="0" w:color="auto"/>
            </w:tcBorders>
            <w:shd w:val="clear" w:color="auto" w:fill="auto"/>
          </w:tcPr>
          <w:p w14:paraId="1BD77CA4" w14:textId="0369A041" w:rsidR="00EE21A4" w:rsidRPr="00E86C89" w:rsidRDefault="00EE21A4" w:rsidP="00EE21A4">
            <w:pPr>
              <w:pStyle w:val="TableTextIndent3-Burden"/>
            </w:pPr>
            <w:r w:rsidRPr="00E86C89">
              <w:t>Lumber Kilns (L</w:t>
            </w:r>
            <w:r>
              <w:t>K</w:t>
            </w:r>
            <w:r w:rsidRPr="00E86C89">
              <w:t>iln)</w:t>
            </w:r>
          </w:p>
        </w:tc>
        <w:tc>
          <w:tcPr>
            <w:tcW w:w="1242" w:type="dxa"/>
            <w:tcBorders>
              <w:top w:val="single" w:sz="4" w:space="0" w:color="auto"/>
              <w:left w:val="nil"/>
              <w:bottom w:val="single" w:sz="4" w:space="0" w:color="auto"/>
              <w:right w:val="single" w:sz="4" w:space="0" w:color="auto"/>
            </w:tcBorders>
            <w:shd w:val="clear" w:color="000000" w:fill="auto"/>
            <w:noWrap/>
          </w:tcPr>
          <w:p w14:paraId="34D553E1" w14:textId="1C2594FE" w:rsidR="00EE21A4" w:rsidRPr="00E86C89" w:rsidRDefault="00EE21A4" w:rsidP="00EE21A4">
            <w:pPr>
              <w:pStyle w:val="TableTextRight-Burden"/>
            </w:pPr>
            <w:r w:rsidRPr="00E86C89">
              <w:t>4</w:t>
            </w:r>
          </w:p>
        </w:tc>
        <w:tc>
          <w:tcPr>
            <w:tcW w:w="1243" w:type="dxa"/>
            <w:tcBorders>
              <w:top w:val="single" w:sz="4" w:space="0" w:color="auto"/>
              <w:left w:val="nil"/>
              <w:bottom w:val="single" w:sz="4" w:space="0" w:color="auto"/>
              <w:right w:val="single" w:sz="4" w:space="0" w:color="auto"/>
            </w:tcBorders>
            <w:shd w:val="clear" w:color="000000" w:fill="auto"/>
            <w:noWrap/>
          </w:tcPr>
          <w:p w14:paraId="76FFB055" w14:textId="68D183A0" w:rsidR="00EE21A4" w:rsidRPr="00E86C89" w:rsidRDefault="00EE21A4" w:rsidP="00EE21A4">
            <w:pPr>
              <w:pStyle w:val="TableTextRight-Burden"/>
            </w:pPr>
            <w:r w:rsidRPr="00E86C89">
              <w:t>1</w:t>
            </w:r>
          </w:p>
        </w:tc>
        <w:tc>
          <w:tcPr>
            <w:tcW w:w="1242" w:type="dxa"/>
            <w:tcBorders>
              <w:top w:val="single" w:sz="4" w:space="0" w:color="auto"/>
              <w:left w:val="nil"/>
              <w:bottom w:val="single" w:sz="4" w:space="0" w:color="auto"/>
              <w:right w:val="single" w:sz="4" w:space="0" w:color="auto"/>
            </w:tcBorders>
            <w:shd w:val="clear" w:color="000000" w:fill="auto"/>
          </w:tcPr>
          <w:p w14:paraId="4A1CA5AA" w14:textId="48B38989" w:rsidR="00EE21A4" w:rsidRPr="00E86C89" w:rsidRDefault="00EE21A4" w:rsidP="00EE21A4">
            <w:pPr>
              <w:pStyle w:val="TableTextRight-Burden"/>
            </w:pPr>
            <w:r w:rsidRPr="00E86C89">
              <w:t>4</w:t>
            </w:r>
          </w:p>
        </w:tc>
        <w:tc>
          <w:tcPr>
            <w:tcW w:w="1223" w:type="dxa"/>
            <w:tcBorders>
              <w:top w:val="single" w:sz="4" w:space="0" w:color="auto"/>
              <w:left w:val="nil"/>
              <w:bottom w:val="single" w:sz="4" w:space="0" w:color="auto"/>
              <w:right w:val="single" w:sz="4" w:space="0" w:color="auto"/>
            </w:tcBorders>
            <w:shd w:val="clear" w:color="000000" w:fill="auto"/>
            <w:noWrap/>
          </w:tcPr>
          <w:p w14:paraId="480C3D1B" w14:textId="551131D9" w:rsidR="00EE21A4" w:rsidRPr="00E86C89" w:rsidRDefault="00EE21A4" w:rsidP="00EE21A4">
            <w:pPr>
              <w:pStyle w:val="TableTextRight-Burden"/>
            </w:pPr>
            <w:r w:rsidRPr="009C76E4">
              <w:t>205</w:t>
            </w:r>
          </w:p>
        </w:tc>
        <w:tc>
          <w:tcPr>
            <w:tcW w:w="1350" w:type="dxa"/>
            <w:tcBorders>
              <w:top w:val="single" w:sz="4" w:space="0" w:color="auto"/>
              <w:left w:val="nil"/>
              <w:bottom w:val="single" w:sz="4" w:space="0" w:color="auto"/>
              <w:right w:val="single" w:sz="4" w:space="0" w:color="auto"/>
            </w:tcBorders>
            <w:shd w:val="clear" w:color="000000" w:fill="auto"/>
          </w:tcPr>
          <w:p w14:paraId="18910030" w14:textId="45166B0E" w:rsidR="00EE21A4" w:rsidRPr="00E86C89" w:rsidRDefault="00EE21A4" w:rsidP="00EE21A4">
            <w:pPr>
              <w:pStyle w:val="TableTextRight-Burden"/>
            </w:pPr>
            <w:r w:rsidRPr="009C76E4">
              <w:t>820</w:t>
            </w:r>
          </w:p>
        </w:tc>
        <w:tc>
          <w:tcPr>
            <w:tcW w:w="1155" w:type="dxa"/>
            <w:tcBorders>
              <w:top w:val="single" w:sz="4" w:space="0" w:color="auto"/>
              <w:left w:val="nil"/>
              <w:bottom w:val="single" w:sz="4" w:space="0" w:color="auto"/>
              <w:right w:val="single" w:sz="4" w:space="0" w:color="auto"/>
            </w:tcBorders>
            <w:shd w:val="clear" w:color="000000" w:fill="auto"/>
          </w:tcPr>
          <w:p w14:paraId="0DC100F1" w14:textId="4A314B1A" w:rsidR="00EE21A4" w:rsidRPr="00E86C89" w:rsidRDefault="00EE21A4" w:rsidP="00EE21A4">
            <w:pPr>
              <w:pStyle w:val="TableTextRight-Burden"/>
            </w:pPr>
            <w:r w:rsidRPr="009C76E4">
              <w:t>41</w:t>
            </w:r>
          </w:p>
        </w:tc>
        <w:tc>
          <w:tcPr>
            <w:tcW w:w="1243" w:type="dxa"/>
            <w:tcBorders>
              <w:top w:val="single" w:sz="4" w:space="0" w:color="auto"/>
              <w:left w:val="nil"/>
              <w:bottom w:val="single" w:sz="4" w:space="0" w:color="auto"/>
              <w:right w:val="single" w:sz="4" w:space="0" w:color="auto"/>
            </w:tcBorders>
            <w:shd w:val="clear" w:color="000000" w:fill="auto"/>
          </w:tcPr>
          <w:p w14:paraId="404DC650" w14:textId="087FD257" w:rsidR="00EE21A4" w:rsidRPr="00E86C89" w:rsidRDefault="00EE21A4" w:rsidP="00EE21A4">
            <w:pPr>
              <w:pStyle w:val="TableTextRight-Burden"/>
            </w:pPr>
            <w:r w:rsidRPr="009C76E4">
              <w:t>82</w:t>
            </w:r>
          </w:p>
        </w:tc>
        <w:tc>
          <w:tcPr>
            <w:tcW w:w="1243" w:type="dxa"/>
            <w:tcBorders>
              <w:top w:val="single" w:sz="4" w:space="0" w:color="auto"/>
              <w:left w:val="nil"/>
              <w:bottom w:val="single" w:sz="4" w:space="0" w:color="auto"/>
              <w:right w:val="single" w:sz="4" w:space="0" w:color="auto"/>
            </w:tcBorders>
            <w:shd w:val="clear" w:color="000000" w:fill="auto"/>
          </w:tcPr>
          <w:p w14:paraId="02BDBDB6" w14:textId="7CE92D4A" w:rsidR="00EE21A4" w:rsidRPr="00E86C89" w:rsidRDefault="00EE21A4" w:rsidP="00EE21A4">
            <w:pPr>
              <w:pStyle w:val="TableTextRight-Burden"/>
            </w:pPr>
            <w:r w:rsidRPr="009C76E4">
              <w:t xml:space="preserve">$66,518 </w:t>
            </w:r>
          </w:p>
        </w:tc>
      </w:tr>
      <w:tr w:rsidR="00EE21A4" w:rsidRPr="00E9161E" w14:paraId="24FBA1AC" w14:textId="77777777" w:rsidTr="00083090">
        <w:tc>
          <w:tcPr>
            <w:tcW w:w="4675" w:type="dxa"/>
            <w:tcBorders>
              <w:top w:val="nil"/>
              <w:left w:val="single" w:sz="4" w:space="0" w:color="auto"/>
              <w:bottom w:val="single" w:sz="4" w:space="0" w:color="auto"/>
              <w:right w:val="single" w:sz="4" w:space="0" w:color="auto"/>
            </w:tcBorders>
            <w:shd w:val="clear" w:color="auto" w:fill="auto"/>
          </w:tcPr>
          <w:p w14:paraId="4E5150F4" w14:textId="0035EBE7" w:rsidR="00EE21A4" w:rsidRPr="00E9161E" w:rsidRDefault="00EE21A4" w:rsidP="00EE21A4">
            <w:pPr>
              <w:pStyle w:val="TableTextIndent3-Burden"/>
            </w:pPr>
            <w:r w:rsidRPr="00E86C89">
              <w:t>Direct Fired Dryer Fuel (DFDryFuel)</w:t>
            </w:r>
          </w:p>
        </w:tc>
        <w:tc>
          <w:tcPr>
            <w:tcW w:w="1242" w:type="dxa"/>
            <w:tcBorders>
              <w:top w:val="single" w:sz="4" w:space="0" w:color="auto"/>
              <w:left w:val="nil"/>
              <w:bottom w:val="single" w:sz="4" w:space="0" w:color="auto"/>
              <w:right w:val="single" w:sz="4" w:space="0" w:color="auto"/>
            </w:tcBorders>
            <w:shd w:val="clear" w:color="000000" w:fill="auto"/>
            <w:noWrap/>
          </w:tcPr>
          <w:p w14:paraId="209B7D41" w14:textId="4F71A100" w:rsidR="00EE21A4" w:rsidRPr="00E9161E" w:rsidRDefault="00EE21A4" w:rsidP="00EE21A4">
            <w:pPr>
              <w:pStyle w:val="TableTextRight-Burden"/>
            </w:pPr>
            <w:r w:rsidRPr="00E86C89">
              <w:t>6</w:t>
            </w:r>
          </w:p>
        </w:tc>
        <w:tc>
          <w:tcPr>
            <w:tcW w:w="1243" w:type="dxa"/>
            <w:tcBorders>
              <w:top w:val="single" w:sz="4" w:space="0" w:color="auto"/>
              <w:left w:val="nil"/>
              <w:bottom w:val="single" w:sz="4" w:space="0" w:color="auto"/>
              <w:right w:val="single" w:sz="4" w:space="0" w:color="auto"/>
            </w:tcBorders>
            <w:shd w:val="clear" w:color="000000" w:fill="auto"/>
            <w:noWrap/>
          </w:tcPr>
          <w:p w14:paraId="0820ED93" w14:textId="3D69A204" w:rsidR="00EE21A4" w:rsidRPr="00E9161E" w:rsidRDefault="00EE21A4" w:rsidP="00EE21A4">
            <w:pPr>
              <w:pStyle w:val="TableTextRight-Burden"/>
            </w:pPr>
            <w:r w:rsidRPr="00E86C89">
              <w:t>1</w:t>
            </w:r>
          </w:p>
        </w:tc>
        <w:tc>
          <w:tcPr>
            <w:tcW w:w="1242" w:type="dxa"/>
            <w:tcBorders>
              <w:top w:val="single" w:sz="4" w:space="0" w:color="auto"/>
              <w:left w:val="nil"/>
              <w:bottom w:val="single" w:sz="4" w:space="0" w:color="auto"/>
              <w:right w:val="single" w:sz="4" w:space="0" w:color="auto"/>
            </w:tcBorders>
            <w:shd w:val="clear" w:color="000000" w:fill="auto"/>
          </w:tcPr>
          <w:p w14:paraId="7246D466" w14:textId="7E696101" w:rsidR="00EE21A4" w:rsidRPr="00E9161E" w:rsidRDefault="00EE21A4" w:rsidP="00EE21A4">
            <w:pPr>
              <w:pStyle w:val="TableTextRight-Burden"/>
            </w:pPr>
            <w:r w:rsidRPr="00E86C89">
              <w:t>6</w:t>
            </w:r>
          </w:p>
        </w:tc>
        <w:tc>
          <w:tcPr>
            <w:tcW w:w="1223" w:type="dxa"/>
            <w:tcBorders>
              <w:top w:val="single" w:sz="4" w:space="0" w:color="auto"/>
              <w:left w:val="nil"/>
              <w:bottom w:val="single" w:sz="4" w:space="0" w:color="auto"/>
              <w:right w:val="single" w:sz="4" w:space="0" w:color="auto"/>
            </w:tcBorders>
            <w:shd w:val="clear" w:color="000000" w:fill="auto"/>
            <w:noWrap/>
          </w:tcPr>
          <w:p w14:paraId="224F4F82" w14:textId="533725C6" w:rsidR="00EE21A4" w:rsidRPr="004A02C7" w:rsidRDefault="00EE21A4" w:rsidP="00EE21A4">
            <w:pPr>
              <w:pStyle w:val="TableTextRight-Burden"/>
            </w:pPr>
            <w:r w:rsidRPr="009C76E4">
              <w:t>100</w:t>
            </w:r>
          </w:p>
        </w:tc>
        <w:tc>
          <w:tcPr>
            <w:tcW w:w="1350" w:type="dxa"/>
            <w:tcBorders>
              <w:top w:val="single" w:sz="4" w:space="0" w:color="auto"/>
              <w:left w:val="nil"/>
              <w:bottom w:val="single" w:sz="4" w:space="0" w:color="auto"/>
              <w:right w:val="single" w:sz="4" w:space="0" w:color="auto"/>
            </w:tcBorders>
            <w:shd w:val="clear" w:color="000000" w:fill="auto"/>
          </w:tcPr>
          <w:p w14:paraId="57A9EAD8" w14:textId="7378B865" w:rsidR="00EE21A4" w:rsidRPr="004A02C7" w:rsidRDefault="00EE21A4" w:rsidP="00EE21A4">
            <w:pPr>
              <w:pStyle w:val="TableTextRight-Burden"/>
            </w:pPr>
            <w:r w:rsidRPr="009C76E4">
              <w:t>600</w:t>
            </w:r>
          </w:p>
        </w:tc>
        <w:tc>
          <w:tcPr>
            <w:tcW w:w="1155" w:type="dxa"/>
            <w:tcBorders>
              <w:top w:val="single" w:sz="4" w:space="0" w:color="auto"/>
              <w:left w:val="nil"/>
              <w:bottom w:val="single" w:sz="4" w:space="0" w:color="auto"/>
              <w:right w:val="single" w:sz="4" w:space="0" w:color="auto"/>
            </w:tcBorders>
            <w:shd w:val="clear" w:color="000000" w:fill="auto"/>
          </w:tcPr>
          <w:p w14:paraId="2CA33849" w14:textId="3344D2AA" w:rsidR="00EE21A4" w:rsidRPr="004A02C7" w:rsidRDefault="00EE21A4" w:rsidP="00EE21A4">
            <w:pPr>
              <w:pStyle w:val="TableTextRight-Burden"/>
            </w:pPr>
            <w:r w:rsidRPr="009C76E4">
              <w:t>30</w:t>
            </w:r>
          </w:p>
        </w:tc>
        <w:tc>
          <w:tcPr>
            <w:tcW w:w="1243" w:type="dxa"/>
            <w:tcBorders>
              <w:top w:val="single" w:sz="4" w:space="0" w:color="auto"/>
              <w:left w:val="nil"/>
              <w:bottom w:val="single" w:sz="4" w:space="0" w:color="auto"/>
              <w:right w:val="single" w:sz="4" w:space="0" w:color="auto"/>
            </w:tcBorders>
            <w:shd w:val="clear" w:color="000000" w:fill="auto"/>
          </w:tcPr>
          <w:p w14:paraId="0CB31DDE" w14:textId="67663D63" w:rsidR="00EE21A4" w:rsidRPr="004A02C7" w:rsidRDefault="00EE21A4" w:rsidP="00EE21A4">
            <w:pPr>
              <w:pStyle w:val="TableTextRight-Burden"/>
            </w:pPr>
            <w:r w:rsidRPr="009C76E4">
              <w:t>60</w:t>
            </w:r>
          </w:p>
        </w:tc>
        <w:tc>
          <w:tcPr>
            <w:tcW w:w="1243" w:type="dxa"/>
            <w:tcBorders>
              <w:top w:val="single" w:sz="4" w:space="0" w:color="auto"/>
              <w:left w:val="nil"/>
              <w:bottom w:val="single" w:sz="4" w:space="0" w:color="auto"/>
              <w:right w:val="single" w:sz="4" w:space="0" w:color="auto"/>
            </w:tcBorders>
            <w:shd w:val="clear" w:color="000000" w:fill="auto"/>
          </w:tcPr>
          <w:p w14:paraId="4E8D7CDA" w14:textId="4314E85D" w:rsidR="00EE21A4" w:rsidRPr="004A02C7" w:rsidRDefault="00EE21A4" w:rsidP="00EE21A4">
            <w:pPr>
              <w:pStyle w:val="TableTextRight-Burden"/>
            </w:pPr>
            <w:r w:rsidRPr="009C76E4">
              <w:t xml:space="preserve">$48,672 </w:t>
            </w:r>
          </w:p>
        </w:tc>
      </w:tr>
      <w:tr w:rsidR="00EE21A4" w:rsidRPr="00E9161E" w14:paraId="140C0E90" w14:textId="7E77DC5A" w:rsidTr="00083090">
        <w:tc>
          <w:tcPr>
            <w:tcW w:w="4675" w:type="dxa"/>
            <w:tcBorders>
              <w:top w:val="nil"/>
              <w:left w:val="single" w:sz="4" w:space="0" w:color="auto"/>
              <w:bottom w:val="single" w:sz="4" w:space="0" w:color="auto"/>
              <w:right w:val="single" w:sz="4" w:space="0" w:color="auto"/>
            </w:tcBorders>
            <w:shd w:val="clear" w:color="auto" w:fill="auto"/>
          </w:tcPr>
          <w:p w14:paraId="6475FB3B" w14:textId="12B6DAA7" w:rsidR="00EE21A4" w:rsidRPr="00E9161E" w:rsidRDefault="00EE21A4" w:rsidP="00EE21A4">
            <w:pPr>
              <w:pStyle w:val="TableTextIndent3-Burden"/>
            </w:pPr>
            <w:r w:rsidRPr="00C92EAF">
              <w:t>Control Devices (APCD)</w:t>
            </w:r>
            <w:r>
              <w:t xml:space="preserve"> – Kilns only</w:t>
            </w:r>
            <w:r w:rsidRPr="00F55EA2">
              <w:rPr>
                <w:rStyle w:val="Superscript"/>
              </w:rPr>
              <w:t>5</w:t>
            </w:r>
          </w:p>
        </w:tc>
        <w:tc>
          <w:tcPr>
            <w:tcW w:w="1242" w:type="dxa"/>
            <w:tcBorders>
              <w:top w:val="single" w:sz="4" w:space="0" w:color="auto"/>
              <w:left w:val="nil"/>
              <w:bottom w:val="single" w:sz="4" w:space="0" w:color="auto"/>
              <w:right w:val="single" w:sz="4" w:space="0" w:color="auto"/>
            </w:tcBorders>
            <w:shd w:val="clear" w:color="000000" w:fill="auto"/>
            <w:noWrap/>
          </w:tcPr>
          <w:p w14:paraId="1D33E5AB" w14:textId="253B722B" w:rsidR="00EE21A4" w:rsidRPr="00E9161E" w:rsidRDefault="00EE21A4" w:rsidP="00EE21A4">
            <w:pPr>
              <w:pStyle w:val="TableTextRight-Burden"/>
            </w:pPr>
            <w:r w:rsidRPr="00E86C89">
              <w:t>4</w:t>
            </w:r>
          </w:p>
        </w:tc>
        <w:tc>
          <w:tcPr>
            <w:tcW w:w="1243" w:type="dxa"/>
            <w:tcBorders>
              <w:top w:val="single" w:sz="4" w:space="0" w:color="auto"/>
              <w:left w:val="nil"/>
              <w:bottom w:val="single" w:sz="4" w:space="0" w:color="auto"/>
              <w:right w:val="single" w:sz="4" w:space="0" w:color="auto"/>
            </w:tcBorders>
            <w:shd w:val="clear" w:color="000000" w:fill="auto"/>
            <w:noWrap/>
          </w:tcPr>
          <w:p w14:paraId="6AFEA5CA" w14:textId="7497A6D9" w:rsidR="00EE21A4" w:rsidRPr="00E9161E" w:rsidRDefault="00EE21A4" w:rsidP="00EE21A4">
            <w:pPr>
              <w:pStyle w:val="TableTextRight-Burden"/>
            </w:pPr>
            <w:r w:rsidRPr="00E86C89">
              <w:t>1</w:t>
            </w:r>
          </w:p>
        </w:tc>
        <w:tc>
          <w:tcPr>
            <w:tcW w:w="1242" w:type="dxa"/>
            <w:tcBorders>
              <w:top w:val="single" w:sz="4" w:space="0" w:color="auto"/>
              <w:left w:val="nil"/>
              <w:bottom w:val="single" w:sz="4" w:space="0" w:color="auto"/>
              <w:right w:val="single" w:sz="4" w:space="0" w:color="auto"/>
            </w:tcBorders>
            <w:shd w:val="clear" w:color="000000" w:fill="auto"/>
          </w:tcPr>
          <w:p w14:paraId="462B19F6" w14:textId="78E8BAC1" w:rsidR="00EE21A4" w:rsidRPr="00E9161E" w:rsidRDefault="00EE21A4" w:rsidP="00EE21A4">
            <w:pPr>
              <w:pStyle w:val="TableTextRight-Burden"/>
            </w:pPr>
            <w:r w:rsidRPr="00E86C89">
              <w:t>4</w:t>
            </w:r>
          </w:p>
        </w:tc>
        <w:tc>
          <w:tcPr>
            <w:tcW w:w="1223" w:type="dxa"/>
            <w:tcBorders>
              <w:top w:val="single" w:sz="4" w:space="0" w:color="auto"/>
              <w:left w:val="nil"/>
              <w:bottom w:val="single" w:sz="4" w:space="0" w:color="auto"/>
              <w:right w:val="single" w:sz="4" w:space="0" w:color="auto"/>
            </w:tcBorders>
            <w:shd w:val="clear" w:color="000000" w:fill="auto"/>
            <w:noWrap/>
          </w:tcPr>
          <w:p w14:paraId="7E8FDBA3" w14:textId="1EB8CC33" w:rsidR="00EE21A4" w:rsidRPr="004A02C7" w:rsidRDefault="00EE21A4" w:rsidP="00EE21A4">
            <w:pPr>
              <w:pStyle w:val="TableTextRight-Burden"/>
            </w:pPr>
            <w:r w:rsidRPr="009C76E4">
              <w:t>0</w:t>
            </w:r>
          </w:p>
        </w:tc>
        <w:tc>
          <w:tcPr>
            <w:tcW w:w="1350" w:type="dxa"/>
            <w:tcBorders>
              <w:top w:val="single" w:sz="4" w:space="0" w:color="auto"/>
              <w:left w:val="nil"/>
              <w:bottom w:val="single" w:sz="4" w:space="0" w:color="auto"/>
              <w:right w:val="single" w:sz="4" w:space="0" w:color="auto"/>
            </w:tcBorders>
            <w:shd w:val="clear" w:color="000000" w:fill="auto"/>
          </w:tcPr>
          <w:p w14:paraId="6FEA0448" w14:textId="38CA9550" w:rsidR="00EE21A4" w:rsidRPr="004A02C7" w:rsidRDefault="00EE21A4" w:rsidP="00EE21A4">
            <w:pPr>
              <w:pStyle w:val="TableTextRight-Burden"/>
            </w:pPr>
            <w:r w:rsidRPr="009C76E4">
              <w:t>0</w:t>
            </w:r>
          </w:p>
        </w:tc>
        <w:tc>
          <w:tcPr>
            <w:tcW w:w="1155" w:type="dxa"/>
            <w:tcBorders>
              <w:top w:val="single" w:sz="4" w:space="0" w:color="auto"/>
              <w:left w:val="nil"/>
              <w:bottom w:val="single" w:sz="4" w:space="0" w:color="auto"/>
              <w:right w:val="single" w:sz="4" w:space="0" w:color="auto"/>
            </w:tcBorders>
            <w:shd w:val="clear" w:color="000000" w:fill="auto"/>
          </w:tcPr>
          <w:p w14:paraId="7FB338F6" w14:textId="71999229" w:rsidR="00EE21A4" w:rsidRPr="004A02C7" w:rsidRDefault="00EE21A4" w:rsidP="00EE21A4">
            <w:pPr>
              <w:pStyle w:val="TableTextRight-Burden"/>
            </w:pPr>
            <w:r w:rsidRPr="009C76E4">
              <w:t>0</w:t>
            </w:r>
          </w:p>
        </w:tc>
        <w:tc>
          <w:tcPr>
            <w:tcW w:w="1243" w:type="dxa"/>
            <w:tcBorders>
              <w:top w:val="single" w:sz="4" w:space="0" w:color="auto"/>
              <w:left w:val="nil"/>
              <w:bottom w:val="single" w:sz="4" w:space="0" w:color="auto"/>
              <w:right w:val="single" w:sz="4" w:space="0" w:color="auto"/>
            </w:tcBorders>
            <w:shd w:val="clear" w:color="000000" w:fill="auto"/>
          </w:tcPr>
          <w:p w14:paraId="199D2A7C" w14:textId="4811AD24" w:rsidR="00EE21A4" w:rsidRPr="004A02C7" w:rsidRDefault="00EE21A4" w:rsidP="00EE21A4">
            <w:pPr>
              <w:pStyle w:val="TableTextRight-Burden"/>
            </w:pPr>
            <w:r w:rsidRPr="009C76E4">
              <w:t>0</w:t>
            </w:r>
          </w:p>
        </w:tc>
        <w:tc>
          <w:tcPr>
            <w:tcW w:w="1243" w:type="dxa"/>
            <w:tcBorders>
              <w:top w:val="single" w:sz="4" w:space="0" w:color="auto"/>
              <w:left w:val="nil"/>
              <w:bottom w:val="single" w:sz="4" w:space="0" w:color="auto"/>
              <w:right w:val="single" w:sz="4" w:space="0" w:color="auto"/>
            </w:tcBorders>
            <w:shd w:val="clear" w:color="000000" w:fill="auto"/>
          </w:tcPr>
          <w:p w14:paraId="3D7386ED" w14:textId="5B118A61" w:rsidR="00EE21A4" w:rsidRPr="004A02C7" w:rsidRDefault="00EE21A4" w:rsidP="00EE21A4">
            <w:pPr>
              <w:pStyle w:val="TableTextRight-Burden"/>
            </w:pPr>
            <w:r w:rsidRPr="009C76E4">
              <w:t xml:space="preserve">$0 </w:t>
            </w:r>
          </w:p>
        </w:tc>
      </w:tr>
      <w:tr w:rsidR="00EE21A4" w:rsidRPr="00E9161E" w14:paraId="076E2B7E" w14:textId="77777777" w:rsidTr="00083090">
        <w:tc>
          <w:tcPr>
            <w:tcW w:w="4675" w:type="dxa"/>
            <w:tcBorders>
              <w:top w:val="nil"/>
              <w:left w:val="single" w:sz="4" w:space="0" w:color="auto"/>
              <w:bottom w:val="single" w:sz="4" w:space="0" w:color="auto"/>
              <w:right w:val="single" w:sz="4" w:space="0" w:color="auto"/>
            </w:tcBorders>
            <w:shd w:val="clear" w:color="auto" w:fill="auto"/>
          </w:tcPr>
          <w:p w14:paraId="2D976356" w14:textId="14B723ED" w:rsidR="00EE21A4" w:rsidRPr="00E9161E" w:rsidRDefault="00EE21A4" w:rsidP="00EE21A4">
            <w:pPr>
              <w:pStyle w:val="TableTextIndent3-Burden"/>
            </w:pPr>
            <w:r w:rsidRPr="00E86C89">
              <w:t>Emission Tests (EmTest) - Kilns only</w:t>
            </w:r>
            <w:r w:rsidRPr="00A616E6">
              <w:rPr>
                <w:rStyle w:val="Superscript"/>
              </w:rPr>
              <w:t>3</w:t>
            </w:r>
          </w:p>
        </w:tc>
        <w:tc>
          <w:tcPr>
            <w:tcW w:w="1242" w:type="dxa"/>
            <w:tcBorders>
              <w:top w:val="single" w:sz="4" w:space="0" w:color="auto"/>
              <w:left w:val="nil"/>
              <w:bottom w:val="single" w:sz="4" w:space="0" w:color="auto"/>
              <w:right w:val="single" w:sz="4" w:space="0" w:color="auto"/>
            </w:tcBorders>
            <w:shd w:val="clear" w:color="000000" w:fill="auto"/>
            <w:noWrap/>
          </w:tcPr>
          <w:p w14:paraId="23CA967D" w14:textId="5B8D4AC8" w:rsidR="00EE21A4" w:rsidRPr="00E9161E" w:rsidRDefault="00EE21A4" w:rsidP="00EE21A4">
            <w:pPr>
              <w:pStyle w:val="TableTextRight-Burden"/>
            </w:pPr>
            <w:r w:rsidRPr="00E86C89">
              <w:t>2</w:t>
            </w:r>
          </w:p>
        </w:tc>
        <w:tc>
          <w:tcPr>
            <w:tcW w:w="1243" w:type="dxa"/>
            <w:tcBorders>
              <w:top w:val="single" w:sz="4" w:space="0" w:color="auto"/>
              <w:left w:val="nil"/>
              <w:bottom w:val="single" w:sz="4" w:space="0" w:color="auto"/>
              <w:right w:val="single" w:sz="4" w:space="0" w:color="auto"/>
            </w:tcBorders>
            <w:shd w:val="clear" w:color="000000" w:fill="auto"/>
            <w:noWrap/>
          </w:tcPr>
          <w:p w14:paraId="2DFBEE63" w14:textId="3BB34616" w:rsidR="00EE21A4" w:rsidRPr="00E9161E" w:rsidRDefault="00EE21A4" w:rsidP="00EE21A4">
            <w:pPr>
              <w:pStyle w:val="TableTextRight-Burden"/>
            </w:pPr>
            <w:r w:rsidRPr="00E86C89">
              <w:t>1</w:t>
            </w:r>
          </w:p>
        </w:tc>
        <w:tc>
          <w:tcPr>
            <w:tcW w:w="1242" w:type="dxa"/>
            <w:tcBorders>
              <w:top w:val="single" w:sz="4" w:space="0" w:color="auto"/>
              <w:left w:val="nil"/>
              <w:bottom w:val="single" w:sz="4" w:space="0" w:color="auto"/>
              <w:right w:val="single" w:sz="4" w:space="0" w:color="auto"/>
            </w:tcBorders>
            <w:shd w:val="clear" w:color="000000" w:fill="auto"/>
          </w:tcPr>
          <w:p w14:paraId="34F50F8D" w14:textId="492EED1A" w:rsidR="00EE21A4" w:rsidRPr="00E9161E" w:rsidRDefault="00EE21A4" w:rsidP="00EE21A4">
            <w:pPr>
              <w:pStyle w:val="TableTextRight-Burden"/>
            </w:pPr>
            <w:r w:rsidRPr="00E86C89">
              <w:t>2</w:t>
            </w:r>
          </w:p>
        </w:tc>
        <w:tc>
          <w:tcPr>
            <w:tcW w:w="1223" w:type="dxa"/>
            <w:tcBorders>
              <w:top w:val="single" w:sz="4" w:space="0" w:color="auto"/>
              <w:left w:val="nil"/>
              <w:bottom w:val="single" w:sz="4" w:space="0" w:color="auto"/>
              <w:right w:val="single" w:sz="4" w:space="0" w:color="auto"/>
            </w:tcBorders>
            <w:shd w:val="clear" w:color="000000" w:fill="auto"/>
            <w:noWrap/>
          </w:tcPr>
          <w:p w14:paraId="386267EB" w14:textId="6FCEF140" w:rsidR="00EE21A4" w:rsidRPr="004A02C7" w:rsidRDefault="00EE21A4" w:rsidP="00EE21A4">
            <w:pPr>
              <w:pStyle w:val="TableTextRight-Burden"/>
            </w:pPr>
            <w:r w:rsidRPr="009C76E4">
              <w:t>10</w:t>
            </w:r>
          </w:p>
        </w:tc>
        <w:tc>
          <w:tcPr>
            <w:tcW w:w="1350" w:type="dxa"/>
            <w:tcBorders>
              <w:top w:val="single" w:sz="4" w:space="0" w:color="auto"/>
              <w:left w:val="nil"/>
              <w:bottom w:val="single" w:sz="4" w:space="0" w:color="auto"/>
              <w:right w:val="single" w:sz="4" w:space="0" w:color="auto"/>
            </w:tcBorders>
            <w:shd w:val="clear" w:color="000000" w:fill="auto"/>
          </w:tcPr>
          <w:p w14:paraId="32397817" w14:textId="2DE5DF4D" w:rsidR="00EE21A4" w:rsidRPr="004A02C7" w:rsidRDefault="00EE21A4" w:rsidP="00EE21A4">
            <w:pPr>
              <w:pStyle w:val="TableTextRight-Burden"/>
            </w:pPr>
            <w:r w:rsidRPr="009C76E4">
              <w:t>20</w:t>
            </w:r>
          </w:p>
        </w:tc>
        <w:tc>
          <w:tcPr>
            <w:tcW w:w="1155" w:type="dxa"/>
            <w:tcBorders>
              <w:top w:val="single" w:sz="4" w:space="0" w:color="auto"/>
              <w:left w:val="nil"/>
              <w:bottom w:val="single" w:sz="4" w:space="0" w:color="auto"/>
              <w:right w:val="single" w:sz="4" w:space="0" w:color="auto"/>
            </w:tcBorders>
            <w:shd w:val="clear" w:color="000000" w:fill="auto"/>
          </w:tcPr>
          <w:p w14:paraId="61C0DC66" w14:textId="2CFF431B" w:rsidR="00EE21A4" w:rsidRPr="004A02C7" w:rsidRDefault="00EE21A4" w:rsidP="00EE21A4">
            <w:pPr>
              <w:pStyle w:val="TableTextRight-Burden"/>
            </w:pPr>
            <w:r w:rsidRPr="009C76E4">
              <w:t>1</w:t>
            </w:r>
          </w:p>
        </w:tc>
        <w:tc>
          <w:tcPr>
            <w:tcW w:w="1243" w:type="dxa"/>
            <w:tcBorders>
              <w:top w:val="single" w:sz="4" w:space="0" w:color="auto"/>
              <w:left w:val="nil"/>
              <w:bottom w:val="single" w:sz="4" w:space="0" w:color="auto"/>
              <w:right w:val="single" w:sz="4" w:space="0" w:color="auto"/>
            </w:tcBorders>
            <w:shd w:val="clear" w:color="000000" w:fill="auto"/>
          </w:tcPr>
          <w:p w14:paraId="3ED43149" w14:textId="34AE6612" w:rsidR="00EE21A4" w:rsidRPr="004A02C7" w:rsidRDefault="00EE21A4" w:rsidP="00EE21A4">
            <w:pPr>
              <w:pStyle w:val="TableTextRight-Burden"/>
            </w:pPr>
            <w:r w:rsidRPr="009C76E4">
              <w:t>2</w:t>
            </w:r>
          </w:p>
        </w:tc>
        <w:tc>
          <w:tcPr>
            <w:tcW w:w="1243" w:type="dxa"/>
            <w:tcBorders>
              <w:top w:val="single" w:sz="4" w:space="0" w:color="auto"/>
              <w:left w:val="nil"/>
              <w:bottom w:val="single" w:sz="4" w:space="0" w:color="auto"/>
              <w:right w:val="single" w:sz="4" w:space="0" w:color="auto"/>
            </w:tcBorders>
            <w:shd w:val="clear" w:color="000000" w:fill="auto"/>
          </w:tcPr>
          <w:p w14:paraId="6D739D80" w14:textId="72AEFBFB" w:rsidR="00EE21A4" w:rsidRPr="004A02C7" w:rsidRDefault="00EE21A4" w:rsidP="00EE21A4">
            <w:pPr>
              <w:pStyle w:val="TableTextRight-Burden"/>
            </w:pPr>
            <w:r w:rsidRPr="009C76E4">
              <w:t xml:space="preserve">$1,622 </w:t>
            </w:r>
          </w:p>
        </w:tc>
      </w:tr>
      <w:tr w:rsidR="00EE21A4" w:rsidRPr="00E9161E" w14:paraId="69DAA1E1" w14:textId="77777777" w:rsidTr="00083090">
        <w:tc>
          <w:tcPr>
            <w:tcW w:w="4675" w:type="dxa"/>
            <w:tcBorders>
              <w:top w:val="nil"/>
              <w:left w:val="single" w:sz="4" w:space="0" w:color="auto"/>
              <w:bottom w:val="single" w:sz="4" w:space="0" w:color="auto"/>
              <w:right w:val="single" w:sz="4" w:space="0" w:color="auto"/>
            </w:tcBorders>
            <w:shd w:val="clear" w:color="auto" w:fill="auto"/>
          </w:tcPr>
          <w:p w14:paraId="2F1B72AB" w14:textId="68BFC708" w:rsidR="00EE21A4" w:rsidRPr="00D86622" w:rsidRDefault="00EE21A4" w:rsidP="00EE21A4">
            <w:pPr>
              <w:pStyle w:val="TableTextIndent3-Burden"/>
            </w:pPr>
            <w:r w:rsidRPr="00E86C89">
              <w:t>HAP Emissions - Kilns Only</w:t>
            </w:r>
          </w:p>
        </w:tc>
        <w:tc>
          <w:tcPr>
            <w:tcW w:w="1242" w:type="dxa"/>
            <w:tcBorders>
              <w:top w:val="single" w:sz="4" w:space="0" w:color="auto"/>
              <w:left w:val="nil"/>
              <w:bottom w:val="single" w:sz="4" w:space="0" w:color="auto"/>
              <w:right w:val="single" w:sz="4" w:space="0" w:color="auto"/>
            </w:tcBorders>
            <w:shd w:val="clear" w:color="000000" w:fill="auto"/>
            <w:noWrap/>
          </w:tcPr>
          <w:p w14:paraId="4B0AD4D3" w14:textId="53C07E17" w:rsidR="00EE21A4" w:rsidRPr="007337F1" w:rsidRDefault="00EE21A4" w:rsidP="00EE21A4">
            <w:pPr>
              <w:pStyle w:val="TableTextRight-Burden"/>
            </w:pPr>
            <w:r w:rsidRPr="00E86C89">
              <w:t>16</w:t>
            </w:r>
          </w:p>
        </w:tc>
        <w:tc>
          <w:tcPr>
            <w:tcW w:w="1243" w:type="dxa"/>
            <w:tcBorders>
              <w:top w:val="single" w:sz="4" w:space="0" w:color="auto"/>
              <w:left w:val="nil"/>
              <w:bottom w:val="single" w:sz="4" w:space="0" w:color="auto"/>
              <w:right w:val="single" w:sz="4" w:space="0" w:color="auto"/>
            </w:tcBorders>
            <w:shd w:val="clear" w:color="000000" w:fill="auto"/>
            <w:noWrap/>
          </w:tcPr>
          <w:p w14:paraId="79938029" w14:textId="3EAA003B" w:rsidR="00EE21A4" w:rsidRPr="007337F1" w:rsidRDefault="00EE21A4" w:rsidP="00EE21A4">
            <w:pPr>
              <w:pStyle w:val="TableTextRight-Burden"/>
            </w:pPr>
            <w:r w:rsidRPr="00E86C89">
              <w:t>1</w:t>
            </w:r>
          </w:p>
        </w:tc>
        <w:tc>
          <w:tcPr>
            <w:tcW w:w="1242" w:type="dxa"/>
            <w:tcBorders>
              <w:top w:val="single" w:sz="4" w:space="0" w:color="auto"/>
              <w:left w:val="nil"/>
              <w:bottom w:val="single" w:sz="4" w:space="0" w:color="auto"/>
              <w:right w:val="single" w:sz="4" w:space="0" w:color="auto"/>
            </w:tcBorders>
            <w:shd w:val="clear" w:color="000000" w:fill="auto"/>
          </w:tcPr>
          <w:p w14:paraId="2AA8991C" w14:textId="5E1AAEB9" w:rsidR="00EE21A4" w:rsidRPr="007337F1" w:rsidRDefault="00EE21A4" w:rsidP="00EE21A4">
            <w:pPr>
              <w:pStyle w:val="TableTextRight-Burden"/>
            </w:pPr>
            <w:r w:rsidRPr="00E86C89">
              <w:t>16</w:t>
            </w:r>
          </w:p>
        </w:tc>
        <w:tc>
          <w:tcPr>
            <w:tcW w:w="1223" w:type="dxa"/>
            <w:tcBorders>
              <w:top w:val="single" w:sz="4" w:space="0" w:color="auto"/>
              <w:left w:val="nil"/>
              <w:bottom w:val="single" w:sz="4" w:space="0" w:color="auto"/>
              <w:right w:val="single" w:sz="4" w:space="0" w:color="auto"/>
            </w:tcBorders>
            <w:shd w:val="clear" w:color="000000" w:fill="auto"/>
            <w:noWrap/>
          </w:tcPr>
          <w:p w14:paraId="21069686" w14:textId="0002FDC4" w:rsidR="00EE21A4" w:rsidRPr="007337F1" w:rsidRDefault="00EE21A4" w:rsidP="00EE21A4">
            <w:pPr>
              <w:pStyle w:val="TableTextRight-Burden"/>
            </w:pPr>
            <w:r w:rsidRPr="009C76E4">
              <w:t>205</w:t>
            </w:r>
          </w:p>
        </w:tc>
        <w:tc>
          <w:tcPr>
            <w:tcW w:w="1350" w:type="dxa"/>
            <w:tcBorders>
              <w:top w:val="single" w:sz="4" w:space="0" w:color="auto"/>
              <w:left w:val="nil"/>
              <w:bottom w:val="single" w:sz="4" w:space="0" w:color="auto"/>
              <w:right w:val="single" w:sz="4" w:space="0" w:color="auto"/>
            </w:tcBorders>
            <w:shd w:val="clear" w:color="000000" w:fill="auto"/>
          </w:tcPr>
          <w:p w14:paraId="14C953DF" w14:textId="338D64C1" w:rsidR="00EE21A4" w:rsidRPr="007337F1" w:rsidRDefault="00EE21A4" w:rsidP="00EE21A4">
            <w:pPr>
              <w:pStyle w:val="TableTextRight-Burden"/>
            </w:pPr>
            <w:r w:rsidRPr="009C76E4">
              <w:t>3,280</w:t>
            </w:r>
          </w:p>
        </w:tc>
        <w:tc>
          <w:tcPr>
            <w:tcW w:w="1155" w:type="dxa"/>
            <w:tcBorders>
              <w:top w:val="single" w:sz="4" w:space="0" w:color="auto"/>
              <w:left w:val="nil"/>
              <w:bottom w:val="single" w:sz="4" w:space="0" w:color="auto"/>
              <w:right w:val="single" w:sz="4" w:space="0" w:color="auto"/>
            </w:tcBorders>
            <w:shd w:val="clear" w:color="000000" w:fill="auto"/>
          </w:tcPr>
          <w:p w14:paraId="0AA3468A" w14:textId="243015DD" w:rsidR="00EE21A4" w:rsidRPr="007337F1" w:rsidRDefault="00EE21A4" w:rsidP="00EE21A4">
            <w:pPr>
              <w:pStyle w:val="TableTextRight-Burden"/>
            </w:pPr>
            <w:r w:rsidRPr="009C76E4">
              <w:t>164</w:t>
            </w:r>
          </w:p>
        </w:tc>
        <w:tc>
          <w:tcPr>
            <w:tcW w:w="1243" w:type="dxa"/>
            <w:tcBorders>
              <w:top w:val="single" w:sz="4" w:space="0" w:color="auto"/>
              <w:left w:val="nil"/>
              <w:bottom w:val="single" w:sz="4" w:space="0" w:color="auto"/>
              <w:right w:val="single" w:sz="4" w:space="0" w:color="auto"/>
            </w:tcBorders>
            <w:shd w:val="clear" w:color="000000" w:fill="auto"/>
          </w:tcPr>
          <w:p w14:paraId="34D5DC46" w14:textId="5F60AE9E" w:rsidR="00EE21A4" w:rsidRPr="007337F1" w:rsidRDefault="00EE21A4" w:rsidP="00EE21A4">
            <w:pPr>
              <w:pStyle w:val="TableTextRight-Burden"/>
            </w:pPr>
            <w:r w:rsidRPr="009C76E4">
              <w:t>328</w:t>
            </w:r>
          </w:p>
        </w:tc>
        <w:tc>
          <w:tcPr>
            <w:tcW w:w="1243" w:type="dxa"/>
            <w:tcBorders>
              <w:top w:val="single" w:sz="4" w:space="0" w:color="auto"/>
              <w:left w:val="nil"/>
              <w:bottom w:val="single" w:sz="4" w:space="0" w:color="auto"/>
              <w:right w:val="single" w:sz="4" w:space="0" w:color="auto"/>
            </w:tcBorders>
            <w:shd w:val="clear" w:color="000000" w:fill="auto"/>
          </w:tcPr>
          <w:p w14:paraId="0B702F7E" w14:textId="7BB79CD1" w:rsidR="00EE21A4" w:rsidRPr="007337F1" w:rsidRDefault="00EE21A4" w:rsidP="00EE21A4">
            <w:pPr>
              <w:pStyle w:val="TableTextRight-Burden"/>
            </w:pPr>
            <w:r w:rsidRPr="009C76E4">
              <w:t xml:space="preserve">$266,073 </w:t>
            </w:r>
          </w:p>
        </w:tc>
      </w:tr>
      <w:tr w:rsidR="00EE21A4" w:rsidRPr="00E9161E" w14:paraId="456A81EA" w14:textId="77777777" w:rsidTr="00083090">
        <w:tc>
          <w:tcPr>
            <w:tcW w:w="4675" w:type="dxa"/>
            <w:tcBorders>
              <w:top w:val="nil"/>
              <w:left w:val="single" w:sz="4" w:space="0" w:color="auto"/>
              <w:bottom w:val="single" w:sz="4" w:space="0" w:color="auto"/>
              <w:right w:val="single" w:sz="4" w:space="0" w:color="auto"/>
            </w:tcBorders>
            <w:shd w:val="clear" w:color="auto" w:fill="auto"/>
          </w:tcPr>
          <w:p w14:paraId="28873B25" w14:textId="6CF2342B" w:rsidR="00EE21A4" w:rsidRPr="00E9161E" w:rsidRDefault="00EE21A4" w:rsidP="00EE21A4">
            <w:pPr>
              <w:pStyle w:val="TableTextIndent3-Burden"/>
            </w:pPr>
            <w:r w:rsidRPr="00E86C89">
              <w:t>Certification</w:t>
            </w:r>
          </w:p>
        </w:tc>
        <w:tc>
          <w:tcPr>
            <w:tcW w:w="1242" w:type="dxa"/>
            <w:tcBorders>
              <w:top w:val="single" w:sz="4" w:space="0" w:color="auto"/>
              <w:left w:val="nil"/>
              <w:bottom w:val="single" w:sz="4" w:space="0" w:color="auto"/>
              <w:right w:val="single" w:sz="4" w:space="0" w:color="auto"/>
            </w:tcBorders>
            <w:shd w:val="clear" w:color="000000" w:fill="auto"/>
            <w:noWrap/>
          </w:tcPr>
          <w:p w14:paraId="66F4C106" w14:textId="7AD64E4B" w:rsidR="00EE21A4" w:rsidRPr="00E9161E" w:rsidRDefault="00EE21A4" w:rsidP="00EE21A4">
            <w:pPr>
              <w:pStyle w:val="TableTextRight-Burden"/>
            </w:pPr>
            <w:r w:rsidRPr="00E86C89">
              <w:t>0.2</w:t>
            </w:r>
          </w:p>
        </w:tc>
        <w:tc>
          <w:tcPr>
            <w:tcW w:w="1243" w:type="dxa"/>
            <w:tcBorders>
              <w:top w:val="single" w:sz="4" w:space="0" w:color="auto"/>
              <w:left w:val="nil"/>
              <w:bottom w:val="single" w:sz="4" w:space="0" w:color="auto"/>
              <w:right w:val="single" w:sz="4" w:space="0" w:color="auto"/>
            </w:tcBorders>
            <w:shd w:val="clear" w:color="000000" w:fill="auto"/>
            <w:noWrap/>
          </w:tcPr>
          <w:p w14:paraId="569DE110" w14:textId="657AAFA0" w:rsidR="00EE21A4" w:rsidRPr="00E9161E" w:rsidRDefault="00EE21A4" w:rsidP="00EE21A4">
            <w:pPr>
              <w:pStyle w:val="TableTextRight-Burden"/>
            </w:pPr>
            <w:r w:rsidRPr="00E86C89">
              <w:t>1</w:t>
            </w:r>
          </w:p>
        </w:tc>
        <w:tc>
          <w:tcPr>
            <w:tcW w:w="1242" w:type="dxa"/>
            <w:tcBorders>
              <w:top w:val="single" w:sz="4" w:space="0" w:color="auto"/>
              <w:left w:val="nil"/>
              <w:bottom w:val="single" w:sz="4" w:space="0" w:color="auto"/>
              <w:right w:val="single" w:sz="4" w:space="0" w:color="auto"/>
            </w:tcBorders>
            <w:shd w:val="clear" w:color="000000" w:fill="auto"/>
          </w:tcPr>
          <w:p w14:paraId="01D01382" w14:textId="45084E40" w:rsidR="00EE21A4" w:rsidRPr="00E9161E" w:rsidRDefault="00EE21A4" w:rsidP="00EE21A4">
            <w:pPr>
              <w:pStyle w:val="TableTextRight-Burden"/>
            </w:pPr>
            <w:r w:rsidRPr="00E86C89">
              <w:t>0.2</w:t>
            </w:r>
          </w:p>
        </w:tc>
        <w:tc>
          <w:tcPr>
            <w:tcW w:w="1223" w:type="dxa"/>
            <w:tcBorders>
              <w:top w:val="single" w:sz="4" w:space="0" w:color="auto"/>
              <w:left w:val="nil"/>
              <w:bottom w:val="single" w:sz="4" w:space="0" w:color="auto"/>
              <w:right w:val="single" w:sz="4" w:space="0" w:color="auto"/>
            </w:tcBorders>
            <w:shd w:val="clear" w:color="000000" w:fill="auto"/>
            <w:noWrap/>
          </w:tcPr>
          <w:p w14:paraId="26891CE6" w14:textId="2228FB1F" w:rsidR="00EE21A4" w:rsidRPr="004A02C7" w:rsidRDefault="00EE21A4" w:rsidP="00EE21A4">
            <w:pPr>
              <w:pStyle w:val="TableTextRight-Burden"/>
            </w:pPr>
            <w:r w:rsidRPr="009C76E4">
              <w:t>205</w:t>
            </w:r>
          </w:p>
        </w:tc>
        <w:tc>
          <w:tcPr>
            <w:tcW w:w="1350" w:type="dxa"/>
            <w:tcBorders>
              <w:top w:val="single" w:sz="4" w:space="0" w:color="auto"/>
              <w:left w:val="nil"/>
              <w:bottom w:val="single" w:sz="4" w:space="0" w:color="auto"/>
              <w:right w:val="single" w:sz="4" w:space="0" w:color="auto"/>
            </w:tcBorders>
            <w:shd w:val="clear" w:color="000000" w:fill="auto"/>
          </w:tcPr>
          <w:p w14:paraId="75265FA6" w14:textId="5ED3AEDF" w:rsidR="00EE21A4" w:rsidRPr="004A02C7" w:rsidRDefault="00EE21A4" w:rsidP="00EE21A4">
            <w:pPr>
              <w:pStyle w:val="TableTextRight-Burden"/>
            </w:pPr>
            <w:r w:rsidRPr="009C76E4">
              <w:t>41</w:t>
            </w:r>
          </w:p>
        </w:tc>
        <w:tc>
          <w:tcPr>
            <w:tcW w:w="1155" w:type="dxa"/>
            <w:tcBorders>
              <w:top w:val="single" w:sz="4" w:space="0" w:color="auto"/>
              <w:left w:val="nil"/>
              <w:bottom w:val="single" w:sz="4" w:space="0" w:color="auto"/>
              <w:right w:val="single" w:sz="4" w:space="0" w:color="auto"/>
            </w:tcBorders>
            <w:shd w:val="clear" w:color="000000" w:fill="auto"/>
          </w:tcPr>
          <w:p w14:paraId="5C3047B5" w14:textId="66E32D2F" w:rsidR="00EE21A4" w:rsidRPr="004A02C7" w:rsidRDefault="00EE21A4" w:rsidP="00EE21A4">
            <w:pPr>
              <w:pStyle w:val="TableTextRight-Burden"/>
            </w:pPr>
            <w:r w:rsidRPr="009C76E4">
              <w:t>2</w:t>
            </w:r>
          </w:p>
        </w:tc>
        <w:tc>
          <w:tcPr>
            <w:tcW w:w="1243" w:type="dxa"/>
            <w:tcBorders>
              <w:top w:val="single" w:sz="4" w:space="0" w:color="auto"/>
              <w:left w:val="nil"/>
              <w:bottom w:val="single" w:sz="4" w:space="0" w:color="auto"/>
              <w:right w:val="single" w:sz="4" w:space="0" w:color="auto"/>
            </w:tcBorders>
            <w:shd w:val="clear" w:color="000000" w:fill="auto"/>
          </w:tcPr>
          <w:p w14:paraId="433BD3E1" w14:textId="7C42E45C" w:rsidR="00EE21A4" w:rsidRPr="004A02C7" w:rsidRDefault="00EE21A4" w:rsidP="00EE21A4">
            <w:pPr>
              <w:pStyle w:val="TableTextRight-Burden"/>
            </w:pPr>
            <w:r w:rsidRPr="009C76E4">
              <w:t>4.1</w:t>
            </w:r>
          </w:p>
        </w:tc>
        <w:tc>
          <w:tcPr>
            <w:tcW w:w="1243" w:type="dxa"/>
            <w:tcBorders>
              <w:top w:val="single" w:sz="4" w:space="0" w:color="auto"/>
              <w:left w:val="nil"/>
              <w:bottom w:val="single" w:sz="4" w:space="0" w:color="auto"/>
              <w:right w:val="single" w:sz="4" w:space="0" w:color="auto"/>
            </w:tcBorders>
            <w:shd w:val="clear" w:color="000000" w:fill="auto"/>
          </w:tcPr>
          <w:p w14:paraId="693C3282" w14:textId="7E777EE2" w:rsidR="00EE21A4" w:rsidRPr="004A02C7" w:rsidRDefault="00EE21A4" w:rsidP="00EE21A4">
            <w:pPr>
              <w:pStyle w:val="TableTextRight-Burden"/>
            </w:pPr>
            <w:r w:rsidRPr="009C76E4">
              <w:t xml:space="preserve">$3,326 </w:t>
            </w:r>
          </w:p>
        </w:tc>
      </w:tr>
      <w:tr w:rsidR="00107E36" w:rsidRPr="00E9161E" w14:paraId="60712B79" w14:textId="77777777" w:rsidTr="00083090">
        <w:tc>
          <w:tcPr>
            <w:tcW w:w="4675" w:type="dxa"/>
            <w:tcBorders>
              <w:top w:val="nil"/>
              <w:left w:val="single" w:sz="4" w:space="0" w:color="auto"/>
              <w:bottom w:val="single" w:sz="4" w:space="0" w:color="auto"/>
              <w:right w:val="single" w:sz="4" w:space="0" w:color="auto"/>
            </w:tcBorders>
            <w:shd w:val="clear" w:color="auto" w:fill="auto"/>
            <w:vAlign w:val="center"/>
            <w:hideMark/>
          </w:tcPr>
          <w:p w14:paraId="5E165152" w14:textId="484C07A1" w:rsidR="00107E36" w:rsidRPr="00E9161E" w:rsidRDefault="00107E36" w:rsidP="00107E36">
            <w:pPr>
              <w:pStyle w:val="TableTextIndent1-Burden"/>
            </w:pPr>
            <w:r>
              <w:t xml:space="preserve">ii. </w:t>
            </w:r>
            <w:r w:rsidRPr="00E9161E">
              <w:t>Organize and submit other requested materials:</w:t>
            </w:r>
          </w:p>
        </w:tc>
        <w:tc>
          <w:tcPr>
            <w:tcW w:w="1242" w:type="dxa"/>
            <w:tcBorders>
              <w:top w:val="nil"/>
              <w:left w:val="nil"/>
              <w:bottom w:val="single" w:sz="4" w:space="0" w:color="auto"/>
              <w:right w:val="single" w:sz="4" w:space="0" w:color="auto"/>
            </w:tcBorders>
            <w:shd w:val="clear" w:color="000000" w:fill="D9D9D9"/>
            <w:noWrap/>
            <w:vAlign w:val="center"/>
          </w:tcPr>
          <w:p w14:paraId="193A9414" w14:textId="77777777" w:rsidR="00107E36" w:rsidRPr="00E9161E" w:rsidRDefault="00107E36" w:rsidP="00107E36">
            <w:pPr>
              <w:pStyle w:val="TableTextRight-Burden"/>
            </w:pPr>
          </w:p>
        </w:tc>
        <w:tc>
          <w:tcPr>
            <w:tcW w:w="1243" w:type="dxa"/>
            <w:tcBorders>
              <w:top w:val="nil"/>
              <w:left w:val="nil"/>
              <w:bottom w:val="single" w:sz="4" w:space="0" w:color="auto"/>
              <w:right w:val="single" w:sz="4" w:space="0" w:color="auto"/>
            </w:tcBorders>
            <w:shd w:val="clear" w:color="000000" w:fill="D9D9D9"/>
            <w:noWrap/>
            <w:vAlign w:val="center"/>
          </w:tcPr>
          <w:p w14:paraId="774F9336" w14:textId="77777777" w:rsidR="00107E36" w:rsidRPr="00E9161E" w:rsidRDefault="00107E36" w:rsidP="00107E36">
            <w:pPr>
              <w:pStyle w:val="TableTextRight-Burden"/>
            </w:pPr>
          </w:p>
        </w:tc>
        <w:tc>
          <w:tcPr>
            <w:tcW w:w="1242" w:type="dxa"/>
            <w:tcBorders>
              <w:top w:val="nil"/>
              <w:left w:val="nil"/>
              <w:bottom w:val="single" w:sz="4" w:space="0" w:color="auto"/>
              <w:right w:val="single" w:sz="4" w:space="0" w:color="auto"/>
            </w:tcBorders>
            <w:shd w:val="clear" w:color="000000" w:fill="D9D9D9"/>
            <w:vAlign w:val="center"/>
          </w:tcPr>
          <w:p w14:paraId="42CF778D" w14:textId="77777777" w:rsidR="00107E36" w:rsidRPr="00E9161E" w:rsidRDefault="00107E36" w:rsidP="00107E36">
            <w:pPr>
              <w:pStyle w:val="TableTextRight-Burden"/>
            </w:pPr>
          </w:p>
        </w:tc>
        <w:tc>
          <w:tcPr>
            <w:tcW w:w="1223" w:type="dxa"/>
            <w:tcBorders>
              <w:top w:val="nil"/>
              <w:left w:val="nil"/>
              <w:bottom w:val="single" w:sz="4" w:space="0" w:color="auto"/>
              <w:right w:val="single" w:sz="4" w:space="0" w:color="auto"/>
            </w:tcBorders>
            <w:shd w:val="clear" w:color="000000" w:fill="D9D9D9"/>
            <w:noWrap/>
            <w:vAlign w:val="center"/>
          </w:tcPr>
          <w:p w14:paraId="2C2A3CA8" w14:textId="77777777" w:rsidR="00107E36" w:rsidRPr="004A02C7" w:rsidRDefault="00107E36" w:rsidP="00107E36">
            <w:pPr>
              <w:pStyle w:val="TableTextRight-Burden"/>
            </w:pPr>
          </w:p>
        </w:tc>
        <w:tc>
          <w:tcPr>
            <w:tcW w:w="1350" w:type="dxa"/>
            <w:tcBorders>
              <w:top w:val="nil"/>
              <w:left w:val="nil"/>
              <w:bottom w:val="single" w:sz="4" w:space="0" w:color="auto"/>
              <w:right w:val="single" w:sz="4" w:space="0" w:color="auto"/>
            </w:tcBorders>
            <w:shd w:val="clear" w:color="000000" w:fill="D9D9D9"/>
            <w:vAlign w:val="center"/>
          </w:tcPr>
          <w:p w14:paraId="6B65CA1A" w14:textId="77777777" w:rsidR="00107E36" w:rsidRPr="004A02C7" w:rsidRDefault="00107E36" w:rsidP="00107E36">
            <w:pPr>
              <w:pStyle w:val="TableTextRight-Burden"/>
            </w:pPr>
          </w:p>
        </w:tc>
        <w:tc>
          <w:tcPr>
            <w:tcW w:w="1155" w:type="dxa"/>
            <w:tcBorders>
              <w:top w:val="nil"/>
              <w:left w:val="nil"/>
              <w:bottom w:val="single" w:sz="4" w:space="0" w:color="auto"/>
              <w:right w:val="single" w:sz="4" w:space="0" w:color="auto"/>
            </w:tcBorders>
            <w:shd w:val="clear" w:color="000000" w:fill="D9D9D9"/>
            <w:vAlign w:val="center"/>
          </w:tcPr>
          <w:p w14:paraId="3B0735D1" w14:textId="77777777" w:rsidR="00107E36" w:rsidRPr="004A02C7" w:rsidRDefault="00107E36" w:rsidP="00107E36">
            <w:pPr>
              <w:pStyle w:val="TableTextRight-Burden"/>
            </w:pPr>
          </w:p>
        </w:tc>
        <w:tc>
          <w:tcPr>
            <w:tcW w:w="1243" w:type="dxa"/>
            <w:tcBorders>
              <w:top w:val="nil"/>
              <w:left w:val="nil"/>
              <w:bottom w:val="single" w:sz="4" w:space="0" w:color="auto"/>
              <w:right w:val="single" w:sz="4" w:space="0" w:color="auto"/>
            </w:tcBorders>
            <w:shd w:val="clear" w:color="000000" w:fill="D9D9D9"/>
            <w:vAlign w:val="center"/>
          </w:tcPr>
          <w:p w14:paraId="1EA85BD5" w14:textId="77777777" w:rsidR="00107E36" w:rsidRPr="004A02C7" w:rsidRDefault="00107E36" w:rsidP="00107E36">
            <w:pPr>
              <w:pStyle w:val="TableTextRight-Burden"/>
            </w:pPr>
          </w:p>
        </w:tc>
        <w:tc>
          <w:tcPr>
            <w:tcW w:w="1243" w:type="dxa"/>
            <w:tcBorders>
              <w:top w:val="nil"/>
              <w:left w:val="nil"/>
              <w:bottom w:val="single" w:sz="4" w:space="0" w:color="auto"/>
              <w:right w:val="single" w:sz="4" w:space="0" w:color="auto"/>
            </w:tcBorders>
            <w:shd w:val="clear" w:color="000000" w:fill="D9D9D9"/>
            <w:vAlign w:val="center"/>
          </w:tcPr>
          <w:p w14:paraId="3BD7CA1A" w14:textId="77777777" w:rsidR="00107E36" w:rsidRPr="004A02C7" w:rsidRDefault="00107E36" w:rsidP="00107E36">
            <w:pPr>
              <w:pStyle w:val="TableTextRight-Burden"/>
            </w:pPr>
          </w:p>
        </w:tc>
      </w:tr>
      <w:tr w:rsidR="00107E36" w:rsidRPr="00E9161E" w14:paraId="34A826CE" w14:textId="77777777" w:rsidTr="00083090">
        <w:tc>
          <w:tcPr>
            <w:tcW w:w="4675" w:type="dxa"/>
            <w:tcBorders>
              <w:top w:val="nil"/>
              <w:left w:val="single" w:sz="4" w:space="0" w:color="auto"/>
              <w:bottom w:val="single" w:sz="4" w:space="0" w:color="auto"/>
              <w:right w:val="single" w:sz="4" w:space="0" w:color="auto"/>
            </w:tcBorders>
            <w:shd w:val="clear" w:color="auto" w:fill="auto"/>
            <w:vAlign w:val="center"/>
          </w:tcPr>
          <w:p w14:paraId="6CB9DC1F" w14:textId="57116631" w:rsidR="00107E36" w:rsidRDefault="00107E36" w:rsidP="00107E36">
            <w:pPr>
              <w:pStyle w:val="TableTextIndent2-Burden"/>
            </w:pPr>
            <w:r>
              <w:t>PCWP facilities</w:t>
            </w:r>
          </w:p>
        </w:tc>
        <w:tc>
          <w:tcPr>
            <w:tcW w:w="1242" w:type="dxa"/>
            <w:tcBorders>
              <w:top w:val="single" w:sz="4" w:space="0" w:color="auto"/>
              <w:left w:val="nil"/>
              <w:bottom w:val="single" w:sz="4" w:space="0" w:color="auto"/>
              <w:right w:val="single" w:sz="4" w:space="0" w:color="auto"/>
            </w:tcBorders>
            <w:shd w:val="clear" w:color="000000" w:fill="D9D9D9"/>
            <w:noWrap/>
            <w:vAlign w:val="center"/>
          </w:tcPr>
          <w:p w14:paraId="313E90DE" w14:textId="77777777" w:rsidR="00107E36" w:rsidRPr="00E9161E" w:rsidRDefault="00107E36" w:rsidP="00107E36">
            <w:pPr>
              <w:pStyle w:val="TableTextRight-Burden"/>
            </w:pPr>
          </w:p>
        </w:tc>
        <w:tc>
          <w:tcPr>
            <w:tcW w:w="1243" w:type="dxa"/>
            <w:tcBorders>
              <w:top w:val="single" w:sz="4" w:space="0" w:color="auto"/>
              <w:left w:val="nil"/>
              <w:bottom w:val="single" w:sz="4" w:space="0" w:color="auto"/>
              <w:right w:val="single" w:sz="4" w:space="0" w:color="auto"/>
            </w:tcBorders>
            <w:shd w:val="clear" w:color="000000" w:fill="D9D9D9"/>
            <w:noWrap/>
            <w:vAlign w:val="center"/>
          </w:tcPr>
          <w:p w14:paraId="48485503" w14:textId="77777777" w:rsidR="00107E36" w:rsidRPr="00E9161E" w:rsidRDefault="00107E36" w:rsidP="00107E36">
            <w:pPr>
              <w:pStyle w:val="TableTextRight-Burden"/>
            </w:pPr>
          </w:p>
        </w:tc>
        <w:tc>
          <w:tcPr>
            <w:tcW w:w="1242" w:type="dxa"/>
            <w:tcBorders>
              <w:top w:val="single" w:sz="4" w:space="0" w:color="auto"/>
              <w:left w:val="nil"/>
              <w:bottom w:val="single" w:sz="4" w:space="0" w:color="auto"/>
              <w:right w:val="single" w:sz="4" w:space="0" w:color="auto"/>
            </w:tcBorders>
            <w:shd w:val="clear" w:color="000000" w:fill="D9D9D9"/>
            <w:vAlign w:val="center"/>
          </w:tcPr>
          <w:p w14:paraId="19F22F0E" w14:textId="77777777" w:rsidR="00107E36" w:rsidRPr="00E9161E" w:rsidRDefault="00107E36" w:rsidP="00107E36">
            <w:pPr>
              <w:pStyle w:val="TableTextRight-Burden"/>
            </w:pPr>
          </w:p>
        </w:tc>
        <w:tc>
          <w:tcPr>
            <w:tcW w:w="1223" w:type="dxa"/>
            <w:tcBorders>
              <w:top w:val="single" w:sz="4" w:space="0" w:color="auto"/>
              <w:left w:val="nil"/>
              <w:bottom w:val="single" w:sz="4" w:space="0" w:color="auto"/>
              <w:right w:val="single" w:sz="4" w:space="0" w:color="auto"/>
            </w:tcBorders>
            <w:shd w:val="clear" w:color="000000" w:fill="D9D9D9"/>
            <w:noWrap/>
            <w:vAlign w:val="center"/>
          </w:tcPr>
          <w:p w14:paraId="7B03F331" w14:textId="77777777" w:rsidR="00107E36" w:rsidRPr="004A02C7" w:rsidRDefault="00107E36" w:rsidP="00107E36">
            <w:pPr>
              <w:pStyle w:val="TableTextRight-Burden"/>
            </w:pPr>
          </w:p>
        </w:tc>
        <w:tc>
          <w:tcPr>
            <w:tcW w:w="1350" w:type="dxa"/>
            <w:tcBorders>
              <w:top w:val="single" w:sz="4" w:space="0" w:color="auto"/>
              <w:left w:val="nil"/>
              <w:bottom w:val="single" w:sz="4" w:space="0" w:color="auto"/>
              <w:right w:val="single" w:sz="4" w:space="0" w:color="auto"/>
            </w:tcBorders>
            <w:shd w:val="clear" w:color="000000" w:fill="D9D9D9"/>
            <w:vAlign w:val="center"/>
          </w:tcPr>
          <w:p w14:paraId="61958719" w14:textId="77777777" w:rsidR="00107E36" w:rsidRPr="004A02C7" w:rsidRDefault="00107E36" w:rsidP="00107E36">
            <w:pPr>
              <w:pStyle w:val="TableTextRight-Burden"/>
            </w:pPr>
          </w:p>
        </w:tc>
        <w:tc>
          <w:tcPr>
            <w:tcW w:w="1155" w:type="dxa"/>
            <w:tcBorders>
              <w:top w:val="single" w:sz="4" w:space="0" w:color="auto"/>
              <w:left w:val="nil"/>
              <w:bottom w:val="single" w:sz="4" w:space="0" w:color="auto"/>
              <w:right w:val="single" w:sz="4" w:space="0" w:color="auto"/>
            </w:tcBorders>
            <w:shd w:val="clear" w:color="000000" w:fill="D9D9D9"/>
            <w:vAlign w:val="center"/>
          </w:tcPr>
          <w:p w14:paraId="406CC44A" w14:textId="77777777" w:rsidR="00107E36" w:rsidRPr="004A02C7" w:rsidRDefault="00107E36" w:rsidP="00107E36">
            <w:pPr>
              <w:pStyle w:val="TableTextRight-Burden"/>
            </w:pPr>
          </w:p>
        </w:tc>
        <w:tc>
          <w:tcPr>
            <w:tcW w:w="1243" w:type="dxa"/>
            <w:tcBorders>
              <w:top w:val="single" w:sz="4" w:space="0" w:color="auto"/>
              <w:left w:val="nil"/>
              <w:bottom w:val="single" w:sz="4" w:space="0" w:color="auto"/>
              <w:right w:val="single" w:sz="4" w:space="0" w:color="auto"/>
            </w:tcBorders>
            <w:shd w:val="clear" w:color="000000" w:fill="D9D9D9"/>
            <w:vAlign w:val="center"/>
          </w:tcPr>
          <w:p w14:paraId="27B32E8A" w14:textId="77777777" w:rsidR="00107E36" w:rsidRPr="004A02C7" w:rsidRDefault="00107E36" w:rsidP="00107E36">
            <w:pPr>
              <w:pStyle w:val="TableTextRight-Burden"/>
            </w:pPr>
          </w:p>
        </w:tc>
        <w:tc>
          <w:tcPr>
            <w:tcW w:w="1243" w:type="dxa"/>
            <w:tcBorders>
              <w:top w:val="single" w:sz="4" w:space="0" w:color="auto"/>
              <w:left w:val="nil"/>
              <w:bottom w:val="single" w:sz="4" w:space="0" w:color="auto"/>
              <w:right w:val="single" w:sz="4" w:space="0" w:color="auto"/>
            </w:tcBorders>
            <w:shd w:val="clear" w:color="000000" w:fill="D9D9D9"/>
            <w:vAlign w:val="center"/>
          </w:tcPr>
          <w:p w14:paraId="200D2DF1" w14:textId="77777777" w:rsidR="00107E36" w:rsidRPr="004A02C7" w:rsidRDefault="00107E36" w:rsidP="00107E36">
            <w:pPr>
              <w:pStyle w:val="TableTextRight-Burden"/>
            </w:pPr>
          </w:p>
        </w:tc>
      </w:tr>
      <w:tr w:rsidR="00EE21A4" w:rsidRPr="00E9161E" w14:paraId="5968D28F" w14:textId="77777777" w:rsidTr="00083090">
        <w:tc>
          <w:tcPr>
            <w:tcW w:w="4675" w:type="dxa"/>
            <w:tcBorders>
              <w:top w:val="nil"/>
              <w:left w:val="single" w:sz="4" w:space="0" w:color="auto"/>
              <w:bottom w:val="single" w:sz="4" w:space="0" w:color="auto"/>
              <w:right w:val="single" w:sz="4" w:space="0" w:color="auto"/>
            </w:tcBorders>
            <w:shd w:val="clear" w:color="auto" w:fill="auto"/>
            <w:hideMark/>
          </w:tcPr>
          <w:p w14:paraId="709DAD9A" w14:textId="77777777" w:rsidR="00EE21A4" w:rsidRPr="00E9161E" w:rsidRDefault="00EE21A4" w:rsidP="00EE21A4">
            <w:pPr>
              <w:pStyle w:val="TableTextIndent3-Burden"/>
            </w:pPr>
            <w:r w:rsidRPr="00FC473A">
              <w:t>Process flow diagrams</w:t>
            </w:r>
          </w:p>
        </w:tc>
        <w:tc>
          <w:tcPr>
            <w:tcW w:w="1242" w:type="dxa"/>
            <w:tcBorders>
              <w:top w:val="nil"/>
              <w:left w:val="nil"/>
              <w:bottom w:val="single" w:sz="4" w:space="0" w:color="auto"/>
              <w:right w:val="single" w:sz="4" w:space="0" w:color="auto"/>
            </w:tcBorders>
            <w:shd w:val="clear" w:color="auto" w:fill="auto"/>
            <w:hideMark/>
          </w:tcPr>
          <w:p w14:paraId="6C19D551" w14:textId="7F468D9F" w:rsidR="00EE21A4" w:rsidRPr="00E9161E" w:rsidRDefault="00EE21A4" w:rsidP="00EE21A4">
            <w:pPr>
              <w:pStyle w:val="TableTextRight-Burden"/>
            </w:pPr>
            <w:r w:rsidRPr="00364EFB">
              <w:t>4</w:t>
            </w:r>
          </w:p>
        </w:tc>
        <w:tc>
          <w:tcPr>
            <w:tcW w:w="1243" w:type="dxa"/>
            <w:tcBorders>
              <w:top w:val="nil"/>
              <w:left w:val="nil"/>
              <w:bottom w:val="single" w:sz="4" w:space="0" w:color="auto"/>
              <w:right w:val="single" w:sz="4" w:space="0" w:color="auto"/>
            </w:tcBorders>
            <w:shd w:val="clear" w:color="auto" w:fill="auto"/>
            <w:hideMark/>
          </w:tcPr>
          <w:p w14:paraId="361985AE" w14:textId="50B40B51" w:rsidR="00EE21A4" w:rsidRPr="00E9161E" w:rsidRDefault="00EE21A4" w:rsidP="00EE21A4">
            <w:pPr>
              <w:pStyle w:val="TableTextRight-Burden"/>
            </w:pPr>
            <w:r w:rsidRPr="00364EFB">
              <w:t>1</w:t>
            </w:r>
          </w:p>
        </w:tc>
        <w:tc>
          <w:tcPr>
            <w:tcW w:w="1242" w:type="dxa"/>
            <w:tcBorders>
              <w:top w:val="nil"/>
              <w:left w:val="nil"/>
              <w:bottom w:val="single" w:sz="4" w:space="0" w:color="auto"/>
              <w:right w:val="single" w:sz="4" w:space="0" w:color="auto"/>
            </w:tcBorders>
            <w:shd w:val="clear" w:color="auto" w:fill="auto"/>
            <w:hideMark/>
          </w:tcPr>
          <w:p w14:paraId="0C2A246E" w14:textId="2622F453" w:rsidR="00EE21A4" w:rsidRPr="00E9161E" w:rsidRDefault="00EE21A4" w:rsidP="00EE21A4">
            <w:pPr>
              <w:pStyle w:val="TableTextRight-Burden"/>
            </w:pPr>
            <w:r w:rsidRPr="00364EFB">
              <w:t>4</w:t>
            </w:r>
          </w:p>
        </w:tc>
        <w:tc>
          <w:tcPr>
            <w:tcW w:w="1223" w:type="dxa"/>
            <w:tcBorders>
              <w:top w:val="single" w:sz="4" w:space="0" w:color="auto"/>
              <w:left w:val="single" w:sz="4" w:space="0" w:color="auto"/>
              <w:bottom w:val="single" w:sz="4" w:space="0" w:color="auto"/>
              <w:right w:val="single" w:sz="4" w:space="0" w:color="auto"/>
            </w:tcBorders>
            <w:shd w:val="clear" w:color="auto" w:fill="auto"/>
            <w:hideMark/>
          </w:tcPr>
          <w:p w14:paraId="47C436A0" w14:textId="19AB38F6" w:rsidR="00EE21A4" w:rsidRPr="004A02C7" w:rsidRDefault="00EE21A4" w:rsidP="00EE21A4">
            <w:pPr>
              <w:pStyle w:val="TableTextRight-Burden"/>
            </w:pPr>
            <w:r w:rsidRPr="00CF3832">
              <w:t>186</w:t>
            </w:r>
          </w:p>
        </w:tc>
        <w:tc>
          <w:tcPr>
            <w:tcW w:w="1350" w:type="dxa"/>
            <w:tcBorders>
              <w:top w:val="single" w:sz="4" w:space="0" w:color="auto"/>
              <w:left w:val="nil"/>
              <w:bottom w:val="single" w:sz="4" w:space="0" w:color="auto"/>
              <w:right w:val="single" w:sz="4" w:space="0" w:color="auto"/>
            </w:tcBorders>
            <w:shd w:val="clear" w:color="auto" w:fill="auto"/>
            <w:hideMark/>
          </w:tcPr>
          <w:p w14:paraId="4D706779" w14:textId="2F2D39F4" w:rsidR="00EE21A4" w:rsidRPr="004A02C7" w:rsidRDefault="00EE21A4" w:rsidP="00EE21A4">
            <w:pPr>
              <w:pStyle w:val="TableTextRight-Burden"/>
            </w:pPr>
            <w:r w:rsidRPr="00CF3832">
              <w:t>744</w:t>
            </w:r>
          </w:p>
        </w:tc>
        <w:tc>
          <w:tcPr>
            <w:tcW w:w="1155" w:type="dxa"/>
            <w:tcBorders>
              <w:top w:val="single" w:sz="4" w:space="0" w:color="auto"/>
              <w:left w:val="nil"/>
              <w:bottom w:val="single" w:sz="4" w:space="0" w:color="auto"/>
              <w:right w:val="single" w:sz="4" w:space="0" w:color="auto"/>
            </w:tcBorders>
            <w:shd w:val="clear" w:color="auto" w:fill="auto"/>
            <w:hideMark/>
          </w:tcPr>
          <w:p w14:paraId="6C3E7481" w14:textId="437A24FB" w:rsidR="00EE21A4" w:rsidRPr="004A02C7" w:rsidRDefault="00EE21A4" w:rsidP="00EE21A4">
            <w:pPr>
              <w:pStyle w:val="TableTextRight-Burden"/>
            </w:pPr>
            <w:r w:rsidRPr="00CF3832">
              <w:t>37</w:t>
            </w:r>
          </w:p>
        </w:tc>
        <w:tc>
          <w:tcPr>
            <w:tcW w:w="1243" w:type="dxa"/>
            <w:tcBorders>
              <w:top w:val="single" w:sz="4" w:space="0" w:color="auto"/>
              <w:left w:val="nil"/>
              <w:bottom w:val="single" w:sz="4" w:space="0" w:color="auto"/>
              <w:right w:val="single" w:sz="4" w:space="0" w:color="auto"/>
            </w:tcBorders>
            <w:shd w:val="clear" w:color="auto" w:fill="auto"/>
            <w:hideMark/>
          </w:tcPr>
          <w:p w14:paraId="33087A1E" w14:textId="7D143C05" w:rsidR="00EE21A4" w:rsidRPr="004A02C7" w:rsidRDefault="00EE21A4" w:rsidP="00EE21A4">
            <w:pPr>
              <w:pStyle w:val="TableTextRight-Burden"/>
            </w:pPr>
            <w:r w:rsidRPr="00CF3832">
              <w:t>74.4</w:t>
            </w:r>
          </w:p>
        </w:tc>
        <w:tc>
          <w:tcPr>
            <w:tcW w:w="1243" w:type="dxa"/>
            <w:tcBorders>
              <w:top w:val="single" w:sz="4" w:space="0" w:color="auto"/>
              <w:left w:val="nil"/>
              <w:bottom w:val="single" w:sz="4" w:space="0" w:color="auto"/>
              <w:right w:val="single" w:sz="4" w:space="0" w:color="auto"/>
            </w:tcBorders>
            <w:shd w:val="clear" w:color="auto" w:fill="auto"/>
            <w:hideMark/>
          </w:tcPr>
          <w:p w14:paraId="6741911C" w14:textId="645F1AAE" w:rsidR="00EE21A4" w:rsidRPr="004A02C7" w:rsidRDefault="00EE21A4" w:rsidP="00EE21A4">
            <w:pPr>
              <w:pStyle w:val="TableTextRight-Burden"/>
            </w:pPr>
            <w:r w:rsidRPr="00CF3832">
              <w:t xml:space="preserve">$60,353 </w:t>
            </w:r>
          </w:p>
        </w:tc>
      </w:tr>
      <w:tr w:rsidR="00EE21A4" w:rsidRPr="00E9161E" w14:paraId="7AF44034" w14:textId="77777777" w:rsidTr="00F55EA2">
        <w:tc>
          <w:tcPr>
            <w:tcW w:w="4675" w:type="dxa"/>
            <w:tcBorders>
              <w:top w:val="nil"/>
              <w:left w:val="single" w:sz="4" w:space="0" w:color="auto"/>
              <w:bottom w:val="single" w:sz="4" w:space="0" w:color="auto"/>
              <w:right w:val="single" w:sz="4" w:space="0" w:color="auto"/>
            </w:tcBorders>
            <w:shd w:val="clear" w:color="auto" w:fill="auto"/>
            <w:hideMark/>
          </w:tcPr>
          <w:p w14:paraId="6F9AFF57" w14:textId="77777777" w:rsidR="00EE21A4" w:rsidRPr="00E9161E" w:rsidRDefault="00EE21A4" w:rsidP="00EE21A4">
            <w:pPr>
              <w:pStyle w:val="TableTextIndent3-Burden"/>
            </w:pPr>
            <w:r w:rsidRPr="00FC473A">
              <w:t>Release point map</w:t>
            </w:r>
          </w:p>
        </w:tc>
        <w:tc>
          <w:tcPr>
            <w:tcW w:w="1242" w:type="dxa"/>
            <w:tcBorders>
              <w:top w:val="nil"/>
              <w:left w:val="nil"/>
              <w:bottom w:val="single" w:sz="4" w:space="0" w:color="auto"/>
              <w:right w:val="single" w:sz="4" w:space="0" w:color="auto"/>
            </w:tcBorders>
            <w:shd w:val="clear" w:color="auto" w:fill="auto"/>
            <w:vAlign w:val="center"/>
            <w:hideMark/>
          </w:tcPr>
          <w:p w14:paraId="28429834" w14:textId="1C550F8C" w:rsidR="00EE21A4" w:rsidRPr="00E9161E" w:rsidRDefault="00EE21A4" w:rsidP="00441D8E">
            <w:pPr>
              <w:pStyle w:val="TableTextRight-Burden"/>
            </w:pPr>
            <w:r>
              <w:t>1</w:t>
            </w:r>
          </w:p>
        </w:tc>
        <w:tc>
          <w:tcPr>
            <w:tcW w:w="1243" w:type="dxa"/>
            <w:tcBorders>
              <w:top w:val="nil"/>
              <w:left w:val="nil"/>
              <w:bottom w:val="single" w:sz="4" w:space="0" w:color="auto"/>
              <w:right w:val="single" w:sz="4" w:space="0" w:color="auto"/>
            </w:tcBorders>
            <w:shd w:val="clear" w:color="auto" w:fill="auto"/>
            <w:vAlign w:val="center"/>
            <w:hideMark/>
          </w:tcPr>
          <w:p w14:paraId="1DD5D670" w14:textId="06423439" w:rsidR="00EE21A4" w:rsidRPr="00E9161E" w:rsidRDefault="00EE21A4" w:rsidP="00441D8E">
            <w:pPr>
              <w:pStyle w:val="TableTextRight-Burden"/>
            </w:pPr>
            <w:r>
              <w:t>1</w:t>
            </w:r>
          </w:p>
        </w:tc>
        <w:tc>
          <w:tcPr>
            <w:tcW w:w="1242" w:type="dxa"/>
            <w:tcBorders>
              <w:top w:val="nil"/>
              <w:left w:val="nil"/>
              <w:bottom w:val="single" w:sz="4" w:space="0" w:color="auto"/>
              <w:right w:val="single" w:sz="4" w:space="0" w:color="auto"/>
            </w:tcBorders>
            <w:shd w:val="clear" w:color="auto" w:fill="auto"/>
            <w:vAlign w:val="center"/>
            <w:hideMark/>
          </w:tcPr>
          <w:p w14:paraId="2F904E78" w14:textId="34DA1153" w:rsidR="00EE21A4" w:rsidRPr="00E9161E" w:rsidRDefault="00EE21A4" w:rsidP="00441D8E">
            <w:pPr>
              <w:pStyle w:val="TableTextRight-Burden"/>
            </w:pPr>
            <w:r>
              <w:t>1</w:t>
            </w:r>
          </w:p>
        </w:tc>
        <w:tc>
          <w:tcPr>
            <w:tcW w:w="1223" w:type="dxa"/>
            <w:tcBorders>
              <w:top w:val="nil"/>
              <w:left w:val="single" w:sz="4" w:space="0" w:color="auto"/>
              <w:bottom w:val="single" w:sz="4" w:space="0" w:color="auto"/>
              <w:right w:val="single" w:sz="4" w:space="0" w:color="auto"/>
            </w:tcBorders>
            <w:shd w:val="clear" w:color="auto" w:fill="auto"/>
            <w:hideMark/>
          </w:tcPr>
          <w:p w14:paraId="4E1F2BE2" w14:textId="2D0A0732" w:rsidR="00EE21A4" w:rsidRPr="004A02C7" w:rsidRDefault="00EE21A4" w:rsidP="00EE21A4">
            <w:pPr>
              <w:pStyle w:val="TableTextRight-Burden"/>
            </w:pPr>
            <w:r w:rsidRPr="00CF3832">
              <w:t>186</w:t>
            </w:r>
          </w:p>
        </w:tc>
        <w:tc>
          <w:tcPr>
            <w:tcW w:w="1350" w:type="dxa"/>
            <w:tcBorders>
              <w:top w:val="nil"/>
              <w:left w:val="nil"/>
              <w:bottom w:val="single" w:sz="4" w:space="0" w:color="auto"/>
              <w:right w:val="single" w:sz="4" w:space="0" w:color="auto"/>
            </w:tcBorders>
            <w:shd w:val="clear" w:color="auto" w:fill="auto"/>
            <w:hideMark/>
          </w:tcPr>
          <w:p w14:paraId="1CE35239" w14:textId="6F2D4157" w:rsidR="00EE21A4" w:rsidRPr="004A02C7" w:rsidRDefault="00EE21A4" w:rsidP="00EE21A4">
            <w:pPr>
              <w:pStyle w:val="TableTextRight-Burden"/>
            </w:pPr>
            <w:r w:rsidRPr="00CF3832">
              <w:t>186</w:t>
            </w:r>
          </w:p>
        </w:tc>
        <w:tc>
          <w:tcPr>
            <w:tcW w:w="1155" w:type="dxa"/>
            <w:tcBorders>
              <w:top w:val="nil"/>
              <w:left w:val="nil"/>
              <w:bottom w:val="single" w:sz="4" w:space="0" w:color="auto"/>
              <w:right w:val="single" w:sz="4" w:space="0" w:color="auto"/>
            </w:tcBorders>
            <w:shd w:val="clear" w:color="auto" w:fill="auto"/>
            <w:hideMark/>
          </w:tcPr>
          <w:p w14:paraId="57D6155E" w14:textId="023473B1" w:rsidR="00EE21A4" w:rsidRPr="004A02C7" w:rsidRDefault="00EE21A4" w:rsidP="00EE21A4">
            <w:pPr>
              <w:pStyle w:val="TableTextRight-Burden"/>
            </w:pPr>
            <w:r w:rsidRPr="00CF3832">
              <w:t>9</w:t>
            </w:r>
          </w:p>
        </w:tc>
        <w:tc>
          <w:tcPr>
            <w:tcW w:w="1243" w:type="dxa"/>
            <w:tcBorders>
              <w:top w:val="nil"/>
              <w:left w:val="nil"/>
              <w:bottom w:val="single" w:sz="4" w:space="0" w:color="auto"/>
              <w:right w:val="single" w:sz="4" w:space="0" w:color="auto"/>
            </w:tcBorders>
            <w:shd w:val="clear" w:color="auto" w:fill="auto"/>
            <w:hideMark/>
          </w:tcPr>
          <w:p w14:paraId="4AFEADFC" w14:textId="0E59E86D" w:rsidR="00EE21A4" w:rsidRPr="004A02C7" w:rsidRDefault="00EE21A4" w:rsidP="00EE21A4">
            <w:pPr>
              <w:pStyle w:val="TableTextRight-Burden"/>
            </w:pPr>
            <w:r w:rsidRPr="00CF3832">
              <w:t>18.6</w:t>
            </w:r>
          </w:p>
        </w:tc>
        <w:tc>
          <w:tcPr>
            <w:tcW w:w="1243" w:type="dxa"/>
            <w:tcBorders>
              <w:top w:val="nil"/>
              <w:left w:val="nil"/>
              <w:bottom w:val="single" w:sz="4" w:space="0" w:color="auto"/>
              <w:right w:val="single" w:sz="4" w:space="0" w:color="auto"/>
            </w:tcBorders>
            <w:shd w:val="clear" w:color="auto" w:fill="auto"/>
            <w:hideMark/>
          </w:tcPr>
          <w:p w14:paraId="27657989" w14:textId="7F21EAF8" w:rsidR="00EE21A4" w:rsidRPr="004A02C7" w:rsidRDefault="00EE21A4" w:rsidP="00EE21A4">
            <w:pPr>
              <w:pStyle w:val="TableTextRight-Burden"/>
            </w:pPr>
            <w:r w:rsidRPr="00CF3832">
              <w:t xml:space="preserve">$15,088 </w:t>
            </w:r>
          </w:p>
        </w:tc>
      </w:tr>
      <w:tr w:rsidR="00EE21A4" w:rsidRPr="00E9161E" w14:paraId="417B18C4" w14:textId="77777777" w:rsidTr="00F55EA2">
        <w:tc>
          <w:tcPr>
            <w:tcW w:w="4675" w:type="dxa"/>
            <w:tcBorders>
              <w:top w:val="nil"/>
              <w:left w:val="single" w:sz="4" w:space="0" w:color="auto"/>
              <w:bottom w:val="single" w:sz="4" w:space="0" w:color="auto"/>
              <w:right w:val="single" w:sz="4" w:space="0" w:color="auto"/>
            </w:tcBorders>
            <w:shd w:val="clear" w:color="auto" w:fill="auto"/>
            <w:hideMark/>
          </w:tcPr>
          <w:p w14:paraId="074FF704" w14:textId="77777777" w:rsidR="00EE21A4" w:rsidRPr="00E9161E" w:rsidRDefault="00EE21A4" w:rsidP="00EE21A4">
            <w:pPr>
              <w:pStyle w:val="TableTextIndent3-Burden"/>
            </w:pPr>
            <w:r w:rsidRPr="00FC473A">
              <w:t>Electronic copy permit</w:t>
            </w:r>
          </w:p>
        </w:tc>
        <w:tc>
          <w:tcPr>
            <w:tcW w:w="1242" w:type="dxa"/>
            <w:tcBorders>
              <w:top w:val="nil"/>
              <w:left w:val="nil"/>
              <w:bottom w:val="single" w:sz="4" w:space="0" w:color="auto"/>
              <w:right w:val="single" w:sz="4" w:space="0" w:color="auto"/>
            </w:tcBorders>
            <w:shd w:val="clear" w:color="auto" w:fill="auto"/>
            <w:vAlign w:val="center"/>
            <w:hideMark/>
          </w:tcPr>
          <w:p w14:paraId="21C40C21" w14:textId="1A14AC29" w:rsidR="00EE21A4" w:rsidRPr="00E9161E" w:rsidRDefault="00EE21A4" w:rsidP="00441D8E">
            <w:pPr>
              <w:pStyle w:val="TableTextRight-Burden"/>
            </w:pPr>
            <w:r>
              <w:t>0.5</w:t>
            </w:r>
          </w:p>
        </w:tc>
        <w:tc>
          <w:tcPr>
            <w:tcW w:w="1243" w:type="dxa"/>
            <w:tcBorders>
              <w:top w:val="nil"/>
              <w:left w:val="nil"/>
              <w:bottom w:val="single" w:sz="4" w:space="0" w:color="auto"/>
              <w:right w:val="single" w:sz="4" w:space="0" w:color="auto"/>
            </w:tcBorders>
            <w:shd w:val="clear" w:color="auto" w:fill="auto"/>
            <w:vAlign w:val="center"/>
            <w:hideMark/>
          </w:tcPr>
          <w:p w14:paraId="7911FFE3" w14:textId="261D6070" w:rsidR="00EE21A4" w:rsidRPr="00E9161E" w:rsidRDefault="00EE21A4" w:rsidP="00441D8E">
            <w:pPr>
              <w:pStyle w:val="TableTextRight-Burden"/>
            </w:pPr>
            <w:r>
              <w:t>1</w:t>
            </w:r>
          </w:p>
        </w:tc>
        <w:tc>
          <w:tcPr>
            <w:tcW w:w="1242" w:type="dxa"/>
            <w:tcBorders>
              <w:top w:val="nil"/>
              <w:left w:val="nil"/>
              <w:bottom w:val="single" w:sz="4" w:space="0" w:color="auto"/>
              <w:right w:val="single" w:sz="4" w:space="0" w:color="auto"/>
            </w:tcBorders>
            <w:shd w:val="clear" w:color="auto" w:fill="auto"/>
            <w:vAlign w:val="center"/>
            <w:hideMark/>
          </w:tcPr>
          <w:p w14:paraId="4292A69E" w14:textId="50095D5D" w:rsidR="00EE21A4" w:rsidRPr="00E9161E" w:rsidRDefault="00EE21A4" w:rsidP="00441D8E">
            <w:pPr>
              <w:pStyle w:val="TableTextRight-Burden"/>
            </w:pPr>
            <w:r>
              <w:t>0.5</w:t>
            </w:r>
          </w:p>
        </w:tc>
        <w:tc>
          <w:tcPr>
            <w:tcW w:w="1223" w:type="dxa"/>
            <w:tcBorders>
              <w:top w:val="nil"/>
              <w:left w:val="single" w:sz="4" w:space="0" w:color="auto"/>
              <w:bottom w:val="single" w:sz="4" w:space="0" w:color="auto"/>
              <w:right w:val="single" w:sz="4" w:space="0" w:color="auto"/>
            </w:tcBorders>
            <w:shd w:val="clear" w:color="auto" w:fill="auto"/>
            <w:hideMark/>
          </w:tcPr>
          <w:p w14:paraId="0F0EDEAF" w14:textId="6085AAA1" w:rsidR="00EE21A4" w:rsidRPr="004A02C7" w:rsidRDefault="00EE21A4" w:rsidP="00EE21A4">
            <w:pPr>
              <w:pStyle w:val="TableTextRight-Burden"/>
            </w:pPr>
            <w:r w:rsidRPr="00CF3832">
              <w:t>186</w:t>
            </w:r>
          </w:p>
        </w:tc>
        <w:tc>
          <w:tcPr>
            <w:tcW w:w="1350" w:type="dxa"/>
            <w:tcBorders>
              <w:top w:val="nil"/>
              <w:left w:val="nil"/>
              <w:bottom w:val="single" w:sz="4" w:space="0" w:color="auto"/>
              <w:right w:val="single" w:sz="4" w:space="0" w:color="auto"/>
            </w:tcBorders>
            <w:shd w:val="clear" w:color="auto" w:fill="auto"/>
            <w:hideMark/>
          </w:tcPr>
          <w:p w14:paraId="48818689" w14:textId="45742D85" w:rsidR="00EE21A4" w:rsidRPr="004A02C7" w:rsidRDefault="00EE21A4" w:rsidP="00EE21A4">
            <w:pPr>
              <w:pStyle w:val="TableTextRight-Burden"/>
            </w:pPr>
            <w:r w:rsidRPr="00CF3832">
              <w:t>93</w:t>
            </w:r>
          </w:p>
        </w:tc>
        <w:tc>
          <w:tcPr>
            <w:tcW w:w="1155" w:type="dxa"/>
            <w:tcBorders>
              <w:top w:val="nil"/>
              <w:left w:val="nil"/>
              <w:bottom w:val="single" w:sz="4" w:space="0" w:color="auto"/>
              <w:right w:val="single" w:sz="4" w:space="0" w:color="auto"/>
            </w:tcBorders>
            <w:shd w:val="clear" w:color="auto" w:fill="auto"/>
            <w:hideMark/>
          </w:tcPr>
          <w:p w14:paraId="2C1320FE" w14:textId="335B4CDF" w:rsidR="00EE21A4" w:rsidRPr="004A02C7" w:rsidRDefault="00EE21A4" w:rsidP="00EE21A4">
            <w:pPr>
              <w:pStyle w:val="TableTextRight-Burden"/>
            </w:pPr>
            <w:r w:rsidRPr="00CF3832">
              <w:t>5</w:t>
            </w:r>
          </w:p>
        </w:tc>
        <w:tc>
          <w:tcPr>
            <w:tcW w:w="1243" w:type="dxa"/>
            <w:tcBorders>
              <w:top w:val="nil"/>
              <w:left w:val="nil"/>
              <w:bottom w:val="single" w:sz="4" w:space="0" w:color="auto"/>
              <w:right w:val="single" w:sz="4" w:space="0" w:color="auto"/>
            </w:tcBorders>
            <w:shd w:val="clear" w:color="auto" w:fill="auto"/>
            <w:hideMark/>
          </w:tcPr>
          <w:p w14:paraId="74E58756" w14:textId="4694203B" w:rsidR="00EE21A4" w:rsidRPr="004A02C7" w:rsidRDefault="00EE21A4" w:rsidP="00EE21A4">
            <w:pPr>
              <w:pStyle w:val="TableTextRight-Burden"/>
            </w:pPr>
            <w:r w:rsidRPr="00CF3832">
              <w:t>9.3</w:t>
            </w:r>
          </w:p>
        </w:tc>
        <w:tc>
          <w:tcPr>
            <w:tcW w:w="1243" w:type="dxa"/>
            <w:tcBorders>
              <w:top w:val="nil"/>
              <w:left w:val="nil"/>
              <w:bottom w:val="single" w:sz="4" w:space="0" w:color="auto"/>
              <w:right w:val="single" w:sz="4" w:space="0" w:color="auto"/>
            </w:tcBorders>
            <w:shd w:val="clear" w:color="auto" w:fill="auto"/>
            <w:hideMark/>
          </w:tcPr>
          <w:p w14:paraId="2485F0FE" w14:textId="4EE9CA96" w:rsidR="00EE21A4" w:rsidRPr="004A02C7" w:rsidRDefault="00EE21A4" w:rsidP="00EE21A4">
            <w:pPr>
              <w:pStyle w:val="TableTextRight-Burden"/>
            </w:pPr>
            <w:r w:rsidRPr="00CF3832">
              <w:t xml:space="preserve">$7,544 </w:t>
            </w:r>
          </w:p>
        </w:tc>
      </w:tr>
      <w:tr w:rsidR="00EE21A4" w:rsidRPr="00E9161E" w14:paraId="395C72BA" w14:textId="77777777" w:rsidTr="00F55EA2">
        <w:tc>
          <w:tcPr>
            <w:tcW w:w="4675" w:type="dxa"/>
            <w:tcBorders>
              <w:top w:val="nil"/>
              <w:left w:val="single" w:sz="4" w:space="0" w:color="auto"/>
              <w:bottom w:val="single" w:sz="4" w:space="0" w:color="auto"/>
              <w:right w:val="single" w:sz="4" w:space="0" w:color="auto"/>
            </w:tcBorders>
            <w:shd w:val="clear" w:color="auto" w:fill="auto"/>
            <w:hideMark/>
          </w:tcPr>
          <w:p w14:paraId="2A71DE89" w14:textId="77777777" w:rsidR="00EE21A4" w:rsidRPr="00E9161E" w:rsidRDefault="00EE21A4" w:rsidP="00EE21A4">
            <w:pPr>
              <w:pStyle w:val="TableTextIndent3-Burden"/>
            </w:pPr>
            <w:r w:rsidRPr="00FC473A">
              <w:t>Emissions averaging plan</w:t>
            </w:r>
          </w:p>
        </w:tc>
        <w:tc>
          <w:tcPr>
            <w:tcW w:w="1242" w:type="dxa"/>
            <w:tcBorders>
              <w:top w:val="nil"/>
              <w:left w:val="nil"/>
              <w:bottom w:val="single" w:sz="4" w:space="0" w:color="auto"/>
              <w:right w:val="single" w:sz="4" w:space="0" w:color="auto"/>
            </w:tcBorders>
            <w:shd w:val="clear" w:color="auto" w:fill="auto"/>
            <w:vAlign w:val="center"/>
            <w:hideMark/>
          </w:tcPr>
          <w:p w14:paraId="6D73049C" w14:textId="22BD2AD2" w:rsidR="00EE21A4" w:rsidRPr="00441D8E" w:rsidRDefault="00EE21A4" w:rsidP="00441D8E">
            <w:pPr>
              <w:pStyle w:val="TableTextRight-Burden"/>
            </w:pPr>
            <w:r w:rsidRPr="00441D8E">
              <w:t>1</w:t>
            </w:r>
          </w:p>
        </w:tc>
        <w:tc>
          <w:tcPr>
            <w:tcW w:w="1243" w:type="dxa"/>
            <w:tcBorders>
              <w:top w:val="nil"/>
              <w:left w:val="nil"/>
              <w:bottom w:val="single" w:sz="4" w:space="0" w:color="auto"/>
              <w:right w:val="single" w:sz="4" w:space="0" w:color="auto"/>
            </w:tcBorders>
            <w:shd w:val="clear" w:color="auto" w:fill="auto"/>
            <w:vAlign w:val="center"/>
            <w:hideMark/>
          </w:tcPr>
          <w:p w14:paraId="7084C284" w14:textId="4E20819F" w:rsidR="00EE21A4" w:rsidRPr="00441D8E" w:rsidRDefault="00EE21A4" w:rsidP="00441D8E">
            <w:pPr>
              <w:pStyle w:val="TableTextRight-Burden"/>
            </w:pPr>
            <w:r w:rsidRPr="00441D8E">
              <w:t>1</w:t>
            </w:r>
          </w:p>
        </w:tc>
        <w:tc>
          <w:tcPr>
            <w:tcW w:w="1242" w:type="dxa"/>
            <w:tcBorders>
              <w:top w:val="nil"/>
              <w:left w:val="nil"/>
              <w:bottom w:val="single" w:sz="4" w:space="0" w:color="auto"/>
              <w:right w:val="single" w:sz="4" w:space="0" w:color="auto"/>
            </w:tcBorders>
            <w:shd w:val="clear" w:color="auto" w:fill="auto"/>
            <w:vAlign w:val="center"/>
            <w:hideMark/>
          </w:tcPr>
          <w:p w14:paraId="302726E2" w14:textId="5019879A" w:rsidR="00EE21A4" w:rsidRPr="00441D8E" w:rsidRDefault="00EE21A4" w:rsidP="00441D8E">
            <w:pPr>
              <w:pStyle w:val="TableTextRight-Burden"/>
            </w:pPr>
            <w:r w:rsidRPr="00441D8E">
              <w:t>1</w:t>
            </w:r>
          </w:p>
        </w:tc>
        <w:tc>
          <w:tcPr>
            <w:tcW w:w="1223" w:type="dxa"/>
            <w:tcBorders>
              <w:top w:val="nil"/>
              <w:left w:val="single" w:sz="4" w:space="0" w:color="auto"/>
              <w:bottom w:val="single" w:sz="4" w:space="0" w:color="auto"/>
              <w:right w:val="single" w:sz="4" w:space="0" w:color="auto"/>
            </w:tcBorders>
            <w:shd w:val="clear" w:color="auto" w:fill="auto"/>
            <w:hideMark/>
          </w:tcPr>
          <w:p w14:paraId="690B795A" w14:textId="7B356B41" w:rsidR="00EE21A4" w:rsidRPr="004A02C7" w:rsidRDefault="00EE21A4" w:rsidP="00EE21A4">
            <w:pPr>
              <w:pStyle w:val="TableTextRight-Burden"/>
            </w:pPr>
            <w:r w:rsidRPr="00CF3832">
              <w:t>9</w:t>
            </w:r>
          </w:p>
        </w:tc>
        <w:tc>
          <w:tcPr>
            <w:tcW w:w="1350" w:type="dxa"/>
            <w:tcBorders>
              <w:top w:val="nil"/>
              <w:left w:val="nil"/>
              <w:bottom w:val="single" w:sz="4" w:space="0" w:color="auto"/>
              <w:right w:val="single" w:sz="4" w:space="0" w:color="auto"/>
            </w:tcBorders>
            <w:shd w:val="clear" w:color="auto" w:fill="auto"/>
            <w:hideMark/>
          </w:tcPr>
          <w:p w14:paraId="783B55F2" w14:textId="53EE555D" w:rsidR="00EE21A4" w:rsidRPr="004A02C7" w:rsidRDefault="00EE21A4" w:rsidP="00EE21A4">
            <w:pPr>
              <w:pStyle w:val="TableTextRight-Burden"/>
            </w:pPr>
            <w:r w:rsidRPr="00CF3832">
              <w:t>9</w:t>
            </w:r>
          </w:p>
        </w:tc>
        <w:tc>
          <w:tcPr>
            <w:tcW w:w="1155" w:type="dxa"/>
            <w:tcBorders>
              <w:top w:val="nil"/>
              <w:left w:val="nil"/>
              <w:bottom w:val="single" w:sz="4" w:space="0" w:color="auto"/>
              <w:right w:val="single" w:sz="4" w:space="0" w:color="auto"/>
            </w:tcBorders>
            <w:shd w:val="clear" w:color="auto" w:fill="auto"/>
            <w:hideMark/>
          </w:tcPr>
          <w:p w14:paraId="175D2678" w14:textId="32FF34A7" w:rsidR="00EE21A4" w:rsidRPr="004A02C7" w:rsidRDefault="00EE21A4" w:rsidP="00EE21A4">
            <w:pPr>
              <w:pStyle w:val="TableTextRight-Burden"/>
            </w:pPr>
            <w:r w:rsidRPr="00CF3832">
              <w:t>0</w:t>
            </w:r>
          </w:p>
        </w:tc>
        <w:tc>
          <w:tcPr>
            <w:tcW w:w="1243" w:type="dxa"/>
            <w:tcBorders>
              <w:top w:val="nil"/>
              <w:left w:val="nil"/>
              <w:bottom w:val="single" w:sz="4" w:space="0" w:color="auto"/>
              <w:right w:val="single" w:sz="4" w:space="0" w:color="auto"/>
            </w:tcBorders>
            <w:shd w:val="clear" w:color="auto" w:fill="auto"/>
            <w:hideMark/>
          </w:tcPr>
          <w:p w14:paraId="6B997F51" w14:textId="5514D5D9" w:rsidR="00EE21A4" w:rsidRPr="004A02C7" w:rsidRDefault="00EE21A4" w:rsidP="00EE21A4">
            <w:pPr>
              <w:pStyle w:val="TableTextRight-Burden"/>
            </w:pPr>
            <w:r w:rsidRPr="00CF3832">
              <w:t>0.9</w:t>
            </w:r>
          </w:p>
        </w:tc>
        <w:tc>
          <w:tcPr>
            <w:tcW w:w="1243" w:type="dxa"/>
            <w:tcBorders>
              <w:top w:val="nil"/>
              <w:left w:val="nil"/>
              <w:bottom w:val="single" w:sz="4" w:space="0" w:color="auto"/>
              <w:right w:val="single" w:sz="4" w:space="0" w:color="auto"/>
            </w:tcBorders>
            <w:shd w:val="clear" w:color="auto" w:fill="auto"/>
            <w:hideMark/>
          </w:tcPr>
          <w:p w14:paraId="7AB62954" w14:textId="5270E14A" w:rsidR="00EE21A4" w:rsidRPr="004A02C7" w:rsidRDefault="00EE21A4" w:rsidP="00EE21A4">
            <w:pPr>
              <w:pStyle w:val="TableTextRight-Burden"/>
            </w:pPr>
            <w:r w:rsidRPr="00CF3832">
              <w:t xml:space="preserve">$730 </w:t>
            </w:r>
          </w:p>
        </w:tc>
      </w:tr>
      <w:tr w:rsidR="00EE21A4" w:rsidRPr="00E9161E" w14:paraId="6E0BC50B" w14:textId="77777777" w:rsidTr="00F55EA2">
        <w:tc>
          <w:tcPr>
            <w:tcW w:w="4675" w:type="dxa"/>
            <w:tcBorders>
              <w:top w:val="nil"/>
              <w:left w:val="single" w:sz="4" w:space="0" w:color="auto"/>
              <w:bottom w:val="single" w:sz="4" w:space="0" w:color="auto"/>
              <w:right w:val="single" w:sz="4" w:space="0" w:color="auto"/>
            </w:tcBorders>
            <w:shd w:val="clear" w:color="auto" w:fill="auto"/>
            <w:hideMark/>
          </w:tcPr>
          <w:p w14:paraId="2AAA231C" w14:textId="25C1BA8F" w:rsidR="00EE21A4" w:rsidRPr="00E9161E" w:rsidRDefault="00EE21A4" w:rsidP="00EE21A4">
            <w:pPr>
              <w:pStyle w:val="TableTextIndent3-Burden"/>
            </w:pPr>
            <w:r w:rsidRPr="00FC473A">
              <w:t>TANKS emission estimates</w:t>
            </w:r>
            <w:r>
              <w:t xml:space="preserve"> (optional)</w:t>
            </w:r>
          </w:p>
        </w:tc>
        <w:tc>
          <w:tcPr>
            <w:tcW w:w="1242" w:type="dxa"/>
            <w:tcBorders>
              <w:top w:val="nil"/>
              <w:left w:val="nil"/>
              <w:bottom w:val="single" w:sz="4" w:space="0" w:color="auto"/>
              <w:right w:val="single" w:sz="4" w:space="0" w:color="auto"/>
            </w:tcBorders>
            <w:shd w:val="clear" w:color="auto" w:fill="auto"/>
            <w:vAlign w:val="center"/>
            <w:hideMark/>
          </w:tcPr>
          <w:p w14:paraId="5C11C555" w14:textId="40FEFB4F" w:rsidR="00EE21A4" w:rsidRPr="00E9161E" w:rsidRDefault="00EE21A4" w:rsidP="00441D8E">
            <w:pPr>
              <w:pStyle w:val="TableTextRight-Burden"/>
            </w:pPr>
            <w:r>
              <w:t>1</w:t>
            </w:r>
          </w:p>
        </w:tc>
        <w:tc>
          <w:tcPr>
            <w:tcW w:w="1243" w:type="dxa"/>
            <w:tcBorders>
              <w:top w:val="nil"/>
              <w:left w:val="nil"/>
              <w:bottom w:val="single" w:sz="4" w:space="0" w:color="auto"/>
              <w:right w:val="single" w:sz="4" w:space="0" w:color="auto"/>
            </w:tcBorders>
            <w:shd w:val="clear" w:color="auto" w:fill="auto"/>
            <w:vAlign w:val="center"/>
            <w:hideMark/>
          </w:tcPr>
          <w:p w14:paraId="30CC37C1" w14:textId="10FBE47D" w:rsidR="00EE21A4" w:rsidRPr="00E9161E" w:rsidRDefault="00EE21A4" w:rsidP="00441D8E">
            <w:pPr>
              <w:pStyle w:val="TableTextRight-Burden"/>
            </w:pPr>
            <w:r>
              <w:t>1</w:t>
            </w:r>
          </w:p>
        </w:tc>
        <w:tc>
          <w:tcPr>
            <w:tcW w:w="1242" w:type="dxa"/>
            <w:tcBorders>
              <w:top w:val="nil"/>
              <w:left w:val="nil"/>
              <w:bottom w:val="single" w:sz="4" w:space="0" w:color="auto"/>
              <w:right w:val="single" w:sz="4" w:space="0" w:color="auto"/>
            </w:tcBorders>
            <w:shd w:val="clear" w:color="auto" w:fill="auto"/>
            <w:vAlign w:val="center"/>
            <w:hideMark/>
          </w:tcPr>
          <w:p w14:paraId="2583B3D7" w14:textId="2A793A45" w:rsidR="00EE21A4" w:rsidRPr="00E9161E" w:rsidRDefault="00EE21A4" w:rsidP="00441D8E">
            <w:pPr>
              <w:pStyle w:val="TableTextRight-Burden"/>
            </w:pPr>
            <w:r>
              <w:t>1</w:t>
            </w:r>
          </w:p>
        </w:tc>
        <w:tc>
          <w:tcPr>
            <w:tcW w:w="1223" w:type="dxa"/>
            <w:tcBorders>
              <w:top w:val="nil"/>
              <w:left w:val="single" w:sz="4" w:space="0" w:color="auto"/>
              <w:bottom w:val="single" w:sz="4" w:space="0" w:color="auto"/>
              <w:right w:val="single" w:sz="4" w:space="0" w:color="auto"/>
            </w:tcBorders>
            <w:shd w:val="clear" w:color="auto" w:fill="auto"/>
            <w:hideMark/>
          </w:tcPr>
          <w:p w14:paraId="489718F2" w14:textId="731E0283" w:rsidR="00EE21A4" w:rsidRPr="004A02C7" w:rsidRDefault="00EE21A4" w:rsidP="00EE21A4">
            <w:pPr>
              <w:pStyle w:val="TableTextRight-Burden"/>
            </w:pPr>
            <w:r w:rsidRPr="00CF3832">
              <w:t>9</w:t>
            </w:r>
          </w:p>
        </w:tc>
        <w:tc>
          <w:tcPr>
            <w:tcW w:w="1350" w:type="dxa"/>
            <w:tcBorders>
              <w:top w:val="nil"/>
              <w:left w:val="nil"/>
              <w:bottom w:val="single" w:sz="4" w:space="0" w:color="auto"/>
              <w:right w:val="single" w:sz="4" w:space="0" w:color="auto"/>
            </w:tcBorders>
            <w:shd w:val="clear" w:color="auto" w:fill="auto"/>
            <w:hideMark/>
          </w:tcPr>
          <w:p w14:paraId="67A4CD95" w14:textId="51C7FC9A" w:rsidR="00EE21A4" w:rsidRPr="004A02C7" w:rsidRDefault="00EE21A4" w:rsidP="00EE21A4">
            <w:pPr>
              <w:pStyle w:val="TableTextRight-Burden"/>
            </w:pPr>
            <w:r w:rsidRPr="00CF3832">
              <w:t>9</w:t>
            </w:r>
          </w:p>
        </w:tc>
        <w:tc>
          <w:tcPr>
            <w:tcW w:w="1155" w:type="dxa"/>
            <w:tcBorders>
              <w:top w:val="nil"/>
              <w:left w:val="nil"/>
              <w:bottom w:val="single" w:sz="4" w:space="0" w:color="auto"/>
              <w:right w:val="single" w:sz="4" w:space="0" w:color="auto"/>
            </w:tcBorders>
            <w:shd w:val="clear" w:color="auto" w:fill="auto"/>
            <w:hideMark/>
          </w:tcPr>
          <w:p w14:paraId="386FCCE2" w14:textId="2C377D07" w:rsidR="00EE21A4" w:rsidRPr="004A02C7" w:rsidRDefault="00EE21A4" w:rsidP="00EE21A4">
            <w:pPr>
              <w:pStyle w:val="TableTextRight-Burden"/>
            </w:pPr>
            <w:r w:rsidRPr="00CF3832">
              <w:t>0</w:t>
            </w:r>
          </w:p>
        </w:tc>
        <w:tc>
          <w:tcPr>
            <w:tcW w:w="1243" w:type="dxa"/>
            <w:tcBorders>
              <w:top w:val="nil"/>
              <w:left w:val="nil"/>
              <w:bottom w:val="single" w:sz="4" w:space="0" w:color="auto"/>
              <w:right w:val="single" w:sz="4" w:space="0" w:color="auto"/>
            </w:tcBorders>
            <w:shd w:val="clear" w:color="auto" w:fill="auto"/>
            <w:hideMark/>
          </w:tcPr>
          <w:p w14:paraId="3413C854" w14:textId="6FF2B07F" w:rsidR="00EE21A4" w:rsidRPr="004A02C7" w:rsidRDefault="00EE21A4" w:rsidP="00EE21A4">
            <w:pPr>
              <w:pStyle w:val="TableTextRight-Burden"/>
            </w:pPr>
            <w:r w:rsidRPr="00CF3832">
              <w:t>0.9</w:t>
            </w:r>
          </w:p>
        </w:tc>
        <w:tc>
          <w:tcPr>
            <w:tcW w:w="1243" w:type="dxa"/>
            <w:tcBorders>
              <w:top w:val="nil"/>
              <w:left w:val="nil"/>
              <w:bottom w:val="single" w:sz="4" w:space="0" w:color="auto"/>
              <w:right w:val="single" w:sz="4" w:space="0" w:color="auto"/>
            </w:tcBorders>
            <w:shd w:val="clear" w:color="auto" w:fill="auto"/>
            <w:hideMark/>
          </w:tcPr>
          <w:p w14:paraId="75F90A44" w14:textId="14B73DFA" w:rsidR="00EE21A4" w:rsidRPr="004A02C7" w:rsidRDefault="00EE21A4" w:rsidP="00EE21A4">
            <w:pPr>
              <w:pStyle w:val="TableTextRight-Burden"/>
            </w:pPr>
            <w:r w:rsidRPr="00CF3832">
              <w:t xml:space="preserve">$730 </w:t>
            </w:r>
          </w:p>
        </w:tc>
      </w:tr>
      <w:tr w:rsidR="00EE21A4" w:rsidRPr="00E9161E" w14:paraId="59B480E2" w14:textId="77777777" w:rsidTr="00F55EA2">
        <w:tc>
          <w:tcPr>
            <w:tcW w:w="4675" w:type="dxa"/>
            <w:tcBorders>
              <w:top w:val="nil"/>
              <w:left w:val="single" w:sz="4" w:space="0" w:color="auto"/>
              <w:bottom w:val="single" w:sz="4" w:space="0" w:color="auto"/>
              <w:right w:val="single" w:sz="4" w:space="0" w:color="auto"/>
            </w:tcBorders>
            <w:shd w:val="clear" w:color="auto" w:fill="auto"/>
            <w:hideMark/>
          </w:tcPr>
          <w:p w14:paraId="54931807" w14:textId="77777777" w:rsidR="00EE21A4" w:rsidRPr="00E9161E" w:rsidRDefault="00EE21A4" w:rsidP="00EE21A4">
            <w:pPr>
              <w:pStyle w:val="TableTextIndent3-Burden"/>
            </w:pPr>
            <w:r w:rsidRPr="00FC473A">
              <w:t>Lumber dry kiln schedules</w:t>
            </w:r>
          </w:p>
        </w:tc>
        <w:tc>
          <w:tcPr>
            <w:tcW w:w="1242" w:type="dxa"/>
            <w:tcBorders>
              <w:top w:val="nil"/>
              <w:left w:val="nil"/>
              <w:bottom w:val="single" w:sz="4" w:space="0" w:color="auto"/>
              <w:right w:val="single" w:sz="4" w:space="0" w:color="auto"/>
            </w:tcBorders>
            <w:shd w:val="clear" w:color="auto" w:fill="auto"/>
            <w:vAlign w:val="center"/>
            <w:hideMark/>
          </w:tcPr>
          <w:p w14:paraId="2A0DA713" w14:textId="351226F3" w:rsidR="00EE21A4" w:rsidRPr="00441D8E" w:rsidRDefault="00EE21A4" w:rsidP="00441D8E">
            <w:pPr>
              <w:pStyle w:val="TableTextRight-Burden"/>
            </w:pPr>
            <w:r w:rsidRPr="00441D8E">
              <w:t>2</w:t>
            </w:r>
          </w:p>
        </w:tc>
        <w:tc>
          <w:tcPr>
            <w:tcW w:w="1243" w:type="dxa"/>
            <w:tcBorders>
              <w:top w:val="nil"/>
              <w:left w:val="nil"/>
              <w:bottom w:val="single" w:sz="4" w:space="0" w:color="auto"/>
              <w:right w:val="single" w:sz="4" w:space="0" w:color="auto"/>
            </w:tcBorders>
            <w:shd w:val="clear" w:color="auto" w:fill="auto"/>
            <w:vAlign w:val="center"/>
            <w:hideMark/>
          </w:tcPr>
          <w:p w14:paraId="68CF5845" w14:textId="146D054E" w:rsidR="00EE21A4" w:rsidRPr="00441D8E" w:rsidRDefault="00EE21A4" w:rsidP="00441D8E">
            <w:pPr>
              <w:pStyle w:val="TableTextRight-Burden"/>
            </w:pPr>
            <w:r w:rsidRPr="00441D8E">
              <w:t>1</w:t>
            </w:r>
          </w:p>
        </w:tc>
        <w:tc>
          <w:tcPr>
            <w:tcW w:w="1242" w:type="dxa"/>
            <w:tcBorders>
              <w:top w:val="nil"/>
              <w:left w:val="nil"/>
              <w:bottom w:val="single" w:sz="4" w:space="0" w:color="auto"/>
              <w:right w:val="single" w:sz="4" w:space="0" w:color="auto"/>
            </w:tcBorders>
            <w:shd w:val="clear" w:color="auto" w:fill="auto"/>
            <w:vAlign w:val="center"/>
            <w:hideMark/>
          </w:tcPr>
          <w:p w14:paraId="757A3D22" w14:textId="357150B0" w:rsidR="00EE21A4" w:rsidRPr="00441D8E" w:rsidRDefault="00EE21A4" w:rsidP="00441D8E">
            <w:pPr>
              <w:pStyle w:val="TableTextRight-Burden"/>
            </w:pPr>
            <w:r w:rsidRPr="00441D8E">
              <w:t>2</w:t>
            </w:r>
          </w:p>
        </w:tc>
        <w:tc>
          <w:tcPr>
            <w:tcW w:w="1223" w:type="dxa"/>
            <w:tcBorders>
              <w:top w:val="nil"/>
              <w:left w:val="single" w:sz="4" w:space="0" w:color="auto"/>
              <w:bottom w:val="single" w:sz="4" w:space="0" w:color="auto"/>
              <w:right w:val="single" w:sz="4" w:space="0" w:color="auto"/>
            </w:tcBorders>
            <w:shd w:val="clear" w:color="auto" w:fill="auto"/>
            <w:hideMark/>
          </w:tcPr>
          <w:p w14:paraId="6D883B08" w14:textId="0171CE60" w:rsidR="00EE21A4" w:rsidRPr="004A02C7" w:rsidRDefault="00EE21A4" w:rsidP="00EE21A4">
            <w:pPr>
              <w:pStyle w:val="TableTextRight-Burden"/>
            </w:pPr>
            <w:r w:rsidRPr="00CF3832">
              <w:t>29</w:t>
            </w:r>
          </w:p>
        </w:tc>
        <w:tc>
          <w:tcPr>
            <w:tcW w:w="1350" w:type="dxa"/>
            <w:tcBorders>
              <w:top w:val="nil"/>
              <w:left w:val="nil"/>
              <w:bottom w:val="single" w:sz="4" w:space="0" w:color="auto"/>
              <w:right w:val="single" w:sz="4" w:space="0" w:color="auto"/>
            </w:tcBorders>
            <w:shd w:val="clear" w:color="auto" w:fill="auto"/>
            <w:hideMark/>
          </w:tcPr>
          <w:p w14:paraId="1E4DA183" w14:textId="51CE7411" w:rsidR="00EE21A4" w:rsidRPr="004A02C7" w:rsidRDefault="00EE21A4" w:rsidP="00EE21A4">
            <w:pPr>
              <w:pStyle w:val="TableTextRight-Burden"/>
            </w:pPr>
            <w:r w:rsidRPr="00CF3832">
              <w:t>58</w:t>
            </w:r>
          </w:p>
        </w:tc>
        <w:tc>
          <w:tcPr>
            <w:tcW w:w="1155" w:type="dxa"/>
            <w:tcBorders>
              <w:top w:val="nil"/>
              <w:left w:val="nil"/>
              <w:bottom w:val="single" w:sz="4" w:space="0" w:color="auto"/>
              <w:right w:val="single" w:sz="4" w:space="0" w:color="auto"/>
            </w:tcBorders>
            <w:shd w:val="clear" w:color="auto" w:fill="auto"/>
            <w:hideMark/>
          </w:tcPr>
          <w:p w14:paraId="2339DEF5" w14:textId="6D81B854" w:rsidR="00EE21A4" w:rsidRPr="004A02C7" w:rsidRDefault="00EE21A4" w:rsidP="00EE21A4">
            <w:pPr>
              <w:pStyle w:val="TableTextRight-Burden"/>
            </w:pPr>
            <w:r w:rsidRPr="00CF3832">
              <w:t>3</w:t>
            </w:r>
          </w:p>
        </w:tc>
        <w:tc>
          <w:tcPr>
            <w:tcW w:w="1243" w:type="dxa"/>
            <w:tcBorders>
              <w:top w:val="nil"/>
              <w:left w:val="nil"/>
              <w:bottom w:val="single" w:sz="4" w:space="0" w:color="auto"/>
              <w:right w:val="single" w:sz="4" w:space="0" w:color="auto"/>
            </w:tcBorders>
            <w:shd w:val="clear" w:color="auto" w:fill="auto"/>
            <w:hideMark/>
          </w:tcPr>
          <w:p w14:paraId="7E2B119A" w14:textId="4513757E" w:rsidR="00EE21A4" w:rsidRPr="004A02C7" w:rsidRDefault="00EE21A4" w:rsidP="00EE21A4">
            <w:pPr>
              <w:pStyle w:val="TableTextRight-Burden"/>
            </w:pPr>
            <w:r w:rsidRPr="00CF3832">
              <w:t>5.8</w:t>
            </w:r>
          </w:p>
        </w:tc>
        <w:tc>
          <w:tcPr>
            <w:tcW w:w="1243" w:type="dxa"/>
            <w:tcBorders>
              <w:top w:val="nil"/>
              <w:left w:val="nil"/>
              <w:bottom w:val="single" w:sz="4" w:space="0" w:color="auto"/>
              <w:right w:val="single" w:sz="4" w:space="0" w:color="auto"/>
            </w:tcBorders>
            <w:shd w:val="clear" w:color="auto" w:fill="auto"/>
            <w:hideMark/>
          </w:tcPr>
          <w:p w14:paraId="554F2E6A" w14:textId="0D4964EA" w:rsidR="00EE21A4" w:rsidRPr="004A02C7" w:rsidRDefault="00EE21A4" w:rsidP="00EE21A4">
            <w:pPr>
              <w:pStyle w:val="TableTextRight-Burden"/>
            </w:pPr>
            <w:r w:rsidRPr="00CF3832">
              <w:t xml:space="preserve">$4,705 </w:t>
            </w:r>
          </w:p>
        </w:tc>
      </w:tr>
      <w:tr w:rsidR="00EE21A4" w:rsidRPr="00E9161E" w14:paraId="04CE5246" w14:textId="77777777" w:rsidTr="00F55EA2">
        <w:tc>
          <w:tcPr>
            <w:tcW w:w="4675" w:type="dxa"/>
            <w:tcBorders>
              <w:top w:val="nil"/>
              <w:left w:val="single" w:sz="4" w:space="0" w:color="auto"/>
              <w:bottom w:val="single" w:sz="4" w:space="0" w:color="auto"/>
              <w:right w:val="single" w:sz="4" w:space="0" w:color="auto"/>
            </w:tcBorders>
            <w:shd w:val="clear" w:color="auto" w:fill="auto"/>
            <w:hideMark/>
          </w:tcPr>
          <w:p w14:paraId="7CC138E9" w14:textId="77777777" w:rsidR="00EE21A4" w:rsidRPr="00E9161E" w:rsidRDefault="00EE21A4" w:rsidP="00EE21A4">
            <w:pPr>
              <w:pStyle w:val="TableTextIndent3-Burden"/>
            </w:pPr>
            <w:r w:rsidRPr="00FC473A">
              <w:t>Copies of semiannual compliance reports</w:t>
            </w:r>
          </w:p>
        </w:tc>
        <w:tc>
          <w:tcPr>
            <w:tcW w:w="1242" w:type="dxa"/>
            <w:tcBorders>
              <w:top w:val="nil"/>
              <w:left w:val="nil"/>
              <w:bottom w:val="single" w:sz="4" w:space="0" w:color="auto"/>
              <w:right w:val="single" w:sz="4" w:space="0" w:color="auto"/>
            </w:tcBorders>
            <w:shd w:val="clear" w:color="auto" w:fill="auto"/>
            <w:vAlign w:val="center"/>
            <w:hideMark/>
          </w:tcPr>
          <w:p w14:paraId="1BB1488B" w14:textId="69016A2A" w:rsidR="00EE21A4" w:rsidRPr="00E9161E" w:rsidRDefault="00EE21A4" w:rsidP="00441D8E">
            <w:pPr>
              <w:pStyle w:val="TableTextRight-Burden"/>
            </w:pPr>
            <w:r>
              <w:t>1</w:t>
            </w:r>
          </w:p>
        </w:tc>
        <w:tc>
          <w:tcPr>
            <w:tcW w:w="1243" w:type="dxa"/>
            <w:tcBorders>
              <w:top w:val="nil"/>
              <w:left w:val="nil"/>
              <w:bottom w:val="single" w:sz="4" w:space="0" w:color="auto"/>
              <w:right w:val="single" w:sz="4" w:space="0" w:color="auto"/>
            </w:tcBorders>
            <w:shd w:val="clear" w:color="auto" w:fill="auto"/>
            <w:vAlign w:val="center"/>
            <w:hideMark/>
          </w:tcPr>
          <w:p w14:paraId="7B38C6BF" w14:textId="7652B99A" w:rsidR="00EE21A4" w:rsidRPr="00E9161E" w:rsidRDefault="00EE21A4" w:rsidP="00441D8E">
            <w:pPr>
              <w:pStyle w:val="TableTextRight-Burden"/>
            </w:pPr>
            <w:r>
              <w:t>1</w:t>
            </w:r>
          </w:p>
        </w:tc>
        <w:tc>
          <w:tcPr>
            <w:tcW w:w="1242" w:type="dxa"/>
            <w:tcBorders>
              <w:top w:val="nil"/>
              <w:left w:val="nil"/>
              <w:bottom w:val="single" w:sz="4" w:space="0" w:color="auto"/>
              <w:right w:val="single" w:sz="4" w:space="0" w:color="auto"/>
            </w:tcBorders>
            <w:shd w:val="clear" w:color="auto" w:fill="auto"/>
            <w:vAlign w:val="center"/>
            <w:hideMark/>
          </w:tcPr>
          <w:p w14:paraId="4C2D8DD0" w14:textId="5EA73BCF" w:rsidR="00EE21A4" w:rsidRPr="00E9161E" w:rsidRDefault="00EE21A4" w:rsidP="00441D8E">
            <w:pPr>
              <w:pStyle w:val="TableTextRight-Burden"/>
            </w:pPr>
            <w:r>
              <w:t>1</w:t>
            </w:r>
          </w:p>
        </w:tc>
        <w:tc>
          <w:tcPr>
            <w:tcW w:w="1223" w:type="dxa"/>
            <w:tcBorders>
              <w:top w:val="nil"/>
              <w:left w:val="single" w:sz="4" w:space="0" w:color="auto"/>
              <w:bottom w:val="single" w:sz="4" w:space="0" w:color="auto"/>
              <w:right w:val="single" w:sz="4" w:space="0" w:color="auto"/>
            </w:tcBorders>
            <w:shd w:val="clear" w:color="auto" w:fill="auto"/>
            <w:hideMark/>
          </w:tcPr>
          <w:p w14:paraId="0AA64B4B" w14:textId="4A81102D" w:rsidR="00EE21A4" w:rsidRPr="004A02C7" w:rsidRDefault="00EE21A4" w:rsidP="00EE21A4">
            <w:pPr>
              <w:pStyle w:val="TableTextRight-Burden"/>
            </w:pPr>
            <w:r w:rsidRPr="00CF3832">
              <w:t>186</w:t>
            </w:r>
          </w:p>
        </w:tc>
        <w:tc>
          <w:tcPr>
            <w:tcW w:w="1350" w:type="dxa"/>
            <w:tcBorders>
              <w:top w:val="nil"/>
              <w:left w:val="nil"/>
              <w:bottom w:val="single" w:sz="4" w:space="0" w:color="auto"/>
              <w:right w:val="single" w:sz="4" w:space="0" w:color="auto"/>
            </w:tcBorders>
            <w:shd w:val="clear" w:color="auto" w:fill="auto"/>
            <w:hideMark/>
          </w:tcPr>
          <w:p w14:paraId="28A330D9" w14:textId="14B94AA7" w:rsidR="00EE21A4" w:rsidRPr="004A02C7" w:rsidRDefault="00EE21A4" w:rsidP="00EE21A4">
            <w:pPr>
              <w:pStyle w:val="TableTextRight-Burden"/>
            </w:pPr>
            <w:r w:rsidRPr="00CF3832">
              <w:t>186</w:t>
            </w:r>
          </w:p>
        </w:tc>
        <w:tc>
          <w:tcPr>
            <w:tcW w:w="1155" w:type="dxa"/>
            <w:tcBorders>
              <w:top w:val="nil"/>
              <w:left w:val="nil"/>
              <w:bottom w:val="single" w:sz="4" w:space="0" w:color="auto"/>
              <w:right w:val="single" w:sz="4" w:space="0" w:color="auto"/>
            </w:tcBorders>
            <w:shd w:val="clear" w:color="auto" w:fill="auto"/>
            <w:hideMark/>
          </w:tcPr>
          <w:p w14:paraId="1795BBF1" w14:textId="58A5676E" w:rsidR="00EE21A4" w:rsidRPr="004A02C7" w:rsidRDefault="00EE21A4" w:rsidP="00EE21A4">
            <w:pPr>
              <w:pStyle w:val="TableTextRight-Burden"/>
            </w:pPr>
            <w:r w:rsidRPr="00CF3832">
              <w:t>9</w:t>
            </w:r>
          </w:p>
        </w:tc>
        <w:tc>
          <w:tcPr>
            <w:tcW w:w="1243" w:type="dxa"/>
            <w:tcBorders>
              <w:top w:val="nil"/>
              <w:left w:val="nil"/>
              <w:bottom w:val="single" w:sz="4" w:space="0" w:color="auto"/>
              <w:right w:val="single" w:sz="4" w:space="0" w:color="auto"/>
            </w:tcBorders>
            <w:shd w:val="clear" w:color="auto" w:fill="auto"/>
            <w:hideMark/>
          </w:tcPr>
          <w:p w14:paraId="6657CE7C" w14:textId="62C142F5" w:rsidR="00EE21A4" w:rsidRPr="004A02C7" w:rsidRDefault="00EE21A4" w:rsidP="00EE21A4">
            <w:pPr>
              <w:pStyle w:val="TableTextRight-Burden"/>
            </w:pPr>
            <w:r w:rsidRPr="00CF3832">
              <w:t>18.6</w:t>
            </w:r>
          </w:p>
        </w:tc>
        <w:tc>
          <w:tcPr>
            <w:tcW w:w="1243" w:type="dxa"/>
            <w:tcBorders>
              <w:top w:val="nil"/>
              <w:left w:val="nil"/>
              <w:bottom w:val="single" w:sz="4" w:space="0" w:color="auto"/>
              <w:right w:val="single" w:sz="4" w:space="0" w:color="auto"/>
            </w:tcBorders>
            <w:shd w:val="clear" w:color="auto" w:fill="auto"/>
            <w:hideMark/>
          </w:tcPr>
          <w:p w14:paraId="51996541" w14:textId="4F8C150B" w:rsidR="00EE21A4" w:rsidRPr="004A02C7" w:rsidRDefault="00EE21A4" w:rsidP="00EE21A4">
            <w:pPr>
              <w:pStyle w:val="TableTextRight-Burden"/>
            </w:pPr>
            <w:r w:rsidRPr="00CF3832">
              <w:t xml:space="preserve">$15,088 </w:t>
            </w:r>
          </w:p>
        </w:tc>
      </w:tr>
      <w:tr w:rsidR="00EE21A4" w:rsidRPr="00E9161E" w14:paraId="15CE823C" w14:textId="77777777" w:rsidTr="00F55EA2">
        <w:tc>
          <w:tcPr>
            <w:tcW w:w="4675" w:type="dxa"/>
            <w:tcBorders>
              <w:top w:val="nil"/>
              <w:left w:val="single" w:sz="4" w:space="0" w:color="auto"/>
              <w:bottom w:val="single" w:sz="4" w:space="0" w:color="auto"/>
              <w:right w:val="single" w:sz="4" w:space="0" w:color="auto"/>
            </w:tcBorders>
            <w:shd w:val="clear" w:color="auto" w:fill="auto"/>
            <w:hideMark/>
          </w:tcPr>
          <w:p w14:paraId="305784FD" w14:textId="77777777" w:rsidR="00EE21A4" w:rsidRPr="00E9161E" w:rsidRDefault="00EE21A4" w:rsidP="00EE21A4">
            <w:pPr>
              <w:pStyle w:val="TableTextIndent3-Burden"/>
            </w:pPr>
            <w:r w:rsidRPr="00FC473A">
              <w:t>Wastewater treatment plant flow diagrams</w:t>
            </w:r>
          </w:p>
        </w:tc>
        <w:tc>
          <w:tcPr>
            <w:tcW w:w="1242" w:type="dxa"/>
            <w:tcBorders>
              <w:top w:val="nil"/>
              <w:left w:val="nil"/>
              <w:bottom w:val="single" w:sz="4" w:space="0" w:color="auto"/>
              <w:right w:val="single" w:sz="4" w:space="0" w:color="auto"/>
            </w:tcBorders>
            <w:shd w:val="clear" w:color="auto" w:fill="auto"/>
            <w:vAlign w:val="center"/>
            <w:hideMark/>
          </w:tcPr>
          <w:p w14:paraId="2895AED6" w14:textId="524EB45E" w:rsidR="00EE21A4" w:rsidRPr="00E9161E" w:rsidRDefault="00EE21A4" w:rsidP="00441D8E">
            <w:pPr>
              <w:pStyle w:val="TableTextRight-Burden"/>
            </w:pPr>
            <w:r>
              <w:t>0.5</w:t>
            </w:r>
          </w:p>
        </w:tc>
        <w:tc>
          <w:tcPr>
            <w:tcW w:w="1243" w:type="dxa"/>
            <w:tcBorders>
              <w:top w:val="nil"/>
              <w:left w:val="nil"/>
              <w:bottom w:val="single" w:sz="4" w:space="0" w:color="auto"/>
              <w:right w:val="single" w:sz="4" w:space="0" w:color="auto"/>
            </w:tcBorders>
            <w:shd w:val="clear" w:color="auto" w:fill="auto"/>
            <w:vAlign w:val="center"/>
            <w:hideMark/>
          </w:tcPr>
          <w:p w14:paraId="116101D1" w14:textId="306A6B5E" w:rsidR="00EE21A4" w:rsidRPr="00E9161E" w:rsidRDefault="00EE21A4" w:rsidP="00441D8E">
            <w:pPr>
              <w:pStyle w:val="TableTextRight-Burden"/>
            </w:pPr>
            <w:r>
              <w:t>1</w:t>
            </w:r>
          </w:p>
        </w:tc>
        <w:tc>
          <w:tcPr>
            <w:tcW w:w="1242" w:type="dxa"/>
            <w:tcBorders>
              <w:top w:val="nil"/>
              <w:left w:val="nil"/>
              <w:bottom w:val="single" w:sz="4" w:space="0" w:color="auto"/>
              <w:right w:val="single" w:sz="4" w:space="0" w:color="auto"/>
            </w:tcBorders>
            <w:shd w:val="clear" w:color="auto" w:fill="auto"/>
            <w:vAlign w:val="center"/>
            <w:hideMark/>
          </w:tcPr>
          <w:p w14:paraId="518F59A2" w14:textId="7DA5BA3B" w:rsidR="00EE21A4" w:rsidRPr="00E9161E" w:rsidRDefault="00EE21A4" w:rsidP="00441D8E">
            <w:pPr>
              <w:pStyle w:val="TableTextRight-Burden"/>
            </w:pPr>
            <w:r>
              <w:t>0.5</w:t>
            </w:r>
          </w:p>
        </w:tc>
        <w:tc>
          <w:tcPr>
            <w:tcW w:w="1223" w:type="dxa"/>
            <w:tcBorders>
              <w:top w:val="nil"/>
              <w:left w:val="single" w:sz="4" w:space="0" w:color="auto"/>
              <w:bottom w:val="single" w:sz="4" w:space="0" w:color="auto"/>
              <w:right w:val="single" w:sz="4" w:space="0" w:color="auto"/>
            </w:tcBorders>
            <w:shd w:val="clear" w:color="auto" w:fill="auto"/>
            <w:hideMark/>
          </w:tcPr>
          <w:p w14:paraId="036E8A3A" w14:textId="20BD2F72" w:rsidR="00EE21A4" w:rsidRPr="004A02C7" w:rsidRDefault="00EE21A4" w:rsidP="00EE21A4">
            <w:pPr>
              <w:pStyle w:val="TableTextRight-Burden"/>
            </w:pPr>
            <w:r w:rsidRPr="00CF3832">
              <w:t>10</w:t>
            </w:r>
          </w:p>
        </w:tc>
        <w:tc>
          <w:tcPr>
            <w:tcW w:w="1350" w:type="dxa"/>
            <w:tcBorders>
              <w:top w:val="nil"/>
              <w:left w:val="nil"/>
              <w:bottom w:val="single" w:sz="4" w:space="0" w:color="auto"/>
              <w:right w:val="single" w:sz="4" w:space="0" w:color="auto"/>
            </w:tcBorders>
            <w:shd w:val="clear" w:color="auto" w:fill="auto"/>
            <w:hideMark/>
          </w:tcPr>
          <w:p w14:paraId="42B9758A" w14:textId="51CDECEC" w:rsidR="00EE21A4" w:rsidRPr="004A02C7" w:rsidRDefault="00EE21A4" w:rsidP="00EE21A4">
            <w:pPr>
              <w:pStyle w:val="TableTextRight-Burden"/>
            </w:pPr>
            <w:r w:rsidRPr="00CF3832">
              <w:t>5</w:t>
            </w:r>
          </w:p>
        </w:tc>
        <w:tc>
          <w:tcPr>
            <w:tcW w:w="1155" w:type="dxa"/>
            <w:tcBorders>
              <w:top w:val="nil"/>
              <w:left w:val="nil"/>
              <w:bottom w:val="single" w:sz="4" w:space="0" w:color="auto"/>
              <w:right w:val="single" w:sz="4" w:space="0" w:color="auto"/>
            </w:tcBorders>
            <w:shd w:val="clear" w:color="auto" w:fill="auto"/>
            <w:hideMark/>
          </w:tcPr>
          <w:p w14:paraId="5FDEF7E3" w14:textId="7AB534D2" w:rsidR="00EE21A4" w:rsidRPr="004A02C7" w:rsidRDefault="00EE21A4" w:rsidP="00EE21A4">
            <w:pPr>
              <w:pStyle w:val="TableTextRight-Burden"/>
            </w:pPr>
            <w:r w:rsidRPr="00CF3832">
              <w:t>0</w:t>
            </w:r>
          </w:p>
        </w:tc>
        <w:tc>
          <w:tcPr>
            <w:tcW w:w="1243" w:type="dxa"/>
            <w:tcBorders>
              <w:top w:val="nil"/>
              <w:left w:val="nil"/>
              <w:bottom w:val="single" w:sz="4" w:space="0" w:color="auto"/>
              <w:right w:val="single" w:sz="4" w:space="0" w:color="auto"/>
            </w:tcBorders>
            <w:shd w:val="clear" w:color="auto" w:fill="auto"/>
            <w:hideMark/>
          </w:tcPr>
          <w:p w14:paraId="07D8A79E" w14:textId="7DB3171C" w:rsidR="00EE21A4" w:rsidRPr="004A02C7" w:rsidRDefault="00EE21A4" w:rsidP="00EE21A4">
            <w:pPr>
              <w:pStyle w:val="TableTextRight-Burden"/>
            </w:pPr>
            <w:r w:rsidRPr="00CF3832">
              <w:t>0.5</w:t>
            </w:r>
          </w:p>
        </w:tc>
        <w:tc>
          <w:tcPr>
            <w:tcW w:w="1243" w:type="dxa"/>
            <w:tcBorders>
              <w:top w:val="nil"/>
              <w:left w:val="nil"/>
              <w:bottom w:val="single" w:sz="4" w:space="0" w:color="auto"/>
              <w:right w:val="single" w:sz="4" w:space="0" w:color="auto"/>
            </w:tcBorders>
            <w:shd w:val="clear" w:color="auto" w:fill="auto"/>
            <w:hideMark/>
          </w:tcPr>
          <w:p w14:paraId="1DA31E4F" w14:textId="0E56251C" w:rsidR="00EE21A4" w:rsidRPr="004A02C7" w:rsidRDefault="00EE21A4" w:rsidP="00EE21A4">
            <w:pPr>
              <w:pStyle w:val="TableTextRight-Burden"/>
            </w:pPr>
            <w:r w:rsidRPr="00CF3832">
              <w:t xml:space="preserve">$406 </w:t>
            </w:r>
          </w:p>
        </w:tc>
      </w:tr>
      <w:tr w:rsidR="00EE21A4" w:rsidRPr="00E9161E" w14:paraId="76716F2D" w14:textId="77777777" w:rsidTr="00F55EA2">
        <w:tc>
          <w:tcPr>
            <w:tcW w:w="4675" w:type="dxa"/>
            <w:tcBorders>
              <w:top w:val="nil"/>
              <w:left w:val="single" w:sz="4" w:space="0" w:color="auto"/>
              <w:bottom w:val="single" w:sz="4" w:space="0" w:color="auto"/>
              <w:right w:val="single" w:sz="4" w:space="0" w:color="auto"/>
            </w:tcBorders>
            <w:shd w:val="clear" w:color="auto" w:fill="auto"/>
            <w:hideMark/>
          </w:tcPr>
          <w:p w14:paraId="2E6700DA" w14:textId="77777777" w:rsidR="00EE21A4" w:rsidRPr="00E9161E" w:rsidRDefault="00EE21A4" w:rsidP="00EE21A4">
            <w:pPr>
              <w:pStyle w:val="TableTextIndent3-Burden"/>
            </w:pPr>
            <w:r w:rsidRPr="00FC473A">
              <w:t>Wastewater treatment plant emission estimates</w:t>
            </w:r>
          </w:p>
        </w:tc>
        <w:tc>
          <w:tcPr>
            <w:tcW w:w="1242" w:type="dxa"/>
            <w:tcBorders>
              <w:top w:val="nil"/>
              <w:left w:val="nil"/>
              <w:bottom w:val="single" w:sz="4" w:space="0" w:color="auto"/>
              <w:right w:val="single" w:sz="4" w:space="0" w:color="auto"/>
            </w:tcBorders>
            <w:shd w:val="clear" w:color="auto" w:fill="auto"/>
            <w:vAlign w:val="center"/>
            <w:hideMark/>
          </w:tcPr>
          <w:p w14:paraId="409888DB" w14:textId="675A625D" w:rsidR="00EE21A4" w:rsidRPr="00441D8E" w:rsidRDefault="00EE21A4" w:rsidP="00441D8E">
            <w:pPr>
              <w:pStyle w:val="TableTextRight-Burden"/>
            </w:pPr>
            <w:r w:rsidRPr="00441D8E">
              <w:t>1</w:t>
            </w:r>
          </w:p>
        </w:tc>
        <w:tc>
          <w:tcPr>
            <w:tcW w:w="1243" w:type="dxa"/>
            <w:tcBorders>
              <w:top w:val="nil"/>
              <w:left w:val="nil"/>
              <w:bottom w:val="single" w:sz="4" w:space="0" w:color="auto"/>
              <w:right w:val="single" w:sz="4" w:space="0" w:color="auto"/>
            </w:tcBorders>
            <w:shd w:val="clear" w:color="auto" w:fill="auto"/>
            <w:vAlign w:val="center"/>
            <w:hideMark/>
          </w:tcPr>
          <w:p w14:paraId="36C71559" w14:textId="117C83B2" w:rsidR="00EE21A4" w:rsidRPr="00441D8E" w:rsidRDefault="00EE21A4" w:rsidP="00441D8E">
            <w:pPr>
              <w:pStyle w:val="TableTextRight-Burden"/>
            </w:pPr>
            <w:r w:rsidRPr="00441D8E">
              <w:t>1</w:t>
            </w:r>
          </w:p>
        </w:tc>
        <w:tc>
          <w:tcPr>
            <w:tcW w:w="1242" w:type="dxa"/>
            <w:tcBorders>
              <w:top w:val="nil"/>
              <w:left w:val="nil"/>
              <w:bottom w:val="single" w:sz="4" w:space="0" w:color="auto"/>
              <w:right w:val="single" w:sz="4" w:space="0" w:color="auto"/>
            </w:tcBorders>
            <w:shd w:val="clear" w:color="auto" w:fill="auto"/>
            <w:vAlign w:val="center"/>
            <w:hideMark/>
          </w:tcPr>
          <w:p w14:paraId="0E8ABE5E" w14:textId="70D50B71" w:rsidR="00EE21A4" w:rsidRPr="00441D8E" w:rsidRDefault="00EE21A4" w:rsidP="00441D8E">
            <w:pPr>
              <w:pStyle w:val="TableTextRight-Burden"/>
            </w:pPr>
            <w:r w:rsidRPr="00441D8E">
              <w:t>1</w:t>
            </w:r>
          </w:p>
        </w:tc>
        <w:tc>
          <w:tcPr>
            <w:tcW w:w="1223" w:type="dxa"/>
            <w:tcBorders>
              <w:top w:val="nil"/>
              <w:left w:val="single" w:sz="4" w:space="0" w:color="auto"/>
              <w:bottom w:val="single" w:sz="4" w:space="0" w:color="auto"/>
              <w:right w:val="single" w:sz="4" w:space="0" w:color="auto"/>
            </w:tcBorders>
            <w:shd w:val="clear" w:color="auto" w:fill="auto"/>
            <w:hideMark/>
          </w:tcPr>
          <w:p w14:paraId="7BB5D71D" w14:textId="670D1D8E" w:rsidR="00EE21A4" w:rsidRPr="004A02C7" w:rsidRDefault="00EE21A4" w:rsidP="00EE21A4">
            <w:pPr>
              <w:pStyle w:val="TableTextRight-Burden"/>
            </w:pPr>
            <w:r w:rsidRPr="00CF3832">
              <w:t>10</w:t>
            </w:r>
          </w:p>
        </w:tc>
        <w:tc>
          <w:tcPr>
            <w:tcW w:w="1350" w:type="dxa"/>
            <w:tcBorders>
              <w:top w:val="nil"/>
              <w:left w:val="nil"/>
              <w:bottom w:val="single" w:sz="4" w:space="0" w:color="auto"/>
              <w:right w:val="single" w:sz="4" w:space="0" w:color="auto"/>
            </w:tcBorders>
            <w:shd w:val="clear" w:color="auto" w:fill="auto"/>
            <w:hideMark/>
          </w:tcPr>
          <w:p w14:paraId="0A0A71DE" w14:textId="43A7B78D" w:rsidR="00EE21A4" w:rsidRPr="004A02C7" w:rsidRDefault="00EE21A4" w:rsidP="00EE21A4">
            <w:pPr>
              <w:pStyle w:val="TableTextRight-Burden"/>
            </w:pPr>
            <w:r w:rsidRPr="00CF3832">
              <w:t>10</w:t>
            </w:r>
          </w:p>
        </w:tc>
        <w:tc>
          <w:tcPr>
            <w:tcW w:w="1155" w:type="dxa"/>
            <w:tcBorders>
              <w:top w:val="nil"/>
              <w:left w:val="nil"/>
              <w:bottom w:val="single" w:sz="4" w:space="0" w:color="auto"/>
              <w:right w:val="single" w:sz="4" w:space="0" w:color="auto"/>
            </w:tcBorders>
            <w:shd w:val="clear" w:color="auto" w:fill="auto"/>
            <w:hideMark/>
          </w:tcPr>
          <w:p w14:paraId="4DBF0EB7" w14:textId="7D058360" w:rsidR="00EE21A4" w:rsidRPr="004A02C7" w:rsidRDefault="00EE21A4" w:rsidP="00EE21A4">
            <w:pPr>
              <w:pStyle w:val="TableTextRight-Burden"/>
            </w:pPr>
            <w:r w:rsidRPr="00CF3832">
              <w:t>1</w:t>
            </w:r>
          </w:p>
        </w:tc>
        <w:tc>
          <w:tcPr>
            <w:tcW w:w="1243" w:type="dxa"/>
            <w:tcBorders>
              <w:top w:val="nil"/>
              <w:left w:val="nil"/>
              <w:bottom w:val="single" w:sz="4" w:space="0" w:color="auto"/>
              <w:right w:val="single" w:sz="4" w:space="0" w:color="auto"/>
            </w:tcBorders>
            <w:shd w:val="clear" w:color="auto" w:fill="auto"/>
            <w:hideMark/>
          </w:tcPr>
          <w:p w14:paraId="35A45DBE" w14:textId="7C74E65F" w:rsidR="00EE21A4" w:rsidRPr="004A02C7" w:rsidRDefault="00EE21A4" w:rsidP="00EE21A4">
            <w:pPr>
              <w:pStyle w:val="TableTextRight-Burden"/>
            </w:pPr>
            <w:r w:rsidRPr="00CF3832">
              <w:t>1</w:t>
            </w:r>
          </w:p>
        </w:tc>
        <w:tc>
          <w:tcPr>
            <w:tcW w:w="1243" w:type="dxa"/>
            <w:tcBorders>
              <w:top w:val="nil"/>
              <w:left w:val="nil"/>
              <w:bottom w:val="single" w:sz="4" w:space="0" w:color="auto"/>
              <w:right w:val="single" w:sz="4" w:space="0" w:color="auto"/>
            </w:tcBorders>
            <w:shd w:val="clear" w:color="auto" w:fill="auto"/>
            <w:hideMark/>
          </w:tcPr>
          <w:p w14:paraId="7DAD2500" w14:textId="1E55029D" w:rsidR="00EE21A4" w:rsidRPr="004A02C7" w:rsidRDefault="00EE21A4" w:rsidP="00EE21A4">
            <w:pPr>
              <w:pStyle w:val="TableTextRight-Burden"/>
            </w:pPr>
            <w:r w:rsidRPr="00CF3832">
              <w:t xml:space="preserve">$811 </w:t>
            </w:r>
          </w:p>
        </w:tc>
      </w:tr>
      <w:tr w:rsidR="00EE21A4" w:rsidRPr="00492583" w14:paraId="3E9604E1" w14:textId="77777777" w:rsidTr="00F55EA2">
        <w:tc>
          <w:tcPr>
            <w:tcW w:w="4675" w:type="dxa"/>
            <w:tcBorders>
              <w:top w:val="nil"/>
              <w:left w:val="single" w:sz="4" w:space="0" w:color="auto"/>
              <w:bottom w:val="single" w:sz="4" w:space="0" w:color="auto"/>
              <w:right w:val="single" w:sz="4" w:space="0" w:color="auto"/>
            </w:tcBorders>
            <w:shd w:val="clear" w:color="auto" w:fill="auto"/>
            <w:hideMark/>
          </w:tcPr>
          <w:p w14:paraId="78C30D0D" w14:textId="77777777" w:rsidR="00EE21A4" w:rsidRPr="00492583" w:rsidRDefault="00EE21A4" w:rsidP="00EE21A4">
            <w:pPr>
              <w:pStyle w:val="TableTextIndent3-Burden"/>
            </w:pPr>
            <w:r w:rsidRPr="00492583">
              <w:t>Wastewater treatment plant effluent limits</w:t>
            </w:r>
          </w:p>
        </w:tc>
        <w:tc>
          <w:tcPr>
            <w:tcW w:w="1242" w:type="dxa"/>
            <w:tcBorders>
              <w:top w:val="nil"/>
              <w:left w:val="nil"/>
              <w:bottom w:val="single" w:sz="4" w:space="0" w:color="auto"/>
              <w:right w:val="single" w:sz="4" w:space="0" w:color="auto"/>
            </w:tcBorders>
            <w:shd w:val="clear" w:color="auto" w:fill="auto"/>
            <w:vAlign w:val="center"/>
            <w:hideMark/>
          </w:tcPr>
          <w:p w14:paraId="6DD8A7BA" w14:textId="20B8ABFE" w:rsidR="00EE21A4" w:rsidRPr="00441D8E" w:rsidRDefault="00EE21A4" w:rsidP="00441D8E">
            <w:pPr>
              <w:pStyle w:val="TableTextRight-Burden"/>
            </w:pPr>
            <w:r w:rsidRPr="00441D8E">
              <w:t>0.5</w:t>
            </w:r>
          </w:p>
        </w:tc>
        <w:tc>
          <w:tcPr>
            <w:tcW w:w="1243" w:type="dxa"/>
            <w:tcBorders>
              <w:top w:val="nil"/>
              <w:left w:val="nil"/>
              <w:bottom w:val="single" w:sz="4" w:space="0" w:color="auto"/>
              <w:right w:val="single" w:sz="4" w:space="0" w:color="auto"/>
            </w:tcBorders>
            <w:shd w:val="clear" w:color="auto" w:fill="auto"/>
            <w:vAlign w:val="center"/>
            <w:hideMark/>
          </w:tcPr>
          <w:p w14:paraId="2BA77C17" w14:textId="67AAE080" w:rsidR="00EE21A4" w:rsidRPr="00441D8E" w:rsidRDefault="00EE21A4" w:rsidP="00441D8E">
            <w:pPr>
              <w:pStyle w:val="TableTextRight-Burden"/>
            </w:pPr>
            <w:r w:rsidRPr="00441D8E">
              <w:t>1</w:t>
            </w:r>
          </w:p>
        </w:tc>
        <w:tc>
          <w:tcPr>
            <w:tcW w:w="1242" w:type="dxa"/>
            <w:tcBorders>
              <w:top w:val="nil"/>
              <w:left w:val="nil"/>
              <w:bottom w:val="single" w:sz="4" w:space="0" w:color="auto"/>
              <w:right w:val="single" w:sz="4" w:space="0" w:color="auto"/>
            </w:tcBorders>
            <w:shd w:val="clear" w:color="auto" w:fill="auto"/>
            <w:vAlign w:val="center"/>
            <w:hideMark/>
          </w:tcPr>
          <w:p w14:paraId="53503906" w14:textId="2173754E" w:rsidR="00EE21A4" w:rsidRPr="00441D8E" w:rsidRDefault="00EE21A4" w:rsidP="00441D8E">
            <w:pPr>
              <w:pStyle w:val="TableTextRight-Burden"/>
            </w:pPr>
            <w:r w:rsidRPr="00441D8E">
              <w:t>0.5</w:t>
            </w:r>
          </w:p>
        </w:tc>
        <w:tc>
          <w:tcPr>
            <w:tcW w:w="1223" w:type="dxa"/>
            <w:tcBorders>
              <w:top w:val="nil"/>
              <w:left w:val="single" w:sz="4" w:space="0" w:color="auto"/>
              <w:bottom w:val="single" w:sz="4" w:space="0" w:color="auto"/>
              <w:right w:val="single" w:sz="4" w:space="0" w:color="auto"/>
            </w:tcBorders>
            <w:shd w:val="clear" w:color="auto" w:fill="auto"/>
            <w:hideMark/>
          </w:tcPr>
          <w:p w14:paraId="47A87DA3" w14:textId="69493552" w:rsidR="00EE21A4" w:rsidRPr="004A02C7" w:rsidRDefault="00EE21A4" w:rsidP="00EE21A4">
            <w:pPr>
              <w:pStyle w:val="TableTextRight-Burden"/>
            </w:pPr>
            <w:r w:rsidRPr="00CF3832">
              <w:t>64</w:t>
            </w:r>
          </w:p>
        </w:tc>
        <w:tc>
          <w:tcPr>
            <w:tcW w:w="1350" w:type="dxa"/>
            <w:tcBorders>
              <w:top w:val="nil"/>
              <w:left w:val="nil"/>
              <w:bottom w:val="single" w:sz="4" w:space="0" w:color="auto"/>
              <w:right w:val="single" w:sz="4" w:space="0" w:color="auto"/>
            </w:tcBorders>
            <w:shd w:val="clear" w:color="auto" w:fill="auto"/>
            <w:hideMark/>
          </w:tcPr>
          <w:p w14:paraId="25E8A39E" w14:textId="723F0D33" w:rsidR="00EE21A4" w:rsidRPr="004A02C7" w:rsidRDefault="00EE21A4" w:rsidP="00EE21A4">
            <w:pPr>
              <w:pStyle w:val="TableTextRight-Burden"/>
            </w:pPr>
            <w:r w:rsidRPr="00CF3832">
              <w:t>32</w:t>
            </w:r>
          </w:p>
        </w:tc>
        <w:tc>
          <w:tcPr>
            <w:tcW w:w="1155" w:type="dxa"/>
            <w:tcBorders>
              <w:top w:val="nil"/>
              <w:left w:val="nil"/>
              <w:bottom w:val="single" w:sz="4" w:space="0" w:color="auto"/>
              <w:right w:val="single" w:sz="4" w:space="0" w:color="auto"/>
            </w:tcBorders>
            <w:shd w:val="clear" w:color="auto" w:fill="auto"/>
            <w:hideMark/>
          </w:tcPr>
          <w:p w14:paraId="68D9B039" w14:textId="70D37207" w:rsidR="00EE21A4" w:rsidRPr="004A02C7" w:rsidRDefault="00EE21A4" w:rsidP="00EE21A4">
            <w:pPr>
              <w:pStyle w:val="TableTextRight-Burden"/>
            </w:pPr>
            <w:r w:rsidRPr="00CF3832">
              <w:t>2</w:t>
            </w:r>
          </w:p>
        </w:tc>
        <w:tc>
          <w:tcPr>
            <w:tcW w:w="1243" w:type="dxa"/>
            <w:tcBorders>
              <w:top w:val="nil"/>
              <w:left w:val="nil"/>
              <w:bottom w:val="single" w:sz="4" w:space="0" w:color="auto"/>
              <w:right w:val="single" w:sz="4" w:space="0" w:color="auto"/>
            </w:tcBorders>
            <w:shd w:val="clear" w:color="auto" w:fill="auto"/>
            <w:hideMark/>
          </w:tcPr>
          <w:p w14:paraId="024A7405" w14:textId="40187EBA" w:rsidR="00EE21A4" w:rsidRPr="004A02C7" w:rsidRDefault="00EE21A4" w:rsidP="00EE21A4">
            <w:pPr>
              <w:pStyle w:val="TableTextRight-Burden"/>
            </w:pPr>
            <w:r w:rsidRPr="00CF3832">
              <w:t>3.2</w:t>
            </w:r>
          </w:p>
        </w:tc>
        <w:tc>
          <w:tcPr>
            <w:tcW w:w="1243" w:type="dxa"/>
            <w:tcBorders>
              <w:top w:val="nil"/>
              <w:left w:val="nil"/>
              <w:bottom w:val="single" w:sz="4" w:space="0" w:color="auto"/>
              <w:right w:val="single" w:sz="4" w:space="0" w:color="auto"/>
            </w:tcBorders>
            <w:shd w:val="clear" w:color="auto" w:fill="auto"/>
            <w:hideMark/>
          </w:tcPr>
          <w:p w14:paraId="7D519A36" w14:textId="6CE9C479" w:rsidR="00EE21A4" w:rsidRPr="004A02C7" w:rsidRDefault="00EE21A4" w:rsidP="00EE21A4">
            <w:pPr>
              <w:pStyle w:val="TableTextRight-Burden"/>
            </w:pPr>
            <w:r w:rsidRPr="00CF3832">
              <w:t xml:space="preserve">$2,596 </w:t>
            </w:r>
          </w:p>
        </w:tc>
      </w:tr>
      <w:tr w:rsidR="00EE21A4" w:rsidRPr="00492583" w14:paraId="4B88EB97" w14:textId="77777777" w:rsidTr="00F55EA2">
        <w:tc>
          <w:tcPr>
            <w:tcW w:w="4675" w:type="dxa"/>
            <w:tcBorders>
              <w:top w:val="nil"/>
              <w:left w:val="single" w:sz="4" w:space="0" w:color="auto"/>
              <w:bottom w:val="single" w:sz="4" w:space="0" w:color="auto"/>
              <w:right w:val="single" w:sz="4" w:space="0" w:color="auto"/>
            </w:tcBorders>
            <w:shd w:val="clear" w:color="auto" w:fill="auto"/>
            <w:hideMark/>
          </w:tcPr>
          <w:p w14:paraId="1C45EE80" w14:textId="77777777" w:rsidR="00EE21A4" w:rsidRPr="00492583" w:rsidRDefault="00EE21A4" w:rsidP="00EE21A4">
            <w:pPr>
              <w:pStyle w:val="TableTextIndent3-Burden"/>
            </w:pPr>
            <w:r w:rsidRPr="00492583">
              <w:t>Plan demonstrating wet control device HAP destruc</w:t>
            </w:r>
            <w:r>
              <w:t>t</w:t>
            </w:r>
            <w:r w:rsidRPr="00492583">
              <w:t xml:space="preserve">ion </w:t>
            </w:r>
          </w:p>
        </w:tc>
        <w:tc>
          <w:tcPr>
            <w:tcW w:w="1242" w:type="dxa"/>
            <w:tcBorders>
              <w:top w:val="nil"/>
              <w:left w:val="nil"/>
              <w:bottom w:val="single" w:sz="4" w:space="0" w:color="auto"/>
              <w:right w:val="single" w:sz="4" w:space="0" w:color="auto"/>
            </w:tcBorders>
            <w:shd w:val="clear" w:color="auto" w:fill="auto"/>
            <w:vAlign w:val="center"/>
            <w:hideMark/>
          </w:tcPr>
          <w:p w14:paraId="41DB7845" w14:textId="6B17C376" w:rsidR="00EE21A4" w:rsidRPr="00492583" w:rsidRDefault="00EE21A4" w:rsidP="00441D8E">
            <w:pPr>
              <w:pStyle w:val="TableTextRight-Burden"/>
            </w:pPr>
            <w:r>
              <w:t>0.5</w:t>
            </w:r>
          </w:p>
        </w:tc>
        <w:tc>
          <w:tcPr>
            <w:tcW w:w="1243" w:type="dxa"/>
            <w:tcBorders>
              <w:top w:val="nil"/>
              <w:left w:val="nil"/>
              <w:bottom w:val="single" w:sz="4" w:space="0" w:color="auto"/>
              <w:right w:val="single" w:sz="4" w:space="0" w:color="auto"/>
            </w:tcBorders>
            <w:shd w:val="clear" w:color="auto" w:fill="auto"/>
            <w:vAlign w:val="center"/>
            <w:hideMark/>
          </w:tcPr>
          <w:p w14:paraId="1BA1CBC1" w14:textId="09B2713E" w:rsidR="00EE21A4" w:rsidRPr="00492583" w:rsidRDefault="00EE21A4" w:rsidP="00441D8E">
            <w:pPr>
              <w:pStyle w:val="TableTextRight-Burden"/>
            </w:pPr>
            <w:r>
              <w:t>1</w:t>
            </w:r>
          </w:p>
        </w:tc>
        <w:tc>
          <w:tcPr>
            <w:tcW w:w="1242" w:type="dxa"/>
            <w:tcBorders>
              <w:top w:val="nil"/>
              <w:left w:val="nil"/>
              <w:bottom w:val="single" w:sz="4" w:space="0" w:color="auto"/>
              <w:right w:val="single" w:sz="4" w:space="0" w:color="auto"/>
            </w:tcBorders>
            <w:shd w:val="clear" w:color="auto" w:fill="auto"/>
            <w:vAlign w:val="center"/>
            <w:hideMark/>
          </w:tcPr>
          <w:p w14:paraId="2912790A" w14:textId="1DAF163E" w:rsidR="00EE21A4" w:rsidRPr="00492583" w:rsidRDefault="00EE21A4" w:rsidP="00441D8E">
            <w:pPr>
              <w:pStyle w:val="TableTextRight-Burden"/>
            </w:pPr>
            <w:r>
              <w:t>0.5</w:t>
            </w:r>
          </w:p>
        </w:tc>
        <w:tc>
          <w:tcPr>
            <w:tcW w:w="1223" w:type="dxa"/>
            <w:tcBorders>
              <w:top w:val="nil"/>
              <w:left w:val="single" w:sz="4" w:space="0" w:color="auto"/>
              <w:bottom w:val="single" w:sz="4" w:space="0" w:color="auto"/>
              <w:right w:val="single" w:sz="4" w:space="0" w:color="auto"/>
            </w:tcBorders>
            <w:shd w:val="clear" w:color="auto" w:fill="auto"/>
            <w:hideMark/>
          </w:tcPr>
          <w:p w14:paraId="44BA4AE0" w14:textId="65BF21E7" w:rsidR="00EE21A4" w:rsidRPr="004A02C7" w:rsidRDefault="00EE21A4" w:rsidP="00EE21A4">
            <w:pPr>
              <w:pStyle w:val="TableTextRight-Burden"/>
            </w:pPr>
            <w:r w:rsidRPr="00CF3832">
              <w:t>10</w:t>
            </w:r>
          </w:p>
        </w:tc>
        <w:tc>
          <w:tcPr>
            <w:tcW w:w="1350" w:type="dxa"/>
            <w:tcBorders>
              <w:top w:val="nil"/>
              <w:left w:val="nil"/>
              <w:bottom w:val="single" w:sz="4" w:space="0" w:color="auto"/>
              <w:right w:val="single" w:sz="4" w:space="0" w:color="auto"/>
            </w:tcBorders>
            <w:shd w:val="clear" w:color="auto" w:fill="auto"/>
            <w:hideMark/>
          </w:tcPr>
          <w:p w14:paraId="39D74FD6" w14:textId="28E9B553" w:rsidR="00EE21A4" w:rsidRPr="004A02C7" w:rsidRDefault="00EE21A4" w:rsidP="00EE21A4">
            <w:pPr>
              <w:pStyle w:val="TableTextRight-Burden"/>
            </w:pPr>
            <w:r w:rsidRPr="00CF3832">
              <w:t>5</w:t>
            </w:r>
          </w:p>
        </w:tc>
        <w:tc>
          <w:tcPr>
            <w:tcW w:w="1155" w:type="dxa"/>
            <w:tcBorders>
              <w:top w:val="nil"/>
              <w:left w:val="nil"/>
              <w:bottom w:val="single" w:sz="4" w:space="0" w:color="auto"/>
              <w:right w:val="single" w:sz="4" w:space="0" w:color="auto"/>
            </w:tcBorders>
            <w:shd w:val="clear" w:color="auto" w:fill="auto"/>
            <w:hideMark/>
          </w:tcPr>
          <w:p w14:paraId="141EA421" w14:textId="680B12F2" w:rsidR="00EE21A4" w:rsidRPr="004A02C7" w:rsidRDefault="00EE21A4" w:rsidP="00EE21A4">
            <w:pPr>
              <w:pStyle w:val="TableTextRight-Burden"/>
            </w:pPr>
            <w:r w:rsidRPr="00CF3832">
              <w:t>0</w:t>
            </w:r>
          </w:p>
        </w:tc>
        <w:tc>
          <w:tcPr>
            <w:tcW w:w="1243" w:type="dxa"/>
            <w:tcBorders>
              <w:top w:val="nil"/>
              <w:left w:val="nil"/>
              <w:bottom w:val="single" w:sz="4" w:space="0" w:color="auto"/>
              <w:right w:val="single" w:sz="4" w:space="0" w:color="auto"/>
            </w:tcBorders>
            <w:shd w:val="clear" w:color="auto" w:fill="auto"/>
            <w:hideMark/>
          </w:tcPr>
          <w:p w14:paraId="768B423A" w14:textId="13DF8B0B" w:rsidR="00EE21A4" w:rsidRPr="004A02C7" w:rsidRDefault="00EE21A4" w:rsidP="00EE21A4">
            <w:pPr>
              <w:pStyle w:val="TableTextRight-Burden"/>
            </w:pPr>
            <w:r w:rsidRPr="00CF3832">
              <w:t>0.5</w:t>
            </w:r>
          </w:p>
        </w:tc>
        <w:tc>
          <w:tcPr>
            <w:tcW w:w="1243" w:type="dxa"/>
            <w:tcBorders>
              <w:top w:val="nil"/>
              <w:left w:val="nil"/>
              <w:bottom w:val="single" w:sz="4" w:space="0" w:color="auto"/>
              <w:right w:val="single" w:sz="4" w:space="0" w:color="auto"/>
            </w:tcBorders>
            <w:shd w:val="clear" w:color="auto" w:fill="auto"/>
            <w:hideMark/>
          </w:tcPr>
          <w:p w14:paraId="5778ACC5" w14:textId="6B4C5901" w:rsidR="00EE21A4" w:rsidRPr="004A02C7" w:rsidRDefault="00EE21A4" w:rsidP="00EE21A4">
            <w:pPr>
              <w:pStyle w:val="TableTextRight-Burden"/>
            </w:pPr>
            <w:r w:rsidRPr="00CF3832">
              <w:t xml:space="preserve">$406 </w:t>
            </w:r>
          </w:p>
        </w:tc>
      </w:tr>
      <w:tr w:rsidR="00EE21A4" w:rsidRPr="00E9161E" w14:paraId="62B1B3C8" w14:textId="77777777" w:rsidTr="00F55EA2">
        <w:tc>
          <w:tcPr>
            <w:tcW w:w="4675" w:type="dxa"/>
            <w:tcBorders>
              <w:top w:val="nil"/>
              <w:left w:val="single" w:sz="4" w:space="0" w:color="auto"/>
              <w:bottom w:val="single" w:sz="4" w:space="0" w:color="auto"/>
              <w:right w:val="single" w:sz="4" w:space="0" w:color="auto"/>
            </w:tcBorders>
            <w:shd w:val="clear" w:color="auto" w:fill="auto"/>
            <w:vAlign w:val="center"/>
          </w:tcPr>
          <w:p w14:paraId="5EC2DA84" w14:textId="77777777" w:rsidR="00EE21A4" w:rsidRPr="00E9161E" w:rsidRDefault="00EE21A4" w:rsidP="00EE21A4">
            <w:pPr>
              <w:pStyle w:val="TableTextIndent3-Burden"/>
            </w:pPr>
            <w:r w:rsidRPr="00FC473A">
              <w:t>Previous emissions test reports</w:t>
            </w:r>
            <w:r w:rsidRPr="00AB56FD">
              <w:rPr>
                <w:rStyle w:val="Superscript"/>
              </w:rPr>
              <w:t>3</w:t>
            </w:r>
          </w:p>
        </w:tc>
        <w:tc>
          <w:tcPr>
            <w:tcW w:w="1242" w:type="dxa"/>
            <w:tcBorders>
              <w:top w:val="nil"/>
              <w:left w:val="nil"/>
              <w:bottom w:val="single" w:sz="4" w:space="0" w:color="auto"/>
              <w:right w:val="single" w:sz="4" w:space="0" w:color="auto"/>
            </w:tcBorders>
            <w:shd w:val="clear" w:color="auto" w:fill="auto"/>
          </w:tcPr>
          <w:p w14:paraId="7445F1E9" w14:textId="2E8C931A" w:rsidR="00EE21A4" w:rsidRPr="00E9161E" w:rsidRDefault="00EE21A4" w:rsidP="00EE21A4">
            <w:pPr>
              <w:pStyle w:val="TableTextRight-Burden"/>
            </w:pPr>
            <w:r w:rsidRPr="00C415DB">
              <w:t>4</w:t>
            </w:r>
          </w:p>
        </w:tc>
        <w:tc>
          <w:tcPr>
            <w:tcW w:w="1243" w:type="dxa"/>
            <w:tcBorders>
              <w:top w:val="nil"/>
              <w:left w:val="nil"/>
              <w:bottom w:val="single" w:sz="4" w:space="0" w:color="auto"/>
              <w:right w:val="single" w:sz="4" w:space="0" w:color="auto"/>
            </w:tcBorders>
            <w:shd w:val="clear" w:color="auto" w:fill="auto"/>
          </w:tcPr>
          <w:p w14:paraId="3A5E706E" w14:textId="61F41ABE" w:rsidR="00EE21A4" w:rsidRPr="00E9161E" w:rsidRDefault="00EE21A4" w:rsidP="00EE21A4">
            <w:pPr>
              <w:pStyle w:val="TableTextRight-Burden"/>
            </w:pPr>
            <w:r w:rsidRPr="00C415DB">
              <w:t>1</w:t>
            </w:r>
          </w:p>
        </w:tc>
        <w:tc>
          <w:tcPr>
            <w:tcW w:w="1242" w:type="dxa"/>
            <w:tcBorders>
              <w:top w:val="nil"/>
              <w:left w:val="nil"/>
              <w:bottom w:val="single" w:sz="4" w:space="0" w:color="auto"/>
              <w:right w:val="single" w:sz="4" w:space="0" w:color="auto"/>
            </w:tcBorders>
            <w:shd w:val="clear" w:color="auto" w:fill="auto"/>
          </w:tcPr>
          <w:p w14:paraId="540BFE4E" w14:textId="6CB2E41B" w:rsidR="00EE21A4" w:rsidRPr="00E9161E" w:rsidRDefault="00EE21A4" w:rsidP="00EE21A4">
            <w:pPr>
              <w:pStyle w:val="TableTextRight-Burden"/>
            </w:pPr>
            <w:r w:rsidRPr="00C415DB">
              <w:t>4</w:t>
            </w:r>
          </w:p>
        </w:tc>
        <w:tc>
          <w:tcPr>
            <w:tcW w:w="1223" w:type="dxa"/>
            <w:tcBorders>
              <w:top w:val="nil"/>
              <w:left w:val="single" w:sz="4" w:space="0" w:color="auto"/>
              <w:bottom w:val="single" w:sz="4" w:space="0" w:color="auto"/>
              <w:right w:val="single" w:sz="4" w:space="0" w:color="auto"/>
            </w:tcBorders>
            <w:shd w:val="clear" w:color="auto" w:fill="auto"/>
          </w:tcPr>
          <w:p w14:paraId="6B27E813" w14:textId="6371322A" w:rsidR="00EE21A4" w:rsidRPr="004A02C7" w:rsidRDefault="00EE21A4" w:rsidP="00EE21A4">
            <w:pPr>
              <w:pStyle w:val="TableTextRight-Burden"/>
            </w:pPr>
            <w:r w:rsidRPr="00CF3832">
              <w:t>186</w:t>
            </w:r>
          </w:p>
        </w:tc>
        <w:tc>
          <w:tcPr>
            <w:tcW w:w="1350" w:type="dxa"/>
            <w:tcBorders>
              <w:top w:val="nil"/>
              <w:left w:val="nil"/>
              <w:bottom w:val="single" w:sz="4" w:space="0" w:color="auto"/>
              <w:right w:val="single" w:sz="4" w:space="0" w:color="auto"/>
            </w:tcBorders>
            <w:shd w:val="clear" w:color="auto" w:fill="auto"/>
          </w:tcPr>
          <w:p w14:paraId="74FF16C3" w14:textId="3D55B7DB" w:rsidR="00EE21A4" w:rsidRPr="004A02C7" w:rsidRDefault="00EE21A4" w:rsidP="00EE21A4">
            <w:pPr>
              <w:pStyle w:val="TableTextRight-Burden"/>
            </w:pPr>
            <w:r w:rsidRPr="00CF3832">
              <w:t>744</w:t>
            </w:r>
          </w:p>
        </w:tc>
        <w:tc>
          <w:tcPr>
            <w:tcW w:w="1155" w:type="dxa"/>
            <w:tcBorders>
              <w:top w:val="nil"/>
              <w:left w:val="nil"/>
              <w:bottom w:val="single" w:sz="4" w:space="0" w:color="auto"/>
              <w:right w:val="single" w:sz="4" w:space="0" w:color="auto"/>
            </w:tcBorders>
            <w:shd w:val="clear" w:color="auto" w:fill="auto"/>
          </w:tcPr>
          <w:p w14:paraId="79192C66" w14:textId="3C1821BE" w:rsidR="00EE21A4" w:rsidRPr="004A02C7" w:rsidRDefault="00EE21A4" w:rsidP="00EE21A4">
            <w:pPr>
              <w:pStyle w:val="TableTextRight-Burden"/>
            </w:pPr>
            <w:r w:rsidRPr="00CF3832">
              <w:t>37</w:t>
            </w:r>
          </w:p>
        </w:tc>
        <w:tc>
          <w:tcPr>
            <w:tcW w:w="1243" w:type="dxa"/>
            <w:tcBorders>
              <w:top w:val="nil"/>
              <w:left w:val="nil"/>
              <w:bottom w:val="single" w:sz="4" w:space="0" w:color="auto"/>
              <w:right w:val="single" w:sz="4" w:space="0" w:color="auto"/>
            </w:tcBorders>
            <w:shd w:val="clear" w:color="auto" w:fill="auto"/>
          </w:tcPr>
          <w:p w14:paraId="55C9451B" w14:textId="3ABF968B" w:rsidR="00EE21A4" w:rsidRPr="004A02C7" w:rsidRDefault="00EE21A4" w:rsidP="00EE21A4">
            <w:pPr>
              <w:pStyle w:val="TableTextRight-Burden"/>
            </w:pPr>
            <w:r w:rsidRPr="00CF3832">
              <w:t>74.4</w:t>
            </w:r>
          </w:p>
        </w:tc>
        <w:tc>
          <w:tcPr>
            <w:tcW w:w="1243" w:type="dxa"/>
            <w:tcBorders>
              <w:top w:val="nil"/>
              <w:left w:val="nil"/>
              <w:bottom w:val="single" w:sz="4" w:space="0" w:color="auto"/>
              <w:right w:val="single" w:sz="4" w:space="0" w:color="auto"/>
            </w:tcBorders>
            <w:shd w:val="clear" w:color="auto" w:fill="auto"/>
          </w:tcPr>
          <w:p w14:paraId="256D06FC" w14:textId="70778661" w:rsidR="00EE21A4" w:rsidRPr="004A02C7" w:rsidRDefault="00EE21A4" w:rsidP="00EE21A4">
            <w:pPr>
              <w:pStyle w:val="TableTextRight-Burden"/>
            </w:pPr>
            <w:r w:rsidRPr="00CF3832">
              <w:t xml:space="preserve">$60,353 </w:t>
            </w:r>
          </w:p>
        </w:tc>
      </w:tr>
      <w:tr w:rsidR="00107E36" w:rsidRPr="00E9161E" w14:paraId="6DD90D60" w14:textId="77777777" w:rsidTr="00083090">
        <w:tc>
          <w:tcPr>
            <w:tcW w:w="4675" w:type="dxa"/>
            <w:tcBorders>
              <w:top w:val="nil"/>
              <w:left w:val="single" w:sz="4" w:space="0" w:color="auto"/>
              <w:bottom w:val="single" w:sz="4" w:space="0" w:color="auto"/>
              <w:right w:val="single" w:sz="4" w:space="0" w:color="auto"/>
            </w:tcBorders>
            <w:shd w:val="clear" w:color="auto" w:fill="auto"/>
          </w:tcPr>
          <w:p w14:paraId="564AEF60" w14:textId="025BC1D2" w:rsidR="00107E36" w:rsidRPr="00E9161E" w:rsidRDefault="00107E36" w:rsidP="00107E36">
            <w:pPr>
              <w:pStyle w:val="TableTextIndent2-Burden"/>
            </w:pPr>
            <w:r w:rsidRPr="002F469B">
              <w:t>Lumber mills with dry kilns</w:t>
            </w:r>
            <w:r w:rsidRPr="00FC473A" w:rsidDel="00276E10">
              <w:t xml:space="preserve"> </w:t>
            </w:r>
          </w:p>
        </w:tc>
        <w:tc>
          <w:tcPr>
            <w:tcW w:w="1242" w:type="dxa"/>
            <w:tcBorders>
              <w:top w:val="single" w:sz="4" w:space="0" w:color="auto"/>
              <w:left w:val="single" w:sz="4" w:space="0" w:color="auto"/>
              <w:bottom w:val="single" w:sz="4" w:space="0" w:color="auto"/>
              <w:right w:val="single" w:sz="4" w:space="0" w:color="auto"/>
            </w:tcBorders>
            <w:shd w:val="clear" w:color="auto" w:fill="D8D8D8"/>
          </w:tcPr>
          <w:p w14:paraId="13CE090C" w14:textId="1527544F" w:rsidR="00107E36" w:rsidRPr="00E9161E" w:rsidRDefault="00107E36" w:rsidP="00107E36">
            <w:pPr>
              <w:pStyle w:val="TableTextRight-Burden"/>
            </w:pPr>
          </w:p>
        </w:tc>
        <w:tc>
          <w:tcPr>
            <w:tcW w:w="1243" w:type="dxa"/>
            <w:tcBorders>
              <w:top w:val="single" w:sz="4" w:space="0" w:color="auto"/>
              <w:left w:val="nil"/>
              <w:bottom w:val="single" w:sz="4" w:space="0" w:color="auto"/>
              <w:right w:val="single" w:sz="4" w:space="0" w:color="auto"/>
            </w:tcBorders>
            <w:shd w:val="clear" w:color="auto" w:fill="D8D8D8"/>
          </w:tcPr>
          <w:p w14:paraId="623DDCA9" w14:textId="20DA04F7" w:rsidR="00107E36" w:rsidRPr="00E9161E" w:rsidRDefault="00107E36" w:rsidP="00107E36">
            <w:pPr>
              <w:pStyle w:val="TableTextRight-Burden"/>
            </w:pPr>
          </w:p>
        </w:tc>
        <w:tc>
          <w:tcPr>
            <w:tcW w:w="1242" w:type="dxa"/>
            <w:tcBorders>
              <w:top w:val="single" w:sz="4" w:space="0" w:color="auto"/>
              <w:left w:val="nil"/>
              <w:bottom w:val="single" w:sz="4" w:space="0" w:color="auto"/>
              <w:right w:val="single" w:sz="4" w:space="0" w:color="auto"/>
            </w:tcBorders>
            <w:shd w:val="clear" w:color="auto" w:fill="D8D8D8"/>
          </w:tcPr>
          <w:p w14:paraId="7A472E49" w14:textId="66FD2CED" w:rsidR="00107E36" w:rsidRPr="00E9161E" w:rsidRDefault="00107E36" w:rsidP="00107E36">
            <w:pPr>
              <w:pStyle w:val="TableTextRight-Burden"/>
            </w:pPr>
          </w:p>
        </w:tc>
        <w:tc>
          <w:tcPr>
            <w:tcW w:w="1223" w:type="dxa"/>
            <w:tcBorders>
              <w:top w:val="single" w:sz="4" w:space="0" w:color="auto"/>
              <w:left w:val="single" w:sz="4" w:space="0" w:color="auto"/>
              <w:bottom w:val="single" w:sz="4" w:space="0" w:color="auto"/>
              <w:right w:val="single" w:sz="4" w:space="0" w:color="auto"/>
            </w:tcBorders>
            <w:shd w:val="clear" w:color="auto" w:fill="D8D8D8"/>
            <w:vAlign w:val="center"/>
          </w:tcPr>
          <w:p w14:paraId="17C7A022" w14:textId="19B17EF4" w:rsidR="00107E36" w:rsidRPr="004A02C7" w:rsidRDefault="00107E36" w:rsidP="00107E36">
            <w:pPr>
              <w:pStyle w:val="TableTextRight-Burden"/>
            </w:pPr>
          </w:p>
        </w:tc>
        <w:tc>
          <w:tcPr>
            <w:tcW w:w="1350" w:type="dxa"/>
            <w:tcBorders>
              <w:top w:val="single" w:sz="4" w:space="0" w:color="auto"/>
              <w:left w:val="nil"/>
              <w:bottom w:val="single" w:sz="4" w:space="0" w:color="auto"/>
              <w:right w:val="single" w:sz="4" w:space="0" w:color="auto"/>
            </w:tcBorders>
            <w:shd w:val="clear" w:color="auto" w:fill="D8D8D8"/>
            <w:vAlign w:val="center"/>
          </w:tcPr>
          <w:p w14:paraId="6056E455" w14:textId="49601DF9" w:rsidR="00107E36" w:rsidRPr="004A02C7" w:rsidRDefault="00107E36" w:rsidP="00107E36">
            <w:pPr>
              <w:pStyle w:val="TableTextRight-Burden"/>
            </w:pPr>
          </w:p>
        </w:tc>
        <w:tc>
          <w:tcPr>
            <w:tcW w:w="1155" w:type="dxa"/>
            <w:tcBorders>
              <w:top w:val="single" w:sz="4" w:space="0" w:color="auto"/>
              <w:left w:val="nil"/>
              <w:bottom w:val="single" w:sz="4" w:space="0" w:color="auto"/>
              <w:right w:val="single" w:sz="4" w:space="0" w:color="auto"/>
            </w:tcBorders>
            <w:shd w:val="clear" w:color="auto" w:fill="D8D8D8"/>
            <w:vAlign w:val="center"/>
          </w:tcPr>
          <w:p w14:paraId="008282A0" w14:textId="076AB04D" w:rsidR="00107E36" w:rsidRPr="004A02C7" w:rsidRDefault="00107E36" w:rsidP="00107E36">
            <w:pPr>
              <w:pStyle w:val="TableTextRight-Burden"/>
            </w:pPr>
          </w:p>
        </w:tc>
        <w:tc>
          <w:tcPr>
            <w:tcW w:w="1243" w:type="dxa"/>
            <w:tcBorders>
              <w:top w:val="single" w:sz="4" w:space="0" w:color="auto"/>
              <w:left w:val="nil"/>
              <w:bottom w:val="single" w:sz="4" w:space="0" w:color="auto"/>
              <w:right w:val="single" w:sz="4" w:space="0" w:color="auto"/>
            </w:tcBorders>
            <w:shd w:val="clear" w:color="auto" w:fill="D8D8D8"/>
            <w:vAlign w:val="center"/>
          </w:tcPr>
          <w:p w14:paraId="29D9DD43" w14:textId="22FA4175" w:rsidR="00107E36" w:rsidRPr="004A02C7" w:rsidRDefault="00107E36" w:rsidP="00107E36">
            <w:pPr>
              <w:pStyle w:val="TableTextRight-Burden"/>
            </w:pPr>
          </w:p>
        </w:tc>
        <w:tc>
          <w:tcPr>
            <w:tcW w:w="1243" w:type="dxa"/>
            <w:tcBorders>
              <w:top w:val="single" w:sz="4" w:space="0" w:color="auto"/>
              <w:left w:val="nil"/>
              <w:bottom w:val="single" w:sz="4" w:space="0" w:color="auto"/>
              <w:right w:val="single" w:sz="4" w:space="0" w:color="auto"/>
            </w:tcBorders>
            <w:shd w:val="clear" w:color="auto" w:fill="D8D8D8"/>
            <w:vAlign w:val="center"/>
          </w:tcPr>
          <w:p w14:paraId="260A2278" w14:textId="75ADE3EB" w:rsidR="00107E36" w:rsidRPr="004A02C7" w:rsidRDefault="00107E36" w:rsidP="00107E36">
            <w:pPr>
              <w:pStyle w:val="TableTextRight-Burden"/>
            </w:pPr>
          </w:p>
        </w:tc>
      </w:tr>
      <w:tr w:rsidR="00EE21A4" w:rsidRPr="00E9161E" w14:paraId="6FDB884B" w14:textId="77777777" w:rsidTr="00EE21A4">
        <w:tc>
          <w:tcPr>
            <w:tcW w:w="4675" w:type="dxa"/>
            <w:tcBorders>
              <w:top w:val="nil"/>
              <w:left w:val="single" w:sz="4" w:space="0" w:color="auto"/>
              <w:bottom w:val="single" w:sz="4" w:space="0" w:color="auto"/>
              <w:right w:val="single" w:sz="4" w:space="0" w:color="auto"/>
            </w:tcBorders>
            <w:shd w:val="clear" w:color="auto" w:fill="auto"/>
          </w:tcPr>
          <w:p w14:paraId="0872D035" w14:textId="171EFE41" w:rsidR="00EE21A4" w:rsidRPr="00CC4DBE" w:rsidRDefault="00EE21A4" w:rsidP="00EE21A4">
            <w:pPr>
              <w:pStyle w:val="TableTextIndent3-Burden"/>
              <w:rPr>
                <w:rStyle w:val="Bold"/>
                <w:rFonts w:eastAsiaTheme="minorHAnsi" w:cstheme="minorBidi"/>
                <w:sz w:val="24"/>
                <w:szCs w:val="22"/>
              </w:rPr>
            </w:pPr>
            <w:r w:rsidRPr="008C63F5">
              <w:t>Process flow diagrams - kilns only</w:t>
            </w:r>
          </w:p>
        </w:tc>
        <w:tc>
          <w:tcPr>
            <w:tcW w:w="1242" w:type="dxa"/>
            <w:tcBorders>
              <w:top w:val="single" w:sz="4" w:space="0" w:color="auto"/>
              <w:left w:val="nil"/>
              <w:bottom w:val="single" w:sz="4" w:space="0" w:color="auto"/>
              <w:right w:val="single" w:sz="4" w:space="0" w:color="auto"/>
            </w:tcBorders>
            <w:shd w:val="clear" w:color="auto" w:fill="auto"/>
            <w:noWrap/>
          </w:tcPr>
          <w:p w14:paraId="37AA472A" w14:textId="31AE00C7" w:rsidR="00EE21A4" w:rsidRPr="005E555F" w:rsidRDefault="00EE21A4" w:rsidP="00EE21A4">
            <w:pPr>
              <w:pStyle w:val="TableTextRight-Burden"/>
            </w:pPr>
            <w:r w:rsidRPr="009D2D78">
              <w:t>4</w:t>
            </w:r>
          </w:p>
        </w:tc>
        <w:tc>
          <w:tcPr>
            <w:tcW w:w="1243" w:type="dxa"/>
            <w:tcBorders>
              <w:top w:val="single" w:sz="4" w:space="0" w:color="auto"/>
              <w:left w:val="nil"/>
              <w:bottom w:val="single" w:sz="4" w:space="0" w:color="auto"/>
              <w:right w:val="single" w:sz="4" w:space="0" w:color="auto"/>
            </w:tcBorders>
            <w:shd w:val="clear" w:color="auto" w:fill="auto"/>
            <w:noWrap/>
          </w:tcPr>
          <w:p w14:paraId="1A78DBCB" w14:textId="44B2FD4D" w:rsidR="00EE21A4" w:rsidRPr="005E555F" w:rsidRDefault="00EE21A4" w:rsidP="00EE21A4">
            <w:pPr>
              <w:pStyle w:val="TableTextRight-Burden"/>
            </w:pPr>
            <w:r w:rsidRPr="009D2D78">
              <w:t>1</w:t>
            </w:r>
          </w:p>
        </w:tc>
        <w:tc>
          <w:tcPr>
            <w:tcW w:w="1242" w:type="dxa"/>
            <w:tcBorders>
              <w:top w:val="single" w:sz="4" w:space="0" w:color="auto"/>
              <w:left w:val="nil"/>
              <w:bottom w:val="single" w:sz="4" w:space="0" w:color="auto"/>
              <w:right w:val="single" w:sz="4" w:space="0" w:color="auto"/>
            </w:tcBorders>
            <w:shd w:val="clear" w:color="auto" w:fill="auto"/>
          </w:tcPr>
          <w:p w14:paraId="2994C3CE" w14:textId="6BEE8381" w:rsidR="00EE21A4" w:rsidRPr="005E555F" w:rsidRDefault="00EE21A4" w:rsidP="00EE21A4">
            <w:pPr>
              <w:pStyle w:val="TableTextRight-Burden"/>
            </w:pPr>
            <w:r w:rsidRPr="009D2D78">
              <w:t>4</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4B286D22" w14:textId="09388940" w:rsidR="00EE21A4" w:rsidRPr="005E555F" w:rsidRDefault="00EE21A4" w:rsidP="00441D8E">
            <w:pPr>
              <w:pStyle w:val="TableTextRight-Burden"/>
            </w:pPr>
            <w:r>
              <w:t>205</w:t>
            </w:r>
          </w:p>
        </w:tc>
        <w:tc>
          <w:tcPr>
            <w:tcW w:w="1350" w:type="dxa"/>
            <w:tcBorders>
              <w:top w:val="single" w:sz="4" w:space="0" w:color="auto"/>
              <w:left w:val="nil"/>
              <w:bottom w:val="single" w:sz="4" w:space="0" w:color="auto"/>
              <w:right w:val="single" w:sz="4" w:space="0" w:color="auto"/>
            </w:tcBorders>
            <w:shd w:val="clear" w:color="auto" w:fill="auto"/>
            <w:vAlign w:val="center"/>
          </w:tcPr>
          <w:p w14:paraId="68EF8D23" w14:textId="73E5974F" w:rsidR="00EE21A4" w:rsidRPr="00E9161E" w:rsidRDefault="00EE21A4" w:rsidP="00441D8E">
            <w:pPr>
              <w:pStyle w:val="TableTextRight-Burden"/>
            </w:pPr>
            <w:r>
              <w:t>820</w:t>
            </w:r>
          </w:p>
        </w:tc>
        <w:tc>
          <w:tcPr>
            <w:tcW w:w="1155" w:type="dxa"/>
            <w:tcBorders>
              <w:top w:val="single" w:sz="4" w:space="0" w:color="auto"/>
              <w:left w:val="nil"/>
              <w:bottom w:val="single" w:sz="4" w:space="0" w:color="auto"/>
              <w:right w:val="single" w:sz="4" w:space="0" w:color="auto"/>
            </w:tcBorders>
            <w:shd w:val="clear" w:color="auto" w:fill="auto"/>
            <w:vAlign w:val="center"/>
          </w:tcPr>
          <w:p w14:paraId="4906651C" w14:textId="47622E96" w:rsidR="00EE21A4" w:rsidRPr="00E9161E" w:rsidRDefault="00EE21A4" w:rsidP="00441D8E">
            <w:pPr>
              <w:pStyle w:val="TableTextRight-Burden"/>
            </w:pPr>
            <w:r>
              <w:t>41</w:t>
            </w:r>
          </w:p>
        </w:tc>
        <w:tc>
          <w:tcPr>
            <w:tcW w:w="1243" w:type="dxa"/>
            <w:tcBorders>
              <w:top w:val="single" w:sz="4" w:space="0" w:color="auto"/>
              <w:left w:val="nil"/>
              <w:bottom w:val="single" w:sz="4" w:space="0" w:color="auto"/>
              <w:right w:val="single" w:sz="4" w:space="0" w:color="auto"/>
            </w:tcBorders>
            <w:shd w:val="clear" w:color="auto" w:fill="auto"/>
            <w:vAlign w:val="center"/>
          </w:tcPr>
          <w:p w14:paraId="1561C482" w14:textId="0D59A8BD" w:rsidR="00EE21A4" w:rsidRPr="00E9161E" w:rsidRDefault="00EE21A4" w:rsidP="00441D8E">
            <w:pPr>
              <w:pStyle w:val="TableTextRight-Burden"/>
            </w:pPr>
            <w:r>
              <w:t>82</w:t>
            </w:r>
          </w:p>
        </w:tc>
        <w:tc>
          <w:tcPr>
            <w:tcW w:w="1243" w:type="dxa"/>
            <w:tcBorders>
              <w:top w:val="single" w:sz="4" w:space="0" w:color="auto"/>
              <w:left w:val="nil"/>
              <w:bottom w:val="single" w:sz="4" w:space="0" w:color="auto"/>
              <w:right w:val="single" w:sz="4" w:space="0" w:color="auto"/>
            </w:tcBorders>
            <w:shd w:val="clear" w:color="auto" w:fill="auto"/>
            <w:vAlign w:val="center"/>
          </w:tcPr>
          <w:p w14:paraId="62BC60D4" w14:textId="14BA4159" w:rsidR="00EE21A4" w:rsidRDefault="00EE21A4" w:rsidP="00441D8E">
            <w:pPr>
              <w:pStyle w:val="TableTextRight-Burden"/>
              <w:rPr>
                <w:rStyle w:val="Bold"/>
              </w:rPr>
            </w:pPr>
            <w:r>
              <w:t xml:space="preserve">$66,518 </w:t>
            </w:r>
          </w:p>
        </w:tc>
      </w:tr>
      <w:tr w:rsidR="00EE21A4" w:rsidRPr="00E9161E" w14:paraId="0A6A840C" w14:textId="77777777" w:rsidTr="00EE21A4">
        <w:tc>
          <w:tcPr>
            <w:tcW w:w="4675" w:type="dxa"/>
            <w:tcBorders>
              <w:top w:val="nil"/>
              <w:left w:val="single" w:sz="4" w:space="0" w:color="auto"/>
              <w:bottom w:val="single" w:sz="4" w:space="0" w:color="auto"/>
              <w:right w:val="single" w:sz="4" w:space="0" w:color="auto"/>
            </w:tcBorders>
            <w:shd w:val="clear" w:color="auto" w:fill="auto"/>
          </w:tcPr>
          <w:p w14:paraId="3B06F2E2" w14:textId="1B0CBAC3" w:rsidR="00EE21A4" w:rsidRPr="00CC4DBE" w:rsidRDefault="00EE21A4" w:rsidP="00EE21A4">
            <w:pPr>
              <w:pStyle w:val="TableTextIndent3-Burden"/>
              <w:rPr>
                <w:rStyle w:val="Bold"/>
                <w:rFonts w:eastAsiaTheme="minorHAnsi" w:cstheme="minorBidi"/>
                <w:sz w:val="24"/>
                <w:szCs w:val="22"/>
              </w:rPr>
            </w:pPr>
            <w:r w:rsidRPr="008C63F5">
              <w:t>Release point map - kilns only</w:t>
            </w:r>
          </w:p>
        </w:tc>
        <w:tc>
          <w:tcPr>
            <w:tcW w:w="1242" w:type="dxa"/>
            <w:tcBorders>
              <w:top w:val="single" w:sz="4" w:space="0" w:color="auto"/>
              <w:left w:val="nil"/>
              <w:bottom w:val="single" w:sz="4" w:space="0" w:color="auto"/>
              <w:right w:val="single" w:sz="4" w:space="0" w:color="auto"/>
            </w:tcBorders>
            <w:shd w:val="clear" w:color="auto" w:fill="auto"/>
            <w:noWrap/>
          </w:tcPr>
          <w:p w14:paraId="14A0A012" w14:textId="7662764B" w:rsidR="00EE21A4" w:rsidRPr="005E555F" w:rsidRDefault="00EE21A4" w:rsidP="00EE21A4">
            <w:pPr>
              <w:pStyle w:val="TableTextRight-Burden"/>
            </w:pPr>
            <w:r w:rsidRPr="009D2D78">
              <w:t>1</w:t>
            </w:r>
          </w:p>
        </w:tc>
        <w:tc>
          <w:tcPr>
            <w:tcW w:w="1243" w:type="dxa"/>
            <w:tcBorders>
              <w:top w:val="single" w:sz="4" w:space="0" w:color="auto"/>
              <w:left w:val="nil"/>
              <w:bottom w:val="single" w:sz="4" w:space="0" w:color="auto"/>
              <w:right w:val="single" w:sz="4" w:space="0" w:color="auto"/>
            </w:tcBorders>
            <w:shd w:val="clear" w:color="auto" w:fill="auto"/>
            <w:noWrap/>
          </w:tcPr>
          <w:p w14:paraId="71298F74" w14:textId="38D18ED6" w:rsidR="00EE21A4" w:rsidRPr="005E555F" w:rsidRDefault="00EE21A4" w:rsidP="00EE21A4">
            <w:pPr>
              <w:pStyle w:val="TableTextRight-Burden"/>
            </w:pPr>
            <w:r w:rsidRPr="009D2D78">
              <w:t>1</w:t>
            </w:r>
          </w:p>
        </w:tc>
        <w:tc>
          <w:tcPr>
            <w:tcW w:w="1242" w:type="dxa"/>
            <w:tcBorders>
              <w:top w:val="single" w:sz="4" w:space="0" w:color="auto"/>
              <w:left w:val="nil"/>
              <w:bottom w:val="single" w:sz="4" w:space="0" w:color="auto"/>
              <w:right w:val="single" w:sz="4" w:space="0" w:color="auto"/>
            </w:tcBorders>
            <w:shd w:val="clear" w:color="auto" w:fill="auto"/>
          </w:tcPr>
          <w:p w14:paraId="627148D4" w14:textId="66D24409" w:rsidR="00EE21A4" w:rsidRPr="005E555F" w:rsidRDefault="00EE21A4" w:rsidP="00EE21A4">
            <w:pPr>
              <w:pStyle w:val="TableTextRight-Burden"/>
            </w:pPr>
            <w:r w:rsidRPr="009D2D78">
              <w:t>1</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2F03D83D" w14:textId="17091232" w:rsidR="00EE21A4" w:rsidRPr="00441D8E" w:rsidRDefault="00EE21A4" w:rsidP="00441D8E">
            <w:pPr>
              <w:pStyle w:val="TableTextRight-Burden"/>
            </w:pPr>
            <w:r w:rsidRPr="00441D8E">
              <w:t>205</w:t>
            </w:r>
          </w:p>
        </w:tc>
        <w:tc>
          <w:tcPr>
            <w:tcW w:w="1350" w:type="dxa"/>
            <w:tcBorders>
              <w:top w:val="single" w:sz="4" w:space="0" w:color="auto"/>
              <w:left w:val="nil"/>
              <w:bottom w:val="single" w:sz="4" w:space="0" w:color="auto"/>
              <w:right w:val="single" w:sz="4" w:space="0" w:color="auto"/>
            </w:tcBorders>
            <w:shd w:val="clear" w:color="auto" w:fill="auto"/>
            <w:vAlign w:val="center"/>
          </w:tcPr>
          <w:p w14:paraId="418B733A" w14:textId="2777F0C3" w:rsidR="00EE21A4" w:rsidRPr="00441D8E" w:rsidRDefault="00EE21A4" w:rsidP="00441D8E">
            <w:pPr>
              <w:pStyle w:val="TableTextRight-Burden"/>
            </w:pPr>
            <w:r w:rsidRPr="00441D8E">
              <w:t>205</w:t>
            </w:r>
          </w:p>
        </w:tc>
        <w:tc>
          <w:tcPr>
            <w:tcW w:w="1155" w:type="dxa"/>
            <w:tcBorders>
              <w:top w:val="single" w:sz="4" w:space="0" w:color="auto"/>
              <w:left w:val="nil"/>
              <w:bottom w:val="single" w:sz="4" w:space="0" w:color="auto"/>
              <w:right w:val="single" w:sz="4" w:space="0" w:color="auto"/>
            </w:tcBorders>
            <w:shd w:val="clear" w:color="auto" w:fill="auto"/>
            <w:vAlign w:val="center"/>
          </w:tcPr>
          <w:p w14:paraId="1DD05476" w14:textId="4C387B47" w:rsidR="00EE21A4" w:rsidRPr="00441D8E" w:rsidRDefault="00EE21A4" w:rsidP="00441D8E">
            <w:pPr>
              <w:pStyle w:val="TableTextRight-Burden"/>
            </w:pPr>
            <w:r w:rsidRPr="00441D8E">
              <w:t>10</w:t>
            </w:r>
          </w:p>
        </w:tc>
        <w:tc>
          <w:tcPr>
            <w:tcW w:w="1243" w:type="dxa"/>
            <w:tcBorders>
              <w:top w:val="single" w:sz="4" w:space="0" w:color="auto"/>
              <w:left w:val="nil"/>
              <w:bottom w:val="single" w:sz="4" w:space="0" w:color="auto"/>
              <w:right w:val="single" w:sz="4" w:space="0" w:color="auto"/>
            </w:tcBorders>
            <w:shd w:val="clear" w:color="auto" w:fill="auto"/>
            <w:vAlign w:val="center"/>
          </w:tcPr>
          <w:p w14:paraId="5C44E4EB" w14:textId="40462A4F" w:rsidR="00EE21A4" w:rsidRPr="00441D8E" w:rsidRDefault="00EE21A4" w:rsidP="00441D8E">
            <w:pPr>
              <w:pStyle w:val="TableTextRight-Burden"/>
            </w:pPr>
            <w:r w:rsidRPr="00441D8E">
              <w:t>20.5</w:t>
            </w:r>
          </w:p>
        </w:tc>
        <w:tc>
          <w:tcPr>
            <w:tcW w:w="1243" w:type="dxa"/>
            <w:tcBorders>
              <w:top w:val="single" w:sz="4" w:space="0" w:color="auto"/>
              <w:left w:val="nil"/>
              <w:bottom w:val="single" w:sz="4" w:space="0" w:color="auto"/>
              <w:right w:val="single" w:sz="4" w:space="0" w:color="auto"/>
            </w:tcBorders>
            <w:shd w:val="clear" w:color="auto" w:fill="auto"/>
            <w:vAlign w:val="center"/>
          </w:tcPr>
          <w:p w14:paraId="5A0EF219" w14:textId="34756AC9" w:rsidR="00EE21A4" w:rsidRPr="00441D8E" w:rsidRDefault="00EE21A4" w:rsidP="00441D8E">
            <w:pPr>
              <w:pStyle w:val="TableTextRight-Burden"/>
              <w:rPr>
                <w:rStyle w:val="Bold"/>
                <w:b w:val="0"/>
              </w:rPr>
            </w:pPr>
            <w:r w:rsidRPr="00441D8E">
              <w:t xml:space="preserve">$16,630 </w:t>
            </w:r>
          </w:p>
        </w:tc>
      </w:tr>
      <w:tr w:rsidR="00EE21A4" w:rsidRPr="00E9161E" w14:paraId="7435200B" w14:textId="77777777" w:rsidTr="00EE21A4">
        <w:tc>
          <w:tcPr>
            <w:tcW w:w="4675" w:type="dxa"/>
            <w:tcBorders>
              <w:top w:val="nil"/>
              <w:left w:val="single" w:sz="4" w:space="0" w:color="auto"/>
              <w:bottom w:val="single" w:sz="4" w:space="0" w:color="auto"/>
              <w:right w:val="single" w:sz="4" w:space="0" w:color="auto"/>
            </w:tcBorders>
            <w:shd w:val="clear" w:color="auto" w:fill="auto"/>
          </w:tcPr>
          <w:p w14:paraId="4373C824" w14:textId="0AA80FE8" w:rsidR="00EE21A4" w:rsidRPr="008C63F5" w:rsidRDefault="00EE21A4" w:rsidP="00EE21A4">
            <w:pPr>
              <w:pStyle w:val="TableTextIndent3-Burden"/>
            </w:pPr>
            <w:r w:rsidRPr="008C63F5">
              <w:t>Electronic copy permit</w:t>
            </w:r>
          </w:p>
        </w:tc>
        <w:tc>
          <w:tcPr>
            <w:tcW w:w="1242" w:type="dxa"/>
            <w:tcBorders>
              <w:top w:val="single" w:sz="4" w:space="0" w:color="auto"/>
              <w:left w:val="nil"/>
              <w:bottom w:val="single" w:sz="4" w:space="0" w:color="auto"/>
              <w:right w:val="single" w:sz="4" w:space="0" w:color="auto"/>
            </w:tcBorders>
            <w:shd w:val="clear" w:color="auto" w:fill="auto"/>
            <w:noWrap/>
          </w:tcPr>
          <w:p w14:paraId="4BD1E87E" w14:textId="2D7B5D17" w:rsidR="00EE21A4" w:rsidRPr="005E555F" w:rsidRDefault="00EE21A4" w:rsidP="00EE21A4">
            <w:pPr>
              <w:pStyle w:val="TableTextRight-Burden"/>
            </w:pPr>
            <w:r w:rsidRPr="009D2D78">
              <w:t>0.5</w:t>
            </w:r>
          </w:p>
        </w:tc>
        <w:tc>
          <w:tcPr>
            <w:tcW w:w="1243" w:type="dxa"/>
            <w:tcBorders>
              <w:top w:val="single" w:sz="4" w:space="0" w:color="auto"/>
              <w:left w:val="nil"/>
              <w:bottom w:val="single" w:sz="4" w:space="0" w:color="auto"/>
              <w:right w:val="single" w:sz="4" w:space="0" w:color="auto"/>
            </w:tcBorders>
            <w:shd w:val="clear" w:color="auto" w:fill="auto"/>
            <w:noWrap/>
          </w:tcPr>
          <w:p w14:paraId="4ED0F454" w14:textId="045D586A" w:rsidR="00EE21A4" w:rsidRPr="005E555F" w:rsidRDefault="00EE21A4" w:rsidP="00EE21A4">
            <w:pPr>
              <w:pStyle w:val="TableTextRight-Burden"/>
            </w:pPr>
            <w:r w:rsidRPr="009D2D78">
              <w:t>1</w:t>
            </w:r>
          </w:p>
        </w:tc>
        <w:tc>
          <w:tcPr>
            <w:tcW w:w="1242" w:type="dxa"/>
            <w:tcBorders>
              <w:top w:val="single" w:sz="4" w:space="0" w:color="auto"/>
              <w:left w:val="nil"/>
              <w:bottom w:val="single" w:sz="4" w:space="0" w:color="auto"/>
              <w:right w:val="single" w:sz="4" w:space="0" w:color="auto"/>
            </w:tcBorders>
            <w:shd w:val="clear" w:color="auto" w:fill="auto"/>
          </w:tcPr>
          <w:p w14:paraId="413A0A17" w14:textId="3125D788" w:rsidR="00EE21A4" w:rsidRPr="005E555F" w:rsidRDefault="00EE21A4" w:rsidP="00EE21A4">
            <w:pPr>
              <w:pStyle w:val="TableTextRight-Burden"/>
            </w:pPr>
            <w:r w:rsidRPr="009D2D78">
              <w:t>0.5</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6AA1EA72" w14:textId="4C7CE497" w:rsidR="00EE21A4" w:rsidRPr="00441D8E" w:rsidRDefault="00EE21A4" w:rsidP="00441D8E">
            <w:pPr>
              <w:pStyle w:val="TableTextRight-Burden"/>
            </w:pPr>
            <w:r w:rsidRPr="00441D8E">
              <w:t>205</w:t>
            </w:r>
          </w:p>
        </w:tc>
        <w:tc>
          <w:tcPr>
            <w:tcW w:w="1350" w:type="dxa"/>
            <w:tcBorders>
              <w:top w:val="single" w:sz="4" w:space="0" w:color="auto"/>
              <w:left w:val="nil"/>
              <w:bottom w:val="single" w:sz="4" w:space="0" w:color="auto"/>
              <w:right w:val="single" w:sz="4" w:space="0" w:color="auto"/>
            </w:tcBorders>
            <w:shd w:val="clear" w:color="auto" w:fill="auto"/>
            <w:vAlign w:val="center"/>
          </w:tcPr>
          <w:p w14:paraId="60AC0C4D" w14:textId="19C6319F" w:rsidR="00EE21A4" w:rsidRPr="00441D8E" w:rsidRDefault="00EE21A4" w:rsidP="00441D8E">
            <w:pPr>
              <w:pStyle w:val="TableTextRight-Burden"/>
            </w:pPr>
            <w:r w:rsidRPr="00441D8E">
              <w:t>103</w:t>
            </w:r>
          </w:p>
        </w:tc>
        <w:tc>
          <w:tcPr>
            <w:tcW w:w="1155" w:type="dxa"/>
            <w:tcBorders>
              <w:top w:val="single" w:sz="4" w:space="0" w:color="auto"/>
              <w:left w:val="nil"/>
              <w:bottom w:val="single" w:sz="4" w:space="0" w:color="auto"/>
              <w:right w:val="single" w:sz="4" w:space="0" w:color="auto"/>
            </w:tcBorders>
            <w:shd w:val="clear" w:color="auto" w:fill="auto"/>
            <w:vAlign w:val="center"/>
          </w:tcPr>
          <w:p w14:paraId="4360CD99" w14:textId="05674936" w:rsidR="00EE21A4" w:rsidRPr="00441D8E" w:rsidRDefault="00EE21A4" w:rsidP="00441D8E">
            <w:pPr>
              <w:pStyle w:val="TableTextRight-Burden"/>
            </w:pPr>
            <w:r w:rsidRPr="00441D8E">
              <w:t>5</w:t>
            </w:r>
          </w:p>
        </w:tc>
        <w:tc>
          <w:tcPr>
            <w:tcW w:w="1243" w:type="dxa"/>
            <w:tcBorders>
              <w:top w:val="single" w:sz="4" w:space="0" w:color="auto"/>
              <w:left w:val="nil"/>
              <w:bottom w:val="single" w:sz="4" w:space="0" w:color="auto"/>
              <w:right w:val="single" w:sz="4" w:space="0" w:color="auto"/>
            </w:tcBorders>
            <w:shd w:val="clear" w:color="auto" w:fill="auto"/>
            <w:vAlign w:val="center"/>
          </w:tcPr>
          <w:p w14:paraId="73BC4870" w14:textId="7B6D5507" w:rsidR="00EE21A4" w:rsidRPr="00441D8E" w:rsidRDefault="00EE21A4" w:rsidP="00441D8E">
            <w:pPr>
              <w:pStyle w:val="TableTextRight-Burden"/>
            </w:pPr>
            <w:r w:rsidRPr="00441D8E">
              <w:t>10.25</w:t>
            </w:r>
          </w:p>
        </w:tc>
        <w:tc>
          <w:tcPr>
            <w:tcW w:w="1243" w:type="dxa"/>
            <w:tcBorders>
              <w:top w:val="single" w:sz="4" w:space="0" w:color="auto"/>
              <w:left w:val="nil"/>
              <w:bottom w:val="single" w:sz="4" w:space="0" w:color="auto"/>
              <w:right w:val="single" w:sz="4" w:space="0" w:color="auto"/>
            </w:tcBorders>
            <w:shd w:val="clear" w:color="auto" w:fill="auto"/>
            <w:vAlign w:val="center"/>
          </w:tcPr>
          <w:p w14:paraId="1933D312" w14:textId="11510261" w:rsidR="00EE21A4" w:rsidRPr="00441D8E" w:rsidRDefault="00EE21A4" w:rsidP="00441D8E">
            <w:pPr>
              <w:pStyle w:val="TableTextRight-Burden"/>
              <w:rPr>
                <w:rStyle w:val="Bold"/>
                <w:b w:val="0"/>
              </w:rPr>
            </w:pPr>
            <w:r w:rsidRPr="00441D8E">
              <w:t xml:space="preserve">$8,315 </w:t>
            </w:r>
          </w:p>
        </w:tc>
      </w:tr>
      <w:tr w:rsidR="00EE21A4" w:rsidRPr="00E9161E" w14:paraId="1BA4CF1F" w14:textId="77777777" w:rsidTr="00EE21A4">
        <w:tc>
          <w:tcPr>
            <w:tcW w:w="4675" w:type="dxa"/>
            <w:tcBorders>
              <w:top w:val="nil"/>
              <w:left w:val="single" w:sz="4" w:space="0" w:color="auto"/>
              <w:bottom w:val="single" w:sz="4" w:space="0" w:color="auto"/>
              <w:right w:val="single" w:sz="4" w:space="0" w:color="auto"/>
            </w:tcBorders>
            <w:shd w:val="clear" w:color="auto" w:fill="auto"/>
          </w:tcPr>
          <w:p w14:paraId="03B67BFD" w14:textId="68E2E3FC" w:rsidR="00EE21A4" w:rsidRPr="00CC4DBE" w:rsidRDefault="00EE21A4" w:rsidP="00EE21A4">
            <w:pPr>
              <w:pStyle w:val="TableTextIndent3-Burden"/>
              <w:rPr>
                <w:rStyle w:val="Bold"/>
                <w:rFonts w:eastAsiaTheme="minorHAnsi" w:cstheme="minorBidi"/>
                <w:sz w:val="24"/>
                <w:szCs w:val="22"/>
              </w:rPr>
            </w:pPr>
            <w:r w:rsidRPr="002375B9">
              <w:t>Lumber dry kiln schedules</w:t>
            </w:r>
          </w:p>
        </w:tc>
        <w:tc>
          <w:tcPr>
            <w:tcW w:w="1242" w:type="dxa"/>
            <w:tcBorders>
              <w:top w:val="single" w:sz="4" w:space="0" w:color="auto"/>
              <w:left w:val="nil"/>
              <w:bottom w:val="single" w:sz="4" w:space="0" w:color="auto"/>
              <w:right w:val="single" w:sz="4" w:space="0" w:color="auto"/>
            </w:tcBorders>
            <w:shd w:val="clear" w:color="auto" w:fill="auto"/>
            <w:noWrap/>
          </w:tcPr>
          <w:p w14:paraId="0ABF3D67" w14:textId="1E0334B7" w:rsidR="00EE21A4" w:rsidRPr="005E555F" w:rsidRDefault="00EE21A4" w:rsidP="00EE21A4">
            <w:pPr>
              <w:pStyle w:val="TableTextRight-Burden"/>
            </w:pPr>
            <w:r w:rsidRPr="009D2D78">
              <w:t>2</w:t>
            </w:r>
          </w:p>
        </w:tc>
        <w:tc>
          <w:tcPr>
            <w:tcW w:w="1243" w:type="dxa"/>
            <w:tcBorders>
              <w:top w:val="single" w:sz="4" w:space="0" w:color="auto"/>
              <w:left w:val="nil"/>
              <w:bottom w:val="single" w:sz="4" w:space="0" w:color="auto"/>
              <w:right w:val="single" w:sz="4" w:space="0" w:color="auto"/>
            </w:tcBorders>
            <w:shd w:val="clear" w:color="auto" w:fill="auto"/>
            <w:noWrap/>
          </w:tcPr>
          <w:p w14:paraId="65A35D80" w14:textId="27076286" w:rsidR="00EE21A4" w:rsidRPr="005E555F" w:rsidRDefault="00EE21A4" w:rsidP="00EE21A4">
            <w:pPr>
              <w:pStyle w:val="TableTextRight-Burden"/>
            </w:pPr>
            <w:r w:rsidRPr="009D2D78">
              <w:t>1</w:t>
            </w:r>
          </w:p>
        </w:tc>
        <w:tc>
          <w:tcPr>
            <w:tcW w:w="1242" w:type="dxa"/>
            <w:tcBorders>
              <w:top w:val="single" w:sz="4" w:space="0" w:color="auto"/>
              <w:left w:val="nil"/>
              <w:bottom w:val="single" w:sz="4" w:space="0" w:color="auto"/>
              <w:right w:val="single" w:sz="4" w:space="0" w:color="auto"/>
            </w:tcBorders>
            <w:shd w:val="clear" w:color="auto" w:fill="auto"/>
          </w:tcPr>
          <w:p w14:paraId="4746E379" w14:textId="0BD6D2EE" w:rsidR="00EE21A4" w:rsidRPr="005E555F" w:rsidRDefault="00EE21A4" w:rsidP="00EE21A4">
            <w:pPr>
              <w:pStyle w:val="TableTextRight-Burden"/>
            </w:pPr>
            <w:r w:rsidRPr="009D2D78">
              <w:t>2</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059168FC" w14:textId="62744E63" w:rsidR="00EE21A4" w:rsidRPr="00441D8E" w:rsidRDefault="00EE21A4" w:rsidP="00441D8E">
            <w:pPr>
              <w:pStyle w:val="TableTextRight-Burden"/>
            </w:pPr>
            <w:r w:rsidRPr="00441D8E">
              <w:t>205</w:t>
            </w:r>
          </w:p>
        </w:tc>
        <w:tc>
          <w:tcPr>
            <w:tcW w:w="1350" w:type="dxa"/>
            <w:tcBorders>
              <w:top w:val="single" w:sz="4" w:space="0" w:color="auto"/>
              <w:left w:val="nil"/>
              <w:bottom w:val="single" w:sz="4" w:space="0" w:color="auto"/>
              <w:right w:val="single" w:sz="4" w:space="0" w:color="auto"/>
            </w:tcBorders>
            <w:shd w:val="clear" w:color="auto" w:fill="auto"/>
            <w:vAlign w:val="center"/>
          </w:tcPr>
          <w:p w14:paraId="36753EB9" w14:textId="6DE4B874" w:rsidR="00EE21A4" w:rsidRPr="00441D8E" w:rsidRDefault="00EE21A4" w:rsidP="00441D8E">
            <w:pPr>
              <w:pStyle w:val="TableTextRight-Burden"/>
            </w:pPr>
            <w:r w:rsidRPr="00441D8E">
              <w:t>410</w:t>
            </w:r>
          </w:p>
        </w:tc>
        <w:tc>
          <w:tcPr>
            <w:tcW w:w="1155" w:type="dxa"/>
            <w:tcBorders>
              <w:top w:val="single" w:sz="4" w:space="0" w:color="auto"/>
              <w:left w:val="nil"/>
              <w:bottom w:val="single" w:sz="4" w:space="0" w:color="auto"/>
              <w:right w:val="single" w:sz="4" w:space="0" w:color="auto"/>
            </w:tcBorders>
            <w:shd w:val="clear" w:color="auto" w:fill="auto"/>
            <w:vAlign w:val="center"/>
          </w:tcPr>
          <w:p w14:paraId="4AF41B5E" w14:textId="610E36E4" w:rsidR="00EE21A4" w:rsidRPr="00441D8E" w:rsidRDefault="00EE21A4" w:rsidP="00441D8E">
            <w:pPr>
              <w:pStyle w:val="TableTextRight-Burden"/>
            </w:pPr>
            <w:r w:rsidRPr="00441D8E">
              <w:t>21</w:t>
            </w:r>
          </w:p>
        </w:tc>
        <w:tc>
          <w:tcPr>
            <w:tcW w:w="1243" w:type="dxa"/>
            <w:tcBorders>
              <w:top w:val="single" w:sz="4" w:space="0" w:color="auto"/>
              <w:left w:val="nil"/>
              <w:bottom w:val="single" w:sz="4" w:space="0" w:color="auto"/>
              <w:right w:val="single" w:sz="4" w:space="0" w:color="auto"/>
            </w:tcBorders>
            <w:shd w:val="clear" w:color="auto" w:fill="auto"/>
            <w:vAlign w:val="center"/>
          </w:tcPr>
          <w:p w14:paraId="11CACF06" w14:textId="741831ED" w:rsidR="00EE21A4" w:rsidRPr="00441D8E" w:rsidRDefault="00EE21A4" w:rsidP="00441D8E">
            <w:pPr>
              <w:pStyle w:val="TableTextRight-Burden"/>
            </w:pPr>
            <w:r w:rsidRPr="00441D8E">
              <w:t>41</w:t>
            </w:r>
          </w:p>
        </w:tc>
        <w:tc>
          <w:tcPr>
            <w:tcW w:w="1243" w:type="dxa"/>
            <w:tcBorders>
              <w:top w:val="single" w:sz="4" w:space="0" w:color="auto"/>
              <w:left w:val="nil"/>
              <w:bottom w:val="single" w:sz="4" w:space="0" w:color="auto"/>
              <w:right w:val="single" w:sz="4" w:space="0" w:color="auto"/>
            </w:tcBorders>
            <w:shd w:val="clear" w:color="auto" w:fill="auto"/>
            <w:vAlign w:val="center"/>
          </w:tcPr>
          <w:p w14:paraId="2C74E5E8" w14:textId="3EA7694F" w:rsidR="00EE21A4" w:rsidRPr="00441D8E" w:rsidRDefault="00EE21A4" w:rsidP="00441D8E">
            <w:pPr>
              <w:pStyle w:val="TableTextRight-Burden"/>
              <w:rPr>
                <w:rStyle w:val="Bold"/>
                <w:b w:val="0"/>
              </w:rPr>
            </w:pPr>
            <w:r w:rsidRPr="00441D8E">
              <w:t xml:space="preserve">$33,259 </w:t>
            </w:r>
          </w:p>
        </w:tc>
      </w:tr>
      <w:tr w:rsidR="00EE21A4" w:rsidRPr="00E9161E" w14:paraId="65B7F4C1" w14:textId="77777777" w:rsidTr="00EE21A4">
        <w:tc>
          <w:tcPr>
            <w:tcW w:w="4675" w:type="dxa"/>
            <w:tcBorders>
              <w:top w:val="nil"/>
              <w:left w:val="single" w:sz="4" w:space="0" w:color="auto"/>
              <w:bottom w:val="single" w:sz="4" w:space="0" w:color="auto"/>
              <w:right w:val="single" w:sz="4" w:space="0" w:color="auto"/>
            </w:tcBorders>
            <w:shd w:val="clear" w:color="auto" w:fill="auto"/>
            <w:hideMark/>
          </w:tcPr>
          <w:p w14:paraId="3AE311C6" w14:textId="2B0D93FA" w:rsidR="00EE21A4" w:rsidRPr="00CC4DBE" w:rsidRDefault="00EE21A4" w:rsidP="00EE21A4">
            <w:pPr>
              <w:pStyle w:val="TableTextIndent3-Burden"/>
              <w:rPr>
                <w:rStyle w:val="Bold"/>
                <w:rFonts w:eastAsiaTheme="minorHAnsi" w:cstheme="minorBidi"/>
                <w:sz w:val="24"/>
                <w:szCs w:val="22"/>
              </w:rPr>
            </w:pPr>
            <w:r w:rsidRPr="002375B9">
              <w:t>Previous emissions test reports</w:t>
            </w:r>
            <w:r w:rsidRPr="00C607D3">
              <w:rPr>
                <w:rStyle w:val="Superscript"/>
              </w:rPr>
              <w:t>3</w:t>
            </w:r>
          </w:p>
        </w:tc>
        <w:tc>
          <w:tcPr>
            <w:tcW w:w="1242" w:type="dxa"/>
            <w:tcBorders>
              <w:top w:val="single" w:sz="4" w:space="0" w:color="auto"/>
              <w:left w:val="nil"/>
              <w:bottom w:val="single" w:sz="4" w:space="0" w:color="auto"/>
              <w:right w:val="single" w:sz="4" w:space="0" w:color="auto"/>
            </w:tcBorders>
            <w:shd w:val="clear" w:color="auto" w:fill="auto"/>
            <w:noWrap/>
          </w:tcPr>
          <w:p w14:paraId="342DBEC2" w14:textId="3B1D7B7A" w:rsidR="00EE21A4" w:rsidRPr="005E555F" w:rsidRDefault="00EE21A4" w:rsidP="00EE21A4">
            <w:pPr>
              <w:pStyle w:val="TableTextRight-Burden"/>
            </w:pPr>
            <w:r w:rsidRPr="00586816">
              <w:t>1</w:t>
            </w:r>
          </w:p>
        </w:tc>
        <w:tc>
          <w:tcPr>
            <w:tcW w:w="1243" w:type="dxa"/>
            <w:tcBorders>
              <w:top w:val="single" w:sz="4" w:space="0" w:color="auto"/>
              <w:left w:val="nil"/>
              <w:bottom w:val="single" w:sz="4" w:space="0" w:color="auto"/>
              <w:right w:val="single" w:sz="4" w:space="0" w:color="auto"/>
            </w:tcBorders>
            <w:shd w:val="clear" w:color="auto" w:fill="auto"/>
            <w:noWrap/>
          </w:tcPr>
          <w:p w14:paraId="59FBEC8B" w14:textId="7516D859" w:rsidR="00EE21A4" w:rsidRPr="005E555F" w:rsidRDefault="00EE21A4" w:rsidP="00EE21A4">
            <w:pPr>
              <w:pStyle w:val="TableTextRight-Burden"/>
            </w:pPr>
            <w:r w:rsidRPr="00586816">
              <w:t>1</w:t>
            </w:r>
          </w:p>
        </w:tc>
        <w:tc>
          <w:tcPr>
            <w:tcW w:w="1242" w:type="dxa"/>
            <w:tcBorders>
              <w:top w:val="single" w:sz="4" w:space="0" w:color="auto"/>
              <w:left w:val="nil"/>
              <w:bottom w:val="single" w:sz="4" w:space="0" w:color="auto"/>
              <w:right w:val="single" w:sz="4" w:space="0" w:color="auto"/>
            </w:tcBorders>
            <w:shd w:val="clear" w:color="auto" w:fill="auto"/>
          </w:tcPr>
          <w:p w14:paraId="30AE890F" w14:textId="0876D728" w:rsidR="00EE21A4" w:rsidRPr="005E555F" w:rsidRDefault="00EE21A4" w:rsidP="00EE21A4">
            <w:pPr>
              <w:pStyle w:val="TableTextRight-Burden"/>
            </w:pPr>
            <w:r w:rsidRPr="00586816">
              <w:t>1</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32CCC1E4" w14:textId="3F9170E6" w:rsidR="00EE21A4" w:rsidRPr="00441D8E" w:rsidRDefault="00EE21A4" w:rsidP="00441D8E">
            <w:pPr>
              <w:pStyle w:val="TableTextRight-Burden"/>
            </w:pPr>
            <w:r w:rsidRPr="00441D8E">
              <w:t>10</w:t>
            </w:r>
          </w:p>
        </w:tc>
        <w:tc>
          <w:tcPr>
            <w:tcW w:w="1350" w:type="dxa"/>
            <w:tcBorders>
              <w:top w:val="single" w:sz="4" w:space="0" w:color="auto"/>
              <w:left w:val="nil"/>
              <w:bottom w:val="single" w:sz="4" w:space="0" w:color="auto"/>
              <w:right w:val="single" w:sz="4" w:space="0" w:color="auto"/>
            </w:tcBorders>
            <w:shd w:val="clear" w:color="auto" w:fill="auto"/>
            <w:vAlign w:val="center"/>
          </w:tcPr>
          <w:p w14:paraId="74371F91" w14:textId="58E8C03C" w:rsidR="00EE21A4" w:rsidRPr="00441D8E" w:rsidRDefault="00EE21A4" w:rsidP="00441D8E">
            <w:pPr>
              <w:pStyle w:val="TableTextRight-Burden"/>
            </w:pPr>
            <w:r w:rsidRPr="00441D8E">
              <w:t>10</w:t>
            </w:r>
          </w:p>
        </w:tc>
        <w:tc>
          <w:tcPr>
            <w:tcW w:w="1155" w:type="dxa"/>
            <w:tcBorders>
              <w:top w:val="single" w:sz="4" w:space="0" w:color="auto"/>
              <w:left w:val="nil"/>
              <w:bottom w:val="single" w:sz="4" w:space="0" w:color="auto"/>
              <w:right w:val="single" w:sz="4" w:space="0" w:color="auto"/>
            </w:tcBorders>
            <w:shd w:val="clear" w:color="auto" w:fill="auto"/>
            <w:vAlign w:val="center"/>
          </w:tcPr>
          <w:p w14:paraId="01C2F26B" w14:textId="16742342" w:rsidR="00EE21A4" w:rsidRPr="00441D8E" w:rsidRDefault="00EE21A4" w:rsidP="00441D8E">
            <w:pPr>
              <w:pStyle w:val="TableTextRight-Burden"/>
            </w:pPr>
            <w:r w:rsidRPr="00441D8E">
              <w:t>1</w:t>
            </w:r>
          </w:p>
        </w:tc>
        <w:tc>
          <w:tcPr>
            <w:tcW w:w="1243" w:type="dxa"/>
            <w:tcBorders>
              <w:top w:val="single" w:sz="4" w:space="0" w:color="auto"/>
              <w:left w:val="nil"/>
              <w:bottom w:val="single" w:sz="4" w:space="0" w:color="auto"/>
              <w:right w:val="single" w:sz="4" w:space="0" w:color="auto"/>
            </w:tcBorders>
            <w:shd w:val="clear" w:color="auto" w:fill="auto"/>
            <w:vAlign w:val="center"/>
          </w:tcPr>
          <w:p w14:paraId="2EDAA659" w14:textId="49DD3D23" w:rsidR="00EE21A4" w:rsidRPr="00441D8E" w:rsidRDefault="00EE21A4" w:rsidP="00441D8E">
            <w:pPr>
              <w:pStyle w:val="TableTextRight-Burden"/>
            </w:pPr>
            <w:r w:rsidRPr="00441D8E">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14:paraId="152C7602" w14:textId="7AA92333" w:rsidR="00EE21A4" w:rsidRPr="00C607D3" w:rsidRDefault="00EE21A4" w:rsidP="00441D8E">
            <w:pPr>
              <w:pStyle w:val="TableTextRight-Burden"/>
              <w:rPr>
                <w:rStyle w:val="Bold"/>
                <w:b w:val="0"/>
              </w:rPr>
            </w:pPr>
            <w:r>
              <w:t xml:space="preserve">$811 </w:t>
            </w:r>
          </w:p>
        </w:tc>
      </w:tr>
      <w:tr w:rsidR="00107E36" w:rsidRPr="00E9161E" w14:paraId="55D1116B" w14:textId="77777777" w:rsidTr="00083090">
        <w:tc>
          <w:tcPr>
            <w:tcW w:w="4675" w:type="dxa"/>
            <w:tcBorders>
              <w:top w:val="nil"/>
              <w:left w:val="single" w:sz="4" w:space="0" w:color="auto"/>
              <w:bottom w:val="single" w:sz="4" w:space="0" w:color="auto"/>
              <w:right w:val="single" w:sz="4" w:space="0" w:color="auto"/>
            </w:tcBorders>
            <w:shd w:val="clear" w:color="auto" w:fill="auto"/>
            <w:vAlign w:val="center"/>
            <w:hideMark/>
          </w:tcPr>
          <w:p w14:paraId="5D357BA2" w14:textId="77777777" w:rsidR="00107E36" w:rsidRPr="00E9161E" w:rsidRDefault="00107E36" w:rsidP="00107E36">
            <w:pPr>
              <w:pStyle w:val="TableTextLeft-Burden"/>
            </w:pPr>
            <w:r w:rsidRPr="00E9161E">
              <w:t>C. Create Information (Included in 4B)</w:t>
            </w:r>
          </w:p>
        </w:tc>
        <w:tc>
          <w:tcPr>
            <w:tcW w:w="1242" w:type="dxa"/>
            <w:tcBorders>
              <w:top w:val="nil"/>
              <w:left w:val="nil"/>
              <w:bottom w:val="single" w:sz="4" w:space="0" w:color="auto"/>
              <w:right w:val="single" w:sz="4" w:space="0" w:color="auto"/>
            </w:tcBorders>
            <w:shd w:val="clear" w:color="000000" w:fill="D8D8D8"/>
            <w:vAlign w:val="center"/>
          </w:tcPr>
          <w:p w14:paraId="67D4E8CA" w14:textId="77777777" w:rsidR="00107E36" w:rsidRPr="005E555F" w:rsidRDefault="00107E36" w:rsidP="00107E36">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6DF37FA5" w14:textId="77777777" w:rsidR="00107E36" w:rsidRPr="005E555F" w:rsidRDefault="00107E36" w:rsidP="00107E36">
            <w:pPr>
              <w:pStyle w:val="TableTextRight-Burden"/>
            </w:pPr>
          </w:p>
        </w:tc>
        <w:tc>
          <w:tcPr>
            <w:tcW w:w="1242" w:type="dxa"/>
            <w:tcBorders>
              <w:top w:val="nil"/>
              <w:left w:val="nil"/>
              <w:bottom w:val="single" w:sz="4" w:space="0" w:color="auto"/>
              <w:right w:val="single" w:sz="4" w:space="0" w:color="auto"/>
            </w:tcBorders>
            <w:shd w:val="clear" w:color="000000" w:fill="D8D8D8"/>
            <w:vAlign w:val="center"/>
          </w:tcPr>
          <w:p w14:paraId="3174DD38" w14:textId="77777777" w:rsidR="00107E36" w:rsidRPr="005E555F" w:rsidRDefault="00107E36" w:rsidP="00107E36">
            <w:pPr>
              <w:pStyle w:val="TableTextRight-Burden"/>
            </w:pPr>
          </w:p>
        </w:tc>
        <w:tc>
          <w:tcPr>
            <w:tcW w:w="1223" w:type="dxa"/>
            <w:tcBorders>
              <w:top w:val="nil"/>
              <w:left w:val="nil"/>
              <w:bottom w:val="single" w:sz="4" w:space="0" w:color="auto"/>
              <w:right w:val="single" w:sz="4" w:space="0" w:color="auto"/>
            </w:tcBorders>
            <w:shd w:val="clear" w:color="000000" w:fill="D8D8D8"/>
            <w:vAlign w:val="center"/>
          </w:tcPr>
          <w:p w14:paraId="6B5785FB" w14:textId="77777777" w:rsidR="00107E36" w:rsidRPr="005E555F" w:rsidRDefault="00107E36" w:rsidP="00107E36">
            <w:pPr>
              <w:pStyle w:val="TableTextRight-Burden"/>
            </w:pPr>
          </w:p>
        </w:tc>
        <w:tc>
          <w:tcPr>
            <w:tcW w:w="1350" w:type="dxa"/>
            <w:tcBorders>
              <w:top w:val="nil"/>
              <w:left w:val="nil"/>
              <w:bottom w:val="single" w:sz="4" w:space="0" w:color="auto"/>
              <w:right w:val="single" w:sz="4" w:space="0" w:color="auto"/>
            </w:tcBorders>
            <w:shd w:val="clear" w:color="000000" w:fill="D8D8D8"/>
            <w:vAlign w:val="center"/>
          </w:tcPr>
          <w:p w14:paraId="17BBE9D1" w14:textId="77777777" w:rsidR="00107E36" w:rsidRPr="00AF3EEF" w:rsidRDefault="00107E36" w:rsidP="00107E36">
            <w:pPr>
              <w:pStyle w:val="TableTextRight-Burden"/>
            </w:pPr>
          </w:p>
        </w:tc>
        <w:tc>
          <w:tcPr>
            <w:tcW w:w="1155" w:type="dxa"/>
            <w:tcBorders>
              <w:top w:val="nil"/>
              <w:left w:val="nil"/>
              <w:bottom w:val="single" w:sz="4" w:space="0" w:color="auto"/>
              <w:right w:val="single" w:sz="4" w:space="0" w:color="auto"/>
            </w:tcBorders>
            <w:shd w:val="clear" w:color="000000" w:fill="D8D8D8"/>
            <w:vAlign w:val="center"/>
          </w:tcPr>
          <w:p w14:paraId="1F05C5AE" w14:textId="77777777" w:rsidR="00107E36" w:rsidRPr="00AF3EEF" w:rsidRDefault="00107E36" w:rsidP="00107E36">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3B7D5404" w14:textId="77777777" w:rsidR="00107E36" w:rsidRPr="00AF3EEF" w:rsidRDefault="00107E36" w:rsidP="00107E36">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520CF2F2" w14:textId="77777777" w:rsidR="00107E36" w:rsidRPr="00AF3EEF" w:rsidRDefault="00107E36" w:rsidP="00107E36">
            <w:pPr>
              <w:pStyle w:val="TableTextRight-Burden"/>
            </w:pPr>
          </w:p>
        </w:tc>
      </w:tr>
      <w:tr w:rsidR="00107E36" w:rsidRPr="00E9161E" w14:paraId="4C339CCB" w14:textId="77777777" w:rsidTr="00083090">
        <w:tc>
          <w:tcPr>
            <w:tcW w:w="4675" w:type="dxa"/>
            <w:tcBorders>
              <w:top w:val="nil"/>
              <w:left w:val="single" w:sz="4" w:space="0" w:color="auto"/>
              <w:bottom w:val="single" w:sz="4" w:space="0" w:color="auto"/>
              <w:right w:val="single" w:sz="4" w:space="0" w:color="auto"/>
            </w:tcBorders>
            <w:shd w:val="clear" w:color="auto" w:fill="auto"/>
            <w:vAlign w:val="center"/>
            <w:hideMark/>
          </w:tcPr>
          <w:p w14:paraId="5096181A" w14:textId="77777777" w:rsidR="00107E36" w:rsidRPr="00E9161E" w:rsidRDefault="00107E36" w:rsidP="00107E36">
            <w:pPr>
              <w:pStyle w:val="TableTextLeft-Burden"/>
            </w:pPr>
            <w:r w:rsidRPr="00E9161E">
              <w:t>D. Gather Existing Information (Included in 4B)</w:t>
            </w:r>
          </w:p>
        </w:tc>
        <w:tc>
          <w:tcPr>
            <w:tcW w:w="1242" w:type="dxa"/>
            <w:tcBorders>
              <w:top w:val="nil"/>
              <w:left w:val="nil"/>
              <w:bottom w:val="single" w:sz="4" w:space="0" w:color="auto"/>
              <w:right w:val="single" w:sz="4" w:space="0" w:color="auto"/>
            </w:tcBorders>
            <w:shd w:val="clear" w:color="000000" w:fill="D8D8D8"/>
            <w:vAlign w:val="center"/>
          </w:tcPr>
          <w:p w14:paraId="29277C4E" w14:textId="77777777" w:rsidR="00107E36" w:rsidRPr="005E555F" w:rsidRDefault="00107E36" w:rsidP="00107E36">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6AD89486" w14:textId="77777777" w:rsidR="00107E36" w:rsidRPr="005E555F" w:rsidRDefault="00107E36" w:rsidP="00107E36">
            <w:pPr>
              <w:pStyle w:val="TableTextRight-Burden"/>
            </w:pPr>
          </w:p>
        </w:tc>
        <w:tc>
          <w:tcPr>
            <w:tcW w:w="1242" w:type="dxa"/>
            <w:tcBorders>
              <w:top w:val="nil"/>
              <w:left w:val="nil"/>
              <w:bottom w:val="single" w:sz="4" w:space="0" w:color="auto"/>
              <w:right w:val="single" w:sz="4" w:space="0" w:color="auto"/>
            </w:tcBorders>
            <w:shd w:val="clear" w:color="000000" w:fill="D8D8D8"/>
            <w:vAlign w:val="center"/>
          </w:tcPr>
          <w:p w14:paraId="11C6D0DE" w14:textId="77777777" w:rsidR="00107E36" w:rsidRPr="005E555F" w:rsidRDefault="00107E36" w:rsidP="00107E36">
            <w:pPr>
              <w:pStyle w:val="TableTextRight-Burden"/>
            </w:pPr>
          </w:p>
        </w:tc>
        <w:tc>
          <w:tcPr>
            <w:tcW w:w="1223" w:type="dxa"/>
            <w:tcBorders>
              <w:top w:val="nil"/>
              <w:left w:val="nil"/>
              <w:bottom w:val="single" w:sz="4" w:space="0" w:color="auto"/>
              <w:right w:val="single" w:sz="4" w:space="0" w:color="auto"/>
            </w:tcBorders>
            <w:shd w:val="clear" w:color="000000" w:fill="D8D8D8"/>
            <w:vAlign w:val="center"/>
          </w:tcPr>
          <w:p w14:paraId="1347959D" w14:textId="77777777" w:rsidR="00107E36" w:rsidRPr="005E555F" w:rsidRDefault="00107E36" w:rsidP="00107E36">
            <w:pPr>
              <w:pStyle w:val="TableTextRight-Burden"/>
            </w:pPr>
          </w:p>
        </w:tc>
        <w:tc>
          <w:tcPr>
            <w:tcW w:w="1350" w:type="dxa"/>
            <w:tcBorders>
              <w:top w:val="nil"/>
              <w:left w:val="nil"/>
              <w:bottom w:val="single" w:sz="4" w:space="0" w:color="auto"/>
              <w:right w:val="single" w:sz="4" w:space="0" w:color="auto"/>
            </w:tcBorders>
            <w:shd w:val="clear" w:color="000000" w:fill="D8D8D8"/>
            <w:vAlign w:val="center"/>
          </w:tcPr>
          <w:p w14:paraId="3C436E05" w14:textId="77777777" w:rsidR="00107E36" w:rsidRPr="00AF3EEF" w:rsidRDefault="00107E36" w:rsidP="00107E36">
            <w:pPr>
              <w:pStyle w:val="TableTextRight-Burden"/>
            </w:pPr>
          </w:p>
        </w:tc>
        <w:tc>
          <w:tcPr>
            <w:tcW w:w="1155" w:type="dxa"/>
            <w:tcBorders>
              <w:top w:val="nil"/>
              <w:left w:val="nil"/>
              <w:bottom w:val="single" w:sz="4" w:space="0" w:color="auto"/>
              <w:right w:val="single" w:sz="4" w:space="0" w:color="auto"/>
            </w:tcBorders>
            <w:shd w:val="clear" w:color="000000" w:fill="D8D8D8"/>
            <w:vAlign w:val="center"/>
          </w:tcPr>
          <w:p w14:paraId="01E08253" w14:textId="77777777" w:rsidR="00107E36" w:rsidRPr="00AF3EEF" w:rsidRDefault="00107E36" w:rsidP="00107E36">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1CF448BA" w14:textId="77777777" w:rsidR="00107E36" w:rsidRPr="00AF3EEF" w:rsidRDefault="00107E36" w:rsidP="00107E36">
            <w:pPr>
              <w:pStyle w:val="TableTextRight-Burden"/>
            </w:pPr>
          </w:p>
        </w:tc>
        <w:tc>
          <w:tcPr>
            <w:tcW w:w="1243" w:type="dxa"/>
            <w:tcBorders>
              <w:top w:val="nil"/>
              <w:left w:val="nil"/>
              <w:bottom w:val="single" w:sz="4" w:space="0" w:color="auto"/>
              <w:right w:val="single" w:sz="4" w:space="0" w:color="auto"/>
            </w:tcBorders>
            <w:shd w:val="clear" w:color="000000" w:fill="D8D8D8"/>
            <w:vAlign w:val="center"/>
          </w:tcPr>
          <w:p w14:paraId="6296BF3E" w14:textId="77777777" w:rsidR="00107E36" w:rsidRPr="00AF3EEF" w:rsidRDefault="00107E36" w:rsidP="00107E36">
            <w:pPr>
              <w:pStyle w:val="TableTextRight-Burden"/>
            </w:pPr>
          </w:p>
        </w:tc>
      </w:tr>
      <w:tr w:rsidR="00107E36" w:rsidRPr="00E9161E" w14:paraId="66317D6C" w14:textId="77777777" w:rsidTr="00083090">
        <w:tc>
          <w:tcPr>
            <w:tcW w:w="4675" w:type="dxa"/>
            <w:tcBorders>
              <w:top w:val="nil"/>
              <w:left w:val="single" w:sz="4" w:space="0" w:color="auto"/>
              <w:bottom w:val="single" w:sz="4" w:space="0" w:color="auto"/>
              <w:right w:val="single" w:sz="4" w:space="0" w:color="auto"/>
            </w:tcBorders>
            <w:shd w:val="clear" w:color="auto" w:fill="auto"/>
            <w:noWrap/>
            <w:vAlign w:val="center"/>
            <w:hideMark/>
          </w:tcPr>
          <w:p w14:paraId="7312E778" w14:textId="77777777" w:rsidR="00107E36" w:rsidRPr="00E9161E" w:rsidRDefault="00107E36" w:rsidP="00107E36">
            <w:pPr>
              <w:pStyle w:val="TableTextLeft-Burden"/>
            </w:pPr>
            <w:r w:rsidRPr="00E9161E">
              <w:t>E. Write Report (Not Applicable)</w:t>
            </w:r>
          </w:p>
        </w:tc>
        <w:tc>
          <w:tcPr>
            <w:tcW w:w="1242" w:type="dxa"/>
            <w:tcBorders>
              <w:top w:val="nil"/>
              <w:left w:val="nil"/>
              <w:bottom w:val="single" w:sz="4" w:space="0" w:color="auto"/>
              <w:right w:val="single" w:sz="4" w:space="0" w:color="auto"/>
            </w:tcBorders>
            <w:shd w:val="clear" w:color="000000" w:fill="D8D8D8"/>
            <w:noWrap/>
            <w:vAlign w:val="center"/>
          </w:tcPr>
          <w:p w14:paraId="3746CAA0" w14:textId="77777777" w:rsidR="00107E36" w:rsidRPr="005E555F" w:rsidRDefault="00107E36" w:rsidP="00107E36">
            <w:pPr>
              <w:pStyle w:val="TableTextRight-Burden"/>
            </w:pPr>
          </w:p>
        </w:tc>
        <w:tc>
          <w:tcPr>
            <w:tcW w:w="1243" w:type="dxa"/>
            <w:tcBorders>
              <w:top w:val="nil"/>
              <w:left w:val="nil"/>
              <w:bottom w:val="single" w:sz="4" w:space="0" w:color="auto"/>
              <w:right w:val="single" w:sz="4" w:space="0" w:color="auto"/>
            </w:tcBorders>
            <w:shd w:val="clear" w:color="000000" w:fill="D8D8D8"/>
            <w:noWrap/>
            <w:vAlign w:val="center"/>
          </w:tcPr>
          <w:p w14:paraId="31D8227C" w14:textId="77777777" w:rsidR="00107E36" w:rsidRPr="005E555F" w:rsidRDefault="00107E36" w:rsidP="00107E36">
            <w:pPr>
              <w:pStyle w:val="TableTextRight-Burden"/>
            </w:pPr>
          </w:p>
        </w:tc>
        <w:tc>
          <w:tcPr>
            <w:tcW w:w="1242" w:type="dxa"/>
            <w:tcBorders>
              <w:top w:val="nil"/>
              <w:left w:val="nil"/>
              <w:bottom w:val="single" w:sz="4" w:space="0" w:color="auto"/>
              <w:right w:val="single" w:sz="4" w:space="0" w:color="auto"/>
            </w:tcBorders>
            <w:shd w:val="clear" w:color="000000" w:fill="D8D8D8"/>
            <w:noWrap/>
            <w:vAlign w:val="center"/>
          </w:tcPr>
          <w:p w14:paraId="4BAFB807" w14:textId="77777777" w:rsidR="00107E36" w:rsidRPr="005E555F" w:rsidRDefault="00107E36" w:rsidP="00107E36">
            <w:pPr>
              <w:pStyle w:val="TableTextRight-Burden"/>
            </w:pPr>
          </w:p>
        </w:tc>
        <w:tc>
          <w:tcPr>
            <w:tcW w:w="1223" w:type="dxa"/>
            <w:tcBorders>
              <w:top w:val="nil"/>
              <w:left w:val="nil"/>
              <w:bottom w:val="single" w:sz="4" w:space="0" w:color="auto"/>
              <w:right w:val="single" w:sz="4" w:space="0" w:color="auto"/>
            </w:tcBorders>
            <w:shd w:val="clear" w:color="000000" w:fill="D8D8D8"/>
            <w:noWrap/>
            <w:vAlign w:val="center"/>
          </w:tcPr>
          <w:p w14:paraId="2F33BB3D" w14:textId="77777777" w:rsidR="00107E36" w:rsidRPr="005E555F" w:rsidRDefault="00107E36" w:rsidP="00107E36">
            <w:pPr>
              <w:pStyle w:val="TableTextRight-Burden"/>
            </w:pPr>
          </w:p>
        </w:tc>
        <w:tc>
          <w:tcPr>
            <w:tcW w:w="1350" w:type="dxa"/>
            <w:tcBorders>
              <w:top w:val="nil"/>
              <w:left w:val="nil"/>
              <w:bottom w:val="single" w:sz="4" w:space="0" w:color="auto"/>
              <w:right w:val="single" w:sz="4" w:space="0" w:color="auto"/>
            </w:tcBorders>
            <w:shd w:val="clear" w:color="000000" w:fill="D8D8D8"/>
            <w:noWrap/>
            <w:vAlign w:val="center"/>
          </w:tcPr>
          <w:p w14:paraId="6EA2CCB4" w14:textId="77777777" w:rsidR="00107E36" w:rsidRPr="00AF3EEF" w:rsidRDefault="00107E36" w:rsidP="00107E36">
            <w:pPr>
              <w:pStyle w:val="TableTextRight-Burden"/>
            </w:pPr>
          </w:p>
        </w:tc>
        <w:tc>
          <w:tcPr>
            <w:tcW w:w="1155" w:type="dxa"/>
            <w:tcBorders>
              <w:top w:val="nil"/>
              <w:left w:val="nil"/>
              <w:bottom w:val="single" w:sz="4" w:space="0" w:color="auto"/>
              <w:right w:val="single" w:sz="4" w:space="0" w:color="auto"/>
            </w:tcBorders>
            <w:shd w:val="clear" w:color="000000" w:fill="D8D8D8"/>
            <w:noWrap/>
            <w:vAlign w:val="center"/>
          </w:tcPr>
          <w:p w14:paraId="76940269" w14:textId="77777777" w:rsidR="00107E36" w:rsidRPr="00AF3EEF" w:rsidRDefault="00107E36" w:rsidP="00107E36">
            <w:pPr>
              <w:pStyle w:val="TableTextRight-Burden"/>
            </w:pPr>
          </w:p>
        </w:tc>
        <w:tc>
          <w:tcPr>
            <w:tcW w:w="1243" w:type="dxa"/>
            <w:tcBorders>
              <w:top w:val="nil"/>
              <w:left w:val="nil"/>
              <w:bottom w:val="single" w:sz="4" w:space="0" w:color="auto"/>
              <w:right w:val="single" w:sz="4" w:space="0" w:color="auto"/>
            </w:tcBorders>
            <w:shd w:val="clear" w:color="000000" w:fill="D8D8D8"/>
            <w:noWrap/>
            <w:vAlign w:val="center"/>
          </w:tcPr>
          <w:p w14:paraId="272D5B13" w14:textId="77777777" w:rsidR="00107E36" w:rsidRPr="00AF3EEF" w:rsidRDefault="00107E36" w:rsidP="00107E36">
            <w:pPr>
              <w:pStyle w:val="TableTextRight-Burden"/>
            </w:pPr>
          </w:p>
        </w:tc>
        <w:tc>
          <w:tcPr>
            <w:tcW w:w="1243" w:type="dxa"/>
            <w:tcBorders>
              <w:top w:val="nil"/>
              <w:left w:val="nil"/>
              <w:bottom w:val="single" w:sz="4" w:space="0" w:color="auto"/>
              <w:right w:val="single" w:sz="4" w:space="0" w:color="auto"/>
            </w:tcBorders>
            <w:shd w:val="clear" w:color="000000" w:fill="D8D8D8"/>
            <w:noWrap/>
            <w:vAlign w:val="center"/>
          </w:tcPr>
          <w:p w14:paraId="120BB528" w14:textId="77777777" w:rsidR="00107E36" w:rsidRPr="00AF3EEF" w:rsidRDefault="00107E36" w:rsidP="00107E36">
            <w:pPr>
              <w:pStyle w:val="TableTextRight-Burden"/>
            </w:pPr>
          </w:p>
        </w:tc>
      </w:tr>
      <w:tr w:rsidR="00107E36" w:rsidRPr="00E9161E" w14:paraId="394EDFBB" w14:textId="77777777" w:rsidTr="00083090">
        <w:tc>
          <w:tcPr>
            <w:tcW w:w="4675" w:type="dxa"/>
            <w:tcBorders>
              <w:top w:val="nil"/>
              <w:left w:val="single" w:sz="4" w:space="0" w:color="auto"/>
              <w:bottom w:val="double" w:sz="6" w:space="0" w:color="auto"/>
              <w:right w:val="single" w:sz="4" w:space="0" w:color="auto"/>
            </w:tcBorders>
            <w:shd w:val="clear" w:color="auto" w:fill="auto"/>
            <w:noWrap/>
            <w:vAlign w:val="center"/>
            <w:hideMark/>
          </w:tcPr>
          <w:p w14:paraId="13A5736D" w14:textId="77777777" w:rsidR="00107E36" w:rsidRPr="00E9161E" w:rsidRDefault="00107E36" w:rsidP="00107E36">
            <w:pPr>
              <w:pStyle w:val="TableTextLeft-Burden"/>
            </w:pPr>
            <w:r w:rsidRPr="00E9161E">
              <w:t>5. RECORDKEEPING REQUIREMENTS (Not applicable)</w:t>
            </w:r>
          </w:p>
        </w:tc>
        <w:tc>
          <w:tcPr>
            <w:tcW w:w="1242" w:type="dxa"/>
            <w:tcBorders>
              <w:top w:val="nil"/>
              <w:left w:val="nil"/>
              <w:bottom w:val="double" w:sz="6" w:space="0" w:color="auto"/>
              <w:right w:val="single" w:sz="4" w:space="0" w:color="auto"/>
            </w:tcBorders>
            <w:shd w:val="clear" w:color="000000" w:fill="D8D8D8"/>
            <w:noWrap/>
            <w:vAlign w:val="center"/>
          </w:tcPr>
          <w:p w14:paraId="4D49D23F" w14:textId="77777777" w:rsidR="00107E36" w:rsidRPr="005E555F" w:rsidRDefault="00107E36" w:rsidP="00107E36">
            <w:pPr>
              <w:pStyle w:val="TableTextRight-Burden"/>
            </w:pPr>
          </w:p>
        </w:tc>
        <w:tc>
          <w:tcPr>
            <w:tcW w:w="1243" w:type="dxa"/>
            <w:tcBorders>
              <w:top w:val="nil"/>
              <w:left w:val="nil"/>
              <w:bottom w:val="double" w:sz="6" w:space="0" w:color="auto"/>
              <w:right w:val="single" w:sz="4" w:space="0" w:color="auto"/>
            </w:tcBorders>
            <w:shd w:val="clear" w:color="000000" w:fill="D8D8D8"/>
            <w:noWrap/>
            <w:vAlign w:val="center"/>
          </w:tcPr>
          <w:p w14:paraId="241396D3" w14:textId="77777777" w:rsidR="00107E36" w:rsidRPr="005E555F" w:rsidRDefault="00107E36" w:rsidP="00107E36">
            <w:pPr>
              <w:pStyle w:val="TableTextRight-Burden"/>
            </w:pPr>
          </w:p>
        </w:tc>
        <w:tc>
          <w:tcPr>
            <w:tcW w:w="1242" w:type="dxa"/>
            <w:tcBorders>
              <w:top w:val="nil"/>
              <w:left w:val="nil"/>
              <w:bottom w:val="double" w:sz="6" w:space="0" w:color="auto"/>
              <w:right w:val="single" w:sz="4" w:space="0" w:color="auto"/>
            </w:tcBorders>
            <w:shd w:val="clear" w:color="000000" w:fill="D8D8D8"/>
            <w:noWrap/>
            <w:vAlign w:val="center"/>
          </w:tcPr>
          <w:p w14:paraId="1E8DF1A0" w14:textId="77777777" w:rsidR="00107E36" w:rsidRPr="005E555F" w:rsidRDefault="00107E36" w:rsidP="00107E36">
            <w:pPr>
              <w:pStyle w:val="TableTextRight-Burden"/>
            </w:pPr>
          </w:p>
        </w:tc>
        <w:tc>
          <w:tcPr>
            <w:tcW w:w="1223" w:type="dxa"/>
            <w:tcBorders>
              <w:top w:val="nil"/>
              <w:left w:val="nil"/>
              <w:bottom w:val="double" w:sz="6" w:space="0" w:color="auto"/>
              <w:right w:val="single" w:sz="4" w:space="0" w:color="auto"/>
            </w:tcBorders>
            <w:shd w:val="clear" w:color="000000" w:fill="D8D8D8"/>
            <w:noWrap/>
            <w:vAlign w:val="center"/>
          </w:tcPr>
          <w:p w14:paraId="467B39DA" w14:textId="77777777" w:rsidR="00107E36" w:rsidRPr="005E555F" w:rsidRDefault="00107E36" w:rsidP="00107E36">
            <w:pPr>
              <w:pStyle w:val="TableTextRight-Burden"/>
            </w:pPr>
          </w:p>
        </w:tc>
        <w:tc>
          <w:tcPr>
            <w:tcW w:w="1350" w:type="dxa"/>
            <w:tcBorders>
              <w:top w:val="nil"/>
              <w:left w:val="nil"/>
              <w:bottom w:val="double" w:sz="6" w:space="0" w:color="auto"/>
              <w:right w:val="single" w:sz="4" w:space="0" w:color="auto"/>
            </w:tcBorders>
            <w:shd w:val="clear" w:color="000000" w:fill="D8D8D8"/>
            <w:noWrap/>
            <w:vAlign w:val="center"/>
          </w:tcPr>
          <w:p w14:paraId="006738EA" w14:textId="77777777" w:rsidR="00107E36" w:rsidRPr="00AF3EEF" w:rsidRDefault="00107E36" w:rsidP="00107E36">
            <w:pPr>
              <w:pStyle w:val="TableTextRight-Burden"/>
            </w:pPr>
          </w:p>
        </w:tc>
        <w:tc>
          <w:tcPr>
            <w:tcW w:w="1155" w:type="dxa"/>
            <w:tcBorders>
              <w:top w:val="nil"/>
              <w:left w:val="nil"/>
              <w:bottom w:val="double" w:sz="6" w:space="0" w:color="auto"/>
              <w:right w:val="single" w:sz="4" w:space="0" w:color="auto"/>
            </w:tcBorders>
            <w:shd w:val="clear" w:color="000000" w:fill="D8D8D8"/>
            <w:noWrap/>
            <w:vAlign w:val="center"/>
          </w:tcPr>
          <w:p w14:paraId="12FF1EE2" w14:textId="77777777" w:rsidR="00107E36" w:rsidRPr="00AF3EEF" w:rsidRDefault="00107E36" w:rsidP="00107E36">
            <w:pPr>
              <w:pStyle w:val="TableTextRight-Burden"/>
            </w:pPr>
          </w:p>
        </w:tc>
        <w:tc>
          <w:tcPr>
            <w:tcW w:w="1243" w:type="dxa"/>
            <w:tcBorders>
              <w:top w:val="nil"/>
              <w:left w:val="nil"/>
              <w:bottom w:val="double" w:sz="6" w:space="0" w:color="auto"/>
              <w:right w:val="single" w:sz="4" w:space="0" w:color="auto"/>
            </w:tcBorders>
            <w:shd w:val="clear" w:color="000000" w:fill="D8D8D8"/>
            <w:noWrap/>
            <w:vAlign w:val="center"/>
          </w:tcPr>
          <w:p w14:paraId="60508E95" w14:textId="77777777" w:rsidR="00107E36" w:rsidRPr="00AF3EEF" w:rsidRDefault="00107E36" w:rsidP="00107E36">
            <w:pPr>
              <w:pStyle w:val="TableTextRight-Burden"/>
            </w:pPr>
          </w:p>
        </w:tc>
        <w:tc>
          <w:tcPr>
            <w:tcW w:w="1243" w:type="dxa"/>
            <w:tcBorders>
              <w:top w:val="nil"/>
              <w:left w:val="nil"/>
              <w:bottom w:val="double" w:sz="6" w:space="0" w:color="auto"/>
              <w:right w:val="single" w:sz="4" w:space="0" w:color="auto"/>
            </w:tcBorders>
            <w:shd w:val="clear" w:color="000000" w:fill="D8D8D8"/>
            <w:noWrap/>
            <w:vAlign w:val="center"/>
          </w:tcPr>
          <w:p w14:paraId="0D7AC11B" w14:textId="77777777" w:rsidR="00107E36" w:rsidRPr="00AF3EEF" w:rsidRDefault="00107E36" w:rsidP="00107E36">
            <w:pPr>
              <w:pStyle w:val="TableTextRight-Burden"/>
            </w:pPr>
          </w:p>
        </w:tc>
      </w:tr>
      <w:tr w:rsidR="00EE21A4" w:rsidRPr="00E9161E" w14:paraId="3EA6EE10" w14:textId="77777777" w:rsidTr="00083090">
        <w:tc>
          <w:tcPr>
            <w:tcW w:w="4675" w:type="dxa"/>
            <w:tcBorders>
              <w:top w:val="double" w:sz="6" w:space="0" w:color="auto"/>
              <w:left w:val="single" w:sz="4" w:space="0" w:color="auto"/>
              <w:right w:val="single" w:sz="4" w:space="0" w:color="auto"/>
            </w:tcBorders>
            <w:shd w:val="clear" w:color="auto" w:fill="auto"/>
            <w:noWrap/>
            <w:vAlign w:val="center"/>
            <w:hideMark/>
          </w:tcPr>
          <w:p w14:paraId="21E9E83F" w14:textId="77777777" w:rsidR="00EE21A4" w:rsidRPr="00AF3EEF" w:rsidRDefault="00EE21A4" w:rsidP="00EE21A4">
            <w:pPr>
              <w:pStyle w:val="TableTextLeft-Burden"/>
              <w:keepNext/>
              <w:rPr>
                <w:rStyle w:val="Bold"/>
              </w:rPr>
            </w:pPr>
            <w:r w:rsidRPr="00AF3EEF">
              <w:rPr>
                <w:rStyle w:val="Bold"/>
              </w:rPr>
              <w:t>TOTAL ANNUAL LABOR BURDEN AND COST</w:t>
            </w:r>
          </w:p>
        </w:tc>
        <w:tc>
          <w:tcPr>
            <w:tcW w:w="1242" w:type="dxa"/>
            <w:tcBorders>
              <w:top w:val="double" w:sz="6" w:space="0" w:color="auto"/>
              <w:left w:val="nil"/>
            </w:tcBorders>
            <w:shd w:val="clear" w:color="auto" w:fill="auto"/>
            <w:noWrap/>
            <w:vAlign w:val="center"/>
          </w:tcPr>
          <w:p w14:paraId="257F6E2A" w14:textId="52E82F33" w:rsidR="00EE21A4" w:rsidRPr="005E555F" w:rsidRDefault="00EE21A4" w:rsidP="00EE21A4">
            <w:pPr>
              <w:pStyle w:val="TableTextRight-Burden"/>
            </w:pPr>
          </w:p>
        </w:tc>
        <w:tc>
          <w:tcPr>
            <w:tcW w:w="1243" w:type="dxa"/>
            <w:tcBorders>
              <w:top w:val="double" w:sz="6" w:space="0" w:color="auto"/>
            </w:tcBorders>
            <w:shd w:val="clear" w:color="auto" w:fill="auto"/>
            <w:noWrap/>
            <w:vAlign w:val="center"/>
          </w:tcPr>
          <w:p w14:paraId="24B1FA5B" w14:textId="694338D5" w:rsidR="00EE21A4" w:rsidRPr="005E555F" w:rsidRDefault="00EE21A4" w:rsidP="00EE21A4">
            <w:pPr>
              <w:pStyle w:val="TableTextRight-Burden"/>
            </w:pPr>
          </w:p>
        </w:tc>
        <w:tc>
          <w:tcPr>
            <w:tcW w:w="1242" w:type="dxa"/>
            <w:tcBorders>
              <w:top w:val="double" w:sz="6" w:space="0" w:color="auto"/>
            </w:tcBorders>
            <w:shd w:val="clear" w:color="auto" w:fill="auto"/>
            <w:noWrap/>
            <w:vAlign w:val="center"/>
          </w:tcPr>
          <w:p w14:paraId="5ADE3845" w14:textId="6E4BB3F2" w:rsidR="00EE21A4" w:rsidRPr="005E555F" w:rsidRDefault="00EE21A4" w:rsidP="00EE21A4">
            <w:pPr>
              <w:pStyle w:val="TableTextRight-Burden"/>
            </w:pPr>
          </w:p>
        </w:tc>
        <w:tc>
          <w:tcPr>
            <w:tcW w:w="1223" w:type="dxa"/>
            <w:tcBorders>
              <w:top w:val="double" w:sz="6" w:space="0" w:color="auto"/>
              <w:right w:val="single" w:sz="4" w:space="0" w:color="auto"/>
            </w:tcBorders>
            <w:shd w:val="clear" w:color="auto" w:fill="auto"/>
            <w:noWrap/>
            <w:vAlign w:val="center"/>
          </w:tcPr>
          <w:p w14:paraId="1A218649" w14:textId="28EEDAC6" w:rsidR="00EE21A4" w:rsidRPr="005E555F" w:rsidRDefault="00EE21A4" w:rsidP="00EE21A4">
            <w:pPr>
              <w:pStyle w:val="TableTextRight-Burden"/>
            </w:pPr>
          </w:p>
        </w:tc>
        <w:tc>
          <w:tcPr>
            <w:tcW w:w="1350" w:type="dxa"/>
            <w:tcBorders>
              <w:top w:val="nil"/>
              <w:left w:val="single" w:sz="4" w:space="0" w:color="auto"/>
              <w:bottom w:val="single" w:sz="4" w:space="0" w:color="auto"/>
              <w:right w:val="single" w:sz="4" w:space="0" w:color="auto"/>
            </w:tcBorders>
            <w:shd w:val="clear" w:color="auto" w:fill="auto"/>
            <w:noWrap/>
            <w:hideMark/>
          </w:tcPr>
          <w:p w14:paraId="1329627C" w14:textId="1E53E398" w:rsidR="00EE21A4" w:rsidRDefault="00EE21A4" w:rsidP="00EE21A4">
            <w:pPr>
              <w:pStyle w:val="TableTextRight-Burden"/>
            </w:pPr>
            <w:r w:rsidRPr="00572CDC">
              <w:t xml:space="preserve"> 51,535 </w:t>
            </w:r>
          </w:p>
        </w:tc>
        <w:tc>
          <w:tcPr>
            <w:tcW w:w="1155" w:type="dxa"/>
            <w:tcBorders>
              <w:top w:val="nil"/>
              <w:left w:val="nil"/>
              <w:bottom w:val="single" w:sz="4" w:space="0" w:color="auto"/>
              <w:right w:val="single" w:sz="4" w:space="0" w:color="auto"/>
            </w:tcBorders>
            <w:shd w:val="clear" w:color="auto" w:fill="auto"/>
            <w:noWrap/>
            <w:hideMark/>
          </w:tcPr>
          <w:p w14:paraId="35B3D8DC" w14:textId="594A0C6D" w:rsidR="00EE21A4" w:rsidRDefault="00EE21A4" w:rsidP="00EE21A4">
            <w:pPr>
              <w:pStyle w:val="TableTextRight-Burden"/>
            </w:pPr>
            <w:r w:rsidRPr="00572CDC">
              <w:t xml:space="preserve"> 2,577 </w:t>
            </w:r>
          </w:p>
        </w:tc>
        <w:tc>
          <w:tcPr>
            <w:tcW w:w="1243" w:type="dxa"/>
            <w:tcBorders>
              <w:top w:val="nil"/>
              <w:left w:val="nil"/>
              <w:bottom w:val="single" w:sz="4" w:space="0" w:color="auto"/>
              <w:right w:val="single" w:sz="4" w:space="0" w:color="auto"/>
            </w:tcBorders>
            <w:shd w:val="clear" w:color="auto" w:fill="auto"/>
            <w:noWrap/>
            <w:hideMark/>
          </w:tcPr>
          <w:p w14:paraId="4F933109" w14:textId="057FE48B" w:rsidR="00EE21A4" w:rsidRDefault="00EE21A4" w:rsidP="00EE21A4">
            <w:pPr>
              <w:pStyle w:val="TableTextRight-Burden"/>
            </w:pPr>
            <w:r w:rsidRPr="00572CDC">
              <w:t xml:space="preserve"> 5,153 </w:t>
            </w:r>
          </w:p>
        </w:tc>
        <w:tc>
          <w:tcPr>
            <w:tcW w:w="1243" w:type="dxa"/>
            <w:tcBorders>
              <w:top w:val="nil"/>
              <w:left w:val="nil"/>
              <w:bottom w:val="single" w:sz="4" w:space="0" w:color="auto"/>
              <w:right w:val="single" w:sz="4" w:space="0" w:color="auto"/>
            </w:tcBorders>
            <w:shd w:val="clear" w:color="auto" w:fill="auto"/>
            <w:hideMark/>
          </w:tcPr>
          <w:p w14:paraId="5CCCFA30" w14:textId="353AF666" w:rsidR="00EE21A4" w:rsidRPr="00EE345E" w:rsidRDefault="00EE21A4" w:rsidP="00EE21A4">
            <w:pPr>
              <w:pStyle w:val="TableTextRight-Burden"/>
              <w:rPr>
                <w:rStyle w:val="Bold"/>
              </w:rPr>
            </w:pPr>
            <w:r w:rsidRPr="00F55EA2">
              <w:rPr>
                <w:rStyle w:val="Bold"/>
              </w:rPr>
              <w:t>$4,1</w:t>
            </w:r>
            <w:r>
              <w:rPr>
                <w:rStyle w:val="Bold"/>
              </w:rPr>
              <w:t>80</w:t>
            </w:r>
            <w:r w:rsidRPr="00F55EA2">
              <w:rPr>
                <w:rStyle w:val="Bold"/>
              </w:rPr>
              <w:t>,</w:t>
            </w:r>
            <w:r>
              <w:rPr>
                <w:rStyle w:val="Bold"/>
              </w:rPr>
              <w:t>471</w:t>
            </w:r>
          </w:p>
        </w:tc>
      </w:tr>
      <w:tr w:rsidR="00284090" w:rsidRPr="00E9161E" w14:paraId="6334537B" w14:textId="77777777" w:rsidTr="00F55EA2">
        <w:tc>
          <w:tcPr>
            <w:tcW w:w="4675" w:type="dxa"/>
            <w:tcBorders>
              <w:top w:val="nil"/>
              <w:left w:val="single" w:sz="4" w:space="0" w:color="auto"/>
              <w:right w:val="single" w:sz="4" w:space="0" w:color="auto"/>
            </w:tcBorders>
            <w:shd w:val="clear" w:color="auto" w:fill="auto"/>
            <w:noWrap/>
            <w:vAlign w:val="center"/>
            <w:hideMark/>
          </w:tcPr>
          <w:p w14:paraId="2507A17F" w14:textId="77777777" w:rsidR="00284090" w:rsidRPr="00E9161E" w:rsidRDefault="00284090" w:rsidP="00284090">
            <w:pPr>
              <w:pStyle w:val="TableTextLeft-Burden"/>
              <w:keepNext/>
            </w:pPr>
            <w:r w:rsidRPr="00E9161E">
              <w:t> </w:t>
            </w:r>
          </w:p>
        </w:tc>
        <w:tc>
          <w:tcPr>
            <w:tcW w:w="1242" w:type="dxa"/>
            <w:tcBorders>
              <w:top w:val="nil"/>
              <w:left w:val="nil"/>
            </w:tcBorders>
            <w:shd w:val="clear" w:color="auto" w:fill="auto"/>
            <w:noWrap/>
            <w:vAlign w:val="center"/>
          </w:tcPr>
          <w:p w14:paraId="30CB5C21" w14:textId="6D5F99F9" w:rsidR="00284090" w:rsidRPr="005E555F" w:rsidRDefault="00284090" w:rsidP="00284090">
            <w:pPr>
              <w:pStyle w:val="TableTextRight-Burden"/>
            </w:pPr>
          </w:p>
        </w:tc>
        <w:tc>
          <w:tcPr>
            <w:tcW w:w="1243" w:type="dxa"/>
            <w:tcBorders>
              <w:top w:val="nil"/>
            </w:tcBorders>
            <w:shd w:val="clear" w:color="auto" w:fill="auto"/>
            <w:noWrap/>
            <w:vAlign w:val="center"/>
          </w:tcPr>
          <w:p w14:paraId="049A3369" w14:textId="183CBE5C" w:rsidR="00284090" w:rsidRPr="005E555F" w:rsidRDefault="00284090" w:rsidP="00284090">
            <w:pPr>
              <w:pStyle w:val="TableTextRight-Burden"/>
            </w:pPr>
          </w:p>
        </w:tc>
        <w:tc>
          <w:tcPr>
            <w:tcW w:w="1242" w:type="dxa"/>
            <w:tcBorders>
              <w:top w:val="nil"/>
            </w:tcBorders>
            <w:shd w:val="clear" w:color="auto" w:fill="auto"/>
            <w:noWrap/>
            <w:vAlign w:val="center"/>
          </w:tcPr>
          <w:p w14:paraId="2AB2F952" w14:textId="12711B9B" w:rsidR="00284090" w:rsidRPr="005E555F" w:rsidRDefault="00284090" w:rsidP="00284090">
            <w:pPr>
              <w:pStyle w:val="TableTextRight-Burden"/>
            </w:pPr>
          </w:p>
        </w:tc>
        <w:tc>
          <w:tcPr>
            <w:tcW w:w="1223" w:type="dxa"/>
            <w:tcBorders>
              <w:top w:val="nil"/>
              <w:right w:val="single" w:sz="4" w:space="0" w:color="auto"/>
            </w:tcBorders>
            <w:shd w:val="clear" w:color="auto" w:fill="auto"/>
            <w:noWrap/>
            <w:vAlign w:val="center"/>
          </w:tcPr>
          <w:p w14:paraId="2F137EC7" w14:textId="30679FFB" w:rsidR="00284090" w:rsidRPr="005E555F" w:rsidRDefault="00284090" w:rsidP="00284090">
            <w:pPr>
              <w:pStyle w:val="TableTextRight-Burden"/>
            </w:pPr>
          </w:p>
        </w:tc>
        <w:tc>
          <w:tcPr>
            <w:tcW w:w="1350" w:type="dxa"/>
            <w:tcBorders>
              <w:top w:val="single" w:sz="4" w:space="0" w:color="auto"/>
              <w:left w:val="nil"/>
              <w:bottom w:val="single" w:sz="4" w:space="0" w:color="auto"/>
            </w:tcBorders>
            <w:shd w:val="clear" w:color="auto" w:fill="auto"/>
            <w:noWrap/>
            <w:vAlign w:val="center"/>
            <w:hideMark/>
          </w:tcPr>
          <w:p w14:paraId="19F376C8" w14:textId="77777777" w:rsidR="00284090" w:rsidRPr="00E9161E" w:rsidRDefault="00284090" w:rsidP="00284090">
            <w:pPr>
              <w:pStyle w:val="TableTextRight-Burden"/>
              <w:keepNext/>
            </w:pPr>
            <w:r w:rsidRPr="00E9161E">
              <w:t> </w:t>
            </w:r>
          </w:p>
        </w:tc>
        <w:tc>
          <w:tcPr>
            <w:tcW w:w="1155" w:type="dxa"/>
            <w:tcBorders>
              <w:top w:val="single" w:sz="4" w:space="0" w:color="auto"/>
              <w:bottom w:val="single" w:sz="4" w:space="0" w:color="auto"/>
            </w:tcBorders>
            <w:shd w:val="clear" w:color="auto" w:fill="auto"/>
            <w:noWrap/>
            <w:vAlign w:val="center"/>
            <w:hideMark/>
          </w:tcPr>
          <w:p w14:paraId="2C208C02" w14:textId="77777777" w:rsidR="00284090" w:rsidRPr="00E9161E" w:rsidRDefault="00284090" w:rsidP="00284090">
            <w:pPr>
              <w:pStyle w:val="TableTextLeft-Burden"/>
              <w:keepNext/>
            </w:pPr>
            <w:r w:rsidRPr="00E9161E">
              <w:t xml:space="preserve">Total Labor: </w:t>
            </w:r>
          </w:p>
        </w:tc>
        <w:tc>
          <w:tcPr>
            <w:tcW w:w="1243" w:type="dxa"/>
            <w:tcBorders>
              <w:top w:val="single" w:sz="4" w:space="0" w:color="auto"/>
              <w:bottom w:val="single" w:sz="4" w:space="0" w:color="auto"/>
            </w:tcBorders>
            <w:shd w:val="clear" w:color="auto" w:fill="auto"/>
            <w:noWrap/>
            <w:hideMark/>
          </w:tcPr>
          <w:p w14:paraId="77A7E8CA" w14:textId="7D0BEB19" w:rsidR="00284090" w:rsidRPr="00E9161E" w:rsidRDefault="00284090" w:rsidP="00284090">
            <w:pPr>
              <w:pStyle w:val="TableTextRight-Burden"/>
              <w:keepNext/>
            </w:pPr>
            <w:r w:rsidRPr="00C13B81">
              <w:t xml:space="preserve"> 59,</w:t>
            </w:r>
            <w:r w:rsidR="00EE21A4">
              <w:t>265</w:t>
            </w:r>
            <w:r w:rsidRPr="00C13B81">
              <w:t xml:space="preserve"> </w:t>
            </w:r>
          </w:p>
        </w:tc>
        <w:tc>
          <w:tcPr>
            <w:tcW w:w="1243" w:type="dxa"/>
            <w:tcBorders>
              <w:top w:val="single" w:sz="4" w:space="0" w:color="auto"/>
              <w:bottom w:val="single" w:sz="4" w:space="0" w:color="auto"/>
              <w:right w:val="single" w:sz="4" w:space="0" w:color="auto"/>
            </w:tcBorders>
            <w:shd w:val="clear" w:color="auto" w:fill="auto"/>
            <w:noWrap/>
            <w:hideMark/>
          </w:tcPr>
          <w:p w14:paraId="7F9A72D5" w14:textId="6561E57E" w:rsidR="00284090" w:rsidRPr="00E9161E" w:rsidRDefault="00284090" w:rsidP="00284090">
            <w:pPr>
              <w:pStyle w:val="TableTextRight-Burden"/>
            </w:pPr>
          </w:p>
        </w:tc>
      </w:tr>
      <w:tr w:rsidR="00107E36" w:rsidRPr="00E9161E" w14:paraId="6EADBB9F" w14:textId="77777777" w:rsidTr="00083090">
        <w:tc>
          <w:tcPr>
            <w:tcW w:w="4675" w:type="dxa"/>
            <w:tcBorders>
              <w:top w:val="nil"/>
              <w:left w:val="single" w:sz="4" w:space="0" w:color="auto"/>
              <w:bottom w:val="single" w:sz="4" w:space="0" w:color="auto"/>
              <w:right w:val="single" w:sz="4" w:space="0" w:color="auto"/>
            </w:tcBorders>
            <w:shd w:val="clear" w:color="auto" w:fill="auto"/>
            <w:noWrap/>
            <w:vAlign w:val="center"/>
            <w:hideMark/>
          </w:tcPr>
          <w:p w14:paraId="69738A7F" w14:textId="77777777" w:rsidR="00107E36" w:rsidRPr="00E9161E" w:rsidRDefault="00107E36" w:rsidP="00107E36">
            <w:pPr>
              <w:pStyle w:val="TableTextLeft-Burden"/>
            </w:pPr>
            <w:r w:rsidRPr="00E9161E">
              <w:t> </w:t>
            </w:r>
          </w:p>
        </w:tc>
        <w:tc>
          <w:tcPr>
            <w:tcW w:w="1242" w:type="dxa"/>
            <w:tcBorders>
              <w:top w:val="nil"/>
              <w:left w:val="nil"/>
              <w:bottom w:val="single" w:sz="4" w:space="0" w:color="auto"/>
            </w:tcBorders>
            <w:shd w:val="clear" w:color="auto" w:fill="auto"/>
            <w:noWrap/>
            <w:vAlign w:val="center"/>
          </w:tcPr>
          <w:p w14:paraId="10950ACC" w14:textId="0EC8A7E8" w:rsidR="00107E36" w:rsidRPr="005E555F" w:rsidRDefault="00107E36" w:rsidP="00107E36">
            <w:pPr>
              <w:pStyle w:val="TableTextRight-Burden"/>
            </w:pPr>
          </w:p>
        </w:tc>
        <w:tc>
          <w:tcPr>
            <w:tcW w:w="1243" w:type="dxa"/>
            <w:tcBorders>
              <w:top w:val="nil"/>
              <w:bottom w:val="single" w:sz="4" w:space="0" w:color="auto"/>
            </w:tcBorders>
            <w:shd w:val="clear" w:color="auto" w:fill="auto"/>
            <w:noWrap/>
            <w:vAlign w:val="center"/>
          </w:tcPr>
          <w:p w14:paraId="40CBF3B9" w14:textId="3AB6B849" w:rsidR="00107E36" w:rsidRPr="005E555F" w:rsidRDefault="00107E36" w:rsidP="00107E36">
            <w:pPr>
              <w:pStyle w:val="TableTextRight-Burden"/>
            </w:pPr>
          </w:p>
        </w:tc>
        <w:tc>
          <w:tcPr>
            <w:tcW w:w="1242" w:type="dxa"/>
            <w:tcBorders>
              <w:top w:val="nil"/>
              <w:bottom w:val="single" w:sz="4" w:space="0" w:color="auto"/>
            </w:tcBorders>
            <w:shd w:val="clear" w:color="auto" w:fill="auto"/>
            <w:noWrap/>
            <w:vAlign w:val="center"/>
          </w:tcPr>
          <w:p w14:paraId="6B51E236" w14:textId="0DC787F0" w:rsidR="00107E36" w:rsidRPr="005E555F" w:rsidRDefault="00107E36" w:rsidP="00107E36">
            <w:pPr>
              <w:pStyle w:val="TableTextRight-Burden"/>
            </w:pPr>
          </w:p>
        </w:tc>
        <w:tc>
          <w:tcPr>
            <w:tcW w:w="1223" w:type="dxa"/>
            <w:tcBorders>
              <w:top w:val="nil"/>
              <w:bottom w:val="single" w:sz="4" w:space="0" w:color="auto"/>
              <w:right w:val="single" w:sz="4" w:space="0" w:color="auto"/>
            </w:tcBorders>
            <w:shd w:val="clear" w:color="auto" w:fill="auto"/>
            <w:noWrap/>
            <w:vAlign w:val="center"/>
          </w:tcPr>
          <w:p w14:paraId="3F6021EF" w14:textId="07A2DB66" w:rsidR="00107E36" w:rsidRPr="005E555F" w:rsidRDefault="00107E36" w:rsidP="00107E36">
            <w:pPr>
              <w:pStyle w:val="TableTextRight-Burden"/>
            </w:pPr>
          </w:p>
        </w:tc>
        <w:tc>
          <w:tcPr>
            <w:tcW w:w="1350" w:type="dxa"/>
            <w:tcBorders>
              <w:top w:val="single" w:sz="4" w:space="0" w:color="auto"/>
              <w:left w:val="nil"/>
              <w:bottom w:val="single" w:sz="4" w:space="0" w:color="auto"/>
            </w:tcBorders>
            <w:shd w:val="clear" w:color="auto" w:fill="auto"/>
            <w:noWrap/>
            <w:vAlign w:val="center"/>
            <w:hideMark/>
          </w:tcPr>
          <w:p w14:paraId="6602B273" w14:textId="77777777" w:rsidR="00107E36" w:rsidRPr="00E9161E" w:rsidRDefault="00107E36" w:rsidP="00107E36">
            <w:pPr>
              <w:pStyle w:val="TableTextLeft-Burden"/>
            </w:pPr>
            <w:r w:rsidRPr="00E9161E">
              <w:t xml:space="preserve">Avg. hr./facility: </w:t>
            </w:r>
          </w:p>
        </w:tc>
        <w:tc>
          <w:tcPr>
            <w:tcW w:w="1155" w:type="dxa"/>
            <w:tcBorders>
              <w:top w:val="single" w:sz="4" w:space="0" w:color="auto"/>
              <w:bottom w:val="single" w:sz="4" w:space="0" w:color="auto"/>
              <w:right w:val="single" w:sz="4" w:space="0" w:color="auto"/>
            </w:tcBorders>
            <w:shd w:val="clear" w:color="auto" w:fill="auto"/>
            <w:noWrap/>
            <w:vAlign w:val="center"/>
            <w:hideMark/>
          </w:tcPr>
          <w:p w14:paraId="1084E3CF" w14:textId="2A77917F" w:rsidR="00107E36" w:rsidRPr="00E9161E" w:rsidRDefault="00EE345E" w:rsidP="00107E36">
            <w:pPr>
              <w:pStyle w:val="TableTextRight-Burden"/>
            </w:pPr>
            <w:r>
              <w:t>15</w:t>
            </w:r>
            <w:r w:rsidR="00EE21A4">
              <w:t>2</w:t>
            </w:r>
          </w:p>
        </w:tc>
        <w:tc>
          <w:tcPr>
            <w:tcW w:w="1243" w:type="dxa"/>
            <w:tcBorders>
              <w:top w:val="single" w:sz="4" w:space="0" w:color="auto"/>
              <w:left w:val="nil"/>
              <w:bottom w:val="single" w:sz="4" w:space="0" w:color="auto"/>
            </w:tcBorders>
            <w:shd w:val="clear" w:color="auto" w:fill="auto"/>
            <w:noWrap/>
            <w:vAlign w:val="center"/>
            <w:hideMark/>
          </w:tcPr>
          <w:p w14:paraId="5524439B" w14:textId="77777777" w:rsidR="00107E36" w:rsidRPr="00E9161E" w:rsidRDefault="00107E36" w:rsidP="00107E36">
            <w:pPr>
              <w:pStyle w:val="TableTextLeft-Burden"/>
            </w:pPr>
            <w:r w:rsidRPr="00E9161E">
              <w:t xml:space="preserve"> Avg. $/facility: </w:t>
            </w:r>
          </w:p>
        </w:tc>
        <w:tc>
          <w:tcPr>
            <w:tcW w:w="1243" w:type="dxa"/>
            <w:tcBorders>
              <w:top w:val="single" w:sz="4" w:space="0" w:color="auto"/>
              <w:bottom w:val="single" w:sz="4" w:space="0" w:color="auto"/>
              <w:right w:val="single" w:sz="4" w:space="0" w:color="auto"/>
            </w:tcBorders>
            <w:shd w:val="clear" w:color="auto" w:fill="auto"/>
            <w:vAlign w:val="center"/>
            <w:hideMark/>
          </w:tcPr>
          <w:p w14:paraId="6B426F1E" w14:textId="5DD2F0E0" w:rsidR="00107E36" w:rsidRPr="00E9161E" w:rsidRDefault="00107E36" w:rsidP="00107E36">
            <w:pPr>
              <w:pStyle w:val="TableTextRight-Burden"/>
            </w:pPr>
            <w:r>
              <w:t>$</w:t>
            </w:r>
            <w:r w:rsidR="00EE345E">
              <w:t>10,</w:t>
            </w:r>
            <w:r w:rsidR="00EE21A4">
              <w:t>692</w:t>
            </w:r>
            <w:r w:rsidR="00EE345E">
              <w:t xml:space="preserve"> </w:t>
            </w:r>
          </w:p>
        </w:tc>
      </w:tr>
      <w:tr w:rsidR="00107E36" w:rsidRPr="00E9161E" w14:paraId="61D989EE" w14:textId="77777777" w:rsidTr="00083090">
        <w:tc>
          <w:tcPr>
            <w:tcW w:w="4675" w:type="dxa"/>
            <w:tcBorders>
              <w:top w:val="nil"/>
              <w:left w:val="single" w:sz="4" w:space="0" w:color="auto"/>
              <w:bottom w:val="single" w:sz="4" w:space="0" w:color="auto"/>
              <w:right w:val="single" w:sz="4" w:space="0" w:color="auto"/>
            </w:tcBorders>
            <w:shd w:val="clear" w:color="auto" w:fill="auto"/>
            <w:noWrap/>
            <w:vAlign w:val="center"/>
            <w:hideMark/>
          </w:tcPr>
          <w:p w14:paraId="1A03A7FE" w14:textId="77777777" w:rsidR="00107E36" w:rsidRPr="00E9161E" w:rsidRDefault="00107E36" w:rsidP="00107E36">
            <w:pPr>
              <w:pStyle w:val="TableTextLeft-Burden"/>
            </w:pPr>
            <w:r w:rsidRPr="00E9161E">
              <w:t>ANNUAL CAPITAL COSTS (Not Applicable)</w:t>
            </w:r>
          </w:p>
        </w:tc>
        <w:tc>
          <w:tcPr>
            <w:tcW w:w="1242" w:type="dxa"/>
            <w:tcBorders>
              <w:top w:val="nil"/>
              <w:left w:val="nil"/>
              <w:bottom w:val="single" w:sz="4" w:space="0" w:color="auto"/>
              <w:right w:val="single" w:sz="4" w:space="0" w:color="auto"/>
            </w:tcBorders>
            <w:shd w:val="clear" w:color="000000" w:fill="D8D8D8"/>
            <w:noWrap/>
            <w:vAlign w:val="center"/>
          </w:tcPr>
          <w:p w14:paraId="19507E0A" w14:textId="5E1909F4" w:rsidR="00107E36" w:rsidRPr="005E555F" w:rsidRDefault="00107E36" w:rsidP="00107E36">
            <w:pPr>
              <w:pStyle w:val="TableTextRight-Burden"/>
            </w:pPr>
          </w:p>
        </w:tc>
        <w:tc>
          <w:tcPr>
            <w:tcW w:w="1243" w:type="dxa"/>
            <w:tcBorders>
              <w:top w:val="nil"/>
              <w:left w:val="nil"/>
              <w:bottom w:val="single" w:sz="4" w:space="0" w:color="auto"/>
              <w:right w:val="single" w:sz="4" w:space="0" w:color="auto"/>
            </w:tcBorders>
            <w:shd w:val="clear" w:color="000000" w:fill="D8D8D8"/>
            <w:noWrap/>
            <w:vAlign w:val="center"/>
          </w:tcPr>
          <w:p w14:paraId="3FFFF30A" w14:textId="68E96D75" w:rsidR="00107E36" w:rsidRPr="005E555F" w:rsidRDefault="00107E36" w:rsidP="00107E36">
            <w:pPr>
              <w:pStyle w:val="TableTextRight-Burden"/>
            </w:pPr>
          </w:p>
        </w:tc>
        <w:tc>
          <w:tcPr>
            <w:tcW w:w="1242" w:type="dxa"/>
            <w:tcBorders>
              <w:top w:val="nil"/>
              <w:left w:val="nil"/>
              <w:bottom w:val="single" w:sz="4" w:space="0" w:color="auto"/>
              <w:right w:val="single" w:sz="4" w:space="0" w:color="auto"/>
            </w:tcBorders>
            <w:shd w:val="clear" w:color="000000" w:fill="D8D8D8"/>
            <w:noWrap/>
            <w:vAlign w:val="center"/>
          </w:tcPr>
          <w:p w14:paraId="591BA351" w14:textId="2934C800" w:rsidR="00107E36" w:rsidRPr="005E555F" w:rsidRDefault="00107E36" w:rsidP="00107E36">
            <w:pPr>
              <w:pStyle w:val="TableTextRight-Burden"/>
            </w:pPr>
          </w:p>
        </w:tc>
        <w:tc>
          <w:tcPr>
            <w:tcW w:w="1223" w:type="dxa"/>
            <w:tcBorders>
              <w:top w:val="nil"/>
              <w:left w:val="nil"/>
              <w:bottom w:val="single" w:sz="4" w:space="0" w:color="auto"/>
              <w:right w:val="single" w:sz="4" w:space="0" w:color="auto"/>
            </w:tcBorders>
            <w:shd w:val="clear" w:color="000000" w:fill="D8D8D8"/>
            <w:noWrap/>
            <w:vAlign w:val="center"/>
          </w:tcPr>
          <w:p w14:paraId="14554EB8" w14:textId="3E24EA14" w:rsidR="00107E36" w:rsidRPr="005E555F" w:rsidRDefault="00107E36" w:rsidP="00107E36">
            <w:pPr>
              <w:pStyle w:val="TableTextRight-Burden"/>
            </w:pPr>
          </w:p>
        </w:tc>
        <w:tc>
          <w:tcPr>
            <w:tcW w:w="1350" w:type="dxa"/>
            <w:tcBorders>
              <w:top w:val="nil"/>
              <w:left w:val="nil"/>
              <w:bottom w:val="single" w:sz="4" w:space="0" w:color="auto"/>
              <w:right w:val="single" w:sz="4" w:space="0" w:color="auto"/>
            </w:tcBorders>
            <w:shd w:val="clear" w:color="000000" w:fill="D8D8D8"/>
            <w:noWrap/>
            <w:vAlign w:val="center"/>
          </w:tcPr>
          <w:p w14:paraId="27B998BA" w14:textId="5ABDCB16" w:rsidR="00107E36" w:rsidRPr="005E555F" w:rsidRDefault="00107E36" w:rsidP="00107E36">
            <w:pPr>
              <w:pStyle w:val="TableTextRight-Burden"/>
            </w:pPr>
          </w:p>
        </w:tc>
        <w:tc>
          <w:tcPr>
            <w:tcW w:w="1155" w:type="dxa"/>
            <w:tcBorders>
              <w:top w:val="nil"/>
              <w:left w:val="nil"/>
              <w:bottom w:val="single" w:sz="4" w:space="0" w:color="auto"/>
              <w:right w:val="single" w:sz="4" w:space="0" w:color="auto"/>
            </w:tcBorders>
            <w:shd w:val="clear" w:color="000000" w:fill="D8D8D8"/>
            <w:noWrap/>
            <w:vAlign w:val="center"/>
          </w:tcPr>
          <w:p w14:paraId="1624CDAC" w14:textId="404CBB64" w:rsidR="00107E36" w:rsidRPr="005E555F" w:rsidRDefault="00107E36" w:rsidP="00107E36">
            <w:pPr>
              <w:pStyle w:val="TableTextRight-Burden"/>
            </w:pPr>
          </w:p>
        </w:tc>
        <w:tc>
          <w:tcPr>
            <w:tcW w:w="1243" w:type="dxa"/>
            <w:tcBorders>
              <w:top w:val="nil"/>
              <w:left w:val="nil"/>
              <w:bottom w:val="single" w:sz="4" w:space="0" w:color="auto"/>
              <w:right w:val="single" w:sz="4" w:space="0" w:color="auto"/>
            </w:tcBorders>
            <w:shd w:val="clear" w:color="000000" w:fill="D8D8D8"/>
            <w:noWrap/>
            <w:vAlign w:val="center"/>
          </w:tcPr>
          <w:p w14:paraId="1CF2F882" w14:textId="12938472" w:rsidR="00107E36" w:rsidRPr="005E555F" w:rsidRDefault="00107E36" w:rsidP="00107E36">
            <w:pPr>
              <w:pStyle w:val="TableTextRight-Burden"/>
            </w:pPr>
          </w:p>
        </w:tc>
        <w:tc>
          <w:tcPr>
            <w:tcW w:w="1243" w:type="dxa"/>
            <w:tcBorders>
              <w:top w:val="nil"/>
              <w:left w:val="nil"/>
              <w:bottom w:val="single" w:sz="4" w:space="0" w:color="auto"/>
              <w:right w:val="single" w:sz="4" w:space="0" w:color="auto"/>
            </w:tcBorders>
            <w:shd w:val="clear" w:color="000000" w:fill="D8D8D8"/>
            <w:noWrap/>
            <w:vAlign w:val="center"/>
            <w:hideMark/>
          </w:tcPr>
          <w:p w14:paraId="30344F78" w14:textId="77777777" w:rsidR="00107E36" w:rsidRPr="00E9161E" w:rsidRDefault="00107E36" w:rsidP="00107E36">
            <w:pPr>
              <w:pStyle w:val="TableTextRight-Burden"/>
            </w:pPr>
          </w:p>
        </w:tc>
      </w:tr>
      <w:tr w:rsidR="00107E36" w:rsidRPr="00E9161E" w14:paraId="1F9EA84E" w14:textId="77777777" w:rsidTr="00083090">
        <w:tc>
          <w:tcPr>
            <w:tcW w:w="4675" w:type="dxa"/>
            <w:tcBorders>
              <w:top w:val="nil"/>
              <w:left w:val="single" w:sz="4" w:space="0" w:color="auto"/>
              <w:bottom w:val="single" w:sz="4" w:space="0" w:color="auto"/>
              <w:right w:val="single" w:sz="4" w:space="0" w:color="auto"/>
            </w:tcBorders>
            <w:shd w:val="clear" w:color="auto" w:fill="auto"/>
            <w:noWrap/>
            <w:vAlign w:val="center"/>
            <w:hideMark/>
          </w:tcPr>
          <w:p w14:paraId="718D5968" w14:textId="77777777" w:rsidR="00107E36" w:rsidRPr="00E9161E" w:rsidRDefault="00107E36" w:rsidP="00107E36">
            <w:pPr>
              <w:pStyle w:val="TableTextLeft-Burden"/>
            </w:pPr>
            <w:r w:rsidRPr="00E9161E">
              <w:t>ANNUALIZED CAPITAL COSTS (Not Applicable)</w:t>
            </w:r>
          </w:p>
        </w:tc>
        <w:tc>
          <w:tcPr>
            <w:tcW w:w="1242" w:type="dxa"/>
            <w:tcBorders>
              <w:top w:val="nil"/>
              <w:left w:val="nil"/>
              <w:bottom w:val="single" w:sz="4" w:space="0" w:color="auto"/>
              <w:right w:val="single" w:sz="4" w:space="0" w:color="auto"/>
            </w:tcBorders>
            <w:shd w:val="clear" w:color="000000" w:fill="D8D8D8"/>
            <w:noWrap/>
            <w:vAlign w:val="center"/>
          </w:tcPr>
          <w:p w14:paraId="56ABE4D7" w14:textId="1F60048C" w:rsidR="00107E36" w:rsidRPr="005E555F" w:rsidRDefault="00107E36" w:rsidP="00107E36">
            <w:pPr>
              <w:pStyle w:val="TableTextRight-Burden"/>
            </w:pPr>
          </w:p>
        </w:tc>
        <w:tc>
          <w:tcPr>
            <w:tcW w:w="1243" w:type="dxa"/>
            <w:tcBorders>
              <w:top w:val="nil"/>
              <w:left w:val="nil"/>
              <w:bottom w:val="single" w:sz="4" w:space="0" w:color="auto"/>
              <w:right w:val="single" w:sz="4" w:space="0" w:color="auto"/>
            </w:tcBorders>
            <w:shd w:val="clear" w:color="000000" w:fill="D8D8D8"/>
            <w:noWrap/>
            <w:vAlign w:val="center"/>
          </w:tcPr>
          <w:p w14:paraId="1B76E1E7" w14:textId="06199B1B" w:rsidR="00107E36" w:rsidRPr="005E555F" w:rsidRDefault="00107E36" w:rsidP="00107E36">
            <w:pPr>
              <w:pStyle w:val="TableTextRight-Burden"/>
            </w:pPr>
          </w:p>
        </w:tc>
        <w:tc>
          <w:tcPr>
            <w:tcW w:w="1242" w:type="dxa"/>
            <w:tcBorders>
              <w:top w:val="nil"/>
              <w:left w:val="nil"/>
              <w:bottom w:val="single" w:sz="4" w:space="0" w:color="auto"/>
              <w:right w:val="single" w:sz="4" w:space="0" w:color="auto"/>
            </w:tcBorders>
            <w:shd w:val="clear" w:color="000000" w:fill="D8D8D8"/>
            <w:noWrap/>
            <w:vAlign w:val="center"/>
          </w:tcPr>
          <w:p w14:paraId="3AC50D92" w14:textId="287E0885" w:rsidR="00107E36" w:rsidRPr="005E555F" w:rsidRDefault="00107E36" w:rsidP="00107E36">
            <w:pPr>
              <w:pStyle w:val="TableTextRight-Burden"/>
            </w:pPr>
          </w:p>
        </w:tc>
        <w:tc>
          <w:tcPr>
            <w:tcW w:w="1223" w:type="dxa"/>
            <w:tcBorders>
              <w:top w:val="nil"/>
              <w:left w:val="nil"/>
              <w:bottom w:val="single" w:sz="4" w:space="0" w:color="auto"/>
              <w:right w:val="single" w:sz="4" w:space="0" w:color="auto"/>
            </w:tcBorders>
            <w:shd w:val="clear" w:color="000000" w:fill="D8D8D8"/>
            <w:noWrap/>
            <w:vAlign w:val="center"/>
          </w:tcPr>
          <w:p w14:paraId="34A66BC9" w14:textId="635E01F5" w:rsidR="00107E36" w:rsidRPr="005E555F" w:rsidRDefault="00107E36" w:rsidP="00107E36">
            <w:pPr>
              <w:pStyle w:val="TableTextRight-Burden"/>
            </w:pPr>
          </w:p>
        </w:tc>
        <w:tc>
          <w:tcPr>
            <w:tcW w:w="1350" w:type="dxa"/>
            <w:tcBorders>
              <w:top w:val="nil"/>
              <w:left w:val="nil"/>
              <w:bottom w:val="single" w:sz="4" w:space="0" w:color="auto"/>
              <w:right w:val="single" w:sz="4" w:space="0" w:color="auto"/>
            </w:tcBorders>
            <w:shd w:val="clear" w:color="000000" w:fill="D8D8D8"/>
            <w:noWrap/>
            <w:vAlign w:val="center"/>
          </w:tcPr>
          <w:p w14:paraId="6F81DE60" w14:textId="7DAFFBDB" w:rsidR="00107E36" w:rsidRPr="005E555F" w:rsidRDefault="00107E36" w:rsidP="00107E36">
            <w:pPr>
              <w:pStyle w:val="TableTextRight-Burden"/>
            </w:pPr>
          </w:p>
        </w:tc>
        <w:tc>
          <w:tcPr>
            <w:tcW w:w="1155" w:type="dxa"/>
            <w:tcBorders>
              <w:top w:val="nil"/>
              <w:left w:val="nil"/>
              <w:bottom w:val="single" w:sz="4" w:space="0" w:color="auto"/>
              <w:right w:val="single" w:sz="4" w:space="0" w:color="auto"/>
            </w:tcBorders>
            <w:shd w:val="clear" w:color="000000" w:fill="D8D8D8"/>
            <w:noWrap/>
            <w:vAlign w:val="center"/>
          </w:tcPr>
          <w:p w14:paraId="643CF957" w14:textId="674C85A5" w:rsidR="00107E36" w:rsidRPr="005E555F" w:rsidRDefault="00107E36" w:rsidP="00107E36">
            <w:pPr>
              <w:pStyle w:val="TableTextRight-Burden"/>
            </w:pPr>
          </w:p>
        </w:tc>
        <w:tc>
          <w:tcPr>
            <w:tcW w:w="1243" w:type="dxa"/>
            <w:tcBorders>
              <w:top w:val="nil"/>
              <w:left w:val="nil"/>
              <w:bottom w:val="single" w:sz="4" w:space="0" w:color="auto"/>
              <w:right w:val="single" w:sz="4" w:space="0" w:color="auto"/>
            </w:tcBorders>
            <w:shd w:val="clear" w:color="000000" w:fill="D8D8D8"/>
            <w:noWrap/>
            <w:vAlign w:val="center"/>
          </w:tcPr>
          <w:p w14:paraId="1236712D" w14:textId="019FB76D" w:rsidR="00107E36" w:rsidRPr="005E555F" w:rsidRDefault="00107E36" w:rsidP="00107E36">
            <w:pPr>
              <w:pStyle w:val="TableTextRight-Burden"/>
            </w:pPr>
          </w:p>
        </w:tc>
        <w:tc>
          <w:tcPr>
            <w:tcW w:w="1243" w:type="dxa"/>
            <w:tcBorders>
              <w:top w:val="nil"/>
              <w:left w:val="nil"/>
              <w:bottom w:val="single" w:sz="4" w:space="0" w:color="auto"/>
              <w:right w:val="single" w:sz="4" w:space="0" w:color="auto"/>
            </w:tcBorders>
            <w:shd w:val="clear" w:color="000000" w:fill="D8D8D8"/>
            <w:noWrap/>
            <w:vAlign w:val="center"/>
            <w:hideMark/>
          </w:tcPr>
          <w:p w14:paraId="4DA07468" w14:textId="77777777" w:rsidR="00107E36" w:rsidRPr="00E9161E" w:rsidRDefault="00107E36" w:rsidP="00107E36">
            <w:pPr>
              <w:pStyle w:val="TableTextRight-Burden"/>
            </w:pPr>
          </w:p>
        </w:tc>
      </w:tr>
      <w:tr w:rsidR="00EE21A4" w:rsidRPr="00E9161E" w14:paraId="6D91B9E5" w14:textId="77777777" w:rsidTr="00083090">
        <w:tc>
          <w:tcPr>
            <w:tcW w:w="4675" w:type="dxa"/>
            <w:tcBorders>
              <w:top w:val="nil"/>
              <w:left w:val="single" w:sz="4" w:space="0" w:color="auto"/>
              <w:bottom w:val="single" w:sz="4" w:space="0" w:color="auto"/>
              <w:right w:val="single" w:sz="4" w:space="0" w:color="auto"/>
            </w:tcBorders>
            <w:shd w:val="clear" w:color="auto" w:fill="auto"/>
            <w:noWrap/>
            <w:vAlign w:val="center"/>
            <w:hideMark/>
          </w:tcPr>
          <w:p w14:paraId="24AB68BE" w14:textId="2B277F77" w:rsidR="00EE21A4" w:rsidRPr="00E9161E" w:rsidRDefault="00EE21A4" w:rsidP="00EE21A4">
            <w:pPr>
              <w:pStyle w:val="TableTextLeft-Burden"/>
            </w:pPr>
            <w:r>
              <w:t>TOTAL ANNUAL COSTS (O&amp;M)</w:t>
            </w:r>
            <w:r>
              <w:rPr>
                <w:rStyle w:val="Superscript"/>
              </w:rPr>
              <w:t>6</w:t>
            </w:r>
          </w:p>
        </w:tc>
        <w:tc>
          <w:tcPr>
            <w:tcW w:w="1242" w:type="dxa"/>
            <w:tcBorders>
              <w:top w:val="nil"/>
              <w:left w:val="nil"/>
              <w:bottom w:val="single" w:sz="4" w:space="0" w:color="auto"/>
              <w:right w:val="single" w:sz="4" w:space="0" w:color="auto"/>
            </w:tcBorders>
            <w:shd w:val="clear" w:color="000000" w:fill="D8D8D8"/>
            <w:noWrap/>
            <w:vAlign w:val="center"/>
          </w:tcPr>
          <w:p w14:paraId="5EDE0189" w14:textId="4F5CB0DF" w:rsidR="00EE21A4" w:rsidRPr="005E555F" w:rsidRDefault="00EE21A4" w:rsidP="00EE21A4">
            <w:pPr>
              <w:pStyle w:val="TableTextRight-Burden"/>
            </w:pPr>
          </w:p>
        </w:tc>
        <w:tc>
          <w:tcPr>
            <w:tcW w:w="1243" w:type="dxa"/>
            <w:tcBorders>
              <w:top w:val="nil"/>
              <w:left w:val="nil"/>
              <w:bottom w:val="single" w:sz="4" w:space="0" w:color="auto"/>
              <w:right w:val="single" w:sz="4" w:space="0" w:color="auto"/>
            </w:tcBorders>
            <w:shd w:val="clear" w:color="000000" w:fill="D8D8D8"/>
            <w:noWrap/>
            <w:vAlign w:val="center"/>
          </w:tcPr>
          <w:p w14:paraId="05EDCDAC" w14:textId="3BBFFD14" w:rsidR="00EE21A4" w:rsidRPr="005E555F" w:rsidRDefault="00EE21A4" w:rsidP="00EE21A4">
            <w:pPr>
              <w:pStyle w:val="TableTextRight-Burden"/>
            </w:pPr>
          </w:p>
        </w:tc>
        <w:tc>
          <w:tcPr>
            <w:tcW w:w="1242" w:type="dxa"/>
            <w:tcBorders>
              <w:top w:val="nil"/>
              <w:left w:val="nil"/>
              <w:bottom w:val="single" w:sz="4" w:space="0" w:color="auto"/>
              <w:right w:val="single" w:sz="4" w:space="0" w:color="auto"/>
            </w:tcBorders>
            <w:shd w:val="clear" w:color="000000" w:fill="D8D8D8"/>
            <w:noWrap/>
            <w:vAlign w:val="center"/>
          </w:tcPr>
          <w:p w14:paraId="0EF7FE5A" w14:textId="6E7C907D" w:rsidR="00EE21A4" w:rsidRPr="005E555F" w:rsidRDefault="00EE21A4" w:rsidP="00EE21A4">
            <w:pPr>
              <w:pStyle w:val="TableTextRight-Burden"/>
            </w:pPr>
          </w:p>
        </w:tc>
        <w:tc>
          <w:tcPr>
            <w:tcW w:w="1223" w:type="dxa"/>
            <w:tcBorders>
              <w:top w:val="nil"/>
              <w:left w:val="nil"/>
              <w:bottom w:val="single" w:sz="4" w:space="0" w:color="auto"/>
              <w:right w:val="single" w:sz="4" w:space="0" w:color="auto"/>
            </w:tcBorders>
            <w:shd w:val="clear" w:color="000000" w:fill="D8D8D8"/>
            <w:noWrap/>
            <w:vAlign w:val="center"/>
          </w:tcPr>
          <w:p w14:paraId="5AE58561" w14:textId="4B71F97A" w:rsidR="00EE21A4" w:rsidRPr="005E555F" w:rsidRDefault="00EE21A4" w:rsidP="00EE21A4">
            <w:pPr>
              <w:pStyle w:val="TableTextRight-Burden"/>
            </w:pPr>
          </w:p>
        </w:tc>
        <w:tc>
          <w:tcPr>
            <w:tcW w:w="1350" w:type="dxa"/>
            <w:tcBorders>
              <w:top w:val="nil"/>
              <w:left w:val="nil"/>
              <w:bottom w:val="single" w:sz="4" w:space="0" w:color="auto"/>
              <w:right w:val="single" w:sz="4" w:space="0" w:color="auto"/>
            </w:tcBorders>
            <w:shd w:val="clear" w:color="000000" w:fill="D8D8D8"/>
            <w:noWrap/>
            <w:vAlign w:val="center"/>
          </w:tcPr>
          <w:p w14:paraId="323ACD67" w14:textId="03A0D0AC" w:rsidR="00EE21A4" w:rsidRPr="005E555F" w:rsidRDefault="00EE21A4" w:rsidP="00EE21A4">
            <w:pPr>
              <w:pStyle w:val="TableTextRight-Burden"/>
            </w:pPr>
          </w:p>
        </w:tc>
        <w:tc>
          <w:tcPr>
            <w:tcW w:w="1155" w:type="dxa"/>
            <w:tcBorders>
              <w:top w:val="nil"/>
              <w:left w:val="nil"/>
              <w:bottom w:val="single" w:sz="4" w:space="0" w:color="auto"/>
              <w:right w:val="single" w:sz="4" w:space="0" w:color="auto"/>
            </w:tcBorders>
            <w:shd w:val="clear" w:color="000000" w:fill="D8D8D8"/>
            <w:noWrap/>
            <w:vAlign w:val="center"/>
          </w:tcPr>
          <w:p w14:paraId="14E6C93A" w14:textId="7880E367" w:rsidR="00EE21A4" w:rsidRPr="005E555F" w:rsidRDefault="00EE21A4" w:rsidP="00EE21A4">
            <w:pPr>
              <w:pStyle w:val="TableTextRight-Burden"/>
            </w:pPr>
          </w:p>
        </w:tc>
        <w:tc>
          <w:tcPr>
            <w:tcW w:w="1243" w:type="dxa"/>
            <w:tcBorders>
              <w:top w:val="nil"/>
              <w:left w:val="nil"/>
              <w:bottom w:val="single" w:sz="4" w:space="0" w:color="auto"/>
              <w:right w:val="single" w:sz="4" w:space="0" w:color="auto"/>
            </w:tcBorders>
            <w:shd w:val="clear" w:color="000000" w:fill="D8D8D8"/>
            <w:noWrap/>
            <w:vAlign w:val="center"/>
          </w:tcPr>
          <w:p w14:paraId="74C2839E" w14:textId="419B2901" w:rsidR="00EE21A4" w:rsidRPr="005E555F" w:rsidRDefault="00EE21A4" w:rsidP="00EE21A4">
            <w:pPr>
              <w:pStyle w:val="TableTextRight-Burden"/>
            </w:pPr>
          </w:p>
        </w:tc>
        <w:tc>
          <w:tcPr>
            <w:tcW w:w="1243" w:type="dxa"/>
            <w:tcBorders>
              <w:top w:val="nil"/>
              <w:left w:val="nil"/>
              <w:bottom w:val="single" w:sz="4" w:space="0" w:color="auto"/>
              <w:right w:val="single" w:sz="4" w:space="0" w:color="auto"/>
            </w:tcBorders>
            <w:shd w:val="clear" w:color="auto" w:fill="auto"/>
            <w:hideMark/>
          </w:tcPr>
          <w:p w14:paraId="65404486" w14:textId="36965F14" w:rsidR="00EE21A4" w:rsidRPr="00E9161E" w:rsidRDefault="00EE21A4" w:rsidP="00EE21A4">
            <w:pPr>
              <w:pStyle w:val="TableTextRight-Burden"/>
            </w:pPr>
            <w:r w:rsidRPr="00EE0FDF">
              <w:t>$6,549</w:t>
            </w:r>
          </w:p>
        </w:tc>
      </w:tr>
      <w:tr w:rsidR="00EE21A4" w:rsidRPr="00E9161E" w14:paraId="5C4FBAE1" w14:textId="77777777" w:rsidTr="00083090">
        <w:tc>
          <w:tcPr>
            <w:tcW w:w="4675" w:type="dxa"/>
            <w:tcBorders>
              <w:top w:val="nil"/>
              <w:left w:val="single" w:sz="4" w:space="0" w:color="auto"/>
              <w:bottom w:val="single" w:sz="4" w:space="0" w:color="auto"/>
              <w:right w:val="single" w:sz="4" w:space="0" w:color="auto"/>
            </w:tcBorders>
            <w:shd w:val="clear" w:color="auto" w:fill="auto"/>
            <w:noWrap/>
            <w:vAlign w:val="center"/>
            <w:hideMark/>
          </w:tcPr>
          <w:p w14:paraId="0A9571A4" w14:textId="77777777" w:rsidR="00EE21A4" w:rsidRPr="00E9161E" w:rsidRDefault="00EE21A4" w:rsidP="00EE21A4">
            <w:pPr>
              <w:pStyle w:val="TableTextLeft-Burden"/>
            </w:pPr>
            <w:r w:rsidRPr="00E9161E">
              <w:t>TOTAL ANNUALIZED COSTS (Annualized capital + O&amp;M costs)</w:t>
            </w:r>
          </w:p>
        </w:tc>
        <w:tc>
          <w:tcPr>
            <w:tcW w:w="1242" w:type="dxa"/>
            <w:tcBorders>
              <w:top w:val="nil"/>
              <w:left w:val="nil"/>
              <w:bottom w:val="single" w:sz="4" w:space="0" w:color="auto"/>
              <w:right w:val="single" w:sz="4" w:space="0" w:color="auto"/>
            </w:tcBorders>
            <w:shd w:val="clear" w:color="000000" w:fill="D8D8D8"/>
            <w:noWrap/>
            <w:vAlign w:val="center"/>
          </w:tcPr>
          <w:p w14:paraId="22356657" w14:textId="6CDD124E" w:rsidR="00EE21A4" w:rsidRPr="005E555F" w:rsidRDefault="00EE21A4" w:rsidP="00EE21A4">
            <w:pPr>
              <w:pStyle w:val="TableTextRight-Burden"/>
            </w:pPr>
          </w:p>
        </w:tc>
        <w:tc>
          <w:tcPr>
            <w:tcW w:w="1243" w:type="dxa"/>
            <w:tcBorders>
              <w:top w:val="nil"/>
              <w:left w:val="nil"/>
              <w:bottom w:val="single" w:sz="4" w:space="0" w:color="auto"/>
              <w:right w:val="single" w:sz="4" w:space="0" w:color="auto"/>
            </w:tcBorders>
            <w:shd w:val="clear" w:color="000000" w:fill="D8D8D8"/>
            <w:noWrap/>
            <w:vAlign w:val="center"/>
          </w:tcPr>
          <w:p w14:paraId="75A3CF33" w14:textId="10FA495C" w:rsidR="00EE21A4" w:rsidRPr="005E555F" w:rsidRDefault="00EE21A4" w:rsidP="00EE21A4">
            <w:pPr>
              <w:pStyle w:val="TableTextRight-Burden"/>
            </w:pPr>
          </w:p>
        </w:tc>
        <w:tc>
          <w:tcPr>
            <w:tcW w:w="1242" w:type="dxa"/>
            <w:tcBorders>
              <w:top w:val="nil"/>
              <w:left w:val="nil"/>
              <w:bottom w:val="single" w:sz="4" w:space="0" w:color="auto"/>
              <w:right w:val="single" w:sz="4" w:space="0" w:color="auto"/>
            </w:tcBorders>
            <w:shd w:val="clear" w:color="000000" w:fill="D8D8D8"/>
            <w:noWrap/>
            <w:vAlign w:val="center"/>
          </w:tcPr>
          <w:p w14:paraId="2850CF31" w14:textId="32415F85" w:rsidR="00EE21A4" w:rsidRPr="005E555F" w:rsidRDefault="00EE21A4" w:rsidP="00EE21A4">
            <w:pPr>
              <w:pStyle w:val="TableTextRight-Burden"/>
            </w:pPr>
          </w:p>
        </w:tc>
        <w:tc>
          <w:tcPr>
            <w:tcW w:w="1223" w:type="dxa"/>
            <w:tcBorders>
              <w:top w:val="nil"/>
              <w:left w:val="nil"/>
              <w:bottom w:val="single" w:sz="4" w:space="0" w:color="auto"/>
              <w:right w:val="single" w:sz="4" w:space="0" w:color="auto"/>
            </w:tcBorders>
            <w:shd w:val="clear" w:color="000000" w:fill="D8D8D8"/>
            <w:noWrap/>
            <w:vAlign w:val="center"/>
          </w:tcPr>
          <w:p w14:paraId="3F29416D" w14:textId="218624E0" w:rsidR="00EE21A4" w:rsidRPr="005E555F" w:rsidRDefault="00EE21A4" w:rsidP="00EE21A4">
            <w:pPr>
              <w:pStyle w:val="TableTextRight-Burden"/>
            </w:pPr>
          </w:p>
        </w:tc>
        <w:tc>
          <w:tcPr>
            <w:tcW w:w="1350" w:type="dxa"/>
            <w:tcBorders>
              <w:top w:val="nil"/>
              <w:left w:val="nil"/>
              <w:bottom w:val="single" w:sz="4" w:space="0" w:color="auto"/>
              <w:right w:val="single" w:sz="4" w:space="0" w:color="auto"/>
            </w:tcBorders>
            <w:shd w:val="clear" w:color="000000" w:fill="D8D8D8"/>
            <w:noWrap/>
            <w:vAlign w:val="center"/>
          </w:tcPr>
          <w:p w14:paraId="2CBFB609" w14:textId="24530F7E" w:rsidR="00EE21A4" w:rsidRPr="005E555F" w:rsidRDefault="00EE21A4" w:rsidP="00EE21A4">
            <w:pPr>
              <w:pStyle w:val="TableTextRight-Burden"/>
            </w:pPr>
          </w:p>
        </w:tc>
        <w:tc>
          <w:tcPr>
            <w:tcW w:w="1155" w:type="dxa"/>
            <w:tcBorders>
              <w:top w:val="nil"/>
              <w:left w:val="nil"/>
              <w:bottom w:val="single" w:sz="4" w:space="0" w:color="auto"/>
              <w:right w:val="single" w:sz="4" w:space="0" w:color="auto"/>
            </w:tcBorders>
            <w:shd w:val="clear" w:color="000000" w:fill="D8D8D8"/>
            <w:noWrap/>
            <w:vAlign w:val="center"/>
          </w:tcPr>
          <w:p w14:paraId="51B73D07" w14:textId="66D8C038" w:rsidR="00EE21A4" w:rsidRPr="005E555F" w:rsidRDefault="00EE21A4" w:rsidP="00EE21A4">
            <w:pPr>
              <w:pStyle w:val="TableTextRight-Burden"/>
            </w:pPr>
          </w:p>
        </w:tc>
        <w:tc>
          <w:tcPr>
            <w:tcW w:w="1243" w:type="dxa"/>
            <w:tcBorders>
              <w:top w:val="nil"/>
              <w:left w:val="nil"/>
              <w:bottom w:val="single" w:sz="4" w:space="0" w:color="auto"/>
              <w:right w:val="single" w:sz="4" w:space="0" w:color="auto"/>
            </w:tcBorders>
            <w:shd w:val="clear" w:color="000000" w:fill="D8D8D8"/>
            <w:noWrap/>
            <w:vAlign w:val="center"/>
          </w:tcPr>
          <w:p w14:paraId="7DAD1380" w14:textId="31FA353A" w:rsidR="00EE21A4" w:rsidRPr="005E555F" w:rsidRDefault="00EE21A4" w:rsidP="00EE21A4">
            <w:pPr>
              <w:pStyle w:val="TableTextRight-Burden"/>
            </w:pPr>
          </w:p>
        </w:tc>
        <w:tc>
          <w:tcPr>
            <w:tcW w:w="1243" w:type="dxa"/>
            <w:tcBorders>
              <w:top w:val="nil"/>
              <w:left w:val="nil"/>
              <w:bottom w:val="single" w:sz="4" w:space="0" w:color="auto"/>
              <w:right w:val="single" w:sz="4" w:space="0" w:color="auto"/>
            </w:tcBorders>
            <w:shd w:val="clear" w:color="auto" w:fill="auto"/>
            <w:hideMark/>
          </w:tcPr>
          <w:p w14:paraId="73D20D28" w14:textId="0B254A85" w:rsidR="00EE21A4" w:rsidRPr="00E9161E" w:rsidRDefault="00EE21A4" w:rsidP="00EE21A4">
            <w:pPr>
              <w:pStyle w:val="TableTextRight-Burden"/>
            </w:pPr>
            <w:r w:rsidRPr="00EE0FDF">
              <w:t>$6,549</w:t>
            </w:r>
          </w:p>
        </w:tc>
      </w:tr>
      <w:tr w:rsidR="00EE21A4" w:rsidRPr="00E9161E" w14:paraId="72A581AD" w14:textId="77777777" w:rsidTr="00083090">
        <w:tc>
          <w:tcPr>
            <w:tcW w:w="4675" w:type="dxa"/>
            <w:tcBorders>
              <w:top w:val="nil"/>
              <w:left w:val="single" w:sz="4" w:space="0" w:color="auto"/>
              <w:bottom w:val="single" w:sz="4" w:space="0" w:color="auto"/>
              <w:right w:val="nil"/>
            </w:tcBorders>
            <w:shd w:val="clear" w:color="auto" w:fill="auto"/>
            <w:vAlign w:val="bottom"/>
            <w:hideMark/>
          </w:tcPr>
          <w:p w14:paraId="79C1339C" w14:textId="77777777" w:rsidR="00EE21A4" w:rsidRPr="004A02C7" w:rsidRDefault="00EE21A4" w:rsidP="00EE21A4">
            <w:pPr>
              <w:pStyle w:val="TableTextLeft-Burden"/>
              <w:rPr>
                <w:rStyle w:val="Bold"/>
              </w:rPr>
            </w:pPr>
            <w:r w:rsidRPr="004A02C7">
              <w:rPr>
                <w:rStyle w:val="Bold"/>
              </w:rPr>
              <w:t>TOTAL LABOR AND O&amp;M COSTS</w:t>
            </w:r>
          </w:p>
        </w:tc>
        <w:tc>
          <w:tcPr>
            <w:tcW w:w="1242" w:type="dxa"/>
            <w:tcBorders>
              <w:top w:val="nil"/>
              <w:left w:val="single" w:sz="4" w:space="0" w:color="auto"/>
              <w:bottom w:val="single" w:sz="4" w:space="0" w:color="auto"/>
              <w:right w:val="single" w:sz="4" w:space="0" w:color="auto"/>
            </w:tcBorders>
            <w:shd w:val="clear" w:color="000000" w:fill="D8D8D8"/>
            <w:noWrap/>
            <w:vAlign w:val="center"/>
          </w:tcPr>
          <w:p w14:paraId="03E5DAC4" w14:textId="4A1757B5" w:rsidR="00EE21A4" w:rsidRPr="005E555F" w:rsidRDefault="00EE21A4" w:rsidP="00EE21A4">
            <w:pPr>
              <w:pStyle w:val="TableTextRight-Burden"/>
            </w:pPr>
          </w:p>
        </w:tc>
        <w:tc>
          <w:tcPr>
            <w:tcW w:w="1243" w:type="dxa"/>
            <w:tcBorders>
              <w:top w:val="nil"/>
              <w:left w:val="nil"/>
              <w:bottom w:val="single" w:sz="4" w:space="0" w:color="auto"/>
              <w:right w:val="single" w:sz="4" w:space="0" w:color="auto"/>
            </w:tcBorders>
            <w:shd w:val="clear" w:color="000000" w:fill="D8D8D8"/>
            <w:noWrap/>
            <w:vAlign w:val="center"/>
          </w:tcPr>
          <w:p w14:paraId="240644AE" w14:textId="781EA11A" w:rsidR="00EE21A4" w:rsidRPr="005E555F" w:rsidRDefault="00EE21A4" w:rsidP="00EE21A4">
            <w:pPr>
              <w:pStyle w:val="TableTextRight-Burden"/>
            </w:pPr>
          </w:p>
        </w:tc>
        <w:tc>
          <w:tcPr>
            <w:tcW w:w="1242" w:type="dxa"/>
            <w:tcBorders>
              <w:top w:val="nil"/>
              <w:left w:val="nil"/>
              <w:bottom w:val="single" w:sz="4" w:space="0" w:color="auto"/>
              <w:right w:val="single" w:sz="4" w:space="0" w:color="auto"/>
            </w:tcBorders>
            <w:shd w:val="clear" w:color="000000" w:fill="D8D8D8"/>
            <w:noWrap/>
            <w:vAlign w:val="center"/>
          </w:tcPr>
          <w:p w14:paraId="1F8598E3" w14:textId="04BD958B" w:rsidR="00EE21A4" w:rsidRPr="005E555F" w:rsidRDefault="00EE21A4" w:rsidP="00EE21A4">
            <w:pPr>
              <w:pStyle w:val="TableTextRight-Burden"/>
            </w:pPr>
          </w:p>
        </w:tc>
        <w:tc>
          <w:tcPr>
            <w:tcW w:w="1223" w:type="dxa"/>
            <w:tcBorders>
              <w:top w:val="nil"/>
              <w:left w:val="nil"/>
              <w:bottom w:val="single" w:sz="4" w:space="0" w:color="auto"/>
              <w:right w:val="single" w:sz="4" w:space="0" w:color="auto"/>
            </w:tcBorders>
            <w:shd w:val="clear" w:color="000000" w:fill="D8D8D8"/>
            <w:noWrap/>
            <w:vAlign w:val="center"/>
          </w:tcPr>
          <w:p w14:paraId="6346EF7D" w14:textId="4627ED0B" w:rsidR="00EE21A4" w:rsidRPr="005E555F" w:rsidRDefault="00EE21A4" w:rsidP="00EE21A4">
            <w:pPr>
              <w:pStyle w:val="TableTextRight-Burden"/>
            </w:pPr>
          </w:p>
        </w:tc>
        <w:tc>
          <w:tcPr>
            <w:tcW w:w="1350" w:type="dxa"/>
            <w:tcBorders>
              <w:top w:val="nil"/>
              <w:left w:val="nil"/>
              <w:bottom w:val="single" w:sz="4" w:space="0" w:color="auto"/>
              <w:right w:val="single" w:sz="4" w:space="0" w:color="auto"/>
            </w:tcBorders>
            <w:shd w:val="clear" w:color="000000" w:fill="D8D8D8"/>
            <w:noWrap/>
            <w:vAlign w:val="center"/>
          </w:tcPr>
          <w:p w14:paraId="335E8300" w14:textId="4AD77172" w:rsidR="00EE21A4" w:rsidRPr="005E555F" w:rsidRDefault="00EE21A4" w:rsidP="00EE21A4">
            <w:pPr>
              <w:pStyle w:val="TableTextRight-Burden"/>
            </w:pPr>
          </w:p>
        </w:tc>
        <w:tc>
          <w:tcPr>
            <w:tcW w:w="1155" w:type="dxa"/>
            <w:tcBorders>
              <w:top w:val="nil"/>
              <w:left w:val="nil"/>
              <w:bottom w:val="single" w:sz="4" w:space="0" w:color="auto"/>
              <w:right w:val="single" w:sz="4" w:space="0" w:color="auto"/>
            </w:tcBorders>
            <w:shd w:val="clear" w:color="000000" w:fill="D8D8D8"/>
            <w:noWrap/>
            <w:vAlign w:val="center"/>
          </w:tcPr>
          <w:p w14:paraId="4BD462C1" w14:textId="38986E97" w:rsidR="00EE21A4" w:rsidRPr="005E555F" w:rsidRDefault="00EE21A4" w:rsidP="00EE21A4">
            <w:pPr>
              <w:pStyle w:val="TableTextRight-Burden"/>
            </w:pPr>
          </w:p>
        </w:tc>
        <w:tc>
          <w:tcPr>
            <w:tcW w:w="1243" w:type="dxa"/>
            <w:tcBorders>
              <w:top w:val="nil"/>
              <w:left w:val="nil"/>
              <w:bottom w:val="single" w:sz="4" w:space="0" w:color="auto"/>
              <w:right w:val="single" w:sz="4" w:space="0" w:color="auto"/>
            </w:tcBorders>
            <w:shd w:val="clear" w:color="000000" w:fill="D8D8D8"/>
            <w:noWrap/>
            <w:vAlign w:val="center"/>
          </w:tcPr>
          <w:p w14:paraId="2DDD5218" w14:textId="781429E7" w:rsidR="00EE21A4" w:rsidRPr="005E555F" w:rsidRDefault="00EE21A4" w:rsidP="00EE21A4">
            <w:pPr>
              <w:pStyle w:val="TableTextRight-Burden"/>
            </w:pPr>
          </w:p>
        </w:tc>
        <w:tc>
          <w:tcPr>
            <w:tcW w:w="1243" w:type="dxa"/>
            <w:tcBorders>
              <w:top w:val="nil"/>
              <w:left w:val="nil"/>
              <w:bottom w:val="single" w:sz="4" w:space="0" w:color="auto"/>
              <w:right w:val="single" w:sz="4" w:space="0" w:color="auto"/>
            </w:tcBorders>
            <w:shd w:val="clear" w:color="auto" w:fill="auto"/>
            <w:hideMark/>
          </w:tcPr>
          <w:p w14:paraId="1EA31D3D" w14:textId="4AF49E81" w:rsidR="00EE21A4" w:rsidRPr="00EE21A4" w:rsidRDefault="00EE21A4" w:rsidP="00EE21A4">
            <w:pPr>
              <w:pStyle w:val="TableTextRight-Burden"/>
              <w:rPr>
                <w:rStyle w:val="Bold"/>
              </w:rPr>
            </w:pPr>
            <w:r w:rsidRPr="00EE21A4">
              <w:rPr>
                <w:rStyle w:val="Bold"/>
              </w:rPr>
              <w:t>$4,187,020</w:t>
            </w:r>
          </w:p>
        </w:tc>
      </w:tr>
    </w:tbl>
    <w:p w14:paraId="526CC5DA" w14:textId="3559BABC" w:rsidR="00E9161E" w:rsidRDefault="00E9161E" w:rsidP="00CC4DBE">
      <w:pPr>
        <w:pStyle w:val="TableFootnote-Burden"/>
      </w:pPr>
      <w:r w:rsidRPr="00E9161E">
        <w:t>1.</w:t>
      </w:r>
      <w:r w:rsidR="00C60352">
        <w:t xml:space="preserve"> </w:t>
      </w:r>
      <w:r w:rsidRPr="00E9161E">
        <w:t>The number of respondents per year is based on the facility counts listed in Section 4(a) of the Supporting Statement.</w:t>
      </w:r>
      <w:r w:rsidR="00135932">
        <w:t xml:space="preserve"> </w:t>
      </w:r>
      <w:r w:rsidR="00135932" w:rsidRPr="00135932">
        <w:t>Although it is anticipated that some facilities will be synthetic area sources that would only be required to submit a 1-page response, the burden estimates have not been reduced</w:t>
      </w:r>
      <w:r w:rsidR="00307213">
        <w:t xml:space="preserve"> because </w:t>
      </w:r>
      <w:r w:rsidR="00530043">
        <w:t>the EPA</w:t>
      </w:r>
      <w:r w:rsidR="00307213">
        <w:t xml:space="preserve"> will use the survey results to confirm synthetic area source status</w:t>
      </w:r>
      <w:r w:rsidR="00135932" w:rsidRPr="00135932">
        <w:t>.</w:t>
      </w:r>
      <w:r w:rsidR="00307213">
        <w:t xml:space="preserve"> Based on the draft facility list, </w:t>
      </w:r>
      <w:r w:rsidR="00725522">
        <w:t>3</w:t>
      </w:r>
      <w:r w:rsidR="00EE21A4">
        <w:t>5</w:t>
      </w:r>
      <w:r w:rsidR="00307213">
        <w:t xml:space="preserve"> PCWP and </w:t>
      </w:r>
      <w:r w:rsidR="00EE21A4">
        <w:t>2</w:t>
      </w:r>
      <w:r w:rsidR="00307213">
        <w:t xml:space="preserve"> lumber </w:t>
      </w:r>
      <w:r w:rsidR="00530043">
        <w:t>mills</w:t>
      </w:r>
      <w:r w:rsidR="00307213">
        <w:t xml:space="preserve"> are potentially synthetic area sources that would spend 8 hours responding to the </w:t>
      </w:r>
      <w:r w:rsidR="0070035D">
        <w:t>1</w:t>
      </w:r>
      <w:r w:rsidR="00307213">
        <w:t>-page survey for a total cost savings of $</w:t>
      </w:r>
      <w:r w:rsidR="00EE21A4">
        <w:t>603</w:t>
      </w:r>
      <w:r w:rsidR="00307213">
        <w:t xml:space="preserve">,000 </w:t>
      </w:r>
      <w:r w:rsidR="00530043">
        <w:t>(</w:t>
      </w:r>
      <w:r w:rsidR="00307213">
        <w:t>based on the average cost per response</w:t>
      </w:r>
      <w:r w:rsidR="00530043">
        <w:t>)</w:t>
      </w:r>
      <w:r w:rsidR="002F60DB">
        <w:t>.</w:t>
      </w:r>
    </w:p>
    <w:p w14:paraId="31EF2DB6" w14:textId="1B857B8B" w:rsidR="00E9161E" w:rsidRPr="00E9161E" w:rsidRDefault="00E9161E" w:rsidP="00CC4DBE">
      <w:pPr>
        <w:pStyle w:val="TableFootnote-Burden"/>
      </w:pPr>
      <w:r w:rsidRPr="00E9161E">
        <w:t>2</w:t>
      </w:r>
      <w:r w:rsidRPr="00530043">
        <w:t>.</w:t>
      </w:r>
      <w:r w:rsidR="00C60352" w:rsidRPr="00530043">
        <w:t xml:space="preserve"> </w:t>
      </w:r>
      <w:r w:rsidRPr="00530043">
        <w:t>Based on</w:t>
      </w:r>
      <w:r w:rsidR="00530043" w:rsidRPr="00F55EA2">
        <w:t xml:space="preserve"> mean hourly wages in</w:t>
      </w:r>
      <w:r w:rsidRPr="00530043">
        <w:t xml:space="preserve"> Bureau of Labor Statistics, </w:t>
      </w:r>
      <w:r w:rsidR="00530043" w:rsidRPr="00F55EA2">
        <w:rPr>
          <w:rStyle w:val="Italic"/>
        </w:rPr>
        <w:t>May 2016 National Industry-Specific Occupational Employment and Wage Estimates</w:t>
      </w:r>
      <w:r w:rsidR="00530043" w:rsidRPr="00530043">
        <w:t xml:space="preserve"> for NAICS code 321000—Wood Product Manufacturing</w:t>
      </w:r>
      <w:r w:rsidR="00530043" w:rsidRPr="00F55EA2">
        <w:t>, available at</w:t>
      </w:r>
      <w:hyperlink r:id="rId22" w:history="1">
        <w:r w:rsidR="00530043" w:rsidRPr="00F55EA2">
          <w:rPr>
            <w:rStyle w:val="Hyperlink"/>
          </w:rPr>
          <w:t xml:space="preserve"> </w:t>
        </w:r>
        <w:r w:rsidR="00530043" w:rsidRPr="00530043">
          <w:rPr>
            <w:rStyle w:val="Hyperlink"/>
          </w:rPr>
          <w:t>https://www.bls.gov/oes/current/naics3_321000.htm</w:t>
        </w:r>
      </w:hyperlink>
      <w:r w:rsidR="00530043" w:rsidRPr="00F55EA2">
        <w:t>.</w:t>
      </w:r>
      <w:r w:rsidRPr="00530043">
        <w:t xml:space="preserve"> </w:t>
      </w:r>
      <w:r w:rsidR="00530043">
        <w:t xml:space="preserve">Final loaded labor rates are: </w:t>
      </w:r>
      <w:r w:rsidRPr="00530043">
        <w:t>Technical: $</w:t>
      </w:r>
      <w:r w:rsidR="00530043">
        <w:t>72.20</w:t>
      </w:r>
      <w:r w:rsidRPr="00530043">
        <w:t>/hour</w:t>
      </w:r>
      <w:r w:rsidR="00530043" w:rsidRPr="00F55EA2">
        <w:t xml:space="preserve"> (SOC 17-2000: Engineers)</w:t>
      </w:r>
      <w:r w:rsidRPr="00530043">
        <w:t>, Managerial: $</w:t>
      </w:r>
      <w:r w:rsidR="00530043">
        <w:t>106.16</w:t>
      </w:r>
      <w:r w:rsidRPr="00530043">
        <w:t>/hour</w:t>
      </w:r>
      <w:r w:rsidR="00530043" w:rsidRPr="00F55EA2">
        <w:t xml:space="preserve"> (SOC 11-1021: </w:t>
      </w:r>
      <w:r w:rsidR="00530043" w:rsidRPr="00530043">
        <w:t>General and Operations Managers)</w:t>
      </w:r>
      <w:r w:rsidRPr="00530043">
        <w:t>, Clerical: $</w:t>
      </w:r>
      <w:r w:rsidR="00530043">
        <w:t>36.14</w:t>
      </w:r>
      <w:r w:rsidRPr="00530043">
        <w:t>/hour</w:t>
      </w:r>
      <w:r w:rsidR="00530043" w:rsidRPr="00F55EA2">
        <w:t xml:space="preserve"> (SOC 43-0000: </w:t>
      </w:r>
      <w:r w:rsidR="00530043" w:rsidRPr="00530043">
        <w:t>Office and Administrative Support Occupations); all labor rates</w:t>
      </w:r>
      <w:r w:rsidRPr="00530043">
        <w:t xml:space="preserve"> include 110</w:t>
      </w:r>
      <w:r w:rsidR="00C85BCB" w:rsidRPr="00530043">
        <w:t xml:space="preserve"> percent</w:t>
      </w:r>
      <w:r w:rsidRPr="00530043">
        <w:t xml:space="preserve"> </w:t>
      </w:r>
      <w:r w:rsidR="00C85BCB" w:rsidRPr="00530043">
        <w:t xml:space="preserve">increase </w:t>
      </w:r>
      <w:r w:rsidR="00530043" w:rsidRPr="00F55EA2">
        <w:t xml:space="preserve">to account </w:t>
      </w:r>
      <w:r w:rsidR="00C85BCB" w:rsidRPr="00530043">
        <w:t xml:space="preserve">for </w:t>
      </w:r>
      <w:r w:rsidR="00530043" w:rsidRPr="00F55EA2">
        <w:t xml:space="preserve">fringe benefits and </w:t>
      </w:r>
      <w:r w:rsidRPr="00530043">
        <w:t>overhead expenses).</w:t>
      </w:r>
    </w:p>
    <w:p w14:paraId="075148BE" w14:textId="065CBC49" w:rsidR="00530043" w:rsidRPr="00E9161E" w:rsidRDefault="00E9161E" w:rsidP="00CC4DBE">
      <w:pPr>
        <w:pStyle w:val="TableFootnote-Burden"/>
      </w:pPr>
      <w:r w:rsidRPr="00E9161E">
        <w:t>3.</w:t>
      </w:r>
      <w:r w:rsidR="00C60352">
        <w:t xml:space="preserve"> </w:t>
      </w:r>
      <w:r w:rsidRPr="00E9161E">
        <w:t xml:space="preserve">Estimated </w:t>
      </w:r>
      <w:r w:rsidR="00135932" w:rsidRPr="00135932">
        <w:t>assuming that</w:t>
      </w:r>
      <w:r w:rsidRPr="00E9161E">
        <w:t xml:space="preserve"> PCWP facilities that were required to install controls will submit </w:t>
      </w:r>
      <w:r w:rsidR="005B5BDD">
        <w:t>four</w:t>
      </w:r>
      <w:r w:rsidRPr="00E9161E">
        <w:t xml:space="preserve"> test reports each</w:t>
      </w:r>
      <w:r w:rsidR="00530043" w:rsidRPr="00530043">
        <w:t xml:space="preserve"> </w:t>
      </w:r>
      <w:r w:rsidR="00530043">
        <w:t>and that a</w:t>
      </w:r>
      <w:r w:rsidR="00530043" w:rsidRPr="00135932">
        <w:t>n estimated 5</w:t>
      </w:r>
      <w:r w:rsidR="00530043">
        <w:t xml:space="preserve"> percent </w:t>
      </w:r>
      <w:r w:rsidR="00530043" w:rsidRPr="00135932">
        <w:t xml:space="preserve">of lumber mills </w:t>
      </w:r>
      <w:r w:rsidR="00530043">
        <w:t>will</w:t>
      </w:r>
      <w:r w:rsidR="00530043" w:rsidRPr="00135932">
        <w:t xml:space="preserve"> submit </w:t>
      </w:r>
      <w:r w:rsidR="005B5BDD">
        <w:t>one</w:t>
      </w:r>
      <w:r w:rsidR="00530043">
        <w:t xml:space="preserve"> </w:t>
      </w:r>
      <w:r w:rsidR="00530043" w:rsidRPr="00135932">
        <w:t xml:space="preserve">test </w:t>
      </w:r>
      <w:r w:rsidR="00530043">
        <w:t xml:space="preserve">report </w:t>
      </w:r>
      <w:r w:rsidR="00530043" w:rsidRPr="00135932">
        <w:t>for kilns</w:t>
      </w:r>
      <w:r w:rsidRPr="00E9161E">
        <w:t xml:space="preserve">. It is estimated that it </w:t>
      </w:r>
      <w:r w:rsidR="00530043">
        <w:t>will</w:t>
      </w:r>
      <w:r w:rsidRPr="00E9161E">
        <w:t xml:space="preserve"> take </w:t>
      </w:r>
      <w:r w:rsidR="00530043">
        <w:t>each facility 2</w:t>
      </w:r>
      <w:r w:rsidRPr="00E9161E">
        <w:t xml:space="preserve"> hour</w:t>
      </w:r>
      <w:r w:rsidR="00530043">
        <w:t>s</w:t>
      </w:r>
      <w:r w:rsidRPr="00E9161E">
        <w:t xml:space="preserve"> </w:t>
      </w:r>
      <w:r w:rsidR="00530043">
        <w:t xml:space="preserve">per test report </w:t>
      </w:r>
      <w:r w:rsidRPr="00E9161E">
        <w:t>to locate</w:t>
      </w:r>
      <w:r w:rsidR="00530043">
        <w:t xml:space="preserve"> the file, review the data</w:t>
      </w:r>
      <w:r w:rsidR="002D329C">
        <w:t>,</w:t>
      </w:r>
      <w:r w:rsidRPr="00E9161E">
        <w:t xml:space="preserve"> </w:t>
      </w:r>
      <w:r w:rsidR="00530043">
        <w:t>and</w:t>
      </w:r>
      <w:r w:rsidRPr="00E9161E">
        <w:t xml:space="preserve"> enter</w:t>
      </w:r>
      <w:r w:rsidR="002D329C">
        <w:t xml:space="preserve"> data into the survey spreadsheet</w:t>
      </w:r>
      <w:r w:rsidR="00530043">
        <w:t>. It is also estimated that it will take each facility 1</w:t>
      </w:r>
      <w:r w:rsidR="002D329C">
        <w:t xml:space="preserve"> hour per test </w:t>
      </w:r>
      <w:r w:rsidR="00530043">
        <w:t xml:space="preserve">report </w:t>
      </w:r>
      <w:r w:rsidR="002D329C">
        <w:t xml:space="preserve">to </w:t>
      </w:r>
      <w:r w:rsidR="00530043" w:rsidRPr="00E9161E">
        <w:t xml:space="preserve">scan </w:t>
      </w:r>
      <w:r w:rsidR="00530043">
        <w:t>the</w:t>
      </w:r>
      <w:r w:rsidR="00530043" w:rsidRPr="00E9161E">
        <w:t xml:space="preserve"> report</w:t>
      </w:r>
      <w:r w:rsidR="00530043">
        <w:t xml:space="preserve"> and </w:t>
      </w:r>
      <w:r w:rsidR="002D329C">
        <w:t>assemble files to send to the EPA</w:t>
      </w:r>
      <w:r w:rsidR="00135932" w:rsidRPr="00135932">
        <w:t>.</w:t>
      </w:r>
    </w:p>
    <w:p w14:paraId="4A733464" w14:textId="559A5EF9" w:rsidR="00E9161E" w:rsidRPr="00E9161E" w:rsidRDefault="00E9161E" w:rsidP="00CC4DBE">
      <w:pPr>
        <w:pStyle w:val="TableFootnote-Burden"/>
      </w:pPr>
      <w:r w:rsidRPr="00E9161E">
        <w:t>4.</w:t>
      </w:r>
      <w:r w:rsidR="00C60352">
        <w:t xml:space="preserve"> </w:t>
      </w:r>
      <w:r w:rsidRPr="00E9161E">
        <w:t xml:space="preserve">Assumes </w:t>
      </w:r>
      <w:r w:rsidR="00135932">
        <w:t xml:space="preserve">20 percent of </w:t>
      </w:r>
      <w:r w:rsidRPr="00E9161E">
        <w:t>PCWP facilities that were required to install controls will submit CEMS reports for 201</w:t>
      </w:r>
      <w:r w:rsidR="006B2310">
        <w:t>6</w:t>
      </w:r>
      <w:r w:rsidRPr="00E9161E">
        <w:t>.</w:t>
      </w:r>
    </w:p>
    <w:p w14:paraId="77090D57" w14:textId="3F701225" w:rsidR="00284090" w:rsidRDefault="00284090" w:rsidP="005E555F">
      <w:pPr>
        <w:pStyle w:val="TableFootnote-Burden"/>
      </w:pPr>
      <w:r>
        <w:t xml:space="preserve">5. </w:t>
      </w:r>
      <w:r w:rsidRPr="00284090">
        <w:t>The EPA is not aware of any lumber kilns that currently have a</w:t>
      </w:r>
      <w:r w:rsidR="003D076D">
        <w:t xml:space="preserve"> control device</w:t>
      </w:r>
      <w:r w:rsidRPr="00284090">
        <w:t>, so it is estimated that ther</w:t>
      </w:r>
      <w:r w:rsidR="003D076D">
        <w:t xml:space="preserve">e will be 0 respondents for the </w:t>
      </w:r>
      <w:r w:rsidR="003D076D" w:rsidRPr="00441D8E">
        <w:rPr>
          <w:rStyle w:val="Italic"/>
        </w:rPr>
        <w:t>APCD</w:t>
      </w:r>
      <w:r w:rsidRPr="00284090">
        <w:t xml:space="preserve"> tab.</w:t>
      </w:r>
    </w:p>
    <w:p w14:paraId="4D3A8DC5" w14:textId="18361196" w:rsidR="00736E8E" w:rsidRDefault="00284090" w:rsidP="005E555F">
      <w:pPr>
        <w:pStyle w:val="TableFootnote-Burden"/>
      </w:pPr>
      <w:r>
        <w:t>6</w:t>
      </w:r>
      <w:r w:rsidR="00157598" w:rsidRPr="00E9161E">
        <w:t>.</w:t>
      </w:r>
      <w:r w:rsidR="00157598">
        <w:t xml:space="preserve"> </w:t>
      </w:r>
      <w:r w:rsidR="00157598" w:rsidRPr="00E9161E">
        <w:t xml:space="preserve">Postage </w:t>
      </w:r>
      <w:r w:rsidR="005309ED">
        <w:t>c</w:t>
      </w:r>
      <w:r w:rsidR="00157598" w:rsidRPr="00E9161E">
        <w:t xml:space="preserve">osts for mailing survey responses to </w:t>
      </w:r>
      <w:r w:rsidR="00157598">
        <w:t xml:space="preserve">the </w:t>
      </w:r>
      <w:r w:rsidR="00157598" w:rsidRPr="00E9161E">
        <w:t>EPA are estimated at $9.75 for Federal Express letter</w:t>
      </w:r>
      <w:r w:rsidR="00D345E9">
        <w:t>-</w:t>
      </w:r>
      <w:r w:rsidR="00157598" w:rsidRPr="00E9161E">
        <w:t>size envelope flat rate (1 per respondent). The costs of digital media (CD, DVD, or flash drive) are estimated to be $7 each.</w:t>
      </w:r>
      <w:r w:rsidR="00307213">
        <w:t xml:space="preserve"> These costs would be reduced for facilities opting to upload their non-confidential responses using CEDRI</w:t>
      </w:r>
      <w:r w:rsidR="00D345E9">
        <w:t>.</w:t>
      </w:r>
    </w:p>
    <w:p w14:paraId="5A5DAFEE" w14:textId="1E3A6AF9" w:rsidR="00736E8E" w:rsidRPr="005E555F" w:rsidRDefault="00736E8E" w:rsidP="005E555F"/>
    <w:p w14:paraId="195FF066" w14:textId="77777777" w:rsidR="00736E8E" w:rsidRPr="000777AA" w:rsidRDefault="00736E8E" w:rsidP="000777AA">
      <w:pPr>
        <w:sectPr w:rsidR="00736E8E" w:rsidRPr="000777AA" w:rsidSect="00966E3C">
          <w:footerReference w:type="default" r:id="rId23"/>
          <w:pgSz w:w="15840" w:h="12240" w:orient="landscape"/>
          <w:pgMar w:top="1022" w:right="662" w:bottom="979" w:left="605" w:header="576" w:footer="576" w:gutter="0"/>
          <w:pgNumType w:start="1"/>
          <w:cols w:space="720"/>
        </w:sectPr>
      </w:pPr>
    </w:p>
    <w:p w14:paraId="10964423" w14:textId="6B3F1A9C" w:rsidR="00EF26D9" w:rsidRDefault="00647BDC" w:rsidP="00966E3C">
      <w:pPr>
        <w:pStyle w:val="TableTitleNewPage"/>
      </w:pPr>
      <w:r>
        <w:t>Attachment 3.</w:t>
      </w:r>
      <w:r>
        <w:br/>
        <w:t>Agency Burden and Costs</w:t>
      </w:r>
      <w:r w:rsidR="000A00FC">
        <w:t xml:space="preserve"> for </w:t>
      </w:r>
      <w:r w:rsidR="000777AA">
        <w:t>the PCWP ICR</w:t>
      </w:r>
    </w:p>
    <w:tbl>
      <w:tblPr>
        <w:tblW w:w="5000" w:type="pct"/>
        <w:tblLook w:val="04A0" w:firstRow="1" w:lastRow="0" w:firstColumn="1" w:lastColumn="0" w:noHBand="0" w:noVBand="1"/>
      </w:tblPr>
      <w:tblGrid>
        <w:gridCol w:w="5012"/>
        <w:gridCol w:w="1075"/>
        <w:gridCol w:w="1430"/>
        <w:gridCol w:w="1430"/>
        <w:gridCol w:w="1180"/>
        <w:gridCol w:w="1107"/>
        <w:gridCol w:w="1165"/>
        <w:gridCol w:w="1230"/>
        <w:gridCol w:w="1275"/>
      </w:tblGrid>
      <w:tr w:rsidR="00083090" w:rsidRPr="004B6B33" w14:paraId="1B74EB5F" w14:textId="77777777" w:rsidTr="00880E34">
        <w:tc>
          <w:tcPr>
            <w:tcW w:w="4937" w:type="dxa"/>
            <w:tcBorders>
              <w:top w:val="single" w:sz="4" w:space="0" w:color="auto"/>
              <w:left w:val="single" w:sz="4" w:space="0" w:color="auto"/>
              <w:bottom w:val="double" w:sz="6" w:space="0" w:color="auto"/>
              <w:right w:val="single" w:sz="4" w:space="0" w:color="auto"/>
            </w:tcBorders>
            <w:shd w:val="clear" w:color="auto" w:fill="auto"/>
            <w:vAlign w:val="bottom"/>
            <w:hideMark/>
          </w:tcPr>
          <w:p w14:paraId="6FC0A656" w14:textId="77777777" w:rsidR="004B6B33" w:rsidRPr="004B6B33" w:rsidRDefault="004B6B33" w:rsidP="00AB56FD">
            <w:pPr>
              <w:pStyle w:val="TableHeading-Burden"/>
            </w:pPr>
            <w:r w:rsidRPr="004B6B33">
              <w:t>Agency Activity</w:t>
            </w:r>
          </w:p>
        </w:tc>
        <w:tc>
          <w:tcPr>
            <w:tcW w:w="1059" w:type="dxa"/>
            <w:tcBorders>
              <w:top w:val="single" w:sz="4" w:space="0" w:color="auto"/>
              <w:left w:val="nil"/>
              <w:bottom w:val="double" w:sz="6" w:space="0" w:color="auto"/>
              <w:right w:val="single" w:sz="4" w:space="0" w:color="auto"/>
            </w:tcBorders>
            <w:shd w:val="clear" w:color="auto" w:fill="auto"/>
            <w:vAlign w:val="bottom"/>
            <w:hideMark/>
          </w:tcPr>
          <w:p w14:paraId="4CBA3737" w14:textId="77777777" w:rsidR="004B6B33" w:rsidRPr="004B6B33" w:rsidRDefault="004B6B33" w:rsidP="00AB56FD">
            <w:pPr>
              <w:pStyle w:val="TableHeading-Burden"/>
            </w:pPr>
            <w:r w:rsidRPr="004B6B33">
              <w:t>(A) EPA Hours/ Occurrence</w:t>
            </w:r>
          </w:p>
        </w:tc>
        <w:tc>
          <w:tcPr>
            <w:tcW w:w="1408" w:type="dxa"/>
            <w:tcBorders>
              <w:top w:val="single" w:sz="4" w:space="0" w:color="auto"/>
              <w:left w:val="nil"/>
              <w:bottom w:val="double" w:sz="6" w:space="0" w:color="auto"/>
              <w:right w:val="single" w:sz="4" w:space="0" w:color="auto"/>
            </w:tcBorders>
            <w:shd w:val="clear" w:color="auto" w:fill="auto"/>
            <w:vAlign w:val="bottom"/>
            <w:hideMark/>
          </w:tcPr>
          <w:p w14:paraId="1EE50A21" w14:textId="77777777" w:rsidR="004B6B33" w:rsidRPr="004B6B33" w:rsidRDefault="004B6B33" w:rsidP="00AB56FD">
            <w:pPr>
              <w:pStyle w:val="TableHeading-Burden"/>
            </w:pPr>
            <w:r w:rsidRPr="004B6B33">
              <w:t>(B) Occurrences/ Respondent/Year</w:t>
            </w:r>
          </w:p>
        </w:tc>
        <w:tc>
          <w:tcPr>
            <w:tcW w:w="1408" w:type="dxa"/>
            <w:tcBorders>
              <w:top w:val="single" w:sz="4" w:space="0" w:color="auto"/>
              <w:left w:val="nil"/>
              <w:bottom w:val="double" w:sz="6" w:space="0" w:color="auto"/>
              <w:right w:val="single" w:sz="4" w:space="0" w:color="auto"/>
            </w:tcBorders>
            <w:shd w:val="clear" w:color="auto" w:fill="auto"/>
            <w:vAlign w:val="bottom"/>
            <w:hideMark/>
          </w:tcPr>
          <w:p w14:paraId="53C262F6" w14:textId="194F4300" w:rsidR="004B6B33" w:rsidRPr="004B6B33" w:rsidRDefault="004B6B33" w:rsidP="00AB56FD">
            <w:pPr>
              <w:pStyle w:val="TableHeading-Burden"/>
            </w:pPr>
            <w:r w:rsidRPr="004B6B33">
              <w:t>(C) EPA Hours/</w:t>
            </w:r>
            <w:r w:rsidR="00AB56FD">
              <w:t xml:space="preserve"> </w:t>
            </w:r>
            <w:r w:rsidRPr="004B6B33">
              <w:t>Respondent/Year</w:t>
            </w:r>
            <w:r w:rsidR="00083090">
              <w:br/>
            </w:r>
            <w:r w:rsidRPr="004B6B33">
              <w:t>(A x B)</w:t>
            </w:r>
          </w:p>
        </w:tc>
        <w:tc>
          <w:tcPr>
            <w:tcW w:w="1162" w:type="dxa"/>
            <w:tcBorders>
              <w:top w:val="single" w:sz="4" w:space="0" w:color="auto"/>
              <w:left w:val="nil"/>
              <w:bottom w:val="double" w:sz="6" w:space="0" w:color="auto"/>
              <w:right w:val="single" w:sz="4" w:space="0" w:color="auto"/>
            </w:tcBorders>
            <w:shd w:val="clear" w:color="auto" w:fill="auto"/>
            <w:vAlign w:val="bottom"/>
            <w:hideMark/>
          </w:tcPr>
          <w:p w14:paraId="635B6270" w14:textId="77777777" w:rsidR="004B6B33" w:rsidRPr="004B6B33" w:rsidRDefault="004B6B33" w:rsidP="00AB56FD">
            <w:pPr>
              <w:pStyle w:val="TableHeading-Burden"/>
            </w:pPr>
            <w:r w:rsidRPr="004B6B33">
              <w:t>(D) Respondents/</w:t>
            </w:r>
            <w:r w:rsidR="00D2598E">
              <w:t xml:space="preserve"> </w:t>
            </w:r>
            <w:r w:rsidRPr="004B6B33">
              <w:t>Year</w:t>
            </w:r>
            <w:r w:rsidRPr="00AB56FD">
              <w:rPr>
                <w:rStyle w:val="Superscript"/>
              </w:rPr>
              <w:t>1</w:t>
            </w:r>
          </w:p>
        </w:tc>
        <w:tc>
          <w:tcPr>
            <w:tcW w:w="1090" w:type="dxa"/>
            <w:tcBorders>
              <w:top w:val="single" w:sz="4" w:space="0" w:color="auto"/>
              <w:left w:val="nil"/>
              <w:bottom w:val="double" w:sz="6" w:space="0" w:color="auto"/>
              <w:right w:val="single" w:sz="4" w:space="0" w:color="auto"/>
            </w:tcBorders>
            <w:shd w:val="clear" w:color="auto" w:fill="auto"/>
            <w:vAlign w:val="bottom"/>
            <w:hideMark/>
          </w:tcPr>
          <w:p w14:paraId="43DC522E" w14:textId="7E557980" w:rsidR="004B6B33" w:rsidRPr="004B6B33" w:rsidRDefault="004B6B33" w:rsidP="00AB56FD">
            <w:pPr>
              <w:pStyle w:val="TableHeading-Burden"/>
            </w:pPr>
            <w:r w:rsidRPr="004B6B33">
              <w:t>(E) EPA Technical Hours/Year</w:t>
            </w:r>
            <w:r w:rsidR="00083090">
              <w:br/>
            </w:r>
            <w:r w:rsidRPr="004B6B33">
              <w:t>(C x D)</w:t>
            </w:r>
          </w:p>
        </w:tc>
        <w:tc>
          <w:tcPr>
            <w:tcW w:w="1147" w:type="dxa"/>
            <w:tcBorders>
              <w:top w:val="single" w:sz="4" w:space="0" w:color="auto"/>
              <w:left w:val="nil"/>
              <w:bottom w:val="double" w:sz="6" w:space="0" w:color="auto"/>
              <w:right w:val="single" w:sz="4" w:space="0" w:color="auto"/>
            </w:tcBorders>
            <w:shd w:val="clear" w:color="auto" w:fill="auto"/>
            <w:vAlign w:val="bottom"/>
            <w:hideMark/>
          </w:tcPr>
          <w:p w14:paraId="76499356" w14:textId="1AA8EC52" w:rsidR="004B6B33" w:rsidRPr="004B6B33" w:rsidRDefault="004B6B33" w:rsidP="00AB56FD">
            <w:pPr>
              <w:pStyle w:val="TableHeading-Burden"/>
            </w:pPr>
            <w:r w:rsidRPr="004B6B33">
              <w:t>(F) EPA Managerial Hours/Year</w:t>
            </w:r>
            <w:r w:rsidR="00083090">
              <w:br/>
            </w:r>
            <w:r w:rsidRPr="004B6B33">
              <w:t>(E x 0.05)</w:t>
            </w:r>
          </w:p>
        </w:tc>
        <w:tc>
          <w:tcPr>
            <w:tcW w:w="1211" w:type="dxa"/>
            <w:tcBorders>
              <w:top w:val="single" w:sz="4" w:space="0" w:color="auto"/>
              <w:left w:val="nil"/>
              <w:bottom w:val="double" w:sz="6" w:space="0" w:color="auto"/>
              <w:right w:val="single" w:sz="4" w:space="0" w:color="auto"/>
            </w:tcBorders>
            <w:shd w:val="clear" w:color="auto" w:fill="auto"/>
            <w:vAlign w:val="bottom"/>
            <w:hideMark/>
          </w:tcPr>
          <w:p w14:paraId="7FA64845" w14:textId="1C341B65" w:rsidR="004B6B33" w:rsidRPr="004B6B33" w:rsidRDefault="004B6B33" w:rsidP="00AB56FD">
            <w:pPr>
              <w:pStyle w:val="TableHeading-Burden"/>
            </w:pPr>
            <w:r w:rsidRPr="004B6B33">
              <w:t>(G) EPA Clerical Hours/Year</w:t>
            </w:r>
            <w:r w:rsidR="00083090">
              <w:br/>
            </w:r>
            <w:r w:rsidRPr="004B6B33">
              <w:t>(E</w:t>
            </w:r>
            <w:r w:rsidR="00AB56FD">
              <w:t xml:space="preserve"> </w:t>
            </w:r>
            <w:r w:rsidRPr="004B6B33">
              <w:t>x</w:t>
            </w:r>
            <w:r w:rsidR="00AB56FD">
              <w:t xml:space="preserve"> </w:t>
            </w:r>
            <w:r w:rsidRPr="004B6B33">
              <w:t>0.1)</w:t>
            </w:r>
          </w:p>
        </w:tc>
        <w:tc>
          <w:tcPr>
            <w:tcW w:w="1256" w:type="dxa"/>
            <w:tcBorders>
              <w:top w:val="single" w:sz="4" w:space="0" w:color="auto"/>
              <w:left w:val="nil"/>
              <w:bottom w:val="double" w:sz="6" w:space="0" w:color="auto"/>
              <w:right w:val="single" w:sz="4" w:space="0" w:color="auto"/>
            </w:tcBorders>
            <w:shd w:val="clear" w:color="auto" w:fill="auto"/>
            <w:vAlign w:val="bottom"/>
            <w:hideMark/>
          </w:tcPr>
          <w:p w14:paraId="292F6CFD" w14:textId="77777777" w:rsidR="004B6B33" w:rsidRPr="004B6B33" w:rsidRDefault="004B6B33" w:rsidP="00AB56FD">
            <w:pPr>
              <w:pStyle w:val="TableHeading-Burden"/>
            </w:pPr>
            <w:r w:rsidRPr="004B6B33">
              <w:t xml:space="preserve">(H) </w:t>
            </w:r>
            <w:r w:rsidR="002D329C">
              <w:t>Cost, $/Year</w:t>
            </w:r>
            <w:r w:rsidR="002D329C" w:rsidRPr="00AB56FD">
              <w:rPr>
                <w:rStyle w:val="Superscript"/>
              </w:rPr>
              <w:t>2</w:t>
            </w:r>
          </w:p>
        </w:tc>
      </w:tr>
      <w:tr w:rsidR="00083090" w:rsidRPr="004B6B33" w14:paraId="73856335" w14:textId="77777777" w:rsidTr="00880E34">
        <w:tc>
          <w:tcPr>
            <w:tcW w:w="4937" w:type="dxa"/>
            <w:tcBorders>
              <w:top w:val="nil"/>
              <w:left w:val="single" w:sz="4" w:space="0" w:color="auto"/>
              <w:bottom w:val="single" w:sz="4" w:space="0" w:color="auto"/>
              <w:right w:val="single" w:sz="4" w:space="0" w:color="auto"/>
            </w:tcBorders>
            <w:shd w:val="clear" w:color="auto" w:fill="auto"/>
            <w:hideMark/>
          </w:tcPr>
          <w:p w14:paraId="6F765D99" w14:textId="77777777" w:rsidR="0064765C" w:rsidRPr="00CC4DBE" w:rsidRDefault="0064765C" w:rsidP="0064765C">
            <w:pPr>
              <w:pStyle w:val="TableTextLeft-Burden"/>
            </w:pPr>
            <w:r w:rsidRPr="00C85192">
              <w:t>Develop/revise questionnaire spreadsheets and instructions</w:t>
            </w:r>
          </w:p>
        </w:tc>
        <w:tc>
          <w:tcPr>
            <w:tcW w:w="1059" w:type="dxa"/>
            <w:tcBorders>
              <w:top w:val="nil"/>
              <w:left w:val="nil"/>
              <w:bottom w:val="single" w:sz="4" w:space="0" w:color="auto"/>
              <w:right w:val="single" w:sz="4" w:space="0" w:color="auto"/>
            </w:tcBorders>
            <w:shd w:val="clear" w:color="auto" w:fill="auto"/>
            <w:vAlign w:val="center"/>
            <w:hideMark/>
          </w:tcPr>
          <w:p w14:paraId="2AF1985D" w14:textId="77777777" w:rsidR="0064765C" w:rsidRPr="004B6B33" w:rsidRDefault="0064765C" w:rsidP="0064765C">
            <w:pPr>
              <w:pStyle w:val="TableTextRight-Burden"/>
            </w:pPr>
            <w:r w:rsidRPr="004B6B33">
              <w:t>400</w:t>
            </w:r>
          </w:p>
        </w:tc>
        <w:tc>
          <w:tcPr>
            <w:tcW w:w="1408" w:type="dxa"/>
            <w:tcBorders>
              <w:top w:val="nil"/>
              <w:left w:val="nil"/>
              <w:bottom w:val="single" w:sz="4" w:space="0" w:color="auto"/>
              <w:right w:val="single" w:sz="4" w:space="0" w:color="auto"/>
            </w:tcBorders>
            <w:shd w:val="clear" w:color="auto" w:fill="auto"/>
            <w:vAlign w:val="center"/>
            <w:hideMark/>
          </w:tcPr>
          <w:p w14:paraId="116F0347" w14:textId="77777777" w:rsidR="0064765C" w:rsidRPr="004B6B33" w:rsidRDefault="0064765C" w:rsidP="0064765C">
            <w:pPr>
              <w:pStyle w:val="TableTextRight-Burden"/>
            </w:pPr>
            <w:r w:rsidRPr="004B6B33">
              <w:t>1</w:t>
            </w:r>
          </w:p>
        </w:tc>
        <w:tc>
          <w:tcPr>
            <w:tcW w:w="1408" w:type="dxa"/>
            <w:tcBorders>
              <w:top w:val="nil"/>
              <w:left w:val="nil"/>
              <w:bottom w:val="single" w:sz="4" w:space="0" w:color="auto"/>
              <w:right w:val="single" w:sz="4" w:space="0" w:color="auto"/>
            </w:tcBorders>
            <w:shd w:val="clear" w:color="auto" w:fill="auto"/>
            <w:vAlign w:val="center"/>
            <w:hideMark/>
          </w:tcPr>
          <w:p w14:paraId="6ADD65F3" w14:textId="77777777" w:rsidR="0064765C" w:rsidRPr="004B6B33" w:rsidRDefault="0064765C" w:rsidP="0064765C">
            <w:pPr>
              <w:pStyle w:val="TableTextRight-Burden"/>
            </w:pPr>
            <w:r w:rsidRPr="00072C68">
              <w:t>400</w:t>
            </w:r>
          </w:p>
        </w:tc>
        <w:tc>
          <w:tcPr>
            <w:tcW w:w="1162" w:type="dxa"/>
            <w:tcBorders>
              <w:top w:val="nil"/>
              <w:left w:val="nil"/>
              <w:bottom w:val="single" w:sz="4" w:space="0" w:color="auto"/>
              <w:right w:val="single" w:sz="4" w:space="0" w:color="auto"/>
            </w:tcBorders>
            <w:shd w:val="clear" w:color="auto" w:fill="auto"/>
            <w:hideMark/>
          </w:tcPr>
          <w:p w14:paraId="4A9D0D18" w14:textId="6EECCA54" w:rsidR="0064765C" w:rsidRPr="004A02C7" w:rsidRDefault="0064765C" w:rsidP="0064765C">
            <w:pPr>
              <w:pStyle w:val="TableTextRight-Burden"/>
            </w:pPr>
            <w:r w:rsidRPr="005E7457">
              <w:t>1</w:t>
            </w:r>
          </w:p>
        </w:tc>
        <w:tc>
          <w:tcPr>
            <w:tcW w:w="1090" w:type="dxa"/>
            <w:tcBorders>
              <w:top w:val="nil"/>
              <w:left w:val="nil"/>
              <w:bottom w:val="single" w:sz="4" w:space="0" w:color="auto"/>
              <w:right w:val="single" w:sz="4" w:space="0" w:color="auto"/>
            </w:tcBorders>
            <w:shd w:val="clear" w:color="auto" w:fill="auto"/>
            <w:hideMark/>
          </w:tcPr>
          <w:p w14:paraId="060C2844" w14:textId="0D1AFBDE" w:rsidR="0064765C" w:rsidRPr="004A02C7" w:rsidRDefault="0064765C" w:rsidP="0064765C">
            <w:pPr>
              <w:pStyle w:val="TableTextRight-Burden"/>
            </w:pPr>
            <w:r w:rsidRPr="005E7457">
              <w:t>400</w:t>
            </w:r>
          </w:p>
        </w:tc>
        <w:tc>
          <w:tcPr>
            <w:tcW w:w="1147" w:type="dxa"/>
            <w:tcBorders>
              <w:top w:val="nil"/>
              <w:left w:val="nil"/>
              <w:bottom w:val="single" w:sz="4" w:space="0" w:color="auto"/>
              <w:right w:val="single" w:sz="4" w:space="0" w:color="auto"/>
            </w:tcBorders>
            <w:shd w:val="clear" w:color="auto" w:fill="auto"/>
            <w:hideMark/>
          </w:tcPr>
          <w:p w14:paraId="1B716450" w14:textId="5F3D3728" w:rsidR="0064765C" w:rsidRPr="004A02C7" w:rsidRDefault="0064765C" w:rsidP="0064765C">
            <w:pPr>
              <w:pStyle w:val="TableTextRight-Burden"/>
            </w:pPr>
            <w:r w:rsidRPr="005E7457">
              <w:t>20</w:t>
            </w:r>
          </w:p>
        </w:tc>
        <w:tc>
          <w:tcPr>
            <w:tcW w:w="1211" w:type="dxa"/>
            <w:tcBorders>
              <w:top w:val="nil"/>
              <w:left w:val="nil"/>
              <w:bottom w:val="single" w:sz="4" w:space="0" w:color="auto"/>
              <w:right w:val="single" w:sz="4" w:space="0" w:color="auto"/>
            </w:tcBorders>
            <w:shd w:val="clear" w:color="auto" w:fill="auto"/>
            <w:hideMark/>
          </w:tcPr>
          <w:p w14:paraId="68221FF6" w14:textId="4A79EC9F" w:rsidR="0064765C" w:rsidRPr="004A02C7" w:rsidRDefault="0064765C" w:rsidP="0064765C">
            <w:pPr>
              <w:pStyle w:val="TableTextRight-Burden"/>
            </w:pPr>
            <w:r w:rsidRPr="005E7457">
              <w:t>40</w:t>
            </w:r>
          </w:p>
        </w:tc>
        <w:tc>
          <w:tcPr>
            <w:tcW w:w="1256" w:type="dxa"/>
            <w:tcBorders>
              <w:top w:val="nil"/>
              <w:left w:val="nil"/>
              <w:bottom w:val="single" w:sz="4" w:space="0" w:color="auto"/>
              <w:right w:val="single" w:sz="4" w:space="0" w:color="auto"/>
            </w:tcBorders>
            <w:shd w:val="clear" w:color="auto" w:fill="auto"/>
            <w:hideMark/>
          </w:tcPr>
          <w:p w14:paraId="0031047A" w14:textId="4277699A" w:rsidR="0064765C" w:rsidRPr="004A02C7" w:rsidRDefault="0064765C" w:rsidP="0064765C">
            <w:pPr>
              <w:pStyle w:val="TableTextRight-Burden"/>
            </w:pPr>
            <w:r w:rsidRPr="005E7457">
              <w:t>$25,548</w:t>
            </w:r>
          </w:p>
        </w:tc>
      </w:tr>
      <w:tr w:rsidR="00083090" w:rsidRPr="004B6B33" w14:paraId="35D86866" w14:textId="77777777" w:rsidTr="00880E34">
        <w:tc>
          <w:tcPr>
            <w:tcW w:w="4937" w:type="dxa"/>
            <w:tcBorders>
              <w:top w:val="nil"/>
              <w:left w:val="single" w:sz="4" w:space="0" w:color="auto"/>
              <w:bottom w:val="single" w:sz="4" w:space="0" w:color="auto"/>
              <w:right w:val="single" w:sz="4" w:space="0" w:color="auto"/>
            </w:tcBorders>
            <w:shd w:val="clear" w:color="auto" w:fill="auto"/>
            <w:hideMark/>
          </w:tcPr>
          <w:p w14:paraId="5F3BCC82" w14:textId="77777777" w:rsidR="0064765C" w:rsidRPr="00CC4DBE" w:rsidRDefault="0064765C" w:rsidP="0064765C">
            <w:pPr>
              <w:pStyle w:val="TableTextLeft-Burden"/>
            </w:pPr>
            <w:r w:rsidRPr="00C85192">
              <w:t>Develop survey webpage</w:t>
            </w:r>
          </w:p>
        </w:tc>
        <w:tc>
          <w:tcPr>
            <w:tcW w:w="1059" w:type="dxa"/>
            <w:tcBorders>
              <w:top w:val="nil"/>
              <w:left w:val="nil"/>
              <w:bottom w:val="single" w:sz="4" w:space="0" w:color="auto"/>
              <w:right w:val="single" w:sz="4" w:space="0" w:color="auto"/>
            </w:tcBorders>
            <w:shd w:val="clear" w:color="auto" w:fill="auto"/>
            <w:vAlign w:val="center"/>
            <w:hideMark/>
          </w:tcPr>
          <w:p w14:paraId="142180CE" w14:textId="77777777" w:rsidR="0064765C" w:rsidRPr="004B6B33" w:rsidRDefault="0064765C" w:rsidP="0064765C">
            <w:pPr>
              <w:pStyle w:val="TableTextRight-Burden"/>
            </w:pPr>
            <w:r w:rsidRPr="004B6B33">
              <w:t>10</w:t>
            </w:r>
          </w:p>
        </w:tc>
        <w:tc>
          <w:tcPr>
            <w:tcW w:w="1408" w:type="dxa"/>
            <w:tcBorders>
              <w:top w:val="nil"/>
              <w:left w:val="nil"/>
              <w:bottom w:val="single" w:sz="4" w:space="0" w:color="auto"/>
              <w:right w:val="single" w:sz="4" w:space="0" w:color="auto"/>
            </w:tcBorders>
            <w:shd w:val="clear" w:color="auto" w:fill="auto"/>
            <w:vAlign w:val="center"/>
            <w:hideMark/>
          </w:tcPr>
          <w:p w14:paraId="64570FB0" w14:textId="77777777" w:rsidR="0064765C" w:rsidRPr="004B6B33" w:rsidRDefault="0064765C" w:rsidP="0064765C">
            <w:pPr>
              <w:pStyle w:val="TableTextRight-Burden"/>
            </w:pPr>
            <w:r w:rsidRPr="004B6B33">
              <w:t>1</w:t>
            </w:r>
          </w:p>
        </w:tc>
        <w:tc>
          <w:tcPr>
            <w:tcW w:w="1408" w:type="dxa"/>
            <w:tcBorders>
              <w:top w:val="nil"/>
              <w:left w:val="nil"/>
              <w:bottom w:val="single" w:sz="4" w:space="0" w:color="auto"/>
              <w:right w:val="single" w:sz="4" w:space="0" w:color="auto"/>
            </w:tcBorders>
            <w:shd w:val="clear" w:color="auto" w:fill="auto"/>
            <w:vAlign w:val="center"/>
            <w:hideMark/>
          </w:tcPr>
          <w:p w14:paraId="7B01BD42" w14:textId="77777777" w:rsidR="0064765C" w:rsidRPr="004B6B33" w:rsidRDefault="0064765C" w:rsidP="0064765C">
            <w:pPr>
              <w:pStyle w:val="TableTextRight-Burden"/>
            </w:pPr>
            <w:r w:rsidRPr="00072C68">
              <w:t>10</w:t>
            </w:r>
          </w:p>
        </w:tc>
        <w:tc>
          <w:tcPr>
            <w:tcW w:w="1162" w:type="dxa"/>
            <w:tcBorders>
              <w:top w:val="nil"/>
              <w:left w:val="nil"/>
              <w:bottom w:val="single" w:sz="4" w:space="0" w:color="auto"/>
              <w:right w:val="single" w:sz="4" w:space="0" w:color="auto"/>
            </w:tcBorders>
            <w:shd w:val="clear" w:color="auto" w:fill="auto"/>
            <w:hideMark/>
          </w:tcPr>
          <w:p w14:paraId="0CC68384" w14:textId="7A1B0A9D" w:rsidR="0064765C" w:rsidRPr="004A02C7" w:rsidRDefault="0064765C" w:rsidP="0064765C">
            <w:pPr>
              <w:pStyle w:val="TableTextRight-Burden"/>
            </w:pPr>
            <w:r w:rsidRPr="005E7457">
              <w:t>1</w:t>
            </w:r>
          </w:p>
        </w:tc>
        <w:tc>
          <w:tcPr>
            <w:tcW w:w="1090" w:type="dxa"/>
            <w:tcBorders>
              <w:top w:val="nil"/>
              <w:left w:val="nil"/>
              <w:bottom w:val="single" w:sz="4" w:space="0" w:color="auto"/>
              <w:right w:val="single" w:sz="4" w:space="0" w:color="auto"/>
            </w:tcBorders>
            <w:shd w:val="clear" w:color="auto" w:fill="auto"/>
            <w:hideMark/>
          </w:tcPr>
          <w:p w14:paraId="36B02037" w14:textId="7A7328C9" w:rsidR="0064765C" w:rsidRPr="004A02C7" w:rsidRDefault="0064765C" w:rsidP="0064765C">
            <w:pPr>
              <w:pStyle w:val="TableTextRight-Burden"/>
            </w:pPr>
            <w:r w:rsidRPr="005E7457">
              <w:t>10</w:t>
            </w:r>
          </w:p>
        </w:tc>
        <w:tc>
          <w:tcPr>
            <w:tcW w:w="1147" w:type="dxa"/>
            <w:tcBorders>
              <w:top w:val="nil"/>
              <w:left w:val="nil"/>
              <w:bottom w:val="single" w:sz="4" w:space="0" w:color="auto"/>
              <w:right w:val="single" w:sz="4" w:space="0" w:color="auto"/>
            </w:tcBorders>
            <w:shd w:val="clear" w:color="auto" w:fill="auto"/>
            <w:hideMark/>
          </w:tcPr>
          <w:p w14:paraId="1DD0BFD7" w14:textId="2EF09BAF" w:rsidR="0064765C" w:rsidRPr="004A02C7" w:rsidRDefault="0064765C" w:rsidP="0064765C">
            <w:pPr>
              <w:pStyle w:val="TableTextRight-Burden"/>
            </w:pPr>
            <w:r w:rsidRPr="005E7457">
              <w:t>1</w:t>
            </w:r>
          </w:p>
        </w:tc>
        <w:tc>
          <w:tcPr>
            <w:tcW w:w="1211" w:type="dxa"/>
            <w:tcBorders>
              <w:top w:val="nil"/>
              <w:left w:val="nil"/>
              <w:bottom w:val="single" w:sz="4" w:space="0" w:color="auto"/>
              <w:right w:val="single" w:sz="4" w:space="0" w:color="auto"/>
            </w:tcBorders>
            <w:shd w:val="clear" w:color="auto" w:fill="auto"/>
            <w:hideMark/>
          </w:tcPr>
          <w:p w14:paraId="6C5C571F" w14:textId="5F915B5E" w:rsidR="0064765C" w:rsidRPr="004A02C7" w:rsidRDefault="0064765C" w:rsidP="0064765C">
            <w:pPr>
              <w:pStyle w:val="TableTextRight-Burden"/>
            </w:pPr>
            <w:r w:rsidRPr="005E7457">
              <w:t>1</w:t>
            </w:r>
          </w:p>
        </w:tc>
        <w:tc>
          <w:tcPr>
            <w:tcW w:w="1256" w:type="dxa"/>
            <w:tcBorders>
              <w:top w:val="nil"/>
              <w:left w:val="nil"/>
              <w:bottom w:val="single" w:sz="4" w:space="0" w:color="auto"/>
              <w:right w:val="single" w:sz="4" w:space="0" w:color="auto"/>
            </w:tcBorders>
            <w:shd w:val="clear" w:color="auto" w:fill="auto"/>
            <w:hideMark/>
          </w:tcPr>
          <w:p w14:paraId="2D872D0F" w14:textId="666B1A56" w:rsidR="0064765C" w:rsidRPr="004A02C7" w:rsidRDefault="0064765C" w:rsidP="0064765C">
            <w:pPr>
              <w:pStyle w:val="TableTextRight-Burden"/>
            </w:pPr>
            <w:r w:rsidRPr="005E7457">
              <w:t>$639</w:t>
            </w:r>
          </w:p>
        </w:tc>
      </w:tr>
      <w:tr w:rsidR="00880E34" w:rsidRPr="004B6B33" w14:paraId="3AC2C749" w14:textId="77777777" w:rsidTr="00880E34">
        <w:tc>
          <w:tcPr>
            <w:tcW w:w="4937" w:type="dxa"/>
            <w:tcBorders>
              <w:top w:val="nil"/>
              <w:left w:val="single" w:sz="4" w:space="0" w:color="auto"/>
              <w:bottom w:val="single" w:sz="4" w:space="0" w:color="auto"/>
              <w:right w:val="single" w:sz="4" w:space="0" w:color="auto"/>
            </w:tcBorders>
            <w:shd w:val="clear" w:color="auto" w:fill="auto"/>
            <w:hideMark/>
          </w:tcPr>
          <w:p w14:paraId="4A29E3A0" w14:textId="77777777" w:rsidR="00880E34" w:rsidRPr="00CC4DBE" w:rsidRDefault="00880E34" w:rsidP="00880E34">
            <w:pPr>
              <w:pStyle w:val="TableTextLeft-Burden"/>
            </w:pPr>
            <w:r w:rsidRPr="00C85192">
              <w:t>Mail out questionnaire</w:t>
            </w:r>
            <w:r w:rsidRPr="00AB56FD">
              <w:rPr>
                <w:rStyle w:val="Superscript"/>
              </w:rPr>
              <w:t>3</w:t>
            </w:r>
          </w:p>
        </w:tc>
        <w:tc>
          <w:tcPr>
            <w:tcW w:w="1059" w:type="dxa"/>
            <w:tcBorders>
              <w:top w:val="nil"/>
              <w:left w:val="nil"/>
              <w:bottom w:val="single" w:sz="4" w:space="0" w:color="auto"/>
              <w:right w:val="single" w:sz="4" w:space="0" w:color="auto"/>
            </w:tcBorders>
            <w:shd w:val="clear" w:color="auto" w:fill="auto"/>
            <w:vAlign w:val="center"/>
            <w:hideMark/>
          </w:tcPr>
          <w:p w14:paraId="440E5168" w14:textId="77777777" w:rsidR="00880E34" w:rsidRPr="004B6B33" w:rsidRDefault="00880E34" w:rsidP="00880E34">
            <w:pPr>
              <w:pStyle w:val="TableTextRight-Burden"/>
            </w:pPr>
            <w:r w:rsidRPr="004B6B33">
              <w:t>0.7</w:t>
            </w:r>
          </w:p>
        </w:tc>
        <w:tc>
          <w:tcPr>
            <w:tcW w:w="1408" w:type="dxa"/>
            <w:tcBorders>
              <w:top w:val="nil"/>
              <w:left w:val="nil"/>
              <w:bottom w:val="single" w:sz="4" w:space="0" w:color="auto"/>
              <w:right w:val="single" w:sz="4" w:space="0" w:color="auto"/>
            </w:tcBorders>
            <w:shd w:val="clear" w:color="auto" w:fill="auto"/>
            <w:vAlign w:val="center"/>
            <w:hideMark/>
          </w:tcPr>
          <w:p w14:paraId="7455EC47" w14:textId="77777777" w:rsidR="00880E34" w:rsidRPr="004B6B33" w:rsidRDefault="00880E34" w:rsidP="00880E34">
            <w:pPr>
              <w:pStyle w:val="TableTextRight-Burden"/>
            </w:pPr>
            <w:r w:rsidRPr="004B6B33">
              <w:t>1</w:t>
            </w:r>
          </w:p>
        </w:tc>
        <w:tc>
          <w:tcPr>
            <w:tcW w:w="1408" w:type="dxa"/>
            <w:tcBorders>
              <w:top w:val="nil"/>
              <w:left w:val="nil"/>
              <w:bottom w:val="single" w:sz="4" w:space="0" w:color="auto"/>
              <w:right w:val="single" w:sz="4" w:space="0" w:color="auto"/>
            </w:tcBorders>
            <w:shd w:val="clear" w:color="auto" w:fill="auto"/>
            <w:vAlign w:val="center"/>
            <w:hideMark/>
          </w:tcPr>
          <w:p w14:paraId="1F565668" w14:textId="77777777" w:rsidR="00880E34" w:rsidRPr="004B6B33" w:rsidRDefault="00880E34" w:rsidP="00880E34">
            <w:pPr>
              <w:pStyle w:val="TableTextRight-Burden"/>
            </w:pPr>
            <w:r w:rsidRPr="00072C68">
              <w:t>0.7</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14:paraId="4E3D9BF0" w14:textId="5AE71CCA" w:rsidR="00880E34" w:rsidRPr="004A02C7" w:rsidRDefault="00880E34" w:rsidP="00880E34">
            <w:pPr>
              <w:pStyle w:val="TableTextRight-Burden"/>
            </w:pPr>
            <w:r w:rsidRPr="00D3239D">
              <w:t>391</w:t>
            </w:r>
          </w:p>
        </w:tc>
        <w:tc>
          <w:tcPr>
            <w:tcW w:w="1090" w:type="dxa"/>
            <w:tcBorders>
              <w:top w:val="nil"/>
              <w:left w:val="nil"/>
              <w:bottom w:val="single" w:sz="4" w:space="0" w:color="auto"/>
              <w:right w:val="single" w:sz="4" w:space="0" w:color="auto"/>
            </w:tcBorders>
            <w:shd w:val="clear" w:color="auto" w:fill="auto"/>
            <w:hideMark/>
          </w:tcPr>
          <w:p w14:paraId="2C941CF5" w14:textId="6F4845D3" w:rsidR="00880E34" w:rsidRPr="004A02C7" w:rsidRDefault="00880E34" w:rsidP="00880E34">
            <w:pPr>
              <w:pStyle w:val="TableTextRight-Burden"/>
            </w:pPr>
            <w:r w:rsidRPr="00D3239D">
              <w:t>274</w:t>
            </w:r>
          </w:p>
        </w:tc>
        <w:tc>
          <w:tcPr>
            <w:tcW w:w="1147" w:type="dxa"/>
            <w:tcBorders>
              <w:top w:val="nil"/>
              <w:left w:val="nil"/>
              <w:bottom w:val="single" w:sz="4" w:space="0" w:color="auto"/>
              <w:right w:val="single" w:sz="4" w:space="0" w:color="auto"/>
            </w:tcBorders>
            <w:shd w:val="clear" w:color="auto" w:fill="auto"/>
            <w:hideMark/>
          </w:tcPr>
          <w:p w14:paraId="4927A384" w14:textId="42ABA4B1" w:rsidR="00880E34" w:rsidRPr="004A02C7" w:rsidRDefault="00880E34" w:rsidP="00880E34">
            <w:pPr>
              <w:pStyle w:val="TableTextRight-Burden"/>
            </w:pPr>
            <w:r w:rsidRPr="00D3239D">
              <w:t>14</w:t>
            </w:r>
          </w:p>
        </w:tc>
        <w:tc>
          <w:tcPr>
            <w:tcW w:w="1211" w:type="dxa"/>
            <w:tcBorders>
              <w:top w:val="nil"/>
              <w:left w:val="nil"/>
              <w:bottom w:val="single" w:sz="4" w:space="0" w:color="auto"/>
              <w:right w:val="single" w:sz="4" w:space="0" w:color="auto"/>
            </w:tcBorders>
            <w:shd w:val="clear" w:color="auto" w:fill="auto"/>
            <w:hideMark/>
          </w:tcPr>
          <w:p w14:paraId="10B8E7DB" w14:textId="4DD9E9A6" w:rsidR="00880E34" w:rsidRPr="004A02C7" w:rsidRDefault="00880E34" w:rsidP="00880E34">
            <w:pPr>
              <w:pStyle w:val="TableTextRight-Burden"/>
            </w:pPr>
            <w:r w:rsidRPr="00D3239D">
              <w:t>27</w:t>
            </w:r>
          </w:p>
        </w:tc>
        <w:tc>
          <w:tcPr>
            <w:tcW w:w="1256" w:type="dxa"/>
            <w:tcBorders>
              <w:top w:val="nil"/>
              <w:left w:val="nil"/>
              <w:bottom w:val="single" w:sz="4" w:space="0" w:color="auto"/>
              <w:right w:val="single" w:sz="4" w:space="0" w:color="auto"/>
            </w:tcBorders>
            <w:shd w:val="clear" w:color="auto" w:fill="auto"/>
            <w:hideMark/>
          </w:tcPr>
          <w:p w14:paraId="20A37B6D" w14:textId="3BE56CDB" w:rsidR="00880E34" w:rsidRPr="004A02C7" w:rsidRDefault="00880E34" w:rsidP="00880E34">
            <w:pPr>
              <w:pStyle w:val="TableTextRight-Burden"/>
            </w:pPr>
            <w:r w:rsidRPr="00D3239D">
              <w:t>$17,481</w:t>
            </w:r>
          </w:p>
        </w:tc>
      </w:tr>
      <w:tr w:rsidR="00880E34" w:rsidRPr="004B6B33" w14:paraId="2F80D1C5" w14:textId="77777777" w:rsidTr="00880E34">
        <w:tc>
          <w:tcPr>
            <w:tcW w:w="4937" w:type="dxa"/>
            <w:tcBorders>
              <w:top w:val="nil"/>
              <w:left w:val="single" w:sz="4" w:space="0" w:color="auto"/>
              <w:bottom w:val="single" w:sz="4" w:space="0" w:color="auto"/>
              <w:right w:val="single" w:sz="4" w:space="0" w:color="auto"/>
            </w:tcBorders>
            <w:shd w:val="clear" w:color="auto" w:fill="auto"/>
            <w:hideMark/>
          </w:tcPr>
          <w:p w14:paraId="5D640852" w14:textId="77777777" w:rsidR="00880E34" w:rsidRPr="00CC4DBE" w:rsidRDefault="00880E34" w:rsidP="00880E34">
            <w:pPr>
              <w:pStyle w:val="TableTextLeft-Burden"/>
            </w:pPr>
            <w:r w:rsidRPr="00C85192">
              <w:t xml:space="preserve">Analyze and respond to claims that survey is not required to be completed due to area source status, </w:t>
            </w:r>
            <w:r>
              <w:t>facility</w:t>
            </w:r>
            <w:r w:rsidRPr="00C85192">
              <w:t xml:space="preserve"> closure, or because </w:t>
            </w:r>
            <w:r>
              <w:t>facility</w:t>
            </w:r>
            <w:r w:rsidRPr="00C85192">
              <w:t xml:space="preserve"> does not produce PCWP products</w:t>
            </w:r>
            <w:r w:rsidRPr="00AB56FD">
              <w:rPr>
                <w:rStyle w:val="Superscript"/>
              </w:rPr>
              <w:t>4</w:t>
            </w:r>
          </w:p>
        </w:tc>
        <w:tc>
          <w:tcPr>
            <w:tcW w:w="1059" w:type="dxa"/>
            <w:tcBorders>
              <w:top w:val="nil"/>
              <w:left w:val="nil"/>
              <w:bottom w:val="single" w:sz="4" w:space="0" w:color="auto"/>
              <w:right w:val="single" w:sz="4" w:space="0" w:color="auto"/>
            </w:tcBorders>
            <w:shd w:val="clear" w:color="auto" w:fill="auto"/>
            <w:vAlign w:val="center"/>
            <w:hideMark/>
          </w:tcPr>
          <w:p w14:paraId="61A01298" w14:textId="77777777" w:rsidR="00880E34" w:rsidRPr="004B6B33" w:rsidRDefault="00880E34" w:rsidP="00880E34">
            <w:pPr>
              <w:pStyle w:val="TableTextRight-Burden"/>
            </w:pPr>
            <w:r w:rsidRPr="004B6B33">
              <w:t>1</w:t>
            </w:r>
          </w:p>
        </w:tc>
        <w:tc>
          <w:tcPr>
            <w:tcW w:w="1408" w:type="dxa"/>
            <w:tcBorders>
              <w:top w:val="nil"/>
              <w:left w:val="nil"/>
              <w:bottom w:val="single" w:sz="4" w:space="0" w:color="auto"/>
              <w:right w:val="single" w:sz="4" w:space="0" w:color="auto"/>
            </w:tcBorders>
            <w:shd w:val="clear" w:color="auto" w:fill="auto"/>
            <w:vAlign w:val="center"/>
            <w:hideMark/>
          </w:tcPr>
          <w:p w14:paraId="54F64522" w14:textId="77777777" w:rsidR="00880E34" w:rsidRPr="004B6B33" w:rsidRDefault="00880E34" w:rsidP="00880E34">
            <w:pPr>
              <w:pStyle w:val="TableTextRight-Burden"/>
            </w:pPr>
            <w:r w:rsidRPr="004B6B33">
              <w:t>1</w:t>
            </w:r>
          </w:p>
        </w:tc>
        <w:tc>
          <w:tcPr>
            <w:tcW w:w="1408" w:type="dxa"/>
            <w:tcBorders>
              <w:top w:val="nil"/>
              <w:left w:val="nil"/>
              <w:bottom w:val="single" w:sz="4" w:space="0" w:color="auto"/>
              <w:right w:val="single" w:sz="4" w:space="0" w:color="auto"/>
            </w:tcBorders>
            <w:shd w:val="clear" w:color="auto" w:fill="auto"/>
            <w:vAlign w:val="center"/>
            <w:hideMark/>
          </w:tcPr>
          <w:p w14:paraId="06C7031F" w14:textId="77777777" w:rsidR="00880E34" w:rsidRPr="004B6B33" w:rsidRDefault="00880E34" w:rsidP="00880E34">
            <w:pPr>
              <w:pStyle w:val="TableTextRight-Burden"/>
            </w:pPr>
            <w:r w:rsidRPr="00072C68">
              <w:t>1</w:t>
            </w:r>
          </w:p>
        </w:tc>
        <w:tc>
          <w:tcPr>
            <w:tcW w:w="1162" w:type="dxa"/>
            <w:tcBorders>
              <w:top w:val="nil"/>
              <w:left w:val="single" w:sz="4" w:space="0" w:color="auto"/>
              <w:bottom w:val="single" w:sz="4" w:space="0" w:color="auto"/>
              <w:right w:val="single" w:sz="4" w:space="0" w:color="auto"/>
            </w:tcBorders>
            <w:shd w:val="clear" w:color="auto" w:fill="auto"/>
            <w:hideMark/>
          </w:tcPr>
          <w:p w14:paraId="1BCF609B" w14:textId="725E3CF1" w:rsidR="00880E34" w:rsidRPr="004A02C7" w:rsidRDefault="00880E34" w:rsidP="00880E34">
            <w:pPr>
              <w:pStyle w:val="TableTextRight-Burden"/>
            </w:pPr>
            <w:r w:rsidRPr="00875D92">
              <w:t>59</w:t>
            </w:r>
          </w:p>
        </w:tc>
        <w:tc>
          <w:tcPr>
            <w:tcW w:w="1090" w:type="dxa"/>
            <w:tcBorders>
              <w:top w:val="nil"/>
              <w:left w:val="nil"/>
              <w:bottom w:val="single" w:sz="4" w:space="0" w:color="auto"/>
              <w:right w:val="single" w:sz="4" w:space="0" w:color="auto"/>
            </w:tcBorders>
            <w:shd w:val="clear" w:color="auto" w:fill="auto"/>
            <w:hideMark/>
          </w:tcPr>
          <w:p w14:paraId="7DB9D174" w14:textId="2454E782" w:rsidR="00880E34" w:rsidRPr="004A02C7" w:rsidRDefault="00880E34" w:rsidP="00880E34">
            <w:pPr>
              <w:pStyle w:val="TableTextRight-Burden"/>
            </w:pPr>
            <w:r w:rsidRPr="00875D92">
              <w:t>59</w:t>
            </w:r>
          </w:p>
        </w:tc>
        <w:tc>
          <w:tcPr>
            <w:tcW w:w="1147" w:type="dxa"/>
            <w:tcBorders>
              <w:top w:val="nil"/>
              <w:left w:val="nil"/>
              <w:bottom w:val="single" w:sz="4" w:space="0" w:color="auto"/>
              <w:right w:val="single" w:sz="4" w:space="0" w:color="auto"/>
            </w:tcBorders>
            <w:shd w:val="clear" w:color="auto" w:fill="auto"/>
            <w:hideMark/>
          </w:tcPr>
          <w:p w14:paraId="5CA5435A" w14:textId="684226BD" w:rsidR="00880E34" w:rsidRPr="004A02C7" w:rsidRDefault="00880E34" w:rsidP="00880E34">
            <w:pPr>
              <w:pStyle w:val="TableTextRight-Burden"/>
            </w:pPr>
            <w:r w:rsidRPr="00875D92">
              <w:t>3</w:t>
            </w:r>
          </w:p>
        </w:tc>
        <w:tc>
          <w:tcPr>
            <w:tcW w:w="1211" w:type="dxa"/>
            <w:tcBorders>
              <w:top w:val="nil"/>
              <w:left w:val="nil"/>
              <w:bottom w:val="single" w:sz="4" w:space="0" w:color="auto"/>
              <w:right w:val="single" w:sz="4" w:space="0" w:color="auto"/>
            </w:tcBorders>
            <w:shd w:val="clear" w:color="auto" w:fill="auto"/>
            <w:hideMark/>
          </w:tcPr>
          <w:p w14:paraId="4B15C968" w14:textId="4CD5098F" w:rsidR="00880E34" w:rsidRPr="004A02C7" w:rsidRDefault="00880E34" w:rsidP="00880E34">
            <w:pPr>
              <w:pStyle w:val="TableTextRight-Burden"/>
            </w:pPr>
            <w:r w:rsidRPr="00875D92">
              <w:t>6</w:t>
            </w:r>
          </w:p>
        </w:tc>
        <w:tc>
          <w:tcPr>
            <w:tcW w:w="1256" w:type="dxa"/>
            <w:tcBorders>
              <w:top w:val="nil"/>
              <w:left w:val="nil"/>
              <w:bottom w:val="single" w:sz="4" w:space="0" w:color="auto"/>
              <w:right w:val="single" w:sz="4" w:space="0" w:color="auto"/>
            </w:tcBorders>
            <w:shd w:val="clear" w:color="auto" w:fill="auto"/>
            <w:hideMark/>
          </w:tcPr>
          <w:p w14:paraId="1DDC8256" w14:textId="4F476A5E" w:rsidR="00880E34" w:rsidRPr="004A02C7" w:rsidRDefault="00880E34" w:rsidP="00880E34">
            <w:pPr>
              <w:pStyle w:val="TableTextRight-Burden"/>
            </w:pPr>
            <w:r w:rsidRPr="00875D92">
              <w:t>$3,746</w:t>
            </w:r>
          </w:p>
        </w:tc>
      </w:tr>
      <w:tr w:rsidR="00880E34" w:rsidRPr="004B6B33" w14:paraId="03BBD922" w14:textId="77777777" w:rsidTr="00880E34">
        <w:tc>
          <w:tcPr>
            <w:tcW w:w="4937" w:type="dxa"/>
            <w:tcBorders>
              <w:top w:val="nil"/>
              <w:left w:val="single" w:sz="4" w:space="0" w:color="auto"/>
              <w:bottom w:val="single" w:sz="4" w:space="0" w:color="auto"/>
              <w:right w:val="single" w:sz="4" w:space="0" w:color="auto"/>
            </w:tcBorders>
            <w:shd w:val="clear" w:color="auto" w:fill="auto"/>
            <w:hideMark/>
          </w:tcPr>
          <w:p w14:paraId="7BFC32B4" w14:textId="77777777" w:rsidR="00880E34" w:rsidRPr="00CC4DBE" w:rsidRDefault="00880E34" w:rsidP="00880E34">
            <w:pPr>
              <w:pStyle w:val="TableTextLeft-Burden"/>
            </w:pPr>
            <w:r w:rsidRPr="00C85192">
              <w:t>Answer respondent questions via phone, email, and/or frequently asked questions posted on webpage</w:t>
            </w:r>
            <w:r w:rsidRPr="00AB56FD">
              <w:rPr>
                <w:rStyle w:val="Superscript"/>
              </w:rPr>
              <w:t>5</w:t>
            </w:r>
          </w:p>
        </w:tc>
        <w:tc>
          <w:tcPr>
            <w:tcW w:w="1059" w:type="dxa"/>
            <w:tcBorders>
              <w:top w:val="nil"/>
              <w:left w:val="nil"/>
              <w:bottom w:val="single" w:sz="4" w:space="0" w:color="auto"/>
              <w:right w:val="single" w:sz="4" w:space="0" w:color="auto"/>
            </w:tcBorders>
            <w:shd w:val="clear" w:color="auto" w:fill="auto"/>
            <w:vAlign w:val="center"/>
            <w:hideMark/>
          </w:tcPr>
          <w:p w14:paraId="15320FD1" w14:textId="77777777" w:rsidR="00880E34" w:rsidRPr="004B6B33" w:rsidRDefault="00880E34" w:rsidP="00880E34">
            <w:pPr>
              <w:pStyle w:val="TableTextRight-Burden"/>
            </w:pPr>
            <w:r w:rsidRPr="004B6B33">
              <w:t>1</w:t>
            </w:r>
          </w:p>
        </w:tc>
        <w:tc>
          <w:tcPr>
            <w:tcW w:w="1408" w:type="dxa"/>
            <w:tcBorders>
              <w:top w:val="nil"/>
              <w:left w:val="nil"/>
              <w:bottom w:val="single" w:sz="4" w:space="0" w:color="auto"/>
              <w:right w:val="single" w:sz="4" w:space="0" w:color="auto"/>
            </w:tcBorders>
            <w:shd w:val="clear" w:color="auto" w:fill="auto"/>
            <w:vAlign w:val="center"/>
            <w:hideMark/>
          </w:tcPr>
          <w:p w14:paraId="3C95721C" w14:textId="77777777" w:rsidR="00880E34" w:rsidRPr="004B6B33" w:rsidRDefault="00880E34" w:rsidP="00880E34">
            <w:pPr>
              <w:pStyle w:val="TableTextRight-Burden"/>
            </w:pPr>
            <w:r w:rsidRPr="004B6B33">
              <w:t>1</w:t>
            </w:r>
          </w:p>
        </w:tc>
        <w:tc>
          <w:tcPr>
            <w:tcW w:w="1408" w:type="dxa"/>
            <w:tcBorders>
              <w:top w:val="nil"/>
              <w:left w:val="nil"/>
              <w:bottom w:val="single" w:sz="4" w:space="0" w:color="auto"/>
              <w:right w:val="single" w:sz="4" w:space="0" w:color="auto"/>
            </w:tcBorders>
            <w:shd w:val="clear" w:color="auto" w:fill="auto"/>
            <w:vAlign w:val="center"/>
            <w:hideMark/>
          </w:tcPr>
          <w:p w14:paraId="4C4763F4" w14:textId="77777777" w:rsidR="00880E34" w:rsidRPr="004B6B33" w:rsidRDefault="00880E34" w:rsidP="00880E34">
            <w:pPr>
              <w:pStyle w:val="TableTextRight-Burden"/>
            </w:pPr>
            <w:r w:rsidRPr="00072C68">
              <w:t>1</w:t>
            </w:r>
          </w:p>
        </w:tc>
        <w:tc>
          <w:tcPr>
            <w:tcW w:w="1162" w:type="dxa"/>
            <w:tcBorders>
              <w:top w:val="nil"/>
              <w:left w:val="single" w:sz="4" w:space="0" w:color="auto"/>
              <w:bottom w:val="single" w:sz="4" w:space="0" w:color="auto"/>
              <w:right w:val="single" w:sz="4" w:space="0" w:color="auto"/>
            </w:tcBorders>
            <w:shd w:val="clear" w:color="auto" w:fill="auto"/>
            <w:hideMark/>
          </w:tcPr>
          <w:p w14:paraId="69D261ED" w14:textId="52CD645C" w:rsidR="00880E34" w:rsidRPr="004A02C7" w:rsidRDefault="00880E34" w:rsidP="00880E34">
            <w:pPr>
              <w:pStyle w:val="TableTextRight-Burden"/>
            </w:pPr>
            <w:r w:rsidRPr="00875D92">
              <w:t>98</w:t>
            </w:r>
          </w:p>
        </w:tc>
        <w:tc>
          <w:tcPr>
            <w:tcW w:w="1090" w:type="dxa"/>
            <w:tcBorders>
              <w:top w:val="nil"/>
              <w:left w:val="nil"/>
              <w:bottom w:val="single" w:sz="4" w:space="0" w:color="auto"/>
              <w:right w:val="single" w:sz="4" w:space="0" w:color="auto"/>
            </w:tcBorders>
            <w:shd w:val="clear" w:color="auto" w:fill="auto"/>
            <w:hideMark/>
          </w:tcPr>
          <w:p w14:paraId="4703BC94" w14:textId="2C9002CD" w:rsidR="00880E34" w:rsidRPr="004A02C7" w:rsidRDefault="00880E34" w:rsidP="00880E34">
            <w:pPr>
              <w:pStyle w:val="TableTextRight-Burden"/>
            </w:pPr>
            <w:r w:rsidRPr="00875D92">
              <w:t>98</w:t>
            </w:r>
          </w:p>
        </w:tc>
        <w:tc>
          <w:tcPr>
            <w:tcW w:w="1147" w:type="dxa"/>
            <w:tcBorders>
              <w:top w:val="nil"/>
              <w:left w:val="nil"/>
              <w:bottom w:val="single" w:sz="4" w:space="0" w:color="auto"/>
              <w:right w:val="single" w:sz="4" w:space="0" w:color="auto"/>
            </w:tcBorders>
            <w:shd w:val="clear" w:color="auto" w:fill="auto"/>
            <w:hideMark/>
          </w:tcPr>
          <w:p w14:paraId="756660CA" w14:textId="2BC84319" w:rsidR="00880E34" w:rsidRPr="004A02C7" w:rsidRDefault="00880E34" w:rsidP="00880E34">
            <w:pPr>
              <w:pStyle w:val="TableTextRight-Burden"/>
            </w:pPr>
            <w:r w:rsidRPr="00875D92">
              <w:t>5</w:t>
            </w:r>
          </w:p>
        </w:tc>
        <w:tc>
          <w:tcPr>
            <w:tcW w:w="1211" w:type="dxa"/>
            <w:tcBorders>
              <w:top w:val="nil"/>
              <w:left w:val="nil"/>
              <w:bottom w:val="single" w:sz="4" w:space="0" w:color="auto"/>
              <w:right w:val="single" w:sz="4" w:space="0" w:color="auto"/>
            </w:tcBorders>
            <w:shd w:val="clear" w:color="auto" w:fill="auto"/>
            <w:hideMark/>
          </w:tcPr>
          <w:p w14:paraId="739C1C37" w14:textId="3CC2DAA4" w:rsidR="00880E34" w:rsidRPr="004A02C7" w:rsidRDefault="00880E34" w:rsidP="00880E34">
            <w:pPr>
              <w:pStyle w:val="TableTextRight-Burden"/>
            </w:pPr>
            <w:r w:rsidRPr="00875D92">
              <w:t>10</w:t>
            </w:r>
          </w:p>
        </w:tc>
        <w:tc>
          <w:tcPr>
            <w:tcW w:w="1256" w:type="dxa"/>
            <w:tcBorders>
              <w:top w:val="nil"/>
              <w:left w:val="nil"/>
              <w:bottom w:val="single" w:sz="4" w:space="0" w:color="auto"/>
              <w:right w:val="single" w:sz="4" w:space="0" w:color="auto"/>
            </w:tcBorders>
            <w:shd w:val="clear" w:color="auto" w:fill="auto"/>
            <w:hideMark/>
          </w:tcPr>
          <w:p w14:paraId="46F36D7B" w14:textId="1A4AA723" w:rsidR="00880E34" w:rsidRPr="004A02C7" w:rsidRDefault="00880E34" w:rsidP="00880E34">
            <w:pPr>
              <w:pStyle w:val="TableTextRight-Burden"/>
            </w:pPr>
            <w:r w:rsidRPr="00875D92">
              <w:t>$6,243</w:t>
            </w:r>
          </w:p>
        </w:tc>
      </w:tr>
      <w:tr w:rsidR="00880E34" w:rsidRPr="004B6B33" w14:paraId="4A2A5C50" w14:textId="77777777" w:rsidTr="00880E34">
        <w:tc>
          <w:tcPr>
            <w:tcW w:w="4937" w:type="dxa"/>
            <w:tcBorders>
              <w:top w:val="nil"/>
              <w:left w:val="single" w:sz="4" w:space="0" w:color="auto"/>
              <w:bottom w:val="single" w:sz="4" w:space="0" w:color="auto"/>
              <w:right w:val="single" w:sz="4" w:space="0" w:color="auto"/>
            </w:tcBorders>
            <w:shd w:val="clear" w:color="auto" w:fill="auto"/>
            <w:hideMark/>
          </w:tcPr>
          <w:p w14:paraId="5885B1D6" w14:textId="77777777" w:rsidR="00880E34" w:rsidRPr="00CC4DBE" w:rsidRDefault="00880E34" w:rsidP="00880E34">
            <w:pPr>
              <w:pStyle w:val="TableTextLeft-Burden"/>
            </w:pPr>
            <w:r w:rsidRPr="00C85192">
              <w:t>Analyze requests for confidentiality</w:t>
            </w:r>
            <w:r w:rsidRPr="00AB56FD">
              <w:rPr>
                <w:rStyle w:val="Superscript"/>
              </w:rPr>
              <w:t>6</w:t>
            </w:r>
          </w:p>
        </w:tc>
        <w:tc>
          <w:tcPr>
            <w:tcW w:w="1059" w:type="dxa"/>
            <w:tcBorders>
              <w:top w:val="nil"/>
              <w:left w:val="nil"/>
              <w:bottom w:val="single" w:sz="4" w:space="0" w:color="auto"/>
              <w:right w:val="single" w:sz="4" w:space="0" w:color="auto"/>
            </w:tcBorders>
            <w:shd w:val="clear" w:color="auto" w:fill="auto"/>
            <w:vAlign w:val="center"/>
            <w:hideMark/>
          </w:tcPr>
          <w:p w14:paraId="1C043955" w14:textId="77777777" w:rsidR="00880E34" w:rsidRPr="004B6B33" w:rsidRDefault="00880E34" w:rsidP="00880E34">
            <w:pPr>
              <w:pStyle w:val="TableTextRight-Burden"/>
            </w:pPr>
            <w:r w:rsidRPr="004B6B33">
              <w:t>1</w:t>
            </w:r>
          </w:p>
        </w:tc>
        <w:tc>
          <w:tcPr>
            <w:tcW w:w="1408" w:type="dxa"/>
            <w:tcBorders>
              <w:top w:val="nil"/>
              <w:left w:val="nil"/>
              <w:bottom w:val="single" w:sz="4" w:space="0" w:color="auto"/>
              <w:right w:val="single" w:sz="4" w:space="0" w:color="auto"/>
            </w:tcBorders>
            <w:shd w:val="clear" w:color="auto" w:fill="auto"/>
            <w:vAlign w:val="center"/>
            <w:hideMark/>
          </w:tcPr>
          <w:p w14:paraId="69183C81" w14:textId="77777777" w:rsidR="00880E34" w:rsidRPr="004B6B33" w:rsidRDefault="00880E34" w:rsidP="00880E34">
            <w:pPr>
              <w:pStyle w:val="TableTextRight-Burden"/>
            </w:pPr>
            <w:r w:rsidRPr="004B6B33">
              <w:t>1</w:t>
            </w:r>
          </w:p>
        </w:tc>
        <w:tc>
          <w:tcPr>
            <w:tcW w:w="1408" w:type="dxa"/>
            <w:tcBorders>
              <w:top w:val="nil"/>
              <w:left w:val="nil"/>
              <w:bottom w:val="single" w:sz="4" w:space="0" w:color="auto"/>
              <w:right w:val="single" w:sz="4" w:space="0" w:color="auto"/>
            </w:tcBorders>
            <w:shd w:val="clear" w:color="auto" w:fill="auto"/>
            <w:vAlign w:val="center"/>
            <w:hideMark/>
          </w:tcPr>
          <w:p w14:paraId="61D61DC4" w14:textId="77777777" w:rsidR="00880E34" w:rsidRPr="004B6B33" w:rsidRDefault="00880E34" w:rsidP="00880E34">
            <w:pPr>
              <w:pStyle w:val="TableTextRight-Burden"/>
            </w:pPr>
            <w:r w:rsidRPr="00072C68">
              <w:t>1</w:t>
            </w:r>
          </w:p>
        </w:tc>
        <w:tc>
          <w:tcPr>
            <w:tcW w:w="1162" w:type="dxa"/>
            <w:tcBorders>
              <w:top w:val="nil"/>
              <w:left w:val="single" w:sz="4" w:space="0" w:color="auto"/>
              <w:bottom w:val="single" w:sz="4" w:space="0" w:color="auto"/>
              <w:right w:val="single" w:sz="4" w:space="0" w:color="auto"/>
            </w:tcBorders>
            <w:shd w:val="clear" w:color="auto" w:fill="auto"/>
            <w:hideMark/>
          </w:tcPr>
          <w:p w14:paraId="6E40E089" w14:textId="5D5F7246" w:rsidR="00880E34" w:rsidRPr="004A02C7" w:rsidRDefault="00880E34" w:rsidP="00880E34">
            <w:pPr>
              <w:pStyle w:val="TableTextRight-Burden"/>
            </w:pPr>
            <w:r w:rsidRPr="00875D92">
              <w:t>98</w:t>
            </w:r>
          </w:p>
        </w:tc>
        <w:tc>
          <w:tcPr>
            <w:tcW w:w="1090" w:type="dxa"/>
            <w:tcBorders>
              <w:top w:val="nil"/>
              <w:left w:val="nil"/>
              <w:bottom w:val="single" w:sz="4" w:space="0" w:color="auto"/>
              <w:right w:val="single" w:sz="4" w:space="0" w:color="auto"/>
            </w:tcBorders>
            <w:shd w:val="clear" w:color="auto" w:fill="auto"/>
            <w:hideMark/>
          </w:tcPr>
          <w:p w14:paraId="49F2DD08" w14:textId="31AFCC36" w:rsidR="00880E34" w:rsidRPr="004A02C7" w:rsidRDefault="00880E34" w:rsidP="00880E34">
            <w:pPr>
              <w:pStyle w:val="TableTextRight-Burden"/>
            </w:pPr>
            <w:r w:rsidRPr="00875D92">
              <w:t>98</w:t>
            </w:r>
          </w:p>
        </w:tc>
        <w:tc>
          <w:tcPr>
            <w:tcW w:w="1147" w:type="dxa"/>
            <w:tcBorders>
              <w:top w:val="nil"/>
              <w:left w:val="nil"/>
              <w:bottom w:val="single" w:sz="4" w:space="0" w:color="auto"/>
              <w:right w:val="single" w:sz="4" w:space="0" w:color="auto"/>
            </w:tcBorders>
            <w:shd w:val="clear" w:color="auto" w:fill="auto"/>
            <w:hideMark/>
          </w:tcPr>
          <w:p w14:paraId="05166017" w14:textId="4039F2DB" w:rsidR="00880E34" w:rsidRPr="004A02C7" w:rsidRDefault="00880E34" w:rsidP="00880E34">
            <w:pPr>
              <w:pStyle w:val="TableTextRight-Burden"/>
            </w:pPr>
            <w:r w:rsidRPr="00875D92">
              <w:t>5</w:t>
            </w:r>
          </w:p>
        </w:tc>
        <w:tc>
          <w:tcPr>
            <w:tcW w:w="1211" w:type="dxa"/>
            <w:tcBorders>
              <w:top w:val="nil"/>
              <w:left w:val="nil"/>
              <w:bottom w:val="single" w:sz="4" w:space="0" w:color="auto"/>
              <w:right w:val="single" w:sz="4" w:space="0" w:color="auto"/>
            </w:tcBorders>
            <w:shd w:val="clear" w:color="auto" w:fill="auto"/>
            <w:hideMark/>
          </w:tcPr>
          <w:p w14:paraId="46710036" w14:textId="0A26A117" w:rsidR="00880E34" w:rsidRPr="004A02C7" w:rsidRDefault="00880E34" w:rsidP="00880E34">
            <w:pPr>
              <w:pStyle w:val="TableTextRight-Burden"/>
            </w:pPr>
            <w:r w:rsidRPr="00875D92">
              <w:t>10</w:t>
            </w:r>
          </w:p>
        </w:tc>
        <w:tc>
          <w:tcPr>
            <w:tcW w:w="1256" w:type="dxa"/>
            <w:tcBorders>
              <w:top w:val="nil"/>
              <w:left w:val="nil"/>
              <w:bottom w:val="single" w:sz="4" w:space="0" w:color="auto"/>
              <w:right w:val="single" w:sz="4" w:space="0" w:color="auto"/>
            </w:tcBorders>
            <w:shd w:val="clear" w:color="auto" w:fill="auto"/>
            <w:hideMark/>
          </w:tcPr>
          <w:p w14:paraId="7821F7BF" w14:textId="06FEA78E" w:rsidR="00880E34" w:rsidRPr="004A02C7" w:rsidRDefault="00880E34" w:rsidP="00880E34">
            <w:pPr>
              <w:pStyle w:val="TableTextRight-Burden"/>
            </w:pPr>
            <w:r w:rsidRPr="00875D92">
              <w:t>$6,243</w:t>
            </w:r>
          </w:p>
        </w:tc>
      </w:tr>
      <w:tr w:rsidR="00083090" w:rsidRPr="004B6B33" w14:paraId="03FC5FDE" w14:textId="77777777" w:rsidTr="00880E34">
        <w:tc>
          <w:tcPr>
            <w:tcW w:w="4937" w:type="dxa"/>
            <w:tcBorders>
              <w:top w:val="nil"/>
              <w:left w:val="single" w:sz="4" w:space="0" w:color="auto"/>
              <w:bottom w:val="single" w:sz="4" w:space="0" w:color="auto"/>
              <w:right w:val="single" w:sz="4" w:space="0" w:color="auto"/>
            </w:tcBorders>
            <w:shd w:val="clear" w:color="auto" w:fill="auto"/>
            <w:hideMark/>
          </w:tcPr>
          <w:p w14:paraId="562441B4" w14:textId="77777777" w:rsidR="00834737" w:rsidRPr="00CC4DBE" w:rsidRDefault="00834737" w:rsidP="00834737">
            <w:pPr>
              <w:pStyle w:val="TableTextLeft-Burden"/>
            </w:pPr>
            <w:r w:rsidRPr="00C85192">
              <w:t>Review and analyze responses (including follow-up)</w:t>
            </w:r>
          </w:p>
        </w:tc>
        <w:tc>
          <w:tcPr>
            <w:tcW w:w="1059" w:type="dxa"/>
            <w:tcBorders>
              <w:top w:val="nil"/>
              <w:left w:val="nil"/>
              <w:bottom w:val="single" w:sz="4" w:space="0" w:color="auto"/>
              <w:right w:val="single" w:sz="4" w:space="0" w:color="auto"/>
            </w:tcBorders>
            <w:shd w:val="clear" w:color="000000" w:fill="D8D8D8"/>
            <w:vAlign w:val="center"/>
            <w:hideMark/>
          </w:tcPr>
          <w:p w14:paraId="47F96BA9" w14:textId="77777777" w:rsidR="00834737" w:rsidRPr="00CC4DBE" w:rsidRDefault="00834737" w:rsidP="00834737">
            <w:pPr>
              <w:pStyle w:val="TableTextRight-Burden"/>
            </w:pPr>
            <w:r w:rsidRPr="00CC4DBE">
              <w:t> </w:t>
            </w:r>
          </w:p>
        </w:tc>
        <w:tc>
          <w:tcPr>
            <w:tcW w:w="1408" w:type="dxa"/>
            <w:tcBorders>
              <w:top w:val="nil"/>
              <w:left w:val="nil"/>
              <w:bottom w:val="single" w:sz="4" w:space="0" w:color="auto"/>
              <w:right w:val="single" w:sz="4" w:space="0" w:color="auto"/>
            </w:tcBorders>
            <w:shd w:val="clear" w:color="000000" w:fill="D8D8D8"/>
            <w:vAlign w:val="center"/>
            <w:hideMark/>
          </w:tcPr>
          <w:p w14:paraId="46A400FF" w14:textId="77777777" w:rsidR="00834737" w:rsidRPr="00CC4DBE" w:rsidRDefault="00834737" w:rsidP="00834737">
            <w:pPr>
              <w:pStyle w:val="TableTextRight-Burden"/>
            </w:pPr>
            <w:r w:rsidRPr="00CC4DBE">
              <w:t> </w:t>
            </w:r>
          </w:p>
        </w:tc>
        <w:tc>
          <w:tcPr>
            <w:tcW w:w="1408" w:type="dxa"/>
            <w:tcBorders>
              <w:top w:val="nil"/>
              <w:left w:val="nil"/>
              <w:bottom w:val="single" w:sz="4" w:space="0" w:color="auto"/>
              <w:right w:val="single" w:sz="4" w:space="0" w:color="auto"/>
            </w:tcBorders>
            <w:shd w:val="clear" w:color="000000" w:fill="D8D8D8"/>
            <w:vAlign w:val="center"/>
          </w:tcPr>
          <w:p w14:paraId="1CC6FEDF" w14:textId="77777777" w:rsidR="00834737" w:rsidRPr="00CC4DBE" w:rsidRDefault="00834737" w:rsidP="00834737">
            <w:pPr>
              <w:pStyle w:val="TableTextRight-Burden"/>
            </w:pPr>
          </w:p>
        </w:tc>
        <w:tc>
          <w:tcPr>
            <w:tcW w:w="1162" w:type="dxa"/>
            <w:tcBorders>
              <w:top w:val="nil"/>
              <w:left w:val="nil"/>
              <w:bottom w:val="single" w:sz="4" w:space="0" w:color="auto"/>
              <w:right w:val="single" w:sz="4" w:space="0" w:color="auto"/>
            </w:tcBorders>
            <w:shd w:val="clear" w:color="000000" w:fill="D8D8D8"/>
            <w:vAlign w:val="center"/>
          </w:tcPr>
          <w:p w14:paraId="192C6863" w14:textId="3A97AF99" w:rsidR="00834737" w:rsidRPr="00CC4DBE" w:rsidRDefault="00834737" w:rsidP="00834737">
            <w:pPr>
              <w:pStyle w:val="TableTextRight-Burden"/>
            </w:pPr>
          </w:p>
        </w:tc>
        <w:tc>
          <w:tcPr>
            <w:tcW w:w="1090" w:type="dxa"/>
            <w:tcBorders>
              <w:top w:val="nil"/>
              <w:left w:val="nil"/>
              <w:bottom w:val="single" w:sz="4" w:space="0" w:color="auto"/>
              <w:right w:val="single" w:sz="4" w:space="0" w:color="auto"/>
            </w:tcBorders>
            <w:shd w:val="clear" w:color="000000" w:fill="D8D8D8"/>
            <w:vAlign w:val="center"/>
          </w:tcPr>
          <w:p w14:paraId="57AD5A5B" w14:textId="6ED348AB" w:rsidR="00834737" w:rsidRPr="00CC4DBE" w:rsidRDefault="00834737" w:rsidP="00834737">
            <w:pPr>
              <w:pStyle w:val="TableTextRight-Burden"/>
            </w:pPr>
          </w:p>
        </w:tc>
        <w:tc>
          <w:tcPr>
            <w:tcW w:w="1147" w:type="dxa"/>
            <w:tcBorders>
              <w:top w:val="nil"/>
              <w:left w:val="nil"/>
              <w:bottom w:val="single" w:sz="4" w:space="0" w:color="auto"/>
              <w:right w:val="single" w:sz="4" w:space="0" w:color="auto"/>
            </w:tcBorders>
            <w:shd w:val="clear" w:color="000000" w:fill="D8D8D8"/>
            <w:vAlign w:val="center"/>
          </w:tcPr>
          <w:p w14:paraId="30703E56" w14:textId="746C039B" w:rsidR="00834737" w:rsidRPr="00AF3EEF" w:rsidRDefault="00834737" w:rsidP="00834737">
            <w:pPr>
              <w:pStyle w:val="TableTextRight-Burden"/>
            </w:pPr>
          </w:p>
        </w:tc>
        <w:tc>
          <w:tcPr>
            <w:tcW w:w="1211" w:type="dxa"/>
            <w:tcBorders>
              <w:top w:val="nil"/>
              <w:left w:val="nil"/>
              <w:bottom w:val="single" w:sz="4" w:space="0" w:color="auto"/>
              <w:right w:val="single" w:sz="4" w:space="0" w:color="auto"/>
            </w:tcBorders>
            <w:shd w:val="clear" w:color="000000" w:fill="D8D8D8"/>
            <w:vAlign w:val="center"/>
          </w:tcPr>
          <w:p w14:paraId="5D142495" w14:textId="07CD9223" w:rsidR="00834737" w:rsidRPr="00CC4DBE" w:rsidRDefault="00834737" w:rsidP="00834737">
            <w:pPr>
              <w:pStyle w:val="TableTextRight-Burden"/>
            </w:pPr>
          </w:p>
        </w:tc>
        <w:tc>
          <w:tcPr>
            <w:tcW w:w="1256" w:type="dxa"/>
            <w:tcBorders>
              <w:top w:val="nil"/>
              <w:left w:val="nil"/>
              <w:bottom w:val="single" w:sz="4" w:space="0" w:color="auto"/>
              <w:right w:val="single" w:sz="4" w:space="0" w:color="auto"/>
            </w:tcBorders>
            <w:shd w:val="clear" w:color="000000" w:fill="D8D8D8"/>
            <w:vAlign w:val="center"/>
          </w:tcPr>
          <w:p w14:paraId="68CC62EF" w14:textId="77777777" w:rsidR="00834737" w:rsidRPr="004A02C7" w:rsidRDefault="00834737" w:rsidP="004A02C7">
            <w:pPr>
              <w:pStyle w:val="TableTextRight-Burden"/>
            </w:pPr>
          </w:p>
        </w:tc>
      </w:tr>
      <w:tr w:rsidR="00880E34" w:rsidRPr="004B6B33" w14:paraId="550807CB" w14:textId="77777777" w:rsidTr="00880E34">
        <w:tc>
          <w:tcPr>
            <w:tcW w:w="4937" w:type="dxa"/>
            <w:tcBorders>
              <w:top w:val="nil"/>
              <w:left w:val="single" w:sz="4" w:space="0" w:color="auto"/>
              <w:bottom w:val="single" w:sz="4" w:space="0" w:color="auto"/>
              <w:right w:val="single" w:sz="4" w:space="0" w:color="auto"/>
            </w:tcBorders>
            <w:shd w:val="clear" w:color="auto" w:fill="auto"/>
            <w:hideMark/>
          </w:tcPr>
          <w:p w14:paraId="03F6707D" w14:textId="77777777" w:rsidR="00880E34" w:rsidRPr="004B6B33" w:rsidRDefault="00880E34" w:rsidP="00880E34">
            <w:pPr>
              <w:pStyle w:val="TableTextIndent1-Burden"/>
            </w:pPr>
            <w:r w:rsidRPr="00C85192">
              <w:t>PCWP_survey.xlsx spreadsheet data</w:t>
            </w:r>
          </w:p>
        </w:tc>
        <w:tc>
          <w:tcPr>
            <w:tcW w:w="1059" w:type="dxa"/>
            <w:tcBorders>
              <w:top w:val="nil"/>
              <w:left w:val="nil"/>
              <w:bottom w:val="single" w:sz="4" w:space="0" w:color="auto"/>
              <w:right w:val="single" w:sz="4" w:space="0" w:color="auto"/>
            </w:tcBorders>
            <w:shd w:val="clear" w:color="auto" w:fill="auto"/>
            <w:vAlign w:val="center"/>
            <w:hideMark/>
          </w:tcPr>
          <w:p w14:paraId="20461EAA" w14:textId="77777777" w:rsidR="00880E34" w:rsidRPr="004B6B33" w:rsidRDefault="00880E34" w:rsidP="00880E34">
            <w:pPr>
              <w:pStyle w:val="TableTextRight-Burden"/>
            </w:pPr>
            <w:r w:rsidRPr="004B6B33">
              <w:t>20</w:t>
            </w:r>
          </w:p>
        </w:tc>
        <w:tc>
          <w:tcPr>
            <w:tcW w:w="1408" w:type="dxa"/>
            <w:tcBorders>
              <w:top w:val="nil"/>
              <w:left w:val="nil"/>
              <w:bottom w:val="single" w:sz="4" w:space="0" w:color="auto"/>
              <w:right w:val="single" w:sz="4" w:space="0" w:color="auto"/>
            </w:tcBorders>
            <w:shd w:val="clear" w:color="auto" w:fill="auto"/>
            <w:vAlign w:val="center"/>
            <w:hideMark/>
          </w:tcPr>
          <w:p w14:paraId="3D131C86" w14:textId="77777777" w:rsidR="00880E34" w:rsidRPr="004B6B33" w:rsidRDefault="00880E34" w:rsidP="00880E34">
            <w:pPr>
              <w:pStyle w:val="TableTextRight-Burden"/>
            </w:pPr>
            <w:r w:rsidRPr="004B6B33">
              <w:t>1</w:t>
            </w:r>
          </w:p>
        </w:tc>
        <w:tc>
          <w:tcPr>
            <w:tcW w:w="1408" w:type="dxa"/>
            <w:tcBorders>
              <w:top w:val="nil"/>
              <w:left w:val="nil"/>
              <w:bottom w:val="single" w:sz="4" w:space="0" w:color="auto"/>
              <w:right w:val="single" w:sz="4" w:space="0" w:color="auto"/>
            </w:tcBorders>
            <w:shd w:val="clear" w:color="auto" w:fill="auto"/>
            <w:vAlign w:val="center"/>
            <w:hideMark/>
          </w:tcPr>
          <w:p w14:paraId="213A266F" w14:textId="77777777" w:rsidR="00880E34" w:rsidRPr="004B6B33" w:rsidRDefault="00880E34" w:rsidP="00880E34">
            <w:pPr>
              <w:pStyle w:val="TableTextRight-Burden"/>
            </w:pPr>
            <w:r w:rsidRPr="00072C68">
              <w:t>20</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14:paraId="4EE13D6D" w14:textId="31301B40" w:rsidR="00880E34" w:rsidRPr="004A02C7" w:rsidRDefault="00880E34" w:rsidP="00880E34">
            <w:pPr>
              <w:pStyle w:val="TableTextRight-Burden"/>
            </w:pPr>
            <w:r w:rsidRPr="003868C0">
              <w:t>391</w:t>
            </w:r>
          </w:p>
        </w:tc>
        <w:tc>
          <w:tcPr>
            <w:tcW w:w="1090" w:type="dxa"/>
            <w:tcBorders>
              <w:top w:val="nil"/>
              <w:left w:val="nil"/>
              <w:bottom w:val="single" w:sz="4" w:space="0" w:color="auto"/>
              <w:right w:val="single" w:sz="4" w:space="0" w:color="auto"/>
            </w:tcBorders>
            <w:shd w:val="clear" w:color="auto" w:fill="auto"/>
            <w:hideMark/>
          </w:tcPr>
          <w:p w14:paraId="31FE54EB" w14:textId="1D923B39" w:rsidR="00880E34" w:rsidRPr="004A02C7" w:rsidRDefault="00880E34" w:rsidP="00880E34">
            <w:pPr>
              <w:pStyle w:val="TableTextRight-Burden"/>
            </w:pPr>
            <w:r w:rsidRPr="003868C0">
              <w:t>7820</w:t>
            </w:r>
          </w:p>
        </w:tc>
        <w:tc>
          <w:tcPr>
            <w:tcW w:w="1147" w:type="dxa"/>
            <w:tcBorders>
              <w:top w:val="nil"/>
              <w:left w:val="nil"/>
              <w:bottom w:val="single" w:sz="4" w:space="0" w:color="auto"/>
              <w:right w:val="single" w:sz="4" w:space="0" w:color="auto"/>
            </w:tcBorders>
            <w:shd w:val="clear" w:color="auto" w:fill="auto"/>
            <w:hideMark/>
          </w:tcPr>
          <w:p w14:paraId="050C7871" w14:textId="0DF6AC70" w:rsidR="00880E34" w:rsidRPr="004A02C7" w:rsidRDefault="00880E34" w:rsidP="00880E34">
            <w:pPr>
              <w:pStyle w:val="TableTextRight-Burden"/>
            </w:pPr>
            <w:r w:rsidRPr="003868C0">
              <w:t>391</w:t>
            </w:r>
          </w:p>
        </w:tc>
        <w:tc>
          <w:tcPr>
            <w:tcW w:w="1211" w:type="dxa"/>
            <w:tcBorders>
              <w:top w:val="nil"/>
              <w:left w:val="nil"/>
              <w:bottom w:val="single" w:sz="4" w:space="0" w:color="auto"/>
              <w:right w:val="single" w:sz="4" w:space="0" w:color="auto"/>
            </w:tcBorders>
            <w:shd w:val="clear" w:color="auto" w:fill="auto"/>
            <w:hideMark/>
          </w:tcPr>
          <w:p w14:paraId="4A753BF3" w14:textId="4B41F70A" w:rsidR="00880E34" w:rsidRPr="004A02C7" w:rsidRDefault="00880E34" w:rsidP="00880E34">
            <w:pPr>
              <w:pStyle w:val="TableTextRight-Burden"/>
            </w:pPr>
            <w:r w:rsidRPr="003868C0">
              <w:t>782</w:t>
            </w:r>
          </w:p>
        </w:tc>
        <w:tc>
          <w:tcPr>
            <w:tcW w:w="1256" w:type="dxa"/>
            <w:tcBorders>
              <w:top w:val="nil"/>
              <w:left w:val="nil"/>
              <w:bottom w:val="single" w:sz="4" w:space="0" w:color="auto"/>
              <w:right w:val="single" w:sz="4" w:space="0" w:color="auto"/>
            </w:tcBorders>
            <w:shd w:val="clear" w:color="auto" w:fill="auto"/>
            <w:hideMark/>
          </w:tcPr>
          <w:p w14:paraId="0E89BC43" w14:textId="3CAF16DF" w:rsidR="00880E34" w:rsidRPr="004A02C7" w:rsidRDefault="00880E34" w:rsidP="00880E34">
            <w:pPr>
              <w:pStyle w:val="TableTextRight-Burden"/>
            </w:pPr>
            <w:r w:rsidRPr="003868C0">
              <w:t>$499,454</w:t>
            </w:r>
          </w:p>
        </w:tc>
      </w:tr>
      <w:tr w:rsidR="00880E34" w:rsidRPr="004B6B33" w14:paraId="76EE5164" w14:textId="77777777" w:rsidTr="00880E34">
        <w:tc>
          <w:tcPr>
            <w:tcW w:w="4937" w:type="dxa"/>
            <w:tcBorders>
              <w:top w:val="nil"/>
              <w:left w:val="single" w:sz="4" w:space="0" w:color="auto"/>
              <w:bottom w:val="single" w:sz="4" w:space="0" w:color="auto"/>
              <w:right w:val="single" w:sz="4" w:space="0" w:color="auto"/>
            </w:tcBorders>
            <w:shd w:val="clear" w:color="auto" w:fill="auto"/>
            <w:hideMark/>
          </w:tcPr>
          <w:p w14:paraId="301FCC17" w14:textId="196E20FE" w:rsidR="00880E34" w:rsidRPr="004B6B33" w:rsidRDefault="00880E34" w:rsidP="00880E34">
            <w:pPr>
              <w:pStyle w:val="TableTextIndent1-Burden"/>
            </w:pPr>
            <w:r w:rsidRPr="00C85192">
              <w:t>PCWP_CEMS.xlsx spreadsheet data</w:t>
            </w:r>
          </w:p>
        </w:tc>
        <w:tc>
          <w:tcPr>
            <w:tcW w:w="1059" w:type="dxa"/>
            <w:tcBorders>
              <w:top w:val="nil"/>
              <w:left w:val="nil"/>
              <w:bottom w:val="single" w:sz="4" w:space="0" w:color="auto"/>
              <w:right w:val="single" w:sz="4" w:space="0" w:color="auto"/>
            </w:tcBorders>
            <w:shd w:val="clear" w:color="auto" w:fill="auto"/>
            <w:vAlign w:val="center"/>
            <w:hideMark/>
          </w:tcPr>
          <w:p w14:paraId="4EE563EC" w14:textId="77777777" w:rsidR="00880E34" w:rsidRPr="004B6B33" w:rsidRDefault="00880E34" w:rsidP="00880E34">
            <w:pPr>
              <w:pStyle w:val="TableTextRight-Burden"/>
            </w:pPr>
            <w:r w:rsidRPr="004B6B33">
              <w:t>4</w:t>
            </w:r>
          </w:p>
        </w:tc>
        <w:tc>
          <w:tcPr>
            <w:tcW w:w="1408" w:type="dxa"/>
            <w:tcBorders>
              <w:top w:val="nil"/>
              <w:left w:val="nil"/>
              <w:bottom w:val="single" w:sz="4" w:space="0" w:color="auto"/>
              <w:right w:val="single" w:sz="4" w:space="0" w:color="auto"/>
            </w:tcBorders>
            <w:shd w:val="clear" w:color="auto" w:fill="auto"/>
            <w:vAlign w:val="center"/>
            <w:hideMark/>
          </w:tcPr>
          <w:p w14:paraId="51373F35" w14:textId="77777777" w:rsidR="00880E34" w:rsidRPr="004B6B33" w:rsidRDefault="00880E34" w:rsidP="00880E34">
            <w:pPr>
              <w:pStyle w:val="TableTextRight-Burden"/>
            </w:pPr>
            <w:r w:rsidRPr="004B6B33">
              <w:t>1</w:t>
            </w:r>
          </w:p>
        </w:tc>
        <w:tc>
          <w:tcPr>
            <w:tcW w:w="1408" w:type="dxa"/>
            <w:tcBorders>
              <w:top w:val="nil"/>
              <w:left w:val="nil"/>
              <w:bottom w:val="single" w:sz="4" w:space="0" w:color="auto"/>
              <w:right w:val="single" w:sz="4" w:space="0" w:color="auto"/>
            </w:tcBorders>
            <w:shd w:val="clear" w:color="auto" w:fill="auto"/>
            <w:vAlign w:val="center"/>
            <w:hideMark/>
          </w:tcPr>
          <w:p w14:paraId="4F80B25D" w14:textId="77777777" w:rsidR="00880E34" w:rsidRPr="004B6B33" w:rsidRDefault="00880E34" w:rsidP="00880E34">
            <w:pPr>
              <w:pStyle w:val="TableTextRight-Burden"/>
            </w:pPr>
            <w:r w:rsidRPr="00072C68">
              <w:t>4</w:t>
            </w:r>
          </w:p>
        </w:tc>
        <w:tc>
          <w:tcPr>
            <w:tcW w:w="1162" w:type="dxa"/>
            <w:tcBorders>
              <w:top w:val="nil"/>
              <w:left w:val="single" w:sz="4" w:space="0" w:color="auto"/>
              <w:bottom w:val="single" w:sz="4" w:space="0" w:color="auto"/>
              <w:right w:val="single" w:sz="4" w:space="0" w:color="auto"/>
            </w:tcBorders>
            <w:shd w:val="clear" w:color="auto" w:fill="auto"/>
            <w:hideMark/>
          </w:tcPr>
          <w:p w14:paraId="17477906" w14:textId="65AC92EB" w:rsidR="00880E34" w:rsidRPr="004A02C7" w:rsidRDefault="00880E34" w:rsidP="00880E34">
            <w:pPr>
              <w:pStyle w:val="TableTextRight-Burden"/>
            </w:pPr>
            <w:r w:rsidRPr="003868C0">
              <w:t>37</w:t>
            </w:r>
          </w:p>
        </w:tc>
        <w:tc>
          <w:tcPr>
            <w:tcW w:w="1090" w:type="dxa"/>
            <w:tcBorders>
              <w:top w:val="nil"/>
              <w:left w:val="nil"/>
              <w:bottom w:val="single" w:sz="4" w:space="0" w:color="auto"/>
              <w:right w:val="single" w:sz="4" w:space="0" w:color="auto"/>
            </w:tcBorders>
            <w:shd w:val="clear" w:color="auto" w:fill="auto"/>
            <w:hideMark/>
          </w:tcPr>
          <w:p w14:paraId="2BFA897D" w14:textId="288D39B5" w:rsidR="00880E34" w:rsidRPr="004A02C7" w:rsidRDefault="00880E34" w:rsidP="00880E34">
            <w:pPr>
              <w:pStyle w:val="TableTextRight-Burden"/>
            </w:pPr>
            <w:r w:rsidRPr="003868C0">
              <w:t>149</w:t>
            </w:r>
          </w:p>
        </w:tc>
        <w:tc>
          <w:tcPr>
            <w:tcW w:w="1147" w:type="dxa"/>
            <w:tcBorders>
              <w:top w:val="nil"/>
              <w:left w:val="nil"/>
              <w:bottom w:val="single" w:sz="4" w:space="0" w:color="auto"/>
              <w:right w:val="single" w:sz="4" w:space="0" w:color="auto"/>
            </w:tcBorders>
            <w:shd w:val="clear" w:color="auto" w:fill="auto"/>
            <w:hideMark/>
          </w:tcPr>
          <w:p w14:paraId="45793DA0" w14:textId="4CEBA3A7" w:rsidR="00880E34" w:rsidRPr="004A02C7" w:rsidRDefault="00880E34" w:rsidP="00880E34">
            <w:pPr>
              <w:pStyle w:val="TableTextRight-Burden"/>
            </w:pPr>
            <w:r w:rsidRPr="003868C0">
              <w:t>7</w:t>
            </w:r>
          </w:p>
        </w:tc>
        <w:tc>
          <w:tcPr>
            <w:tcW w:w="1211" w:type="dxa"/>
            <w:tcBorders>
              <w:top w:val="nil"/>
              <w:left w:val="nil"/>
              <w:bottom w:val="single" w:sz="4" w:space="0" w:color="auto"/>
              <w:right w:val="single" w:sz="4" w:space="0" w:color="auto"/>
            </w:tcBorders>
            <w:shd w:val="clear" w:color="auto" w:fill="auto"/>
            <w:hideMark/>
          </w:tcPr>
          <w:p w14:paraId="573E0C53" w14:textId="06F221C7" w:rsidR="00880E34" w:rsidRPr="004A02C7" w:rsidRDefault="00880E34" w:rsidP="00880E34">
            <w:pPr>
              <w:pStyle w:val="TableTextRight-Burden"/>
            </w:pPr>
            <w:r w:rsidRPr="003868C0">
              <w:t>15</w:t>
            </w:r>
          </w:p>
        </w:tc>
        <w:tc>
          <w:tcPr>
            <w:tcW w:w="1256" w:type="dxa"/>
            <w:tcBorders>
              <w:top w:val="nil"/>
              <w:left w:val="nil"/>
              <w:bottom w:val="single" w:sz="4" w:space="0" w:color="auto"/>
              <w:right w:val="single" w:sz="4" w:space="0" w:color="auto"/>
            </w:tcBorders>
            <w:shd w:val="clear" w:color="auto" w:fill="auto"/>
            <w:hideMark/>
          </w:tcPr>
          <w:p w14:paraId="026BA6E5" w14:textId="1CF0A6F8" w:rsidR="00880E34" w:rsidRPr="004A02C7" w:rsidRDefault="00880E34" w:rsidP="00880E34">
            <w:pPr>
              <w:pStyle w:val="TableTextRight-Burden"/>
            </w:pPr>
            <w:r w:rsidRPr="003868C0">
              <w:t>$9,504</w:t>
            </w:r>
          </w:p>
        </w:tc>
      </w:tr>
      <w:tr w:rsidR="00880E34" w:rsidRPr="004B6B33" w14:paraId="76F6C95A" w14:textId="77777777" w:rsidTr="00880E34">
        <w:tc>
          <w:tcPr>
            <w:tcW w:w="4937" w:type="dxa"/>
            <w:tcBorders>
              <w:top w:val="nil"/>
              <w:left w:val="single" w:sz="4" w:space="0" w:color="auto"/>
              <w:bottom w:val="single" w:sz="4" w:space="0" w:color="auto"/>
              <w:right w:val="single" w:sz="4" w:space="0" w:color="auto"/>
            </w:tcBorders>
            <w:shd w:val="clear" w:color="auto" w:fill="auto"/>
            <w:hideMark/>
          </w:tcPr>
          <w:p w14:paraId="6DAA569F" w14:textId="77777777" w:rsidR="00880E34" w:rsidRPr="004B6B33" w:rsidRDefault="00880E34" w:rsidP="00880E34">
            <w:pPr>
              <w:pStyle w:val="TableTextIndent1-Burden"/>
            </w:pPr>
            <w:r w:rsidRPr="00C85192">
              <w:t>Enter/analyze previous emissions test data</w:t>
            </w:r>
            <w:r w:rsidRPr="00AB56FD">
              <w:rPr>
                <w:rStyle w:val="Superscript"/>
              </w:rPr>
              <w:t>7</w:t>
            </w:r>
          </w:p>
        </w:tc>
        <w:tc>
          <w:tcPr>
            <w:tcW w:w="1059" w:type="dxa"/>
            <w:tcBorders>
              <w:top w:val="nil"/>
              <w:left w:val="nil"/>
              <w:bottom w:val="single" w:sz="4" w:space="0" w:color="auto"/>
              <w:right w:val="single" w:sz="4" w:space="0" w:color="auto"/>
            </w:tcBorders>
            <w:shd w:val="clear" w:color="auto" w:fill="auto"/>
            <w:vAlign w:val="center"/>
            <w:hideMark/>
          </w:tcPr>
          <w:p w14:paraId="3AC9FE09" w14:textId="77777777" w:rsidR="00880E34" w:rsidRPr="004B6B33" w:rsidRDefault="00880E34" w:rsidP="00880E34">
            <w:pPr>
              <w:pStyle w:val="TableTextRight-Burden"/>
            </w:pPr>
            <w:r w:rsidRPr="004B6B33">
              <w:t>2</w:t>
            </w:r>
          </w:p>
        </w:tc>
        <w:tc>
          <w:tcPr>
            <w:tcW w:w="1408" w:type="dxa"/>
            <w:tcBorders>
              <w:top w:val="nil"/>
              <w:left w:val="nil"/>
              <w:bottom w:val="single" w:sz="4" w:space="0" w:color="auto"/>
              <w:right w:val="single" w:sz="4" w:space="0" w:color="auto"/>
            </w:tcBorders>
            <w:shd w:val="clear" w:color="auto" w:fill="auto"/>
            <w:vAlign w:val="center"/>
            <w:hideMark/>
          </w:tcPr>
          <w:p w14:paraId="722364E0" w14:textId="77777777" w:rsidR="00880E34" w:rsidRPr="004B6B33" w:rsidRDefault="00880E34" w:rsidP="00880E34">
            <w:pPr>
              <w:pStyle w:val="TableTextRight-Burden"/>
            </w:pPr>
            <w:r w:rsidRPr="004B6B33">
              <w:t>4</w:t>
            </w:r>
          </w:p>
        </w:tc>
        <w:tc>
          <w:tcPr>
            <w:tcW w:w="1408" w:type="dxa"/>
            <w:tcBorders>
              <w:top w:val="nil"/>
              <w:left w:val="nil"/>
              <w:bottom w:val="single" w:sz="4" w:space="0" w:color="auto"/>
              <w:right w:val="single" w:sz="4" w:space="0" w:color="auto"/>
            </w:tcBorders>
            <w:shd w:val="clear" w:color="auto" w:fill="auto"/>
            <w:vAlign w:val="center"/>
            <w:hideMark/>
          </w:tcPr>
          <w:p w14:paraId="52E1DBC3" w14:textId="77777777" w:rsidR="00880E34" w:rsidRPr="004B6B33" w:rsidRDefault="00880E34" w:rsidP="00880E34">
            <w:pPr>
              <w:pStyle w:val="TableTextRight-Burden"/>
            </w:pPr>
            <w:r w:rsidRPr="00072C68">
              <w:t>8</w:t>
            </w:r>
          </w:p>
        </w:tc>
        <w:tc>
          <w:tcPr>
            <w:tcW w:w="1162" w:type="dxa"/>
            <w:tcBorders>
              <w:top w:val="nil"/>
              <w:left w:val="nil"/>
              <w:bottom w:val="single" w:sz="4" w:space="0" w:color="auto"/>
              <w:right w:val="single" w:sz="4" w:space="0" w:color="auto"/>
            </w:tcBorders>
            <w:shd w:val="clear" w:color="auto" w:fill="auto"/>
            <w:hideMark/>
          </w:tcPr>
          <w:p w14:paraId="3DB8A161" w14:textId="0E8E3166" w:rsidR="00880E34" w:rsidRPr="003D382A" w:rsidRDefault="00880E34" w:rsidP="00880E34">
            <w:pPr>
              <w:pStyle w:val="TableTextRight-Burden"/>
            </w:pPr>
            <w:r w:rsidRPr="003868C0">
              <w:t>196</w:t>
            </w:r>
          </w:p>
        </w:tc>
        <w:tc>
          <w:tcPr>
            <w:tcW w:w="1090" w:type="dxa"/>
            <w:tcBorders>
              <w:top w:val="nil"/>
              <w:left w:val="nil"/>
              <w:bottom w:val="single" w:sz="4" w:space="0" w:color="auto"/>
              <w:right w:val="single" w:sz="4" w:space="0" w:color="auto"/>
            </w:tcBorders>
            <w:shd w:val="clear" w:color="auto" w:fill="auto"/>
            <w:hideMark/>
          </w:tcPr>
          <w:p w14:paraId="6F13E266" w14:textId="0009DC31" w:rsidR="00880E34" w:rsidRPr="003D382A" w:rsidRDefault="00880E34" w:rsidP="00880E34">
            <w:pPr>
              <w:pStyle w:val="TableTextRight-Burden"/>
            </w:pPr>
            <w:r w:rsidRPr="003868C0">
              <w:t>1568</w:t>
            </w:r>
          </w:p>
        </w:tc>
        <w:tc>
          <w:tcPr>
            <w:tcW w:w="1147" w:type="dxa"/>
            <w:tcBorders>
              <w:top w:val="nil"/>
              <w:left w:val="nil"/>
              <w:bottom w:val="single" w:sz="4" w:space="0" w:color="auto"/>
              <w:right w:val="single" w:sz="4" w:space="0" w:color="auto"/>
            </w:tcBorders>
            <w:shd w:val="clear" w:color="auto" w:fill="auto"/>
            <w:hideMark/>
          </w:tcPr>
          <w:p w14:paraId="68E14CED" w14:textId="1550F7E1" w:rsidR="00880E34" w:rsidRPr="003D382A" w:rsidRDefault="00880E34" w:rsidP="00880E34">
            <w:pPr>
              <w:pStyle w:val="TableTextRight-Burden"/>
            </w:pPr>
            <w:r w:rsidRPr="003868C0">
              <w:t>78</w:t>
            </w:r>
          </w:p>
        </w:tc>
        <w:tc>
          <w:tcPr>
            <w:tcW w:w="1211" w:type="dxa"/>
            <w:tcBorders>
              <w:top w:val="nil"/>
              <w:left w:val="nil"/>
              <w:bottom w:val="single" w:sz="4" w:space="0" w:color="auto"/>
              <w:right w:val="single" w:sz="4" w:space="0" w:color="auto"/>
            </w:tcBorders>
            <w:shd w:val="clear" w:color="auto" w:fill="auto"/>
            <w:hideMark/>
          </w:tcPr>
          <w:p w14:paraId="26511344" w14:textId="5E422F6E" w:rsidR="00880E34" w:rsidRPr="003D382A" w:rsidRDefault="00880E34" w:rsidP="00880E34">
            <w:pPr>
              <w:pStyle w:val="TableTextRight-Burden"/>
            </w:pPr>
            <w:r w:rsidRPr="003868C0">
              <w:t>157</w:t>
            </w:r>
          </w:p>
        </w:tc>
        <w:tc>
          <w:tcPr>
            <w:tcW w:w="1256" w:type="dxa"/>
            <w:tcBorders>
              <w:top w:val="nil"/>
              <w:left w:val="nil"/>
              <w:bottom w:val="single" w:sz="4" w:space="0" w:color="auto"/>
              <w:right w:val="single" w:sz="4" w:space="0" w:color="auto"/>
            </w:tcBorders>
            <w:shd w:val="clear" w:color="auto" w:fill="auto"/>
            <w:hideMark/>
          </w:tcPr>
          <w:p w14:paraId="0F5CD227" w14:textId="2C227B67" w:rsidR="00880E34" w:rsidRPr="003D382A" w:rsidRDefault="00880E34" w:rsidP="00880E34">
            <w:pPr>
              <w:pStyle w:val="TableTextRight-Burden"/>
            </w:pPr>
            <w:r w:rsidRPr="003868C0">
              <w:t>$100,146</w:t>
            </w:r>
          </w:p>
        </w:tc>
      </w:tr>
      <w:tr w:rsidR="00083090" w:rsidRPr="004B6B33" w14:paraId="7BA94A44" w14:textId="77777777" w:rsidTr="00880E34">
        <w:tc>
          <w:tcPr>
            <w:tcW w:w="4937" w:type="dxa"/>
            <w:tcBorders>
              <w:top w:val="nil"/>
              <w:left w:val="single" w:sz="4" w:space="0" w:color="auto"/>
              <w:bottom w:val="single" w:sz="4" w:space="0" w:color="auto"/>
              <w:right w:val="single" w:sz="4" w:space="0" w:color="auto"/>
            </w:tcBorders>
            <w:shd w:val="clear" w:color="000000" w:fill="D9D9D9"/>
            <w:vAlign w:val="center"/>
            <w:hideMark/>
          </w:tcPr>
          <w:p w14:paraId="1782DE6A" w14:textId="77777777" w:rsidR="004B6B33" w:rsidRPr="00CC4DBE" w:rsidRDefault="004B6B33" w:rsidP="00CC4DBE">
            <w:pPr>
              <w:pStyle w:val="TableTextLeft-Burden"/>
            </w:pPr>
            <w:r w:rsidRPr="00CC4DBE">
              <w:t> </w:t>
            </w:r>
          </w:p>
        </w:tc>
        <w:tc>
          <w:tcPr>
            <w:tcW w:w="1059" w:type="dxa"/>
            <w:tcBorders>
              <w:top w:val="nil"/>
              <w:left w:val="nil"/>
              <w:bottom w:val="single" w:sz="4" w:space="0" w:color="auto"/>
              <w:right w:val="single" w:sz="4" w:space="0" w:color="auto"/>
            </w:tcBorders>
            <w:shd w:val="clear" w:color="000000" w:fill="D9D9D9"/>
            <w:vAlign w:val="center"/>
          </w:tcPr>
          <w:p w14:paraId="129B38D7" w14:textId="77777777" w:rsidR="004B6B33" w:rsidRPr="00CC4DBE" w:rsidRDefault="004B6B33" w:rsidP="00AF3EEF">
            <w:pPr>
              <w:pStyle w:val="TableTextRight-Burden"/>
            </w:pPr>
          </w:p>
        </w:tc>
        <w:tc>
          <w:tcPr>
            <w:tcW w:w="1408" w:type="dxa"/>
            <w:tcBorders>
              <w:top w:val="nil"/>
              <w:left w:val="nil"/>
              <w:bottom w:val="single" w:sz="4" w:space="0" w:color="auto"/>
              <w:right w:val="single" w:sz="4" w:space="0" w:color="auto"/>
            </w:tcBorders>
            <w:shd w:val="clear" w:color="000000" w:fill="D9D9D9"/>
            <w:vAlign w:val="center"/>
          </w:tcPr>
          <w:p w14:paraId="67E049A6" w14:textId="77777777" w:rsidR="004B6B33" w:rsidRPr="00CC4DBE" w:rsidRDefault="004B6B33" w:rsidP="00AF3EEF">
            <w:pPr>
              <w:pStyle w:val="TableTextRight-Burden"/>
            </w:pPr>
          </w:p>
        </w:tc>
        <w:tc>
          <w:tcPr>
            <w:tcW w:w="1408" w:type="dxa"/>
            <w:tcBorders>
              <w:top w:val="nil"/>
              <w:left w:val="nil"/>
              <w:bottom w:val="single" w:sz="4" w:space="0" w:color="auto"/>
              <w:right w:val="single" w:sz="4" w:space="0" w:color="auto"/>
            </w:tcBorders>
            <w:shd w:val="clear" w:color="000000" w:fill="D9D9D9"/>
            <w:vAlign w:val="center"/>
          </w:tcPr>
          <w:p w14:paraId="22765254" w14:textId="77777777" w:rsidR="004B6B33" w:rsidRPr="00CC4DBE" w:rsidRDefault="004B6B33" w:rsidP="00AF3EEF">
            <w:pPr>
              <w:pStyle w:val="TableTextRight-Burden"/>
            </w:pPr>
          </w:p>
        </w:tc>
        <w:tc>
          <w:tcPr>
            <w:tcW w:w="1162" w:type="dxa"/>
            <w:tcBorders>
              <w:top w:val="nil"/>
              <w:left w:val="nil"/>
              <w:bottom w:val="single" w:sz="4" w:space="0" w:color="auto"/>
              <w:right w:val="single" w:sz="4" w:space="0" w:color="auto"/>
            </w:tcBorders>
            <w:shd w:val="clear" w:color="000000" w:fill="D9D9D9"/>
            <w:vAlign w:val="center"/>
          </w:tcPr>
          <w:p w14:paraId="30411F02" w14:textId="77777777" w:rsidR="004B6B33" w:rsidRPr="00CC4DBE" w:rsidRDefault="004B6B33" w:rsidP="00AF3EEF">
            <w:pPr>
              <w:pStyle w:val="TableTextRight-Burden"/>
            </w:pPr>
          </w:p>
        </w:tc>
        <w:tc>
          <w:tcPr>
            <w:tcW w:w="1090" w:type="dxa"/>
            <w:tcBorders>
              <w:top w:val="nil"/>
              <w:left w:val="nil"/>
              <w:bottom w:val="single" w:sz="4" w:space="0" w:color="auto"/>
              <w:right w:val="single" w:sz="4" w:space="0" w:color="auto"/>
            </w:tcBorders>
            <w:shd w:val="clear" w:color="000000" w:fill="D9D9D9"/>
            <w:vAlign w:val="center"/>
          </w:tcPr>
          <w:p w14:paraId="4D4F55EF" w14:textId="77777777" w:rsidR="004B6B33" w:rsidRPr="00CC4DBE" w:rsidRDefault="004B6B33" w:rsidP="00AF3EEF">
            <w:pPr>
              <w:pStyle w:val="TableTextRight-Burden"/>
            </w:pPr>
          </w:p>
        </w:tc>
        <w:tc>
          <w:tcPr>
            <w:tcW w:w="1147" w:type="dxa"/>
            <w:tcBorders>
              <w:top w:val="nil"/>
              <w:left w:val="nil"/>
              <w:bottom w:val="single" w:sz="4" w:space="0" w:color="auto"/>
              <w:right w:val="single" w:sz="4" w:space="0" w:color="auto"/>
            </w:tcBorders>
            <w:shd w:val="clear" w:color="000000" w:fill="D9D9D9"/>
            <w:vAlign w:val="center"/>
          </w:tcPr>
          <w:p w14:paraId="77A0933A" w14:textId="77777777" w:rsidR="004B6B33" w:rsidRPr="00AF3EEF" w:rsidRDefault="004B6B33" w:rsidP="00AF3EEF">
            <w:pPr>
              <w:pStyle w:val="TableTextRight-Burden"/>
            </w:pPr>
          </w:p>
        </w:tc>
        <w:tc>
          <w:tcPr>
            <w:tcW w:w="1211" w:type="dxa"/>
            <w:tcBorders>
              <w:top w:val="nil"/>
              <w:left w:val="nil"/>
              <w:bottom w:val="single" w:sz="4" w:space="0" w:color="auto"/>
              <w:right w:val="single" w:sz="4" w:space="0" w:color="auto"/>
            </w:tcBorders>
            <w:shd w:val="clear" w:color="000000" w:fill="D9D9D9"/>
            <w:vAlign w:val="center"/>
          </w:tcPr>
          <w:p w14:paraId="663D1D5E" w14:textId="77777777" w:rsidR="004B6B33" w:rsidRPr="00CC4DBE" w:rsidRDefault="004B6B33" w:rsidP="00AF3EEF">
            <w:pPr>
              <w:pStyle w:val="TableTextRight-Burden"/>
            </w:pPr>
          </w:p>
        </w:tc>
        <w:tc>
          <w:tcPr>
            <w:tcW w:w="1256" w:type="dxa"/>
            <w:tcBorders>
              <w:top w:val="nil"/>
              <w:left w:val="nil"/>
              <w:bottom w:val="single" w:sz="4" w:space="0" w:color="auto"/>
              <w:right w:val="single" w:sz="4" w:space="0" w:color="auto"/>
            </w:tcBorders>
            <w:shd w:val="clear" w:color="000000" w:fill="D9D9D9"/>
            <w:vAlign w:val="center"/>
            <w:hideMark/>
          </w:tcPr>
          <w:p w14:paraId="519C7E62" w14:textId="77777777" w:rsidR="004B6B33" w:rsidRPr="004A02C7" w:rsidRDefault="004B6B33" w:rsidP="004A02C7">
            <w:pPr>
              <w:pStyle w:val="TableTextRight-Burden"/>
            </w:pPr>
          </w:p>
        </w:tc>
      </w:tr>
      <w:tr w:rsidR="00880E34" w:rsidRPr="004B6B33" w14:paraId="451B0B8F" w14:textId="77777777" w:rsidTr="00880E34">
        <w:tc>
          <w:tcPr>
            <w:tcW w:w="4937" w:type="dxa"/>
            <w:tcBorders>
              <w:top w:val="single" w:sz="4" w:space="0" w:color="auto"/>
              <w:left w:val="single" w:sz="4" w:space="0" w:color="auto"/>
              <w:right w:val="single" w:sz="4" w:space="0" w:color="auto"/>
            </w:tcBorders>
            <w:shd w:val="clear" w:color="auto" w:fill="auto"/>
            <w:hideMark/>
          </w:tcPr>
          <w:p w14:paraId="28931CA6" w14:textId="77777777" w:rsidR="00880E34" w:rsidRPr="00CC4DBE" w:rsidRDefault="00880E34" w:rsidP="00880E34">
            <w:pPr>
              <w:pStyle w:val="TableTextLeft-Burden"/>
            </w:pPr>
            <w:r w:rsidRPr="007D20A0">
              <w:t>Total Annual Hours/Cost</w:t>
            </w:r>
          </w:p>
        </w:tc>
        <w:tc>
          <w:tcPr>
            <w:tcW w:w="1059" w:type="dxa"/>
            <w:tcBorders>
              <w:top w:val="single" w:sz="4" w:space="0" w:color="auto"/>
              <w:left w:val="nil"/>
            </w:tcBorders>
            <w:shd w:val="clear" w:color="auto" w:fill="auto"/>
            <w:vAlign w:val="center"/>
          </w:tcPr>
          <w:p w14:paraId="2EBECF38" w14:textId="77777777" w:rsidR="00880E34" w:rsidRPr="00CC4DBE" w:rsidRDefault="00880E34" w:rsidP="00880E34">
            <w:pPr>
              <w:pStyle w:val="TableTextRight-Burden"/>
            </w:pPr>
          </w:p>
        </w:tc>
        <w:tc>
          <w:tcPr>
            <w:tcW w:w="1408" w:type="dxa"/>
            <w:tcBorders>
              <w:top w:val="single" w:sz="4" w:space="0" w:color="auto"/>
            </w:tcBorders>
            <w:shd w:val="clear" w:color="auto" w:fill="auto"/>
            <w:vAlign w:val="center"/>
          </w:tcPr>
          <w:p w14:paraId="692052AF" w14:textId="77777777" w:rsidR="00880E34" w:rsidRPr="00CC4DBE" w:rsidRDefault="00880E34" w:rsidP="00880E34">
            <w:pPr>
              <w:pStyle w:val="TableTextRight-Burden"/>
            </w:pPr>
          </w:p>
        </w:tc>
        <w:tc>
          <w:tcPr>
            <w:tcW w:w="1408" w:type="dxa"/>
            <w:tcBorders>
              <w:top w:val="single" w:sz="4" w:space="0" w:color="auto"/>
            </w:tcBorders>
            <w:shd w:val="clear" w:color="auto" w:fill="auto"/>
            <w:vAlign w:val="center"/>
          </w:tcPr>
          <w:p w14:paraId="1810FE62" w14:textId="77777777" w:rsidR="00880E34" w:rsidRPr="00CC4DBE" w:rsidRDefault="00880E34" w:rsidP="00880E34">
            <w:pPr>
              <w:pStyle w:val="TableTextRight-Burden"/>
            </w:pPr>
          </w:p>
        </w:tc>
        <w:tc>
          <w:tcPr>
            <w:tcW w:w="1162" w:type="dxa"/>
            <w:tcBorders>
              <w:top w:val="single" w:sz="4" w:space="0" w:color="auto"/>
              <w:right w:val="single" w:sz="4" w:space="0" w:color="auto"/>
            </w:tcBorders>
            <w:shd w:val="clear" w:color="auto" w:fill="auto"/>
            <w:vAlign w:val="center"/>
          </w:tcPr>
          <w:p w14:paraId="5EFBC446" w14:textId="77777777" w:rsidR="00880E34" w:rsidRPr="00CC4DBE" w:rsidRDefault="00880E34" w:rsidP="00880E34">
            <w:pPr>
              <w:pStyle w:val="TableTextRight-Burden"/>
            </w:pPr>
          </w:p>
        </w:tc>
        <w:tc>
          <w:tcPr>
            <w:tcW w:w="1090" w:type="dxa"/>
            <w:tcBorders>
              <w:top w:val="nil"/>
              <w:left w:val="nil"/>
              <w:bottom w:val="single" w:sz="4" w:space="0" w:color="auto"/>
              <w:right w:val="single" w:sz="4" w:space="0" w:color="auto"/>
            </w:tcBorders>
            <w:shd w:val="clear" w:color="auto" w:fill="auto"/>
            <w:hideMark/>
          </w:tcPr>
          <w:p w14:paraId="7BA5A6FD" w14:textId="37F5D806" w:rsidR="00880E34" w:rsidRPr="004B6B33" w:rsidRDefault="00880E34" w:rsidP="00880E34">
            <w:pPr>
              <w:pStyle w:val="TableTextRight-Burden"/>
            </w:pPr>
            <w:r w:rsidRPr="00CA2D9F">
              <w:t>10,475</w:t>
            </w:r>
          </w:p>
        </w:tc>
        <w:tc>
          <w:tcPr>
            <w:tcW w:w="1147" w:type="dxa"/>
            <w:tcBorders>
              <w:top w:val="nil"/>
              <w:left w:val="nil"/>
              <w:bottom w:val="single" w:sz="4" w:space="0" w:color="auto"/>
              <w:right w:val="single" w:sz="4" w:space="0" w:color="auto"/>
            </w:tcBorders>
            <w:shd w:val="clear" w:color="auto" w:fill="auto"/>
            <w:hideMark/>
          </w:tcPr>
          <w:p w14:paraId="1D0437E4" w14:textId="11DCEB90" w:rsidR="00880E34" w:rsidRPr="00AF3EEF" w:rsidRDefault="00880E34" w:rsidP="00880E34">
            <w:pPr>
              <w:pStyle w:val="TableTextRight-Burden"/>
            </w:pPr>
            <w:r w:rsidRPr="00CA2D9F">
              <w:t>524</w:t>
            </w:r>
          </w:p>
        </w:tc>
        <w:tc>
          <w:tcPr>
            <w:tcW w:w="1211" w:type="dxa"/>
            <w:tcBorders>
              <w:top w:val="nil"/>
              <w:left w:val="nil"/>
              <w:bottom w:val="single" w:sz="4" w:space="0" w:color="auto"/>
              <w:right w:val="single" w:sz="4" w:space="0" w:color="auto"/>
            </w:tcBorders>
            <w:shd w:val="clear" w:color="auto" w:fill="auto"/>
            <w:hideMark/>
          </w:tcPr>
          <w:p w14:paraId="45E0E298" w14:textId="0072F833" w:rsidR="00880E34" w:rsidRPr="004B6B33" w:rsidRDefault="00880E34" w:rsidP="00880E34">
            <w:pPr>
              <w:pStyle w:val="TableTextRight-Burden"/>
            </w:pPr>
            <w:r w:rsidRPr="00CA2D9F">
              <w:t>1,047</w:t>
            </w:r>
          </w:p>
        </w:tc>
        <w:tc>
          <w:tcPr>
            <w:tcW w:w="1256" w:type="dxa"/>
            <w:tcBorders>
              <w:top w:val="nil"/>
              <w:left w:val="nil"/>
              <w:bottom w:val="single" w:sz="4" w:space="0" w:color="auto"/>
              <w:right w:val="single" w:sz="4" w:space="0" w:color="auto"/>
            </w:tcBorders>
            <w:shd w:val="clear" w:color="auto" w:fill="auto"/>
            <w:hideMark/>
          </w:tcPr>
          <w:p w14:paraId="5F61C6F8" w14:textId="3936EF8A" w:rsidR="00880E34" w:rsidRPr="004A02C7" w:rsidRDefault="00880E34" w:rsidP="00880E34">
            <w:pPr>
              <w:pStyle w:val="TableTextRight-Burden"/>
            </w:pPr>
            <w:r w:rsidRPr="00CA2D9F">
              <w:t>$669,003</w:t>
            </w:r>
          </w:p>
        </w:tc>
      </w:tr>
      <w:tr w:rsidR="00083090" w:rsidRPr="004B6B33" w14:paraId="1F4D1B7A" w14:textId="77777777" w:rsidTr="00880E34">
        <w:tc>
          <w:tcPr>
            <w:tcW w:w="4937" w:type="dxa"/>
            <w:tcBorders>
              <w:top w:val="nil"/>
              <w:left w:val="single" w:sz="4" w:space="0" w:color="auto"/>
              <w:bottom w:val="single" w:sz="4" w:space="0" w:color="auto"/>
              <w:right w:val="single" w:sz="4" w:space="0" w:color="auto"/>
            </w:tcBorders>
            <w:shd w:val="clear" w:color="auto" w:fill="auto"/>
            <w:hideMark/>
          </w:tcPr>
          <w:p w14:paraId="39974344" w14:textId="77777777" w:rsidR="00D2598E" w:rsidRPr="00CC4DBE" w:rsidRDefault="00D2598E" w:rsidP="00D2598E">
            <w:pPr>
              <w:pStyle w:val="TableTextLeft-Burden"/>
            </w:pPr>
          </w:p>
        </w:tc>
        <w:tc>
          <w:tcPr>
            <w:tcW w:w="1059" w:type="dxa"/>
            <w:tcBorders>
              <w:top w:val="nil"/>
              <w:left w:val="nil"/>
              <w:bottom w:val="single" w:sz="4" w:space="0" w:color="auto"/>
            </w:tcBorders>
            <w:shd w:val="clear" w:color="auto" w:fill="auto"/>
            <w:vAlign w:val="center"/>
          </w:tcPr>
          <w:p w14:paraId="7AFC6B21" w14:textId="77777777" w:rsidR="00D2598E" w:rsidRPr="00AF3EEF" w:rsidRDefault="00D2598E" w:rsidP="00D2598E">
            <w:pPr>
              <w:pStyle w:val="TableTextRight-Burden"/>
            </w:pPr>
          </w:p>
        </w:tc>
        <w:tc>
          <w:tcPr>
            <w:tcW w:w="1408" w:type="dxa"/>
            <w:tcBorders>
              <w:top w:val="nil"/>
              <w:bottom w:val="single" w:sz="4" w:space="0" w:color="auto"/>
            </w:tcBorders>
            <w:shd w:val="clear" w:color="auto" w:fill="auto"/>
            <w:vAlign w:val="center"/>
          </w:tcPr>
          <w:p w14:paraId="40A6D29D" w14:textId="77777777" w:rsidR="00D2598E" w:rsidRPr="00AF3EEF" w:rsidRDefault="00D2598E" w:rsidP="00D2598E">
            <w:pPr>
              <w:pStyle w:val="TableTextRight-Burden"/>
            </w:pPr>
          </w:p>
        </w:tc>
        <w:tc>
          <w:tcPr>
            <w:tcW w:w="1408" w:type="dxa"/>
            <w:tcBorders>
              <w:top w:val="nil"/>
              <w:bottom w:val="single" w:sz="4" w:space="0" w:color="auto"/>
            </w:tcBorders>
            <w:shd w:val="clear" w:color="auto" w:fill="auto"/>
            <w:vAlign w:val="center"/>
          </w:tcPr>
          <w:p w14:paraId="5AEAB42A" w14:textId="77777777" w:rsidR="00D2598E" w:rsidRPr="00AF3EEF" w:rsidRDefault="00D2598E" w:rsidP="00D2598E">
            <w:pPr>
              <w:pStyle w:val="TableTextRight-Burden"/>
            </w:pPr>
          </w:p>
        </w:tc>
        <w:tc>
          <w:tcPr>
            <w:tcW w:w="1162" w:type="dxa"/>
            <w:tcBorders>
              <w:top w:val="nil"/>
              <w:bottom w:val="single" w:sz="4" w:space="0" w:color="auto"/>
              <w:right w:val="single" w:sz="4" w:space="0" w:color="auto"/>
            </w:tcBorders>
            <w:shd w:val="clear" w:color="auto" w:fill="auto"/>
            <w:vAlign w:val="center"/>
          </w:tcPr>
          <w:p w14:paraId="790E9502" w14:textId="77777777" w:rsidR="00D2598E" w:rsidRPr="00AF3EEF" w:rsidRDefault="00D2598E" w:rsidP="00D2598E">
            <w:pPr>
              <w:pStyle w:val="TableTextRight-Burden"/>
            </w:pPr>
          </w:p>
        </w:tc>
        <w:tc>
          <w:tcPr>
            <w:tcW w:w="1090" w:type="dxa"/>
            <w:tcBorders>
              <w:top w:val="single" w:sz="4" w:space="0" w:color="auto"/>
              <w:left w:val="nil"/>
              <w:bottom w:val="single" w:sz="4" w:space="0" w:color="auto"/>
            </w:tcBorders>
            <w:shd w:val="clear" w:color="auto" w:fill="auto"/>
            <w:vAlign w:val="center"/>
          </w:tcPr>
          <w:p w14:paraId="3F776131" w14:textId="39BDEC3B" w:rsidR="00D2598E" w:rsidRPr="00AF3EEF" w:rsidRDefault="00D2598E" w:rsidP="00D2598E">
            <w:pPr>
              <w:pStyle w:val="TableTextRight-Burden"/>
            </w:pPr>
          </w:p>
        </w:tc>
        <w:tc>
          <w:tcPr>
            <w:tcW w:w="1147" w:type="dxa"/>
            <w:tcBorders>
              <w:top w:val="single" w:sz="4" w:space="0" w:color="auto"/>
              <w:bottom w:val="single" w:sz="4" w:space="0" w:color="auto"/>
            </w:tcBorders>
            <w:shd w:val="clear" w:color="auto" w:fill="auto"/>
            <w:noWrap/>
            <w:vAlign w:val="center"/>
            <w:hideMark/>
          </w:tcPr>
          <w:p w14:paraId="61D86B31" w14:textId="77777777" w:rsidR="00D2598E" w:rsidRPr="004B6B33" w:rsidRDefault="00D2598E" w:rsidP="00D2598E">
            <w:pPr>
              <w:pStyle w:val="TableTextLeft-Burden"/>
            </w:pPr>
            <w:r w:rsidRPr="004B6B33">
              <w:t>Total Labor:</w:t>
            </w:r>
          </w:p>
        </w:tc>
        <w:tc>
          <w:tcPr>
            <w:tcW w:w="1211" w:type="dxa"/>
            <w:tcBorders>
              <w:top w:val="single" w:sz="4" w:space="0" w:color="auto"/>
              <w:bottom w:val="single" w:sz="4" w:space="0" w:color="auto"/>
            </w:tcBorders>
            <w:shd w:val="clear" w:color="auto" w:fill="auto"/>
            <w:vAlign w:val="center"/>
            <w:hideMark/>
          </w:tcPr>
          <w:p w14:paraId="46952133" w14:textId="15CC9A21" w:rsidR="00D2598E" w:rsidRPr="00AF3EEF" w:rsidRDefault="0064765C" w:rsidP="00D2598E">
            <w:pPr>
              <w:pStyle w:val="TableTextRight-Burden"/>
            </w:pPr>
            <w:r>
              <w:t>12,</w:t>
            </w:r>
            <w:r w:rsidR="00880E34">
              <w:t>046</w:t>
            </w:r>
          </w:p>
        </w:tc>
        <w:tc>
          <w:tcPr>
            <w:tcW w:w="1256" w:type="dxa"/>
            <w:tcBorders>
              <w:top w:val="single" w:sz="4" w:space="0" w:color="auto"/>
              <w:bottom w:val="single" w:sz="4" w:space="0" w:color="auto"/>
              <w:right w:val="single" w:sz="4" w:space="0" w:color="auto"/>
            </w:tcBorders>
            <w:shd w:val="clear" w:color="auto" w:fill="auto"/>
            <w:vAlign w:val="center"/>
            <w:hideMark/>
          </w:tcPr>
          <w:p w14:paraId="622778AB" w14:textId="77777777" w:rsidR="00D2598E" w:rsidRPr="00AF3EEF" w:rsidRDefault="00D2598E" w:rsidP="00D2598E">
            <w:pPr>
              <w:pStyle w:val="TableTextRight-Burden"/>
            </w:pPr>
          </w:p>
        </w:tc>
      </w:tr>
      <w:tr w:rsidR="00083090" w:rsidRPr="004B6B33" w14:paraId="51D55284" w14:textId="77777777" w:rsidTr="00880E34">
        <w:tc>
          <w:tcPr>
            <w:tcW w:w="4937" w:type="dxa"/>
            <w:tcBorders>
              <w:top w:val="nil"/>
              <w:left w:val="single" w:sz="4" w:space="0" w:color="auto"/>
              <w:bottom w:val="single" w:sz="4" w:space="0" w:color="auto"/>
              <w:right w:val="single" w:sz="4" w:space="0" w:color="auto"/>
            </w:tcBorders>
            <w:shd w:val="clear" w:color="auto" w:fill="auto"/>
            <w:hideMark/>
          </w:tcPr>
          <w:p w14:paraId="6C23EB9D" w14:textId="14AD6530" w:rsidR="00D2598E" w:rsidRPr="00CC4DBE" w:rsidRDefault="00D2598E" w:rsidP="00D2598E">
            <w:pPr>
              <w:pStyle w:val="TableTextLeft-Burden"/>
            </w:pPr>
            <w:r w:rsidRPr="007D20A0">
              <w:t>Expenses (O&amp;M)</w:t>
            </w:r>
            <w:r w:rsidR="00226FD4">
              <w:rPr>
                <w:rStyle w:val="Superscript"/>
              </w:rPr>
              <w:t>8</w:t>
            </w:r>
          </w:p>
        </w:tc>
        <w:tc>
          <w:tcPr>
            <w:tcW w:w="1059" w:type="dxa"/>
            <w:tcBorders>
              <w:top w:val="nil"/>
              <w:left w:val="nil"/>
              <w:bottom w:val="single" w:sz="4" w:space="0" w:color="auto"/>
              <w:right w:val="single" w:sz="4" w:space="0" w:color="auto"/>
            </w:tcBorders>
            <w:shd w:val="clear" w:color="000000" w:fill="D8D8D8"/>
            <w:vAlign w:val="center"/>
          </w:tcPr>
          <w:p w14:paraId="3912CD23" w14:textId="77777777" w:rsidR="00D2598E" w:rsidRPr="00AF3EEF" w:rsidRDefault="00D2598E" w:rsidP="00D2598E">
            <w:pPr>
              <w:pStyle w:val="TableTextRight-Burden"/>
            </w:pPr>
          </w:p>
        </w:tc>
        <w:tc>
          <w:tcPr>
            <w:tcW w:w="1408" w:type="dxa"/>
            <w:tcBorders>
              <w:top w:val="nil"/>
              <w:left w:val="nil"/>
              <w:bottom w:val="single" w:sz="4" w:space="0" w:color="auto"/>
              <w:right w:val="single" w:sz="4" w:space="0" w:color="auto"/>
            </w:tcBorders>
            <w:shd w:val="clear" w:color="000000" w:fill="D8D8D8"/>
            <w:vAlign w:val="center"/>
          </w:tcPr>
          <w:p w14:paraId="21548F29" w14:textId="77777777" w:rsidR="00D2598E" w:rsidRPr="00AF3EEF" w:rsidRDefault="00D2598E" w:rsidP="00D2598E">
            <w:pPr>
              <w:pStyle w:val="TableTextRight-Burden"/>
            </w:pPr>
          </w:p>
        </w:tc>
        <w:tc>
          <w:tcPr>
            <w:tcW w:w="1408" w:type="dxa"/>
            <w:tcBorders>
              <w:top w:val="nil"/>
              <w:left w:val="nil"/>
              <w:bottom w:val="single" w:sz="4" w:space="0" w:color="auto"/>
              <w:right w:val="single" w:sz="4" w:space="0" w:color="auto"/>
            </w:tcBorders>
            <w:shd w:val="clear" w:color="000000" w:fill="D8D8D8"/>
            <w:vAlign w:val="center"/>
          </w:tcPr>
          <w:p w14:paraId="4404CA65" w14:textId="77777777" w:rsidR="00D2598E" w:rsidRPr="00AF3EEF" w:rsidRDefault="00D2598E" w:rsidP="00D2598E">
            <w:pPr>
              <w:pStyle w:val="TableTextRight-Burden"/>
            </w:pPr>
          </w:p>
        </w:tc>
        <w:tc>
          <w:tcPr>
            <w:tcW w:w="1162" w:type="dxa"/>
            <w:tcBorders>
              <w:top w:val="nil"/>
              <w:left w:val="nil"/>
              <w:bottom w:val="single" w:sz="4" w:space="0" w:color="auto"/>
              <w:right w:val="single" w:sz="4" w:space="0" w:color="auto"/>
            </w:tcBorders>
            <w:shd w:val="clear" w:color="000000" w:fill="D8D8D8"/>
            <w:vAlign w:val="center"/>
          </w:tcPr>
          <w:p w14:paraId="06D56EDE" w14:textId="77777777" w:rsidR="00D2598E" w:rsidRPr="00AF3EEF" w:rsidRDefault="00D2598E" w:rsidP="00D2598E">
            <w:pPr>
              <w:pStyle w:val="TableTextRight-Burden"/>
            </w:pPr>
          </w:p>
        </w:tc>
        <w:tc>
          <w:tcPr>
            <w:tcW w:w="1090" w:type="dxa"/>
            <w:tcBorders>
              <w:top w:val="nil"/>
              <w:left w:val="nil"/>
              <w:bottom w:val="single" w:sz="4" w:space="0" w:color="auto"/>
              <w:right w:val="single" w:sz="4" w:space="0" w:color="auto"/>
            </w:tcBorders>
            <w:shd w:val="clear" w:color="000000" w:fill="D8D8D8"/>
            <w:vAlign w:val="center"/>
          </w:tcPr>
          <w:p w14:paraId="450AFCE3" w14:textId="47949708" w:rsidR="00D2598E" w:rsidRPr="00AF3EEF" w:rsidRDefault="00D2598E" w:rsidP="00D2598E">
            <w:pPr>
              <w:pStyle w:val="TableTextRight-Burden"/>
            </w:pPr>
          </w:p>
        </w:tc>
        <w:tc>
          <w:tcPr>
            <w:tcW w:w="1147" w:type="dxa"/>
            <w:tcBorders>
              <w:top w:val="nil"/>
              <w:left w:val="nil"/>
              <w:bottom w:val="single" w:sz="4" w:space="0" w:color="auto"/>
              <w:right w:val="single" w:sz="4" w:space="0" w:color="auto"/>
            </w:tcBorders>
            <w:shd w:val="clear" w:color="000000" w:fill="D8D8D8"/>
            <w:vAlign w:val="center"/>
          </w:tcPr>
          <w:p w14:paraId="519459D2" w14:textId="47920347" w:rsidR="00D2598E" w:rsidRPr="004B6B33" w:rsidRDefault="00D2598E" w:rsidP="00D2598E">
            <w:pPr>
              <w:pStyle w:val="TableTextRight-Burden"/>
            </w:pPr>
          </w:p>
        </w:tc>
        <w:tc>
          <w:tcPr>
            <w:tcW w:w="1211" w:type="dxa"/>
            <w:tcBorders>
              <w:top w:val="nil"/>
              <w:left w:val="nil"/>
              <w:bottom w:val="single" w:sz="4" w:space="0" w:color="auto"/>
              <w:right w:val="single" w:sz="4" w:space="0" w:color="auto"/>
            </w:tcBorders>
            <w:shd w:val="clear" w:color="000000" w:fill="D8D8D8"/>
            <w:vAlign w:val="center"/>
          </w:tcPr>
          <w:p w14:paraId="4346A076" w14:textId="29C00BD0" w:rsidR="00D2598E" w:rsidRPr="004B6B33" w:rsidRDefault="00D2598E" w:rsidP="00D2598E">
            <w:pPr>
              <w:pStyle w:val="TableTextRight-Burden"/>
            </w:pPr>
          </w:p>
        </w:tc>
        <w:tc>
          <w:tcPr>
            <w:tcW w:w="1256" w:type="dxa"/>
            <w:tcBorders>
              <w:top w:val="nil"/>
              <w:left w:val="nil"/>
              <w:bottom w:val="single" w:sz="4" w:space="0" w:color="auto"/>
              <w:right w:val="single" w:sz="4" w:space="0" w:color="auto"/>
            </w:tcBorders>
            <w:shd w:val="clear" w:color="000000" w:fill="D8D8D8"/>
            <w:vAlign w:val="center"/>
            <w:hideMark/>
          </w:tcPr>
          <w:p w14:paraId="07869A2D" w14:textId="77777777" w:rsidR="00D2598E" w:rsidRPr="00AF3EEF" w:rsidRDefault="00D2598E" w:rsidP="00D2598E">
            <w:pPr>
              <w:pStyle w:val="TableTextRight-Burden"/>
            </w:pPr>
          </w:p>
        </w:tc>
      </w:tr>
      <w:tr w:rsidR="00083090" w:rsidRPr="004B6B33" w14:paraId="560FDE79" w14:textId="77777777" w:rsidTr="00880E34">
        <w:tc>
          <w:tcPr>
            <w:tcW w:w="4937" w:type="dxa"/>
            <w:tcBorders>
              <w:top w:val="nil"/>
              <w:left w:val="single" w:sz="4" w:space="0" w:color="auto"/>
              <w:bottom w:val="single" w:sz="4" w:space="0" w:color="auto"/>
              <w:right w:val="single" w:sz="4" w:space="0" w:color="auto"/>
            </w:tcBorders>
            <w:shd w:val="clear" w:color="auto" w:fill="auto"/>
            <w:hideMark/>
          </w:tcPr>
          <w:p w14:paraId="7FCB6532" w14:textId="77777777" w:rsidR="0064765C" w:rsidRPr="004B6B33" w:rsidRDefault="0064765C" w:rsidP="0064765C">
            <w:pPr>
              <w:pStyle w:val="TableTextIndent1-Burden"/>
            </w:pPr>
            <w:r w:rsidRPr="007D20A0">
              <w:t>Printing questionnaire (letter and instructions)</w:t>
            </w:r>
          </w:p>
        </w:tc>
        <w:tc>
          <w:tcPr>
            <w:tcW w:w="1059" w:type="dxa"/>
            <w:tcBorders>
              <w:top w:val="nil"/>
              <w:left w:val="nil"/>
              <w:bottom w:val="single" w:sz="4" w:space="0" w:color="auto"/>
              <w:right w:val="single" w:sz="4" w:space="0" w:color="auto"/>
            </w:tcBorders>
            <w:shd w:val="clear" w:color="auto" w:fill="auto"/>
            <w:vAlign w:val="center"/>
          </w:tcPr>
          <w:p w14:paraId="38F627CD" w14:textId="77777777" w:rsidR="0064765C" w:rsidRPr="004B6B33" w:rsidRDefault="0064765C" w:rsidP="0064765C">
            <w:pPr>
              <w:pStyle w:val="TableTextRight-Burden"/>
            </w:pPr>
          </w:p>
        </w:tc>
        <w:tc>
          <w:tcPr>
            <w:tcW w:w="1408" w:type="dxa"/>
            <w:tcBorders>
              <w:top w:val="nil"/>
              <w:left w:val="nil"/>
              <w:bottom w:val="single" w:sz="4" w:space="0" w:color="auto"/>
              <w:right w:val="single" w:sz="4" w:space="0" w:color="auto"/>
            </w:tcBorders>
            <w:shd w:val="clear" w:color="auto" w:fill="auto"/>
            <w:vAlign w:val="center"/>
          </w:tcPr>
          <w:p w14:paraId="5661A808" w14:textId="77777777" w:rsidR="0064765C" w:rsidRPr="004B6B33" w:rsidRDefault="0064765C" w:rsidP="0064765C">
            <w:pPr>
              <w:pStyle w:val="TableTextRight-Burden"/>
            </w:pPr>
          </w:p>
        </w:tc>
        <w:tc>
          <w:tcPr>
            <w:tcW w:w="1408" w:type="dxa"/>
            <w:tcBorders>
              <w:top w:val="nil"/>
              <w:left w:val="nil"/>
              <w:bottom w:val="single" w:sz="4" w:space="0" w:color="auto"/>
              <w:right w:val="single" w:sz="4" w:space="0" w:color="auto"/>
            </w:tcBorders>
            <w:shd w:val="clear" w:color="auto" w:fill="auto"/>
            <w:vAlign w:val="center"/>
          </w:tcPr>
          <w:p w14:paraId="7B781C76" w14:textId="77777777" w:rsidR="0064765C" w:rsidRPr="004B6B33" w:rsidRDefault="0064765C" w:rsidP="0064765C">
            <w:pPr>
              <w:pStyle w:val="TableTextRight-Burden"/>
            </w:pPr>
          </w:p>
        </w:tc>
        <w:tc>
          <w:tcPr>
            <w:tcW w:w="1162" w:type="dxa"/>
            <w:tcBorders>
              <w:top w:val="nil"/>
              <w:left w:val="nil"/>
              <w:bottom w:val="single" w:sz="4" w:space="0" w:color="auto"/>
              <w:right w:val="single" w:sz="4" w:space="0" w:color="auto"/>
            </w:tcBorders>
            <w:shd w:val="clear" w:color="auto" w:fill="auto"/>
            <w:vAlign w:val="center"/>
          </w:tcPr>
          <w:p w14:paraId="49E8C7BD" w14:textId="77777777" w:rsidR="0064765C" w:rsidRPr="004B6B33" w:rsidRDefault="0064765C" w:rsidP="0064765C">
            <w:pPr>
              <w:pStyle w:val="TableTextRight-Burden"/>
            </w:pPr>
          </w:p>
        </w:tc>
        <w:tc>
          <w:tcPr>
            <w:tcW w:w="1090" w:type="dxa"/>
            <w:tcBorders>
              <w:top w:val="nil"/>
              <w:left w:val="nil"/>
              <w:bottom w:val="single" w:sz="4" w:space="0" w:color="auto"/>
              <w:right w:val="single" w:sz="4" w:space="0" w:color="auto"/>
            </w:tcBorders>
            <w:shd w:val="clear" w:color="auto" w:fill="auto"/>
            <w:vAlign w:val="center"/>
          </w:tcPr>
          <w:p w14:paraId="024374A8" w14:textId="5342B940" w:rsidR="0064765C" w:rsidRPr="004B6B33" w:rsidRDefault="0064765C" w:rsidP="0064765C">
            <w:pPr>
              <w:pStyle w:val="TableTextRight-Burden"/>
            </w:pPr>
          </w:p>
        </w:tc>
        <w:tc>
          <w:tcPr>
            <w:tcW w:w="1147" w:type="dxa"/>
            <w:tcBorders>
              <w:top w:val="nil"/>
              <w:left w:val="nil"/>
              <w:bottom w:val="single" w:sz="4" w:space="0" w:color="auto"/>
              <w:right w:val="single" w:sz="4" w:space="0" w:color="auto"/>
            </w:tcBorders>
            <w:shd w:val="clear" w:color="auto" w:fill="auto"/>
            <w:vAlign w:val="center"/>
          </w:tcPr>
          <w:p w14:paraId="70DF0015" w14:textId="12E41693" w:rsidR="0064765C" w:rsidRPr="004B6B33" w:rsidRDefault="0064765C" w:rsidP="0064765C">
            <w:pPr>
              <w:pStyle w:val="TableTextRight-Burden"/>
            </w:pPr>
          </w:p>
        </w:tc>
        <w:tc>
          <w:tcPr>
            <w:tcW w:w="1211" w:type="dxa"/>
            <w:tcBorders>
              <w:top w:val="nil"/>
              <w:left w:val="nil"/>
              <w:bottom w:val="single" w:sz="4" w:space="0" w:color="auto"/>
              <w:right w:val="single" w:sz="4" w:space="0" w:color="auto"/>
            </w:tcBorders>
            <w:shd w:val="clear" w:color="auto" w:fill="auto"/>
            <w:vAlign w:val="center"/>
          </w:tcPr>
          <w:p w14:paraId="36132888" w14:textId="2A72D863" w:rsidR="0064765C" w:rsidRPr="004B6B33" w:rsidRDefault="0064765C" w:rsidP="0064765C">
            <w:pPr>
              <w:pStyle w:val="TableTextRight-Burden"/>
            </w:pPr>
          </w:p>
        </w:tc>
        <w:tc>
          <w:tcPr>
            <w:tcW w:w="1256" w:type="dxa"/>
            <w:tcBorders>
              <w:top w:val="nil"/>
              <w:left w:val="nil"/>
              <w:bottom w:val="single" w:sz="4" w:space="0" w:color="auto"/>
              <w:right w:val="single" w:sz="4" w:space="0" w:color="auto"/>
            </w:tcBorders>
            <w:shd w:val="clear" w:color="auto" w:fill="auto"/>
            <w:hideMark/>
          </w:tcPr>
          <w:p w14:paraId="1806C067" w14:textId="3EE1E023" w:rsidR="0064765C" w:rsidRPr="00AF3EEF" w:rsidRDefault="0064765C" w:rsidP="0064765C">
            <w:pPr>
              <w:pStyle w:val="TableTextRight-Burden"/>
            </w:pPr>
            <w:r w:rsidRPr="005602A6">
              <w:t>$</w:t>
            </w:r>
            <w:r w:rsidR="00D345E9">
              <w:t>39</w:t>
            </w:r>
            <w:r w:rsidR="00880E34">
              <w:t>1</w:t>
            </w:r>
          </w:p>
        </w:tc>
      </w:tr>
      <w:tr w:rsidR="00880E34" w:rsidRPr="004B6B33" w14:paraId="1ABDF68F" w14:textId="77777777" w:rsidTr="00880E34">
        <w:tc>
          <w:tcPr>
            <w:tcW w:w="4937" w:type="dxa"/>
            <w:tcBorders>
              <w:top w:val="nil"/>
              <w:left w:val="single" w:sz="4" w:space="0" w:color="auto"/>
              <w:bottom w:val="single" w:sz="4" w:space="0" w:color="auto"/>
              <w:right w:val="single" w:sz="4" w:space="0" w:color="auto"/>
            </w:tcBorders>
            <w:shd w:val="clear" w:color="auto" w:fill="auto"/>
            <w:hideMark/>
          </w:tcPr>
          <w:p w14:paraId="39D6A47F" w14:textId="77777777" w:rsidR="00880E34" w:rsidRPr="004B6B33" w:rsidRDefault="00880E34" w:rsidP="00880E34">
            <w:pPr>
              <w:pStyle w:val="TableTextIndent1-Burden"/>
            </w:pPr>
            <w:r w:rsidRPr="007D20A0">
              <w:t>Postage</w:t>
            </w:r>
          </w:p>
        </w:tc>
        <w:tc>
          <w:tcPr>
            <w:tcW w:w="1059" w:type="dxa"/>
            <w:tcBorders>
              <w:top w:val="nil"/>
              <w:left w:val="nil"/>
              <w:bottom w:val="single" w:sz="4" w:space="0" w:color="auto"/>
              <w:right w:val="single" w:sz="4" w:space="0" w:color="auto"/>
            </w:tcBorders>
            <w:shd w:val="clear" w:color="auto" w:fill="auto"/>
            <w:vAlign w:val="center"/>
          </w:tcPr>
          <w:p w14:paraId="7A715C1F" w14:textId="77777777" w:rsidR="00880E34" w:rsidRPr="004B6B33" w:rsidRDefault="00880E34" w:rsidP="00880E34">
            <w:pPr>
              <w:pStyle w:val="TableTextRight-Burden"/>
            </w:pPr>
          </w:p>
        </w:tc>
        <w:tc>
          <w:tcPr>
            <w:tcW w:w="1408" w:type="dxa"/>
            <w:tcBorders>
              <w:top w:val="nil"/>
              <w:left w:val="nil"/>
              <w:bottom w:val="single" w:sz="4" w:space="0" w:color="auto"/>
              <w:right w:val="single" w:sz="4" w:space="0" w:color="auto"/>
            </w:tcBorders>
            <w:shd w:val="clear" w:color="auto" w:fill="auto"/>
            <w:vAlign w:val="center"/>
          </w:tcPr>
          <w:p w14:paraId="69E8161B" w14:textId="77777777" w:rsidR="00880E34" w:rsidRPr="004B6B33" w:rsidRDefault="00880E34" w:rsidP="00880E34">
            <w:pPr>
              <w:pStyle w:val="TableTextRight-Burden"/>
            </w:pPr>
          </w:p>
        </w:tc>
        <w:tc>
          <w:tcPr>
            <w:tcW w:w="1408" w:type="dxa"/>
            <w:tcBorders>
              <w:top w:val="nil"/>
              <w:left w:val="nil"/>
              <w:bottom w:val="single" w:sz="4" w:space="0" w:color="auto"/>
              <w:right w:val="single" w:sz="4" w:space="0" w:color="auto"/>
            </w:tcBorders>
            <w:shd w:val="clear" w:color="auto" w:fill="auto"/>
            <w:vAlign w:val="center"/>
          </w:tcPr>
          <w:p w14:paraId="07A50BF6" w14:textId="77777777" w:rsidR="00880E34" w:rsidRPr="004B6B33" w:rsidRDefault="00880E34" w:rsidP="00880E34">
            <w:pPr>
              <w:pStyle w:val="TableTextRight-Burden"/>
            </w:pPr>
          </w:p>
        </w:tc>
        <w:tc>
          <w:tcPr>
            <w:tcW w:w="1162" w:type="dxa"/>
            <w:tcBorders>
              <w:top w:val="nil"/>
              <w:left w:val="nil"/>
              <w:bottom w:val="single" w:sz="4" w:space="0" w:color="auto"/>
              <w:right w:val="single" w:sz="4" w:space="0" w:color="auto"/>
            </w:tcBorders>
            <w:shd w:val="clear" w:color="auto" w:fill="auto"/>
            <w:vAlign w:val="center"/>
          </w:tcPr>
          <w:p w14:paraId="61C8A366" w14:textId="77777777" w:rsidR="00880E34" w:rsidRPr="004B6B33" w:rsidRDefault="00880E34" w:rsidP="00880E34">
            <w:pPr>
              <w:pStyle w:val="TableTextRight-Burden"/>
            </w:pPr>
          </w:p>
        </w:tc>
        <w:tc>
          <w:tcPr>
            <w:tcW w:w="1090" w:type="dxa"/>
            <w:tcBorders>
              <w:top w:val="nil"/>
              <w:left w:val="nil"/>
              <w:bottom w:val="single" w:sz="4" w:space="0" w:color="auto"/>
              <w:right w:val="single" w:sz="4" w:space="0" w:color="auto"/>
            </w:tcBorders>
            <w:shd w:val="clear" w:color="auto" w:fill="auto"/>
            <w:vAlign w:val="center"/>
          </w:tcPr>
          <w:p w14:paraId="69316162" w14:textId="14DB3103" w:rsidR="00880E34" w:rsidRPr="004B6B33" w:rsidRDefault="00880E34" w:rsidP="00880E34">
            <w:pPr>
              <w:pStyle w:val="TableTextRight-Burden"/>
            </w:pPr>
          </w:p>
        </w:tc>
        <w:tc>
          <w:tcPr>
            <w:tcW w:w="1147" w:type="dxa"/>
            <w:tcBorders>
              <w:top w:val="nil"/>
              <w:left w:val="nil"/>
              <w:bottom w:val="single" w:sz="4" w:space="0" w:color="auto"/>
              <w:right w:val="single" w:sz="4" w:space="0" w:color="auto"/>
            </w:tcBorders>
            <w:shd w:val="clear" w:color="auto" w:fill="auto"/>
            <w:vAlign w:val="center"/>
          </w:tcPr>
          <w:p w14:paraId="2671EAEF" w14:textId="73F4E3FC" w:rsidR="00880E34" w:rsidRPr="004B6B33" w:rsidRDefault="00880E34" w:rsidP="00880E34">
            <w:pPr>
              <w:pStyle w:val="TableTextRight-Burden"/>
            </w:pPr>
          </w:p>
        </w:tc>
        <w:tc>
          <w:tcPr>
            <w:tcW w:w="1211" w:type="dxa"/>
            <w:tcBorders>
              <w:top w:val="nil"/>
              <w:left w:val="nil"/>
              <w:bottom w:val="single" w:sz="4" w:space="0" w:color="auto"/>
              <w:right w:val="single" w:sz="4" w:space="0" w:color="auto"/>
            </w:tcBorders>
            <w:shd w:val="clear" w:color="auto" w:fill="auto"/>
            <w:vAlign w:val="center"/>
          </w:tcPr>
          <w:p w14:paraId="7B4E8FBD" w14:textId="41C9C0C4" w:rsidR="00880E34" w:rsidRPr="004B6B33" w:rsidRDefault="00880E34" w:rsidP="00880E34">
            <w:pPr>
              <w:pStyle w:val="TableTextRight-Burden"/>
            </w:pPr>
          </w:p>
        </w:tc>
        <w:tc>
          <w:tcPr>
            <w:tcW w:w="1256" w:type="dxa"/>
            <w:tcBorders>
              <w:top w:val="nil"/>
              <w:left w:val="nil"/>
              <w:bottom w:val="single" w:sz="4" w:space="0" w:color="auto"/>
              <w:right w:val="single" w:sz="4" w:space="0" w:color="auto"/>
            </w:tcBorders>
            <w:shd w:val="clear" w:color="auto" w:fill="auto"/>
            <w:hideMark/>
          </w:tcPr>
          <w:p w14:paraId="0FED395A" w14:textId="32E8A72F" w:rsidR="00880E34" w:rsidRPr="00AF3EEF" w:rsidRDefault="00880E34" w:rsidP="00880E34">
            <w:pPr>
              <w:pStyle w:val="TableTextRight-Burden"/>
            </w:pPr>
            <w:r w:rsidRPr="002B2613">
              <w:t>$3,812</w:t>
            </w:r>
          </w:p>
        </w:tc>
      </w:tr>
      <w:tr w:rsidR="00880E34" w:rsidRPr="004B6B33" w14:paraId="21B7B74F" w14:textId="77777777" w:rsidTr="00880E34">
        <w:tc>
          <w:tcPr>
            <w:tcW w:w="4937" w:type="dxa"/>
            <w:tcBorders>
              <w:top w:val="nil"/>
              <w:left w:val="single" w:sz="4" w:space="0" w:color="auto"/>
              <w:bottom w:val="single" w:sz="4" w:space="0" w:color="auto"/>
              <w:right w:val="single" w:sz="4" w:space="0" w:color="auto"/>
            </w:tcBorders>
            <w:shd w:val="clear" w:color="auto" w:fill="auto"/>
            <w:hideMark/>
          </w:tcPr>
          <w:p w14:paraId="04A87CA8" w14:textId="77777777" w:rsidR="00880E34" w:rsidRPr="004B6B33" w:rsidRDefault="00880E34" w:rsidP="00880E34">
            <w:pPr>
              <w:pStyle w:val="TableTextLeft-Burden"/>
            </w:pPr>
            <w:r w:rsidRPr="007D20A0">
              <w:t>Computer storage of data</w:t>
            </w:r>
          </w:p>
        </w:tc>
        <w:tc>
          <w:tcPr>
            <w:tcW w:w="1059" w:type="dxa"/>
            <w:tcBorders>
              <w:top w:val="nil"/>
              <w:left w:val="nil"/>
              <w:bottom w:val="single" w:sz="4" w:space="0" w:color="auto"/>
              <w:right w:val="single" w:sz="4" w:space="0" w:color="auto"/>
            </w:tcBorders>
            <w:shd w:val="clear" w:color="auto" w:fill="auto"/>
            <w:vAlign w:val="center"/>
          </w:tcPr>
          <w:p w14:paraId="4EC2EF0E" w14:textId="77777777" w:rsidR="00880E34" w:rsidRPr="004B6B33" w:rsidRDefault="00880E34" w:rsidP="00880E34">
            <w:pPr>
              <w:pStyle w:val="TableTextRight-Burden"/>
            </w:pPr>
          </w:p>
        </w:tc>
        <w:tc>
          <w:tcPr>
            <w:tcW w:w="1408" w:type="dxa"/>
            <w:tcBorders>
              <w:top w:val="nil"/>
              <w:left w:val="nil"/>
              <w:bottom w:val="single" w:sz="4" w:space="0" w:color="auto"/>
              <w:right w:val="single" w:sz="4" w:space="0" w:color="auto"/>
            </w:tcBorders>
            <w:shd w:val="clear" w:color="auto" w:fill="auto"/>
            <w:vAlign w:val="center"/>
          </w:tcPr>
          <w:p w14:paraId="2759C481" w14:textId="77777777" w:rsidR="00880E34" w:rsidRPr="004B6B33" w:rsidRDefault="00880E34" w:rsidP="00880E34">
            <w:pPr>
              <w:pStyle w:val="TableTextRight-Burden"/>
            </w:pPr>
          </w:p>
        </w:tc>
        <w:tc>
          <w:tcPr>
            <w:tcW w:w="1408" w:type="dxa"/>
            <w:tcBorders>
              <w:top w:val="nil"/>
              <w:left w:val="nil"/>
              <w:bottom w:val="single" w:sz="4" w:space="0" w:color="auto"/>
              <w:right w:val="single" w:sz="4" w:space="0" w:color="auto"/>
            </w:tcBorders>
            <w:shd w:val="clear" w:color="auto" w:fill="auto"/>
            <w:vAlign w:val="center"/>
          </w:tcPr>
          <w:p w14:paraId="39D4493A" w14:textId="77777777" w:rsidR="00880E34" w:rsidRPr="004B6B33" w:rsidRDefault="00880E34" w:rsidP="00880E34">
            <w:pPr>
              <w:pStyle w:val="TableTextRight-Burden"/>
            </w:pPr>
          </w:p>
        </w:tc>
        <w:tc>
          <w:tcPr>
            <w:tcW w:w="1162" w:type="dxa"/>
            <w:tcBorders>
              <w:top w:val="nil"/>
              <w:left w:val="nil"/>
              <w:bottom w:val="single" w:sz="4" w:space="0" w:color="auto"/>
              <w:right w:val="single" w:sz="4" w:space="0" w:color="auto"/>
            </w:tcBorders>
            <w:shd w:val="clear" w:color="auto" w:fill="auto"/>
            <w:vAlign w:val="center"/>
          </w:tcPr>
          <w:p w14:paraId="200A1109" w14:textId="77777777" w:rsidR="00880E34" w:rsidRPr="004B6B33" w:rsidRDefault="00880E34" w:rsidP="00880E34">
            <w:pPr>
              <w:pStyle w:val="TableTextRight-Burden"/>
            </w:pPr>
          </w:p>
        </w:tc>
        <w:tc>
          <w:tcPr>
            <w:tcW w:w="1090" w:type="dxa"/>
            <w:tcBorders>
              <w:top w:val="nil"/>
              <w:left w:val="nil"/>
              <w:bottom w:val="single" w:sz="4" w:space="0" w:color="auto"/>
              <w:right w:val="single" w:sz="4" w:space="0" w:color="auto"/>
            </w:tcBorders>
            <w:shd w:val="clear" w:color="auto" w:fill="auto"/>
            <w:vAlign w:val="center"/>
          </w:tcPr>
          <w:p w14:paraId="3D3C4D61" w14:textId="322110E2" w:rsidR="00880E34" w:rsidRPr="004B6B33" w:rsidRDefault="00880E34" w:rsidP="00880E34">
            <w:pPr>
              <w:pStyle w:val="TableTextRight-Burden"/>
            </w:pPr>
          </w:p>
        </w:tc>
        <w:tc>
          <w:tcPr>
            <w:tcW w:w="1147" w:type="dxa"/>
            <w:tcBorders>
              <w:top w:val="nil"/>
              <w:left w:val="nil"/>
              <w:bottom w:val="single" w:sz="4" w:space="0" w:color="auto"/>
              <w:right w:val="single" w:sz="4" w:space="0" w:color="auto"/>
            </w:tcBorders>
            <w:shd w:val="clear" w:color="auto" w:fill="auto"/>
            <w:vAlign w:val="center"/>
          </w:tcPr>
          <w:p w14:paraId="4D71442D" w14:textId="25D687B6" w:rsidR="00880E34" w:rsidRPr="004B6B33" w:rsidRDefault="00880E34" w:rsidP="00880E34">
            <w:pPr>
              <w:pStyle w:val="TableTextRight-Burden"/>
            </w:pPr>
          </w:p>
        </w:tc>
        <w:tc>
          <w:tcPr>
            <w:tcW w:w="1211" w:type="dxa"/>
            <w:tcBorders>
              <w:top w:val="nil"/>
              <w:left w:val="nil"/>
              <w:bottom w:val="single" w:sz="4" w:space="0" w:color="auto"/>
              <w:right w:val="single" w:sz="4" w:space="0" w:color="auto"/>
            </w:tcBorders>
            <w:shd w:val="clear" w:color="auto" w:fill="auto"/>
            <w:vAlign w:val="center"/>
          </w:tcPr>
          <w:p w14:paraId="0D514632" w14:textId="37F3FA4F" w:rsidR="00880E34" w:rsidRPr="004B6B33" w:rsidRDefault="00880E34" w:rsidP="00880E34">
            <w:pPr>
              <w:pStyle w:val="TableTextRight-Burden"/>
            </w:pPr>
          </w:p>
        </w:tc>
        <w:tc>
          <w:tcPr>
            <w:tcW w:w="1256" w:type="dxa"/>
            <w:tcBorders>
              <w:top w:val="nil"/>
              <w:left w:val="nil"/>
              <w:bottom w:val="single" w:sz="4" w:space="0" w:color="auto"/>
              <w:right w:val="single" w:sz="4" w:space="0" w:color="auto"/>
            </w:tcBorders>
            <w:shd w:val="clear" w:color="auto" w:fill="auto"/>
            <w:hideMark/>
          </w:tcPr>
          <w:p w14:paraId="01FEA976" w14:textId="35BCE948" w:rsidR="00880E34" w:rsidRPr="00AF3EEF" w:rsidRDefault="00880E34" w:rsidP="00880E34">
            <w:pPr>
              <w:pStyle w:val="TableTextRight-Burden"/>
            </w:pPr>
            <w:r w:rsidRPr="002B2613">
              <w:t>$2,040</w:t>
            </w:r>
          </w:p>
        </w:tc>
      </w:tr>
      <w:tr w:rsidR="00880E34" w:rsidRPr="004B6B33" w14:paraId="59F7C28C" w14:textId="77777777" w:rsidTr="00880E34">
        <w:tc>
          <w:tcPr>
            <w:tcW w:w="4937" w:type="dxa"/>
            <w:tcBorders>
              <w:top w:val="nil"/>
              <w:left w:val="single" w:sz="4" w:space="0" w:color="auto"/>
              <w:bottom w:val="double" w:sz="6" w:space="0" w:color="auto"/>
              <w:right w:val="single" w:sz="4" w:space="0" w:color="auto"/>
            </w:tcBorders>
            <w:shd w:val="clear" w:color="auto" w:fill="auto"/>
            <w:hideMark/>
          </w:tcPr>
          <w:p w14:paraId="20002852" w14:textId="77777777" w:rsidR="00880E34" w:rsidRPr="004B6B33" w:rsidRDefault="00880E34" w:rsidP="00880E34">
            <w:pPr>
              <w:pStyle w:val="TableTextLeft-Burden"/>
            </w:pPr>
            <w:r w:rsidRPr="007D20A0">
              <w:t>Total O&amp;M Expenses</w:t>
            </w:r>
          </w:p>
        </w:tc>
        <w:tc>
          <w:tcPr>
            <w:tcW w:w="1059" w:type="dxa"/>
            <w:tcBorders>
              <w:top w:val="nil"/>
              <w:left w:val="nil"/>
              <w:bottom w:val="double" w:sz="6" w:space="0" w:color="auto"/>
              <w:right w:val="single" w:sz="4" w:space="0" w:color="auto"/>
            </w:tcBorders>
            <w:shd w:val="clear" w:color="auto" w:fill="auto"/>
            <w:vAlign w:val="center"/>
          </w:tcPr>
          <w:p w14:paraId="41179B5E" w14:textId="77777777" w:rsidR="00880E34" w:rsidRPr="004B6B33" w:rsidRDefault="00880E34" w:rsidP="00880E34">
            <w:pPr>
              <w:pStyle w:val="TableTextRight-Burden"/>
            </w:pPr>
          </w:p>
        </w:tc>
        <w:tc>
          <w:tcPr>
            <w:tcW w:w="1408" w:type="dxa"/>
            <w:tcBorders>
              <w:top w:val="nil"/>
              <w:left w:val="nil"/>
              <w:bottom w:val="double" w:sz="6" w:space="0" w:color="auto"/>
              <w:right w:val="single" w:sz="4" w:space="0" w:color="auto"/>
            </w:tcBorders>
            <w:shd w:val="clear" w:color="auto" w:fill="auto"/>
            <w:vAlign w:val="center"/>
          </w:tcPr>
          <w:p w14:paraId="41B04D39" w14:textId="77777777" w:rsidR="00880E34" w:rsidRPr="004B6B33" w:rsidRDefault="00880E34" w:rsidP="00880E34">
            <w:pPr>
              <w:pStyle w:val="TableTextRight-Burden"/>
            </w:pPr>
          </w:p>
        </w:tc>
        <w:tc>
          <w:tcPr>
            <w:tcW w:w="1408" w:type="dxa"/>
            <w:tcBorders>
              <w:top w:val="nil"/>
              <w:left w:val="nil"/>
              <w:bottom w:val="double" w:sz="6" w:space="0" w:color="auto"/>
              <w:right w:val="single" w:sz="4" w:space="0" w:color="auto"/>
            </w:tcBorders>
            <w:shd w:val="clear" w:color="auto" w:fill="auto"/>
            <w:vAlign w:val="center"/>
          </w:tcPr>
          <w:p w14:paraId="238F6903" w14:textId="77777777" w:rsidR="00880E34" w:rsidRPr="004B6B33" w:rsidRDefault="00880E34" w:rsidP="00880E34">
            <w:pPr>
              <w:pStyle w:val="TableTextRight-Burden"/>
            </w:pPr>
          </w:p>
        </w:tc>
        <w:tc>
          <w:tcPr>
            <w:tcW w:w="1162" w:type="dxa"/>
            <w:tcBorders>
              <w:top w:val="nil"/>
              <w:left w:val="nil"/>
              <w:bottom w:val="double" w:sz="6" w:space="0" w:color="auto"/>
              <w:right w:val="single" w:sz="4" w:space="0" w:color="auto"/>
            </w:tcBorders>
            <w:shd w:val="clear" w:color="auto" w:fill="auto"/>
            <w:vAlign w:val="center"/>
          </w:tcPr>
          <w:p w14:paraId="4FBC61BE" w14:textId="77777777" w:rsidR="00880E34" w:rsidRPr="004B6B33" w:rsidRDefault="00880E34" w:rsidP="00880E34">
            <w:pPr>
              <w:pStyle w:val="TableTextRight-Burden"/>
            </w:pPr>
          </w:p>
        </w:tc>
        <w:tc>
          <w:tcPr>
            <w:tcW w:w="1090" w:type="dxa"/>
            <w:tcBorders>
              <w:top w:val="nil"/>
              <w:left w:val="nil"/>
              <w:bottom w:val="double" w:sz="6" w:space="0" w:color="auto"/>
              <w:right w:val="single" w:sz="4" w:space="0" w:color="auto"/>
            </w:tcBorders>
            <w:shd w:val="clear" w:color="auto" w:fill="auto"/>
            <w:vAlign w:val="center"/>
          </w:tcPr>
          <w:p w14:paraId="08FEA512" w14:textId="229473D3" w:rsidR="00880E34" w:rsidRPr="004B6B33" w:rsidRDefault="00880E34" w:rsidP="00880E34">
            <w:pPr>
              <w:pStyle w:val="TableTextRight-Burden"/>
            </w:pPr>
          </w:p>
        </w:tc>
        <w:tc>
          <w:tcPr>
            <w:tcW w:w="1147" w:type="dxa"/>
            <w:tcBorders>
              <w:top w:val="nil"/>
              <w:left w:val="nil"/>
              <w:bottom w:val="double" w:sz="6" w:space="0" w:color="auto"/>
              <w:right w:val="single" w:sz="4" w:space="0" w:color="auto"/>
            </w:tcBorders>
            <w:shd w:val="clear" w:color="auto" w:fill="auto"/>
            <w:vAlign w:val="center"/>
          </w:tcPr>
          <w:p w14:paraId="2C0F5E5C" w14:textId="1CA9364A" w:rsidR="00880E34" w:rsidRPr="004B6B33" w:rsidRDefault="00880E34" w:rsidP="00880E34">
            <w:pPr>
              <w:pStyle w:val="TableTextRight-Burden"/>
            </w:pPr>
          </w:p>
        </w:tc>
        <w:tc>
          <w:tcPr>
            <w:tcW w:w="1211" w:type="dxa"/>
            <w:tcBorders>
              <w:top w:val="nil"/>
              <w:left w:val="nil"/>
              <w:bottom w:val="double" w:sz="6" w:space="0" w:color="auto"/>
              <w:right w:val="single" w:sz="4" w:space="0" w:color="auto"/>
            </w:tcBorders>
            <w:shd w:val="clear" w:color="auto" w:fill="auto"/>
            <w:vAlign w:val="center"/>
          </w:tcPr>
          <w:p w14:paraId="64A3B973" w14:textId="399177AF" w:rsidR="00880E34" w:rsidRPr="004B6B33" w:rsidRDefault="00880E34" w:rsidP="00880E34">
            <w:pPr>
              <w:pStyle w:val="TableTextRight-Burden"/>
            </w:pPr>
          </w:p>
        </w:tc>
        <w:tc>
          <w:tcPr>
            <w:tcW w:w="1256" w:type="dxa"/>
            <w:tcBorders>
              <w:top w:val="nil"/>
              <w:left w:val="nil"/>
              <w:bottom w:val="double" w:sz="6" w:space="0" w:color="auto"/>
              <w:right w:val="single" w:sz="4" w:space="0" w:color="auto"/>
            </w:tcBorders>
            <w:shd w:val="clear" w:color="auto" w:fill="auto"/>
            <w:hideMark/>
          </w:tcPr>
          <w:p w14:paraId="780E5C4C" w14:textId="7475DA44" w:rsidR="00880E34" w:rsidRPr="00AF3EEF" w:rsidRDefault="00880E34" w:rsidP="00880E34">
            <w:pPr>
              <w:pStyle w:val="TableTextRight-Burden"/>
            </w:pPr>
            <w:r w:rsidRPr="002B2613">
              <w:t>$6,243</w:t>
            </w:r>
          </w:p>
        </w:tc>
      </w:tr>
      <w:tr w:rsidR="00083090" w:rsidRPr="004B6B33" w14:paraId="2C8A4FC7" w14:textId="77777777" w:rsidTr="00880E34">
        <w:tc>
          <w:tcPr>
            <w:tcW w:w="4937" w:type="dxa"/>
            <w:tcBorders>
              <w:top w:val="nil"/>
              <w:left w:val="single" w:sz="4" w:space="0" w:color="auto"/>
              <w:bottom w:val="single" w:sz="4" w:space="0" w:color="auto"/>
              <w:right w:val="single" w:sz="4" w:space="0" w:color="auto"/>
            </w:tcBorders>
            <w:shd w:val="clear" w:color="auto" w:fill="auto"/>
            <w:hideMark/>
          </w:tcPr>
          <w:p w14:paraId="10EF6747" w14:textId="77777777" w:rsidR="0064765C" w:rsidRPr="00C607D3" w:rsidRDefault="0064765C" w:rsidP="0064765C">
            <w:pPr>
              <w:pStyle w:val="TableTextLeft-Burden"/>
              <w:rPr>
                <w:rStyle w:val="Bold"/>
              </w:rPr>
            </w:pPr>
            <w:r w:rsidRPr="00C607D3">
              <w:rPr>
                <w:rStyle w:val="Bold"/>
              </w:rPr>
              <w:t>TOTAL ANNUAL LABOR BURDEN AND COST</w:t>
            </w:r>
          </w:p>
        </w:tc>
        <w:tc>
          <w:tcPr>
            <w:tcW w:w="1059" w:type="dxa"/>
            <w:tcBorders>
              <w:top w:val="nil"/>
              <w:left w:val="nil"/>
              <w:bottom w:val="single" w:sz="4" w:space="0" w:color="auto"/>
              <w:right w:val="single" w:sz="4" w:space="0" w:color="auto"/>
            </w:tcBorders>
            <w:shd w:val="clear" w:color="auto" w:fill="auto"/>
            <w:vAlign w:val="center"/>
          </w:tcPr>
          <w:p w14:paraId="4B59D048" w14:textId="73FCFDDD" w:rsidR="0064765C" w:rsidRPr="00C607D3" w:rsidRDefault="0064765C" w:rsidP="0064765C">
            <w:pPr>
              <w:pStyle w:val="TableTextRight-Burden"/>
              <w:rPr>
                <w:rStyle w:val="Bold"/>
              </w:rPr>
            </w:pPr>
          </w:p>
        </w:tc>
        <w:tc>
          <w:tcPr>
            <w:tcW w:w="1408" w:type="dxa"/>
            <w:tcBorders>
              <w:top w:val="nil"/>
              <w:left w:val="nil"/>
              <w:bottom w:val="single" w:sz="4" w:space="0" w:color="auto"/>
              <w:right w:val="single" w:sz="4" w:space="0" w:color="auto"/>
            </w:tcBorders>
            <w:shd w:val="clear" w:color="auto" w:fill="auto"/>
            <w:vAlign w:val="center"/>
          </w:tcPr>
          <w:p w14:paraId="4F982A8E" w14:textId="254C1CE3" w:rsidR="0064765C" w:rsidRPr="00C607D3" w:rsidRDefault="0064765C" w:rsidP="0064765C">
            <w:pPr>
              <w:pStyle w:val="TableTextRight-Burden"/>
              <w:rPr>
                <w:rStyle w:val="Bold"/>
              </w:rPr>
            </w:pPr>
          </w:p>
        </w:tc>
        <w:tc>
          <w:tcPr>
            <w:tcW w:w="1408" w:type="dxa"/>
            <w:tcBorders>
              <w:top w:val="nil"/>
              <w:left w:val="nil"/>
              <w:bottom w:val="single" w:sz="4" w:space="0" w:color="auto"/>
              <w:right w:val="single" w:sz="4" w:space="0" w:color="auto"/>
            </w:tcBorders>
            <w:shd w:val="clear" w:color="auto" w:fill="auto"/>
            <w:vAlign w:val="center"/>
          </w:tcPr>
          <w:p w14:paraId="1BA55F9B" w14:textId="68A1E146" w:rsidR="0064765C" w:rsidRPr="00C607D3" w:rsidRDefault="0064765C" w:rsidP="0064765C">
            <w:pPr>
              <w:pStyle w:val="TableTextRight-Burden"/>
              <w:rPr>
                <w:rStyle w:val="Bold"/>
              </w:rPr>
            </w:pPr>
          </w:p>
        </w:tc>
        <w:tc>
          <w:tcPr>
            <w:tcW w:w="1162" w:type="dxa"/>
            <w:tcBorders>
              <w:top w:val="nil"/>
              <w:left w:val="nil"/>
              <w:bottom w:val="single" w:sz="4" w:space="0" w:color="auto"/>
              <w:right w:val="single" w:sz="4" w:space="0" w:color="auto"/>
            </w:tcBorders>
            <w:shd w:val="clear" w:color="auto" w:fill="auto"/>
            <w:vAlign w:val="center"/>
          </w:tcPr>
          <w:p w14:paraId="325184DE" w14:textId="314CC157" w:rsidR="0064765C" w:rsidRPr="00C607D3" w:rsidRDefault="0064765C" w:rsidP="0064765C">
            <w:pPr>
              <w:pStyle w:val="TableTextRight-Burden"/>
              <w:rPr>
                <w:rStyle w:val="Bold"/>
              </w:rPr>
            </w:pPr>
          </w:p>
        </w:tc>
        <w:tc>
          <w:tcPr>
            <w:tcW w:w="1090" w:type="dxa"/>
            <w:tcBorders>
              <w:top w:val="nil"/>
              <w:left w:val="nil"/>
              <w:bottom w:val="single" w:sz="4" w:space="0" w:color="auto"/>
              <w:right w:val="single" w:sz="4" w:space="0" w:color="auto"/>
            </w:tcBorders>
            <w:shd w:val="clear" w:color="auto" w:fill="auto"/>
            <w:vAlign w:val="center"/>
          </w:tcPr>
          <w:p w14:paraId="7C62FE07" w14:textId="410B146C" w:rsidR="0064765C" w:rsidRPr="00C607D3" w:rsidRDefault="0064765C" w:rsidP="0064765C">
            <w:pPr>
              <w:pStyle w:val="TableTextRight-Burden"/>
              <w:rPr>
                <w:rStyle w:val="Bold"/>
              </w:rPr>
            </w:pPr>
          </w:p>
        </w:tc>
        <w:tc>
          <w:tcPr>
            <w:tcW w:w="1147" w:type="dxa"/>
            <w:tcBorders>
              <w:top w:val="nil"/>
              <w:left w:val="nil"/>
              <w:bottom w:val="single" w:sz="4" w:space="0" w:color="auto"/>
              <w:right w:val="single" w:sz="4" w:space="0" w:color="auto"/>
            </w:tcBorders>
            <w:shd w:val="clear" w:color="auto" w:fill="auto"/>
            <w:vAlign w:val="center"/>
          </w:tcPr>
          <w:p w14:paraId="7CB85A62" w14:textId="1E1FB262" w:rsidR="0064765C" w:rsidRPr="00C607D3" w:rsidRDefault="0064765C" w:rsidP="0064765C">
            <w:pPr>
              <w:pStyle w:val="TableTextRight-Burden"/>
              <w:rPr>
                <w:rStyle w:val="Bold"/>
              </w:rPr>
            </w:pPr>
          </w:p>
        </w:tc>
        <w:tc>
          <w:tcPr>
            <w:tcW w:w="1211" w:type="dxa"/>
            <w:tcBorders>
              <w:top w:val="nil"/>
              <w:left w:val="nil"/>
              <w:bottom w:val="single" w:sz="4" w:space="0" w:color="auto"/>
              <w:right w:val="single" w:sz="4" w:space="0" w:color="auto"/>
            </w:tcBorders>
            <w:shd w:val="clear" w:color="auto" w:fill="auto"/>
            <w:vAlign w:val="center"/>
          </w:tcPr>
          <w:p w14:paraId="47706DF1" w14:textId="342C2F4F" w:rsidR="0064765C" w:rsidRPr="00C607D3" w:rsidRDefault="0064765C" w:rsidP="0064765C">
            <w:pPr>
              <w:pStyle w:val="TableTextRight-Burden"/>
              <w:rPr>
                <w:rStyle w:val="Bold"/>
              </w:rPr>
            </w:pPr>
          </w:p>
        </w:tc>
        <w:tc>
          <w:tcPr>
            <w:tcW w:w="1256" w:type="dxa"/>
            <w:tcBorders>
              <w:top w:val="nil"/>
              <w:left w:val="nil"/>
              <w:bottom w:val="single" w:sz="4" w:space="0" w:color="auto"/>
              <w:right w:val="single" w:sz="4" w:space="0" w:color="auto"/>
            </w:tcBorders>
            <w:shd w:val="clear" w:color="auto" w:fill="auto"/>
            <w:hideMark/>
          </w:tcPr>
          <w:p w14:paraId="3F3698A2" w14:textId="6003E8E2" w:rsidR="0064765C" w:rsidRPr="0064765C" w:rsidRDefault="0064765C" w:rsidP="0064765C">
            <w:pPr>
              <w:pStyle w:val="TableTextRight-Burden"/>
              <w:rPr>
                <w:rStyle w:val="Bold"/>
              </w:rPr>
            </w:pPr>
            <w:r w:rsidRPr="00C607D3">
              <w:rPr>
                <w:rStyle w:val="Bold"/>
              </w:rPr>
              <w:t>$6</w:t>
            </w:r>
            <w:r w:rsidR="00880E34">
              <w:rPr>
                <w:rStyle w:val="Bold"/>
              </w:rPr>
              <w:t>75</w:t>
            </w:r>
            <w:r w:rsidRPr="00C607D3">
              <w:rPr>
                <w:rStyle w:val="Bold"/>
              </w:rPr>
              <w:t>,</w:t>
            </w:r>
            <w:r w:rsidR="00880E34">
              <w:rPr>
                <w:rStyle w:val="Bold"/>
              </w:rPr>
              <w:t>247</w:t>
            </w:r>
          </w:p>
        </w:tc>
      </w:tr>
    </w:tbl>
    <w:p w14:paraId="51233F5D" w14:textId="61E3567A" w:rsidR="004B6B33" w:rsidRPr="00CC4DBE" w:rsidRDefault="004B6B33" w:rsidP="00CC4DBE">
      <w:pPr>
        <w:pStyle w:val="TableFootnote-Burden"/>
      </w:pPr>
      <w:r w:rsidRPr="00CC4DBE">
        <w:t>1.</w:t>
      </w:r>
      <w:r w:rsidR="00C60352">
        <w:t xml:space="preserve"> </w:t>
      </w:r>
      <w:r w:rsidRPr="00CC4DBE">
        <w:t xml:space="preserve">The number of respondents per year is based on the </w:t>
      </w:r>
      <w:r w:rsidR="00AB56FD">
        <w:t>facility</w:t>
      </w:r>
      <w:r w:rsidR="00AB56FD" w:rsidRPr="00C85192">
        <w:t xml:space="preserve"> </w:t>
      </w:r>
      <w:r w:rsidRPr="00CC4DBE">
        <w:t>counts listed in Section 4 of the Supporting Statement.</w:t>
      </w:r>
    </w:p>
    <w:p w14:paraId="5042A3DB" w14:textId="4BDA9D3C" w:rsidR="00D2598E" w:rsidRPr="00CC4DBE" w:rsidRDefault="00D2598E" w:rsidP="00D2598E">
      <w:pPr>
        <w:pStyle w:val="TableFootnote-Burden"/>
      </w:pPr>
      <w:r>
        <w:t>2</w:t>
      </w:r>
      <w:r w:rsidRPr="00CC4DBE">
        <w:t xml:space="preserve">. </w:t>
      </w:r>
      <w:r w:rsidR="002F60DB">
        <w:t xml:space="preserve">Based on GS Scale 2017: </w:t>
      </w:r>
      <w:r w:rsidR="0064765C" w:rsidRPr="0064765C">
        <w:t>Technical/GS 13-1: $35.74/hour, Managerial/GS 15-1: $49.68/hour, Clerical/GS 7-1: $16.94/hour.</w:t>
      </w:r>
      <w:r w:rsidR="0064765C">
        <w:t xml:space="preserve"> </w:t>
      </w:r>
      <w:r w:rsidR="0064765C" w:rsidRPr="0064765C">
        <w:t>All agency labor rates include a multiplier of 1.6 to account for overhead and fringe benefit costs.</w:t>
      </w:r>
    </w:p>
    <w:p w14:paraId="2794F6EE" w14:textId="77777777" w:rsidR="00834737" w:rsidRDefault="00834737" w:rsidP="00834737">
      <w:pPr>
        <w:pStyle w:val="TableFootnote-Burden"/>
      </w:pPr>
      <w:r>
        <w:t>3. The mailout package includes section 114 letter with standard enclosures and a hard copy of the survey instruction document. Assumes the EPA will mail one questionnaire per facility.</w:t>
      </w:r>
    </w:p>
    <w:p w14:paraId="18D1D14B" w14:textId="77777777" w:rsidR="00834737" w:rsidRDefault="00B73746" w:rsidP="00834737">
      <w:pPr>
        <w:pStyle w:val="TableFootnote-Burden"/>
      </w:pPr>
      <w:r>
        <w:t>4. </w:t>
      </w:r>
      <w:r w:rsidR="00834737">
        <w:t>Assumes 15</w:t>
      </w:r>
      <w:r w:rsidR="00C85BCB">
        <w:t xml:space="preserve"> percent</w:t>
      </w:r>
      <w:r w:rsidR="00834737">
        <w:t xml:space="preserve"> of </w:t>
      </w:r>
      <w:r w:rsidR="00AB56FD">
        <w:t>facilities</w:t>
      </w:r>
      <w:r w:rsidR="00AB56FD" w:rsidRPr="00C85192">
        <w:t xml:space="preserve"> </w:t>
      </w:r>
      <w:r w:rsidR="00834737">
        <w:t xml:space="preserve">provide documentation of area source status, </w:t>
      </w:r>
      <w:r w:rsidR="00AB56FD">
        <w:t>facility</w:t>
      </w:r>
      <w:r w:rsidR="00AB56FD" w:rsidRPr="00C85192">
        <w:t xml:space="preserve"> </w:t>
      </w:r>
      <w:r w:rsidR="00834737">
        <w:t xml:space="preserve">closure, or that PCWP processes are not performed at the </w:t>
      </w:r>
      <w:r w:rsidR="00AB56FD">
        <w:t>facility</w:t>
      </w:r>
      <w:r w:rsidR="00834737">
        <w:t xml:space="preserve">. It is not known how many of these claims will be valid so this number of </w:t>
      </w:r>
      <w:r w:rsidR="00AB56FD">
        <w:t xml:space="preserve">facilities </w:t>
      </w:r>
      <w:r w:rsidR="00834737">
        <w:t>has not been subtracted from the burden estimates associated with completing the survey.</w:t>
      </w:r>
    </w:p>
    <w:p w14:paraId="4456F300" w14:textId="77777777" w:rsidR="00834737" w:rsidRDefault="00834737" w:rsidP="00834737">
      <w:pPr>
        <w:pStyle w:val="TableFootnote-Burden"/>
      </w:pPr>
      <w:r>
        <w:t>5. Assumes that 25</w:t>
      </w:r>
      <w:r w:rsidR="00C85BCB" w:rsidRPr="00C85BCB">
        <w:t xml:space="preserve"> </w:t>
      </w:r>
      <w:r w:rsidR="00C85BCB">
        <w:t xml:space="preserve">percent </w:t>
      </w:r>
      <w:r>
        <w:t>of the facilities will have questions.</w:t>
      </w:r>
    </w:p>
    <w:p w14:paraId="56B52F26" w14:textId="77777777" w:rsidR="00834737" w:rsidRDefault="00834737" w:rsidP="00834737">
      <w:pPr>
        <w:pStyle w:val="TableFootnote-Burden"/>
      </w:pPr>
      <w:r>
        <w:t>6. Assumes that 25</w:t>
      </w:r>
      <w:r w:rsidR="00C85BCB" w:rsidRPr="00C85BCB">
        <w:t xml:space="preserve"> </w:t>
      </w:r>
      <w:r w:rsidR="00C85BCB">
        <w:t xml:space="preserve">percent </w:t>
      </w:r>
      <w:r>
        <w:t>of facilities will have confidential data.</w:t>
      </w:r>
    </w:p>
    <w:p w14:paraId="7FDEB113" w14:textId="183A63B4" w:rsidR="00834737" w:rsidRDefault="00834737" w:rsidP="00834737">
      <w:pPr>
        <w:pStyle w:val="TableFootnote-Burden"/>
      </w:pPr>
      <w:r>
        <w:t xml:space="preserve">7. It is estimated that PCWP </w:t>
      </w:r>
      <w:r w:rsidR="00AB56FD">
        <w:t xml:space="preserve">facilities </w:t>
      </w:r>
      <w:r>
        <w:t>that were required to install controls will submit 4 test reports each</w:t>
      </w:r>
      <w:r w:rsidR="00226FD4" w:rsidRPr="00226FD4">
        <w:t xml:space="preserve"> and that 5 percent of lumber mills will submit test data for kilns</w:t>
      </w:r>
      <w:r>
        <w:t>. Emissions test results within the range of other test results will require little time for analysis. Other tests, such as best performers, will require additional analysis. Expect to spend an average of 0.5 hr per test result.</w:t>
      </w:r>
    </w:p>
    <w:p w14:paraId="6ACB4EB3" w14:textId="58F5B41B" w:rsidR="000A00FC" w:rsidRDefault="00834737" w:rsidP="00226FD4">
      <w:pPr>
        <w:pStyle w:val="TableFootnote-Burden"/>
      </w:pPr>
      <w:r>
        <w:t xml:space="preserve">8. Cost Estimate Basis: Copy costs for </w:t>
      </w:r>
      <w:r w:rsidR="00D345E9">
        <w:t>2</w:t>
      </w:r>
      <w:r>
        <w:t>0 pages at $0.05/page; Postage Costs at $9.</w:t>
      </w:r>
      <w:r w:rsidR="00D345E9">
        <w:t>7</w:t>
      </w:r>
      <w:r>
        <w:t xml:space="preserve">5 for Federal Express </w:t>
      </w:r>
      <w:r w:rsidR="00D345E9">
        <w:t xml:space="preserve">letter-size envelope </w:t>
      </w:r>
      <w:r>
        <w:t>flat rate. Data storage at $6/GB/month assuming 10 GB data for 24 months; webpage cost at $600.</w:t>
      </w:r>
    </w:p>
    <w:p w14:paraId="3EEE3DA5" w14:textId="77777777" w:rsidR="00E77A21" w:rsidRPr="00C607D3" w:rsidRDefault="00E77A21" w:rsidP="00C607D3">
      <w:pPr>
        <w:pStyle w:val="AfterTable"/>
      </w:pPr>
    </w:p>
    <w:sectPr w:rsidR="00E77A21" w:rsidRPr="00C607D3" w:rsidSect="00966E3C">
      <w:footerReference w:type="default" r:id="rId24"/>
      <w:pgSz w:w="15840" w:h="12240" w:orient="landscape" w:code="1"/>
      <w:pgMar w:top="1008" w:right="576" w:bottom="1008" w:left="576" w:header="576"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029E4" w14:textId="77777777" w:rsidR="00DE6026" w:rsidRDefault="00DE6026">
      <w:r>
        <w:separator/>
      </w:r>
    </w:p>
  </w:endnote>
  <w:endnote w:type="continuationSeparator" w:id="0">
    <w:p w14:paraId="360153E4" w14:textId="77777777" w:rsidR="00DE6026" w:rsidRDefault="00DE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onic">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876F8" w14:textId="77777777" w:rsidR="00AB141D" w:rsidRDefault="00AB141D">
    <w:pPr>
      <w:pStyle w:val="Footer"/>
      <w:jc w:val="center"/>
    </w:pPr>
  </w:p>
  <w:p w14:paraId="1E98DD5D" w14:textId="77777777" w:rsidR="00AB141D" w:rsidRDefault="00AB141D">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823462"/>
      <w:docPartObj>
        <w:docPartGallery w:val="Page Numbers (Bottom of Page)"/>
        <w:docPartUnique/>
      </w:docPartObj>
    </w:sdtPr>
    <w:sdtEndPr>
      <w:rPr>
        <w:noProof/>
      </w:rPr>
    </w:sdtEndPr>
    <w:sdtContent>
      <w:p w14:paraId="618C962A" w14:textId="6D8C0AAF" w:rsidR="00AB141D" w:rsidRDefault="00AB141D">
        <w:pPr>
          <w:pStyle w:val="Footer"/>
          <w:jc w:val="center"/>
        </w:pPr>
        <w:r>
          <w:fldChar w:fldCharType="begin"/>
        </w:r>
        <w:r>
          <w:instrText xml:space="preserve"> PAGE   \* MERGEFORMAT </w:instrText>
        </w:r>
        <w:r>
          <w:fldChar w:fldCharType="separate"/>
        </w:r>
        <w:r w:rsidR="00C96B8A">
          <w:rPr>
            <w:noProof/>
          </w:rPr>
          <w:t>2</w:t>
        </w:r>
        <w:r>
          <w:rPr>
            <w:noProof/>
          </w:rPr>
          <w:fldChar w:fldCharType="end"/>
        </w:r>
      </w:p>
    </w:sdtContent>
  </w:sdt>
  <w:p w14:paraId="6969BB12" w14:textId="77777777" w:rsidR="00AB141D" w:rsidRDefault="00AB141D">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A6D84" w14:textId="08F43AF6" w:rsidR="00AB141D" w:rsidRDefault="00AB141D">
    <w:pPr>
      <w:pStyle w:val="Footer"/>
      <w:jc w:val="center"/>
    </w:pPr>
    <w:r>
      <w:t>1-</w:t>
    </w:r>
    <w:sdt>
      <w:sdtPr>
        <w:id w:val="2874065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63DA5">
          <w:rPr>
            <w:noProof/>
          </w:rPr>
          <w:t>1</w:t>
        </w:r>
        <w:r>
          <w:rPr>
            <w:noProof/>
          </w:rPr>
          <w:fldChar w:fldCharType="end"/>
        </w:r>
      </w:sdtContent>
    </w:sdt>
  </w:p>
  <w:p w14:paraId="25A833FA" w14:textId="77777777" w:rsidR="00AB141D" w:rsidRDefault="00AB141D">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FF136" w14:textId="44A34A7A" w:rsidR="00AB141D" w:rsidRDefault="00AB141D">
    <w:pPr>
      <w:pStyle w:val="Footer"/>
      <w:jc w:val="center"/>
    </w:pPr>
    <w:r>
      <w:t>2-</w:t>
    </w:r>
    <w:sdt>
      <w:sdtPr>
        <w:id w:val="-7676124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63DA5">
          <w:rPr>
            <w:noProof/>
          </w:rPr>
          <w:t>3</w:t>
        </w:r>
        <w:r>
          <w:rPr>
            <w:noProof/>
          </w:rPr>
          <w:fldChar w:fldCharType="end"/>
        </w:r>
      </w:sdtContent>
    </w:sdt>
  </w:p>
  <w:p w14:paraId="4D95771D" w14:textId="77777777" w:rsidR="00AB141D" w:rsidRDefault="00AB141D">
    <w:pPr>
      <w:spacing w:line="14"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7AE75" w14:textId="1FD3359F" w:rsidR="00AB141D" w:rsidRDefault="00AB141D">
    <w:pPr>
      <w:pStyle w:val="Footer"/>
      <w:jc w:val="center"/>
    </w:pPr>
    <w:r>
      <w:t>3-</w:t>
    </w:r>
    <w:sdt>
      <w:sdtPr>
        <w:id w:val="-7014726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63DA5">
          <w:rPr>
            <w:noProof/>
          </w:rPr>
          <w:t>1</w:t>
        </w:r>
        <w:r>
          <w:rPr>
            <w:noProof/>
          </w:rPr>
          <w:fldChar w:fldCharType="end"/>
        </w:r>
      </w:sdtContent>
    </w:sdt>
  </w:p>
  <w:p w14:paraId="181C6818" w14:textId="77777777" w:rsidR="00AB141D" w:rsidRDefault="00AB141D">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E3309" w14:textId="77777777" w:rsidR="00DE6026" w:rsidRDefault="00DE6026">
      <w:r>
        <w:separator/>
      </w:r>
    </w:p>
  </w:footnote>
  <w:footnote w:type="continuationSeparator" w:id="0">
    <w:p w14:paraId="62DC388F" w14:textId="77777777" w:rsidR="00DE6026" w:rsidRDefault="00DE6026">
      <w:r>
        <w:continuationSeparator/>
      </w:r>
    </w:p>
  </w:footnote>
  <w:footnote w:id="1">
    <w:p w14:paraId="1F387353" w14:textId="77777777" w:rsidR="00AB141D" w:rsidRDefault="00AB141D" w:rsidP="00C923BF">
      <w:pPr>
        <w:pStyle w:val="FootnoteText"/>
      </w:pPr>
      <w:r>
        <w:rPr>
          <w:rStyle w:val="FootnoteReference"/>
        </w:rPr>
        <w:footnoteRef/>
      </w:r>
      <w:r>
        <w:t xml:space="preserve"> Emissions of concern under the CARB ATCM and TSCA Title VI are indoor air emissions of formaldehyde emanating from composite wood products sold in the U.S. The emissions of concern under the PCWP NESHAP are for multiple HAP (including, but not limited to, formaldehyde) from process units at PCWP manufacturing facilities. Implementation of the CARB and TSCA rules affects PCWP manufacturing because many composite wood products manufacturers have changed their resin systems to reduce the amount of formaldehyde in their products (thus also altering the emissions profile from the manufacturing of these products).</w:t>
      </w:r>
    </w:p>
  </w:footnote>
  <w:footnote w:id="2">
    <w:p w14:paraId="1B5A4CE9" w14:textId="4E03B5F4" w:rsidR="00AB141D" w:rsidRPr="00C71069" w:rsidRDefault="00AB141D" w:rsidP="00C71069">
      <w:pPr>
        <w:spacing w:before="69"/>
        <w:ind w:left="120" w:right="128" w:hanging="1"/>
        <w:rPr>
          <w:rFonts w:asciiTheme="majorBidi" w:eastAsia="Times New Roman" w:hAnsiTheme="majorBidi" w:cstheme="majorBidi"/>
          <w:sz w:val="20"/>
          <w:szCs w:val="20"/>
        </w:rPr>
      </w:pPr>
      <w:r w:rsidRPr="00C71069">
        <w:rPr>
          <w:rStyle w:val="FootnoteReference"/>
          <w:rFonts w:asciiTheme="majorBidi" w:hAnsiTheme="majorBidi" w:cstheme="majorBidi"/>
          <w:sz w:val="20"/>
          <w:szCs w:val="20"/>
        </w:rPr>
        <w:footnoteRef/>
      </w:r>
      <w:r w:rsidRPr="00C71069">
        <w:rPr>
          <w:rFonts w:asciiTheme="majorBidi" w:eastAsia="Times New Roman" w:hAnsiTheme="majorBidi" w:cstheme="majorBidi"/>
          <w:spacing w:val="-1"/>
          <w:sz w:val="20"/>
          <w:szCs w:val="20"/>
        </w:rPr>
        <w:t>Th</w:t>
      </w:r>
      <w:r w:rsidRPr="00C71069">
        <w:rPr>
          <w:rFonts w:asciiTheme="majorBidi" w:hAnsiTheme="majorBidi" w:cstheme="majorBidi"/>
          <w:sz w:val="20"/>
          <w:szCs w:val="20"/>
        </w:rPr>
        <w:t>ere is a “lag time” associated with compiling large state or national emission inventories.</w:t>
      </w:r>
      <w:r>
        <w:rPr>
          <w:rFonts w:asciiTheme="majorBidi" w:hAnsiTheme="majorBidi" w:cstheme="majorBidi"/>
          <w:sz w:val="20"/>
          <w:szCs w:val="20"/>
        </w:rPr>
        <w:t xml:space="preserve"> </w:t>
      </w:r>
      <w:r w:rsidRPr="00C71069">
        <w:rPr>
          <w:rFonts w:asciiTheme="majorBidi" w:hAnsiTheme="majorBidi" w:cstheme="majorBidi"/>
          <w:sz w:val="20"/>
          <w:szCs w:val="20"/>
        </w:rPr>
        <w:t xml:space="preserve">For example, an updated version of the NEI database is compiled every </w:t>
      </w:r>
      <w:r>
        <w:rPr>
          <w:rFonts w:asciiTheme="majorBidi" w:hAnsiTheme="majorBidi" w:cstheme="majorBidi"/>
          <w:sz w:val="20"/>
          <w:szCs w:val="20"/>
        </w:rPr>
        <w:t>3</w:t>
      </w:r>
      <w:r w:rsidRPr="00C71069">
        <w:rPr>
          <w:rFonts w:asciiTheme="majorBidi" w:hAnsiTheme="majorBidi" w:cstheme="majorBidi"/>
          <w:sz w:val="20"/>
          <w:szCs w:val="20"/>
        </w:rPr>
        <w:t xml:space="preserve"> years, but the information contained in the NEI may be based on prior years if states do not submit current data. There can also be a “lag time” associated with posting of recent permits to state websites (particularly if permits are only posted every 5 years as they are reviewed).</w:t>
      </w:r>
    </w:p>
  </w:footnote>
  <w:footnote w:id="3">
    <w:p w14:paraId="7970C2FA" w14:textId="75D800AB" w:rsidR="00AB141D" w:rsidRDefault="00AB141D">
      <w:pPr>
        <w:pStyle w:val="FootnoteText"/>
      </w:pPr>
      <w:r>
        <w:rPr>
          <w:rStyle w:val="FootnoteReference"/>
        </w:rPr>
        <w:footnoteRef/>
      </w:r>
      <w:r>
        <w:t xml:space="preserve"> Blue Ridge Environmental Defense League, et. al., v. Pruitt., </w:t>
      </w:r>
      <w:r w:rsidRPr="00E044CE">
        <w:t>16-cv-00364 (CRC)</w:t>
      </w:r>
      <w:r>
        <w:t>, D.C. Cir. March 22, 2017.</w:t>
      </w:r>
    </w:p>
  </w:footnote>
  <w:footnote w:id="4">
    <w:p w14:paraId="72454EB9" w14:textId="77777777" w:rsidR="00AB141D" w:rsidRDefault="00AB141D" w:rsidP="00FC4F46">
      <w:pPr>
        <w:pStyle w:val="FootnoteText"/>
        <w:rPr>
          <w:rFonts w:eastAsia="Times New Roman" w:cs="Times New Roman"/>
        </w:rPr>
      </w:pPr>
      <w:r w:rsidRPr="00FC4F46">
        <w:rPr>
          <w:rStyle w:val="FootnoteReference"/>
        </w:rPr>
        <w:footnoteRef/>
      </w:r>
      <w:r w:rsidRPr="00FC4F46">
        <w:t xml:space="preserve"> </w:t>
      </w:r>
      <w:r>
        <w:t>As defined in</w:t>
      </w:r>
      <w:r>
        <w:rPr>
          <w:spacing w:val="-2"/>
        </w:rPr>
        <w:t xml:space="preserve"> </w:t>
      </w:r>
      <w:r>
        <w:t>40 CFR Part</w:t>
      </w:r>
      <w:r>
        <w:rPr>
          <w:spacing w:val="-2"/>
        </w:rPr>
        <w:t xml:space="preserve"> </w:t>
      </w:r>
      <w:r>
        <w:t>63, subpart</w:t>
      </w:r>
      <w:r>
        <w:rPr>
          <w:spacing w:val="-2"/>
        </w:rPr>
        <w:t xml:space="preserve"> </w:t>
      </w:r>
      <w:r>
        <w:t>A,</w:t>
      </w:r>
    </w:p>
    <w:p w14:paraId="01C86EC8" w14:textId="592E41D2" w:rsidR="00AB141D" w:rsidRPr="00FC4F46" w:rsidRDefault="00AB141D" w:rsidP="00FC4F46">
      <w:pPr>
        <w:pStyle w:val="FootnoteText"/>
        <w:ind w:left="720"/>
      </w:pPr>
      <w:r w:rsidRPr="00FC4F46">
        <w:t>“</w:t>
      </w:r>
      <w:r w:rsidRPr="00FC4F46">
        <w:rPr>
          <w:rStyle w:val="Italic"/>
        </w:rPr>
        <w:t>Major source</w:t>
      </w:r>
      <w:r w:rsidRPr="00FC4F46">
        <w:t>” means any stationary source or group of stationary sources located within a contiguous</w:t>
      </w:r>
      <w:r w:rsidRPr="00FC4F46">
        <w:rPr>
          <w:spacing w:val="77"/>
        </w:rPr>
        <w:t xml:space="preserve"> </w:t>
      </w:r>
      <w:r w:rsidRPr="00FC4F46">
        <w:t>area and under</w:t>
      </w:r>
      <w:r w:rsidRPr="00FC4F46">
        <w:rPr>
          <w:spacing w:val="-2"/>
        </w:rPr>
        <w:t xml:space="preserve"> </w:t>
      </w:r>
      <w:r w:rsidRPr="00FC4F46">
        <w:t>common</w:t>
      </w:r>
      <w:r w:rsidRPr="00FC4F46">
        <w:rPr>
          <w:spacing w:val="1"/>
        </w:rPr>
        <w:t xml:space="preserve"> </w:t>
      </w:r>
      <w:r w:rsidRPr="00FC4F46">
        <w:t xml:space="preserve">control that </w:t>
      </w:r>
      <w:r w:rsidRPr="00FC4F46">
        <w:rPr>
          <w:spacing w:val="-2"/>
        </w:rPr>
        <w:t>emits</w:t>
      </w:r>
      <w:r w:rsidRPr="00FC4F46">
        <w:t xml:space="preserve"> or has the</w:t>
      </w:r>
      <w:r w:rsidRPr="00FC4F46">
        <w:rPr>
          <w:spacing w:val="-2"/>
        </w:rPr>
        <w:t xml:space="preserve"> </w:t>
      </w:r>
      <w:r w:rsidRPr="00FC4F46">
        <w:t>potential to</w:t>
      </w:r>
      <w:r w:rsidRPr="00FC4F46">
        <w:rPr>
          <w:spacing w:val="1"/>
        </w:rPr>
        <w:t xml:space="preserve"> </w:t>
      </w:r>
      <w:r w:rsidRPr="00FC4F46">
        <w:rPr>
          <w:spacing w:val="-2"/>
        </w:rPr>
        <w:t>emit</w:t>
      </w:r>
      <w:r w:rsidRPr="00FC4F46">
        <w:t xml:space="preserve"> considering controls, in</w:t>
      </w:r>
      <w:r w:rsidRPr="00FC4F46">
        <w:rPr>
          <w:spacing w:val="1"/>
        </w:rPr>
        <w:t xml:space="preserve"> </w:t>
      </w:r>
      <w:r w:rsidRPr="00FC4F46">
        <w:t>the</w:t>
      </w:r>
      <w:r w:rsidRPr="00FC4F46">
        <w:rPr>
          <w:spacing w:val="73"/>
        </w:rPr>
        <w:t xml:space="preserve"> </w:t>
      </w:r>
      <w:r w:rsidRPr="00FC4F46">
        <w:t>aggregate, 10 tons per year or more of any hazardous air pollutant or 25 tons per year or more of any</w:t>
      </w:r>
      <w:r w:rsidRPr="00FC4F46">
        <w:rPr>
          <w:spacing w:val="37"/>
        </w:rPr>
        <w:t xml:space="preserve"> </w:t>
      </w:r>
      <w:r w:rsidRPr="00FC4F46">
        <w:t>combination of hazardous air</w:t>
      </w:r>
      <w:r w:rsidRPr="00FC4F46">
        <w:rPr>
          <w:spacing w:val="-2"/>
        </w:rPr>
        <w:t xml:space="preserve"> </w:t>
      </w:r>
      <w:r w:rsidRPr="00FC4F46">
        <w:t>pollutants,</w:t>
      </w:r>
      <w:r w:rsidRPr="00FC4F46">
        <w:rPr>
          <w:spacing w:val="-2"/>
        </w:rPr>
        <w:t xml:space="preserve"> </w:t>
      </w:r>
      <w:r w:rsidRPr="00FC4F46">
        <w:t>unless the</w:t>
      </w:r>
      <w:r w:rsidRPr="00FC4F46">
        <w:rPr>
          <w:spacing w:val="-2"/>
        </w:rPr>
        <w:t xml:space="preserve"> </w:t>
      </w:r>
      <w:r w:rsidRPr="00FC4F46">
        <w:t>Administrator establishes a lesser</w:t>
      </w:r>
      <w:r w:rsidRPr="00FC4F46">
        <w:rPr>
          <w:spacing w:val="-2"/>
        </w:rPr>
        <w:t xml:space="preserve"> </w:t>
      </w:r>
      <w:r w:rsidRPr="00FC4F46">
        <w:t>quantity, or in</w:t>
      </w:r>
      <w:r w:rsidRPr="00FC4F46">
        <w:rPr>
          <w:spacing w:val="1"/>
        </w:rPr>
        <w:t xml:space="preserve"> </w:t>
      </w:r>
      <w:r w:rsidRPr="00FC4F46">
        <w:t>the</w:t>
      </w:r>
      <w:r w:rsidRPr="00FC4F46">
        <w:rPr>
          <w:spacing w:val="55"/>
        </w:rPr>
        <w:t xml:space="preserve"> </w:t>
      </w:r>
      <w:r w:rsidRPr="00FC4F46">
        <w:t xml:space="preserve">case of radionuclides, </w:t>
      </w:r>
      <w:r w:rsidRPr="00FC4F46">
        <w:rPr>
          <w:spacing w:val="-2"/>
        </w:rPr>
        <w:t>different</w:t>
      </w:r>
      <w:r w:rsidRPr="00FC4F46">
        <w:t xml:space="preserve"> criteria from</w:t>
      </w:r>
      <w:r w:rsidRPr="00FC4F46">
        <w:rPr>
          <w:spacing w:val="-2"/>
        </w:rPr>
        <w:t xml:space="preserve"> </w:t>
      </w:r>
      <w:r w:rsidRPr="00FC4F46">
        <w:t>those specified in this sentence.</w:t>
      </w:r>
    </w:p>
    <w:p w14:paraId="69BC2222" w14:textId="511C3CC1" w:rsidR="00AB141D" w:rsidRPr="008F0B91" w:rsidRDefault="00AB141D" w:rsidP="008F0B91">
      <w:pPr>
        <w:pStyle w:val="FootnoteText"/>
      </w:pPr>
      <w:r w:rsidRPr="008F0B91">
        <w:t>A “synthetic area source” is a stationary source which is subject to federally-enforceable conditions that limit its potential to emit to below major source thresholds.</w:t>
      </w:r>
    </w:p>
  </w:footnote>
  <w:footnote w:id="5">
    <w:p w14:paraId="17DCD239" w14:textId="2D8BA457" w:rsidR="00AB141D" w:rsidRDefault="00AB141D" w:rsidP="006E658B">
      <w:pPr>
        <w:pStyle w:val="FootnoteText"/>
      </w:pPr>
      <w:r>
        <w:rPr>
          <w:rStyle w:val="FootnoteReference"/>
        </w:rPr>
        <w:footnoteRef/>
      </w:r>
      <w:r w:rsidRPr="006A5CFD">
        <w:t xml:space="preserve"> Note that </w:t>
      </w:r>
      <w:r>
        <w:t>PCWP facilities</w:t>
      </w:r>
      <w:r w:rsidRPr="006A5CFD">
        <w:t xml:space="preserve"> have been identified to the best of </w:t>
      </w:r>
      <w:r>
        <w:t xml:space="preserve">the </w:t>
      </w:r>
      <w:r w:rsidRPr="006A5CFD">
        <w:t>EPA’s ability for the purpo</w:t>
      </w:r>
      <w:r w:rsidRPr="006C075D">
        <w:t>se of this ICR action only.</w:t>
      </w:r>
      <w:r>
        <w:t xml:space="preserve"> </w:t>
      </w:r>
      <w:r w:rsidRPr="006C075D">
        <w:t>Identification of any unit for receipt of the CAA section 114 letter requiring</w:t>
      </w:r>
      <w:r>
        <w:t xml:space="preserve"> that</w:t>
      </w:r>
      <w:r w:rsidRPr="006C075D">
        <w:t xml:space="preserve"> information be submitted or testing be conducted does not constitute a final </w:t>
      </w:r>
      <w:r>
        <w:t>A</w:t>
      </w:r>
      <w:r w:rsidRPr="006C075D">
        <w:t>gency applicability determination related to the rule under development.</w:t>
      </w:r>
      <w:r>
        <w:t xml:space="preserve"> </w:t>
      </w:r>
      <w:r w:rsidRPr="006C075D">
        <w:t>Similarly, units not receiving a CAA section 114 letter may ultimately be determined to be subject to the final rule.</w:t>
      </w:r>
      <w:r>
        <w:t xml:space="preserve"> </w:t>
      </w:r>
      <w:r w:rsidRPr="006C075D">
        <w:t>Specific applicability definitions will be developed during the rulemaking process and will be subject to notice and comment.</w:t>
      </w:r>
    </w:p>
  </w:footnote>
  <w:footnote w:id="6">
    <w:p w14:paraId="0D799DD7" w14:textId="5FDAA5EC" w:rsidR="00AB141D" w:rsidRDefault="00AB141D">
      <w:pPr>
        <w:pStyle w:val="FootnoteText"/>
      </w:pPr>
      <w:r w:rsidRPr="000A1A87">
        <w:rPr>
          <w:rStyle w:val="FootnoteReference"/>
          <w:rFonts w:asciiTheme="majorBidi" w:hAnsiTheme="majorBidi" w:cstheme="majorBidi"/>
        </w:rPr>
        <w:footnoteRef/>
      </w:r>
      <w:r w:rsidRPr="000A1A87">
        <w:rPr>
          <w:rFonts w:asciiTheme="majorBidi" w:hAnsiTheme="majorBidi" w:cstheme="majorBidi"/>
        </w:rPr>
        <w:t xml:space="preserve"> </w:t>
      </w:r>
      <w:r>
        <w:rPr>
          <w:rFonts w:asciiTheme="majorBidi" w:hAnsiTheme="majorBidi" w:cstheme="majorBidi"/>
        </w:rPr>
        <w:t xml:space="preserve">Respondents may choose to mail </w:t>
      </w:r>
      <w:r w:rsidRPr="000A1A87">
        <w:rPr>
          <w:rFonts w:asciiTheme="majorBidi" w:hAnsiTheme="majorBidi" w:cstheme="majorBidi"/>
        </w:rPr>
        <w:t xml:space="preserve">ICR submittals to </w:t>
      </w:r>
      <w:r>
        <w:rPr>
          <w:rFonts w:asciiTheme="majorBidi" w:hAnsiTheme="majorBidi" w:cstheme="majorBidi"/>
        </w:rPr>
        <w:t xml:space="preserve">the </w:t>
      </w:r>
      <w:r w:rsidRPr="000A1A87">
        <w:rPr>
          <w:rFonts w:asciiTheme="majorBidi" w:hAnsiTheme="majorBidi" w:cstheme="majorBidi"/>
        </w:rPr>
        <w:t>EPA on digital media for two primary reasons:</w:t>
      </w:r>
      <w:r>
        <w:rPr>
          <w:rFonts w:asciiTheme="majorBidi" w:hAnsiTheme="majorBidi" w:cstheme="majorBidi"/>
        </w:rPr>
        <w:t xml:space="preserve"> </w:t>
      </w:r>
      <w:r w:rsidRPr="000A1A87">
        <w:rPr>
          <w:rFonts w:asciiTheme="majorBidi" w:hAnsiTheme="majorBidi" w:cstheme="majorBidi"/>
        </w:rPr>
        <w:t xml:space="preserve">(1) to eliminate the potential for any issues with electronic transmittal of </w:t>
      </w:r>
      <w:r>
        <w:t>confidential</w:t>
      </w:r>
      <w:r w:rsidRPr="000C2960">
        <w:t xml:space="preserve"> </w:t>
      </w:r>
      <w:r>
        <w:t>information;</w:t>
      </w:r>
      <w:r w:rsidRPr="000A1A87">
        <w:rPr>
          <w:rFonts w:asciiTheme="majorBidi" w:hAnsiTheme="majorBidi" w:cstheme="majorBidi"/>
        </w:rPr>
        <w:t xml:space="preserve"> and (2) the file size of the documents submitted can be difficult to transmit electronically</w:t>
      </w:r>
      <w:r>
        <w:t xml:space="preserve">. The EPA intends to provide an electronic file upload approach through </w:t>
      </w:r>
      <w:r w:rsidRPr="00B043DB">
        <w:t>the EPA’s Compliance and Emissions Data Reporting Interface</w:t>
      </w:r>
      <w:r>
        <w:t xml:space="preserve"> (CEDRI) for respondents who would prefer this approach for their non-confidential responses.</w:t>
      </w:r>
    </w:p>
  </w:footnote>
  <w:footnote w:id="7">
    <w:p w14:paraId="074A87B6" w14:textId="5546513D" w:rsidR="00AB141D" w:rsidRDefault="00AB141D">
      <w:pPr>
        <w:pStyle w:val="FootnoteText"/>
      </w:pPr>
      <w:r>
        <w:rPr>
          <w:rStyle w:val="FootnoteReference"/>
        </w:rPr>
        <w:footnoteRef/>
      </w:r>
      <w:r>
        <w:t xml:space="preserve"> A docket for PCWP RTR has been created at </w:t>
      </w:r>
      <w:hyperlink r:id="rId1" w:history="1">
        <w:r w:rsidRPr="001F05B8">
          <w:rPr>
            <w:rStyle w:val="Hyperlink"/>
          </w:rPr>
          <w:t>www.regulations.gov</w:t>
        </w:r>
      </w:hyperlink>
      <w:r>
        <w:t xml:space="preserve">, Docket ID No. </w:t>
      </w:r>
      <w:r w:rsidRPr="008C7836">
        <w:t>EPA-HQ-OAR-2016-0243</w:t>
      </w:r>
      <w:r>
        <w:t>. Following publication of the notice for this ICR in the Federal Register, the most current version of the ICR documents will be maintained for public review in the PCWP RTR docket.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BE835" w14:textId="254F9746" w:rsidR="00574C8A" w:rsidRPr="00574C8A" w:rsidRDefault="00574C8A" w:rsidP="00574C8A">
    <w:pPr>
      <w:jc w:val="center"/>
      <w:rPr>
        <w:i/>
        <w:iCs/>
        <w:sz w:val="20"/>
        <w:szCs w:val="20"/>
      </w:rPr>
    </w:pPr>
    <w:r w:rsidRPr="00574C8A">
      <w:rPr>
        <w:i/>
        <w:iCs/>
        <w:sz w:val="20"/>
        <w:szCs w:val="20"/>
      </w:rPr>
      <w:t>***E.O. 12866 Review-Draft-Do Not Cite, Quote, or Release During Review***</w:t>
    </w:r>
  </w:p>
  <w:p w14:paraId="7298AF12" w14:textId="44FFD307" w:rsidR="00574C8A" w:rsidRDefault="00574C8A">
    <w:pPr>
      <w:pStyle w:val="Header"/>
    </w:pPr>
  </w:p>
  <w:p w14:paraId="12E54B32" w14:textId="77777777" w:rsidR="00574C8A" w:rsidRDefault="00574C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1140BDE"/>
    <w:lvl w:ilvl="0">
      <w:start w:val="1"/>
      <w:numFmt w:val="decimal"/>
      <w:lvlText w:val="%1."/>
      <w:lvlJc w:val="left"/>
      <w:pPr>
        <w:tabs>
          <w:tab w:val="num" w:pos="1800"/>
        </w:tabs>
        <w:ind w:left="1800" w:hanging="360"/>
      </w:pPr>
    </w:lvl>
  </w:abstractNum>
  <w:abstractNum w:abstractNumId="1">
    <w:nsid w:val="FFFFFF7D"/>
    <w:multiLevelType w:val="singleLevel"/>
    <w:tmpl w:val="93582A04"/>
    <w:lvl w:ilvl="0">
      <w:start w:val="1"/>
      <w:numFmt w:val="decimal"/>
      <w:lvlText w:val="%1."/>
      <w:lvlJc w:val="left"/>
      <w:pPr>
        <w:tabs>
          <w:tab w:val="num" w:pos="1440"/>
        </w:tabs>
        <w:ind w:left="1440" w:hanging="360"/>
      </w:pPr>
    </w:lvl>
  </w:abstractNum>
  <w:abstractNum w:abstractNumId="2">
    <w:nsid w:val="FFFFFF7E"/>
    <w:multiLevelType w:val="singleLevel"/>
    <w:tmpl w:val="96F6D04E"/>
    <w:lvl w:ilvl="0">
      <w:start w:val="1"/>
      <w:numFmt w:val="decimal"/>
      <w:pStyle w:val="ListNumber3"/>
      <w:lvlText w:val="(%1)"/>
      <w:lvlJc w:val="left"/>
      <w:pPr>
        <w:ind w:left="1080" w:hanging="360"/>
      </w:pPr>
      <w:rPr>
        <w:rFonts w:hint="default"/>
      </w:rPr>
    </w:lvl>
  </w:abstractNum>
  <w:abstractNum w:abstractNumId="3">
    <w:nsid w:val="FFFFFF7F"/>
    <w:multiLevelType w:val="singleLevel"/>
    <w:tmpl w:val="47141D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46047D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E960E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1AE54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E2266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8840F66"/>
    <w:lvl w:ilvl="0">
      <w:start w:val="1"/>
      <w:numFmt w:val="decimal"/>
      <w:lvlText w:val="%1."/>
      <w:lvlJc w:val="left"/>
      <w:pPr>
        <w:tabs>
          <w:tab w:val="num" w:pos="360"/>
        </w:tabs>
        <w:ind w:left="360" w:hanging="360"/>
      </w:pPr>
    </w:lvl>
  </w:abstractNum>
  <w:abstractNum w:abstractNumId="9">
    <w:nsid w:val="FFFFFF89"/>
    <w:multiLevelType w:val="singleLevel"/>
    <w:tmpl w:val="6EAACC8E"/>
    <w:lvl w:ilvl="0">
      <w:start w:val="1"/>
      <w:numFmt w:val="bullet"/>
      <w:lvlText w:val=""/>
      <w:lvlJc w:val="left"/>
      <w:pPr>
        <w:tabs>
          <w:tab w:val="num" w:pos="360"/>
        </w:tabs>
        <w:ind w:left="360" w:hanging="360"/>
      </w:pPr>
      <w:rPr>
        <w:rFonts w:ascii="Symbol" w:hAnsi="Symbol" w:hint="default"/>
      </w:rPr>
    </w:lvl>
  </w:abstractNum>
  <w:abstractNum w:abstractNumId="10">
    <w:nsid w:val="01303A91"/>
    <w:multiLevelType w:val="hybridMultilevel"/>
    <w:tmpl w:val="F8CEAA10"/>
    <w:lvl w:ilvl="0" w:tplc="995616BA">
      <w:start w:val="1"/>
      <w:numFmt w:val="lowerRoman"/>
      <w:lvlText w:val="(%1)"/>
      <w:lvlJc w:val="left"/>
      <w:pPr>
        <w:ind w:left="220" w:hanging="722"/>
      </w:pPr>
      <w:rPr>
        <w:rFonts w:ascii="Times New Roman" w:eastAsia="Times New Roman" w:hAnsi="Times New Roman" w:hint="default"/>
        <w:i/>
        <w:spacing w:val="-1"/>
        <w:sz w:val="24"/>
        <w:szCs w:val="24"/>
      </w:rPr>
    </w:lvl>
    <w:lvl w:ilvl="1" w:tplc="5470E340">
      <w:start w:val="1"/>
      <w:numFmt w:val="bullet"/>
      <w:lvlText w:val="•"/>
      <w:lvlJc w:val="left"/>
      <w:pPr>
        <w:ind w:left="1178" w:hanging="722"/>
      </w:pPr>
      <w:rPr>
        <w:rFonts w:hint="default"/>
      </w:rPr>
    </w:lvl>
    <w:lvl w:ilvl="2" w:tplc="9FC4D088">
      <w:start w:val="1"/>
      <w:numFmt w:val="bullet"/>
      <w:lvlText w:val="•"/>
      <w:lvlJc w:val="left"/>
      <w:pPr>
        <w:ind w:left="2136" w:hanging="722"/>
      </w:pPr>
      <w:rPr>
        <w:rFonts w:hint="default"/>
      </w:rPr>
    </w:lvl>
    <w:lvl w:ilvl="3" w:tplc="77160856">
      <w:start w:val="1"/>
      <w:numFmt w:val="bullet"/>
      <w:lvlText w:val="•"/>
      <w:lvlJc w:val="left"/>
      <w:pPr>
        <w:ind w:left="3094" w:hanging="722"/>
      </w:pPr>
      <w:rPr>
        <w:rFonts w:hint="default"/>
      </w:rPr>
    </w:lvl>
    <w:lvl w:ilvl="4" w:tplc="05B68332">
      <w:start w:val="1"/>
      <w:numFmt w:val="bullet"/>
      <w:lvlText w:val="•"/>
      <w:lvlJc w:val="left"/>
      <w:pPr>
        <w:ind w:left="4052" w:hanging="722"/>
      </w:pPr>
      <w:rPr>
        <w:rFonts w:hint="default"/>
      </w:rPr>
    </w:lvl>
    <w:lvl w:ilvl="5" w:tplc="B9E64070">
      <w:start w:val="1"/>
      <w:numFmt w:val="bullet"/>
      <w:lvlText w:val="•"/>
      <w:lvlJc w:val="left"/>
      <w:pPr>
        <w:ind w:left="5010" w:hanging="722"/>
      </w:pPr>
      <w:rPr>
        <w:rFonts w:hint="default"/>
      </w:rPr>
    </w:lvl>
    <w:lvl w:ilvl="6" w:tplc="5D5A9E82">
      <w:start w:val="1"/>
      <w:numFmt w:val="bullet"/>
      <w:lvlText w:val="•"/>
      <w:lvlJc w:val="left"/>
      <w:pPr>
        <w:ind w:left="5968" w:hanging="722"/>
      </w:pPr>
      <w:rPr>
        <w:rFonts w:hint="default"/>
      </w:rPr>
    </w:lvl>
    <w:lvl w:ilvl="7" w:tplc="7652AAE4">
      <w:start w:val="1"/>
      <w:numFmt w:val="bullet"/>
      <w:lvlText w:val="•"/>
      <w:lvlJc w:val="left"/>
      <w:pPr>
        <w:ind w:left="6926" w:hanging="722"/>
      </w:pPr>
      <w:rPr>
        <w:rFonts w:hint="default"/>
      </w:rPr>
    </w:lvl>
    <w:lvl w:ilvl="8" w:tplc="5CBE56C4">
      <w:start w:val="1"/>
      <w:numFmt w:val="bullet"/>
      <w:lvlText w:val="•"/>
      <w:lvlJc w:val="left"/>
      <w:pPr>
        <w:ind w:left="7884" w:hanging="722"/>
      </w:pPr>
      <w:rPr>
        <w:rFonts w:hint="default"/>
      </w:rPr>
    </w:lvl>
  </w:abstractNum>
  <w:abstractNum w:abstractNumId="11">
    <w:nsid w:val="0C665075"/>
    <w:multiLevelType w:val="hybridMultilevel"/>
    <w:tmpl w:val="AC0E3828"/>
    <w:lvl w:ilvl="0" w:tplc="C662340E">
      <w:start w:val="1"/>
      <w:numFmt w:val="lowerLetter"/>
      <w:lvlText w:val="(%1)"/>
      <w:lvlJc w:val="left"/>
      <w:pPr>
        <w:ind w:left="840" w:hanging="721"/>
        <w:jc w:val="right"/>
      </w:pPr>
      <w:rPr>
        <w:rFonts w:ascii="Times New Roman" w:eastAsia="Times New Roman" w:hAnsi="Times New Roman" w:hint="default"/>
        <w:i/>
        <w:spacing w:val="-1"/>
        <w:sz w:val="24"/>
        <w:szCs w:val="24"/>
      </w:rPr>
    </w:lvl>
    <w:lvl w:ilvl="1" w:tplc="8A7C2C58">
      <w:start w:val="1"/>
      <w:numFmt w:val="bullet"/>
      <w:lvlText w:val=""/>
      <w:lvlJc w:val="left"/>
      <w:pPr>
        <w:ind w:left="840" w:hanging="360"/>
      </w:pPr>
      <w:rPr>
        <w:rFonts w:ascii="Symbol" w:eastAsia="Symbol" w:hAnsi="Symbol" w:hint="default"/>
        <w:sz w:val="24"/>
        <w:szCs w:val="24"/>
      </w:rPr>
    </w:lvl>
    <w:lvl w:ilvl="2" w:tplc="A89CF13A">
      <w:start w:val="1"/>
      <w:numFmt w:val="bullet"/>
      <w:lvlText w:val="•"/>
      <w:lvlJc w:val="left"/>
      <w:pPr>
        <w:ind w:left="1808" w:hanging="360"/>
      </w:pPr>
      <w:rPr>
        <w:rFonts w:hint="default"/>
      </w:rPr>
    </w:lvl>
    <w:lvl w:ilvl="3" w:tplc="E6F4B4B8">
      <w:start w:val="1"/>
      <w:numFmt w:val="bullet"/>
      <w:lvlText w:val="•"/>
      <w:lvlJc w:val="left"/>
      <w:pPr>
        <w:ind w:left="2777" w:hanging="360"/>
      </w:pPr>
      <w:rPr>
        <w:rFonts w:hint="default"/>
      </w:rPr>
    </w:lvl>
    <w:lvl w:ilvl="4" w:tplc="AA0E59C8">
      <w:start w:val="1"/>
      <w:numFmt w:val="bullet"/>
      <w:lvlText w:val="•"/>
      <w:lvlJc w:val="left"/>
      <w:pPr>
        <w:ind w:left="3746" w:hanging="360"/>
      </w:pPr>
      <w:rPr>
        <w:rFonts w:hint="default"/>
      </w:rPr>
    </w:lvl>
    <w:lvl w:ilvl="5" w:tplc="A1BC34F0">
      <w:start w:val="1"/>
      <w:numFmt w:val="bullet"/>
      <w:lvlText w:val="•"/>
      <w:lvlJc w:val="left"/>
      <w:pPr>
        <w:ind w:left="4715" w:hanging="360"/>
      </w:pPr>
      <w:rPr>
        <w:rFonts w:hint="default"/>
      </w:rPr>
    </w:lvl>
    <w:lvl w:ilvl="6" w:tplc="27E29046">
      <w:start w:val="1"/>
      <w:numFmt w:val="bullet"/>
      <w:lvlText w:val="•"/>
      <w:lvlJc w:val="left"/>
      <w:pPr>
        <w:ind w:left="5684" w:hanging="360"/>
      </w:pPr>
      <w:rPr>
        <w:rFonts w:hint="default"/>
      </w:rPr>
    </w:lvl>
    <w:lvl w:ilvl="7" w:tplc="6068D1DE">
      <w:start w:val="1"/>
      <w:numFmt w:val="bullet"/>
      <w:lvlText w:val="•"/>
      <w:lvlJc w:val="left"/>
      <w:pPr>
        <w:ind w:left="6653" w:hanging="360"/>
      </w:pPr>
      <w:rPr>
        <w:rFonts w:hint="default"/>
      </w:rPr>
    </w:lvl>
    <w:lvl w:ilvl="8" w:tplc="AAF4BD6E">
      <w:start w:val="1"/>
      <w:numFmt w:val="bullet"/>
      <w:lvlText w:val="•"/>
      <w:lvlJc w:val="left"/>
      <w:pPr>
        <w:ind w:left="7622" w:hanging="360"/>
      </w:pPr>
      <w:rPr>
        <w:rFonts w:hint="default"/>
      </w:rPr>
    </w:lvl>
  </w:abstractNum>
  <w:abstractNum w:abstractNumId="12">
    <w:nsid w:val="10AD70CD"/>
    <w:multiLevelType w:val="hybridMultilevel"/>
    <w:tmpl w:val="DCCE7474"/>
    <w:lvl w:ilvl="0" w:tplc="CDA61422">
      <w:start w:val="7"/>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ED771D"/>
    <w:multiLevelType w:val="hybridMultilevel"/>
    <w:tmpl w:val="124C3CDC"/>
    <w:lvl w:ilvl="0" w:tplc="B4BAD7DE">
      <w:start w:val="1"/>
      <w:numFmt w:val="decimal"/>
      <w:lvlText w:val="%1."/>
      <w:lvlJc w:val="left"/>
      <w:pPr>
        <w:ind w:left="408" w:hanging="160"/>
      </w:pPr>
      <w:rPr>
        <w:rFonts w:ascii="Times New Roman" w:eastAsia="Times New Roman" w:hAnsi="Times New Roman" w:hint="default"/>
        <w:w w:val="99"/>
        <w:sz w:val="16"/>
        <w:szCs w:val="16"/>
      </w:rPr>
    </w:lvl>
    <w:lvl w:ilvl="1" w:tplc="1A906694">
      <w:start w:val="1"/>
      <w:numFmt w:val="bullet"/>
      <w:lvlText w:val="•"/>
      <w:lvlJc w:val="left"/>
      <w:pPr>
        <w:ind w:left="1835" w:hanging="160"/>
      </w:pPr>
      <w:rPr>
        <w:rFonts w:hint="default"/>
      </w:rPr>
    </w:lvl>
    <w:lvl w:ilvl="2" w:tplc="A1584A7C">
      <w:start w:val="1"/>
      <w:numFmt w:val="bullet"/>
      <w:lvlText w:val="•"/>
      <w:lvlJc w:val="left"/>
      <w:pPr>
        <w:ind w:left="3262" w:hanging="160"/>
      </w:pPr>
      <w:rPr>
        <w:rFonts w:hint="default"/>
      </w:rPr>
    </w:lvl>
    <w:lvl w:ilvl="3" w:tplc="FCC499E2">
      <w:start w:val="1"/>
      <w:numFmt w:val="bullet"/>
      <w:lvlText w:val="•"/>
      <w:lvlJc w:val="left"/>
      <w:pPr>
        <w:ind w:left="4689" w:hanging="160"/>
      </w:pPr>
      <w:rPr>
        <w:rFonts w:hint="default"/>
      </w:rPr>
    </w:lvl>
    <w:lvl w:ilvl="4" w:tplc="DB9C6FFE">
      <w:start w:val="1"/>
      <w:numFmt w:val="bullet"/>
      <w:lvlText w:val="•"/>
      <w:lvlJc w:val="left"/>
      <w:pPr>
        <w:ind w:left="6116" w:hanging="160"/>
      </w:pPr>
      <w:rPr>
        <w:rFonts w:hint="default"/>
      </w:rPr>
    </w:lvl>
    <w:lvl w:ilvl="5" w:tplc="D864ECCE">
      <w:start w:val="1"/>
      <w:numFmt w:val="bullet"/>
      <w:lvlText w:val="•"/>
      <w:lvlJc w:val="left"/>
      <w:pPr>
        <w:ind w:left="7544" w:hanging="160"/>
      </w:pPr>
      <w:rPr>
        <w:rFonts w:hint="default"/>
      </w:rPr>
    </w:lvl>
    <w:lvl w:ilvl="6" w:tplc="56880970">
      <w:start w:val="1"/>
      <w:numFmt w:val="bullet"/>
      <w:lvlText w:val="•"/>
      <w:lvlJc w:val="left"/>
      <w:pPr>
        <w:ind w:left="8971" w:hanging="160"/>
      </w:pPr>
      <w:rPr>
        <w:rFonts w:hint="default"/>
      </w:rPr>
    </w:lvl>
    <w:lvl w:ilvl="7" w:tplc="8AC05D30">
      <w:start w:val="1"/>
      <w:numFmt w:val="bullet"/>
      <w:lvlText w:val="•"/>
      <w:lvlJc w:val="left"/>
      <w:pPr>
        <w:ind w:left="10398" w:hanging="160"/>
      </w:pPr>
      <w:rPr>
        <w:rFonts w:hint="default"/>
      </w:rPr>
    </w:lvl>
    <w:lvl w:ilvl="8" w:tplc="84BCBC06">
      <w:start w:val="1"/>
      <w:numFmt w:val="bullet"/>
      <w:lvlText w:val="•"/>
      <w:lvlJc w:val="left"/>
      <w:pPr>
        <w:ind w:left="11825" w:hanging="160"/>
      </w:pPr>
      <w:rPr>
        <w:rFonts w:hint="default"/>
      </w:rPr>
    </w:lvl>
  </w:abstractNum>
  <w:abstractNum w:abstractNumId="14">
    <w:nsid w:val="25DC3467"/>
    <w:multiLevelType w:val="hybridMultilevel"/>
    <w:tmpl w:val="56B4CF26"/>
    <w:lvl w:ilvl="0" w:tplc="8A624DCA">
      <w:start w:val="1"/>
      <w:numFmt w:val="decimal"/>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853D8E"/>
    <w:multiLevelType w:val="hybridMultilevel"/>
    <w:tmpl w:val="59C66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C67CA1"/>
    <w:multiLevelType w:val="hybridMultilevel"/>
    <w:tmpl w:val="0D548C7C"/>
    <w:lvl w:ilvl="0" w:tplc="E09A2A32">
      <w:start w:val="1"/>
      <w:numFmt w:val="decimal"/>
      <w:lvlText w:val="%1."/>
      <w:lvlJc w:val="left"/>
      <w:pPr>
        <w:ind w:left="470" w:hanging="251"/>
      </w:pPr>
      <w:rPr>
        <w:rFonts w:ascii="Times New Roman" w:eastAsia="Times New Roman" w:hAnsi="Times New Roman" w:hint="default"/>
        <w:sz w:val="20"/>
        <w:szCs w:val="20"/>
      </w:rPr>
    </w:lvl>
    <w:lvl w:ilvl="1" w:tplc="3A32063C">
      <w:start w:val="1"/>
      <w:numFmt w:val="decimal"/>
      <w:lvlText w:val="(%2)"/>
      <w:lvlJc w:val="left"/>
      <w:pPr>
        <w:ind w:left="1200" w:hanging="341"/>
      </w:pPr>
      <w:rPr>
        <w:rFonts w:ascii="Times New Roman" w:eastAsia="Times New Roman" w:hAnsi="Times New Roman" w:hint="default"/>
        <w:sz w:val="24"/>
        <w:szCs w:val="24"/>
      </w:rPr>
    </w:lvl>
    <w:lvl w:ilvl="2" w:tplc="802A4320">
      <w:start w:val="1"/>
      <w:numFmt w:val="bullet"/>
      <w:lvlText w:val="•"/>
      <w:lvlJc w:val="left"/>
      <w:pPr>
        <w:ind w:left="2126" w:hanging="341"/>
      </w:pPr>
      <w:rPr>
        <w:rFonts w:hint="default"/>
      </w:rPr>
    </w:lvl>
    <w:lvl w:ilvl="3" w:tplc="AF389CF0">
      <w:start w:val="1"/>
      <w:numFmt w:val="bullet"/>
      <w:lvlText w:val="•"/>
      <w:lvlJc w:val="left"/>
      <w:pPr>
        <w:ind w:left="3053" w:hanging="341"/>
      </w:pPr>
      <w:rPr>
        <w:rFonts w:hint="default"/>
      </w:rPr>
    </w:lvl>
    <w:lvl w:ilvl="4" w:tplc="4B427574">
      <w:start w:val="1"/>
      <w:numFmt w:val="bullet"/>
      <w:lvlText w:val="•"/>
      <w:lvlJc w:val="left"/>
      <w:pPr>
        <w:ind w:left="3980" w:hanging="341"/>
      </w:pPr>
      <w:rPr>
        <w:rFonts w:hint="default"/>
      </w:rPr>
    </w:lvl>
    <w:lvl w:ilvl="5" w:tplc="5510D922">
      <w:start w:val="1"/>
      <w:numFmt w:val="bullet"/>
      <w:lvlText w:val="•"/>
      <w:lvlJc w:val="left"/>
      <w:pPr>
        <w:ind w:left="4906" w:hanging="341"/>
      </w:pPr>
      <w:rPr>
        <w:rFonts w:hint="default"/>
      </w:rPr>
    </w:lvl>
    <w:lvl w:ilvl="6" w:tplc="6DA6EC64">
      <w:start w:val="1"/>
      <w:numFmt w:val="bullet"/>
      <w:lvlText w:val="•"/>
      <w:lvlJc w:val="left"/>
      <w:pPr>
        <w:ind w:left="5833" w:hanging="341"/>
      </w:pPr>
      <w:rPr>
        <w:rFonts w:hint="default"/>
      </w:rPr>
    </w:lvl>
    <w:lvl w:ilvl="7" w:tplc="6854CE3E">
      <w:start w:val="1"/>
      <w:numFmt w:val="bullet"/>
      <w:lvlText w:val="•"/>
      <w:lvlJc w:val="left"/>
      <w:pPr>
        <w:ind w:left="6760" w:hanging="341"/>
      </w:pPr>
      <w:rPr>
        <w:rFonts w:hint="default"/>
      </w:rPr>
    </w:lvl>
    <w:lvl w:ilvl="8" w:tplc="B588A802">
      <w:start w:val="1"/>
      <w:numFmt w:val="bullet"/>
      <w:lvlText w:val="•"/>
      <w:lvlJc w:val="left"/>
      <w:pPr>
        <w:ind w:left="7686" w:hanging="341"/>
      </w:pPr>
      <w:rPr>
        <w:rFonts w:hint="default"/>
      </w:rPr>
    </w:lvl>
  </w:abstractNum>
  <w:abstractNum w:abstractNumId="17">
    <w:nsid w:val="3D1041EB"/>
    <w:multiLevelType w:val="hybridMultilevel"/>
    <w:tmpl w:val="F6C0EDC4"/>
    <w:lvl w:ilvl="0" w:tplc="0E985E4C">
      <w:start w:val="1"/>
      <w:numFmt w:val="lowerRoman"/>
      <w:lvlText w:val="(%1)"/>
      <w:lvlJc w:val="left"/>
      <w:pPr>
        <w:ind w:left="360" w:hanging="360"/>
      </w:pPr>
      <w:rPr>
        <w:rFonts w:ascii="Times New Roman" w:eastAsia="Times New Roman" w:hAnsi="Times New Roman" w:hint="default"/>
        <w:i/>
        <w:spacing w:val="-1"/>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2F64CD"/>
    <w:multiLevelType w:val="hybridMultilevel"/>
    <w:tmpl w:val="92AC3820"/>
    <w:lvl w:ilvl="0" w:tplc="6F6E6224">
      <w:start w:val="1"/>
      <w:numFmt w:val="lowerLetter"/>
      <w:lvlText w:val="(%1)"/>
      <w:lvlJc w:val="left"/>
      <w:pPr>
        <w:ind w:left="839" w:hanging="720"/>
      </w:pPr>
      <w:rPr>
        <w:rFonts w:ascii="Times New Roman" w:eastAsia="Times New Roman" w:hAnsi="Times New Roman" w:hint="default"/>
        <w:i/>
        <w:spacing w:val="-1"/>
        <w:sz w:val="24"/>
        <w:szCs w:val="24"/>
      </w:rPr>
    </w:lvl>
    <w:lvl w:ilvl="1" w:tplc="5802B03A">
      <w:start w:val="1"/>
      <w:numFmt w:val="bullet"/>
      <w:lvlText w:val="•"/>
      <w:lvlJc w:val="left"/>
      <w:pPr>
        <w:ind w:left="1707" w:hanging="720"/>
      </w:pPr>
      <w:rPr>
        <w:rFonts w:hint="default"/>
      </w:rPr>
    </w:lvl>
    <w:lvl w:ilvl="2" w:tplc="44725408">
      <w:start w:val="1"/>
      <w:numFmt w:val="bullet"/>
      <w:lvlText w:val="•"/>
      <w:lvlJc w:val="left"/>
      <w:pPr>
        <w:ind w:left="2575" w:hanging="720"/>
      </w:pPr>
      <w:rPr>
        <w:rFonts w:hint="default"/>
      </w:rPr>
    </w:lvl>
    <w:lvl w:ilvl="3" w:tplc="10B0A89C">
      <w:start w:val="1"/>
      <w:numFmt w:val="bullet"/>
      <w:lvlText w:val="•"/>
      <w:lvlJc w:val="left"/>
      <w:pPr>
        <w:ind w:left="3443" w:hanging="720"/>
      </w:pPr>
      <w:rPr>
        <w:rFonts w:hint="default"/>
      </w:rPr>
    </w:lvl>
    <w:lvl w:ilvl="4" w:tplc="11704E7C">
      <w:start w:val="1"/>
      <w:numFmt w:val="bullet"/>
      <w:lvlText w:val="•"/>
      <w:lvlJc w:val="left"/>
      <w:pPr>
        <w:ind w:left="4311" w:hanging="720"/>
      </w:pPr>
      <w:rPr>
        <w:rFonts w:hint="default"/>
      </w:rPr>
    </w:lvl>
    <w:lvl w:ilvl="5" w:tplc="794CD0A8">
      <w:start w:val="1"/>
      <w:numFmt w:val="bullet"/>
      <w:lvlText w:val="•"/>
      <w:lvlJc w:val="left"/>
      <w:pPr>
        <w:ind w:left="5179" w:hanging="720"/>
      </w:pPr>
      <w:rPr>
        <w:rFonts w:hint="default"/>
      </w:rPr>
    </w:lvl>
    <w:lvl w:ilvl="6" w:tplc="510C95B8">
      <w:start w:val="1"/>
      <w:numFmt w:val="bullet"/>
      <w:lvlText w:val="•"/>
      <w:lvlJc w:val="left"/>
      <w:pPr>
        <w:ind w:left="6047" w:hanging="720"/>
      </w:pPr>
      <w:rPr>
        <w:rFonts w:hint="default"/>
      </w:rPr>
    </w:lvl>
    <w:lvl w:ilvl="7" w:tplc="28467F8C">
      <w:start w:val="1"/>
      <w:numFmt w:val="bullet"/>
      <w:lvlText w:val="•"/>
      <w:lvlJc w:val="left"/>
      <w:pPr>
        <w:ind w:left="6915" w:hanging="720"/>
      </w:pPr>
      <w:rPr>
        <w:rFonts w:hint="default"/>
      </w:rPr>
    </w:lvl>
    <w:lvl w:ilvl="8" w:tplc="A7BE9A66">
      <w:start w:val="1"/>
      <w:numFmt w:val="bullet"/>
      <w:lvlText w:val="•"/>
      <w:lvlJc w:val="left"/>
      <w:pPr>
        <w:ind w:left="7783" w:hanging="720"/>
      </w:pPr>
      <w:rPr>
        <w:rFonts w:hint="default"/>
      </w:rPr>
    </w:lvl>
  </w:abstractNum>
  <w:abstractNum w:abstractNumId="19">
    <w:nsid w:val="4A222CE9"/>
    <w:multiLevelType w:val="hybridMultilevel"/>
    <w:tmpl w:val="5246D938"/>
    <w:lvl w:ilvl="0" w:tplc="C15679E0">
      <w:start w:val="1"/>
      <w:numFmt w:val="bullet"/>
      <w:pStyle w:val="Bullet1-s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FA4945"/>
    <w:multiLevelType w:val="hybridMultilevel"/>
    <w:tmpl w:val="47E0B6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0A92686"/>
    <w:multiLevelType w:val="hybridMultilevel"/>
    <w:tmpl w:val="564629C4"/>
    <w:lvl w:ilvl="0" w:tplc="97529DB0">
      <w:start w:val="1"/>
      <w:numFmt w:val="lowerLetter"/>
      <w:lvlText w:val="(%1)"/>
      <w:lvlJc w:val="left"/>
      <w:pPr>
        <w:ind w:left="820" w:hanging="721"/>
        <w:jc w:val="right"/>
      </w:pPr>
      <w:rPr>
        <w:rFonts w:ascii="Times New Roman" w:eastAsia="Times New Roman" w:hAnsi="Times New Roman" w:hint="default"/>
        <w:i/>
        <w:sz w:val="24"/>
        <w:szCs w:val="24"/>
      </w:rPr>
    </w:lvl>
    <w:lvl w:ilvl="1" w:tplc="13282484">
      <w:start w:val="1"/>
      <w:numFmt w:val="bullet"/>
      <w:lvlText w:val="•"/>
      <w:lvlJc w:val="left"/>
      <w:pPr>
        <w:ind w:left="1694" w:hanging="721"/>
      </w:pPr>
      <w:rPr>
        <w:rFonts w:hint="default"/>
      </w:rPr>
    </w:lvl>
    <w:lvl w:ilvl="2" w:tplc="342A8CC6">
      <w:start w:val="1"/>
      <w:numFmt w:val="bullet"/>
      <w:lvlText w:val="•"/>
      <w:lvlJc w:val="left"/>
      <w:pPr>
        <w:ind w:left="2568" w:hanging="721"/>
      </w:pPr>
      <w:rPr>
        <w:rFonts w:hint="default"/>
      </w:rPr>
    </w:lvl>
    <w:lvl w:ilvl="3" w:tplc="204683F8">
      <w:start w:val="1"/>
      <w:numFmt w:val="bullet"/>
      <w:lvlText w:val="•"/>
      <w:lvlJc w:val="left"/>
      <w:pPr>
        <w:ind w:left="3442" w:hanging="721"/>
      </w:pPr>
      <w:rPr>
        <w:rFonts w:hint="default"/>
      </w:rPr>
    </w:lvl>
    <w:lvl w:ilvl="4" w:tplc="4E0A6122">
      <w:start w:val="1"/>
      <w:numFmt w:val="bullet"/>
      <w:lvlText w:val="•"/>
      <w:lvlJc w:val="left"/>
      <w:pPr>
        <w:ind w:left="4316" w:hanging="721"/>
      </w:pPr>
      <w:rPr>
        <w:rFonts w:hint="default"/>
      </w:rPr>
    </w:lvl>
    <w:lvl w:ilvl="5" w:tplc="ED7ADE9A">
      <w:start w:val="1"/>
      <w:numFmt w:val="bullet"/>
      <w:lvlText w:val="•"/>
      <w:lvlJc w:val="left"/>
      <w:pPr>
        <w:ind w:left="5190" w:hanging="721"/>
      </w:pPr>
      <w:rPr>
        <w:rFonts w:hint="default"/>
      </w:rPr>
    </w:lvl>
    <w:lvl w:ilvl="6" w:tplc="5F28ECFE">
      <w:start w:val="1"/>
      <w:numFmt w:val="bullet"/>
      <w:lvlText w:val="•"/>
      <w:lvlJc w:val="left"/>
      <w:pPr>
        <w:ind w:left="6064" w:hanging="721"/>
      </w:pPr>
      <w:rPr>
        <w:rFonts w:hint="default"/>
      </w:rPr>
    </w:lvl>
    <w:lvl w:ilvl="7" w:tplc="66AA2242">
      <w:start w:val="1"/>
      <w:numFmt w:val="bullet"/>
      <w:lvlText w:val="•"/>
      <w:lvlJc w:val="left"/>
      <w:pPr>
        <w:ind w:left="6938" w:hanging="721"/>
      </w:pPr>
      <w:rPr>
        <w:rFonts w:hint="default"/>
      </w:rPr>
    </w:lvl>
    <w:lvl w:ilvl="8" w:tplc="B76E933C">
      <w:start w:val="1"/>
      <w:numFmt w:val="bullet"/>
      <w:lvlText w:val="•"/>
      <w:lvlJc w:val="left"/>
      <w:pPr>
        <w:ind w:left="7812" w:hanging="721"/>
      </w:pPr>
      <w:rPr>
        <w:rFonts w:hint="default"/>
      </w:rPr>
    </w:lvl>
  </w:abstractNum>
  <w:abstractNum w:abstractNumId="22">
    <w:nsid w:val="5AE66A89"/>
    <w:multiLevelType w:val="hybridMultilevel"/>
    <w:tmpl w:val="CC28B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C1C6F32"/>
    <w:multiLevelType w:val="hybridMultilevel"/>
    <w:tmpl w:val="3F728BF6"/>
    <w:lvl w:ilvl="0" w:tplc="EB9C6720">
      <w:start w:val="1"/>
      <w:numFmt w:val="decimal"/>
      <w:lvlText w:val="%1."/>
      <w:lvlJc w:val="left"/>
      <w:pPr>
        <w:ind w:left="840" w:hanging="720"/>
      </w:pPr>
      <w:rPr>
        <w:rFonts w:ascii="Times New Roman" w:eastAsia="Times New Roman" w:hAnsi="Times New Roman" w:hint="default"/>
        <w:sz w:val="24"/>
        <w:szCs w:val="24"/>
      </w:rPr>
    </w:lvl>
    <w:lvl w:ilvl="1" w:tplc="99527FD2">
      <w:start w:val="1"/>
      <w:numFmt w:val="bullet"/>
      <w:lvlText w:val="•"/>
      <w:lvlJc w:val="left"/>
      <w:pPr>
        <w:ind w:left="1676" w:hanging="720"/>
      </w:pPr>
      <w:rPr>
        <w:rFonts w:hint="default"/>
      </w:rPr>
    </w:lvl>
    <w:lvl w:ilvl="2" w:tplc="1C460DFA">
      <w:start w:val="1"/>
      <w:numFmt w:val="bullet"/>
      <w:lvlText w:val="•"/>
      <w:lvlJc w:val="left"/>
      <w:pPr>
        <w:ind w:left="2512" w:hanging="720"/>
      </w:pPr>
      <w:rPr>
        <w:rFonts w:hint="default"/>
      </w:rPr>
    </w:lvl>
    <w:lvl w:ilvl="3" w:tplc="84D43BDC">
      <w:start w:val="1"/>
      <w:numFmt w:val="bullet"/>
      <w:lvlText w:val="•"/>
      <w:lvlJc w:val="left"/>
      <w:pPr>
        <w:ind w:left="3348" w:hanging="720"/>
      </w:pPr>
      <w:rPr>
        <w:rFonts w:hint="default"/>
      </w:rPr>
    </w:lvl>
    <w:lvl w:ilvl="4" w:tplc="F154B104">
      <w:start w:val="1"/>
      <w:numFmt w:val="bullet"/>
      <w:lvlText w:val="•"/>
      <w:lvlJc w:val="left"/>
      <w:pPr>
        <w:ind w:left="4184" w:hanging="720"/>
      </w:pPr>
      <w:rPr>
        <w:rFonts w:hint="default"/>
      </w:rPr>
    </w:lvl>
    <w:lvl w:ilvl="5" w:tplc="8A5A2606">
      <w:start w:val="1"/>
      <w:numFmt w:val="bullet"/>
      <w:lvlText w:val="•"/>
      <w:lvlJc w:val="left"/>
      <w:pPr>
        <w:ind w:left="5020" w:hanging="720"/>
      </w:pPr>
      <w:rPr>
        <w:rFonts w:hint="default"/>
      </w:rPr>
    </w:lvl>
    <w:lvl w:ilvl="6" w:tplc="424E0D46">
      <w:start w:val="1"/>
      <w:numFmt w:val="bullet"/>
      <w:lvlText w:val="•"/>
      <w:lvlJc w:val="left"/>
      <w:pPr>
        <w:ind w:left="5856" w:hanging="720"/>
      </w:pPr>
      <w:rPr>
        <w:rFonts w:hint="default"/>
      </w:rPr>
    </w:lvl>
    <w:lvl w:ilvl="7" w:tplc="71844F38">
      <w:start w:val="1"/>
      <w:numFmt w:val="bullet"/>
      <w:lvlText w:val="•"/>
      <w:lvlJc w:val="left"/>
      <w:pPr>
        <w:ind w:left="6692" w:hanging="720"/>
      </w:pPr>
      <w:rPr>
        <w:rFonts w:hint="default"/>
      </w:rPr>
    </w:lvl>
    <w:lvl w:ilvl="8" w:tplc="920EC374">
      <w:start w:val="1"/>
      <w:numFmt w:val="bullet"/>
      <w:lvlText w:val="•"/>
      <w:lvlJc w:val="left"/>
      <w:pPr>
        <w:ind w:left="7528" w:hanging="720"/>
      </w:pPr>
      <w:rPr>
        <w:rFonts w:hint="default"/>
      </w:rPr>
    </w:lvl>
  </w:abstractNum>
  <w:abstractNum w:abstractNumId="24">
    <w:nsid w:val="5D6E0A7E"/>
    <w:multiLevelType w:val="hybridMultilevel"/>
    <w:tmpl w:val="6C88023C"/>
    <w:lvl w:ilvl="0" w:tplc="26943E20">
      <w:start w:val="1"/>
      <w:numFmt w:val="lowerLetter"/>
      <w:lvlText w:val="(%1)"/>
      <w:lvlJc w:val="left"/>
      <w:pPr>
        <w:ind w:left="840" w:hanging="721"/>
        <w:jc w:val="right"/>
      </w:pPr>
      <w:rPr>
        <w:rFonts w:ascii="Times New Roman" w:eastAsia="Times New Roman" w:hAnsi="Times New Roman" w:hint="default"/>
        <w:i/>
        <w:sz w:val="24"/>
        <w:szCs w:val="24"/>
      </w:rPr>
    </w:lvl>
    <w:lvl w:ilvl="1" w:tplc="CA2A22C4">
      <w:start w:val="1"/>
      <w:numFmt w:val="bullet"/>
      <w:lvlText w:val="•"/>
      <w:lvlJc w:val="left"/>
      <w:pPr>
        <w:ind w:left="1716" w:hanging="721"/>
      </w:pPr>
      <w:rPr>
        <w:rFonts w:hint="default"/>
      </w:rPr>
    </w:lvl>
    <w:lvl w:ilvl="2" w:tplc="3CC6C192">
      <w:start w:val="1"/>
      <w:numFmt w:val="bullet"/>
      <w:lvlText w:val="•"/>
      <w:lvlJc w:val="left"/>
      <w:pPr>
        <w:ind w:left="2592" w:hanging="721"/>
      </w:pPr>
      <w:rPr>
        <w:rFonts w:hint="default"/>
      </w:rPr>
    </w:lvl>
    <w:lvl w:ilvl="3" w:tplc="AD3EDA10">
      <w:start w:val="1"/>
      <w:numFmt w:val="bullet"/>
      <w:lvlText w:val="•"/>
      <w:lvlJc w:val="left"/>
      <w:pPr>
        <w:ind w:left="3468" w:hanging="721"/>
      </w:pPr>
      <w:rPr>
        <w:rFonts w:hint="default"/>
      </w:rPr>
    </w:lvl>
    <w:lvl w:ilvl="4" w:tplc="299A5098">
      <w:start w:val="1"/>
      <w:numFmt w:val="bullet"/>
      <w:lvlText w:val="•"/>
      <w:lvlJc w:val="left"/>
      <w:pPr>
        <w:ind w:left="4344" w:hanging="721"/>
      </w:pPr>
      <w:rPr>
        <w:rFonts w:hint="default"/>
      </w:rPr>
    </w:lvl>
    <w:lvl w:ilvl="5" w:tplc="3002122E">
      <w:start w:val="1"/>
      <w:numFmt w:val="bullet"/>
      <w:lvlText w:val="•"/>
      <w:lvlJc w:val="left"/>
      <w:pPr>
        <w:ind w:left="5220" w:hanging="721"/>
      </w:pPr>
      <w:rPr>
        <w:rFonts w:hint="default"/>
      </w:rPr>
    </w:lvl>
    <w:lvl w:ilvl="6" w:tplc="AD82C3B4">
      <w:start w:val="1"/>
      <w:numFmt w:val="bullet"/>
      <w:lvlText w:val="•"/>
      <w:lvlJc w:val="left"/>
      <w:pPr>
        <w:ind w:left="6096" w:hanging="721"/>
      </w:pPr>
      <w:rPr>
        <w:rFonts w:hint="default"/>
      </w:rPr>
    </w:lvl>
    <w:lvl w:ilvl="7" w:tplc="862CA4D2">
      <w:start w:val="1"/>
      <w:numFmt w:val="bullet"/>
      <w:lvlText w:val="•"/>
      <w:lvlJc w:val="left"/>
      <w:pPr>
        <w:ind w:left="6972" w:hanging="721"/>
      </w:pPr>
      <w:rPr>
        <w:rFonts w:hint="default"/>
      </w:rPr>
    </w:lvl>
    <w:lvl w:ilvl="8" w:tplc="85E64BBA">
      <w:start w:val="1"/>
      <w:numFmt w:val="bullet"/>
      <w:lvlText w:val="•"/>
      <w:lvlJc w:val="left"/>
      <w:pPr>
        <w:ind w:left="7848" w:hanging="721"/>
      </w:pPr>
      <w:rPr>
        <w:rFonts w:hint="default"/>
      </w:rPr>
    </w:lvl>
  </w:abstractNum>
  <w:abstractNum w:abstractNumId="25">
    <w:nsid w:val="5F5172A2"/>
    <w:multiLevelType w:val="hybridMultilevel"/>
    <w:tmpl w:val="3B6293C8"/>
    <w:lvl w:ilvl="0" w:tplc="8E46AC66">
      <w:start w:val="4"/>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4200D1"/>
    <w:multiLevelType w:val="hybridMultilevel"/>
    <w:tmpl w:val="F2FEC534"/>
    <w:lvl w:ilvl="0" w:tplc="D144C8B8">
      <w:start w:val="1"/>
      <w:numFmt w:val="decimal"/>
      <w:lvlText w:val="%1."/>
      <w:lvlJc w:val="left"/>
      <w:pPr>
        <w:ind w:left="299" w:hanging="160"/>
      </w:pPr>
      <w:rPr>
        <w:rFonts w:ascii="Times New Roman" w:eastAsia="Times New Roman" w:hAnsi="Times New Roman" w:hint="default"/>
        <w:w w:val="99"/>
        <w:sz w:val="16"/>
        <w:szCs w:val="16"/>
      </w:rPr>
    </w:lvl>
    <w:lvl w:ilvl="1" w:tplc="B5BC6A02">
      <w:start w:val="1"/>
      <w:numFmt w:val="bullet"/>
      <w:lvlText w:val="•"/>
      <w:lvlJc w:val="left"/>
      <w:pPr>
        <w:ind w:left="1737" w:hanging="160"/>
      </w:pPr>
      <w:rPr>
        <w:rFonts w:hint="default"/>
      </w:rPr>
    </w:lvl>
    <w:lvl w:ilvl="2" w:tplc="5BF2E78E">
      <w:start w:val="1"/>
      <w:numFmt w:val="bullet"/>
      <w:lvlText w:val="•"/>
      <w:lvlJc w:val="left"/>
      <w:pPr>
        <w:ind w:left="3175" w:hanging="160"/>
      </w:pPr>
      <w:rPr>
        <w:rFonts w:hint="default"/>
      </w:rPr>
    </w:lvl>
    <w:lvl w:ilvl="3" w:tplc="C1DA5B54">
      <w:start w:val="1"/>
      <w:numFmt w:val="bullet"/>
      <w:lvlText w:val="•"/>
      <w:lvlJc w:val="left"/>
      <w:pPr>
        <w:ind w:left="4613" w:hanging="160"/>
      </w:pPr>
      <w:rPr>
        <w:rFonts w:hint="default"/>
      </w:rPr>
    </w:lvl>
    <w:lvl w:ilvl="4" w:tplc="141014EA">
      <w:start w:val="1"/>
      <w:numFmt w:val="bullet"/>
      <w:lvlText w:val="•"/>
      <w:lvlJc w:val="left"/>
      <w:pPr>
        <w:ind w:left="6051" w:hanging="160"/>
      </w:pPr>
      <w:rPr>
        <w:rFonts w:hint="default"/>
      </w:rPr>
    </w:lvl>
    <w:lvl w:ilvl="5" w:tplc="9CB4405C">
      <w:start w:val="1"/>
      <w:numFmt w:val="bullet"/>
      <w:lvlText w:val="•"/>
      <w:lvlJc w:val="left"/>
      <w:pPr>
        <w:ind w:left="7489" w:hanging="160"/>
      </w:pPr>
      <w:rPr>
        <w:rFonts w:hint="default"/>
      </w:rPr>
    </w:lvl>
    <w:lvl w:ilvl="6" w:tplc="54CC8A40">
      <w:start w:val="1"/>
      <w:numFmt w:val="bullet"/>
      <w:lvlText w:val="•"/>
      <w:lvlJc w:val="left"/>
      <w:pPr>
        <w:ind w:left="8927" w:hanging="160"/>
      </w:pPr>
      <w:rPr>
        <w:rFonts w:hint="default"/>
      </w:rPr>
    </w:lvl>
    <w:lvl w:ilvl="7" w:tplc="38C419FE">
      <w:start w:val="1"/>
      <w:numFmt w:val="bullet"/>
      <w:lvlText w:val="•"/>
      <w:lvlJc w:val="left"/>
      <w:pPr>
        <w:ind w:left="10365" w:hanging="160"/>
      </w:pPr>
      <w:rPr>
        <w:rFonts w:hint="default"/>
      </w:rPr>
    </w:lvl>
    <w:lvl w:ilvl="8" w:tplc="9918B2EC">
      <w:start w:val="1"/>
      <w:numFmt w:val="bullet"/>
      <w:lvlText w:val="•"/>
      <w:lvlJc w:val="left"/>
      <w:pPr>
        <w:ind w:left="11803" w:hanging="160"/>
      </w:pPr>
      <w:rPr>
        <w:rFonts w:hint="default"/>
      </w:rPr>
    </w:lvl>
  </w:abstractNum>
  <w:abstractNum w:abstractNumId="27">
    <w:nsid w:val="66F63A41"/>
    <w:multiLevelType w:val="hybridMultilevel"/>
    <w:tmpl w:val="2466A66E"/>
    <w:lvl w:ilvl="0" w:tplc="439E959C">
      <w:start w:val="1"/>
      <w:numFmt w:val="lowerLetter"/>
      <w:lvlText w:val="(%1)"/>
      <w:lvlJc w:val="left"/>
      <w:pPr>
        <w:ind w:left="840" w:hanging="721"/>
      </w:pPr>
      <w:rPr>
        <w:rFonts w:ascii="Times New Roman" w:eastAsia="Times New Roman" w:hAnsi="Times New Roman" w:hint="default"/>
        <w:i/>
        <w:sz w:val="24"/>
        <w:szCs w:val="24"/>
      </w:rPr>
    </w:lvl>
    <w:lvl w:ilvl="1" w:tplc="0E985E4C">
      <w:start w:val="1"/>
      <w:numFmt w:val="lowerRoman"/>
      <w:lvlText w:val="(%2)"/>
      <w:lvlJc w:val="left"/>
      <w:pPr>
        <w:ind w:left="100" w:hanging="722"/>
      </w:pPr>
      <w:rPr>
        <w:rFonts w:ascii="Times New Roman" w:eastAsia="Times New Roman" w:hAnsi="Times New Roman" w:hint="default"/>
        <w:i/>
        <w:spacing w:val="-1"/>
        <w:sz w:val="24"/>
        <w:szCs w:val="24"/>
      </w:rPr>
    </w:lvl>
    <w:lvl w:ilvl="2" w:tplc="07D831D6">
      <w:start w:val="1"/>
      <w:numFmt w:val="bullet"/>
      <w:lvlText w:val="•"/>
      <w:lvlJc w:val="left"/>
      <w:pPr>
        <w:ind w:left="1806" w:hanging="722"/>
      </w:pPr>
      <w:rPr>
        <w:rFonts w:hint="default"/>
      </w:rPr>
    </w:lvl>
    <w:lvl w:ilvl="3" w:tplc="5510D65E">
      <w:start w:val="1"/>
      <w:numFmt w:val="bullet"/>
      <w:lvlText w:val="•"/>
      <w:lvlJc w:val="left"/>
      <w:pPr>
        <w:ind w:left="2773" w:hanging="722"/>
      </w:pPr>
      <w:rPr>
        <w:rFonts w:hint="default"/>
      </w:rPr>
    </w:lvl>
    <w:lvl w:ilvl="4" w:tplc="771CD490">
      <w:start w:val="1"/>
      <w:numFmt w:val="bullet"/>
      <w:lvlText w:val="•"/>
      <w:lvlJc w:val="left"/>
      <w:pPr>
        <w:ind w:left="3740" w:hanging="722"/>
      </w:pPr>
      <w:rPr>
        <w:rFonts w:hint="default"/>
      </w:rPr>
    </w:lvl>
    <w:lvl w:ilvl="5" w:tplc="538EF640">
      <w:start w:val="1"/>
      <w:numFmt w:val="bullet"/>
      <w:lvlText w:val="•"/>
      <w:lvlJc w:val="left"/>
      <w:pPr>
        <w:ind w:left="4706" w:hanging="722"/>
      </w:pPr>
      <w:rPr>
        <w:rFonts w:hint="default"/>
      </w:rPr>
    </w:lvl>
    <w:lvl w:ilvl="6" w:tplc="B0E6D4B2">
      <w:start w:val="1"/>
      <w:numFmt w:val="bullet"/>
      <w:lvlText w:val="•"/>
      <w:lvlJc w:val="left"/>
      <w:pPr>
        <w:ind w:left="5673" w:hanging="722"/>
      </w:pPr>
      <w:rPr>
        <w:rFonts w:hint="default"/>
      </w:rPr>
    </w:lvl>
    <w:lvl w:ilvl="7" w:tplc="4D482CA2">
      <w:start w:val="1"/>
      <w:numFmt w:val="bullet"/>
      <w:lvlText w:val="•"/>
      <w:lvlJc w:val="left"/>
      <w:pPr>
        <w:ind w:left="6640" w:hanging="722"/>
      </w:pPr>
      <w:rPr>
        <w:rFonts w:hint="default"/>
      </w:rPr>
    </w:lvl>
    <w:lvl w:ilvl="8" w:tplc="A4CCBAAA">
      <w:start w:val="1"/>
      <w:numFmt w:val="bullet"/>
      <w:lvlText w:val="•"/>
      <w:lvlJc w:val="left"/>
      <w:pPr>
        <w:ind w:left="7606" w:hanging="722"/>
      </w:pPr>
      <w:rPr>
        <w:rFonts w:hint="default"/>
      </w:rPr>
    </w:lvl>
  </w:abstractNum>
  <w:abstractNum w:abstractNumId="28">
    <w:nsid w:val="68C52D36"/>
    <w:multiLevelType w:val="hybridMultilevel"/>
    <w:tmpl w:val="41D01608"/>
    <w:lvl w:ilvl="0" w:tplc="6EBA4DD0">
      <w:start w:val="1"/>
      <w:numFmt w:val="decimal"/>
      <w:lvlText w:val="%1."/>
      <w:lvlJc w:val="left"/>
      <w:pPr>
        <w:ind w:left="839" w:hanging="720"/>
      </w:pPr>
      <w:rPr>
        <w:rFonts w:ascii="Times New Roman" w:eastAsia="Times New Roman" w:hAnsi="Times New Roman" w:hint="default"/>
        <w:b/>
        <w:bCs/>
        <w:spacing w:val="-1"/>
        <w:sz w:val="24"/>
        <w:szCs w:val="24"/>
      </w:rPr>
    </w:lvl>
    <w:lvl w:ilvl="1" w:tplc="9B385D3A">
      <w:start w:val="1"/>
      <w:numFmt w:val="bullet"/>
      <w:lvlText w:val="•"/>
      <w:lvlJc w:val="left"/>
      <w:pPr>
        <w:ind w:left="1703" w:hanging="720"/>
      </w:pPr>
      <w:rPr>
        <w:rFonts w:hint="default"/>
      </w:rPr>
    </w:lvl>
    <w:lvl w:ilvl="2" w:tplc="F210E630">
      <w:start w:val="1"/>
      <w:numFmt w:val="bullet"/>
      <w:lvlText w:val="•"/>
      <w:lvlJc w:val="left"/>
      <w:pPr>
        <w:ind w:left="2567" w:hanging="720"/>
      </w:pPr>
      <w:rPr>
        <w:rFonts w:hint="default"/>
      </w:rPr>
    </w:lvl>
    <w:lvl w:ilvl="3" w:tplc="3AC87990">
      <w:start w:val="1"/>
      <w:numFmt w:val="bullet"/>
      <w:lvlText w:val="•"/>
      <w:lvlJc w:val="left"/>
      <w:pPr>
        <w:ind w:left="3431" w:hanging="720"/>
      </w:pPr>
      <w:rPr>
        <w:rFonts w:hint="default"/>
      </w:rPr>
    </w:lvl>
    <w:lvl w:ilvl="4" w:tplc="FFC034B8">
      <w:start w:val="1"/>
      <w:numFmt w:val="bullet"/>
      <w:lvlText w:val="•"/>
      <w:lvlJc w:val="left"/>
      <w:pPr>
        <w:ind w:left="4295" w:hanging="720"/>
      </w:pPr>
      <w:rPr>
        <w:rFonts w:hint="default"/>
      </w:rPr>
    </w:lvl>
    <w:lvl w:ilvl="5" w:tplc="E9EE09C0">
      <w:start w:val="1"/>
      <w:numFmt w:val="bullet"/>
      <w:lvlText w:val="•"/>
      <w:lvlJc w:val="left"/>
      <w:pPr>
        <w:ind w:left="5159" w:hanging="720"/>
      </w:pPr>
      <w:rPr>
        <w:rFonts w:hint="default"/>
      </w:rPr>
    </w:lvl>
    <w:lvl w:ilvl="6" w:tplc="558C463E">
      <w:start w:val="1"/>
      <w:numFmt w:val="bullet"/>
      <w:lvlText w:val="•"/>
      <w:lvlJc w:val="left"/>
      <w:pPr>
        <w:ind w:left="6023" w:hanging="720"/>
      </w:pPr>
      <w:rPr>
        <w:rFonts w:hint="default"/>
      </w:rPr>
    </w:lvl>
    <w:lvl w:ilvl="7" w:tplc="2A1613D8">
      <w:start w:val="1"/>
      <w:numFmt w:val="bullet"/>
      <w:lvlText w:val="•"/>
      <w:lvlJc w:val="left"/>
      <w:pPr>
        <w:ind w:left="6887" w:hanging="720"/>
      </w:pPr>
      <w:rPr>
        <w:rFonts w:hint="default"/>
      </w:rPr>
    </w:lvl>
    <w:lvl w:ilvl="8" w:tplc="A356CD9E">
      <w:start w:val="1"/>
      <w:numFmt w:val="bullet"/>
      <w:lvlText w:val="•"/>
      <w:lvlJc w:val="left"/>
      <w:pPr>
        <w:ind w:left="7751" w:hanging="720"/>
      </w:pPr>
      <w:rPr>
        <w:rFonts w:hint="default"/>
      </w:rPr>
    </w:lvl>
  </w:abstractNum>
  <w:abstractNum w:abstractNumId="29">
    <w:nsid w:val="69052506"/>
    <w:multiLevelType w:val="hybridMultilevel"/>
    <w:tmpl w:val="333C1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C1938E6"/>
    <w:multiLevelType w:val="hybridMultilevel"/>
    <w:tmpl w:val="4056A3C6"/>
    <w:lvl w:ilvl="0" w:tplc="6CB4A8B8">
      <w:start w:val="1"/>
      <w:numFmt w:val="decimal"/>
      <w:lvlText w:val="%1."/>
      <w:lvlJc w:val="left"/>
      <w:pPr>
        <w:ind w:left="840" w:hanging="721"/>
      </w:pPr>
      <w:rPr>
        <w:rFonts w:ascii="Times New Roman" w:eastAsia="Times New Roman" w:hAnsi="Times New Roman" w:hint="default"/>
        <w:b/>
        <w:bCs/>
        <w:sz w:val="24"/>
        <w:szCs w:val="24"/>
      </w:rPr>
    </w:lvl>
    <w:lvl w:ilvl="1" w:tplc="49D264C0">
      <w:start w:val="1"/>
      <w:numFmt w:val="bullet"/>
      <w:lvlText w:val="•"/>
      <w:lvlJc w:val="left"/>
      <w:pPr>
        <w:ind w:left="1708" w:hanging="721"/>
      </w:pPr>
      <w:rPr>
        <w:rFonts w:hint="default"/>
      </w:rPr>
    </w:lvl>
    <w:lvl w:ilvl="2" w:tplc="6EC29AF4">
      <w:start w:val="1"/>
      <w:numFmt w:val="bullet"/>
      <w:lvlText w:val="•"/>
      <w:lvlJc w:val="left"/>
      <w:pPr>
        <w:ind w:left="2576" w:hanging="721"/>
      </w:pPr>
      <w:rPr>
        <w:rFonts w:hint="default"/>
      </w:rPr>
    </w:lvl>
    <w:lvl w:ilvl="3" w:tplc="F21221A0">
      <w:start w:val="1"/>
      <w:numFmt w:val="bullet"/>
      <w:lvlText w:val="•"/>
      <w:lvlJc w:val="left"/>
      <w:pPr>
        <w:ind w:left="3444" w:hanging="721"/>
      </w:pPr>
      <w:rPr>
        <w:rFonts w:hint="default"/>
      </w:rPr>
    </w:lvl>
    <w:lvl w:ilvl="4" w:tplc="523C2B68">
      <w:start w:val="1"/>
      <w:numFmt w:val="bullet"/>
      <w:lvlText w:val="•"/>
      <w:lvlJc w:val="left"/>
      <w:pPr>
        <w:ind w:left="4312" w:hanging="721"/>
      </w:pPr>
      <w:rPr>
        <w:rFonts w:hint="default"/>
      </w:rPr>
    </w:lvl>
    <w:lvl w:ilvl="5" w:tplc="BB60D506">
      <w:start w:val="1"/>
      <w:numFmt w:val="bullet"/>
      <w:lvlText w:val="•"/>
      <w:lvlJc w:val="left"/>
      <w:pPr>
        <w:ind w:left="5180" w:hanging="721"/>
      </w:pPr>
      <w:rPr>
        <w:rFonts w:hint="default"/>
      </w:rPr>
    </w:lvl>
    <w:lvl w:ilvl="6" w:tplc="D952D394">
      <w:start w:val="1"/>
      <w:numFmt w:val="bullet"/>
      <w:lvlText w:val="•"/>
      <w:lvlJc w:val="left"/>
      <w:pPr>
        <w:ind w:left="6048" w:hanging="721"/>
      </w:pPr>
      <w:rPr>
        <w:rFonts w:hint="default"/>
      </w:rPr>
    </w:lvl>
    <w:lvl w:ilvl="7" w:tplc="95E051AC">
      <w:start w:val="1"/>
      <w:numFmt w:val="bullet"/>
      <w:lvlText w:val="•"/>
      <w:lvlJc w:val="left"/>
      <w:pPr>
        <w:ind w:left="6916" w:hanging="721"/>
      </w:pPr>
      <w:rPr>
        <w:rFonts w:hint="default"/>
      </w:rPr>
    </w:lvl>
    <w:lvl w:ilvl="8" w:tplc="BEDEE3E4">
      <w:start w:val="1"/>
      <w:numFmt w:val="bullet"/>
      <w:lvlText w:val="•"/>
      <w:lvlJc w:val="left"/>
      <w:pPr>
        <w:ind w:left="7784" w:hanging="721"/>
      </w:pPr>
      <w:rPr>
        <w:rFonts w:hint="default"/>
      </w:rPr>
    </w:lvl>
  </w:abstractNum>
  <w:abstractNum w:abstractNumId="31">
    <w:nsid w:val="78EF4A70"/>
    <w:multiLevelType w:val="hybridMultilevel"/>
    <w:tmpl w:val="DABE2A0C"/>
    <w:lvl w:ilvl="0" w:tplc="930238EE">
      <w:start w:val="1"/>
      <w:numFmt w:val="lowerLetter"/>
      <w:lvlText w:val="(%1)"/>
      <w:lvlJc w:val="left"/>
      <w:pPr>
        <w:ind w:left="840" w:hanging="721"/>
      </w:pPr>
      <w:rPr>
        <w:rFonts w:ascii="Times New Roman" w:eastAsia="Times New Roman" w:hAnsi="Times New Roman" w:hint="default"/>
        <w:i/>
        <w:spacing w:val="-1"/>
        <w:sz w:val="24"/>
        <w:szCs w:val="24"/>
      </w:rPr>
    </w:lvl>
    <w:lvl w:ilvl="1" w:tplc="92D0B8C2">
      <w:start w:val="1"/>
      <w:numFmt w:val="decimal"/>
      <w:lvlText w:val="%2."/>
      <w:lvlJc w:val="left"/>
      <w:pPr>
        <w:ind w:left="840" w:hanging="360"/>
      </w:pPr>
      <w:rPr>
        <w:rFonts w:ascii="Times New Roman" w:eastAsia="Times New Roman" w:hAnsi="Times New Roman" w:hint="default"/>
        <w:sz w:val="24"/>
        <w:szCs w:val="24"/>
      </w:rPr>
    </w:lvl>
    <w:lvl w:ilvl="2" w:tplc="8E54A770">
      <w:start w:val="1"/>
      <w:numFmt w:val="upperLetter"/>
      <w:lvlText w:val="(%3)"/>
      <w:lvlJc w:val="left"/>
      <w:pPr>
        <w:ind w:left="840" w:hanging="394"/>
      </w:pPr>
      <w:rPr>
        <w:rFonts w:ascii="Times New Roman" w:eastAsia="Times New Roman" w:hAnsi="Times New Roman" w:hint="default"/>
        <w:sz w:val="24"/>
        <w:szCs w:val="24"/>
      </w:rPr>
    </w:lvl>
    <w:lvl w:ilvl="3" w:tplc="0C2C623C">
      <w:start w:val="1"/>
      <w:numFmt w:val="bullet"/>
      <w:lvlText w:val="•"/>
      <w:lvlJc w:val="left"/>
      <w:pPr>
        <w:ind w:left="1932" w:hanging="394"/>
      </w:pPr>
      <w:rPr>
        <w:rFonts w:hint="default"/>
      </w:rPr>
    </w:lvl>
    <w:lvl w:ilvl="4" w:tplc="FF0CFDF8">
      <w:start w:val="1"/>
      <w:numFmt w:val="bullet"/>
      <w:lvlText w:val="•"/>
      <w:lvlJc w:val="left"/>
      <w:pPr>
        <w:ind w:left="3025" w:hanging="394"/>
      </w:pPr>
      <w:rPr>
        <w:rFonts w:hint="default"/>
      </w:rPr>
    </w:lvl>
    <w:lvl w:ilvl="5" w:tplc="D9D0B7DE">
      <w:start w:val="1"/>
      <w:numFmt w:val="bullet"/>
      <w:lvlText w:val="•"/>
      <w:lvlJc w:val="left"/>
      <w:pPr>
        <w:ind w:left="4117" w:hanging="394"/>
      </w:pPr>
      <w:rPr>
        <w:rFonts w:hint="default"/>
      </w:rPr>
    </w:lvl>
    <w:lvl w:ilvl="6" w:tplc="33B02D18">
      <w:start w:val="1"/>
      <w:numFmt w:val="bullet"/>
      <w:lvlText w:val="•"/>
      <w:lvlJc w:val="left"/>
      <w:pPr>
        <w:ind w:left="5210" w:hanging="394"/>
      </w:pPr>
      <w:rPr>
        <w:rFonts w:hint="default"/>
      </w:rPr>
    </w:lvl>
    <w:lvl w:ilvl="7" w:tplc="52D87964">
      <w:start w:val="1"/>
      <w:numFmt w:val="bullet"/>
      <w:lvlText w:val="•"/>
      <w:lvlJc w:val="left"/>
      <w:pPr>
        <w:ind w:left="6302" w:hanging="394"/>
      </w:pPr>
      <w:rPr>
        <w:rFonts w:hint="default"/>
      </w:rPr>
    </w:lvl>
    <w:lvl w:ilvl="8" w:tplc="5D62CFDA">
      <w:start w:val="1"/>
      <w:numFmt w:val="bullet"/>
      <w:lvlText w:val="•"/>
      <w:lvlJc w:val="left"/>
      <w:pPr>
        <w:ind w:left="7395" w:hanging="394"/>
      </w:pPr>
      <w:rPr>
        <w:rFonts w:hint="default"/>
      </w:rPr>
    </w:lvl>
  </w:abstractNum>
  <w:num w:numId="1">
    <w:abstractNumId w:val="13"/>
  </w:num>
  <w:num w:numId="2">
    <w:abstractNumId w:val="26"/>
  </w:num>
  <w:num w:numId="3">
    <w:abstractNumId w:val="23"/>
  </w:num>
  <w:num w:numId="4">
    <w:abstractNumId w:val="28"/>
  </w:num>
  <w:num w:numId="5">
    <w:abstractNumId w:val="27"/>
  </w:num>
  <w:num w:numId="6">
    <w:abstractNumId w:val="24"/>
  </w:num>
  <w:num w:numId="7">
    <w:abstractNumId w:val="16"/>
  </w:num>
  <w:num w:numId="8">
    <w:abstractNumId w:val="10"/>
  </w:num>
  <w:num w:numId="9">
    <w:abstractNumId w:val="11"/>
  </w:num>
  <w:num w:numId="10">
    <w:abstractNumId w:val="21"/>
  </w:num>
  <w:num w:numId="11">
    <w:abstractNumId w:val="31"/>
  </w:num>
  <w:num w:numId="12">
    <w:abstractNumId w:val="18"/>
  </w:num>
  <w:num w:numId="13">
    <w:abstractNumId w:val="30"/>
  </w:num>
  <w:num w:numId="14">
    <w:abstractNumId w:val="17"/>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5"/>
  </w:num>
  <w:num w:numId="29">
    <w:abstractNumId w:val="12"/>
  </w:num>
  <w:num w:numId="30">
    <w:abstractNumId w:val="19"/>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6D9"/>
    <w:rsid w:val="00004E22"/>
    <w:rsid w:val="00006DA2"/>
    <w:rsid w:val="00010846"/>
    <w:rsid w:val="00011072"/>
    <w:rsid w:val="00014BC8"/>
    <w:rsid w:val="00036C51"/>
    <w:rsid w:val="00041E27"/>
    <w:rsid w:val="00043701"/>
    <w:rsid w:val="000448FF"/>
    <w:rsid w:val="00046F15"/>
    <w:rsid w:val="000563BF"/>
    <w:rsid w:val="000610C5"/>
    <w:rsid w:val="000619EC"/>
    <w:rsid w:val="000674E5"/>
    <w:rsid w:val="000777AA"/>
    <w:rsid w:val="00082A1F"/>
    <w:rsid w:val="00083090"/>
    <w:rsid w:val="000868B2"/>
    <w:rsid w:val="000908B2"/>
    <w:rsid w:val="00095488"/>
    <w:rsid w:val="000A00FC"/>
    <w:rsid w:val="000A0CE7"/>
    <w:rsid w:val="000A1A87"/>
    <w:rsid w:val="000B0B3C"/>
    <w:rsid w:val="000B1BCE"/>
    <w:rsid w:val="000C0CFE"/>
    <w:rsid w:val="000C2960"/>
    <w:rsid w:val="000C5532"/>
    <w:rsid w:val="000D63D7"/>
    <w:rsid w:val="000E764F"/>
    <w:rsid w:val="000F2B67"/>
    <w:rsid w:val="001000C2"/>
    <w:rsid w:val="00107E36"/>
    <w:rsid w:val="00110426"/>
    <w:rsid w:val="00114A0E"/>
    <w:rsid w:val="001152C4"/>
    <w:rsid w:val="001160D0"/>
    <w:rsid w:val="00117E92"/>
    <w:rsid w:val="001212A5"/>
    <w:rsid w:val="00121F0A"/>
    <w:rsid w:val="00124A13"/>
    <w:rsid w:val="00124B1C"/>
    <w:rsid w:val="00127645"/>
    <w:rsid w:val="00134F50"/>
    <w:rsid w:val="00135932"/>
    <w:rsid w:val="001423FF"/>
    <w:rsid w:val="00143316"/>
    <w:rsid w:val="001453F1"/>
    <w:rsid w:val="00147C27"/>
    <w:rsid w:val="00154AB0"/>
    <w:rsid w:val="00154CC1"/>
    <w:rsid w:val="00157598"/>
    <w:rsid w:val="00163F78"/>
    <w:rsid w:val="001641AE"/>
    <w:rsid w:val="00167236"/>
    <w:rsid w:val="001674AD"/>
    <w:rsid w:val="00177477"/>
    <w:rsid w:val="00181C49"/>
    <w:rsid w:val="00187905"/>
    <w:rsid w:val="001927F5"/>
    <w:rsid w:val="00197BD5"/>
    <w:rsid w:val="001A39FA"/>
    <w:rsid w:val="001C2468"/>
    <w:rsid w:val="001D0233"/>
    <w:rsid w:val="001D192A"/>
    <w:rsid w:val="001D1A5E"/>
    <w:rsid w:val="001F032D"/>
    <w:rsid w:val="001F1BD1"/>
    <w:rsid w:val="001F5310"/>
    <w:rsid w:val="00215E21"/>
    <w:rsid w:val="0022125D"/>
    <w:rsid w:val="00223230"/>
    <w:rsid w:val="00226FD4"/>
    <w:rsid w:val="00233817"/>
    <w:rsid w:val="002365DD"/>
    <w:rsid w:val="00245CEE"/>
    <w:rsid w:val="00247834"/>
    <w:rsid w:val="00251C40"/>
    <w:rsid w:val="00265BCF"/>
    <w:rsid w:val="00276E10"/>
    <w:rsid w:val="00282DB9"/>
    <w:rsid w:val="00284090"/>
    <w:rsid w:val="00284D31"/>
    <w:rsid w:val="00285DFB"/>
    <w:rsid w:val="00291867"/>
    <w:rsid w:val="00294271"/>
    <w:rsid w:val="002A07F2"/>
    <w:rsid w:val="002A1547"/>
    <w:rsid w:val="002A3F6D"/>
    <w:rsid w:val="002A42F4"/>
    <w:rsid w:val="002A450B"/>
    <w:rsid w:val="002B18C7"/>
    <w:rsid w:val="002B39A8"/>
    <w:rsid w:val="002B4604"/>
    <w:rsid w:val="002C0763"/>
    <w:rsid w:val="002C3DB1"/>
    <w:rsid w:val="002D1081"/>
    <w:rsid w:val="002D329C"/>
    <w:rsid w:val="002D5E1E"/>
    <w:rsid w:val="002E13CD"/>
    <w:rsid w:val="002E4645"/>
    <w:rsid w:val="002F0B86"/>
    <w:rsid w:val="002F10DD"/>
    <w:rsid w:val="002F2AAF"/>
    <w:rsid w:val="002F60DB"/>
    <w:rsid w:val="00303708"/>
    <w:rsid w:val="00304DE3"/>
    <w:rsid w:val="003055DB"/>
    <w:rsid w:val="00306378"/>
    <w:rsid w:val="0030667C"/>
    <w:rsid w:val="00307213"/>
    <w:rsid w:val="003127EA"/>
    <w:rsid w:val="00316960"/>
    <w:rsid w:val="003352E3"/>
    <w:rsid w:val="00341306"/>
    <w:rsid w:val="0034156E"/>
    <w:rsid w:val="003434A7"/>
    <w:rsid w:val="00344AA6"/>
    <w:rsid w:val="0034542B"/>
    <w:rsid w:val="00346293"/>
    <w:rsid w:val="00351937"/>
    <w:rsid w:val="00351E7E"/>
    <w:rsid w:val="00361A53"/>
    <w:rsid w:val="003620B0"/>
    <w:rsid w:val="00366A27"/>
    <w:rsid w:val="00367403"/>
    <w:rsid w:val="003741DD"/>
    <w:rsid w:val="00374800"/>
    <w:rsid w:val="00383626"/>
    <w:rsid w:val="0038391B"/>
    <w:rsid w:val="0039278A"/>
    <w:rsid w:val="003933E1"/>
    <w:rsid w:val="003A07D5"/>
    <w:rsid w:val="003A0B73"/>
    <w:rsid w:val="003A1815"/>
    <w:rsid w:val="003A262A"/>
    <w:rsid w:val="003A6EB9"/>
    <w:rsid w:val="003C0F83"/>
    <w:rsid w:val="003C13A5"/>
    <w:rsid w:val="003C4EC6"/>
    <w:rsid w:val="003C56CA"/>
    <w:rsid w:val="003D076D"/>
    <w:rsid w:val="003D0A4E"/>
    <w:rsid w:val="003D109E"/>
    <w:rsid w:val="003D382A"/>
    <w:rsid w:val="003D40DD"/>
    <w:rsid w:val="003D5E66"/>
    <w:rsid w:val="003E45F2"/>
    <w:rsid w:val="003F09B6"/>
    <w:rsid w:val="003F7FAA"/>
    <w:rsid w:val="0041096B"/>
    <w:rsid w:val="00410CDE"/>
    <w:rsid w:val="00430471"/>
    <w:rsid w:val="00431330"/>
    <w:rsid w:val="00435D7D"/>
    <w:rsid w:val="00441D8E"/>
    <w:rsid w:val="0044396A"/>
    <w:rsid w:val="00444CB8"/>
    <w:rsid w:val="0044533F"/>
    <w:rsid w:val="00447136"/>
    <w:rsid w:val="00454776"/>
    <w:rsid w:val="004604F6"/>
    <w:rsid w:val="00463DA5"/>
    <w:rsid w:val="00475045"/>
    <w:rsid w:val="00477744"/>
    <w:rsid w:val="00480183"/>
    <w:rsid w:val="00482F70"/>
    <w:rsid w:val="004835B1"/>
    <w:rsid w:val="00492583"/>
    <w:rsid w:val="00493CA1"/>
    <w:rsid w:val="00495FE0"/>
    <w:rsid w:val="004A02C7"/>
    <w:rsid w:val="004A0477"/>
    <w:rsid w:val="004A57E1"/>
    <w:rsid w:val="004B094E"/>
    <w:rsid w:val="004B0EB3"/>
    <w:rsid w:val="004B6B33"/>
    <w:rsid w:val="004B799E"/>
    <w:rsid w:val="004E377D"/>
    <w:rsid w:val="004E66B2"/>
    <w:rsid w:val="004E78AC"/>
    <w:rsid w:val="004F3FD9"/>
    <w:rsid w:val="004F418B"/>
    <w:rsid w:val="00510090"/>
    <w:rsid w:val="0051217D"/>
    <w:rsid w:val="00513AAA"/>
    <w:rsid w:val="00517464"/>
    <w:rsid w:val="00520348"/>
    <w:rsid w:val="00530043"/>
    <w:rsid w:val="00530224"/>
    <w:rsid w:val="005309ED"/>
    <w:rsid w:val="00533AC3"/>
    <w:rsid w:val="0054187C"/>
    <w:rsid w:val="00546D16"/>
    <w:rsid w:val="0054789D"/>
    <w:rsid w:val="005547BD"/>
    <w:rsid w:val="005579CF"/>
    <w:rsid w:val="00562135"/>
    <w:rsid w:val="00566430"/>
    <w:rsid w:val="0057048C"/>
    <w:rsid w:val="00572628"/>
    <w:rsid w:val="00574C8A"/>
    <w:rsid w:val="00587101"/>
    <w:rsid w:val="00595078"/>
    <w:rsid w:val="005A4A4A"/>
    <w:rsid w:val="005A514A"/>
    <w:rsid w:val="005A62B5"/>
    <w:rsid w:val="005B41D6"/>
    <w:rsid w:val="005B5BDD"/>
    <w:rsid w:val="005B73D8"/>
    <w:rsid w:val="005C361C"/>
    <w:rsid w:val="005C4FF9"/>
    <w:rsid w:val="005D361F"/>
    <w:rsid w:val="005E034D"/>
    <w:rsid w:val="005E0C82"/>
    <w:rsid w:val="005E346D"/>
    <w:rsid w:val="005E370B"/>
    <w:rsid w:val="005E3F7C"/>
    <w:rsid w:val="005E555F"/>
    <w:rsid w:val="005E75DF"/>
    <w:rsid w:val="005F3ECB"/>
    <w:rsid w:val="005F5144"/>
    <w:rsid w:val="005F69AB"/>
    <w:rsid w:val="005F758E"/>
    <w:rsid w:val="00600F02"/>
    <w:rsid w:val="00603BA6"/>
    <w:rsid w:val="00613E14"/>
    <w:rsid w:val="00614E38"/>
    <w:rsid w:val="006151DB"/>
    <w:rsid w:val="00620D9B"/>
    <w:rsid w:val="00622924"/>
    <w:rsid w:val="006239AB"/>
    <w:rsid w:val="0063158F"/>
    <w:rsid w:val="0063407A"/>
    <w:rsid w:val="0063678C"/>
    <w:rsid w:val="006422B6"/>
    <w:rsid w:val="00643D5C"/>
    <w:rsid w:val="006441D5"/>
    <w:rsid w:val="0064765C"/>
    <w:rsid w:val="00647BDC"/>
    <w:rsid w:val="00656B4D"/>
    <w:rsid w:val="00670B62"/>
    <w:rsid w:val="00674C80"/>
    <w:rsid w:val="00674ED9"/>
    <w:rsid w:val="00680261"/>
    <w:rsid w:val="00692887"/>
    <w:rsid w:val="00695134"/>
    <w:rsid w:val="006A248B"/>
    <w:rsid w:val="006A5CFD"/>
    <w:rsid w:val="006A5FBC"/>
    <w:rsid w:val="006A6EE2"/>
    <w:rsid w:val="006B2310"/>
    <w:rsid w:val="006C00A0"/>
    <w:rsid w:val="006C075D"/>
    <w:rsid w:val="006C0BCB"/>
    <w:rsid w:val="006C698B"/>
    <w:rsid w:val="006D1E14"/>
    <w:rsid w:val="006E658B"/>
    <w:rsid w:val="006E7920"/>
    <w:rsid w:val="006F12EA"/>
    <w:rsid w:val="006F3B0C"/>
    <w:rsid w:val="006F6C78"/>
    <w:rsid w:val="006F7608"/>
    <w:rsid w:val="0070035D"/>
    <w:rsid w:val="00704911"/>
    <w:rsid w:val="00706B4D"/>
    <w:rsid w:val="007144E9"/>
    <w:rsid w:val="0072528C"/>
    <w:rsid w:val="00725522"/>
    <w:rsid w:val="00733D83"/>
    <w:rsid w:val="00733E3D"/>
    <w:rsid w:val="00736E8E"/>
    <w:rsid w:val="0073757B"/>
    <w:rsid w:val="00737CAB"/>
    <w:rsid w:val="00741AA3"/>
    <w:rsid w:val="007422CB"/>
    <w:rsid w:val="007423A2"/>
    <w:rsid w:val="00742831"/>
    <w:rsid w:val="00752B5C"/>
    <w:rsid w:val="0076185B"/>
    <w:rsid w:val="00764C6E"/>
    <w:rsid w:val="00764C88"/>
    <w:rsid w:val="0076787F"/>
    <w:rsid w:val="00770DB3"/>
    <w:rsid w:val="00776E4E"/>
    <w:rsid w:val="00780041"/>
    <w:rsid w:val="0078386F"/>
    <w:rsid w:val="0078525A"/>
    <w:rsid w:val="00792EBE"/>
    <w:rsid w:val="007A1E2D"/>
    <w:rsid w:val="007A7B63"/>
    <w:rsid w:val="007B4324"/>
    <w:rsid w:val="007B53C0"/>
    <w:rsid w:val="007C2078"/>
    <w:rsid w:val="007D1814"/>
    <w:rsid w:val="007D1D4F"/>
    <w:rsid w:val="007D2174"/>
    <w:rsid w:val="007D416E"/>
    <w:rsid w:val="007D4688"/>
    <w:rsid w:val="007D7680"/>
    <w:rsid w:val="007E1E94"/>
    <w:rsid w:val="007E32F1"/>
    <w:rsid w:val="007F0508"/>
    <w:rsid w:val="007F225E"/>
    <w:rsid w:val="007F46AD"/>
    <w:rsid w:val="007F4737"/>
    <w:rsid w:val="00801E0E"/>
    <w:rsid w:val="00802AA5"/>
    <w:rsid w:val="008119D8"/>
    <w:rsid w:val="00813CF8"/>
    <w:rsid w:val="00822B35"/>
    <w:rsid w:val="0082421A"/>
    <w:rsid w:val="00827020"/>
    <w:rsid w:val="00831103"/>
    <w:rsid w:val="008313CB"/>
    <w:rsid w:val="008334FE"/>
    <w:rsid w:val="00834737"/>
    <w:rsid w:val="00835B1F"/>
    <w:rsid w:val="008367F1"/>
    <w:rsid w:val="00836CA7"/>
    <w:rsid w:val="0083792D"/>
    <w:rsid w:val="0084552B"/>
    <w:rsid w:val="00850015"/>
    <w:rsid w:val="00854B8A"/>
    <w:rsid w:val="00860B25"/>
    <w:rsid w:val="0086102E"/>
    <w:rsid w:val="00861578"/>
    <w:rsid w:val="00862C1A"/>
    <w:rsid w:val="00863EF4"/>
    <w:rsid w:val="00864A29"/>
    <w:rsid w:val="00864E65"/>
    <w:rsid w:val="00867356"/>
    <w:rsid w:val="0087781B"/>
    <w:rsid w:val="00880E34"/>
    <w:rsid w:val="0088130B"/>
    <w:rsid w:val="0088145F"/>
    <w:rsid w:val="0088548E"/>
    <w:rsid w:val="00895383"/>
    <w:rsid w:val="008A276B"/>
    <w:rsid w:val="008A2DDF"/>
    <w:rsid w:val="008A53B3"/>
    <w:rsid w:val="008A5D4D"/>
    <w:rsid w:val="008C7836"/>
    <w:rsid w:val="008D1CC1"/>
    <w:rsid w:val="008D4722"/>
    <w:rsid w:val="008E0791"/>
    <w:rsid w:val="008F0B91"/>
    <w:rsid w:val="00901117"/>
    <w:rsid w:val="00901D7F"/>
    <w:rsid w:val="009064E5"/>
    <w:rsid w:val="00912D40"/>
    <w:rsid w:val="00913641"/>
    <w:rsid w:val="00920587"/>
    <w:rsid w:val="009223E4"/>
    <w:rsid w:val="0092784D"/>
    <w:rsid w:val="009316CB"/>
    <w:rsid w:val="009318B1"/>
    <w:rsid w:val="00932396"/>
    <w:rsid w:val="00932655"/>
    <w:rsid w:val="0094521B"/>
    <w:rsid w:val="00955C44"/>
    <w:rsid w:val="00956835"/>
    <w:rsid w:val="00961685"/>
    <w:rsid w:val="00962CCB"/>
    <w:rsid w:val="00966E3C"/>
    <w:rsid w:val="00977747"/>
    <w:rsid w:val="00977EEE"/>
    <w:rsid w:val="00981D9C"/>
    <w:rsid w:val="00982CF7"/>
    <w:rsid w:val="0098524E"/>
    <w:rsid w:val="00985513"/>
    <w:rsid w:val="00985B51"/>
    <w:rsid w:val="0098732F"/>
    <w:rsid w:val="009910CA"/>
    <w:rsid w:val="00992834"/>
    <w:rsid w:val="00993B92"/>
    <w:rsid w:val="00996543"/>
    <w:rsid w:val="00997D4A"/>
    <w:rsid w:val="009A10BB"/>
    <w:rsid w:val="009A4BBB"/>
    <w:rsid w:val="009B287D"/>
    <w:rsid w:val="009B5484"/>
    <w:rsid w:val="009B63EB"/>
    <w:rsid w:val="009B7969"/>
    <w:rsid w:val="009C009B"/>
    <w:rsid w:val="009C4092"/>
    <w:rsid w:val="009C62BE"/>
    <w:rsid w:val="009D503D"/>
    <w:rsid w:val="009D6C9D"/>
    <w:rsid w:val="009E3F96"/>
    <w:rsid w:val="009F3A3B"/>
    <w:rsid w:val="00A01125"/>
    <w:rsid w:val="00A01EAE"/>
    <w:rsid w:val="00A02539"/>
    <w:rsid w:val="00A06B69"/>
    <w:rsid w:val="00A12507"/>
    <w:rsid w:val="00A128B3"/>
    <w:rsid w:val="00A12A0F"/>
    <w:rsid w:val="00A143D7"/>
    <w:rsid w:val="00A15A84"/>
    <w:rsid w:val="00A1642D"/>
    <w:rsid w:val="00A16C6F"/>
    <w:rsid w:val="00A17408"/>
    <w:rsid w:val="00A2096C"/>
    <w:rsid w:val="00A2195B"/>
    <w:rsid w:val="00A30B6C"/>
    <w:rsid w:val="00A31736"/>
    <w:rsid w:val="00A42FBD"/>
    <w:rsid w:val="00A45973"/>
    <w:rsid w:val="00A464DD"/>
    <w:rsid w:val="00A47B33"/>
    <w:rsid w:val="00A524B0"/>
    <w:rsid w:val="00A529BB"/>
    <w:rsid w:val="00A57E2B"/>
    <w:rsid w:val="00A616E6"/>
    <w:rsid w:val="00A63C38"/>
    <w:rsid w:val="00A734CD"/>
    <w:rsid w:val="00A743FD"/>
    <w:rsid w:val="00A87012"/>
    <w:rsid w:val="00A872BD"/>
    <w:rsid w:val="00A875FB"/>
    <w:rsid w:val="00A876D2"/>
    <w:rsid w:val="00A959A8"/>
    <w:rsid w:val="00AA4D50"/>
    <w:rsid w:val="00AA57CF"/>
    <w:rsid w:val="00AB141D"/>
    <w:rsid w:val="00AB56FD"/>
    <w:rsid w:val="00AB704A"/>
    <w:rsid w:val="00AB7665"/>
    <w:rsid w:val="00AC164B"/>
    <w:rsid w:val="00AC231F"/>
    <w:rsid w:val="00AC2660"/>
    <w:rsid w:val="00AC3779"/>
    <w:rsid w:val="00AC519A"/>
    <w:rsid w:val="00AC51EC"/>
    <w:rsid w:val="00AC572E"/>
    <w:rsid w:val="00AD0F83"/>
    <w:rsid w:val="00AD44D7"/>
    <w:rsid w:val="00AD569A"/>
    <w:rsid w:val="00AD59F3"/>
    <w:rsid w:val="00AD7699"/>
    <w:rsid w:val="00AE04B2"/>
    <w:rsid w:val="00AE244C"/>
    <w:rsid w:val="00AE246C"/>
    <w:rsid w:val="00AE6D72"/>
    <w:rsid w:val="00AF1860"/>
    <w:rsid w:val="00AF3EEF"/>
    <w:rsid w:val="00AF4568"/>
    <w:rsid w:val="00AF70FE"/>
    <w:rsid w:val="00B043DB"/>
    <w:rsid w:val="00B05AD4"/>
    <w:rsid w:val="00B07019"/>
    <w:rsid w:val="00B119AA"/>
    <w:rsid w:val="00B11E08"/>
    <w:rsid w:val="00B13931"/>
    <w:rsid w:val="00B140DD"/>
    <w:rsid w:val="00B256A2"/>
    <w:rsid w:val="00B40DA7"/>
    <w:rsid w:val="00B41231"/>
    <w:rsid w:val="00B475B7"/>
    <w:rsid w:val="00B4785F"/>
    <w:rsid w:val="00B565F2"/>
    <w:rsid w:val="00B6450D"/>
    <w:rsid w:val="00B64848"/>
    <w:rsid w:val="00B66459"/>
    <w:rsid w:val="00B670DF"/>
    <w:rsid w:val="00B73746"/>
    <w:rsid w:val="00B817C4"/>
    <w:rsid w:val="00B8402C"/>
    <w:rsid w:val="00B86230"/>
    <w:rsid w:val="00B96D78"/>
    <w:rsid w:val="00BA3E34"/>
    <w:rsid w:val="00BA45C7"/>
    <w:rsid w:val="00BA7188"/>
    <w:rsid w:val="00BB310C"/>
    <w:rsid w:val="00BB3FFF"/>
    <w:rsid w:val="00BC3D4B"/>
    <w:rsid w:val="00BC3FE4"/>
    <w:rsid w:val="00BC4086"/>
    <w:rsid w:val="00BD05DB"/>
    <w:rsid w:val="00BD213B"/>
    <w:rsid w:val="00BD7263"/>
    <w:rsid w:val="00BE071E"/>
    <w:rsid w:val="00BE2297"/>
    <w:rsid w:val="00BF06B3"/>
    <w:rsid w:val="00BF0E9F"/>
    <w:rsid w:val="00C033AD"/>
    <w:rsid w:val="00C126C6"/>
    <w:rsid w:val="00C13041"/>
    <w:rsid w:val="00C17120"/>
    <w:rsid w:val="00C35078"/>
    <w:rsid w:val="00C46E08"/>
    <w:rsid w:val="00C51D5D"/>
    <w:rsid w:val="00C53BE7"/>
    <w:rsid w:val="00C5595B"/>
    <w:rsid w:val="00C564E9"/>
    <w:rsid w:val="00C60352"/>
    <w:rsid w:val="00C607D3"/>
    <w:rsid w:val="00C64452"/>
    <w:rsid w:val="00C66DFE"/>
    <w:rsid w:val="00C67566"/>
    <w:rsid w:val="00C71069"/>
    <w:rsid w:val="00C72470"/>
    <w:rsid w:val="00C72603"/>
    <w:rsid w:val="00C76B60"/>
    <w:rsid w:val="00C80A97"/>
    <w:rsid w:val="00C822B8"/>
    <w:rsid w:val="00C827DB"/>
    <w:rsid w:val="00C85BCB"/>
    <w:rsid w:val="00C923BF"/>
    <w:rsid w:val="00C9486E"/>
    <w:rsid w:val="00C9649C"/>
    <w:rsid w:val="00C96B8A"/>
    <w:rsid w:val="00CB1185"/>
    <w:rsid w:val="00CB789F"/>
    <w:rsid w:val="00CC07C0"/>
    <w:rsid w:val="00CC3A93"/>
    <w:rsid w:val="00CC4DBE"/>
    <w:rsid w:val="00CD3C03"/>
    <w:rsid w:val="00CE2484"/>
    <w:rsid w:val="00CE479C"/>
    <w:rsid w:val="00CF01C6"/>
    <w:rsid w:val="00CF6CDA"/>
    <w:rsid w:val="00D02102"/>
    <w:rsid w:val="00D02ACF"/>
    <w:rsid w:val="00D1216F"/>
    <w:rsid w:val="00D130A6"/>
    <w:rsid w:val="00D162A0"/>
    <w:rsid w:val="00D2598E"/>
    <w:rsid w:val="00D2733E"/>
    <w:rsid w:val="00D27C6B"/>
    <w:rsid w:val="00D345E9"/>
    <w:rsid w:val="00D41497"/>
    <w:rsid w:val="00D41A79"/>
    <w:rsid w:val="00D524F9"/>
    <w:rsid w:val="00D52CEF"/>
    <w:rsid w:val="00D56E1F"/>
    <w:rsid w:val="00D62179"/>
    <w:rsid w:val="00D637C2"/>
    <w:rsid w:val="00D742E2"/>
    <w:rsid w:val="00D7490B"/>
    <w:rsid w:val="00D749CC"/>
    <w:rsid w:val="00D81A29"/>
    <w:rsid w:val="00D8625D"/>
    <w:rsid w:val="00D918AA"/>
    <w:rsid w:val="00D95938"/>
    <w:rsid w:val="00D9689C"/>
    <w:rsid w:val="00DB1C6A"/>
    <w:rsid w:val="00DB2C5F"/>
    <w:rsid w:val="00DB349B"/>
    <w:rsid w:val="00DC5C63"/>
    <w:rsid w:val="00DD168E"/>
    <w:rsid w:val="00DD6F55"/>
    <w:rsid w:val="00DD772D"/>
    <w:rsid w:val="00DE55EB"/>
    <w:rsid w:val="00DE6026"/>
    <w:rsid w:val="00DE64B9"/>
    <w:rsid w:val="00DF1969"/>
    <w:rsid w:val="00DF35E0"/>
    <w:rsid w:val="00DF4EDD"/>
    <w:rsid w:val="00DF5258"/>
    <w:rsid w:val="00E044CE"/>
    <w:rsid w:val="00E15C9D"/>
    <w:rsid w:val="00E20CD1"/>
    <w:rsid w:val="00E26E4E"/>
    <w:rsid w:val="00E27FBD"/>
    <w:rsid w:val="00E30A70"/>
    <w:rsid w:val="00E30D54"/>
    <w:rsid w:val="00E32B47"/>
    <w:rsid w:val="00E33A6F"/>
    <w:rsid w:val="00E42183"/>
    <w:rsid w:val="00E46F61"/>
    <w:rsid w:val="00E4757B"/>
    <w:rsid w:val="00E55669"/>
    <w:rsid w:val="00E57FC9"/>
    <w:rsid w:val="00E60134"/>
    <w:rsid w:val="00E635FE"/>
    <w:rsid w:val="00E64828"/>
    <w:rsid w:val="00E67D92"/>
    <w:rsid w:val="00E73231"/>
    <w:rsid w:val="00E7339F"/>
    <w:rsid w:val="00E76532"/>
    <w:rsid w:val="00E76808"/>
    <w:rsid w:val="00E77A21"/>
    <w:rsid w:val="00E824C9"/>
    <w:rsid w:val="00E85A59"/>
    <w:rsid w:val="00E9161E"/>
    <w:rsid w:val="00E96FB2"/>
    <w:rsid w:val="00EA0D2E"/>
    <w:rsid w:val="00EA1B38"/>
    <w:rsid w:val="00EA5ADC"/>
    <w:rsid w:val="00EB2D47"/>
    <w:rsid w:val="00EB4228"/>
    <w:rsid w:val="00EB598F"/>
    <w:rsid w:val="00EB5CEF"/>
    <w:rsid w:val="00EB5F8A"/>
    <w:rsid w:val="00EB68AD"/>
    <w:rsid w:val="00EC43EE"/>
    <w:rsid w:val="00EC5205"/>
    <w:rsid w:val="00EC6C73"/>
    <w:rsid w:val="00ED0225"/>
    <w:rsid w:val="00ED066E"/>
    <w:rsid w:val="00ED3195"/>
    <w:rsid w:val="00ED7040"/>
    <w:rsid w:val="00EE21A4"/>
    <w:rsid w:val="00EE345E"/>
    <w:rsid w:val="00EE50C9"/>
    <w:rsid w:val="00EF26D9"/>
    <w:rsid w:val="00EF3531"/>
    <w:rsid w:val="00F05C03"/>
    <w:rsid w:val="00F0655A"/>
    <w:rsid w:val="00F13AB0"/>
    <w:rsid w:val="00F27159"/>
    <w:rsid w:val="00F32364"/>
    <w:rsid w:val="00F33FE8"/>
    <w:rsid w:val="00F36C7B"/>
    <w:rsid w:val="00F3787C"/>
    <w:rsid w:val="00F413B3"/>
    <w:rsid w:val="00F5118D"/>
    <w:rsid w:val="00F5119F"/>
    <w:rsid w:val="00F5521D"/>
    <w:rsid w:val="00F55EA2"/>
    <w:rsid w:val="00F60477"/>
    <w:rsid w:val="00F61EA6"/>
    <w:rsid w:val="00F62404"/>
    <w:rsid w:val="00F62DF5"/>
    <w:rsid w:val="00F66A71"/>
    <w:rsid w:val="00F71436"/>
    <w:rsid w:val="00F76EE7"/>
    <w:rsid w:val="00F81F16"/>
    <w:rsid w:val="00F91B03"/>
    <w:rsid w:val="00F92CC1"/>
    <w:rsid w:val="00F93D7D"/>
    <w:rsid w:val="00F97C46"/>
    <w:rsid w:val="00FA2976"/>
    <w:rsid w:val="00FA2A5E"/>
    <w:rsid w:val="00FA40B4"/>
    <w:rsid w:val="00FB340A"/>
    <w:rsid w:val="00FC1A83"/>
    <w:rsid w:val="00FC210E"/>
    <w:rsid w:val="00FC4F46"/>
    <w:rsid w:val="00FC637B"/>
    <w:rsid w:val="00FD2E78"/>
    <w:rsid w:val="00FE616B"/>
    <w:rsid w:val="00FF1C58"/>
    <w:rsid w:val="00FF2154"/>
    <w:rsid w:val="00FF2A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FF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D382A"/>
    <w:pPr>
      <w:widowControl/>
    </w:pPr>
    <w:rPr>
      <w:rFonts w:ascii="Times New Roman" w:hAnsi="Times New Roman"/>
      <w:sz w:val="24"/>
    </w:rPr>
  </w:style>
  <w:style w:type="paragraph" w:styleId="Heading1">
    <w:name w:val="heading 1"/>
    <w:basedOn w:val="Normal"/>
    <w:uiPriority w:val="1"/>
    <w:qFormat/>
    <w:pPr>
      <w:ind w:left="840"/>
      <w:outlineLvl w:val="0"/>
    </w:pPr>
    <w:rPr>
      <w:rFonts w:eastAsia="Times New Roman"/>
      <w:b/>
      <w:bCs/>
      <w:szCs w:val="24"/>
    </w:rPr>
  </w:style>
  <w:style w:type="paragraph" w:styleId="Heading2">
    <w:name w:val="heading 2"/>
    <w:basedOn w:val="Normal"/>
    <w:next w:val="Normal"/>
    <w:link w:val="Heading2Char"/>
    <w:uiPriority w:val="9"/>
    <w:semiHidden/>
    <w:unhideWhenUsed/>
    <w:qFormat/>
    <w:rsid w:val="004B0EB3"/>
    <w:pPr>
      <w:keepNext/>
      <w:keepLines/>
      <w:spacing w:before="100" w:beforeAutospacing="1" w:after="100" w:afterAutospacing="1"/>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37"/>
      <w:ind w:left="119" w:firstLine="720"/>
    </w:pPr>
    <w:rPr>
      <w:rFonts w:eastAsia="Times New Roman"/>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ED066E"/>
    <w:rPr>
      <w:sz w:val="16"/>
      <w:szCs w:val="16"/>
    </w:rPr>
  </w:style>
  <w:style w:type="paragraph" w:styleId="CommentText">
    <w:name w:val="annotation text"/>
    <w:basedOn w:val="Normal"/>
    <w:link w:val="CommentTextChar"/>
    <w:unhideWhenUsed/>
    <w:rsid w:val="00ED066E"/>
    <w:rPr>
      <w:sz w:val="20"/>
      <w:szCs w:val="20"/>
    </w:rPr>
  </w:style>
  <w:style w:type="character" w:customStyle="1" w:styleId="CommentTextChar">
    <w:name w:val="Comment Text Char"/>
    <w:basedOn w:val="DefaultParagraphFont"/>
    <w:link w:val="CommentText"/>
    <w:rsid w:val="00ED066E"/>
    <w:rPr>
      <w:sz w:val="20"/>
      <w:szCs w:val="20"/>
    </w:rPr>
  </w:style>
  <w:style w:type="paragraph" w:styleId="CommentSubject">
    <w:name w:val="annotation subject"/>
    <w:basedOn w:val="CommentText"/>
    <w:next w:val="CommentText"/>
    <w:link w:val="CommentSubjectChar"/>
    <w:uiPriority w:val="99"/>
    <w:semiHidden/>
    <w:unhideWhenUsed/>
    <w:rsid w:val="00ED066E"/>
    <w:rPr>
      <w:b/>
      <w:bCs/>
    </w:rPr>
  </w:style>
  <w:style w:type="character" w:customStyle="1" w:styleId="CommentSubjectChar">
    <w:name w:val="Comment Subject Char"/>
    <w:basedOn w:val="CommentTextChar"/>
    <w:link w:val="CommentSubject"/>
    <w:uiPriority w:val="99"/>
    <w:semiHidden/>
    <w:rsid w:val="00ED066E"/>
    <w:rPr>
      <w:b/>
      <w:bCs/>
      <w:sz w:val="20"/>
      <w:szCs w:val="20"/>
    </w:rPr>
  </w:style>
  <w:style w:type="paragraph" w:styleId="BalloonText">
    <w:name w:val="Balloon Text"/>
    <w:basedOn w:val="Normal"/>
    <w:link w:val="BalloonTextChar"/>
    <w:uiPriority w:val="99"/>
    <w:semiHidden/>
    <w:unhideWhenUsed/>
    <w:rsid w:val="00ED0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66E"/>
    <w:rPr>
      <w:rFonts w:ascii="Segoe UI" w:hAnsi="Segoe UI" w:cs="Segoe UI"/>
      <w:sz w:val="18"/>
      <w:szCs w:val="18"/>
    </w:rPr>
  </w:style>
  <w:style w:type="paragraph" w:styleId="Header">
    <w:name w:val="header"/>
    <w:basedOn w:val="Normal"/>
    <w:link w:val="HeaderChar"/>
    <w:uiPriority w:val="99"/>
    <w:unhideWhenUsed/>
    <w:rsid w:val="00EA0D2E"/>
    <w:pPr>
      <w:tabs>
        <w:tab w:val="center" w:pos="4680"/>
        <w:tab w:val="right" w:pos="9360"/>
      </w:tabs>
    </w:pPr>
  </w:style>
  <w:style w:type="character" w:customStyle="1" w:styleId="HeaderChar">
    <w:name w:val="Header Char"/>
    <w:basedOn w:val="DefaultParagraphFont"/>
    <w:link w:val="Header"/>
    <w:uiPriority w:val="99"/>
    <w:rsid w:val="00EA0D2E"/>
  </w:style>
  <w:style w:type="paragraph" w:styleId="Footer">
    <w:name w:val="footer"/>
    <w:basedOn w:val="Normal"/>
    <w:link w:val="FooterChar"/>
    <w:uiPriority w:val="99"/>
    <w:unhideWhenUsed/>
    <w:rsid w:val="00EA0D2E"/>
    <w:pPr>
      <w:tabs>
        <w:tab w:val="center" w:pos="4680"/>
        <w:tab w:val="right" w:pos="9360"/>
      </w:tabs>
    </w:pPr>
  </w:style>
  <w:style w:type="character" w:customStyle="1" w:styleId="FooterChar">
    <w:name w:val="Footer Char"/>
    <w:basedOn w:val="DefaultParagraphFont"/>
    <w:link w:val="Footer"/>
    <w:uiPriority w:val="99"/>
    <w:rsid w:val="00EA0D2E"/>
  </w:style>
  <w:style w:type="paragraph" w:customStyle="1" w:styleId="Definition">
    <w:name w:val="Definition"/>
    <w:basedOn w:val="Normal"/>
    <w:rsid w:val="00F13AB0"/>
    <w:pPr>
      <w:spacing w:after="120"/>
      <w:ind w:left="240" w:hanging="240"/>
    </w:pPr>
    <w:rPr>
      <w:rFonts w:ascii="MIonic" w:eastAsia="Times New Roman" w:hAnsi="MIonic" w:cs="MIonic"/>
      <w:szCs w:val="24"/>
    </w:rPr>
  </w:style>
  <w:style w:type="paragraph" w:customStyle="1" w:styleId="Head-special">
    <w:name w:val="Head - special"/>
    <w:basedOn w:val="Normal"/>
    <w:qFormat/>
    <w:rsid w:val="00F13AB0"/>
    <w:pPr>
      <w:jc w:val="center"/>
    </w:pPr>
    <w:rPr>
      <w:rFonts w:eastAsia="Calibri" w:cs="Times New Roman"/>
      <w:b/>
      <w:bCs/>
      <w:sz w:val="20"/>
      <w:szCs w:val="20"/>
    </w:rPr>
  </w:style>
  <w:style w:type="character" w:styleId="Hyperlink">
    <w:name w:val="Hyperlink"/>
    <w:basedOn w:val="DefaultParagraphFont"/>
    <w:uiPriority w:val="99"/>
    <w:unhideWhenUsed/>
    <w:rsid w:val="00F13AB0"/>
    <w:rPr>
      <w:color w:val="0000FF" w:themeColor="hyperlink"/>
      <w:u w:val="single"/>
    </w:rPr>
  </w:style>
  <w:style w:type="paragraph" w:customStyle="1" w:styleId="Default">
    <w:name w:val="Default"/>
    <w:rsid w:val="00011072"/>
    <w:pPr>
      <w:widowControl/>
      <w:autoSpaceDE w:val="0"/>
      <w:autoSpaceDN w:val="0"/>
      <w:adjustRightInd w:val="0"/>
    </w:pPr>
    <w:rPr>
      <w:rFonts w:ascii="Times New Roman" w:hAnsi="Times New Roman" w:cs="Times New Roman"/>
      <w:color w:val="000000"/>
      <w:sz w:val="24"/>
      <w:szCs w:val="24"/>
    </w:rPr>
  </w:style>
  <w:style w:type="paragraph" w:styleId="FootnoteText">
    <w:name w:val="footnote text"/>
    <w:basedOn w:val="Normal"/>
    <w:link w:val="FootnoteTextChar"/>
    <w:unhideWhenUsed/>
    <w:rsid w:val="00C71069"/>
    <w:rPr>
      <w:sz w:val="20"/>
      <w:szCs w:val="20"/>
    </w:rPr>
  </w:style>
  <w:style w:type="character" w:customStyle="1" w:styleId="FootnoteTextChar">
    <w:name w:val="Footnote Text Char"/>
    <w:basedOn w:val="DefaultParagraphFont"/>
    <w:link w:val="FootnoteText"/>
    <w:uiPriority w:val="99"/>
    <w:semiHidden/>
    <w:rsid w:val="00C71069"/>
    <w:rPr>
      <w:sz w:val="20"/>
      <w:szCs w:val="20"/>
    </w:rPr>
  </w:style>
  <w:style w:type="character" w:styleId="FootnoteReference">
    <w:name w:val="footnote reference"/>
    <w:basedOn w:val="DefaultParagraphFont"/>
    <w:uiPriority w:val="99"/>
    <w:unhideWhenUsed/>
    <w:rsid w:val="00C71069"/>
    <w:rPr>
      <w:vertAlign w:val="superscript"/>
    </w:rPr>
  </w:style>
  <w:style w:type="character" w:customStyle="1" w:styleId="Heading2Char">
    <w:name w:val="Heading 2 Char"/>
    <w:basedOn w:val="DefaultParagraphFont"/>
    <w:link w:val="Heading2"/>
    <w:uiPriority w:val="9"/>
    <w:semiHidden/>
    <w:rsid w:val="004B0EB3"/>
    <w:rPr>
      <w:rFonts w:ascii="Times New Roman" w:eastAsiaTheme="majorEastAsia" w:hAnsi="Times New Roman" w:cstheme="majorBidi"/>
      <w:b/>
      <w:sz w:val="24"/>
      <w:szCs w:val="26"/>
    </w:rPr>
  </w:style>
  <w:style w:type="paragraph" w:customStyle="1" w:styleId="Para">
    <w:name w:val="Para"/>
    <w:basedOn w:val="Normal"/>
    <w:qFormat/>
    <w:rsid w:val="004B0EB3"/>
    <w:pPr>
      <w:spacing w:line="360" w:lineRule="auto"/>
      <w:ind w:firstLine="720"/>
    </w:pPr>
    <w:rPr>
      <w:rFonts w:eastAsia="Calibri" w:cs="Times New Roman"/>
      <w:szCs w:val="24"/>
    </w:rPr>
  </w:style>
  <w:style w:type="character" w:customStyle="1" w:styleId="Underline">
    <w:name w:val="Underline"/>
    <w:basedOn w:val="DefaultParagraphFont"/>
    <w:rsid w:val="004B0EB3"/>
    <w:rPr>
      <w:color w:val="auto"/>
      <w:u w:val="single"/>
    </w:rPr>
  </w:style>
  <w:style w:type="paragraph" w:customStyle="1" w:styleId="TableTextCenter12pt">
    <w:name w:val="Table Text Center + 12 pt"/>
    <w:basedOn w:val="Normal"/>
    <w:rsid w:val="004B0EB3"/>
    <w:pPr>
      <w:jc w:val="center"/>
    </w:pPr>
    <w:rPr>
      <w:rFonts w:eastAsia="Times New Roman" w:cs="Times New Roman"/>
      <w:szCs w:val="24"/>
    </w:rPr>
  </w:style>
  <w:style w:type="paragraph" w:customStyle="1" w:styleId="TableTextL12pt">
    <w:name w:val="Table Text L 12 pt"/>
    <w:basedOn w:val="Normal"/>
    <w:rsid w:val="003D382A"/>
    <w:pPr>
      <w:spacing w:before="20" w:after="20"/>
    </w:pPr>
    <w:rPr>
      <w:rFonts w:eastAsia="Times New Roman" w:cs="Times New Roman"/>
      <w:szCs w:val="24"/>
    </w:rPr>
  </w:style>
  <w:style w:type="paragraph" w:customStyle="1" w:styleId="TableTextL12ptIndent">
    <w:name w:val="Table Text L 12 pt + Indent"/>
    <w:basedOn w:val="TableTextL12pt"/>
    <w:rsid w:val="00C53BE7"/>
    <w:pPr>
      <w:keepNext/>
      <w:ind w:left="288"/>
    </w:pPr>
  </w:style>
  <w:style w:type="paragraph" w:customStyle="1" w:styleId="DocumentTitle">
    <w:name w:val="Document Title"/>
    <w:basedOn w:val="Normal"/>
    <w:rsid w:val="006C075D"/>
    <w:pPr>
      <w:spacing w:after="360"/>
      <w:jc w:val="center"/>
    </w:pPr>
    <w:rPr>
      <w:rFonts w:eastAsia="Times New Roman" w:cs="Times New Roman"/>
      <w:b/>
      <w:bCs/>
      <w:szCs w:val="20"/>
    </w:rPr>
  </w:style>
  <w:style w:type="character" w:customStyle="1" w:styleId="BodyTextChar">
    <w:name w:val="Body Text Char"/>
    <w:basedOn w:val="DefaultParagraphFont"/>
    <w:link w:val="BodyText"/>
    <w:uiPriority w:val="1"/>
    <w:rsid w:val="006C075D"/>
    <w:rPr>
      <w:rFonts w:ascii="Times New Roman" w:eastAsia="Times New Roman" w:hAnsi="Times New Roman"/>
      <w:sz w:val="24"/>
      <w:szCs w:val="24"/>
    </w:rPr>
  </w:style>
  <w:style w:type="paragraph" w:customStyle="1" w:styleId="Centered">
    <w:name w:val="Centered"/>
    <w:basedOn w:val="Normal"/>
    <w:rsid w:val="006C075D"/>
    <w:pPr>
      <w:jc w:val="center"/>
    </w:pPr>
    <w:rPr>
      <w:rFonts w:eastAsia="Times New Roman" w:cs="Times New Roman"/>
      <w:szCs w:val="20"/>
    </w:rPr>
  </w:style>
  <w:style w:type="paragraph" w:customStyle="1" w:styleId="HeadingLevel1">
    <w:name w:val="Heading Level 1"/>
    <w:basedOn w:val="Normal"/>
    <w:uiPriority w:val="1"/>
    <w:rsid w:val="00134F50"/>
    <w:pPr>
      <w:keepNext/>
      <w:spacing w:before="240" w:after="60"/>
      <w:outlineLvl w:val="0"/>
    </w:pPr>
    <w:rPr>
      <w:rFonts w:ascii="Times New Roman Bold" w:hAnsi="Times New Roman Bold"/>
      <w:b/>
      <w:color w:val="000000"/>
      <w14:textFill>
        <w14:solidFill>
          <w14:srgbClr w14:val="000000">
            <w14:lumMod w14:val="60000"/>
            <w14:lumOff w14:val="40000"/>
          </w14:srgbClr>
        </w14:solidFill>
      </w14:textFill>
    </w:rPr>
  </w:style>
  <w:style w:type="paragraph" w:customStyle="1" w:styleId="HeadingLevel2">
    <w:name w:val="Heading Level 2"/>
    <w:basedOn w:val="HeadingLevel1"/>
    <w:uiPriority w:val="1"/>
    <w:rsid w:val="00134F50"/>
    <w:pPr>
      <w:spacing w:before="120"/>
      <w:ind w:left="720" w:hanging="720"/>
      <w:outlineLvl w:val="1"/>
    </w:pPr>
  </w:style>
  <w:style w:type="paragraph" w:customStyle="1" w:styleId="HeadingLevel3">
    <w:name w:val="Heading Level 3"/>
    <w:basedOn w:val="HeadingLevel2"/>
    <w:uiPriority w:val="1"/>
    <w:rsid w:val="00134F50"/>
    <w:pPr>
      <w:spacing w:after="120"/>
      <w:outlineLvl w:val="2"/>
    </w:pPr>
    <w:rPr>
      <w:rFonts w:ascii="Times New Roman" w:hAnsi="Times New Roman"/>
      <w:b w:val="0"/>
      <w:i/>
    </w:rPr>
  </w:style>
  <w:style w:type="paragraph" w:customStyle="1" w:styleId="Paragraph">
    <w:name w:val="Paragraph"/>
    <w:basedOn w:val="Normal"/>
    <w:rsid w:val="00134F50"/>
    <w:pPr>
      <w:spacing w:line="360" w:lineRule="auto"/>
      <w:ind w:firstLine="720"/>
    </w:pPr>
    <w:rPr>
      <w:rFonts w:eastAsia="Times New Roman" w:cs="Times New Roman"/>
      <w:szCs w:val="20"/>
    </w:rPr>
  </w:style>
  <w:style w:type="paragraph" w:styleId="ListBullet2">
    <w:name w:val="List Bullet 2"/>
    <w:basedOn w:val="Normal"/>
    <w:uiPriority w:val="99"/>
    <w:unhideWhenUsed/>
    <w:rsid w:val="00600F02"/>
    <w:pPr>
      <w:numPr>
        <w:numId w:val="19"/>
      </w:numPr>
      <w:spacing w:after="240"/>
      <w:contextualSpacing/>
    </w:pPr>
  </w:style>
  <w:style w:type="paragraph" w:styleId="ListNumber3">
    <w:name w:val="List Number 3"/>
    <w:basedOn w:val="Normal"/>
    <w:uiPriority w:val="99"/>
    <w:unhideWhenUsed/>
    <w:rsid w:val="00A02539"/>
    <w:pPr>
      <w:numPr>
        <w:numId w:val="25"/>
      </w:numPr>
      <w:spacing w:after="240"/>
      <w:contextualSpacing/>
    </w:pPr>
  </w:style>
  <w:style w:type="paragraph" w:customStyle="1" w:styleId="TableHeading-Burden">
    <w:name w:val="Table Heading - Burden"/>
    <w:basedOn w:val="Normal"/>
    <w:rsid w:val="0076787F"/>
    <w:pPr>
      <w:jc w:val="center"/>
    </w:pPr>
    <w:rPr>
      <w:rFonts w:eastAsia="Times New Roman" w:cs="Times New Roman"/>
      <w:b/>
      <w:bCs/>
      <w:sz w:val="16"/>
      <w:szCs w:val="20"/>
    </w:rPr>
  </w:style>
  <w:style w:type="character" w:customStyle="1" w:styleId="Superscript">
    <w:name w:val="Superscript"/>
    <w:basedOn w:val="DefaultParagraphFont"/>
    <w:uiPriority w:val="1"/>
    <w:rsid w:val="00831103"/>
    <w:rPr>
      <w:vertAlign w:val="superscript"/>
    </w:rPr>
  </w:style>
  <w:style w:type="paragraph" w:customStyle="1" w:styleId="TableTextLeft-Burden">
    <w:name w:val="Table Text Left - Burden"/>
    <w:basedOn w:val="Normal"/>
    <w:uiPriority w:val="1"/>
    <w:rsid w:val="005E555F"/>
    <w:pPr>
      <w:spacing w:before="30" w:after="30"/>
    </w:pPr>
    <w:rPr>
      <w:sz w:val="16"/>
      <w:szCs w:val="16"/>
    </w:rPr>
  </w:style>
  <w:style w:type="paragraph" w:customStyle="1" w:styleId="TableTextRight-Burden">
    <w:name w:val="Table Text Right - Burden"/>
    <w:basedOn w:val="TableTextLeft-Burden"/>
    <w:rsid w:val="00741AA3"/>
    <w:pPr>
      <w:jc w:val="right"/>
    </w:pPr>
    <w:rPr>
      <w:rFonts w:eastAsia="Times New Roman" w:cs="Times New Roman"/>
      <w:szCs w:val="20"/>
    </w:rPr>
  </w:style>
  <w:style w:type="paragraph" w:customStyle="1" w:styleId="TableTextCenter-Burden">
    <w:name w:val="Table Text Center - Burden"/>
    <w:basedOn w:val="TableTextLeft-Burden"/>
    <w:rsid w:val="00741AA3"/>
    <w:pPr>
      <w:jc w:val="center"/>
    </w:pPr>
    <w:rPr>
      <w:rFonts w:eastAsia="Times New Roman" w:cs="Times New Roman"/>
      <w:szCs w:val="20"/>
    </w:rPr>
  </w:style>
  <w:style w:type="paragraph" w:customStyle="1" w:styleId="TableTextIndent1-Burden">
    <w:name w:val="Table Text Indent 1 - Burden"/>
    <w:basedOn w:val="TableTextLeft-Burden"/>
    <w:rsid w:val="00CC4DBE"/>
    <w:pPr>
      <w:ind w:left="216"/>
    </w:pPr>
    <w:rPr>
      <w:rFonts w:eastAsia="Times New Roman" w:cs="Times New Roman"/>
      <w:szCs w:val="20"/>
    </w:rPr>
  </w:style>
  <w:style w:type="paragraph" w:customStyle="1" w:styleId="TableTextIndent2-Burden">
    <w:name w:val="Table Text Indent 2 - Burden"/>
    <w:basedOn w:val="TableTextIndent1-Burden"/>
    <w:rsid w:val="00CC4DBE"/>
    <w:pPr>
      <w:ind w:left="432"/>
    </w:pPr>
  </w:style>
  <w:style w:type="paragraph" w:customStyle="1" w:styleId="TableFootnote-Burden">
    <w:name w:val="Table Footnote - Burden"/>
    <w:basedOn w:val="Normal"/>
    <w:uiPriority w:val="1"/>
    <w:rsid w:val="00C17120"/>
    <w:pPr>
      <w:spacing w:before="60"/>
      <w:ind w:left="187" w:hanging="187"/>
    </w:pPr>
    <w:rPr>
      <w:sz w:val="16"/>
    </w:rPr>
  </w:style>
  <w:style w:type="character" w:customStyle="1" w:styleId="Bold">
    <w:name w:val="Bold"/>
    <w:basedOn w:val="DefaultParagraphFont"/>
    <w:uiPriority w:val="1"/>
    <w:rsid w:val="00383626"/>
    <w:rPr>
      <w:b/>
    </w:rPr>
  </w:style>
  <w:style w:type="paragraph" w:styleId="Revision">
    <w:name w:val="Revision"/>
    <w:hidden/>
    <w:uiPriority w:val="99"/>
    <w:semiHidden/>
    <w:rsid w:val="00383626"/>
    <w:pPr>
      <w:widowControl/>
    </w:pPr>
    <w:rPr>
      <w:rFonts w:ascii="Times New Roman" w:hAnsi="Times New Roman"/>
      <w:sz w:val="24"/>
    </w:rPr>
  </w:style>
  <w:style w:type="paragraph" w:customStyle="1" w:styleId="TableHeading">
    <w:name w:val="Table Heading"/>
    <w:basedOn w:val="Normal"/>
    <w:rsid w:val="00647BDC"/>
    <w:pPr>
      <w:spacing w:before="40" w:after="40"/>
    </w:pPr>
    <w:rPr>
      <w:b/>
      <w:sz w:val="20"/>
    </w:rPr>
  </w:style>
  <w:style w:type="paragraph" w:customStyle="1" w:styleId="TableTextLeft">
    <w:name w:val="Table Text Left"/>
    <w:basedOn w:val="Normal"/>
    <w:rsid w:val="00647BDC"/>
    <w:pPr>
      <w:spacing w:before="40" w:after="40"/>
    </w:pPr>
    <w:rPr>
      <w:sz w:val="20"/>
    </w:rPr>
  </w:style>
  <w:style w:type="paragraph" w:customStyle="1" w:styleId="TableTextCentered">
    <w:name w:val="Table Text Centered"/>
    <w:basedOn w:val="TableTextLeft"/>
    <w:rsid w:val="00647BDC"/>
    <w:pPr>
      <w:jc w:val="center"/>
    </w:pPr>
    <w:rPr>
      <w:rFonts w:eastAsia="Times New Roman" w:cs="Times New Roman"/>
      <w:szCs w:val="20"/>
    </w:rPr>
  </w:style>
  <w:style w:type="paragraph" w:customStyle="1" w:styleId="AfterTable">
    <w:name w:val="After Table"/>
    <w:basedOn w:val="Normal"/>
    <w:rsid w:val="00647BDC"/>
    <w:pPr>
      <w:spacing w:after="360"/>
    </w:pPr>
    <w:rPr>
      <w:rFonts w:eastAsia="Times New Roman" w:cs="Times New Roman"/>
      <w:szCs w:val="20"/>
    </w:rPr>
  </w:style>
  <w:style w:type="paragraph" w:customStyle="1" w:styleId="TableTitle">
    <w:name w:val="Table Title"/>
    <w:basedOn w:val="Normal"/>
    <w:rsid w:val="005E555F"/>
    <w:pPr>
      <w:keepNext/>
      <w:spacing w:before="360" w:after="120"/>
      <w:jc w:val="center"/>
      <w:outlineLvl w:val="3"/>
    </w:pPr>
    <w:rPr>
      <w:rFonts w:eastAsia="Times New Roman" w:cs="Times New Roman"/>
      <w:b/>
      <w:bCs/>
      <w:szCs w:val="20"/>
    </w:rPr>
  </w:style>
  <w:style w:type="character" w:customStyle="1" w:styleId="Italic">
    <w:name w:val="Italic"/>
    <w:basedOn w:val="DefaultParagraphFont"/>
    <w:rsid w:val="00647BDC"/>
    <w:rPr>
      <w:i/>
      <w:iCs/>
    </w:rPr>
  </w:style>
  <w:style w:type="paragraph" w:styleId="ListNumber2">
    <w:name w:val="List Number 2"/>
    <w:basedOn w:val="Normal"/>
    <w:uiPriority w:val="99"/>
    <w:unhideWhenUsed/>
    <w:rsid w:val="00961685"/>
    <w:pPr>
      <w:numPr>
        <w:numId w:val="24"/>
      </w:numPr>
      <w:spacing w:after="240"/>
      <w:contextualSpacing/>
    </w:pPr>
  </w:style>
  <w:style w:type="paragraph" w:customStyle="1" w:styleId="BlockQuote">
    <w:name w:val="Block Quote"/>
    <w:basedOn w:val="BodyText"/>
    <w:rsid w:val="00961685"/>
    <w:pPr>
      <w:spacing w:before="0" w:after="240"/>
      <w:ind w:left="720" w:right="720" w:firstLine="0"/>
    </w:pPr>
  </w:style>
  <w:style w:type="paragraph" w:customStyle="1" w:styleId="SectionA">
    <w:name w:val="Section   A"/>
    <w:basedOn w:val="Normal"/>
    <w:uiPriority w:val="1"/>
    <w:rsid w:val="00430471"/>
    <w:pPr>
      <w:keepNext/>
      <w:spacing w:before="240" w:after="60"/>
      <w:outlineLvl w:val="0"/>
    </w:pPr>
    <w:rPr>
      <w:b/>
    </w:rPr>
  </w:style>
  <w:style w:type="paragraph" w:customStyle="1" w:styleId="Section1">
    <w:name w:val="Section  1"/>
    <w:basedOn w:val="SectionA"/>
    <w:rsid w:val="00430471"/>
    <w:pPr>
      <w:spacing w:before="120" w:after="120"/>
      <w:outlineLvl w:val="1"/>
    </w:pPr>
    <w:rPr>
      <w:rFonts w:eastAsia="Times New Roman" w:cs="Times New Roman"/>
      <w:bCs/>
      <w:szCs w:val="20"/>
    </w:rPr>
  </w:style>
  <w:style w:type="paragraph" w:customStyle="1" w:styleId="Sectiona0">
    <w:name w:val="Section (a)"/>
    <w:basedOn w:val="Section1"/>
    <w:rsid w:val="00430471"/>
    <w:pPr>
      <w:ind w:left="720" w:hanging="720"/>
      <w:outlineLvl w:val="2"/>
    </w:pPr>
    <w:rPr>
      <w:b w:val="0"/>
      <w:bCs w:val="0"/>
      <w:i/>
      <w:iCs/>
    </w:rPr>
  </w:style>
  <w:style w:type="paragraph" w:styleId="Caption">
    <w:name w:val="caption"/>
    <w:basedOn w:val="Normal"/>
    <w:next w:val="Normal"/>
    <w:qFormat/>
    <w:rsid w:val="00BC3FE4"/>
    <w:rPr>
      <w:rFonts w:eastAsia="Times New Roman" w:cs="Times New Roman"/>
      <w:b/>
      <w:bCs/>
      <w:sz w:val="20"/>
      <w:szCs w:val="24"/>
    </w:rPr>
  </w:style>
  <w:style w:type="paragraph" w:customStyle="1" w:styleId="TableTextL10pt">
    <w:name w:val="Table Text L 10 pt"/>
    <w:basedOn w:val="Normal"/>
    <w:rsid w:val="00BC3FE4"/>
    <w:rPr>
      <w:rFonts w:eastAsia="Times New Roman" w:cs="Times New Roman"/>
      <w:sz w:val="20"/>
      <w:szCs w:val="24"/>
    </w:rPr>
  </w:style>
  <w:style w:type="paragraph" w:customStyle="1" w:styleId="TableHeadingCenter10pt">
    <w:name w:val="Table Heading Center + 10 pt"/>
    <w:basedOn w:val="Normal"/>
    <w:rsid w:val="00BC3FE4"/>
    <w:pPr>
      <w:keepNext/>
      <w:jc w:val="center"/>
    </w:pPr>
    <w:rPr>
      <w:rFonts w:eastAsia="Times New Roman" w:cs="Times New Roman"/>
      <w:b/>
      <w:sz w:val="20"/>
      <w:szCs w:val="24"/>
    </w:rPr>
  </w:style>
  <w:style w:type="paragraph" w:customStyle="1" w:styleId="TableHeadingLeft10pt">
    <w:name w:val="Table Heading Left + 10 pt"/>
    <w:basedOn w:val="TableHeadingCenter10pt"/>
    <w:rsid w:val="00BC3FE4"/>
    <w:pPr>
      <w:jc w:val="left"/>
    </w:pPr>
  </w:style>
  <w:style w:type="paragraph" w:customStyle="1" w:styleId="TableFootnote10pt">
    <w:name w:val="Table Footnote + 10 pt"/>
    <w:basedOn w:val="Normal"/>
    <w:rsid w:val="00BC3FE4"/>
    <w:pPr>
      <w:spacing w:before="60"/>
      <w:ind w:left="288" w:hanging="288"/>
    </w:pPr>
    <w:rPr>
      <w:rFonts w:eastAsia="Times New Roman" w:cs="Times New Roman"/>
      <w:sz w:val="20"/>
      <w:szCs w:val="24"/>
    </w:rPr>
  </w:style>
  <w:style w:type="paragraph" w:customStyle="1" w:styleId="TableTextCenter10pt">
    <w:name w:val="Table Text Center + 10 pt"/>
    <w:basedOn w:val="TableTextCenter12pt"/>
    <w:rsid w:val="00BC3FE4"/>
    <w:rPr>
      <w:sz w:val="20"/>
    </w:rPr>
  </w:style>
  <w:style w:type="paragraph" w:customStyle="1" w:styleId="TableTextL10ptIndent">
    <w:name w:val="Table Text L 10 pt + Indent"/>
    <w:basedOn w:val="TableTextL12ptIndent"/>
    <w:rsid w:val="00BC3FE4"/>
    <w:rPr>
      <w:sz w:val="20"/>
    </w:rPr>
  </w:style>
  <w:style w:type="paragraph" w:customStyle="1" w:styleId="TableTitleNewPage">
    <w:name w:val="Table Title + New Page"/>
    <w:basedOn w:val="TableTitle"/>
    <w:rsid w:val="00966E3C"/>
    <w:pPr>
      <w:spacing w:before="0"/>
    </w:pPr>
  </w:style>
  <w:style w:type="paragraph" w:customStyle="1" w:styleId="Bullet1-ss">
    <w:name w:val="Bullet 1 - ss"/>
    <w:basedOn w:val="Normal"/>
    <w:rsid w:val="00C53BE7"/>
    <w:pPr>
      <w:numPr>
        <w:numId w:val="30"/>
      </w:numPr>
    </w:pPr>
    <w:rPr>
      <w:rFonts w:eastAsia="Times New Roman" w:cs="Times New Roman"/>
      <w:szCs w:val="24"/>
    </w:rPr>
  </w:style>
  <w:style w:type="character" w:styleId="FollowedHyperlink">
    <w:name w:val="FollowedHyperlink"/>
    <w:basedOn w:val="DefaultParagraphFont"/>
    <w:uiPriority w:val="99"/>
    <w:semiHidden/>
    <w:unhideWhenUsed/>
    <w:rsid w:val="00351E7E"/>
    <w:rPr>
      <w:color w:val="800080" w:themeColor="followedHyperlink"/>
      <w:u w:val="single"/>
    </w:rPr>
  </w:style>
  <w:style w:type="paragraph" w:customStyle="1" w:styleId="TableTextIndent3-Burden">
    <w:name w:val="Table Text Indent 3 - Burden"/>
    <w:basedOn w:val="TableTextIndent2-Burden"/>
    <w:rsid w:val="00CC4DBE"/>
    <w:pPr>
      <w:ind w:left="648"/>
    </w:pPr>
  </w:style>
  <w:style w:type="character" w:customStyle="1" w:styleId="BoldItalic">
    <w:name w:val="Bold + Italic"/>
    <w:basedOn w:val="DefaultParagraphFont"/>
    <w:rsid w:val="00AF3EEF"/>
    <w:rPr>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D382A"/>
    <w:pPr>
      <w:widowControl/>
    </w:pPr>
    <w:rPr>
      <w:rFonts w:ascii="Times New Roman" w:hAnsi="Times New Roman"/>
      <w:sz w:val="24"/>
    </w:rPr>
  </w:style>
  <w:style w:type="paragraph" w:styleId="Heading1">
    <w:name w:val="heading 1"/>
    <w:basedOn w:val="Normal"/>
    <w:uiPriority w:val="1"/>
    <w:qFormat/>
    <w:pPr>
      <w:ind w:left="840"/>
      <w:outlineLvl w:val="0"/>
    </w:pPr>
    <w:rPr>
      <w:rFonts w:eastAsia="Times New Roman"/>
      <w:b/>
      <w:bCs/>
      <w:szCs w:val="24"/>
    </w:rPr>
  </w:style>
  <w:style w:type="paragraph" w:styleId="Heading2">
    <w:name w:val="heading 2"/>
    <w:basedOn w:val="Normal"/>
    <w:next w:val="Normal"/>
    <w:link w:val="Heading2Char"/>
    <w:uiPriority w:val="9"/>
    <w:semiHidden/>
    <w:unhideWhenUsed/>
    <w:qFormat/>
    <w:rsid w:val="004B0EB3"/>
    <w:pPr>
      <w:keepNext/>
      <w:keepLines/>
      <w:spacing w:before="100" w:beforeAutospacing="1" w:after="100" w:afterAutospacing="1"/>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37"/>
      <w:ind w:left="119" w:firstLine="720"/>
    </w:pPr>
    <w:rPr>
      <w:rFonts w:eastAsia="Times New Roman"/>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ED066E"/>
    <w:rPr>
      <w:sz w:val="16"/>
      <w:szCs w:val="16"/>
    </w:rPr>
  </w:style>
  <w:style w:type="paragraph" w:styleId="CommentText">
    <w:name w:val="annotation text"/>
    <w:basedOn w:val="Normal"/>
    <w:link w:val="CommentTextChar"/>
    <w:unhideWhenUsed/>
    <w:rsid w:val="00ED066E"/>
    <w:rPr>
      <w:sz w:val="20"/>
      <w:szCs w:val="20"/>
    </w:rPr>
  </w:style>
  <w:style w:type="character" w:customStyle="1" w:styleId="CommentTextChar">
    <w:name w:val="Comment Text Char"/>
    <w:basedOn w:val="DefaultParagraphFont"/>
    <w:link w:val="CommentText"/>
    <w:rsid w:val="00ED066E"/>
    <w:rPr>
      <w:sz w:val="20"/>
      <w:szCs w:val="20"/>
    </w:rPr>
  </w:style>
  <w:style w:type="paragraph" w:styleId="CommentSubject">
    <w:name w:val="annotation subject"/>
    <w:basedOn w:val="CommentText"/>
    <w:next w:val="CommentText"/>
    <w:link w:val="CommentSubjectChar"/>
    <w:uiPriority w:val="99"/>
    <w:semiHidden/>
    <w:unhideWhenUsed/>
    <w:rsid w:val="00ED066E"/>
    <w:rPr>
      <w:b/>
      <w:bCs/>
    </w:rPr>
  </w:style>
  <w:style w:type="character" w:customStyle="1" w:styleId="CommentSubjectChar">
    <w:name w:val="Comment Subject Char"/>
    <w:basedOn w:val="CommentTextChar"/>
    <w:link w:val="CommentSubject"/>
    <w:uiPriority w:val="99"/>
    <w:semiHidden/>
    <w:rsid w:val="00ED066E"/>
    <w:rPr>
      <w:b/>
      <w:bCs/>
      <w:sz w:val="20"/>
      <w:szCs w:val="20"/>
    </w:rPr>
  </w:style>
  <w:style w:type="paragraph" w:styleId="BalloonText">
    <w:name w:val="Balloon Text"/>
    <w:basedOn w:val="Normal"/>
    <w:link w:val="BalloonTextChar"/>
    <w:uiPriority w:val="99"/>
    <w:semiHidden/>
    <w:unhideWhenUsed/>
    <w:rsid w:val="00ED0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66E"/>
    <w:rPr>
      <w:rFonts w:ascii="Segoe UI" w:hAnsi="Segoe UI" w:cs="Segoe UI"/>
      <w:sz w:val="18"/>
      <w:szCs w:val="18"/>
    </w:rPr>
  </w:style>
  <w:style w:type="paragraph" w:styleId="Header">
    <w:name w:val="header"/>
    <w:basedOn w:val="Normal"/>
    <w:link w:val="HeaderChar"/>
    <w:uiPriority w:val="99"/>
    <w:unhideWhenUsed/>
    <w:rsid w:val="00EA0D2E"/>
    <w:pPr>
      <w:tabs>
        <w:tab w:val="center" w:pos="4680"/>
        <w:tab w:val="right" w:pos="9360"/>
      </w:tabs>
    </w:pPr>
  </w:style>
  <w:style w:type="character" w:customStyle="1" w:styleId="HeaderChar">
    <w:name w:val="Header Char"/>
    <w:basedOn w:val="DefaultParagraphFont"/>
    <w:link w:val="Header"/>
    <w:uiPriority w:val="99"/>
    <w:rsid w:val="00EA0D2E"/>
  </w:style>
  <w:style w:type="paragraph" w:styleId="Footer">
    <w:name w:val="footer"/>
    <w:basedOn w:val="Normal"/>
    <w:link w:val="FooterChar"/>
    <w:uiPriority w:val="99"/>
    <w:unhideWhenUsed/>
    <w:rsid w:val="00EA0D2E"/>
    <w:pPr>
      <w:tabs>
        <w:tab w:val="center" w:pos="4680"/>
        <w:tab w:val="right" w:pos="9360"/>
      </w:tabs>
    </w:pPr>
  </w:style>
  <w:style w:type="character" w:customStyle="1" w:styleId="FooterChar">
    <w:name w:val="Footer Char"/>
    <w:basedOn w:val="DefaultParagraphFont"/>
    <w:link w:val="Footer"/>
    <w:uiPriority w:val="99"/>
    <w:rsid w:val="00EA0D2E"/>
  </w:style>
  <w:style w:type="paragraph" w:customStyle="1" w:styleId="Definition">
    <w:name w:val="Definition"/>
    <w:basedOn w:val="Normal"/>
    <w:rsid w:val="00F13AB0"/>
    <w:pPr>
      <w:spacing w:after="120"/>
      <w:ind w:left="240" w:hanging="240"/>
    </w:pPr>
    <w:rPr>
      <w:rFonts w:ascii="MIonic" w:eastAsia="Times New Roman" w:hAnsi="MIonic" w:cs="MIonic"/>
      <w:szCs w:val="24"/>
    </w:rPr>
  </w:style>
  <w:style w:type="paragraph" w:customStyle="1" w:styleId="Head-special">
    <w:name w:val="Head - special"/>
    <w:basedOn w:val="Normal"/>
    <w:qFormat/>
    <w:rsid w:val="00F13AB0"/>
    <w:pPr>
      <w:jc w:val="center"/>
    </w:pPr>
    <w:rPr>
      <w:rFonts w:eastAsia="Calibri" w:cs="Times New Roman"/>
      <w:b/>
      <w:bCs/>
      <w:sz w:val="20"/>
      <w:szCs w:val="20"/>
    </w:rPr>
  </w:style>
  <w:style w:type="character" w:styleId="Hyperlink">
    <w:name w:val="Hyperlink"/>
    <w:basedOn w:val="DefaultParagraphFont"/>
    <w:uiPriority w:val="99"/>
    <w:unhideWhenUsed/>
    <w:rsid w:val="00F13AB0"/>
    <w:rPr>
      <w:color w:val="0000FF" w:themeColor="hyperlink"/>
      <w:u w:val="single"/>
    </w:rPr>
  </w:style>
  <w:style w:type="paragraph" w:customStyle="1" w:styleId="Default">
    <w:name w:val="Default"/>
    <w:rsid w:val="00011072"/>
    <w:pPr>
      <w:widowControl/>
      <w:autoSpaceDE w:val="0"/>
      <w:autoSpaceDN w:val="0"/>
      <w:adjustRightInd w:val="0"/>
    </w:pPr>
    <w:rPr>
      <w:rFonts w:ascii="Times New Roman" w:hAnsi="Times New Roman" w:cs="Times New Roman"/>
      <w:color w:val="000000"/>
      <w:sz w:val="24"/>
      <w:szCs w:val="24"/>
    </w:rPr>
  </w:style>
  <w:style w:type="paragraph" w:styleId="FootnoteText">
    <w:name w:val="footnote text"/>
    <w:basedOn w:val="Normal"/>
    <w:link w:val="FootnoteTextChar"/>
    <w:unhideWhenUsed/>
    <w:rsid w:val="00C71069"/>
    <w:rPr>
      <w:sz w:val="20"/>
      <w:szCs w:val="20"/>
    </w:rPr>
  </w:style>
  <w:style w:type="character" w:customStyle="1" w:styleId="FootnoteTextChar">
    <w:name w:val="Footnote Text Char"/>
    <w:basedOn w:val="DefaultParagraphFont"/>
    <w:link w:val="FootnoteText"/>
    <w:uiPriority w:val="99"/>
    <w:semiHidden/>
    <w:rsid w:val="00C71069"/>
    <w:rPr>
      <w:sz w:val="20"/>
      <w:szCs w:val="20"/>
    </w:rPr>
  </w:style>
  <w:style w:type="character" w:styleId="FootnoteReference">
    <w:name w:val="footnote reference"/>
    <w:basedOn w:val="DefaultParagraphFont"/>
    <w:uiPriority w:val="99"/>
    <w:unhideWhenUsed/>
    <w:rsid w:val="00C71069"/>
    <w:rPr>
      <w:vertAlign w:val="superscript"/>
    </w:rPr>
  </w:style>
  <w:style w:type="character" w:customStyle="1" w:styleId="Heading2Char">
    <w:name w:val="Heading 2 Char"/>
    <w:basedOn w:val="DefaultParagraphFont"/>
    <w:link w:val="Heading2"/>
    <w:uiPriority w:val="9"/>
    <w:semiHidden/>
    <w:rsid w:val="004B0EB3"/>
    <w:rPr>
      <w:rFonts w:ascii="Times New Roman" w:eastAsiaTheme="majorEastAsia" w:hAnsi="Times New Roman" w:cstheme="majorBidi"/>
      <w:b/>
      <w:sz w:val="24"/>
      <w:szCs w:val="26"/>
    </w:rPr>
  </w:style>
  <w:style w:type="paragraph" w:customStyle="1" w:styleId="Para">
    <w:name w:val="Para"/>
    <w:basedOn w:val="Normal"/>
    <w:qFormat/>
    <w:rsid w:val="004B0EB3"/>
    <w:pPr>
      <w:spacing w:line="360" w:lineRule="auto"/>
      <w:ind w:firstLine="720"/>
    </w:pPr>
    <w:rPr>
      <w:rFonts w:eastAsia="Calibri" w:cs="Times New Roman"/>
      <w:szCs w:val="24"/>
    </w:rPr>
  </w:style>
  <w:style w:type="character" w:customStyle="1" w:styleId="Underline">
    <w:name w:val="Underline"/>
    <w:basedOn w:val="DefaultParagraphFont"/>
    <w:rsid w:val="004B0EB3"/>
    <w:rPr>
      <w:color w:val="auto"/>
      <w:u w:val="single"/>
    </w:rPr>
  </w:style>
  <w:style w:type="paragraph" w:customStyle="1" w:styleId="TableTextCenter12pt">
    <w:name w:val="Table Text Center + 12 pt"/>
    <w:basedOn w:val="Normal"/>
    <w:rsid w:val="004B0EB3"/>
    <w:pPr>
      <w:jc w:val="center"/>
    </w:pPr>
    <w:rPr>
      <w:rFonts w:eastAsia="Times New Roman" w:cs="Times New Roman"/>
      <w:szCs w:val="24"/>
    </w:rPr>
  </w:style>
  <w:style w:type="paragraph" w:customStyle="1" w:styleId="TableTextL12pt">
    <w:name w:val="Table Text L 12 pt"/>
    <w:basedOn w:val="Normal"/>
    <w:rsid w:val="003D382A"/>
    <w:pPr>
      <w:spacing w:before="20" w:after="20"/>
    </w:pPr>
    <w:rPr>
      <w:rFonts w:eastAsia="Times New Roman" w:cs="Times New Roman"/>
      <w:szCs w:val="24"/>
    </w:rPr>
  </w:style>
  <w:style w:type="paragraph" w:customStyle="1" w:styleId="TableTextL12ptIndent">
    <w:name w:val="Table Text L 12 pt + Indent"/>
    <w:basedOn w:val="TableTextL12pt"/>
    <w:rsid w:val="00C53BE7"/>
    <w:pPr>
      <w:keepNext/>
      <w:ind w:left="288"/>
    </w:pPr>
  </w:style>
  <w:style w:type="paragraph" w:customStyle="1" w:styleId="DocumentTitle">
    <w:name w:val="Document Title"/>
    <w:basedOn w:val="Normal"/>
    <w:rsid w:val="006C075D"/>
    <w:pPr>
      <w:spacing w:after="360"/>
      <w:jc w:val="center"/>
    </w:pPr>
    <w:rPr>
      <w:rFonts w:eastAsia="Times New Roman" w:cs="Times New Roman"/>
      <w:b/>
      <w:bCs/>
      <w:szCs w:val="20"/>
    </w:rPr>
  </w:style>
  <w:style w:type="character" w:customStyle="1" w:styleId="BodyTextChar">
    <w:name w:val="Body Text Char"/>
    <w:basedOn w:val="DefaultParagraphFont"/>
    <w:link w:val="BodyText"/>
    <w:uiPriority w:val="1"/>
    <w:rsid w:val="006C075D"/>
    <w:rPr>
      <w:rFonts w:ascii="Times New Roman" w:eastAsia="Times New Roman" w:hAnsi="Times New Roman"/>
      <w:sz w:val="24"/>
      <w:szCs w:val="24"/>
    </w:rPr>
  </w:style>
  <w:style w:type="paragraph" w:customStyle="1" w:styleId="Centered">
    <w:name w:val="Centered"/>
    <w:basedOn w:val="Normal"/>
    <w:rsid w:val="006C075D"/>
    <w:pPr>
      <w:jc w:val="center"/>
    </w:pPr>
    <w:rPr>
      <w:rFonts w:eastAsia="Times New Roman" w:cs="Times New Roman"/>
      <w:szCs w:val="20"/>
    </w:rPr>
  </w:style>
  <w:style w:type="paragraph" w:customStyle="1" w:styleId="HeadingLevel1">
    <w:name w:val="Heading Level 1"/>
    <w:basedOn w:val="Normal"/>
    <w:uiPriority w:val="1"/>
    <w:rsid w:val="00134F50"/>
    <w:pPr>
      <w:keepNext/>
      <w:spacing w:before="240" w:after="60"/>
      <w:outlineLvl w:val="0"/>
    </w:pPr>
    <w:rPr>
      <w:rFonts w:ascii="Times New Roman Bold" w:hAnsi="Times New Roman Bold"/>
      <w:b/>
      <w:color w:val="000000"/>
      <w14:textFill>
        <w14:solidFill>
          <w14:srgbClr w14:val="000000">
            <w14:lumMod w14:val="60000"/>
            <w14:lumOff w14:val="40000"/>
          </w14:srgbClr>
        </w14:solidFill>
      </w14:textFill>
    </w:rPr>
  </w:style>
  <w:style w:type="paragraph" w:customStyle="1" w:styleId="HeadingLevel2">
    <w:name w:val="Heading Level 2"/>
    <w:basedOn w:val="HeadingLevel1"/>
    <w:uiPriority w:val="1"/>
    <w:rsid w:val="00134F50"/>
    <w:pPr>
      <w:spacing w:before="120"/>
      <w:ind w:left="720" w:hanging="720"/>
      <w:outlineLvl w:val="1"/>
    </w:pPr>
  </w:style>
  <w:style w:type="paragraph" w:customStyle="1" w:styleId="HeadingLevel3">
    <w:name w:val="Heading Level 3"/>
    <w:basedOn w:val="HeadingLevel2"/>
    <w:uiPriority w:val="1"/>
    <w:rsid w:val="00134F50"/>
    <w:pPr>
      <w:spacing w:after="120"/>
      <w:outlineLvl w:val="2"/>
    </w:pPr>
    <w:rPr>
      <w:rFonts w:ascii="Times New Roman" w:hAnsi="Times New Roman"/>
      <w:b w:val="0"/>
      <w:i/>
    </w:rPr>
  </w:style>
  <w:style w:type="paragraph" w:customStyle="1" w:styleId="Paragraph">
    <w:name w:val="Paragraph"/>
    <w:basedOn w:val="Normal"/>
    <w:rsid w:val="00134F50"/>
    <w:pPr>
      <w:spacing w:line="360" w:lineRule="auto"/>
      <w:ind w:firstLine="720"/>
    </w:pPr>
    <w:rPr>
      <w:rFonts w:eastAsia="Times New Roman" w:cs="Times New Roman"/>
      <w:szCs w:val="20"/>
    </w:rPr>
  </w:style>
  <w:style w:type="paragraph" w:styleId="ListBullet2">
    <w:name w:val="List Bullet 2"/>
    <w:basedOn w:val="Normal"/>
    <w:uiPriority w:val="99"/>
    <w:unhideWhenUsed/>
    <w:rsid w:val="00600F02"/>
    <w:pPr>
      <w:numPr>
        <w:numId w:val="19"/>
      </w:numPr>
      <w:spacing w:after="240"/>
      <w:contextualSpacing/>
    </w:pPr>
  </w:style>
  <w:style w:type="paragraph" w:styleId="ListNumber3">
    <w:name w:val="List Number 3"/>
    <w:basedOn w:val="Normal"/>
    <w:uiPriority w:val="99"/>
    <w:unhideWhenUsed/>
    <w:rsid w:val="00A02539"/>
    <w:pPr>
      <w:numPr>
        <w:numId w:val="25"/>
      </w:numPr>
      <w:spacing w:after="240"/>
      <w:contextualSpacing/>
    </w:pPr>
  </w:style>
  <w:style w:type="paragraph" w:customStyle="1" w:styleId="TableHeading-Burden">
    <w:name w:val="Table Heading - Burden"/>
    <w:basedOn w:val="Normal"/>
    <w:rsid w:val="0076787F"/>
    <w:pPr>
      <w:jc w:val="center"/>
    </w:pPr>
    <w:rPr>
      <w:rFonts w:eastAsia="Times New Roman" w:cs="Times New Roman"/>
      <w:b/>
      <w:bCs/>
      <w:sz w:val="16"/>
      <w:szCs w:val="20"/>
    </w:rPr>
  </w:style>
  <w:style w:type="character" w:customStyle="1" w:styleId="Superscript">
    <w:name w:val="Superscript"/>
    <w:basedOn w:val="DefaultParagraphFont"/>
    <w:uiPriority w:val="1"/>
    <w:rsid w:val="00831103"/>
    <w:rPr>
      <w:vertAlign w:val="superscript"/>
    </w:rPr>
  </w:style>
  <w:style w:type="paragraph" w:customStyle="1" w:styleId="TableTextLeft-Burden">
    <w:name w:val="Table Text Left - Burden"/>
    <w:basedOn w:val="Normal"/>
    <w:uiPriority w:val="1"/>
    <w:rsid w:val="005E555F"/>
    <w:pPr>
      <w:spacing w:before="30" w:after="30"/>
    </w:pPr>
    <w:rPr>
      <w:sz w:val="16"/>
      <w:szCs w:val="16"/>
    </w:rPr>
  </w:style>
  <w:style w:type="paragraph" w:customStyle="1" w:styleId="TableTextRight-Burden">
    <w:name w:val="Table Text Right - Burden"/>
    <w:basedOn w:val="TableTextLeft-Burden"/>
    <w:rsid w:val="00741AA3"/>
    <w:pPr>
      <w:jc w:val="right"/>
    </w:pPr>
    <w:rPr>
      <w:rFonts w:eastAsia="Times New Roman" w:cs="Times New Roman"/>
      <w:szCs w:val="20"/>
    </w:rPr>
  </w:style>
  <w:style w:type="paragraph" w:customStyle="1" w:styleId="TableTextCenter-Burden">
    <w:name w:val="Table Text Center - Burden"/>
    <w:basedOn w:val="TableTextLeft-Burden"/>
    <w:rsid w:val="00741AA3"/>
    <w:pPr>
      <w:jc w:val="center"/>
    </w:pPr>
    <w:rPr>
      <w:rFonts w:eastAsia="Times New Roman" w:cs="Times New Roman"/>
      <w:szCs w:val="20"/>
    </w:rPr>
  </w:style>
  <w:style w:type="paragraph" w:customStyle="1" w:styleId="TableTextIndent1-Burden">
    <w:name w:val="Table Text Indent 1 - Burden"/>
    <w:basedOn w:val="TableTextLeft-Burden"/>
    <w:rsid w:val="00CC4DBE"/>
    <w:pPr>
      <w:ind w:left="216"/>
    </w:pPr>
    <w:rPr>
      <w:rFonts w:eastAsia="Times New Roman" w:cs="Times New Roman"/>
      <w:szCs w:val="20"/>
    </w:rPr>
  </w:style>
  <w:style w:type="paragraph" w:customStyle="1" w:styleId="TableTextIndent2-Burden">
    <w:name w:val="Table Text Indent 2 - Burden"/>
    <w:basedOn w:val="TableTextIndent1-Burden"/>
    <w:rsid w:val="00CC4DBE"/>
    <w:pPr>
      <w:ind w:left="432"/>
    </w:pPr>
  </w:style>
  <w:style w:type="paragraph" w:customStyle="1" w:styleId="TableFootnote-Burden">
    <w:name w:val="Table Footnote - Burden"/>
    <w:basedOn w:val="Normal"/>
    <w:uiPriority w:val="1"/>
    <w:rsid w:val="00C17120"/>
    <w:pPr>
      <w:spacing w:before="60"/>
      <w:ind w:left="187" w:hanging="187"/>
    </w:pPr>
    <w:rPr>
      <w:sz w:val="16"/>
    </w:rPr>
  </w:style>
  <w:style w:type="character" w:customStyle="1" w:styleId="Bold">
    <w:name w:val="Bold"/>
    <w:basedOn w:val="DefaultParagraphFont"/>
    <w:uiPriority w:val="1"/>
    <w:rsid w:val="00383626"/>
    <w:rPr>
      <w:b/>
    </w:rPr>
  </w:style>
  <w:style w:type="paragraph" w:styleId="Revision">
    <w:name w:val="Revision"/>
    <w:hidden/>
    <w:uiPriority w:val="99"/>
    <w:semiHidden/>
    <w:rsid w:val="00383626"/>
    <w:pPr>
      <w:widowControl/>
    </w:pPr>
    <w:rPr>
      <w:rFonts w:ascii="Times New Roman" w:hAnsi="Times New Roman"/>
      <w:sz w:val="24"/>
    </w:rPr>
  </w:style>
  <w:style w:type="paragraph" w:customStyle="1" w:styleId="TableHeading">
    <w:name w:val="Table Heading"/>
    <w:basedOn w:val="Normal"/>
    <w:rsid w:val="00647BDC"/>
    <w:pPr>
      <w:spacing w:before="40" w:after="40"/>
    </w:pPr>
    <w:rPr>
      <w:b/>
      <w:sz w:val="20"/>
    </w:rPr>
  </w:style>
  <w:style w:type="paragraph" w:customStyle="1" w:styleId="TableTextLeft">
    <w:name w:val="Table Text Left"/>
    <w:basedOn w:val="Normal"/>
    <w:rsid w:val="00647BDC"/>
    <w:pPr>
      <w:spacing w:before="40" w:after="40"/>
    </w:pPr>
    <w:rPr>
      <w:sz w:val="20"/>
    </w:rPr>
  </w:style>
  <w:style w:type="paragraph" w:customStyle="1" w:styleId="TableTextCentered">
    <w:name w:val="Table Text Centered"/>
    <w:basedOn w:val="TableTextLeft"/>
    <w:rsid w:val="00647BDC"/>
    <w:pPr>
      <w:jc w:val="center"/>
    </w:pPr>
    <w:rPr>
      <w:rFonts w:eastAsia="Times New Roman" w:cs="Times New Roman"/>
      <w:szCs w:val="20"/>
    </w:rPr>
  </w:style>
  <w:style w:type="paragraph" w:customStyle="1" w:styleId="AfterTable">
    <w:name w:val="After Table"/>
    <w:basedOn w:val="Normal"/>
    <w:rsid w:val="00647BDC"/>
    <w:pPr>
      <w:spacing w:after="360"/>
    </w:pPr>
    <w:rPr>
      <w:rFonts w:eastAsia="Times New Roman" w:cs="Times New Roman"/>
      <w:szCs w:val="20"/>
    </w:rPr>
  </w:style>
  <w:style w:type="paragraph" w:customStyle="1" w:styleId="TableTitle">
    <w:name w:val="Table Title"/>
    <w:basedOn w:val="Normal"/>
    <w:rsid w:val="005E555F"/>
    <w:pPr>
      <w:keepNext/>
      <w:spacing w:before="360" w:after="120"/>
      <w:jc w:val="center"/>
      <w:outlineLvl w:val="3"/>
    </w:pPr>
    <w:rPr>
      <w:rFonts w:eastAsia="Times New Roman" w:cs="Times New Roman"/>
      <w:b/>
      <w:bCs/>
      <w:szCs w:val="20"/>
    </w:rPr>
  </w:style>
  <w:style w:type="character" w:customStyle="1" w:styleId="Italic">
    <w:name w:val="Italic"/>
    <w:basedOn w:val="DefaultParagraphFont"/>
    <w:rsid w:val="00647BDC"/>
    <w:rPr>
      <w:i/>
      <w:iCs/>
    </w:rPr>
  </w:style>
  <w:style w:type="paragraph" w:styleId="ListNumber2">
    <w:name w:val="List Number 2"/>
    <w:basedOn w:val="Normal"/>
    <w:uiPriority w:val="99"/>
    <w:unhideWhenUsed/>
    <w:rsid w:val="00961685"/>
    <w:pPr>
      <w:numPr>
        <w:numId w:val="24"/>
      </w:numPr>
      <w:spacing w:after="240"/>
      <w:contextualSpacing/>
    </w:pPr>
  </w:style>
  <w:style w:type="paragraph" w:customStyle="1" w:styleId="BlockQuote">
    <w:name w:val="Block Quote"/>
    <w:basedOn w:val="BodyText"/>
    <w:rsid w:val="00961685"/>
    <w:pPr>
      <w:spacing w:before="0" w:after="240"/>
      <w:ind w:left="720" w:right="720" w:firstLine="0"/>
    </w:pPr>
  </w:style>
  <w:style w:type="paragraph" w:customStyle="1" w:styleId="SectionA">
    <w:name w:val="Section   A"/>
    <w:basedOn w:val="Normal"/>
    <w:uiPriority w:val="1"/>
    <w:rsid w:val="00430471"/>
    <w:pPr>
      <w:keepNext/>
      <w:spacing w:before="240" w:after="60"/>
      <w:outlineLvl w:val="0"/>
    </w:pPr>
    <w:rPr>
      <w:b/>
    </w:rPr>
  </w:style>
  <w:style w:type="paragraph" w:customStyle="1" w:styleId="Section1">
    <w:name w:val="Section  1"/>
    <w:basedOn w:val="SectionA"/>
    <w:rsid w:val="00430471"/>
    <w:pPr>
      <w:spacing w:before="120" w:after="120"/>
      <w:outlineLvl w:val="1"/>
    </w:pPr>
    <w:rPr>
      <w:rFonts w:eastAsia="Times New Roman" w:cs="Times New Roman"/>
      <w:bCs/>
      <w:szCs w:val="20"/>
    </w:rPr>
  </w:style>
  <w:style w:type="paragraph" w:customStyle="1" w:styleId="Sectiona0">
    <w:name w:val="Section (a)"/>
    <w:basedOn w:val="Section1"/>
    <w:rsid w:val="00430471"/>
    <w:pPr>
      <w:ind w:left="720" w:hanging="720"/>
      <w:outlineLvl w:val="2"/>
    </w:pPr>
    <w:rPr>
      <w:b w:val="0"/>
      <w:bCs w:val="0"/>
      <w:i/>
      <w:iCs/>
    </w:rPr>
  </w:style>
  <w:style w:type="paragraph" w:styleId="Caption">
    <w:name w:val="caption"/>
    <w:basedOn w:val="Normal"/>
    <w:next w:val="Normal"/>
    <w:qFormat/>
    <w:rsid w:val="00BC3FE4"/>
    <w:rPr>
      <w:rFonts w:eastAsia="Times New Roman" w:cs="Times New Roman"/>
      <w:b/>
      <w:bCs/>
      <w:sz w:val="20"/>
      <w:szCs w:val="24"/>
    </w:rPr>
  </w:style>
  <w:style w:type="paragraph" w:customStyle="1" w:styleId="TableTextL10pt">
    <w:name w:val="Table Text L 10 pt"/>
    <w:basedOn w:val="Normal"/>
    <w:rsid w:val="00BC3FE4"/>
    <w:rPr>
      <w:rFonts w:eastAsia="Times New Roman" w:cs="Times New Roman"/>
      <w:sz w:val="20"/>
      <w:szCs w:val="24"/>
    </w:rPr>
  </w:style>
  <w:style w:type="paragraph" w:customStyle="1" w:styleId="TableHeadingCenter10pt">
    <w:name w:val="Table Heading Center + 10 pt"/>
    <w:basedOn w:val="Normal"/>
    <w:rsid w:val="00BC3FE4"/>
    <w:pPr>
      <w:keepNext/>
      <w:jc w:val="center"/>
    </w:pPr>
    <w:rPr>
      <w:rFonts w:eastAsia="Times New Roman" w:cs="Times New Roman"/>
      <w:b/>
      <w:sz w:val="20"/>
      <w:szCs w:val="24"/>
    </w:rPr>
  </w:style>
  <w:style w:type="paragraph" w:customStyle="1" w:styleId="TableHeadingLeft10pt">
    <w:name w:val="Table Heading Left + 10 pt"/>
    <w:basedOn w:val="TableHeadingCenter10pt"/>
    <w:rsid w:val="00BC3FE4"/>
    <w:pPr>
      <w:jc w:val="left"/>
    </w:pPr>
  </w:style>
  <w:style w:type="paragraph" w:customStyle="1" w:styleId="TableFootnote10pt">
    <w:name w:val="Table Footnote + 10 pt"/>
    <w:basedOn w:val="Normal"/>
    <w:rsid w:val="00BC3FE4"/>
    <w:pPr>
      <w:spacing w:before="60"/>
      <w:ind w:left="288" w:hanging="288"/>
    </w:pPr>
    <w:rPr>
      <w:rFonts w:eastAsia="Times New Roman" w:cs="Times New Roman"/>
      <w:sz w:val="20"/>
      <w:szCs w:val="24"/>
    </w:rPr>
  </w:style>
  <w:style w:type="paragraph" w:customStyle="1" w:styleId="TableTextCenter10pt">
    <w:name w:val="Table Text Center + 10 pt"/>
    <w:basedOn w:val="TableTextCenter12pt"/>
    <w:rsid w:val="00BC3FE4"/>
    <w:rPr>
      <w:sz w:val="20"/>
    </w:rPr>
  </w:style>
  <w:style w:type="paragraph" w:customStyle="1" w:styleId="TableTextL10ptIndent">
    <w:name w:val="Table Text L 10 pt + Indent"/>
    <w:basedOn w:val="TableTextL12ptIndent"/>
    <w:rsid w:val="00BC3FE4"/>
    <w:rPr>
      <w:sz w:val="20"/>
    </w:rPr>
  </w:style>
  <w:style w:type="paragraph" w:customStyle="1" w:styleId="TableTitleNewPage">
    <w:name w:val="Table Title + New Page"/>
    <w:basedOn w:val="TableTitle"/>
    <w:rsid w:val="00966E3C"/>
    <w:pPr>
      <w:spacing w:before="0"/>
    </w:pPr>
  </w:style>
  <w:style w:type="paragraph" w:customStyle="1" w:styleId="Bullet1-ss">
    <w:name w:val="Bullet 1 - ss"/>
    <w:basedOn w:val="Normal"/>
    <w:rsid w:val="00C53BE7"/>
    <w:pPr>
      <w:numPr>
        <w:numId w:val="30"/>
      </w:numPr>
    </w:pPr>
    <w:rPr>
      <w:rFonts w:eastAsia="Times New Roman" w:cs="Times New Roman"/>
      <w:szCs w:val="24"/>
    </w:rPr>
  </w:style>
  <w:style w:type="character" w:styleId="FollowedHyperlink">
    <w:name w:val="FollowedHyperlink"/>
    <w:basedOn w:val="DefaultParagraphFont"/>
    <w:uiPriority w:val="99"/>
    <w:semiHidden/>
    <w:unhideWhenUsed/>
    <w:rsid w:val="00351E7E"/>
    <w:rPr>
      <w:color w:val="800080" w:themeColor="followedHyperlink"/>
      <w:u w:val="single"/>
    </w:rPr>
  </w:style>
  <w:style w:type="paragraph" w:customStyle="1" w:styleId="TableTextIndent3-Burden">
    <w:name w:val="Table Text Indent 3 - Burden"/>
    <w:basedOn w:val="TableTextIndent2-Burden"/>
    <w:rsid w:val="00CC4DBE"/>
    <w:pPr>
      <w:ind w:left="648"/>
    </w:pPr>
  </w:style>
  <w:style w:type="character" w:customStyle="1" w:styleId="BoldItalic">
    <w:name w:val="Bold + Italic"/>
    <w:basedOn w:val="DefaultParagraphFont"/>
    <w:rsid w:val="00AF3EEF"/>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89663">
      <w:bodyDiv w:val="1"/>
      <w:marLeft w:val="0"/>
      <w:marRight w:val="0"/>
      <w:marTop w:val="0"/>
      <w:marBottom w:val="0"/>
      <w:divBdr>
        <w:top w:val="none" w:sz="0" w:space="0" w:color="auto"/>
        <w:left w:val="none" w:sz="0" w:space="0" w:color="auto"/>
        <w:bottom w:val="none" w:sz="0" w:space="0" w:color="auto"/>
        <w:right w:val="none" w:sz="0" w:space="0" w:color="auto"/>
      </w:divBdr>
    </w:div>
    <w:div w:id="347952824">
      <w:bodyDiv w:val="1"/>
      <w:marLeft w:val="0"/>
      <w:marRight w:val="0"/>
      <w:marTop w:val="0"/>
      <w:marBottom w:val="0"/>
      <w:divBdr>
        <w:top w:val="none" w:sz="0" w:space="0" w:color="auto"/>
        <w:left w:val="none" w:sz="0" w:space="0" w:color="auto"/>
        <w:bottom w:val="none" w:sz="0" w:space="0" w:color="auto"/>
        <w:right w:val="none" w:sz="0" w:space="0" w:color="auto"/>
      </w:divBdr>
    </w:div>
    <w:div w:id="451093534">
      <w:bodyDiv w:val="1"/>
      <w:marLeft w:val="0"/>
      <w:marRight w:val="0"/>
      <w:marTop w:val="0"/>
      <w:marBottom w:val="0"/>
      <w:divBdr>
        <w:top w:val="none" w:sz="0" w:space="0" w:color="auto"/>
        <w:left w:val="none" w:sz="0" w:space="0" w:color="auto"/>
        <w:bottom w:val="none" w:sz="0" w:space="0" w:color="auto"/>
        <w:right w:val="none" w:sz="0" w:space="0" w:color="auto"/>
      </w:divBdr>
    </w:div>
    <w:div w:id="594289753">
      <w:bodyDiv w:val="1"/>
      <w:marLeft w:val="0"/>
      <w:marRight w:val="0"/>
      <w:marTop w:val="0"/>
      <w:marBottom w:val="0"/>
      <w:divBdr>
        <w:top w:val="none" w:sz="0" w:space="0" w:color="auto"/>
        <w:left w:val="none" w:sz="0" w:space="0" w:color="auto"/>
        <w:bottom w:val="none" w:sz="0" w:space="0" w:color="auto"/>
        <w:right w:val="none" w:sz="0" w:space="0" w:color="auto"/>
      </w:divBdr>
    </w:div>
    <w:div w:id="658919496">
      <w:bodyDiv w:val="1"/>
      <w:marLeft w:val="0"/>
      <w:marRight w:val="0"/>
      <w:marTop w:val="0"/>
      <w:marBottom w:val="0"/>
      <w:divBdr>
        <w:top w:val="none" w:sz="0" w:space="0" w:color="auto"/>
        <w:left w:val="none" w:sz="0" w:space="0" w:color="auto"/>
        <w:bottom w:val="none" w:sz="0" w:space="0" w:color="auto"/>
        <w:right w:val="none" w:sz="0" w:space="0" w:color="auto"/>
      </w:divBdr>
    </w:div>
    <w:div w:id="852719326">
      <w:bodyDiv w:val="1"/>
      <w:marLeft w:val="0"/>
      <w:marRight w:val="0"/>
      <w:marTop w:val="0"/>
      <w:marBottom w:val="0"/>
      <w:divBdr>
        <w:top w:val="none" w:sz="0" w:space="0" w:color="auto"/>
        <w:left w:val="none" w:sz="0" w:space="0" w:color="auto"/>
        <w:bottom w:val="none" w:sz="0" w:space="0" w:color="auto"/>
        <w:right w:val="none" w:sz="0" w:space="0" w:color="auto"/>
      </w:divBdr>
    </w:div>
    <w:div w:id="1041326073">
      <w:bodyDiv w:val="1"/>
      <w:marLeft w:val="0"/>
      <w:marRight w:val="0"/>
      <w:marTop w:val="0"/>
      <w:marBottom w:val="0"/>
      <w:divBdr>
        <w:top w:val="none" w:sz="0" w:space="0" w:color="auto"/>
        <w:left w:val="none" w:sz="0" w:space="0" w:color="auto"/>
        <w:bottom w:val="none" w:sz="0" w:space="0" w:color="auto"/>
        <w:right w:val="none" w:sz="0" w:space="0" w:color="auto"/>
      </w:divBdr>
    </w:div>
    <w:div w:id="1132594442">
      <w:bodyDiv w:val="1"/>
      <w:marLeft w:val="0"/>
      <w:marRight w:val="0"/>
      <w:marTop w:val="0"/>
      <w:marBottom w:val="0"/>
      <w:divBdr>
        <w:top w:val="none" w:sz="0" w:space="0" w:color="auto"/>
        <w:left w:val="none" w:sz="0" w:space="0" w:color="auto"/>
        <w:bottom w:val="none" w:sz="0" w:space="0" w:color="auto"/>
        <w:right w:val="none" w:sz="0" w:space="0" w:color="auto"/>
      </w:divBdr>
    </w:div>
    <w:div w:id="1192763884">
      <w:bodyDiv w:val="1"/>
      <w:marLeft w:val="0"/>
      <w:marRight w:val="0"/>
      <w:marTop w:val="0"/>
      <w:marBottom w:val="0"/>
      <w:divBdr>
        <w:top w:val="none" w:sz="0" w:space="0" w:color="auto"/>
        <w:left w:val="none" w:sz="0" w:space="0" w:color="auto"/>
        <w:bottom w:val="none" w:sz="0" w:space="0" w:color="auto"/>
        <w:right w:val="none" w:sz="0" w:space="0" w:color="auto"/>
      </w:divBdr>
    </w:div>
    <w:div w:id="1228494949">
      <w:bodyDiv w:val="1"/>
      <w:marLeft w:val="0"/>
      <w:marRight w:val="0"/>
      <w:marTop w:val="0"/>
      <w:marBottom w:val="0"/>
      <w:divBdr>
        <w:top w:val="none" w:sz="0" w:space="0" w:color="auto"/>
        <w:left w:val="none" w:sz="0" w:space="0" w:color="auto"/>
        <w:bottom w:val="none" w:sz="0" w:space="0" w:color="auto"/>
        <w:right w:val="none" w:sz="0" w:space="0" w:color="auto"/>
      </w:divBdr>
    </w:div>
    <w:div w:id="1256354650">
      <w:bodyDiv w:val="1"/>
      <w:marLeft w:val="0"/>
      <w:marRight w:val="0"/>
      <w:marTop w:val="0"/>
      <w:marBottom w:val="0"/>
      <w:divBdr>
        <w:top w:val="none" w:sz="0" w:space="0" w:color="auto"/>
        <w:left w:val="none" w:sz="0" w:space="0" w:color="auto"/>
        <w:bottom w:val="none" w:sz="0" w:space="0" w:color="auto"/>
        <w:right w:val="none" w:sz="0" w:space="0" w:color="auto"/>
      </w:divBdr>
    </w:div>
    <w:div w:id="1294752281">
      <w:bodyDiv w:val="1"/>
      <w:marLeft w:val="0"/>
      <w:marRight w:val="0"/>
      <w:marTop w:val="0"/>
      <w:marBottom w:val="0"/>
      <w:divBdr>
        <w:top w:val="none" w:sz="0" w:space="0" w:color="auto"/>
        <w:left w:val="none" w:sz="0" w:space="0" w:color="auto"/>
        <w:bottom w:val="none" w:sz="0" w:space="0" w:color="auto"/>
        <w:right w:val="none" w:sz="0" w:space="0" w:color="auto"/>
      </w:divBdr>
    </w:div>
    <w:div w:id="1320302555">
      <w:bodyDiv w:val="1"/>
      <w:marLeft w:val="0"/>
      <w:marRight w:val="0"/>
      <w:marTop w:val="0"/>
      <w:marBottom w:val="0"/>
      <w:divBdr>
        <w:top w:val="none" w:sz="0" w:space="0" w:color="auto"/>
        <w:left w:val="none" w:sz="0" w:space="0" w:color="auto"/>
        <w:bottom w:val="none" w:sz="0" w:space="0" w:color="auto"/>
        <w:right w:val="none" w:sz="0" w:space="0" w:color="auto"/>
      </w:divBdr>
    </w:div>
    <w:div w:id="1619525726">
      <w:bodyDiv w:val="1"/>
      <w:marLeft w:val="0"/>
      <w:marRight w:val="0"/>
      <w:marTop w:val="0"/>
      <w:marBottom w:val="0"/>
      <w:divBdr>
        <w:top w:val="none" w:sz="0" w:space="0" w:color="auto"/>
        <w:left w:val="none" w:sz="0" w:space="0" w:color="auto"/>
        <w:bottom w:val="none" w:sz="0" w:space="0" w:color="auto"/>
        <w:right w:val="none" w:sz="0" w:space="0" w:color="auto"/>
      </w:divBdr>
    </w:div>
    <w:div w:id="1664310484">
      <w:bodyDiv w:val="1"/>
      <w:marLeft w:val="0"/>
      <w:marRight w:val="0"/>
      <w:marTop w:val="0"/>
      <w:marBottom w:val="0"/>
      <w:divBdr>
        <w:top w:val="none" w:sz="0" w:space="0" w:color="auto"/>
        <w:left w:val="none" w:sz="0" w:space="0" w:color="auto"/>
        <w:bottom w:val="none" w:sz="0" w:space="0" w:color="auto"/>
        <w:right w:val="none" w:sz="0" w:space="0" w:color="auto"/>
      </w:divBdr>
    </w:div>
    <w:div w:id="1712344287">
      <w:bodyDiv w:val="1"/>
      <w:marLeft w:val="0"/>
      <w:marRight w:val="0"/>
      <w:marTop w:val="0"/>
      <w:marBottom w:val="0"/>
      <w:divBdr>
        <w:top w:val="none" w:sz="0" w:space="0" w:color="auto"/>
        <w:left w:val="none" w:sz="0" w:space="0" w:color="auto"/>
        <w:bottom w:val="none" w:sz="0" w:space="0" w:color="auto"/>
        <w:right w:val="none" w:sz="0" w:space="0" w:color="auto"/>
      </w:divBdr>
    </w:div>
    <w:div w:id="1831480383">
      <w:bodyDiv w:val="1"/>
      <w:marLeft w:val="0"/>
      <w:marRight w:val="0"/>
      <w:marTop w:val="0"/>
      <w:marBottom w:val="0"/>
      <w:divBdr>
        <w:top w:val="none" w:sz="0" w:space="0" w:color="auto"/>
        <w:left w:val="none" w:sz="0" w:space="0" w:color="auto"/>
        <w:bottom w:val="none" w:sz="0" w:space="0" w:color="auto"/>
        <w:right w:val="none" w:sz="0" w:space="0" w:color="auto"/>
      </w:divBdr>
    </w:div>
    <w:div w:id="1950434592">
      <w:bodyDiv w:val="1"/>
      <w:marLeft w:val="0"/>
      <w:marRight w:val="0"/>
      <w:marTop w:val="0"/>
      <w:marBottom w:val="0"/>
      <w:divBdr>
        <w:top w:val="none" w:sz="0" w:space="0" w:color="auto"/>
        <w:left w:val="none" w:sz="0" w:space="0" w:color="auto"/>
        <w:bottom w:val="none" w:sz="0" w:space="0" w:color="auto"/>
        <w:right w:val="none" w:sz="0" w:space="0" w:color="auto"/>
      </w:divBdr>
    </w:div>
    <w:div w:id="2083020040">
      <w:bodyDiv w:val="1"/>
      <w:marLeft w:val="0"/>
      <w:marRight w:val="0"/>
      <w:marTop w:val="0"/>
      <w:marBottom w:val="0"/>
      <w:divBdr>
        <w:top w:val="none" w:sz="0" w:space="0" w:color="auto"/>
        <w:left w:val="none" w:sz="0" w:space="0" w:color="auto"/>
        <w:bottom w:val="none" w:sz="0" w:space="0" w:color="auto"/>
        <w:right w:val="none" w:sz="0" w:space="0" w:color="auto"/>
      </w:divBdr>
    </w:div>
    <w:div w:id="2112430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s://www.opm.gov/policy-data-oversight/pay-leave/salaries-wages/2017/general-schedul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bls.gov/oes/current/naics3_321000.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gov/air-emissions-inventories/emission-inventory-system-eis-gatewa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www.epa.gov/air-emissions-inventories/national-emissions-inventory"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regulation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usepa.sharepoint.com/sites/oar_Work/PCWP_RTR/Shared%20Documents/%20https:/www.bls.gov/oes/current/naics3_321000.htm%20http:/www.bls.gov/news.release/ecec.t02.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D16FFD9DDEC4CA360B706AF1A0E2F" ma:contentTypeVersion="6" ma:contentTypeDescription="Create a new document." ma:contentTypeScope="" ma:versionID="f469cdd91f3982bd8f4037cfcfe50a3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899edea-a1ac-4dff-a69c-008a7faa005a" targetNamespace="http://schemas.microsoft.com/office/2006/metadata/properties" ma:root="true" ma:fieldsID="0eb4b206cfec811743cda47d6e32e803" ns1:_="" ns2:_="" ns3:_="" ns4:_="" ns5:_="">
    <xsd:import namespace="http://schemas.microsoft.com/sharepoint/v3"/>
    <xsd:import namespace="4ffa91fb-a0ff-4ac5-b2db-65c790d184a4"/>
    <xsd:import namespace="http://schemas.microsoft.com/sharepoint.v3"/>
    <xsd:import namespace="http://schemas.microsoft.com/sharepoint/v3/fields"/>
    <xsd:import namespace="1899edea-a1ac-4dff-a69c-008a7faa005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99edea-a1ac-4dff-a69c-008a7faa005a" elementFormDefault="qualified">
    <xsd:import namespace="http://schemas.microsoft.com/office/2006/documentManagement/types"/>
    <xsd:import namespace="http://schemas.microsoft.com/office/infopath/2007/PartnerControls"/>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2017-08-18T04:00:00+00:00</Document_x0020_Creation_x0020_Date>
    <EPA_x0020_Office xmlns="4ffa91fb-a0ff-4ac5-b2db-65c790d184a4">OAR-OAQPS-SLPG-NRG</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Hanks, Katie</DisplayName>
        <AccountId>11483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C4BC7-6796-4DFE-BB63-B458FABA0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899edea-a1ac-4dff-a69c-008a7faa0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2F724-D750-4038-95B3-AD09FE354A0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899edea-a1ac-4dff-a69c-008a7faa005a"/>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051F8030-AE36-4916-BE37-F818761DF697}">
  <ds:schemaRefs>
    <ds:schemaRef ds:uri="http://schemas.microsoft.com/sharepoint/v3/contenttype/forms"/>
  </ds:schemaRefs>
</ds:datastoreItem>
</file>

<file path=customXml/itemProps4.xml><?xml version="1.0" encoding="utf-8"?>
<ds:datastoreItem xmlns:ds="http://schemas.openxmlformats.org/officeDocument/2006/customXml" ds:itemID="{3676607E-7643-4924-AF23-28D37FAAE033}">
  <ds:schemaRefs>
    <ds:schemaRef ds:uri="Microsoft.SharePoint.Taxonomy.ContentTypeSync"/>
  </ds:schemaRefs>
</ds:datastoreItem>
</file>

<file path=customXml/itemProps5.xml><?xml version="1.0" encoding="utf-8"?>
<ds:datastoreItem xmlns:ds="http://schemas.openxmlformats.org/officeDocument/2006/customXml" ds:itemID="{4F40190D-CDF2-47DC-ADFF-6A46A220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9672</Words>
  <Characters>55136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Supp_Statement_8-18-17(working)</vt:lpstr>
    </vt:vector>
  </TitlesOfParts>
  <Company/>
  <LinksUpToDate>false</LinksUpToDate>
  <CharactersWithSpaces>64679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Supp_Statement_8-18-17(working)</dc:title>
  <dc:subject/>
  <dc:creator>Hanks, Katie P.</dc:creator>
  <cp:keywords/>
  <dc:description/>
  <cp:lastModifiedBy>SYSTEM</cp:lastModifiedBy>
  <cp:revision>2</cp:revision>
  <cp:lastPrinted>2016-08-10T12:52:00Z</cp:lastPrinted>
  <dcterms:created xsi:type="dcterms:W3CDTF">2017-10-03T16:19:00Z</dcterms:created>
  <dcterms:modified xsi:type="dcterms:W3CDTF">2017-10-03T16:19:00Z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0x010100752D16FFD9DDEC4CA360B706AF1A0E2F</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