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37C" w:rsidRPr="00E9787E" w:rsidRDefault="00DA737C" w:rsidP="00E9787E">
      <w:pPr>
        <w:spacing w:after="0" w:line="240" w:lineRule="auto"/>
        <w:jc w:val="center"/>
        <w:rPr>
          <w:rFonts w:ascii="Times New Roman" w:hAnsi="Times New Roman" w:cs="Times New Roman"/>
          <w:sz w:val="26"/>
          <w:szCs w:val="26"/>
        </w:rPr>
      </w:pPr>
      <w:bookmarkStart w:id="0" w:name="_GoBack"/>
      <w:bookmarkEnd w:id="0"/>
      <w:r w:rsidRPr="00E9787E">
        <w:rPr>
          <w:rFonts w:ascii="Times New Roman" w:hAnsi="Times New Roman" w:cs="Times New Roman"/>
          <w:sz w:val="26"/>
          <w:szCs w:val="26"/>
        </w:rPr>
        <w:t>Supporting Statement</w:t>
      </w:r>
    </w:p>
    <w:p w:rsidR="00DA737C" w:rsidRPr="00E9787E" w:rsidRDefault="00DA737C" w:rsidP="00E9787E">
      <w:pPr>
        <w:spacing w:after="0" w:line="240" w:lineRule="auto"/>
        <w:jc w:val="center"/>
        <w:rPr>
          <w:rFonts w:ascii="Times New Roman" w:hAnsi="Times New Roman" w:cs="Times New Roman"/>
          <w:b/>
          <w:sz w:val="26"/>
          <w:szCs w:val="26"/>
        </w:rPr>
      </w:pPr>
      <w:r w:rsidRPr="00E9787E">
        <w:rPr>
          <w:rFonts w:ascii="Times New Roman" w:hAnsi="Times New Roman" w:cs="Times New Roman"/>
          <w:b/>
          <w:sz w:val="26"/>
          <w:szCs w:val="26"/>
        </w:rPr>
        <w:t>FERC</w:t>
      </w:r>
      <w:r w:rsidR="0093182D" w:rsidRPr="00E9787E">
        <w:rPr>
          <w:rFonts w:ascii="Times New Roman" w:hAnsi="Times New Roman" w:cs="Times New Roman"/>
          <w:b/>
          <w:sz w:val="26"/>
          <w:szCs w:val="26"/>
        </w:rPr>
        <w:t xml:space="preserve"> Form No. </w:t>
      </w:r>
      <w:r w:rsidRPr="00E9787E">
        <w:rPr>
          <w:rFonts w:ascii="Times New Roman" w:hAnsi="Times New Roman" w:cs="Times New Roman"/>
          <w:b/>
          <w:sz w:val="26"/>
          <w:szCs w:val="26"/>
        </w:rPr>
        <w:t>725</w:t>
      </w:r>
      <w:r w:rsidR="00291F13" w:rsidRPr="00E9787E">
        <w:rPr>
          <w:rFonts w:ascii="Times New Roman" w:hAnsi="Times New Roman" w:cs="Times New Roman"/>
          <w:b/>
          <w:sz w:val="26"/>
          <w:szCs w:val="26"/>
        </w:rPr>
        <w:t>E</w:t>
      </w:r>
      <w:r w:rsidR="0093182D" w:rsidRPr="00E9787E">
        <w:rPr>
          <w:rFonts w:ascii="Times New Roman" w:hAnsi="Times New Roman" w:cs="Times New Roman"/>
          <w:b/>
          <w:sz w:val="26"/>
          <w:szCs w:val="26"/>
        </w:rPr>
        <w:t xml:space="preserve"> </w:t>
      </w:r>
      <w:r w:rsidR="00F77815" w:rsidRPr="00E9787E">
        <w:rPr>
          <w:rFonts w:ascii="Times New Roman" w:hAnsi="Times New Roman" w:cs="Times New Roman"/>
          <w:b/>
          <w:sz w:val="26"/>
          <w:szCs w:val="26"/>
        </w:rPr>
        <w:t>(</w:t>
      </w:r>
      <w:r w:rsidRPr="00E9787E">
        <w:rPr>
          <w:rFonts w:ascii="Times New Roman" w:hAnsi="Times New Roman" w:cs="Times New Roman"/>
          <w:b/>
          <w:sz w:val="26"/>
          <w:szCs w:val="26"/>
        </w:rPr>
        <w:t>Mandatory Reliability Standards</w:t>
      </w:r>
      <w:r w:rsidR="00B51244" w:rsidRPr="00E9787E">
        <w:rPr>
          <w:rFonts w:ascii="Times New Roman" w:hAnsi="Times New Roman" w:cs="Times New Roman"/>
          <w:b/>
          <w:sz w:val="26"/>
          <w:szCs w:val="26"/>
        </w:rPr>
        <w:t xml:space="preserve"> for Western Electric Coordinating Council</w:t>
      </w:r>
      <w:r w:rsidR="00F77815" w:rsidRPr="00E9787E">
        <w:rPr>
          <w:rFonts w:ascii="Times New Roman" w:hAnsi="Times New Roman" w:cs="Times New Roman"/>
          <w:b/>
          <w:sz w:val="26"/>
          <w:szCs w:val="26"/>
        </w:rPr>
        <w:t>)</w:t>
      </w:r>
      <w:r w:rsidR="007F410A" w:rsidRPr="00E9787E">
        <w:rPr>
          <w:rFonts w:ascii="Times New Roman" w:hAnsi="Times New Roman" w:cs="Times New Roman"/>
          <w:b/>
          <w:sz w:val="26"/>
          <w:szCs w:val="26"/>
        </w:rPr>
        <w:t>,</w:t>
      </w:r>
      <w:r w:rsidR="00F77815" w:rsidRPr="00E9787E">
        <w:rPr>
          <w:rFonts w:ascii="Times New Roman" w:hAnsi="Times New Roman" w:cs="Times New Roman"/>
          <w:b/>
          <w:sz w:val="26"/>
          <w:szCs w:val="26"/>
        </w:rPr>
        <w:t xml:space="preserve"> as modified </w:t>
      </w:r>
    </w:p>
    <w:p w:rsidR="00DA737C" w:rsidRPr="00E9787E" w:rsidRDefault="00DA737C" w:rsidP="00E9787E">
      <w:pPr>
        <w:spacing w:after="0" w:line="240" w:lineRule="auto"/>
        <w:jc w:val="center"/>
        <w:rPr>
          <w:rFonts w:ascii="Times New Roman" w:hAnsi="Times New Roman" w:cs="Times New Roman"/>
          <w:b/>
          <w:sz w:val="26"/>
          <w:szCs w:val="26"/>
        </w:rPr>
      </w:pPr>
      <w:r w:rsidRPr="00E9787E">
        <w:rPr>
          <w:rFonts w:ascii="Times New Roman" w:hAnsi="Times New Roman" w:cs="Times New Roman"/>
          <w:b/>
          <w:sz w:val="26"/>
          <w:szCs w:val="26"/>
        </w:rPr>
        <w:t>in Docket Number</w:t>
      </w:r>
      <w:r w:rsidR="007F410A" w:rsidRPr="00E9787E">
        <w:rPr>
          <w:rFonts w:ascii="Times New Roman" w:hAnsi="Times New Roman" w:cs="Times New Roman"/>
          <w:b/>
          <w:sz w:val="26"/>
          <w:szCs w:val="26"/>
        </w:rPr>
        <w:t>s</w:t>
      </w:r>
      <w:r w:rsidRPr="00E9787E">
        <w:rPr>
          <w:rFonts w:ascii="Times New Roman" w:hAnsi="Times New Roman" w:cs="Times New Roman"/>
          <w:b/>
          <w:sz w:val="26"/>
          <w:szCs w:val="26"/>
        </w:rPr>
        <w:t xml:space="preserve"> </w:t>
      </w:r>
      <w:r w:rsidR="007F410A" w:rsidRPr="00E9787E">
        <w:rPr>
          <w:rFonts w:ascii="Times New Roman" w:hAnsi="Times New Roman" w:cs="Times New Roman"/>
          <w:b/>
          <w:sz w:val="26"/>
          <w:szCs w:val="26"/>
        </w:rPr>
        <w:t>RD16</w:t>
      </w:r>
      <w:r w:rsidRPr="00E9787E">
        <w:rPr>
          <w:rFonts w:ascii="Times New Roman" w:hAnsi="Times New Roman" w:cs="Times New Roman"/>
          <w:b/>
          <w:sz w:val="26"/>
          <w:szCs w:val="26"/>
        </w:rPr>
        <w:t>-</w:t>
      </w:r>
      <w:r w:rsidR="00B51244" w:rsidRPr="00E9787E">
        <w:rPr>
          <w:rFonts w:ascii="Times New Roman" w:hAnsi="Times New Roman" w:cs="Times New Roman"/>
          <w:b/>
          <w:sz w:val="26"/>
          <w:szCs w:val="26"/>
        </w:rPr>
        <w:t>10</w:t>
      </w:r>
      <w:r w:rsidRPr="00E9787E">
        <w:rPr>
          <w:rFonts w:ascii="Times New Roman" w:hAnsi="Times New Roman" w:cs="Times New Roman"/>
          <w:b/>
          <w:sz w:val="26"/>
          <w:szCs w:val="26"/>
        </w:rPr>
        <w:t>-000</w:t>
      </w:r>
      <w:r w:rsidR="00B51244" w:rsidRPr="00E9787E">
        <w:rPr>
          <w:rFonts w:ascii="Times New Roman" w:hAnsi="Times New Roman" w:cs="Times New Roman"/>
          <w:b/>
          <w:sz w:val="26"/>
          <w:szCs w:val="26"/>
        </w:rPr>
        <w:t xml:space="preserve"> and RD17-5-000</w:t>
      </w:r>
      <w:r w:rsidR="000B4A06" w:rsidRPr="00E9787E">
        <w:rPr>
          <w:rFonts w:ascii="Times New Roman" w:hAnsi="Times New Roman" w:cs="Times New Roman"/>
          <w:b/>
          <w:sz w:val="26"/>
          <w:szCs w:val="26"/>
        </w:rPr>
        <w:t xml:space="preserve"> and IC17-6-000</w:t>
      </w:r>
    </w:p>
    <w:p w:rsidR="00DA737C" w:rsidRPr="00E9787E" w:rsidRDefault="00DA737C" w:rsidP="00E9787E">
      <w:pPr>
        <w:spacing w:after="0" w:line="240" w:lineRule="auto"/>
        <w:rPr>
          <w:rFonts w:ascii="Times New Roman" w:hAnsi="Times New Roman" w:cs="Times New Roman"/>
          <w:sz w:val="26"/>
          <w:szCs w:val="26"/>
        </w:rPr>
      </w:pPr>
    </w:p>
    <w:p w:rsidR="0093182D" w:rsidRPr="00E9787E" w:rsidRDefault="00DA737C"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 xml:space="preserve">The Federal Energy Regulatory Commission (Commission or FERC) requests the Office of Management and Budget (OMB) review </w:t>
      </w:r>
      <w:r w:rsidR="00F77815" w:rsidRPr="00E9787E">
        <w:rPr>
          <w:rFonts w:ascii="Times New Roman" w:hAnsi="Times New Roman" w:cs="Times New Roman"/>
          <w:sz w:val="26"/>
          <w:szCs w:val="26"/>
        </w:rPr>
        <w:t xml:space="preserve">and approve </w:t>
      </w:r>
      <w:r w:rsidR="0093182D" w:rsidRPr="00E9787E">
        <w:rPr>
          <w:rFonts w:ascii="Times New Roman" w:hAnsi="Times New Roman" w:cs="Times New Roman"/>
          <w:sz w:val="26"/>
          <w:szCs w:val="26"/>
        </w:rPr>
        <w:t xml:space="preserve">the information collection requirements in </w:t>
      </w:r>
      <w:r w:rsidRPr="00E9787E">
        <w:rPr>
          <w:rFonts w:ascii="Times New Roman" w:hAnsi="Times New Roman" w:cs="Times New Roman"/>
          <w:sz w:val="26"/>
          <w:szCs w:val="26"/>
        </w:rPr>
        <w:t>FERC</w:t>
      </w:r>
      <w:r w:rsidR="0093182D" w:rsidRPr="00E9787E">
        <w:rPr>
          <w:rFonts w:ascii="Times New Roman" w:hAnsi="Times New Roman" w:cs="Times New Roman"/>
          <w:sz w:val="26"/>
          <w:szCs w:val="26"/>
        </w:rPr>
        <w:t xml:space="preserve"> Form No.</w:t>
      </w:r>
      <w:r w:rsidR="00E9787E">
        <w:rPr>
          <w:rFonts w:ascii="Times New Roman" w:hAnsi="Times New Roman" w:cs="Times New Roman"/>
          <w:sz w:val="26"/>
          <w:szCs w:val="26"/>
        </w:rPr>
        <w:t xml:space="preserve"> </w:t>
      </w:r>
      <w:r w:rsidRPr="00E9787E">
        <w:rPr>
          <w:rFonts w:ascii="Times New Roman" w:hAnsi="Times New Roman" w:cs="Times New Roman"/>
          <w:sz w:val="26"/>
          <w:szCs w:val="26"/>
        </w:rPr>
        <w:t>725</w:t>
      </w:r>
      <w:r w:rsidR="00B51244" w:rsidRPr="00E9787E">
        <w:rPr>
          <w:rFonts w:ascii="Times New Roman" w:hAnsi="Times New Roman" w:cs="Times New Roman"/>
          <w:sz w:val="26"/>
          <w:szCs w:val="26"/>
        </w:rPr>
        <w:t>E</w:t>
      </w:r>
      <w:r w:rsidRPr="00E9787E">
        <w:rPr>
          <w:rFonts w:ascii="Times New Roman" w:hAnsi="Times New Roman" w:cs="Times New Roman"/>
          <w:sz w:val="26"/>
          <w:szCs w:val="26"/>
        </w:rPr>
        <w:t xml:space="preserve"> </w:t>
      </w:r>
      <w:r w:rsidR="0093182D" w:rsidRPr="00E9787E">
        <w:rPr>
          <w:rFonts w:ascii="Times New Roman" w:hAnsi="Times New Roman" w:cs="Times New Roman"/>
          <w:sz w:val="26"/>
          <w:szCs w:val="26"/>
        </w:rPr>
        <w:t xml:space="preserve"> (OMB Control No. 1902-0246), </w:t>
      </w:r>
      <w:r w:rsidR="00FC2476" w:rsidRPr="00E9787E">
        <w:rPr>
          <w:rFonts w:ascii="Times New Roman" w:hAnsi="Times New Roman" w:cs="Times New Roman"/>
          <w:sz w:val="26"/>
          <w:szCs w:val="26"/>
        </w:rPr>
        <w:t>as modified f</w:t>
      </w:r>
      <w:r w:rsidR="0093182D" w:rsidRPr="00E9787E">
        <w:rPr>
          <w:rFonts w:ascii="Times New Roman" w:hAnsi="Times New Roman" w:cs="Times New Roman"/>
          <w:sz w:val="26"/>
          <w:szCs w:val="26"/>
        </w:rPr>
        <w:t>or three years.  FERC</w:t>
      </w:r>
      <w:r w:rsidR="00FC2476" w:rsidRPr="00E9787E">
        <w:rPr>
          <w:rFonts w:ascii="Times New Roman" w:hAnsi="Times New Roman" w:cs="Times New Roman"/>
          <w:sz w:val="26"/>
          <w:szCs w:val="26"/>
        </w:rPr>
        <w:t>-</w:t>
      </w:r>
      <w:r w:rsidR="0093182D" w:rsidRPr="00E9787E">
        <w:rPr>
          <w:rFonts w:ascii="Times New Roman" w:hAnsi="Times New Roman" w:cs="Times New Roman"/>
          <w:sz w:val="26"/>
          <w:szCs w:val="26"/>
        </w:rPr>
        <w:t>725E is an existing collection whose filing requirements are contained in 18 Code of Federal Regulations (CFR) Part 40.</w:t>
      </w:r>
    </w:p>
    <w:p w:rsidR="00DA737C" w:rsidRPr="00E9787E" w:rsidRDefault="00DA737C"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ab/>
      </w:r>
    </w:p>
    <w:p w:rsidR="00DA737C" w:rsidRPr="00E9787E" w:rsidRDefault="00DA737C"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The Commission submits the changes due to the Docket</w:t>
      </w:r>
      <w:r w:rsidR="00496CD8" w:rsidRPr="00E9787E">
        <w:rPr>
          <w:rFonts w:ascii="Times New Roman" w:hAnsi="Times New Roman" w:cs="Times New Roman"/>
          <w:sz w:val="26"/>
          <w:szCs w:val="26"/>
        </w:rPr>
        <w:t>s</w:t>
      </w:r>
      <w:r w:rsidRPr="00E9787E">
        <w:rPr>
          <w:rFonts w:ascii="Times New Roman" w:hAnsi="Times New Roman" w:cs="Times New Roman"/>
          <w:sz w:val="26"/>
          <w:szCs w:val="26"/>
        </w:rPr>
        <w:t xml:space="preserve"> No. R</w:t>
      </w:r>
      <w:r w:rsidR="00101FE5" w:rsidRPr="00E9787E">
        <w:rPr>
          <w:rFonts w:ascii="Times New Roman" w:hAnsi="Times New Roman" w:cs="Times New Roman"/>
          <w:sz w:val="26"/>
          <w:szCs w:val="26"/>
        </w:rPr>
        <w:t>D17-5-000</w:t>
      </w:r>
      <w:r w:rsidR="00C64BFE" w:rsidRPr="00E9787E">
        <w:rPr>
          <w:rFonts w:ascii="Times New Roman" w:hAnsi="Times New Roman" w:cs="Times New Roman"/>
          <w:sz w:val="26"/>
          <w:szCs w:val="26"/>
        </w:rPr>
        <w:t>, IC17-6-00</w:t>
      </w:r>
      <w:r w:rsidR="00101FE5" w:rsidRPr="00E9787E">
        <w:rPr>
          <w:rFonts w:ascii="Times New Roman" w:hAnsi="Times New Roman" w:cs="Times New Roman"/>
          <w:sz w:val="26"/>
          <w:szCs w:val="26"/>
        </w:rPr>
        <w:t xml:space="preserve"> and </w:t>
      </w:r>
      <w:r w:rsidR="00C64BFE" w:rsidRPr="00E9787E">
        <w:rPr>
          <w:rFonts w:ascii="Times New Roman" w:hAnsi="Times New Roman" w:cs="Times New Roman"/>
          <w:sz w:val="26"/>
          <w:szCs w:val="26"/>
        </w:rPr>
        <w:t>RD</w:t>
      </w:r>
      <w:r w:rsidRPr="00E9787E">
        <w:rPr>
          <w:rFonts w:ascii="Times New Roman" w:hAnsi="Times New Roman" w:cs="Times New Roman"/>
          <w:sz w:val="26"/>
          <w:szCs w:val="26"/>
        </w:rPr>
        <w:t>16-</w:t>
      </w:r>
      <w:r w:rsidR="00101FE5" w:rsidRPr="00E9787E">
        <w:rPr>
          <w:rFonts w:ascii="Times New Roman" w:hAnsi="Times New Roman" w:cs="Times New Roman"/>
          <w:sz w:val="26"/>
          <w:szCs w:val="26"/>
        </w:rPr>
        <w:t>10</w:t>
      </w:r>
      <w:r w:rsidRPr="00E9787E">
        <w:rPr>
          <w:rFonts w:ascii="Times New Roman" w:hAnsi="Times New Roman" w:cs="Times New Roman"/>
          <w:sz w:val="26"/>
          <w:szCs w:val="26"/>
        </w:rPr>
        <w:t>-000</w:t>
      </w:r>
      <w:r w:rsidRPr="00E9787E">
        <w:rPr>
          <w:rFonts w:ascii="Times New Roman" w:hAnsi="Times New Roman" w:cs="Times New Roman"/>
          <w:sz w:val="26"/>
          <w:szCs w:val="26"/>
          <w:vertAlign w:val="superscript"/>
        </w:rPr>
        <w:t xml:space="preserve"> </w:t>
      </w:r>
      <w:r w:rsidRPr="00E9787E">
        <w:rPr>
          <w:rFonts w:ascii="Times New Roman" w:hAnsi="Times New Roman" w:cs="Times New Roman"/>
          <w:sz w:val="26"/>
          <w:szCs w:val="26"/>
        </w:rPr>
        <w:t>under the FERC-725</w:t>
      </w:r>
      <w:r w:rsidR="00101FE5" w:rsidRPr="00E9787E">
        <w:rPr>
          <w:rFonts w:ascii="Times New Roman" w:hAnsi="Times New Roman" w:cs="Times New Roman"/>
          <w:sz w:val="26"/>
          <w:szCs w:val="26"/>
        </w:rPr>
        <w:t>E</w:t>
      </w:r>
      <w:r w:rsidRPr="00E9787E">
        <w:rPr>
          <w:rFonts w:ascii="Times New Roman" w:hAnsi="Times New Roman" w:cs="Times New Roman"/>
          <w:sz w:val="26"/>
          <w:szCs w:val="26"/>
        </w:rPr>
        <w:t xml:space="preserve"> information collection.</w:t>
      </w:r>
    </w:p>
    <w:p w:rsidR="00DA737C" w:rsidRPr="00E9787E" w:rsidRDefault="00DA737C" w:rsidP="00E9787E">
      <w:pPr>
        <w:spacing w:after="0" w:line="240" w:lineRule="auto"/>
        <w:rPr>
          <w:rFonts w:ascii="Times New Roman" w:hAnsi="Times New Roman" w:cs="Times New Roman"/>
          <w:sz w:val="26"/>
          <w:szCs w:val="26"/>
        </w:rPr>
      </w:pPr>
    </w:p>
    <w:p w:rsidR="00DA737C" w:rsidRPr="00E9787E" w:rsidRDefault="00DA737C" w:rsidP="00E9787E">
      <w:pPr>
        <w:pStyle w:val="ListParagraph"/>
        <w:numPr>
          <w:ilvl w:val="0"/>
          <w:numId w:val="1"/>
        </w:numPr>
        <w:spacing w:after="0" w:line="240" w:lineRule="auto"/>
        <w:rPr>
          <w:rFonts w:ascii="Times New Roman" w:hAnsi="Times New Roman" w:cs="Times New Roman"/>
          <w:b/>
          <w:sz w:val="26"/>
          <w:szCs w:val="26"/>
        </w:rPr>
      </w:pPr>
      <w:r w:rsidRPr="00E9787E">
        <w:rPr>
          <w:rFonts w:ascii="Times New Roman" w:hAnsi="Times New Roman" w:cs="Times New Roman"/>
          <w:b/>
          <w:sz w:val="26"/>
          <w:szCs w:val="26"/>
        </w:rPr>
        <w:t>CIRCUMSTANCES THAT MAKE THE COLLECTION OF INFORMATION NECESSARY</w:t>
      </w:r>
    </w:p>
    <w:p w:rsidR="00DA737C" w:rsidRPr="00E9787E" w:rsidRDefault="00DA737C" w:rsidP="00E9787E">
      <w:pPr>
        <w:spacing w:after="0" w:line="240" w:lineRule="auto"/>
        <w:rPr>
          <w:rFonts w:ascii="Times New Roman" w:hAnsi="Times New Roman" w:cs="Times New Roman"/>
          <w:sz w:val="26"/>
          <w:szCs w:val="26"/>
        </w:rPr>
      </w:pPr>
    </w:p>
    <w:p w:rsidR="00DA737C" w:rsidRPr="00E9787E" w:rsidRDefault="00DA737C"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 xml:space="preserve">On August 8, 2005, The Electricity Modernization Act of 2005, which is Title XII of the Energy Policy Act of 2005 (EPAct 2005), was enacted into law.  EPAct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w:t>
      </w:r>
    </w:p>
    <w:p w:rsidR="00DA737C" w:rsidRPr="00E9787E" w:rsidRDefault="00DA737C" w:rsidP="00E9787E">
      <w:pPr>
        <w:spacing w:after="0" w:line="240" w:lineRule="auto"/>
        <w:rPr>
          <w:rFonts w:ascii="Times New Roman" w:hAnsi="Times New Roman" w:cs="Times New Roman"/>
          <w:sz w:val="26"/>
          <w:szCs w:val="26"/>
        </w:rPr>
      </w:pPr>
    </w:p>
    <w:p w:rsidR="00DA737C" w:rsidRPr="00E9787E" w:rsidRDefault="00DA737C"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 xml:space="preserve">On March 16, 2007, in Order No. 693, pursuant to section 215(d) of the FPA, the Commission approved 83 of 107 proposed Reliability Standards, six of the eight proposed regional differences, and the North American Electric Reliability Corporation (NERC) Glossary of Terms used in Reliability Standards (NERC Glossary), including currently-effective </w:t>
      </w:r>
      <w:r w:rsidR="00496CD8" w:rsidRPr="00E9787E">
        <w:rPr>
          <w:rFonts w:ascii="Times New Roman" w:hAnsi="Times New Roman" w:cs="Times New Roman"/>
          <w:sz w:val="26"/>
          <w:szCs w:val="26"/>
        </w:rPr>
        <w:t>TOP/IRO Reliability Standards approved in Order No. 817</w:t>
      </w:r>
      <w:r w:rsidR="00496CD8" w:rsidRPr="00E9787E">
        <w:rPr>
          <w:rFonts w:ascii="Times New Roman" w:hAnsi="Times New Roman" w:cs="Times New Roman"/>
          <w:b/>
          <w:sz w:val="26"/>
          <w:szCs w:val="26"/>
          <w:vertAlign w:val="superscript"/>
        </w:rPr>
        <w:footnoteReference w:id="1"/>
      </w:r>
      <w:r w:rsidR="00496CD8" w:rsidRPr="00E9787E">
        <w:rPr>
          <w:rFonts w:ascii="Times New Roman" w:hAnsi="Times New Roman" w:cs="Times New Roman"/>
          <w:sz w:val="26"/>
          <w:szCs w:val="26"/>
        </w:rPr>
        <w:t xml:space="preserve">. </w:t>
      </w:r>
      <w:r w:rsidRPr="00E9787E">
        <w:rPr>
          <w:rFonts w:ascii="Times New Roman" w:hAnsi="Times New Roman" w:cs="Times New Roman"/>
          <w:sz w:val="26"/>
          <w:szCs w:val="26"/>
        </w:rPr>
        <w:t xml:space="preserve"> </w:t>
      </w:r>
    </w:p>
    <w:p w:rsidR="00DA737C" w:rsidRPr="00E9787E" w:rsidRDefault="00DA737C" w:rsidP="00E9787E">
      <w:pPr>
        <w:spacing w:after="0" w:line="240" w:lineRule="auto"/>
        <w:rPr>
          <w:rFonts w:ascii="Times New Roman" w:hAnsi="Times New Roman" w:cs="Times New Roman"/>
          <w:sz w:val="26"/>
          <w:szCs w:val="26"/>
        </w:rPr>
      </w:pPr>
    </w:p>
    <w:p w:rsidR="007D0E0F" w:rsidRPr="00E9787E" w:rsidRDefault="007D0E0F" w:rsidP="00E978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6"/>
          <w:szCs w:val="26"/>
        </w:rPr>
      </w:pPr>
      <w:r w:rsidRPr="00E9787E">
        <w:rPr>
          <w:rFonts w:ascii="Times New Roman" w:hAnsi="Times New Roman" w:cs="Times New Roman"/>
          <w:b/>
          <w:sz w:val="26"/>
          <w:szCs w:val="26"/>
        </w:rPr>
        <w:t>RD16-10-000</w:t>
      </w:r>
      <w:r w:rsidRPr="00E9787E">
        <w:rPr>
          <w:rFonts w:ascii="Times New Roman" w:hAnsi="Times New Roman" w:cs="Times New Roman"/>
          <w:sz w:val="26"/>
          <w:szCs w:val="26"/>
        </w:rPr>
        <w:t>: On March 23, 2016 (and supplemented on November 16, 2016), the North American Electric Reliability Corporation (NERC) and Western Electricity Coordinating Council (WECC) filed a joint petition to retire regional Reliability Standard TOP-007-WECC-1a - System Operating Limits</w:t>
      </w:r>
      <w:r w:rsidR="005C737E">
        <w:rPr>
          <w:rFonts w:ascii="Times New Roman" w:hAnsi="Times New Roman" w:cs="Times New Roman"/>
          <w:sz w:val="26"/>
          <w:szCs w:val="26"/>
        </w:rPr>
        <w:t>1304</w:t>
      </w:r>
      <w:r w:rsidRPr="00E9787E">
        <w:rPr>
          <w:rFonts w:ascii="Times New Roman" w:hAnsi="Times New Roman" w:cs="Times New Roman"/>
          <w:sz w:val="26"/>
          <w:szCs w:val="26"/>
        </w:rPr>
        <w:t xml:space="preserve"> (“SOL”).  The purpose of the proposed retirement is to shift away from the path-centric model and allow entities in the Western Interconnection to align their operating practices with the framework established in the continent-wide TOP/IRO Reliability Standards approved in Order No. 817, which, </w:t>
      </w:r>
      <w:r w:rsidRPr="00E9787E">
        <w:rPr>
          <w:rFonts w:ascii="Times New Roman" w:hAnsi="Times New Roman" w:cs="Times New Roman"/>
          <w:sz w:val="26"/>
          <w:szCs w:val="26"/>
        </w:rPr>
        <w:lastRenderedPageBreak/>
        <w:t>according to NERC and WECC, achieve the objective of operating within acceptable pre- and post-contingency reliability criteria (i.e., within SOLs and Interconnection Reliability Operating Limits (“IROL”).  On March 10, 2017, the Commission approved the retirement of regional Reliability Standard TOP-007-WECC-1a.</w:t>
      </w:r>
      <w:r w:rsidRPr="00E9787E">
        <w:rPr>
          <w:rFonts w:ascii="Times New Roman" w:hAnsi="Times New Roman" w:cs="Times New Roman"/>
          <w:b/>
          <w:sz w:val="26"/>
          <w:szCs w:val="26"/>
          <w:vertAlign w:val="superscript"/>
        </w:rPr>
        <w:footnoteReference w:id="2"/>
      </w:r>
      <w:r w:rsidRPr="00E9787E">
        <w:rPr>
          <w:rFonts w:ascii="Times New Roman" w:hAnsi="Times New Roman" w:cs="Times New Roman"/>
          <w:sz w:val="26"/>
          <w:szCs w:val="26"/>
        </w:rPr>
        <w:t xml:space="preserve"> </w:t>
      </w:r>
    </w:p>
    <w:p w:rsidR="007D0E0F" w:rsidRPr="00E9787E" w:rsidRDefault="007D0E0F" w:rsidP="00E9787E">
      <w:pPr>
        <w:autoSpaceDE w:val="0"/>
        <w:autoSpaceDN w:val="0"/>
        <w:adjustRightInd w:val="0"/>
        <w:spacing w:after="0" w:line="240" w:lineRule="auto"/>
        <w:rPr>
          <w:rFonts w:ascii="Times New Roman" w:hAnsi="Times New Roman" w:cs="Times New Roman"/>
          <w:sz w:val="26"/>
          <w:szCs w:val="26"/>
        </w:rPr>
      </w:pPr>
      <w:r w:rsidRPr="00E9787E">
        <w:rPr>
          <w:rFonts w:ascii="Times New Roman" w:eastAsia="Times New Roman" w:hAnsi="Times New Roman" w:cs="Times New Roman"/>
          <w:b/>
          <w:sz w:val="26"/>
          <w:szCs w:val="26"/>
        </w:rPr>
        <w:t>RD17-5 and IC17-6:</w:t>
      </w:r>
      <w:r w:rsidRPr="00E9787E">
        <w:rPr>
          <w:rFonts w:ascii="Times New Roman" w:eastAsia="Times New Roman" w:hAnsi="Times New Roman" w:cs="Times New Roman"/>
          <w:sz w:val="26"/>
          <w:szCs w:val="26"/>
        </w:rPr>
        <w:t xml:space="preserve"> On March 10, 2017, NERC and WECC filed a joint petition in Docket No. RD17-5-000</w:t>
      </w:r>
      <w:r w:rsidRPr="00E9787E">
        <w:rPr>
          <w:rFonts w:ascii="Times New Roman" w:eastAsia="Times New Roman" w:hAnsi="Times New Roman" w:cs="Times New Roman"/>
          <w:b/>
          <w:sz w:val="26"/>
          <w:szCs w:val="26"/>
          <w:vertAlign w:val="superscript"/>
        </w:rPr>
        <w:footnoteReference w:id="3"/>
      </w:r>
      <w:r w:rsidRPr="00E9787E">
        <w:rPr>
          <w:rFonts w:ascii="Times New Roman" w:eastAsia="Times New Roman" w:hAnsi="Times New Roman" w:cs="Times New Roman"/>
          <w:sz w:val="26"/>
          <w:szCs w:val="26"/>
        </w:rPr>
        <w:t xml:space="preserve"> requesting Commission approval of:  (a) regional Reliability Standard VAR-501-WECC-3 (Power System Stabilizers), and (b) the retirement of then-existing regional Reliability Standard VAR-501-WECC-2.  The petition states:  “Regional Reliability Standard VAR-501-WECC-3 establishes the performance criteria for power system stabilizers to help ensure the Western Interconnection is operated in a coordinated manner under normal and abnormal conditions.”</w:t>
      </w:r>
      <w:r w:rsidRPr="00E9787E">
        <w:rPr>
          <w:rFonts w:ascii="Times New Roman" w:hAnsi="Times New Roman" w:cs="Times New Roman"/>
          <w:sz w:val="26"/>
          <w:szCs w:val="26"/>
        </w:rPr>
        <w:t xml:space="preserve">  </w:t>
      </w:r>
      <w:r w:rsidRPr="00E9787E">
        <w:rPr>
          <w:rFonts w:ascii="Times New Roman" w:eastAsia="Times New Roman" w:hAnsi="Times New Roman" w:cs="Times New Roman"/>
          <w:sz w:val="26"/>
          <w:szCs w:val="26"/>
        </w:rPr>
        <w:t xml:space="preserve">VAR-501-WECC-3 </w:t>
      </w:r>
      <w:r w:rsidRPr="00E9787E">
        <w:rPr>
          <w:rFonts w:ascii="Times New Roman" w:hAnsi="Times New Roman" w:cs="Times New Roman"/>
          <w:sz w:val="26"/>
          <w:szCs w:val="26"/>
        </w:rPr>
        <w:t xml:space="preserve">was approved by order in Docket No. RD17-5-000 on April 28, 2017.  </w:t>
      </w:r>
    </w:p>
    <w:p w:rsidR="007D0E0F" w:rsidRPr="00E9787E" w:rsidRDefault="007D0E0F" w:rsidP="00E9787E">
      <w:pPr>
        <w:autoSpaceDE w:val="0"/>
        <w:autoSpaceDN w:val="0"/>
        <w:adjustRightInd w:val="0"/>
        <w:spacing w:after="0" w:line="240" w:lineRule="auto"/>
        <w:rPr>
          <w:rFonts w:ascii="Times New Roman" w:hAnsi="Times New Roman" w:cs="Times New Roman"/>
          <w:sz w:val="26"/>
          <w:szCs w:val="26"/>
        </w:rPr>
      </w:pPr>
    </w:p>
    <w:p w:rsidR="007D0E0F" w:rsidRPr="00E9787E" w:rsidRDefault="007D0E0F" w:rsidP="00E978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E9787E">
        <w:rPr>
          <w:rFonts w:ascii="Times New Roman" w:eastAsia="Times New Roman" w:hAnsi="Times New Roman" w:cs="Times New Roman"/>
          <w:b/>
          <w:sz w:val="26"/>
          <w:szCs w:val="26"/>
        </w:rPr>
        <w:t>FERC-725E</w:t>
      </w:r>
      <w:r w:rsidR="009F5A2C" w:rsidRPr="00E9787E">
        <w:rPr>
          <w:rFonts w:ascii="Times New Roman" w:eastAsia="Times New Roman" w:hAnsi="Times New Roman" w:cs="Times New Roman"/>
          <w:b/>
          <w:sz w:val="26"/>
          <w:szCs w:val="26"/>
        </w:rPr>
        <w:t>, In General</w:t>
      </w:r>
      <w:r w:rsidRPr="00E9787E">
        <w:rPr>
          <w:rFonts w:ascii="Times New Roman" w:eastAsia="Times New Roman" w:hAnsi="Times New Roman" w:cs="Times New Roman"/>
          <w:sz w:val="26"/>
          <w:szCs w:val="26"/>
        </w:rPr>
        <w:t>:  The information collected by the FERC-725E is required to implement the statutory provisions of section 215 of the Federal Power Act (FPA) (16 U.S.C. 824o).  Section 215 of the FPA buttresses the Commission’s efforts to strengthen the reliability of the interstate grid through the grant of new authority by providing for a system of mandatory Reliability Standards developed by the Electric Reliability Organization (ERO).  Reliability Standards that the ERO proposes to the Commission may include Reliability Standards that are proposed to the ERO by a Regional Entity.</w:t>
      </w:r>
      <w:r w:rsidRPr="00E9787E">
        <w:rPr>
          <w:rFonts w:ascii="Times New Roman" w:eastAsia="Times New Roman" w:hAnsi="Times New Roman" w:cs="Times New Roman"/>
          <w:b/>
          <w:sz w:val="26"/>
          <w:szCs w:val="26"/>
          <w:vertAlign w:val="superscript"/>
        </w:rPr>
        <w:footnoteReference w:id="4"/>
      </w:r>
      <w:r w:rsidRPr="00E9787E">
        <w:rPr>
          <w:rFonts w:ascii="Times New Roman" w:eastAsia="Times New Roman" w:hAnsi="Times New Roman" w:cs="Times New Roman"/>
          <w:sz w:val="26"/>
          <w:szCs w:val="26"/>
        </w:rPr>
        <w:t xml:space="preserve">  A Regional Entity is an entity that has been approved by the Commission to enforce Reliability Standards under delegated authority from the ERO.</w:t>
      </w:r>
      <w:r w:rsidRPr="00E9787E">
        <w:rPr>
          <w:rFonts w:ascii="Times New Roman" w:eastAsia="Times New Roman" w:hAnsi="Times New Roman" w:cs="Times New Roman"/>
          <w:b/>
          <w:sz w:val="26"/>
          <w:szCs w:val="26"/>
          <w:vertAlign w:val="superscript"/>
        </w:rPr>
        <w:footnoteReference w:id="5"/>
      </w:r>
      <w:r w:rsidRPr="00E9787E">
        <w:rPr>
          <w:rFonts w:ascii="Times New Roman" w:eastAsia="Times New Roman" w:hAnsi="Times New Roman" w:cs="Times New Roman"/>
          <w:sz w:val="26"/>
          <w:szCs w:val="26"/>
        </w:rPr>
        <w:t xml:space="preserve">  On June 8, 2008, the Commission approved eight regional Reliability Standards submitted by the ERO that were proposed by the Western Electricity Coordinating Council (WECC).</w:t>
      </w:r>
      <w:r w:rsidRPr="00E9787E">
        <w:rPr>
          <w:rFonts w:ascii="Times New Roman" w:eastAsia="Times New Roman" w:hAnsi="Times New Roman" w:cs="Times New Roman"/>
          <w:b/>
          <w:sz w:val="26"/>
          <w:szCs w:val="26"/>
          <w:vertAlign w:val="superscript"/>
        </w:rPr>
        <w:footnoteReference w:id="6"/>
      </w:r>
    </w:p>
    <w:p w:rsidR="00905240" w:rsidRPr="00E9787E" w:rsidRDefault="007D0E0F" w:rsidP="00E978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E9787E">
        <w:rPr>
          <w:rFonts w:ascii="Times New Roman" w:eastAsia="Times New Roman" w:hAnsi="Times New Roman" w:cs="Times New Roman"/>
          <w:sz w:val="26"/>
          <w:szCs w:val="26"/>
        </w:rPr>
        <w:tab/>
      </w:r>
      <w:r w:rsidR="00905240" w:rsidRPr="00E9787E">
        <w:rPr>
          <w:rFonts w:ascii="Times New Roman" w:eastAsia="Times New Roman" w:hAnsi="Times New Roman" w:cs="Times New Roman"/>
          <w:sz w:val="26"/>
          <w:szCs w:val="26"/>
        </w:rPr>
        <w:t xml:space="preserve">WECC promotes bulk electric system reliability in the Western Interconnection. WECC is the Regional Entity responsible for compliance monitoring and enforcement.  In addition, WECC provides an environment for the development of Reliability Standards and the coordination of the operating and planning activities of its members as set forth in the WECC Bylaws. </w:t>
      </w:r>
    </w:p>
    <w:p w:rsidR="00905240" w:rsidRPr="00E9787E" w:rsidRDefault="00905240" w:rsidP="00E9787E">
      <w:pPr>
        <w:autoSpaceDE w:val="0"/>
        <w:autoSpaceDN w:val="0"/>
        <w:adjustRightInd w:val="0"/>
        <w:spacing w:after="0" w:line="240" w:lineRule="auto"/>
        <w:ind w:firstLine="720"/>
        <w:rPr>
          <w:rFonts w:ascii="Times New Roman" w:eastAsia="Times New Roman" w:hAnsi="Times New Roman" w:cs="Times New Roman"/>
          <w:sz w:val="26"/>
          <w:szCs w:val="26"/>
        </w:rPr>
      </w:pPr>
      <w:r w:rsidRPr="00E9787E">
        <w:rPr>
          <w:rFonts w:ascii="Times New Roman" w:eastAsia="Times New Roman" w:hAnsi="Times New Roman" w:cs="Times New Roman"/>
          <w:sz w:val="26"/>
          <w:szCs w:val="26"/>
        </w:rPr>
        <w:t>There are several regional Reliability Standards in the WECC region.  These regional Reliability Standards generally require entities to document compliance with substantive requirements, retain documentation, and submit reports to WECC.  The following standards will be continuing without change.</w:t>
      </w:r>
    </w:p>
    <w:p w:rsidR="00905240" w:rsidRPr="00E9787E" w:rsidRDefault="00905240" w:rsidP="00E9787E">
      <w:pPr>
        <w:numPr>
          <w:ilvl w:val="0"/>
          <w:numId w:val="4"/>
        </w:numPr>
        <w:autoSpaceDE w:val="0"/>
        <w:autoSpaceDN w:val="0"/>
        <w:adjustRightInd w:val="0"/>
        <w:spacing w:after="0" w:line="240" w:lineRule="auto"/>
        <w:rPr>
          <w:rFonts w:ascii="Times New Roman" w:eastAsia="Times New Roman" w:hAnsi="Times New Roman" w:cs="Times New Roman"/>
          <w:sz w:val="26"/>
          <w:szCs w:val="26"/>
        </w:rPr>
      </w:pPr>
      <w:r w:rsidRPr="00E9787E">
        <w:rPr>
          <w:rFonts w:ascii="Times New Roman" w:eastAsia="Times New Roman" w:hAnsi="Times New Roman" w:cs="Times New Roman"/>
          <w:sz w:val="26"/>
          <w:szCs w:val="26"/>
        </w:rPr>
        <w:lastRenderedPageBreak/>
        <w:t>BAL-002-WECC-2a</w:t>
      </w:r>
      <w:r w:rsidRPr="00E9787E" w:rsidDel="004F3B23">
        <w:rPr>
          <w:rFonts w:ascii="Times New Roman" w:eastAsia="Times New Roman" w:hAnsi="Times New Roman" w:cs="Times New Roman"/>
          <w:b/>
          <w:sz w:val="26"/>
          <w:szCs w:val="26"/>
          <w:vertAlign w:val="superscript"/>
        </w:rPr>
        <w:t xml:space="preserve"> </w:t>
      </w:r>
      <w:r w:rsidRPr="00E9787E">
        <w:rPr>
          <w:rFonts w:ascii="Times New Roman" w:eastAsia="Times New Roman" w:hAnsi="Times New Roman" w:cs="Times New Roman"/>
          <w:sz w:val="26"/>
          <w:szCs w:val="26"/>
        </w:rPr>
        <w:t>(Contingency Reserve)</w:t>
      </w:r>
      <w:r w:rsidRPr="00E9787E">
        <w:rPr>
          <w:rFonts w:ascii="Times New Roman" w:eastAsia="Times New Roman" w:hAnsi="Times New Roman" w:cs="Times New Roman"/>
          <w:b/>
          <w:sz w:val="26"/>
          <w:szCs w:val="26"/>
          <w:vertAlign w:val="superscript"/>
        </w:rPr>
        <w:footnoteReference w:id="7"/>
      </w:r>
      <w:r w:rsidRPr="00E9787E">
        <w:rPr>
          <w:rFonts w:ascii="Times New Roman" w:eastAsia="Times New Roman" w:hAnsi="Times New Roman" w:cs="Times New Roman"/>
          <w:sz w:val="26"/>
          <w:szCs w:val="26"/>
        </w:rPr>
        <w:t xml:space="preserve"> requires balancing authorities and reserve sharing groups to document compliance with the contingency reserve requirements described in the standard.    </w:t>
      </w:r>
    </w:p>
    <w:p w:rsidR="00905240" w:rsidRPr="00E9787E" w:rsidRDefault="00905240" w:rsidP="00E9787E">
      <w:pPr>
        <w:numPr>
          <w:ilvl w:val="0"/>
          <w:numId w:val="4"/>
        </w:numPr>
        <w:autoSpaceDE w:val="0"/>
        <w:autoSpaceDN w:val="0"/>
        <w:adjustRightInd w:val="0"/>
        <w:spacing w:after="0" w:line="240" w:lineRule="auto"/>
        <w:rPr>
          <w:rFonts w:ascii="Times New Roman" w:eastAsia="Times New Roman" w:hAnsi="Times New Roman" w:cs="Times New Roman"/>
          <w:sz w:val="26"/>
          <w:szCs w:val="26"/>
        </w:rPr>
      </w:pPr>
      <w:r w:rsidRPr="00E9787E">
        <w:rPr>
          <w:rFonts w:ascii="Times New Roman" w:eastAsia="Times New Roman" w:hAnsi="Times New Roman" w:cs="Times New Roman"/>
          <w:sz w:val="26"/>
          <w:szCs w:val="26"/>
        </w:rPr>
        <w:t xml:space="preserve">BAL-004-WECC-02 (Automatic Time Error Correction) requires balancing authorities to document that time error corrections and primary inadvertent interchange payback were conducted according to the requirements in the standard.  </w:t>
      </w:r>
    </w:p>
    <w:p w:rsidR="00905240" w:rsidRPr="00E9787E" w:rsidRDefault="00905240" w:rsidP="00E9787E">
      <w:pPr>
        <w:numPr>
          <w:ilvl w:val="0"/>
          <w:numId w:val="4"/>
        </w:numPr>
        <w:autoSpaceDE w:val="0"/>
        <w:autoSpaceDN w:val="0"/>
        <w:adjustRightInd w:val="0"/>
        <w:spacing w:after="0" w:line="240" w:lineRule="auto"/>
        <w:rPr>
          <w:rFonts w:ascii="Times New Roman" w:eastAsia="Times New Roman" w:hAnsi="Times New Roman" w:cs="Times New Roman"/>
          <w:sz w:val="26"/>
          <w:szCs w:val="26"/>
        </w:rPr>
      </w:pPr>
      <w:r w:rsidRPr="00E9787E">
        <w:rPr>
          <w:rFonts w:ascii="Times New Roman" w:eastAsia="Times New Roman" w:hAnsi="Times New Roman" w:cs="Times New Roman"/>
          <w:sz w:val="26"/>
          <w:szCs w:val="26"/>
        </w:rPr>
        <w:t xml:space="preserve">FAC-501-WECC-1 (Transmission Maintenance) requires transmission owners with certain transmission paths to have a transmission maintenance and inspection plan and to document maintenance and inspection activities according to the plan.  </w:t>
      </w:r>
    </w:p>
    <w:p w:rsidR="00905240" w:rsidRPr="00E9787E" w:rsidRDefault="00905240" w:rsidP="00E9787E">
      <w:pPr>
        <w:numPr>
          <w:ilvl w:val="0"/>
          <w:numId w:val="4"/>
        </w:numPr>
        <w:autoSpaceDE w:val="0"/>
        <w:autoSpaceDN w:val="0"/>
        <w:adjustRightInd w:val="0"/>
        <w:spacing w:after="0" w:line="240" w:lineRule="auto"/>
        <w:rPr>
          <w:rFonts w:ascii="Times New Roman" w:eastAsia="Times New Roman" w:hAnsi="Times New Roman" w:cs="Times New Roman"/>
          <w:sz w:val="26"/>
          <w:szCs w:val="26"/>
        </w:rPr>
      </w:pPr>
      <w:r w:rsidRPr="00E9787E">
        <w:rPr>
          <w:rFonts w:ascii="Times New Roman" w:eastAsia="Times New Roman" w:hAnsi="Times New Roman" w:cs="Times New Roman"/>
          <w:sz w:val="26"/>
          <w:szCs w:val="26"/>
        </w:rPr>
        <w:t>IRO-006-WECC-2 (Qualified Transfer Path Unscheduled Flow (USF) Relief)</w:t>
      </w:r>
      <w:r w:rsidRPr="00E9787E">
        <w:rPr>
          <w:rFonts w:ascii="Times New Roman" w:eastAsia="Times New Roman" w:hAnsi="Times New Roman" w:cs="Times New Roman"/>
          <w:b/>
          <w:sz w:val="26"/>
          <w:szCs w:val="26"/>
          <w:vertAlign w:val="superscript"/>
        </w:rPr>
        <w:footnoteReference w:id="8"/>
      </w:r>
      <w:r w:rsidRPr="00E9787E">
        <w:rPr>
          <w:rFonts w:ascii="Times New Roman" w:eastAsia="Times New Roman" w:hAnsi="Times New Roman" w:cs="Times New Roman"/>
          <w:sz w:val="26"/>
          <w:szCs w:val="26"/>
        </w:rPr>
        <w:t xml:space="preserve"> requires balancing authorities and reliability coordinators to document actions taken to mitigate unscheduled flow.  </w:t>
      </w:r>
    </w:p>
    <w:p w:rsidR="00905240" w:rsidRPr="00E9787E" w:rsidRDefault="00905240" w:rsidP="00E9787E">
      <w:pPr>
        <w:numPr>
          <w:ilvl w:val="0"/>
          <w:numId w:val="4"/>
        </w:numPr>
        <w:autoSpaceDE w:val="0"/>
        <w:autoSpaceDN w:val="0"/>
        <w:adjustRightInd w:val="0"/>
        <w:spacing w:after="0" w:line="240" w:lineRule="auto"/>
        <w:rPr>
          <w:rFonts w:ascii="Times New Roman" w:eastAsia="Times New Roman" w:hAnsi="Times New Roman" w:cs="Times New Roman"/>
          <w:sz w:val="26"/>
          <w:szCs w:val="26"/>
        </w:rPr>
      </w:pPr>
      <w:r w:rsidRPr="00E9787E">
        <w:rPr>
          <w:rFonts w:ascii="Times New Roman" w:eastAsia="Times New Roman" w:hAnsi="Times New Roman" w:cs="Times New Roman"/>
          <w:sz w:val="26"/>
          <w:szCs w:val="26"/>
        </w:rPr>
        <w:t>PRC-004-WECC-2 (Protection System and Remedial Action Scheme Misoperation)</w:t>
      </w:r>
      <w:r w:rsidRPr="00E9787E">
        <w:rPr>
          <w:rFonts w:ascii="Times New Roman" w:eastAsia="Times New Roman" w:hAnsi="Times New Roman" w:cs="Times New Roman"/>
          <w:b/>
          <w:sz w:val="26"/>
          <w:szCs w:val="26"/>
          <w:vertAlign w:val="superscript"/>
        </w:rPr>
        <w:footnoteReference w:id="9"/>
      </w:r>
      <w:r w:rsidRPr="00E9787E">
        <w:rPr>
          <w:rFonts w:ascii="Times New Roman" w:eastAsia="Times New Roman" w:hAnsi="Times New Roman" w:cs="Times New Roman"/>
          <w:sz w:val="26"/>
          <w:szCs w:val="26"/>
        </w:rPr>
        <w:t xml:space="preserve"> requires transmission owners, generator owners and transmission operators to document their analysis and/or mitigation due to certain misoperations on major transfer paths.  This standard requires that documentation be kept for six years.  </w:t>
      </w:r>
    </w:p>
    <w:p w:rsidR="00905240" w:rsidRPr="00E9787E" w:rsidRDefault="00905240" w:rsidP="00E9787E">
      <w:pPr>
        <w:autoSpaceDE w:val="0"/>
        <w:autoSpaceDN w:val="0"/>
        <w:adjustRightInd w:val="0"/>
        <w:spacing w:after="0" w:line="240" w:lineRule="auto"/>
        <w:ind w:left="1440"/>
        <w:rPr>
          <w:rFonts w:ascii="Times New Roman" w:eastAsia="Times New Roman" w:hAnsi="Times New Roman" w:cs="Times New Roman"/>
          <w:sz w:val="26"/>
          <w:szCs w:val="26"/>
        </w:rPr>
      </w:pPr>
    </w:p>
    <w:p w:rsidR="00905240" w:rsidRPr="00E9787E" w:rsidRDefault="00905240" w:rsidP="00E9787E">
      <w:pPr>
        <w:autoSpaceDE w:val="0"/>
        <w:autoSpaceDN w:val="0"/>
        <w:adjustRightInd w:val="0"/>
        <w:spacing w:after="0" w:line="240" w:lineRule="auto"/>
        <w:rPr>
          <w:rFonts w:ascii="Times New Roman" w:eastAsia="Times New Roman" w:hAnsi="Times New Roman" w:cs="Times New Roman"/>
          <w:sz w:val="26"/>
          <w:szCs w:val="26"/>
        </w:rPr>
      </w:pPr>
      <w:r w:rsidRPr="00E9787E">
        <w:rPr>
          <w:rFonts w:ascii="Times New Roman" w:eastAsia="Times New Roman" w:hAnsi="Times New Roman" w:cs="Times New Roman"/>
          <w:sz w:val="26"/>
          <w:szCs w:val="26"/>
        </w:rPr>
        <w:t>The Commission will be submitting a request to OMB to extend those requirements with no change for three years.  The Commission’s request to OMB will also reflect the following:</w:t>
      </w:r>
    </w:p>
    <w:p w:rsidR="0094136F" w:rsidRPr="00E9787E" w:rsidRDefault="0094136F" w:rsidP="00E9787E">
      <w:pPr>
        <w:pStyle w:val="ListParagraph"/>
        <w:numPr>
          <w:ilvl w:val="0"/>
          <w:numId w:val="5"/>
        </w:numPr>
        <w:tabs>
          <w:tab w:val="left" w:pos="1440"/>
        </w:tabs>
        <w:autoSpaceDE w:val="0"/>
        <w:autoSpaceDN w:val="0"/>
        <w:adjustRightInd w:val="0"/>
        <w:spacing w:after="0" w:line="240" w:lineRule="auto"/>
        <w:ind w:left="1440"/>
        <w:rPr>
          <w:rFonts w:ascii="Times New Roman" w:eastAsia="Times New Roman" w:hAnsi="Times New Roman" w:cs="Times New Roman"/>
          <w:sz w:val="26"/>
          <w:szCs w:val="26"/>
        </w:rPr>
      </w:pPr>
      <w:r w:rsidRPr="00E9787E">
        <w:rPr>
          <w:rFonts w:ascii="Times New Roman" w:eastAsia="Times New Roman" w:hAnsi="Times New Roman" w:cs="Times New Roman"/>
          <w:sz w:val="26"/>
          <w:szCs w:val="26"/>
        </w:rPr>
        <w:t xml:space="preserve"> eliminating the burden associated with regional Reliability Standard TOP-007-WECC-1a, which is being retired (addressed in Docket No. RD16-10);</w:t>
      </w:r>
      <w:r w:rsidRPr="00E9787E">
        <w:rPr>
          <w:rFonts w:ascii="Times New Roman" w:eastAsia="Times New Roman" w:hAnsi="Times New Roman" w:cs="Times New Roman"/>
          <w:b/>
          <w:sz w:val="26"/>
          <w:szCs w:val="26"/>
          <w:vertAlign w:val="superscript"/>
        </w:rPr>
        <w:footnoteReference w:id="10"/>
      </w:r>
      <w:r w:rsidRPr="00E9787E">
        <w:rPr>
          <w:rFonts w:ascii="Times New Roman" w:eastAsia="Times New Roman" w:hAnsi="Times New Roman" w:cs="Times New Roman"/>
          <w:sz w:val="26"/>
          <w:szCs w:val="26"/>
        </w:rPr>
        <w:t xml:space="preserve"> and</w:t>
      </w:r>
    </w:p>
    <w:p w:rsidR="0094136F" w:rsidRPr="00E9787E" w:rsidRDefault="0094136F" w:rsidP="00E9787E">
      <w:pPr>
        <w:numPr>
          <w:ilvl w:val="0"/>
          <w:numId w:val="5"/>
        </w:numPr>
        <w:tabs>
          <w:tab w:val="left" w:pos="1440"/>
        </w:tabs>
        <w:autoSpaceDE w:val="0"/>
        <w:autoSpaceDN w:val="0"/>
        <w:adjustRightInd w:val="0"/>
        <w:spacing w:after="0" w:line="240" w:lineRule="auto"/>
        <w:ind w:left="1440"/>
        <w:contextualSpacing/>
        <w:rPr>
          <w:rFonts w:ascii="Times New Roman" w:eastAsia="Times New Roman" w:hAnsi="Times New Roman" w:cs="Times New Roman"/>
          <w:sz w:val="26"/>
          <w:szCs w:val="26"/>
        </w:rPr>
      </w:pPr>
      <w:r w:rsidRPr="00E9787E">
        <w:rPr>
          <w:rFonts w:ascii="Times New Roman" w:hAnsi="Times New Roman" w:cs="Times New Roman"/>
          <w:sz w:val="26"/>
          <w:szCs w:val="26"/>
        </w:rPr>
        <w:t xml:space="preserve">implementing </w:t>
      </w:r>
      <w:r w:rsidRPr="00E9787E">
        <w:rPr>
          <w:rFonts w:ascii="Times New Roman" w:eastAsia="Times New Roman" w:hAnsi="Times New Roman" w:cs="Times New Roman"/>
          <w:sz w:val="26"/>
          <w:szCs w:val="26"/>
        </w:rPr>
        <w:t>the regional Reliability Standard VAR-501-WECC-3 and  retiring regional Reliability Standard VAR-501-WECC-2</w:t>
      </w:r>
      <w:r w:rsidRPr="00E9787E">
        <w:rPr>
          <w:rFonts w:ascii="Times New Roman" w:hAnsi="Times New Roman" w:cs="Times New Roman"/>
          <w:sz w:val="26"/>
          <w:szCs w:val="26"/>
        </w:rPr>
        <w:t xml:space="preserve"> </w:t>
      </w:r>
      <w:r w:rsidRPr="00E9787E">
        <w:rPr>
          <w:rFonts w:ascii="Times New Roman" w:eastAsia="Times New Roman" w:hAnsi="Times New Roman" w:cs="Times New Roman"/>
          <w:sz w:val="26"/>
          <w:szCs w:val="26"/>
        </w:rPr>
        <w:t xml:space="preserve">(addressed in Docket No. RD17-5 and discussed below). </w:t>
      </w:r>
    </w:p>
    <w:p w:rsidR="0094136F" w:rsidRPr="00E9787E" w:rsidRDefault="0094136F" w:rsidP="00E9787E">
      <w:pPr>
        <w:spacing w:after="0" w:line="240" w:lineRule="auto"/>
        <w:rPr>
          <w:rFonts w:ascii="Times New Roman" w:eastAsia="Times New Roman" w:hAnsi="Times New Roman" w:cs="Times New Roman"/>
          <w:sz w:val="26"/>
          <w:szCs w:val="26"/>
        </w:rPr>
      </w:pPr>
      <w:r w:rsidRPr="00E9787E">
        <w:rPr>
          <w:rFonts w:ascii="Times New Roman" w:hAnsi="Times New Roman" w:cs="Times New Roman"/>
          <w:sz w:val="26"/>
          <w:szCs w:val="26"/>
        </w:rPr>
        <w:t>In this document, we provide estimates of the burden and cost related to those revisions to FERC-725E.</w:t>
      </w:r>
      <w:r w:rsidRPr="00E9787E">
        <w:rPr>
          <w:rFonts w:ascii="Times New Roman" w:eastAsia="Times New Roman" w:hAnsi="Times New Roman" w:cs="Times New Roman"/>
          <w:sz w:val="26"/>
          <w:szCs w:val="26"/>
        </w:rPr>
        <w:t xml:space="preserve">  Details follow on the changes due to Docket Nos. RD16-10, RD17-5, and IC17-6 and on the continuing burdens which are being submitted to OMB for approval in a consolidated package under FERC-725E.</w:t>
      </w:r>
    </w:p>
    <w:p w:rsidR="00DA737C" w:rsidRPr="00E9787E" w:rsidRDefault="00DA737C" w:rsidP="00E9787E">
      <w:pPr>
        <w:spacing w:after="0" w:line="240" w:lineRule="auto"/>
        <w:rPr>
          <w:rFonts w:ascii="Times New Roman" w:hAnsi="Times New Roman" w:cs="Times New Roman"/>
          <w:sz w:val="26"/>
          <w:szCs w:val="26"/>
        </w:rPr>
      </w:pPr>
    </w:p>
    <w:p w:rsidR="00DA737C" w:rsidRPr="00E9787E" w:rsidRDefault="00DA737C" w:rsidP="00E9787E">
      <w:pPr>
        <w:pStyle w:val="ListParagraph"/>
        <w:numPr>
          <w:ilvl w:val="0"/>
          <w:numId w:val="1"/>
        </w:numPr>
        <w:spacing w:after="0" w:line="240" w:lineRule="auto"/>
        <w:rPr>
          <w:rFonts w:ascii="Times New Roman" w:hAnsi="Times New Roman" w:cs="Times New Roman"/>
          <w:b/>
          <w:sz w:val="26"/>
          <w:szCs w:val="26"/>
        </w:rPr>
      </w:pPr>
      <w:r w:rsidRPr="00E9787E">
        <w:rPr>
          <w:rFonts w:ascii="Times New Roman" w:hAnsi="Times New Roman" w:cs="Times New Roman"/>
          <w:b/>
          <w:sz w:val="26"/>
          <w:szCs w:val="26"/>
        </w:rPr>
        <w:t>HOW, BY WHOM, AND FOR WHAT PURPOSE THE INFORMATION IS TO BE USED AND THE CONSEQUENCES OF NOT COLLECTING THE INFORMATION</w:t>
      </w:r>
    </w:p>
    <w:p w:rsidR="001B5E66" w:rsidRPr="00E9787E" w:rsidRDefault="001B5E66" w:rsidP="00E9787E">
      <w:pPr>
        <w:spacing w:after="0" w:line="240" w:lineRule="auto"/>
        <w:rPr>
          <w:rFonts w:ascii="Times New Roman" w:hAnsi="Times New Roman" w:cs="Times New Roman"/>
          <w:sz w:val="26"/>
          <w:szCs w:val="26"/>
        </w:rPr>
      </w:pPr>
    </w:p>
    <w:p w:rsidR="001B5E66" w:rsidRPr="00E9787E" w:rsidRDefault="001B5E66"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In general, information collection and record retention requirements related to Reliability Standards are not submitted to, or retained for audit by, the Commission.  Rather they are submitted to, or retained for audit by, NERC (the Commission-approved ERO) or the Compliance Enforcement Authority, as specified in each individual Reliability Standard.</w:t>
      </w:r>
    </w:p>
    <w:p w:rsidR="00A74AB7" w:rsidRPr="00E9787E" w:rsidRDefault="00A74AB7" w:rsidP="00E9787E">
      <w:pPr>
        <w:spacing w:after="0" w:line="240" w:lineRule="auto"/>
        <w:rPr>
          <w:rFonts w:ascii="Times New Roman" w:hAnsi="Times New Roman" w:cs="Times New Roman"/>
          <w:sz w:val="26"/>
          <w:szCs w:val="26"/>
        </w:rPr>
      </w:pPr>
    </w:p>
    <w:p w:rsidR="00A74AB7" w:rsidRPr="00E9787E" w:rsidRDefault="00091DDC" w:rsidP="00E9787E">
      <w:pPr>
        <w:spacing w:after="0" w:line="240" w:lineRule="auto"/>
        <w:rPr>
          <w:rFonts w:ascii="Times New Roman" w:eastAsia="Times New Roman" w:hAnsi="Times New Roman" w:cs="Times New Roman"/>
          <w:sz w:val="26"/>
          <w:szCs w:val="26"/>
        </w:rPr>
      </w:pPr>
      <w:r w:rsidRPr="00E9787E">
        <w:rPr>
          <w:rFonts w:ascii="Times New Roman" w:eastAsia="Times New Roman" w:hAnsi="Times New Roman" w:cs="Times New Roman"/>
          <w:sz w:val="26"/>
          <w:szCs w:val="26"/>
        </w:rPr>
        <w:t xml:space="preserve">The information collected by the FERC-725E is required to implement the statutory </w:t>
      </w:r>
    </w:p>
    <w:p w:rsidR="0094136F" w:rsidRPr="00E9787E" w:rsidRDefault="00091DDC" w:rsidP="00E9787E">
      <w:pPr>
        <w:spacing w:after="0" w:line="240" w:lineRule="auto"/>
        <w:rPr>
          <w:rFonts w:ascii="Times New Roman" w:eastAsia="Times New Roman" w:hAnsi="Times New Roman" w:cs="Times New Roman"/>
          <w:sz w:val="26"/>
          <w:szCs w:val="26"/>
        </w:rPr>
      </w:pPr>
      <w:r w:rsidRPr="00E9787E">
        <w:rPr>
          <w:rFonts w:ascii="Times New Roman" w:eastAsia="Times New Roman" w:hAnsi="Times New Roman" w:cs="Times New Roman"/>
          <w:sz w:val="26"/>
          <w:szCs w:val="26"/>
        </w:rPr>
        <w:t>provisions of section 215 of the Federal Power Act (FPA) (16 U.S.C. 824o).  Section 215 of the FPA buttresses the Commission’s efforts to strengthen the reliability of the interstate grid through the grant of new authority by providing for a system of mandatory Reliability Standards developed by the Electric Reliability Organization (ERO).  Reliability Standards that the ERO proposes to the Commission may include Reliability Standards that are proposed to the ERO by a Regional Entity.</w:t>
      </w:r>
      <w:r w:rsidRPr="00E9787E">
        <w:rPr>
          <w:rFonts w:ascii="Times New Roman" w:eastAsia="Times New Roman" w:hAnsi="Times New Roman" w:cs="Times New Roman"/>
          <w:b/>
          <w:sz w:val="26"/>
          <w:szCs w:val="26"/>
          <w:vertAlign w:val="superscript"/>
        </w:rPr>
        <w:footnoteReference w:id="11"/>
      </w:r>
      <w:r w:rsidRPr="00E9787E">
        <w:rPr>
          <w:rFonts w:ascii="Times New Roman" w:eastAsia="Times New Roman" w:hAnsi="Times New Roman" w:cs="Times New Roman"/>
          <w:sz w:val="26"/>
          <w:szCs w:val="26"/>
        </w:rPr>
        <w:t xml:space="preserve">  </w:t>
      </w:r>
    </w:p>
    <w:p w:rsidR="00091DDC" w:rsidRPr="00E9787E" w:rsidRDefault="00091DDC" w:rsidP="00E9787E">
      <w:pPr>
        <w:spacing w:after="0" w:line="240" w:lineRule="auto"/>
        <w:rPr>
          <w:rFonts w:ascii="Times New Roman" w:hAnsi="Times New Roman" w:cs="Times New Roman"/>
          <w:sz w:val="26"/>
          <w:szCs w:val="26"/>
        </w:rPr>
      </w:pPr>
    </w:p>
    <w:p w:rsidR="00DA737C" w:rsidRPr="00E9787E" w:rsidRDefault="0094136F"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The information generated by these standards generally serves to ensure entities are complying with applicable Reliability Standards</w:t>
      </w:r>
      <w:r w:rsidR="00D6659D">
        <w:rPr>
          <w:rFonts w:ascii="Times New Roman" w:hAnsi="Times New Roman" w:cs="Times New Roman"/>
          <w:sz w:val="26"/>
          <w:szCs w:val="26"/>
        </w:rPr>
        <w:t xml:space="preserve">, which </w:t>
      </w:r>
      <w:r w:rsidR="00FA7881">
        <w:rPr>
          <w:rFonts w:ascii="Times New Roman" w:hAnsi="Times New Roman" w:cs="Times New Roman"/>
          <w:sz w:val="26"/>
          <w:szCs w:val="26"/>
        </w:rPr>
        <w:t>help</w:t>
      </w:r>
      <w:r w:rsidR="00D6659D">
        <w:rPr>
          <w:rFonts w:ascii="Times New Roman" w:hAnsi="Times New Roman" w:cs="Times New Roman"/>
          <w:sz w:val="26"/>
          <w:szCs w:val="26"/>
        </w:rPr>
        <w:t xml:space="preserve"> to ensure the reliability of the Nation’s Bulk Power System</w:t>
      </w:r>
      <w:r w:rsidRPr="00E9787E">
        <w:rPr>
          <w:rFonts w:ascii="Times New Roman" w:hAnsi="Times New Roman" w:cs="Times New Roman"/>
          <w:sz w:val="26"/>
          <w:szCs w:val="26"/>
        </w:rPr>
        <w:t>.</w:t>
      </w:r>
      <w:r w:rsidR="00C278EB" w:rsidRPr="00E9787E">
        <w:rPr>
          <w:rFonts w:ascii="Times New Roman" w:hAnsi="Times New Roman" w:cs="Times New Roman"/>
          <w:sz w:val="26"/>
          <w:szCs w:val="26"/>
        </w:rPr>
        <w:t xml:space="preserve"> </w:t>
      </w:r>
    </w:p>
    <w:p w:rsidR="00A74AB7" w:rsidRPr="00E9787E" w:rsidRDefault="00A74AB7" w:rsidP="00E9787E">
      <w:pPr>
        <w:spacing w:after="0" w:line="240" w:lineRule="auto"/>
        <w:rPr>
          <w:rFonts w:ascii="Times New Roman" w:hAnsi="Times New Roman" w:cs="Times New Roman"/>
          <w:sz w:val="26"/>
          <w:szCs w:val="26"/>
        </w:rPr>
      </w:pPr>
    </w:p>
    <w:p w:rsidR="00DA737C" w:rsidRPr="00E9787E" w:rsidRDefault="00DA737C" w:rsidP="00E9787E">
      <w:pPr>
        <w:pStyle w:val="ListParagraph"/>
        <w:numPr>
          <w:ilvl w:val="0"/>
          <w:numId w:val="1"/>
        </w:numPr>
        <w:spacing w:after="0" w:line="240" w:lineRule="auto"/>
        <w:rPr>
          <w:rFonts w:ascii="Times New Roman" w:hAnsi="Times New Roman" w:cs="Times New Roman"/>
          <w:b/>
          <w:sz w:val="26"/>
          <w:szCs w:val="26"/>
        </w:rPr>
      </w:pPr>
      <w:r w:rsidRPr="00E9787E">
        <w:rPr>
          <w:rFonts w:ascii="Times New Roman" w:hAnsi="Times New Roman" w:cs="Times New Roman"/>
          <w:b/>
          <w:sz w:val="26"/>
          <w:szCs w:val="26"/>
        </w:rPr>
        <w:t>DESCRIBE ANY CONSIDERATION OF THE USE OF IMPROVED INFORMATION TECHNOLOGY TO REDUCE THE BURDEN AND TECHNICAL OR LEGAL OBSTACLES TO REDUCING BURDEN</w:t>
      </w:r>
    </w:p>
    <w:p w:rsidR="00DA737C" w:rsidRPr="00E9787E" w:rsidRDefault="00DA737C" w:rsidP="00E9787E">
      <w:pPr>
        <w:spacing w:after="0" w:line="240" w:lineRule="auto"/>
        <w:rPr>
          <w:rFonts w:ascii="Times New Roman" w:hAnsi="Times New Roman" w:cs="Times New Roman"/>
          <w:sz w:val="26"/>
          <w:szCs w:val="26"/>
        </w:rPr>
      </w:pPr>
    </w:p>
    <w:p w:rsidR="001B5E66" w:rsidRPr="00E9787E" w:rsidRDefault="001B5E66"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 xml:space="preserve">The use of current or improved technology and the medium are not covered in Reliability Standards. </w:t>
      </w:r>
    </w:p>
    <w:p w:rsidR="001B5E66" w:rsidRPr="00E9787E" w:rsidRDefault="001B5E66" w:rsidP="00E9787E">
      <w:pPr>
        <w:spacing w:after="0" w:line="240" w:lineRule="auto"/>
        <w:rPr>
          <w:rFonts w:ascii="Times New Roman" w:hAnsi="Times New Roman" w:cs="Times New Roman"/>
          <w:sz w:val="26"/>
          <w:szCs w:val="26"/>
        </w:rPr>
      </w:pPr>
    </w:p>
    <w:p w:rsidR="001B5E66" w:rsidRPr="00E9787E" w:rsidRDefault="001B5E66"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We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password-protected user interface.</w:t>
      </w:r>
    </w:p>
    <w:p w:rsidR="001B5E66" w:rsidRPr="00E9787E" w:rsidRDefault="001B5E66" w:rsidP="00E9787E">
      <w:pPr>
        <w:spacing w:after="0" w:line="240" w:lineRule="auto"/>
        <w:rPr>
          <w:rFonts w:ascii="Times New Roman" w:hAnsi="Times New Roman" w:cs="Times New Roman"/>
          <w:sz w:val="26"/>
          <w:szCs w:val="26"/>
        </w:rPr>
      </w:pPr>
    </w:p>
    <w:p w:rsidR="00DA737C" w:rsidRPr="00E9787E" w:rsidRDefault="00DA737C" w:rsidP="00E9787E">
      <w:pPr>
        <w:pStyle w:val="ListParagraph"/>
        <w:numPr>
          <w:ilvl w:val="0"/>
          <w:numId w:val="1"/>
        </w:numPr>
        <w:spacing w:after="0" w:line="240" w:lineRule="auto"/>
        <w:rPr>
          <w:rFonts w:ascii="Times New Roman" w:hAnsi="Times New Roman" w:cs="Times New Roman"/>
          <w:b/>
          <w:sz w:val="26"/>
          <w:szCs w:val="26"/>
        </w:rPr>
      </w:pPr>
      <w:r w:rsidRPr="00E9787E">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00DA737C" w:rsidRPr="00E9787E" w:rsidRDefault="00DA737C" w:rsidP="00E9787E">
      <w:pPr>
        <w:spacing w:after="0" w:line="240" w:lineRule="auto"/>
        <w:rPr>
          <w:rFonts w:ascii="Times New Roman" w:hAnsi="Times New Roman" w:cs="Times New Roman"/>
          <w:sz w:val="26"/>
          <w:szCs w:val="26"/>
        </w:rPr>
      </w:pPr>
    </w:p>
    <w:p w:rsidR="009A3F19" w:rsidRPr="00E9787E" w:rsidRDefault="009A3F19"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Filing requirements are periodically reviewed as OMB review dates arise or as the Commission may deem necessary in carrying out its regulatory responsibilities</w:t>
      </w:r>
      <w:r w:rsidRPr="00E9787E">
        <w:rPr>
          <w:rFonts w:ascii="Times New Roman" w:eastAsia="Calibri" w:hAnsi="Times New Roman" w:cs="Times New Roman"/>
          <w:sz w:val="26"/>
          <w:szCs w:val="26"/>
        </w:rPr>
        <w:t xml:space="preserve"> </w:t>
      </w:r>
      <w:r w:rsidRPr="00E9787E">
        <w:rPr>
          <w:rFonts w:ascii="Times New Roman" w:hAnsi="Times New Roman" w:cs="Times New Roman"/>
          <w:sz w:val="26"/>
          <w:szCs w:val="26"/>
        </w:rPr>
        <w:t xml:space="preserve">under the FPA in order to eliminate duplication and ensure that filing burden is minimized. There are no similar sources for information available that can be used or modified for these reporting purposes. </w:t>
      </w:r>
    </w:p>
    <w:p w:rsidR="00990515" w:rsidRPr="00E9787E" w:rsidRDefault="009A3F19"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 xml:space="preserve"> </w:t>
      </w:r>
    </w:p>
    <w:p w:rsidR="00DA737C" w:rsidRPr="00E9787E" w:rsidRDefault="00DA737C" w:rsidP="00E9787E">
      <w:pPr>
        <w:pStyle w:val="ListParagraph"/>
        <w:numPr>
          <w:ilvl w:val="0"/>
          <w:numId w:val="1"/>
        </w:numPr>
        <w:spacing w:after="0" w:line="240" w:lineRule="auto"/>
        <w:rPr>
          <w:rFonts w:ascii="Times New Roman" w:hAnsi="Times New Roman" w:cs="Times New Roman"/>
          <w:b/>
          <w:sz w:val="26"/>
          <w:szCs w:val="26"/>
        </w:rPr>
      </w:pPr>
      <w:r w:rsidRPr="00E9787E">
        <w:rPr>
          <w:rFonts w:ascii="Times New Roman" w:hAnsi="Times New Roman" w:cs="Times New Roman"/>
          <w:b/>
          <w:sz w:val="26"/>
          <w:szCs w:val="26"/>
        </w:rPr>
        <w:t>METHODS USED TO MINIMIZE THE BURDEN IN COLLECTION OF INFORMATION INVOLVING SMALL ENTITIES</w:t>
      </w:r>
    </w:p>
    <w:p w:rsidR="00DA737C" w:rsidRPr="00E9787E" w:rsidRDefault="00DA737C" w:rsidP="00E9787E">
      <w:pPr>
        <w:spacing w:after="0" w:line="240" w:lineRule="auto"/>
        <w:rPr>
          <w:rFonts w:ascii="Times New Roman" w:hAnsi="Times New Roman" w:cs="Times New Roman"/>
          <w:sz w:val="26"/>
          <w:szCs w:val="26"/>
        </w:rPr>
      </w:pPr>
    </w:p>
    <w:p w:rsidR="0037346C" w:rsidRPr="0037346C" w:rsidRDefault="0037346C" w:rsidP="0037346C">
      <w:pPr>
        <w:pStyle w:val="PlainText"/>
        <w:rPr>
          <w:rFonts w:ascii="Times New Roman" w:hAnsi="Times New Roman" w:cs="Times New Roman"/>
          <w:sz w:val="26"/>
          <w:szCs w:val="26"/>
        </w:rPr>
      </w:pPr>
      <w:r w:rsidRPr="0037346C">
        <w:rPr>
          <w:rFonts w:ascii="Times New Roman" w:hAnsi="Times New Roman" w:cs="Times New Roman"/>
          <w:sz w:val="26"/>
          <w:szCs w:val="26"/>
        </w:rPr>
        <w:t>Small entities by the nature of their size have a smaller (or lower) incidence of overlap with their applicable assets and standard requirement obligations imposed on those assets.  Also in several instances, NERC has closely examined registered entity's' impact on the bulk electric system and eliminated particular registered entities from applicability or even eliminated entire registered entity classifications in an effort to minimize the burden of compliance for those not having a significant impact on the bulk power system.</w:t>
      </w:r>
    </w:p>
    <w:p w:rsidR="009A3F19" w:rsidRPr="00E9787E" w:rsidRDefault="009A3F19" w:rsidP="00E9787E">
      <w:pPr>
        <w:spacing w:after="0" w:line="240" w:lineRule="auto"/>
        <w:rPr>
          <w:rFonts w:ascii="Times New Roman" w:hAnsi="Times New Roman" w:cs="Times New Roman"/>
          <w:sz w:val="26"/>
          <w:szCs w:val="26"/>
        </w:rPr>
      </w:pPr>
    </w:p>
    <w:p w:rsidR="000B4A06" w:rsidRPr="00E9787E" w:rsidRDefault="000B4A06" w:rsidP="00E9787E">
      <w:pPr>
        <w:spacing w:after="0" w:line="240" w:lineRule="auto"/>
        <w:rPr>
          <w:rFonts w:ascii="Times New Roman" w:eastAsia="Calibri" w:hAnsi="Times New Roman" w:cs="Times New Roman"/>
          <w:bCs/>
          <w:sz w:val="26"/>
          <w:szCs w:val="26"/>
        </w:rPr>
      </w:pPr>
    </w:p>
    <w:p w:rsidR="00DA737C" w:rsidRPr="00E9787E" w:rsidRDefault="00DA737C" w:rsidP="00E9787E">
      <w:pPr>
        <w:pStyle w:val="ListParagraph"/>
        <w:numPr>
          <w:ilvl w:val="0"/>
          <w:numId w:val="1"/>
        </w:numPr>
        <w:spacing w:after="0" w:line="240" w:lineRule="auto"/>
        <w:rPr>
          <w:rFonts w:ascii="Times New Roman" w:hAnsi="Times New Roman" w:cs="Times New Roman"/>
          <w:b/>
          <w:sz w:val="26"/>
          <w:szCs w:val="26"/>
        </w:rPr>
      </w:pPr>
      <w:r w:rsidRPr="00E9787E">
        <w:rPr>
          <w:rFonts w:ascii="Times New Roman" w:hAnsi="Times New Roman" w:cs="Times New Roman"/>
          <w:b/>
          <w:sz w:val="26"/>
          <w:szCs w:val="26"/>
        </w:rPr>
        <w:t>CONSEQUENCE TO FEDERAL PROGRAM IF COLLECTION WERE CONDUCTED LESS FREQUENTLY</w:t>
      </w:r>
    </w:p>
    <w:p w:rsidR="000B4A06" w:rsidRPr="00E9787E" w:rsidRDefault="000B4A06" w:rsidP="00E9787E">
      <w:pPr>
        <w:spacing w:after="0" w:line="240" w:lineRule="auto"/>
        <w:rPr>
          <w:rFonts w:ascii="Times New Roman" w:hAnsi="Times New Roman" w:cs="Times New Roman"/>
          <w:sz w:val="26"/>
          <w:szCs w:val="26"/>
        </w:rPr>
      </w:pPr>
    </w:p>
    <w:p w:rsidR="00091DDC" w:rsidRPr="00E9787E" w:rsidRDefault="000B4A06" w:rsidP="00CA5B1A">
      <w:pPr>
        <w:rPr>
          <w:rFonts w:ascii="Times New Roman" w:hAnsi="Times New Roman" w:cs="Times New Roman"/>
          <w:sz w:val="26"/>
          <w:szCs w:val="26"/>
        </w:rPr>
      </w:pPr>
      <w:r w:rsidRPr="00E9787E">
        <w:rPr>
          <w:rFonts w:ascii="Times New Roman" w:eastAsia="Calibri" w:hAnsi="Times New Roman" w:cs="Times New Roman"/>
          <w:sz w:val="26"/>
          <w:szCs w:val="26"/>
        </w:rPr>
        <w:t>Any reduction in frequency of the information collection may diminish the ability of NERC, or Regional Entities, to ensure that applicable entities</w:t>
      </w:r>
      <w:r w:rsidR="006D326C">
        <w:rPr>
          <w:rFonts w:ascii="Times New Roman" w:eastAsia="Calibri" w:hAnsi="Times New Roman" w:cs="Times New Roman"/>
          <w:sz w:val="26"/>
          <w:szCs w:val="26"/>
        </w:rPr>
        <w:t xml:space="preserve"> </w:t>
      </w:r>
      <w:r w:rsidR="006D326C" w:rsidRPr="006D326C">
        <w:rPr>
          <w:rFonts w:ascii="Times New Roman" w:hAnsi="Times New Roman" w:cs="Times New Roman"/>
          <w:sz w:val="26"/>
          <w:szCs w:val="26"/>
        </w:rPr>
        <w:t>achieve the objective of operating within acceptable pre- and post-contingency reliability criteria</w:t>
      </w:r>
      <w:r w:rsidR="006D326C">
        <w:rPr>
          <w:rFonts w:ascii="Times New Roman" w:hAnsi="Times New Roman" w:cs="Times New Roman"/>
          <w:sz w:val="26"/>
          <w:szCs w:val="26"/>
        </w:rPr>
        <w:t xml:space="preserve">.  Failure to follow reporting requirements could directly affect the ability to effectively monitor, control and ensure reliability of the bulk electric system. </w:t>
      </w:r>
      <w:r w:rsidRPr="00E9787E">
        <w:rPr>
          <w:rFonts w:ascii="Times New Roman" w:eastAsia="Calibri" w:hAnsi="Times New Roman" w:cs="Times New Roman"/>
          <w:sz w:val="26"/>
          <w:szCs w:val="26"/>
        </w:rPr>
        <w:t xml:space="preserve"> </w:t>
      </w:r>
    </w:p>
    <w:p w:rsidR="00A74AB7" w:rsidRPr="00E9787E" w:rsidRDefault="00A74AB7" w:rsidP="00E9787E">
      <w:pPr>
        <w:spacing w:after="0" w:line="240" w:lineRule="auto"/>
        <w:rPr>
          <w:rFonts w:ascii="Times New Roman" w:hAnsi="Times New Roman" w:cs="Times New Roman"/>
          <w:sz w:val="26"/>
          <w:szCs w:val="26"/>
        </w:rPr>
      </w:pPr>
    </w:p>
    <w:p w:rsidR="00DA737C" w:rsidRPr="00E9787E" w:rsidRDefault="00DA737C" w:rsidP="00E9787E">
      <w:pPr>
        <w:pStyle w:val="ListParagraph"/>
        <w:numPr>
          <w:ilvl w:val="0"/>
          <w:numId w:val="1"/>
        </w:numPr>
        <w:spacing w:after="0" w:line="240" w:lineRule="auto"/>
        <w:rPr>
          <w:rFonts w:ascii="Times New Roman" w:hAnsi="Times New Roman" w:cs="Times New Roman"/>
          <w:b/>
          <w:sz w:val="26"/>
          <w:szCs w:val="26"/>
        </w:rPr>
      </w:pPr>
      <w:r w:rsidRPr="00E9787E">
        <w:rPr>
          <w:rFonts w:ascii="Times New Roman" w:hAnsi="Times New Roman" w:cs="Times New Roman"/>
          <w:b/>
          <w:sz w:val="26"/>
          <w:szCs w:val="26"/>
        </w:rPr>
        <w:t>EXPLAIN ANY SPECIAL CIRCUMSTANCES RELATING TO THE INFORMATION COLLECTION</w:t>
      </w:r>
    </w:p>
    <w:p w:rsidR="00E70CDD" w:rsidRPr="00E9787E" w:rsidRDefault="00E70CDD" w:rsidP="00E9787E">
      <w:pPr>
        <w:spacing w:after="0" w:line="240" w:lineRule="auto"/>
        <w:rPr>
          <w:rFonts w:ascii="Times New Roman" w:hAnsi="Times New Roman" w:cs="Times New Roman"/>
          <w:sz w:val="26"/>
          <w:szCs w:val="26"/>
        </w:rPr>
      </w:pPr>
    </w:p>
    <w:p w:rsidR="00917FB4" w:rsidRPr="00E9787E" w:rsidRDefault="00917FB4"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PRC-004-WECC-1 requires transmission owners, generator owners and transmission operators to maintain documentation for six years related to their analysis and/or mitigation due to certain misoperations on major transfer paths.  This six year retention period is necessary because tracking and correcting system protection misoperations are critical to reliability.  NERC in its Misoperations Report (April 1, 2013) says it formed a task force to analyze one of its “top priority reliability issues – protection system misoperations.”  The data collected allows for study of events, how to properly categorize the type of misoperations and develop recommendations “to potentially reduce the amount of future misoperations.”</w:t>
      </w:r>
      <w:r w:rsidRPr="00E9787E">
        <w:rPr>
          <w:rStyle w:val="FootnoteReference"/>
          <w:rFonts w:ascii="Times New Roman" w:hAnsi="Times New Roman" w:cs="Times New Roman"/>
          <w:sz w:val="26"/>
          <w:szCs w:val="26"/>
          <w:vertAlign w:val="superscript"/>
        </w:rPr>
        <w:footnoteReference w:id="12"/>
      </w:r>
      <w:r w:rsidRPr="00E9787E">
        <w:rPr>
          <w:rFonts w:ascii="Times New Roman" w:hAnsi="Times New Roman" w:cs="Times New Roman"/>
          <w:sz w:val="26"/>
          <w:szCs w:val="26"/>
        </w:rPr>
        <w:t xml:space="preserve">   The task force has not posted an updated version of this Misoperations Report on the NERC website since 2013.</w:t>
      </w:r>
    </w:p>
    <w:p w:rsidR="00917FB4" w:rsidRPr="00E9787E" w:rsidRDefault="00917FB4" w:rsidP="00E9787E">
      <w:pPr>
        <w:spacing w:after="0" w:line="240" w:lineRule="auto"/>
        <w:rPr>
          <w:rFonts w:ascii="Times New Roman" w:hAnsi="Times New Roman" w:cs="Times New Roman"/>
          <w:sz w:val="26"/>
          <w:szCs w:val="26"/>
        </w:rPr>
      </w:pPr>
    </w:p>
    <w:p w:rsidR="00DA737C" w:rsidRPr="00E9787E" w:rsidRDefault="00DA737C" w:rsidP="00E9787E">
      <w:pPr>
        <w:pStyle w:val="ListParagraph"/>
        <w:numPr>
          <w:ilvl w:val="0"/>
          <w:numId w:val="1"/>
        </w:numPr>
        <w:spacing w:after="0" w:line="240" w:lineRule="auto"/>
        <w:rPr>
          <w:rFonts w:ascii="Times New Roman" w:hAnsi="Times New Roman" w:cs="Times New Roman"/>
          <w:b/>
          <w:sz w:val="26"/>
          <w:szCs w:val="26"/>
        </w:rPr>
      </w:pPr>
      <w:r w:rsidRPr="00E9787E">
        <w:rPr>
          <w:rFonts w:ascii="Times New Roman" w:hAnsi="Times New Roman" w:cs="Times New Roman"/>
          <w:b/>
          <w:sz w:val="26"/>
          <w:szCs w:val="26"/>
        </w:rPr>
        <w:t>DESCRIBE EFFORTS TO CONSULT OUTSIDE THE AGENCY: SUMMARIZE PUBLIC COMMENTS AND THE AGENCY’S RESPONSE</w:t>
      </w:r>
    </w:p>
    <w:p w:rsidR="00DA737C" w:rsidRPr="00E9787E" w:rsidRDefault="00DA737C" w:rsidP="00E9787E">
      <w:pPr>
        <w:spacing w:after="0" w:line="240" w:lineRule="auto"/>
        <w:rPr>
          <w:rFonts w:ascii="Times New Roman" w:hAnsi="Times New Roman" w:cs="Times New Roman"/>
          <w:sz w:val="26"/>
          <w:szCs w:val="26"/>
        </w:rPr>
      </w:pPr>
    </w:p>
    <w:p w:rsidR="00E9787E" w:rsidRDefault="00E70CDD"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In accordance with OMB requirements, the Commission published 60-day notice</w:t>
      </w:r>
      <w:r w:rsidR="003931A5" w:rsidRPr="00E9787E">
        <w:rPr>
          <w:rFonts w:ascii="Times New Roman" w:hAnsi="Times New Roman" w:cs="Times New Roman"/>
          <w:sz w:val="26"/>
          <w:szCs w:val="26"/>
        </w:rPr>
        <w:t>s</w:t>
      </w:r>
      <w:r w:rsidRPr="00E9787E">
        <w:rPr>
          <w:rFonts w:ascii="Times New Roman" w:hAnsi="Times New Roman" w:cs="Times New Roman"/>
          <w:sz w:val="26"/>
          <w:szCs w:val="26"/>
        </w:rPr>
        <w:t xml:space="preserve"> and a 30-day notice </w:t>
      </w:r>
      <w:r w:rsidR="003931A5" w:rsidRPr="00E9787E">
        <w:rPr>
          <w:rFonts w:ascii="Times New Roman" w:hAnsi="Times New Roman" w:cs="Times New Roman"/>
          <w:sz w:val="26"/>
          <w:szCs w:val="26"/>
        </w:rPr>
        <w:t>providing</w:t>
      </w:r>
      <w:r w:rsidRPr="00E9787E">
        <w:rPr>
          <w:rFonts w:ascii="Times New Roman" w:hAnsi="Times New Roman" w:cs="Times New Roman"/>
          <w:sz w:val="26"/>
          <w:szCs w:val="26"/>
        </w:rPr>
        <w:t xml:space="preserve"> public </w:t>
      </w:r>
      <w:r w:rsidR="000B4A06" w:rsidRPr="00E9787E">
        <w:rPr>
          <w:rFonts w:ascii="Times New Roman" w:eastAsia="Calibri" w:hAnsi="Times New Roman" w:cs="Times New Roman"/>
          <w:sz w:val="26"/>
          <w:szCs w:val="26"/>
        </w:rPr>
        <w:t>utilities and licensees, state commissions, Federal agencies, and other interested parties an opportunity to submit data, views, comments or suggestions concerning the proposed collection of data</w:t>
      </w:r>
      <w:r w:rsidR="000B4A06" w:rsidRPr="00E9787E">
        <w:rPr>
          <w:rFonts w:ascii="Times New Roman" w:hAnsi="Times New Roman" w:cs="Times New Roman"/>
          <w:sz w:val="26"/>
          <w:szCs w:val="26"/>
        </w:rPr>
        <w:t>. W</w:t>
      </w:r>
      <w:r w:rsidRPr="00E9787E">
        <w:rPr>
          <w:rFonts w:ascii="Times New Roman" w:hAnsi="Times New Roman" w:cs="Times New Roman"/>
          <w:sz w:val="26"/>
          <w:szCs w:val="26"/>
        </w:rPr>
        <w:t>ithin the public notices, the Commission noted that it would be requesting a three-year extension of the public reporting burden</w:t>
      </w:r>
      <w:r w:rsidR="00A1039F">
        <w:rPr>
          <w:rFonts w:ascii="Times New Roman" w:hAnsi="Times New Roman" w:cs="Times New Roman"/>
          <w:sz w:val="26"/>
          <w:szCs w:val="26"/>
        </w:rPr>
        <w:t>, as revised in Docket Nos. RD16-10, RD17-5, and IC17-6</w:t>
      </w:r>
      <w:r w:rsidRPr="00E9787E">
        <w:rPr>
          <w:rFonts w:ascii="Times New Roman" w:hAnsi="Times New Roman" w:cs="Times New Roman"/>
          <w:sz w:val="26"/>
          <w:szCs w:val="26"/>
        </w:rPr>
        <w:t xml:space="preserve">. </w:t>
      </w:r>
      <w:r w:rsidR="00917FB4" w:rsidRPr="00E9787E">
        <w:rPr>
          <w:rFonts w:ascii="Times New Roman" w:hAnsi="Times New Roman" w:cs="Times New Roman"/>
          <w:sz w:val="26"/>
          <w:szCs w:val="26"/>
        </w:rPr>
        <w:t>The Commission published Notices in the Federal Register in</w:t>
      </w:r>
      <w:r w:rsidRPr="00E9787E">
        <w:rPr>
          <w:rFonts w:ascii="Times New Roman" w:hAnsi="Times New Roman" w:cs="Times New Roman"/>
          <w:sz w:val="26"/>
          <w:szCs w:val="26"/>
        </w:rPr>
        <w:t xml:space="preserve"> </w:t>
      </w:r>
      <w:r w:rsidR="005E4E42" w:rsidRPr="00E9787E">
        <w:rPr>
          <w:rFonts w:ascii="Times New Roman" w:hAnsi="Times New Roman" w:cs="Times New Roman"/>
          <w:sz w:val="26"/>
          <w:szCs w:val="26"/>
        </w:rPr>
        <w:t xml:space="preserve">Docket No. RD16-10-000, (82 FR 16823, 4/6/2017), and in Docket Nos. RD17-5-000 and </w:t>
      </w:r>
      <w:r w:rsidR="00917FB4" w:rsidRPr="00E9787E">
        <w:rPr>
          <w:rFonts w:ascii="Times New Roman" w:hAnsi="Times New Roman" w:cs="Times New Roman"/>
          <w:sz w:val="26"/>
          <w:szCs w:val="26"/>
        </w:rPr>
        <w:t>IC17-6-000</w:t>
      </w:r>
      <w:r w:rsidR="005E4E42" w:rsidRPr="00E9787E">
        <w:rPr>
          <w:rFonts w:ascii="Times New Roman" w:hAnsi="Times New Roman" w:cs="Times New Roman"/>
          <w:sz w:val="26"/>
          <w:szCs w:val="26"/>
        </w:rPr>
        <w:t xml:space="preserve"> (82 FR 21538, 5/9/2017)</w:t>
      </w:r>
      <w:r w:rsidR="00917FB4" w:rsidRPr="00E9787E" w:rsidDel="00917FB4">
        <w:rPr>
          <w:rFonts w:ascii="Times New Roman" w:hAnsi="Times New Roman" w:cs="Times New Roman"/>
          <w:sz w:val="26"/>
          <w:szCs w:val="26"/>
        </w:rPr>
        <w:t xml:space="preserve"> </w:t>
      </w:r>
      <w:r w:rsidR="00917FB4" w:rsidRPr="00E9787E">
        <w:rPr>
          <w:rFonts w:ascii="Times New Roman" w:hAnsi="Times New Roman" w:cs="Times New Roman"/>
          <w:sz w:val="26"/>
          <w:szCs w:val="26"/>
        </w:rPr>
        <w:t>requesting public comments.</w:t>
      </w:r>
      <w:r w:rsidR="001839DC" w:rsidRPr="00E9787E" w:rsidDel="001839DC">
        <w:rPr>
          <w:rFonts w:ascii="Times New Roman" w:hAnsi="Times New Roman" w:cs="Times New Roman"/>
          <w:sz w:val="26"/>
          <w:szCs w:val="26"/>
        </w:rPr>
        <w:t xml:space="preserve"> </w:t>
      </w:r>
      <w:r w:rsidR="00DA737C" w:rsidRPr="00E9787E">
        <w:rPr>
          <w:rFonts w:ascii="Times New Roman" w:hAnsi="Times New Roman" w:cs="Times New Roman"/>
          <w:sz w:val="26"/>
          <w:szCs w:val="26"/>
        </w:rPr>
        <w:t xml:space="preserve">The Commission </w:t>
      </w:r>
      <w:r w:rsidRPr="00E9787E">
        <w:rPr>
          <w:rFonts w:ascii="Times New Roman" w:hAnsi="Times New Roman" w:cs="Times New Roman"/>
          <w:sz w:val="26"/>
          <w:szCs w:val="26"/>
        </w:rPr>
        <w:t>received no comments from the public regarding this information collection.</w:t>
      </w:r>
      <w:r w:rsidR="00A74AB7" w:rsidRPr="00E9787E" w:rsidDel="001839DC">
        <w:rPr>
          <w:rFonts w:ascii="Times New Roman" w:hAnsi="Times New Roman" w:cs="Times New Roman"/>
          <w:sz w:val="26"/>
          <w:szCs w:val="26"/>
        </w:rPr>
        <w:t xml:space="preserve"> </w:t>
      </w:r>
    </w:p>
    <w:p w:rsidR="00E9787E" w:rsidRDefault="00E9787E" w:rsidP="00E9787E">
      <w:pPr>
        <w:spacing w:after="0" w:line="240" w:lineRule="auto"/>
        <w:rPr>
          <w:rFonts w:ascii="Times New Roman" w:hAnsi="Times New Roman" w:cs="Times New Roman"/>
          <w:sz w:val="26"/>
          <w:szCs w:val="26"/>
        </w:rPr>
      </w:pPr>
    </w:p>
    <w:p w:rsidR="001839DC" w:rsidRPr="00E9787E" w:rsidRDefault="00A74AB7" w:rsidP="00E9787E">
      <w:pPr>
        <w:spacing w:after="0" w:line="240" w:lineRule="auto"/>
        <w:rPr>
          <w:rFonts w:ascii="Times New Roman" w:hAnsi="Times New Roman" w:cs="Times New Roman"/>
          <w:sz w:val="26"/>
          <w:szCs w:val="26"/>
        </w:rPr>
      </w:pPr>
      <w:r w:rsidRPr="00E9787E" w:rsidDel="001839DC">
        <w:rPr>
          <w:rFonts w:ascii="Times New Roman" w:hAnsi="Times New Roman" w:cs="Times New Roman"/>
          <w:sz w:val="26"/>
          <w:szCs w:val="26"/>
        </w:rPr>
        <w:t xml:space="preserve">The consolidated 30-day notice </w:t>
      </w:r>
      <w:r w:rsidR="00A1039F">
        <w:rPr>
          <w:rFonts w:ascii="Times New Roman" w:hAnsi="Times New Roman" w:cs="Times New Roman"/>
          <w:sz w:val="26"/>
          <w:szCs w:val="26"/>
        </w:rPr>
        <w:t>was</w:t>
      </w:r>
      <w:r w:rsidRPr="00E9787E" w:rsidDel="001839DC">
        <w:rPr>
          <w:rFonts w:ascii="Times New Roman" w:hAnsi="Times New Roman" w:cs="Times New Roman"/>
          <w:sz w:val="26"/>
          <w:szCs w:val="26"/>
        </w:rPr>
        <w:t xml:space="preserve"> published</w:t>
      </w:r>
      <w:r w:rsidRPr="00E9787E">
        <w:rPr>
          <w:rFonts w:ascii="Times New Roman" w:hAnsi="Times New Roman" w:cs="Times New Roman"/>
          <w:sz w:val="26"/>
          <w:szCs w:val="26"/>
        </w:rPr>
        <w:t xml:space="preserve"> in Federal Register</w:t>
      </w:r>
      <w:r w:rsidR="00A1039F">
        <w:rPr>
          <w:rFonts w:ascii="Times New Roman" w:hAnsi="Times New Roman" w:cs="Times New Roman"/>
          <w:sz w:val="26"/>
          <w:szCs w:val="26"/>
        </w:rPr>
        <w:t xml:space="preserve"> on 8/21/2017.  An Errata Notice was issued by FERC on 8/22/2017</w:t>
      </w:r>
      <w:r w:rsidRPr="00E9787E">
        <w:rPr>
          <w:rFonts w:ascii="Times New Roman" w:hAnsi="Times New Roman" w:cs="Times New Roman"/>
          <w:sz w:val="26"/>
          <w:szCs w:val="26"/>
        </w:rPr>
        <w:t>.</w:t>
      </w:r>
    </w:p>
    <w:p w:rsidR="00A74AB7" w:rsidRPr="00E9787E" w:rsidRDefault="00A74AB7" w:rsidP="00E9787E">
      <w:pPr>
        <w:spacing w:after="0" w:line="240" w:lineRule="auto"/>
        <w:rPr>
          <w:rFonts w:ascii="Times New Roman" w:hAnsi="Times New Roman" w:cs="Times New Roman"/>
          <w:sz w:val="26"/>
          <w:szCs w:val="26"/>
        </w:rPr>
      </w:pPr>
    </w:p>
    <w:p w:rsidR="00DA737C" w:rsidRPr="00E9787E" w:rsidRDefault="00DA737C" w:rsidP="00E9787E">
      <w:pPr>
        <w:pStyle w:val="ListParagraph"/>
        <w:numPr>
          <w:ilvl w:val="0"/>
          <w:numId w:val="1"/>
        </w:numPr>
        <w:spacing w:after="0" w:line="240" w:lineRule="auto"/>
        <w:rPr>
          <w:rFonts w:ascii="Times New Roman" w:hAnsi="Times New Roman" w:cs="Times New Roman"/>
          <w:b/>
          <w:sz w:val="26"/>
          <w:szCs w:val="26"/>
        </w:rPr>
      </w:pPr>
      <w:r w:rsidRPr="00E9787E">
        <w:rPr>
          <w:rFonts w:ascii="Times New Roman" w:hAnsi="Times New Roman" w:cs="Times New Roman"/>
          <w:b/>
          <w:sz w:val="26"/>
          <w:szCs w:val="26"/>
        </w:rPr>
        <w:t>EXPLAIN ANY PAYMENT OR GIFTS TO RESPONDENTS</w:t>
      </w:r>
    </w:p>
    <w:p w:rsidR="00DA737C" w:rsidRPr="00E9787E" w:rsidRDefault="00DA737C" w:rsidP="00E9787E">
      <w:pPr>
        <w:spacing w:after="0" w:line="240" w:lineRule="auto"/>
        <w:rPr>
          <w:rFonts w:ascii="Times New Roman" w:hAnsi="Times New Roman" w:cs="Times New Roman"/>
          <w:sz w:val="26"/>
          <w:szCs w:val="26"/>
        </w:rPr>
      </w:pPr>
    </w:p>
    <w:p w:rsidR="001B5E66" w:rsidRPr="00E9787E" w:rsidRDefault="001B5E66"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The Commission does not make payments or provide gifts for respondents of information collection.</w:t>
      </w:r>
    </w:p>
    <w:p w:rsidR="00DA737C" w:rsidRPr="00E9787E" w:rsidRDefault="001D5446"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 xml:space="preserve"> </w:t>
      </w:r>
    </w:p>
    <w:p w:rsidR="00DA737C" w:rsidRPr="00E9787E" w:rsidRDefault="00DA737C" w:rsidP="00E9787E">
      <w:pPr>
        <w:pStyle w:val="ListParagraph"/>
        <w:numPr>
          <w:ilvl w:val="0"/>
          <w:numId w:val="1"/>
        </w:numPr>
        <w:spacing w:after="0" w:line="240" w:lineRule="auto"/>
        <w:rPr>
          <w:rFonts w:ascii="Times New Roman" w:hAnsi="Times New Roman" w:cs="Times New Roman"/>
          <w:b/>
          <w:sz w:val="26"/>
          <w:szCs w:val="26"/>
        </w:rPr>
      </w:pPr>
      <w:r w:rsidRPr="00E9787E">
        <w:rPr>
          <w:rFonts w:ascii="Times New Roman" w:hAnsi="Times New Roman" w:cs="Times New Roman"/>
          <w:b/>
          <w:sz w:val="26"/>
          <w:szCs w:val="26"/>
        </w:rPr>
        <w:t>DESCRIBE ANY ASSURANCE OF CONFIDENTIALITY PROVIDED TO RESPONDENTS</w:t>
      </w:r>
    </w:p>
    <w:p w:rsidR="00DA737C" w:rsidRPr="00E9787E" w:rsidRDefault="00DA737C" w:rsidP="00E9787E">
      <w:pPr>
        <w:spacing w:after="0" w:line="240" w:lineRule="auto"/>
        <w:rPr>
          <w:rFonts w:ascii="Times New Roman" w:hAnsi="Times New Roman" w:cs="Times New Roman"/>
          <w:sz w:val="26"/>
          <w:szCs w:val="26"/>
        </w:rPr>
      </w:pPr>
    </w:p>
    <w:p w:rsidR="00C64BFE" w:rsidRPr="00E9787E" w:rsidRDefault="00C64BFE" w:rsidP="00E9787E">
      <w:pPr>
        <w:widowControl w:val="0"/>
        <w:autoSpaceDE w:val="0"/>
        <w:autoSpaceDN w:val="0"/>
        <w:adjustRightInd w:val="0"/>
        <w:spacing w:after="0" w:line="240" w:lineRule="auto"/>
        <w:rPr>
          <w:rFonts w:ascii="Times New Roman" w:eastAsia="Times New Roman" w:hAnsi="Times New Roman" w:cs="Times New Roman"/>
          <w:sz w:val="26"/>
          <w:szCs w:val="26"/>
        </w:rPr>
      </w:pPr>
      <w:r w:rsidRPr="00E9787E">
        <w:rPr>
          <w:rFonts w:ascii="Times New Roman" w:eastAsia="Times New Roman" w:hAnsi="Times New Roman" w:cs="Times New Roman"/>
          <w:sz w:val="26"/>
          <w:szCs w:val="26"/>
        </w:rPr>
        <w:t xml:space="preserve">Responding entities do not submit the information collection to FERC.  Rather, they submit the information to NERC, the regions, or maintain it internally.  Since there are no submissions made to FERC, FERC provides no specific provisions in order to protect confidentiality.  </w:t>
      </w:r>
    </w:p>
    <w:p w:rsidR="00C64BFE" w:rsidRPr="00E9787E" w:rsidRDefault="00C64BFE" w:rsidP="00E9787E">
      <w:pPr>
        <w:widowControl w:val="0"/>
        <w:autoSpaceDE w:val="0"/>
        <w:autoSpaceDN w:val="0"/>
        <w:adjustRightInd w:val="0"/>
        <w:spacing w:after="0" w:line="240" w:lineRule="auto"/>
        <w:rPr>
          <w:rFonts w:ascii="Times New Roman" w:eastAsia="Times New Roman" w:hAnsi="Times New Roman" w:cs="Times New Roman"/>
          <w:sz w:val="26"/>
          <w:szCs w:val="26"/>
        </w:rPr>
      </w:pPr>
    </w:p>
    <w:p w:rsidR="00C64BFE" w:rsidRPr="00E9787E" w:rsidRDefault="00C64BFE" w:rsidP="00E9787E">
      <w:pPr>
        <w:widowControl w:val="0"/>
        <w:autoSpaceDE w:val="0"/>
        <w:autoSpaceDN w:val="0"/>
        <w:adjustRightInd w:val="0"/>
        <w:spacing w:after="0" w:line="240" w:lineRule="auto"/>
        <w:rPr>
          <w:rFonts w:ascii="Times New Roman" w:eastAsia="Calibri" w:hAnsi="Times New Roman" w:cs="Times New Roman"/>
          <w:sz w:val="26"/>
          <w:szCs w:val="26"/>
        </w:rPr>
      </w:pPr>
      <w:r w:rsidRPr="00E9787E">
        <w:rPr>
          <w:rFonts w:ascii="Times New Roman" w:eastAsia="Calibri" w:hAnsi="Times New Roman" w:cs="Times New Roman"/>
          <w:sz w:val="26"/>
          <w:szCs w:val="26"/>
        </w:rPr>
        <w:t>According to the NERC Rule of Procedure section 1502,</w:t>
      </w:r>
      <w:r w:rsidRPr="00E9787E">
        <w:rPr>
          <w:rFonts w:ascii="Times New Roman" w:eastAsia="Calibri" w:hAnsi="Times New Roman" w:cs="Times New Roman"/>
          <w:sz w:val="26"/>
          <w:szCs w:val="26"/>
          <w:vertAlign w:val="superscript"/>
        </w:rPr>
        <w:footnoteReference w:id="13"/>
      </w:r>
      <w:r w:rsidRPr="00E9787E">
        <w:rPr>
          <w:rFonts w:ascii="Times New Roman" w:eastAsia="Calibri" w:hAnsi="Times New Roman" w:cs="Times New Roman"/>
          <w:sz w:val="26"/>
          <w:szCs w:val="26"/>
        </w:rPr>
        <w:t xml:space="preserve"> “…a Receiving Entity shall keep in confidence and not copy, disclose, or distribute any Confidential Information or any part thereof without the permission of the Submitting Entity, except as otherwise legally required.”  This serves to protect confidential information submitted to or retained for NERC or Regional Entities.</w:t>
      </w:r>
    </w:p>
    <w:p w:rsidR="00DA737C" w:rsidRPr="00E9787E" w:rsidRDefault="00C64BFE"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 xml:space="preserve"> </w:t>
      </w:r>
      <w:r w:rsidR="00E70CDD" w:rsidRPr="00E9787E">
        <w:rPr>
          <w:rFonts w:ascii="Times New Roman" w:hAnsi="Times New Roman" w:cs="Times New Roman"/>
          <w:sz w:val="26"/>
          <w:szCs w:val="26"/>
        </w:rPr>
        <w:t xml:space="preserve"> </w:t>
      </w:r>
    </w:p>
    <w:p w:rsidR="00DA737C" w:rsidRPr="00E9787E" w:rsidRDefault="00DA737C" w:rsidP="00E9787E">
      <w:pPr>
        <w:pStyle w:val="ListParagraph"/>
        <w:numPr>
          <w:ilvl w:val="0"/>
          <w:numId w:val="1"/>
        </w:numPr>
        <w:spacing w:after="0" w:line="240" w:lineRule="auto"/>
        <w:rPr>
          <w:rFonts w:ascii="Times New Roman" w:hAnsi="Times New Roman" w:cs="Times New Roman"/>
          <w:b/>
          <w:sz w:val="26"/>
          <w:szCs w:val="26"/>
        </w:rPr>
      </w:pPr>
      <w:r w:rsidRPr="00E9787E">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rsidR="00DA737C" w:rsidRPr="00E9787E" w:rsidRDefault="00DA737C" w:rsidP="00E9787E">
      <w:pPr>
        <w:spacing w:after="0" w:line="240" w:lineRule="auto"/>
        <w:rPr>
          <w:rFonts w:ascii="Times New Roman" w:hAnsi="Times New Roman" w:cs="Times New Roman"/>
          <w:sz w:val="26"/>
          <w:szCs w:val="26"/>
        </w:rPr>
      </w:pPr>
    </w:p>
    <w:p w:rsidR="00C64BFE" w:rsidRPr="00E9787E" w:rsidRDefault="00C64BFE" w:rsidP="00E9787E">
      <w:pPr>
        <w:spacing w:after="0" w:line="240" w:lineRule="auto"/>
        <w:rPr>
          <w:rFonts w:ascii="Times New Roman" w:eastAsia="Calibri" w:hAnsi="Times New Roman" w:cs="Times New Roman"/>
          <w:sz w:val="26"/>
          <w:szCs w:val="26"/>
        </w:rPr>
      </w:pPr>
      <w:r w:rsidRPr="00E9787E">
        <w:rPr>
          <w:rFonts w:ascii="Times New Roman" w:eastAsia="Calibri" w:hAnsi="Times New Roman" w:cs="Times New Roman"/>
          <w:sz w:val="26"/>
          <w:szCs w:val="26"/>
        </w:rPr>
        <w:t>There are no questions of a sensitive nature that are considered private in this collection.</w:t>
      </w:r>
    </w:p>
    <w:p w:rsidR="00E70CDD" w:rsidRPr="00E9787E" w:rsidRDefault="00E70CDD"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 xml:space="preserve"> </w:t>
      </w:r>
    </w:p>
    <w:p w:rsidR="00DA737C" w:rsidRPr="00E9787E" w:rsidRDefault="00DA737C" w:rsidP="00E9787E">
      <w:pPr>
        <w:pStyle w:val="ListParagraph"/>
        <w:numPr>
          <w:ilvl w:val="0"/>
          <w:numId w:val="1"/>
        </w:numPr>
        <w:spacing w:after="0" w:line="240" w:lineRule="auto"/>
        <w:rPr>
          <w:rFonts w:ascii="Times New Roman" w:hAnsi="Times New Roman" w:cs="Times New Roman"/>
          <w:b/>
          <w:sz w:val="26"/>
          <w:szCs w:val="26"/>
        </w:rPr>
      </w:pPr>
      <w:r w:rsidRPr="00E9787E">
        <w:rPr>
          <w:rFonts w:ascii="Times New Roman" w:hAnsi="Times New Roman" w:cs="Times New Roman"/>
          <w:b/>
          <w:sz w:val="26"/>
          <w:szCs w:val="26"/>
        </w:rPr>
        <w:t>ESTIMATED BURDEN OF COLLECTION OF INFORMATION</w:t>
      </w:r>
    </w:p>
    <w:p w:rsidR="00DA737C" w:rsidRPr="00E9787E" w:rsidRDefault="00DA737C" w:rsidP="00E9787E">
      <w:pPr>
        <w:spacing w:after="0" w:line="240" w:lineRule="auto"/>
        <w:rPr>
          <w:rFonts w:ascii="Times New Roman" w:hAnsi="Times New Roman" w:cs="Times New Roman"/>
          <w:sz w:val="26"/>
          <w:szCs w:val="26"/>
        </w:rPr>
      </w:pPr>
    </w:p>
    <w:p w:rsidR="00905240" w:rsidRPr="00E9787E" w:rsidRDefault="001E7258" w:rsidP="00E9787E">
      <w:pPr>
        <w:spacing w:after="0" w:line="240" w:lineRule="auto"/>
        <w:rPr>
          <w:rFonts w:ascii="Times New Roman" w:eastAsia="Times New Roman" w:hAnsi="Times New Roman" w:cs="Times New Roman"/>
          <w:sz w:val="26"/>
          <w:szCs w:val="26"/>
        </w:rPr>
      </w:pPr>
      <w:r w:rsidRPr="001E7258">
        <w:rPr>
          <w:rFonts w:ascii="Times New Roman" w:eastAsia="Times New Roman" w:hAnsi="Times New Roman" w:cs="Times New Roman"/>
          <w:sz w:val="26"/>
          <w:szCs w:val="26"/>
        </w:rPr>
        <w:t xml:space="preserve">We provide three tables below with burden estimates which show:  (1) reductions due to Docket No. RD16-10, (2) reductions, increases, and net changes, due to Docket No. RD17-5, and (3) resulting net ongoing burden for FERC-725E overall, </w:t>
      </w:r>
      <w:r>
        <w:rPr>
          <w:rFonts w:ascii="Times New Roman" w:eastAsia="Times New Roman" w:hAnsi="Times New Roman" w:cs="Times New Roman"/>
          <w:sz w:val="26"/>
          <w:szCs w:val="26"/>
        </w:rPr>
        <w:t>being</w:t>
      </w:r>
      <w:r w:rsidRPr="001E7258">
        <w:rPr>
          <w:rFonts w:ascii="Times New Roman" w:eastAsia="Times New Roman" w:hAnsi="Times New Roman" w:cs="Times New Roman"/>
          <w:sz w:val="26"/>
          <w:szCs w:val="26"/>
        </w:rPr>
        <w:t xml:space="preserve"> submitted to OMB for approval</w:t>
      </w:r>
      <w:r w:rsidR="004F7A2F" w:rsidRPr="00CB21AA">
        <w:rPr>
          <w:rStyle w:val="FootnoteReference"/>
          <w:rFonts w:ascii="Times New Roman" w:eastAsia="Times New Roman" w:hAnsi="Times New Roman" w:cs="Times New Roman"/>
          <w:sz w:val="26"/>
          <w:szCs w:val="26"/>
          <w:vertAlign w:val="superscript"/>
        </w:rPr>
        <w:footnoteReference w:id="14"/>
      </w:r>
      <w:r w:rsidRPr="001E7258">
        <w:rPr>
          <w:rFonts w:ascii="Times New Roman" w:eastAsia="Times New Roman" w:hAnsi="Times New Roman" w:cs="Times New Roman"/>
          <w:sz w:val="26"/>
          <w:szCs w:val="26"/>
        </w:rPr>
        <w:t>.</w:t>
      </w:r>
    </w:p>
    <w:p w:rsidR="00A74AB7" w:rsidRPr="00E9787E" w:rsidRDefault="00A74AB7" w:rsidP="00E9787E">
      <w:pPr>
        <w:spacing w:after="0" w:line="240" w:lineRule="auto"/>
        <w:rPr>
          <w:rFonts w:ascii="Times New Roman" w:eastAsia="Times New Roman" w:hAnsi="Times New Roman" w:cs="Times New Roman"/>
          <w:sz w:val="26"/>
          <w:szCs w:val="26"/>
        </w:rPr>
      </w:pPr>
    </w:p>
    <w:p w:rsidR="001D3D61" w:rsidRPr="00E9787E" w:rsidRDefault="00917FB4" w:rsidP="00E9787E">
      <w:pPr>
        <w:spacing w:after="0" w:line="240" w:lineRule="auto"/>
        <w:rPr>
          <w:rFonts w:ascii="Times New Roman" w:eastAsia="Times New Roman" w:hAnsi="Times New Roman" w:cs="Times New Roman"/>
          <w:sz w:val="26"/>
          <w:szCs w:val="26"/>
        </w:rPr>
      </w:pPr>
      <w:r w:rsidRPr="00E9787E">
        <w:rPr>
          <w:rFonts w:ascii="Times New Roman" w:hAnsi="Times New Roman" w:cs="Times New Roman"/>
          <w:i/>
          <w:sz w:val="26"/>
          <w:szCs w:val="26"/>
        </w:rPr>
        <w:t xml:space="preserve">Changes Due to Docket No. RD16-10.  </w:t>
      </w:r>
      <w:r w:rsidRPr="00E9787E">
        <w:rPr>
          <w:rFonts w:ascii="Times New Roman" w:hAnsi="Times New Roman" w:cs="Times New Roman"/>
          <w:sz w:val="26"/>
          <w:szCs w:val="26"/>
        </w:rPr>
        <w:t>The Commission estimates the reduction in the annual public reporting burden for the FERC-725E (due to the retirement of regional Reliability Standard TOP-007-WECC-1a) as follows:</w:t>
      </w:r>
      <w:r w:rsidRPr="00E9787E">
        <w:rPr>
          <w:rFonts w:ascii="Times New Roman" w:hAnsi="Times New Roman" w:cs="Times New Roman"/>
          <w:b/>
          <w:sz w:val="26"/>
          <w:szCs w:val="26"/>
          <w:vertAlign w:val="superscript"/>
        </w:rPr>
        <w:footnoteReference w:id="15"/>
      </w:r>
      <w:r w:rsidRPr="00E9787E">
        <w:rPr>
          <w:rFonts w:ascii="Times New Roman" w:eastAsia="Times New Roman" w:hAnsi="Times New Roman" w:cs="Times New Roman"/>
          <w:sz w:val="26"/>
          <w:szCs w:val="26"/>
        </w:rPr>
        <w:tab/>
      </w:r>
    </w:p>
    <w:p w:rsidR="00A74AB7" w:rsidRPr="00E9787E" w:rsidRDefault="00A74AB7" w:rsidP="00E9787E">
      <w:pPr>
        <w:spacing w:after="0" w:line="240" w:lineRule="auto"/>
        <w:rPr>
          <w:rFonts w:ascii="Times New Roman" w:hAnsi="Times New Roman" w:cs="Times New Roman"/>
          <w:sz w:val="26"/>
          <w:szCs w:val="26"/>
        </w:rPr>
      </w:pPr>
    </w:p>
    <w:tbl>
      <w:tblPr>
        <w:tblW w:w="461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88"/>
        <w:gridCol w:w="1492"/>
        <w:gridCol w:w="1402"/>
        <w:gridCol w:w="1306"/>
        <w:gridCol w:w="1313"/>
      </w:tblGrid>
      <w:tr w:rsidR="001D5446" w:rsidRPr="00E9787E" w:rsidTr="001D5446">
        <w:trPr>
          <w:cantSplit/>
        </w:trPr>
        <w:tc>
          <w:tcPr>
            <w:tcW w:w="5000" w:type="pct"/>
            <w:gridSpan w:val="6"/>
            <w:shd w:val="clear" w:color="auto" w:fill="D9D9D9"/>
            <w:vAlign w:val="bottom"/>
          </w:tcPr>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FERC-725E, Mandatory Reliability Standards for the Western Electric Coordinating Council, Reductions Due to Docket No. RD16-10</w:t>
            </w:r>
          </w:p>
        </w:tc>
      </w:tr>
      <w:tr w:rsidR="001D5446" w:rsidRPr="00E9787E" w:rsidTr="001D5446">
        <w:trPr>
          <w:cantSplit/>
        </w:trPr>
        <w:tc>
          <w:tcPr>
            <w:tcW w:w="1039" w:type="pct"/>
            <w:shd w:val="clear" w:color="auto" w:fill="D9D9D9"/>
            <w:vAlign w:val="bottom"/>
          </w:tcPr>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 xml:space="preserve">Information Collection Requirements </w:t>
            </w:r>
            <w:r w:rsidR="00BD46B4" w:rsidRPr="00E9787E">
              <w:rPr>
                <w:rFonts w:ascii="Times New Roman" w:eastAsia="Calibri" w:hAnsi="Times New Roman" w:cs="Times New Roman"/>
                <w:b/>
                <w:sz w:val="26"/>
                <w:szCs w:val="26"/>
              </w:rPr>
              <w:t xml:space="preserve"> and Entity</w:t>
            </w:r>
          </w:p>
        </w:tc>
        <w:tc>
          <w:tcPr>
            <w:tcW w:w="842" w:type="pct"/>
            <w:shd w:val="clear" w:color="auto" w:fill="D9D9D9"/>
            <w:vAlign w:val="bottom"/>
          </w:tcPr>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Number of Respondents</w:t>
            </w:r>
            <w:r w:rsidRPr="00E9787E">
              <w:rPr>
                <w:rFonts w:ascii="Times New Roman" w:eastAsia="Calibri" w:hAnsi="Times New Roman" w:cs="Times New Roman"/>
                <w:b/>
                <w:sz w:val="26"/>
                <w:szCs w:val="26"/>
              </w:rPr>
              <w:br/>
              <w:t>(1)</w:t>
            </w:r>
          </w:p>
        </w:tc>
        <w:tc>
          <w:tcPr>
            <w:tcW w:w="844" w:type="pct"/>
            <w:shd w:val="clear" w:color="auto" w:fill="D9D9D9"/>
            <w:vAlign w:val="bottom"/>
          </w:tcPr>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Annual Number of Responses per Respondent</w:t>
            </w:r>
          </w:p>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(2)</w:t>
            </w:r>
          </w:p>
        </w:tc>
        <w:tc>
          <w:tcPr>
            <w:tcW w:w="793" w:type="pct"/>
            <w:shd w:val="clear" w:color="auto" w:fill="D9D9D9"/>
            <w:vAlign w:val="bottom"/>
          </w:tcPr>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Total Number of Responses (1)*(2)=(3)</w:t>
            </w:r>
          </w:p>
        </w:tc>
        <w:tc>
          <w:tcPr>
            <w:tcW w:w="739" w:type="pct"/>
            <w:shd w:val="clear" w:color="auto" w:fill="D9D9D9"/>
            <w:vAlign w:val="bottom"/>
          </w:tcPr>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Average Burden Hours &amp; Cost</w:t>
            </w:r>
            <w:r w:rsidR="00B45827" w:rsidRPr="00E9787E">
              <w:rPr>
                <w:rFonts w:ascii="Times New Roman" w:eastAsia="Calibri" w:hAnsi="Times New Roman" w:cs="Times New Roman"/>
                <w:sz w:val="26"/>
                <w:szCs w:val="26"/>
                <w:vertAlign w:val="superscript"/>
              </w:rPr>
              <w:footnoteReference w:id="16"/>
            </w:r>
            <w:r w:rsidR="00B45827" w:rsidRPr="00E9787E">
              <w:rPr>
                <w:rFonts w:ascii="Times New Roman" w:eastAsia="Calibri" w:hAnsi="Times New Roman" w:cs="Times New Roman"/>
                <w:b/>
                <w:sz w:val="26"/>
                <w:szCs w:val="26"/>
              </w:rPr>
              <w:t xml:space="preserve"> </w:t>
            </w:r>
            <w:r w:rsidRPr="00E9787E">
              <w:rPr>
                <w:rFonts w:ascii="Times New Roman" w:eastAsia="Calibri" w:hAnsi="Times New Roman" w:cs="Times New Roman"/>
                <w:b/>
                <w:sz w:val="26"/>
                <w:szCs w:val="26"/>
              </w:rPr>
              <w:t xml:space="preserve"> Per Response</w:t>
            </w:r>
          </w:p>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(4)</w:t>
            </w:r>
          </w:p>
        </w:tc>
        <w:tc>
          <w:tcPr>
            <w:tcW w:w="743" w:type="pct"/>
            <w:shd w:val="clear" w:color="auto" w:fill="D9D9D9"/>
            <w:vAlign w:val="bottom"/>
          </w:tcPr>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Total Annual Burden Hours &amp; Total Annual Cost</w:t>
            </w:r>
          </w:p>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(3)*(4)=(5)</w:t>
            </w:r>
          </w:p>
        </w:tc>
      </w:tr>
      <w:tr w:rsidR="001D5446" w:rsidRPr="00E9787E" w:rsidTr="001D5446">
        <w:trPr>
          <w:cantSplit/>
        </w:trPr>
        <w:tc>
          <w:tcPr>
            <w:tcW w:w="1039" w:type="pct"/>
          </w:tcPr>
          <w:p w:rsidR="001D5446" w:rsidRPr="00E9787E" w:rsidRDefault="001D5446" w:rsidP="00E9787E">
            <w:pPr>
              <w:spacing w:after="0" w:line="240" w:lineRule="auto"/>
              <w:rPr>
                <w:rFonts w:ascii="Times New Roman" w:eastAsia="Calibri" w:hAnsi="Times New Roman" w:cs="Times New Roman"/>
                <w:sz w:val="26"/>
                <w:szCs w:val="26"/>
              </w:rPr>
            </w:pPr>
            <w:r w:rsidRPr="00E9787E">
              <w:rPr>
                <w:rFonts w:ascii="Times New Roman" w:eastAsia="Calibri" w:hAnsi="Times New Roman" w:cs="Times New Roman"/>
                <w:sz w:val="26"/>
                <w:szCs w:val="26"/>
              </w:rPr>
              <w:t>Reporting Requirement-</w:t>
            </w:r>
          </w:p>
          <w:p w:rsidR="001D5446" w:rsidRPr="00E9787E" w:rsidRDefault="001D5446" w:rsidP="00E9787E">
            <w:pPr>
              <w:spacing w:after="0" w:line="240" w:lineRule="auto"/>
              <w:rPr>
                <w:rFonts w:ascii="Times New Roman" w:eastAsia="Calibri" w:hAnsi="Times New Roman" w:cs="Times New Roman"/>
                <w:sz w:val="26"/>
                <w:szCs w:val="26"/>
              </w:rPr>
            </w:pPr>
            <w:r w:rsidRPr="00E9787E">
              <w:rPr>
                <w:rFonts w:ascii="Times New Roman" w:eastAsia="Calibri" w:hAnsi="Times New Roman" w:cs="Times New Roman"/>
                <w:sz w:val="26"/>
                <w:szCs w:val="26"/>
              </w:rPr>
              <w:t>Transmission Operators that operate qualified transfer paths</w:t>
            </w:r>
            <w:r w:rsidRPr="00E9787E">
              <w:rPr>
                <w:rFonts w:ascii="Times New Roman" w:eastAsia="Calibri" w:hAnsi="Times New Roman" w:cs="Times New Roman"/>
                <w:b/>
                <w:sz w:val="26"/>
                <w:szCs w:val="26"/>
                <w:vertAlign w:val="superscript"/>
              </w:rPr>
              <w:footnoteReference w:id="17"/>
            </w:r>
          </w:p>
        </w:tc>
        <w:tc>
          <w:tcPr>
            <w:tcW w:w="842" w:type="pct"/>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hAnsi="Times New Roman" w:cs="Times New Roman"/>
                <w:sz w:val="26"/>
                <w:szCs w:val="26"/>
              </w:rPr>
              <w:t>9</w:t>
            </w:r>
          </w:p>
        </w:tc>
        <w:tc>
          <w:tcPr>
            <w:tcW w:w="844" w:type="pct"/>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hAnsi="Times New Roman" w:cs="Times New Roman"/>
                <w:sz w:val="26"/>
                <w:szCs w:val="26"/>
              </w:rPr>
              <w:t>3</w:t>
            </w:r>
          </w:p>
        </w:tc>
        <w:tc>
          <w:tcPr>
            <w:tcW w:w="793" w:type="pct"/>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hAnsi="Times New Roman" w:cs="Times New Roman"/>
                <w:sz w:val="26"/>
                <w:szCs w:val="26"/>
              </w:rPr>
              <w:t>27</w:t>
            </w:r>
          </w:p>
        </w:tc>
        <w:tc>
          <w:tcPr>
            <w:tcW w:w="739" w:type="pct"/>
            <w:vAlign w:val="bottom"/>
          </w:tcPr>
          <w:p w:rsidR="001D5446" w:rsidRPr="00E9787E" w:rsidRDefault="001D5446" w:rsidP="00E9787E">
            <w:pPr>
              <w:spacing w:after="0" w:line="240" w:lineRule="auto"/>
              <w:jc w:val="right"/>
              <w:rPr>
                <w:rFonts w:ascii="Times New Roman" w:hAnsi="Times New Roman" w:cs="Times New Roman"/>
                <w:sz w:val="26"/>
                <w:szCs w:val="26"/>
              </w:rPr>
            </w:pPr>
            <w:r w:rsidRPr="00E9787E">
              <w:rPr>
                <w:rFonts w:ascii="Times New Roman" w:hAnsi="Times New Roman" w:cs="Times New Roman"/>
                <w:sz w:val="26"/>
                <w:szCs w:val="26"/>
              </w:rPr>
              <w:t>40 hrs.;</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hAnsi="Times New Roman" w:cs="Times New Roman"/>
                <w:sz w:val="26"/>
                <w:szCs w:val="26"/>
              </w:rPr>
              <w:t>$2,908</w:t>
            </w:r>
          </w:p>
        </w:tc>
        <w:tc>
          <w:tcPr>
            <w:tcW w:w="743" w:type="pct"/>
            <w:vAlign w:val="bottom"/>
          </w:tcPr>
          <w:p w:rsidR="001D5446" w:rsidRPr="00E9787E" w:rsidRDefault="001D5446" w:rsidP="00E9787E">
            <w:pPr>
              <w:spacing w:after="0" w:line="240" w:lineRule="auto"/>
              <w:jc w:val="right"/>
              <w:rPr>
                <w:rFonts w:ascii="Times New Roman" w:hAnsi="Times New Roman" w:cs="Times New Roman"/>
                <w:sz w:val="26"/>
                <w:szCs w:val="26"/>
              </w:rPr>
            </w:pPr>
            <w:r w:rsidRPr="00E9787E">
              <w:rPr>
                <w:rFonts w:ascii="Times New Roman" w:hAnsi="Times New Roman" w:cs="Times New Roman"/>
                <w:sz w:val="26"/>
                <w:szCs w:val="26"/>
              </w:rPr>
              <w:t>1,080 hrs.;</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hAnsi="Times New Roman" w:cs="Times New Roman"/>
                <w:sz w:val="26"/>
                <w:szCs w:val="26"/>
              </w:rPr>
              <w:t>$78,516</w:t>
            </w:r>
          </w:p>
        </w:tc>
      </w:tr>
      <w:tr w:rsidR="001D5446" w:rsidRPr="00E9787E" w:rsidTr="001D5446">
        <w:trPr>
          <w:cantSplit/>
        </w:trPr>
        <w:tc>
          <w:tcPr>
            <w:tcW w:w="1039" w:type="pct"/>
          </w:tcPr>
          <w:p w:rsidR="001D5446" w:rsidRPr="00E9787E" w:rsidRDefault="001D5446"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Recordkeeping Requirement- Transmission Operators that operate qualified transfer paths</w:t>
            </w:r>
          </w:p>
        </w:tc>
        <w:tc>
          <w:tcPr>
            <w:tcW w:w="842" w:type="pct"/>
            <w:tcBorders>
              <w:bottom w:val="single" w:sz="4" w:space="0" w:color="auto"/>
            </w:tcBorders>
            <w:shd w:val="clear" w:color="auto" w:fill="FFFFFF"/>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hAnsi="Times New Roman" w:cs="Times New Roman"/>
                <w:sz w:val="26"/>
                <w:szCs w:val="26"/>
              </w:rPr>
              <w:t>9</w:t>
            </w:r>
          </w:p>
        </w:tc>
        <w:tc>
          <w:tcPr>
            <w:tcW w:w="844" w:type="pct"/>
            <w:tcBorders>
              <w:bottom w:val="single" w:sz="4" w:space="0" w:color="auto"/>
            </w:tcBorders>
            <w:shd w:val="clear" w:color="auto" w:fill="FFFFFF"/>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hAnsi="Times New Roman" w:cs="Times New Roman"/>
                <w:sz w:val="26"/>
                <w:szCs w:val="26"/>
              </w:rPr>
              <w:t>1</w:t>
            </w:r>
          </w:p>
        </w:tc>
        <w:tc>
          <w:tcPr>
            <w:tcW w:w="793" w:type="pct"/>
            <w:tcBorders>
              <w:bottom w:val="single" w:sz="4" w:space="0" w:color="auto"/>
            </w:tcBorders>
            <w:shd w:val="clear" w:color="auto" w:fill="FFFFFF"/>
            <w:vAlign w:val="bottom"/>
          </w:tcPr>
          <w:p w:rsidR="001D5446" w:rsidRPr="00E9787E" w:rsidRDefault="001E7258" w:rsidP="00E9787E">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9</w:t>
            </w:r>
          </w:p>
        </w:tc>
        <w:tc>
          <w:tcPr>
            <w:tcW w:w="739" w:type="pct"/>
            <w:tcBorders>
              <w:bottom w:val="single" w:sz="4" w:space="0" w:color="auto"/>
            </w:tcBorders>
            <w:shd w:val="clear" w:color="auto" w:fill="FFFFFF"/>
            <w:vAlign w:val="bottom"/>
          </w:tcPr>
          <w:p w:rsidR="001D5446" w:rsidRPr="00E9787E" w:rsidRDefault="001D5446" w:rsidP="00E9787E">
            <w:pPr>
              <w:spacing w:after="0" w:line="240" w:lineRule="auto"/>
              <w:jc w:val="right"/>
              <w:rPr>
                <w:rFonts w:ascii="Times New Roman" w:hAnsi="Times New Roman" w:cs="Times New Roman"/>
                <w:sz w:val="26"/>
                <w:szCs w:val="26"/>
              </w:rPr>
            </w:pPr>
            <w:r w:rsidRPr="00E9787E">
              <w:rPr>
                <w:rFonts w:ascii="Times New Roman" w:hAnsi="Times New Roman" w:cs="Times New Roman"/>
                <w:sz w:val="26"/>
                <w:szCs w:val="26"/>
              </w:rPr>
              <w:t>12 hrs.;</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hAnsi="Times New Roman" w:cs="Times New Roman"/>
                <w:sz w:val="26"/>
                <w:szCs w:val="26"/>
              </w:rPr>
              <w:t>$347</w:t>
            </w:r>
          </w:p>
        </w:tc>
        <w:tc>
          <w:tcPr>
            <w:tcW w:w="743" w:type="pct"/>
            <w:tcBorders>
              <w:bottom w:val="single" w:sz="4" w:space="0" w:color="auto"/>
            </w:tcBorders>
            <w:vAlign w:val="bottom"/>
          </w:tcPr>
          <w:p w:rsidR="001D5446" w:rsidRPr="00E9787E" w:rsidRDefault="001D5446" w:rsidP="00E9787E">
            <w:pPr>
              <w:spacing w:after="0" w:line="240" w:lineRule="auto"/>
              <w:jc w:val="right"/>
              <w:rPr>
                <w:rFonts w:ascii="Times New Roman" w:hAnsi="Times New Roman" w:cs="Times New Roman"/>
                <w:sz w:val="26"/>
                <w:szCs w:val="26"/>
              </w:rPr>
            </w:pPr>
            <w:r w:rsidRPr="00E9787E">
              <w:rPr>
                <w:rFonts w:ascii="Times New Roman" w:hAnsi="Times New Roman" w:cs="Times New Roman"/>
                <w:sz w:val="26"/>
                <w:szCs w:val="26"/>
              </w:rPr>
              <w:t>108 hrs.;</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hAnsi="Times New Roman" w:cs="Times New Roman"/>
                <w:sz w:val="26"/>
                <w:szCs w:val="26"/>
              </w:rPr>
              <w:t>$3,124</w:t>
            </w:r>
          </w:p>
        </w:tc>
      </w:tr>
      <w:tr w:rsidR="001D5446" w:rsidRPr="00E9787E" w:rsidTr="001D5446">
        <w:trPr>
          <w:cantSplit/>
          <w:trHeight w:val="485"/>
        </w:trPr>
        <w:tc>
          <w:tcPr>
            <w:tcW w:w="1039" w:type="pct"/>
            <w:tcBorders>
              <w:bottom w:val="single" w:sz="4" w:space="0" w:color="auto"/>
            </w:tcBorders>
          </w:tcPr>
          <w:p w:rsidR="001D5446" w:rsidRPr="00E9787E" w:rsidRDefault="001D5446" w:rsidP="00E9787E">
            <w:pPr>
              <w:spacing w:after="0" w:line="240" w:lineRule="auto"/>
              <w:rPr>
                <w:rFonts w:ascii="Times New Roman" w:eastAsia="Calibri" w:hAnsi="Times New Roman" w:cs="Times New Roman"/>
                <w:b/>
                <w:sz w:val="26"/>
                <w:szCs w:val="26"/>
              </w:rPr>
            </w:pPr>
            <w:r w:rsidRPr="00E9787E">
              <w:rPr>
                <w:rFonts w:ascii="Times New Roman" w:eastAsia="Calibri" w:hAnsi="Times New Roman" w:cs="Times New Roman"/>
                <w:b/>
                <w:sz w:val="26"/>
                <w:szCs w:val="26"/>
              </w:rPr>
              <w:t>SUB</w:t>
            </w:r>
            <w:r w:rsidR="00060414" w:rsidRPr="00E9787E">
              <w:rPr>
                <w:rFonts w:ascii="Times New Roman" w:eastAsia="Calibri" w:hAnsi="Times New Roman" w:cs="Times New Roman"/>
                <w:b/>
                <w:sz w:val="26"/>
                <w:szCs w:val="26"/>
              </w:rPr>
              <w:t>-</w:t>
            </w:r>
            <w:r w:rsidRPr="00E9787E">
              <w:rPr>
                <w:rFonts w:ascii="Times New Roman" w:eastAsia="Calibri" w:hAnsi="Times New Roman" w:cs="Times New Roman"/>
                <w:b/>
                <w:sz w:val="26"/>
                <w:szCs w:val="26"/>
              </w:rPr>
              <w:t>TOTAL</w:t>
            </w:r>
            <w:r w:rsidR="00060414" w:rsidRPr="00E9787E">
              <w:rPr>
                <w:rFonts w:ascii="Times New Roman" w:eastAsia="Calibri" w:hAnsi="Times New Roman" w:cs="Times New Roman"/>
                <w:b/>
                <w:sz w:val="26"/>
                <w:szCs w:val="26"/>
              </w:rPr>
              <w:t>,</w:t>
            </w:r>
            <w:r w:rsidRPr="00E9787E">
              <w:rPr>
                <w:rFonts w:ascii="Times New Roman" w:eastAsia="Calibri" w:hAnsi="Times New Roman" w:cs="Times New Roman"/>
                <w:b/>
                <w:sz w:val="26"/>
                <w:szCs w:val="26"/>
              </w:rPr>
              <w:t xml:space="preserve"> REDUCTION (Due to Docket No. RD16-10)</w:t>
            </w:r>
          </w:p>
        </w:tc>
        <w:tc>
          <w:tcPr>
            <w:tcW w:w="1686" w:type="pct"/>
            <w:gridSpan w:val="2"/>
            <w:tcBorders>
              <w:bottom w:val="single" w:sz="4" w:space="0" w:color="auto"/>
            </w:tcBorders>
            <w:shd w:val="pct10" w:color="auto" w:fill="auto"/>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p>
        </w:tc>
        <w:tc>
          <w:tcPr>
            <w:tcW w:w="793" w:type="pct"/>
            <w:tcBorders>
              <w:bottom w:val="single" w:sz="4" w:space="0" w:color="auto"/>
            </w:tcBorders>
            <w:shd w:val="pct10" w:color="auto" w:fill="auto"/>
            <w:vAlign w:val="bottom"/>
          </w:tcPr>
          <w:p w:rsidR="001D5446" w:rsidRPr="00E9787E" w:rsidRDefault="001D5446" w:rsidP="00E9787E">
            <w:pPr>
              <w:spacing w:after="0" w:line="240" w:lineRule="auto"/>
              <w:jc w:val="right"/>
              <w:rPr>
                <w:rFonts w:ascii="Times New Roman" w:eastAsia="Calibri" w:hAnsi="Times New Roman" w:cs="Times New Roman"/>
                <w:b/>
                <w:sz w:val="26"/>
                <w:szCs w:val="26"/>
              </w:rPr>
            </w:pPr>
          </w:p>
        </w:tc>
        <w:tc>
          <w:tcPr>
            <w:tcW w:w="739" w:type="pct"/>
            <w:tcBorders>
              <w:bottom w:val="single" w:sz="4" w:space="0" w:color="auto"/>
            </w:tcBorders>
            <w:shd w:val="pct10" w:color="auto" w:fill="auto"/>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p>
        </w:tc>
        <w:tc>
          <w:tcPr>
            <w:tcW w:w="743" w:type="pct"/>
            <w:tcBorders>
              <w:bottom w:val="single" w:sz="4" w:space="0" w:color="auto"/>
            </w:tcBorders>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1,188 hrs.; $81,640.</w:t>
            </w:r>
          </w:p>
        </w:tc>
      </w:tr>
    </w:tbl>
    <w:p w:rsidR="00BD0B6A" w:rsidRDefault="00BD0B6A" w:rsidP="00E9787E">
      <w:pPr>
        <w:spacing w:after="0" w:line="240" w:lineRule="auto"/>
        <w:rPr>
          <w:rFonts w:ascii="Times New Roman" w:eastAsia="Times New Roman" w:hAnsi="Times New Roman" w:cs="Times New Roman"/>
          <w:i/>
          <w:sz w:val="26"/>
          <w:szCs w:val="26"/>
        </w:rPr>
      </w:pPr>
    </w:p>
    <w:p w:rsidR="001D5446" w:rsidRPr="00E9787E" w:rsidRDefault="00917FB4" w:rsidP="00E9787E">
      <w:pPr>
        <w:spacing w:after="0" w:line="240" w:lineRule="auto"/>
        <w:rPr>
          <w:rFonts w:ascii="Times New Roman" w:hAnsi="Times New Roman" w:cs="Times New Roman"/>
          <w:sz w:val="26"/>
          <w:szCs w:val="26"/>
        </w:rPr>
      </w:pPr>
      <w:r w:rsidRPr="00917FB4">
        <w:rPr>
          <w:rFonts w:ascii="Times New Roman" w:eastAsia="Times New Roman" w:hAnsi="Times New Roman" w:cs="Times New Roman"/>
          <w:i/>
          <w:sz w:val="26"/>
          <w:szCs w:val="26"/>
        </w:rPr>
        <w:t xml:space="preserve">Changes Due to Docket No. RD17-5.: </w:t>
      </w:r>
      <w:r w:rsidRPr="00917FB4">
        <w:rPr>
          <w:rFonts w:ascii="Times New Roman" w:eastAsia="Times New Roman" w:hAnsi="Times New Roman" w:cs="Times New Roman"/>
          <w:sz w:val="26"/>
          <w:szCs w:val="26"/>
        </w:rPr>
        <w:t>The Commission estimates the changes in the annual public reporting burden for the FERC-725E (due to Docket No. RD17-</w:t>
      </w:r>
      <w:r w:rsidR="001E7258">
        <w:rPr>
          <w:rFonts w:ascii="Times New Roman" w:eastAsia="Times New Roman" w:hAnsi="Times New Roman" w:cs="Times New Roman"/>
          <w:sz w:val="26"/>
          <w:szCs w:val="26"/>
        </w:rPr>
        <w:t>5</w:t>
      </w:r>
      <w:r w:rsidRPr="00917FB4">
        <w:rPr>
          <w:rFonts w:ascii="Times New Roman" w:eastAsia="Times New Roman" w:hAnsi="Times New Roman" w:cs="Times New Roman"/>
          <w:sz w:val="26"/>
          <w:szCs w:val="26"/>
        </w:rPr>
        <w:t>) as follows.</w:t>
      </w:r>
      <w:r w:rsidRPr="00917FB4" w:rsidDel="00142DF5">
        <w:rPr>
          <w:rFonts w:ascii="Times New Roman" w:eastAsia="Times New Roman" w:hAnsi="Times New Roman" w:cs="Times New Roman"/>
          <w:sz w:val="26"/>
          <w:szCs w:val="26"/>
        </w:rPr>
        <w:t xml:space="preserve"> </w:t>
      </w:r>
    </w:p>
    <w:tbl>
      <w:tblPr>
        <w:tblpPr w:leftFromText="432" w:rightFromText="187" w:vertAnchor="text" w:horzAnchor="margin" w:tblpXSpec="right" w:tblpY="1441"/>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1"/>
        <w:gridCol w:w="1164"/>
        <w:gridCol w:w="1389"/>
        <w:gridCol w:w="1239"/>
        <w:gridCol w:w="1267"/>
        <w:gridCol w:w="1361"/>
        <w:gridCol w:w="1974"/>
      </w:tblGrid>
      <w:tr w:rsidR="001D5446" w:rsidRPr="00E9787E" w:rsidTr="001D5446">
        <w:trPr>
          <w:trHeight w:val="288"/>
        </w:trPr>
        <w:tc>
          <w:tcPr>
            <w:tcW w:w="9365" w:type="dxa"/>
            <w:gridSpan w:val="7"/>
            <w:shd w:val="clear" w:color="auto" w:fill="D9D9D9"/>
          </w:tcPr>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 xml:space="preserve">FERC-725E, Mandatory Reliability Standards for the </w:t>
            </w:r>
          </w:p>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Western Electric Coordinating Council,</w:t>
            </w:r>
          </w:p>
          <w:p w:rsidR="001D5446" w:rsidRPr="00E9787E" w:rsidRDefault="001D5446" w:rsidP="001E7258">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 xml:space="preserve">Changes </w:t>
            </w:r>
            <w:r w:rsidR="001E7258">
              <w:rPr>
                <w:rFonts w:ascii="Times New Roman" w:eastAsia="Calibri" w:hAnsi="Times New Roman" w:cs="Times New Roman"/>
                <w:b/>
                <w:sz w:val="26"/>
                <w:szCs w:val="26"/>
              </w:rPr>
              <w:t>Due to</w:t>
            </w:r>
            <w:r w:rsidR="001E7258" w:rsidRPr="00E9787E">
              <w:rPr>
                <w:rFonts w:ascii="Times New Roman" w:eastAsia="Calibri" w:hAnsi="Times New Roman" w:cs="Times New Roman"/>
                <w:b/>
                <w:sz w:val="26"/>
                <w:szCs w:val="26"/>
              </w:rPr>
              <w:t xml:space="preserve"> </w:t>
            </w:r>
            <w:r w:rsidRPr="00E9787E">
              <w:rPr>
                <w:rFonts w:ascii="Times New Roman" w:eastAsia="Calibri" w:hAnsi="Times New Roman" w:cs="Times New Roman"/>
                <w:b/>
                <w:sz w:val="26"/>
                <w:szCs w:val="26"/>
              </w:rPr>
              <w:t>Docket No. RD17-5-000</w:t>
            </w:r>
          </w:p>
        </w:tc>
      </w:tr>
      <w:tr w:rsidR="001D5446" w:rsidRPr="00E9787E" w:rsidTr="001D5446">
        <w:trPr>
          <w:trHeight w:val="744"/>
        </w:trPr>
        <w:tc>
          <w:tcPr>
            <w:tcW w:w="971" w:type="dxa"/>
            <w:shd w:val="clear" w:color="auto" w:fill="D9D9D9"/>
            <w:vAlign w:val="bottom"/>
          </w:tcPr>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 xml:space="preserve">Entity </w:t>
            </w:r>
          </w:p>
        </w:tc>
        <w:tc>
          <w:tcPr>
            <w:tcW w:w="1164" w:type="dxa"/>
            <w:shd w:val="clear" w:color="auto" w:fill="D9D9D9"/>
            <w:vAlign w:val="bottom"/>
          </w:tcPr>
          <w:p w:rsidR="001D5446" w:rsidRPr="00E9787E" w:rsidRDefault="001D5446" w:rsidP="00E9787E">
            <w:pPr>
              <w:spacing w:after="0" w:line="240" w:lineRule="auto"/>
              <w:jc w:val="center"/>
              <w:rPr>
                <w:rFonts w:ascii="Times New Roman" w:eastAsia="Calibri" w:hAnsi="Times New Roman" w:cs="Times New Roman"/>
                <w:sz w:val="26"/>
                <w:szCs w:val="26"/>
                <w:vertAlign w:val="superscript"/>
              </w:rPr>
            </w:pPr>
            <w:r w:rsidRPr="00E9787E">
              <w:rPr>
                <w:rFonts w:ascii="Times New Roman" w:eastAsia="Calibri" w:hAnsi="Times New Roman" w:cs="Times New Roman"/>
                <w:b/>
                <w:sz w:val="26"/>
                <w:szCs w:val="26"/>
              </w:rPr>
              <w:t>No. of Respondents</w:t>
            </w:r>
            <w:r w:rsidRPr="00E9787E">
              <w:rPr>
                <w:rFonts w:ascii="Times New Roman" w:eastAsia="Calibri" w:hAnsi="Times New Roman" w:cs="Times New Roman"/>
                <w:sz w:val="26"/>
                <w:szCs w:val="26"/>
                <w:vertAlign w:val="superscript"/>
              </w:rPr>
              <w:footnoteReference w:id="18"/>
            </w:r>
          </w:p>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(1)</w:t>
            </w:r>
          </w:p>
        </w:tc>
        <w:tc>
          <w:tcPr>
            <w:tcW w:w="1389" w:type="dxa"/>
            <w:shd w:val="clear" w:color="auto" w:fill="D9D9D9"/>
            <w:vAlign w:val="bottom"/>
          </w:tcPr>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Annual No. of Responses per Respondent</w:t>
            </w:r>
          </w:p>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(2)</w:t>
            </w:r>
          </w:p>
        </w:tc>
        <w:tc>
          <w:tcPr>
            <w:tcW w:w="1239" w:type="dxa"/>
            <w:shd w:val="clear" w:color="auto" w:fill="D9D9D9"/>
            <w:vAlign w:val="bottom"/>
          </w:tcPr>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Annual No. of Responses</w:t>
            </w:r>
          </w:p>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(1)*(2)=(3)</w:t>
            </w:r>
          </w:p>
        </w:tc>
        <w:tc>
          <w:tcPr>
            <w:tcW w:w="1267" w:type="dxa"/>
            <w:shd w:val="clear" w:color="auto" w:fill="D9D9D9"/>
            <w:vAlign w:val="bottom"/>
          </w:tcPr>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Average Burden Hrs. &amp; Cost</w:t>
            </w:r>
            <w:r w:rsidRPr="00E9787E">
              <w:rPr>
                <w:rFonts w:ascii="Times New Roman" w:eastAsia="Times New Roman" w:hAnsi="Times New Roman" w:cs="Times New Roman"/>
                <w:b/>
                <w:sz w:val="26"/>
                <w:szCs w:val="26"/>
                <w:vertAlign w:val="superscript"/>
              </w:rPr>
              <w:footnoteReference w:id="19"/>
            </w:r>
            <w:r w:rsidRPr="00E9787E">
              <w:rPr>
                <w:rFonts w:ascii="Times New Roman" w:eastAsia="Times New Roman" w:hAnsi="Times New Roman" w:cs="Times New Roman"/>
                <w:sz w:val="26"/>
                <w:szCs w:val="26"/>
              </w:rPr>
              <w:t xml:space="preserve"> </w:t>
            </w:r>
            <w:r w:rsidRPr="00E9787E">
              <w:rPr>
                <w:rFonts w:ascii="Times New Roman" w:eastAsia="Calibri" w:hAnsi="Times New Roman" w:cs="Times New Roman"/>
                <w:b/>
                <w:sz w:val="26"/>
                <w:szCs w:val="26"/>
              </w:rPr>
              <w:t>Per Response  ($)</w:t>
            </w:r>
          </w:p>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(4)</w:t>
            </w:r>
          </w:p>
        </w:tc>
        <w:tc>
          <w:tcPr>
            <w:tcW w:w="1361" w:type="dxa"/>
            <w:shd w:val="clear" w:color="auto" w:fill="D9D9D9"/>
            <w:vAlign w:val="bottom"/>
          </w:tcPr>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Total Annual Burden Hours &amp; Total Annual Cost ($)</w:t>
            </w:r>
          </w:p>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(3)*(4)=(5)</w:t>
            </w:r>
          </w:p>
        </w:tc>
        <w:tc>
          <w:tcPr>
            <w:tcW w:w="1974" w:type="dxa"/>
            <w:shd w:val="clear" w:color="auto" w:fill="D9D9D9"/>
            <w:vAlign w:val="bottom"/>
          </w:tcPr>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Cost per Respondent ($)</w:t>
            </w:r>
          </w:p>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(5)÷(1)=(6)</w:t>
            </w:r>
          </w:p>
        </w:tc>
      </w:tr>
      <w:tr w:rsidR="001D5446" w:rsidRPr="00E9787E" w:rsidTr="001D5446">
        <w:trPr>
          <w:trHeight w:val="431"/>
        </w:trPr>
        <w:tc>
          <w:tcPr>
            <w:tcW w:w="9365" w:type="dxa"/>
            <w:gridSpan w:val="7"/>
            <w:shd w:val="clear" w:color="auto" w:fill="D9D9D9" w:themeFill="background1" w:themeFillShade="D9"/>
          </w:tcPr>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Retirement Of Former Standard VAR-501-WECC-2</w:t>
            </w:r>
          </w:p>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and Associated Reductions</w:t>
            </w:r>
          </w:p>
        </w:tc>
      </w:tr>
      <w:tr w:rsidR="001D5446" w:rsidRPr="00E9787E" w:rsidTr="001D5446">
        <w:trPr>
          <w:trHeight w:val="299"/>
        </w:trPr>
        <w:tc>
          <w:tcPr>
            <w:tcW w:w="9365" w:type="dxa"/>
            <w:gridSpan w:val="7"/>
          </w:tcPr>
          <w:p w:rsidR="001D5446" w:rsidRPr="00E9787E" w:rsidRDefault="001D5446" w:rsidP="00E9787E">
            <w:pPr>
              <w:spacing w:after="0" w:line="240" w:lineRule="auto"/>
              <w:rPr>
                <w:rFonts w:ascii="Times New Roman" w:hAnsi="Times New Roman" w:cs="Times New Roman"/>
                <w:i/>
                <w:sz w:val="26"/>
                <w:szCs w:val="26"/>
              </w:rPr>
            </w:pPr>
            <w:r w:rsidRPr="00E9787E">
              <w:rPr>
                <w:rFonts w:ascii="Times New Roman" w:eastAsia="Calibri" w:hAnsi="Times New Roman" w:cs="Times New Roman"/>
                <w:i/>
                <w:sz w:val="26"/>
                <w:szCs w:val="26"/>
              </w:rPr>
              <w:t xml:space="preserve">Reporting </w:t>
            </w:r>
            <w:r w:rsidRPr="00E9787E">
              <w:rPr>
                <w:rFonts w:ascii="Times New Roman" w:hAnsi="Times New Roman" w:cs="Times New Roman"/>
                <w:i/>
                <w:sz w:val="26"/>
                <w:szCs w:val="26"/>
              </w:rPr>
              <w:t xml:space="preserve">Requirements </w:t>
            </w:r>
          </w:p>
        </w:tc>
      </w:tr>
      <w:tr w:rsidR="001D5446" w:rsidRPr="00E9787E" w:rsidTr="001D5446">
        <w:trPr>
          <w:trHeight w:val="299"/>
        </w:trPr>
        <w:tc>
          <w:tcPr>
            <w:tcW w:w="971" w:type="dxa"/>
            <w:vAlign w:val="bottom"/>
          </w:tcPr>
          <w:p w:rsidR="001D5446" w:rsidRPr="00E9787E" w:rsidRDefault="001D5446"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Generator Operators</w:t>
            </w:r>
          </w:p>
        </w:tc>
        <w:tc>
          <w:tcPr>
            <w:tcW w:w="1164"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249</w:t>
            </w:r>
          </w:p>
        </w:tc>
        <w:tc>
          <w:tcPr>
            <w:tcW w:w="1389"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4</w:t>
            </w:r>
          </w:p>
        </w:tc>
        <w:tc>
          <w:tcPr>
            <w:tcW w:w="1239"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996</w:t>
            </w:r>
          </w:p>
        </w:tc>
        <w:tc>
          <w:tcPr>
            <w:tcW w:w="1267"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 xml:space="preserve">1 hr.; </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$76.22</w:t>
            </w:r>
          </w:p>
        </w:tc>
        <w:tc>
          <w:tcPr>
            <w:tcW w:w="1361"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 xml:space="preserve">996 hrs.; </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$75,915.12</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(reduction)</w:t>
            </w:r>
          </w:p>
        </w:tc>
        <w:tc>
          <w:tcPr>
            <w:tcW w:w="1974"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$304.88 (reduction)</w:t>
            </w:r>
          </w:p>
        </w:tc>
      </w:tr>
      <w:tr w:rsidR="001D5446" w:rsidRPr="00E9787E" w:rsidTr="001D5446">
        <w:trPr>
          <w:trHeight w:val="299"/>
        </w:trPr>
        <w:tc>
          <w:tcPr>
            <w:tcW w:w="9365" w:type="dxa"/>
            <w:gridSpan w:val="7"/>
            <w:vAlign w:val="bottom"/>
          </w:tcPr>
          <w:p w:rsidR="001D5446" w:rsidRPr="00E9787E" w:rsidRDefault="001D5446" w:rsidP="00E9787E">
            <w:pPr>
              <w:spacing w:after="0" w:line="240" w:lineRule="auto"/>
              <w:rPr>
                <w:rFonts w:ascii="Times New Roman" w:eastAsia="Calibri" w:hAnsi="Times New Roman" w:cs="Times New Roman"/>
                <w:i/>
                <w:sz w:val="26"/>
                <w:szCs w:val="26"/>
              </w:rPr>
            </w:pPr>
            <w:r w:rsidRPr="00E9787E">
              <w:rPr>
                <w:rFonts w:ascii="Times New Roman" w:eastAsia="Calibri" w:hAnsi="Times New Roman" w:cs="Times New Roman"/>
                <w:i/>
                <w:sz w:val="26"/>
                <w:szCs w:val="26"/>
              </w:rPr>
              <w:t xml:space="preserve">Recordkeeping Requirements </w:t>
            </w:r>
          </w:p>
        </w:tc>
      </w:tr>
      <w:tr w:rsidR="001D5446" w:rsidRPr="00E9787E" w:rsidTr="001D5446">
        <w:trPr>
          <w:trHeight w:val="299"/>
        </w:trPr>
        <w:tc>
          <w:tcPr>
            <w:tcW w:w="971" w:type="dxa"/>
            <w:vAlign w:val="bottom"/>
          </w:tcPr>
          <w:p w:rsidR="001D5446" w:rsidRPr="00E9787E" w:rsidRDefault="001D5446" w:rsidP="00E9787E">
            <w:pPr>
              <w:spacing w:after="0" w:line="240" w:lineRule="auto"/>
              <w:rPr>
                <w:rFonts w:ascii="Times New Roman" w:eastAsia="Calibri" w:hAnsi="Times New Roman" w:cs="Times New Roman"/>
                <w:sz w:val="26"/>
                <w:szCs w:val="26"/>
              </w:rPr>
            </w:pPr>
            <w:r w:rsidRPr="00E9787E">
              <w:rPr>
                <w:rFonts w:ascii="Times New Roman" w:eastAsia="Calibri" w:hAnsi="Times New Roman" w:cs="Times New Roman"/>
                <w:sz w:val="26"/>
                <w:szCs w:val="26"/>
              </w:rPr>
              <w:t>Generator Operators</w:t>
            </w:r>
          </w:p>
        </w:tc>
        <w:tc>
          <w:tcPr>
            <w:tcW w:w="1164"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249</w:t>
            </w:r>
          </w:p>
        </w:tc>
        <w:tc>
          <w:tcPr>
            <w:tcW w:w="1389"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4</w:t>
            </w:r>
          </w:p>
        </w:tc>
        <w:tc>
          <w:tcPr>
            <w:tcW w:w="1239"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996</w:t>
            </w:r>
          </w:p>
        </w:tc>
        <w:tc>
          <w:tcPr>
            <w:tcW w:w="1267"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0.5 hrs.;</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$31.19</w:t>
            </w:r>
          </w:p>
        </w:tc>
        <w:tc>
          <w:tcPr>
            <w:tcW w:w="1361"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498 hrs.;</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$15,532.62 (reduction)</w:t>
            </w:r>
          </w:p>
        </w:tc>
        <w:tc>
          <w:tcPr>
            <w:tcW w:w="1974"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$62.38 (reduction)</w:t>
            </w:r>
          </w:p>
        </w:tc>
      </w:tr>
      <w:tr w:rsidR="001D5446" w:rsidRPr="00E9787E" w:rsidTr="001D5446">
        <w:trPr>
          <w:trHeight w:val="299"/>
        </w:trPr>
        <w:tc>
          <w:tcPr>
            <w:tcW w:w="971" w:type="dxa"/>
            <w:vAlign w:val="bottom"/>
          </w:tcPr>
          <w:p w:rsidR="001D5446" w:rsidRPr="00E9787E" w:rsidRDefault="001D5446" w:rsidP="00E9787E">
            <w:pPr>
              <w:spacing w:after="0" w:line="240" w:lineRule="auto"/>
              <w:rPr>
                <w:rFonts w:ascii="Times New Roman" w:eastAsia="Calibri" w:hAnsi="Times New Roman" w:cs="Times New Roman"/>
                <w:b/>
                <w:sz w:val="26"/>
                <w:szCs w:val="26"/>
              </w:rPr>
            </w:pPr>
            <w:r w:rsidRPr="00E9787E">
              <w:rPr>
                <w:rFonts w:ascii="Times New Roman" w:eastAsia="Calibri" w:hAnsi="Times New Roman" w:cs="Times New Roman"/>
                <w:b/>
                <w:sz w:val="26"/>
                <w:szCs w:val="26"/>
              </w:rPr>
              <w:t>Subtotal Reductions (Discontinued in yr. 1)</w:t>
            </w:r>
          </w:p>
        </w:tc>
        <w:tc>
          <w:tcPr>
            <w:tcW w:w="1164"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p>
        </w:tc>
        <w:tc>
          <w:tcPr>
            <w:tcW w:w="1389"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p>
        </w:tc>
        <w:tc>
          <w:tcPr>
            <w:tcW w:w="1239"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p>
        </w:tc>
        <w:tc>
          <w:tcPr>
            <w:tcW w:w="1267"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p>
        </w:tc>
        <w:tc>
          <w:tcPr>
            <w:tcW w:w="1361"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 xml:space="preserve">1,494 hrs.; </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$91,447.74</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(reduction)</w:t>
            </w:r>
          </w:p>
        </w:tc>
        <w:tc>
          <w:tcPr>
            <w:tcW w:w="1974"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p>
        </w:tc>
      </w:tr>
      <w:tr w:rsidR="001D5446" w:rsidRPr="00E9787E" w:rsidTr="001D5446">
        <w:trPr>
          <w:trHeight w:val="299"/>
        </w:trPr>
        <w:tc>
          <w:tcPr>
            <w:tcW w:w="9365" w:type="dxa"/>
            <w:gridSpan w:val="7"/>
            <w:shd w:val="clear" w:color="auto" w:fill="D9D9D9" w:themeFill="background1" w:themeFillShade="D9"/>
          </w:tcPr>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hAnsi="Times New Roman" w:cs="Times New Roman"/>
                <w:b/>
                <w:sz w:val="26"/>
                <w:szCs w:val="26"/>
              </w:rPr>
              <w:t>New Standard VAR-501-WECC-3</w:t>
            </w:r>
          </w:p>
        </w:tc>
      </w:tr>
      <w:tr w:rsidR="001D5446" w:rsidRPr="00E9787E" w:rsidTr="001D5446">
        <w:trPr>
          <w:trHeight w:val="299"/>
        </w:trPr>
        <w:tc>
          <w:tcPr>
            <w:tcW w:w="9365" w:type="dxa"/>
            <w:gridSpan w:val="7"/>
          </w:tcPr>
          <w:p w:rsidR="001D5446" w:rsidRPr="00E9787E" w:rsidRDefault="001D5446" w:rsidP="00E9787E">
            <w:pPr>
              <w:spacing w:after="0" w:line="240" w:lineRule="auto"/>
              <w:rPr>
                <w:rFonts w:ascii="Times New Roman" w:hAnsi="Times New Roman" w:cs="Times New Roman"/>
                <w:i/>
                <w:sz w:val="26"/>
                <w:szCs w:val="26"/>
              </w:rPr>
            </w:pPr>
            <w:r w:rsidRPr="00E9787E">
              <w:rPr>
                <w:rFonts w:ascii="Times New Roman" w:hAnsi="Times New Roman" w:cs="Times New Roman"/>
                <w:i/>
                <w:sz w:val="26"/>
                <w:szCs w:val="26"/>
              </w:rPr>
              <w:t>Reporting Requirements</w:t>
            </w:r>
          </w:p>
        </w:tc>
      </w:tr>
      <w:tr w:rsidR="001D5446" w:rsidRPr="00E9787E" w:rsidTr="001D5446">
        <w:trPr>
          <w:trHeight w:val="299"/>
        </w:trPr>
        <w:tc>
          <w:tcPr>
            <w:tcW w:w="971" w:type="dxa"/>
          </w:tcPr>
          <w:p w:rsidR="001D5446" w:rsidRPr="00E9787E" w:rsidRDefault="001D5446" w:rsidP="00E9787E">
            <w:pPr>
              <w:spacing w:after="0" w:line="240" w:lineRule="auto"/>
              <w:rPr>
                <w:rFonts w:ascii="Times New Roman" w:eastAsia="Calibri" w:hAnsi="Times New Roman" w:cs="Times New Roman"/>
                <w:sz w:val="26"/>
                <w:szCs w:val="26"/>
              </w:rPr>
            </w:pPr>
            <w:r w:rsidRPr="00E9787E">
              <w:rPr>
                <w:rFonts w:ascii="Times New Roman" w:hAnsi="Times New Roman" w:cs="Times New Roman"/>
                <w:sz w:val="26"/>
                <w:szCs w:val="26"/>
              </w:rPr>
              <w:t>Generator Owners and/or Operators, in Year 1</w:t>
            </w:r>
          </w:p>
        </w:tc>
        <w:tc>
          <w:tcPr>
            <w:tcW w:w="1164"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291</w:t>
            </w:r>
          </w:p>
        </w:tc>
        <w:tc>
          <w:tcPr>
            <w:tcW w:w="1389"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3</w:t>
            </w:r>
          </w:p>
        </w:tc>
        <w:tc>
          <w:tcPr>
            <w:tcW w:w="1239"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873</w:t>
            </w:r>
          </w:p>
        </w:tc>
        <w:tc>
          <w:tcPr>
            <w:tcW w:w="1267"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 xml:space="preserve">1 hr.; </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$76.99</w:t>
            </w:r>
          </w:p>
        </w:tc>
        <w:tc>
          <w:tcPr>
            <w:tcW w:w="1361"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873 hrs.;</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$67,212.27</w:t>
            </w:r>
          </w:p>
        </w:tc>
        <w:tc>
          <w:tcPr>
            <w:tcW w:w="1974"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$230.97</w:t>
            </w:r>
          </w:p>
        </w:tc>
      </w:tr>
      <w:tr w:rsidR="001D5446" w:rsidRPr="00E9787E" w:rsidTr="001D5446">
        <w:trPr>
          <w:trHeight w:val="299"/>
        </w:trPr>
        <w:tc>
          <w:tcPr>
            <w:tcW w:w="971" w:type="dxa"/>
          </w:tcPr>
          <w:p w:rsidR="001D5446" w:rsidRPr="00E9787E" w:rsidRDefault="001D5446" w:rsidP="00E9787E">
            <w:pPr>
              <w:spacing w:after="0" w:line="240" w:lineRule="auto"/>
              <w:rPr>
                <w:rFonts w:ascii="Times New Roman" w:eastAsia="Calibri" w:hAnsi="Times New Roman" w:cs="Times New Roman"/>
                <w:sz w:val="26"/>
                <w:szCs w:val="26"/>
              </w:rPr>
            </w:pPr>
            <w:r w:rsidRPr="00E9787E">
              <w:rPr>
                <w:rFonts w:ascii="Times New Roman" w:hAnsi="Times New Roman" w:cs="Times New Roman"/>
                <w:sz w:val="26"/>
                <w:szCs w:val="26"/>
              </w:rPr>
              <w:t>Generator Owners and/or Operators, in Year 2 and Ongoing</w:t>
            </w:r>
          </w:p>
        </w:tc>
        <w:tc>
          <w:tcPr>
            <w:tcW w:w="1164"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291</w:t>
            </w:r>
          </w:p>
        </w:tc>
        <w:tc>
          <w:tcPr>
            <w:tcW w:w="1389"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2</w:t>
            </w:r>
          </w:p>
        </w:tc>
        <w:tc>
          <w:tcPr>
            <w:tcW w:w="1239"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582</w:t>
            </w:r>
          </w:p>
        </w:tc>
        <w:tc>
          <w:tcPr>
            <w:tcW w:w="1267"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 xml:space="preserve">1 hr.; </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$76.99</w:t>
            </w:r>
          </w:p>
        </w:tc>
        <w:tc>
          <w:tcPr>
            <w:tcW w:w="1361"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 xml:space="preserve">582 hrs.; </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$44,808.18</w:t>
            </w:r>
          </w:p>
        </w:tc>
        <w:tc>
          <w:tcPr>
            <w:tcW w:w="1974"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$153.98</w:t>
            </w:r>
          </w:p>
        </w:tc>
      </w:tr>
      <w:tr w:rsidR="001D5446" w:rsidRPr="00E9787E" w:rsidTr="001D5446">
        <w:trPr>
          <w:trHeight w:val="377"/>
        </w:trPr>
        <w:tc>
          <w:tcPr>
            <w:tcW w:w="9365" w:type="dxa"/>
            <w:gridSpan w:val="7"/>
          </w:tcPr>
          <w:p w:rsidR="001D5446" w:rsidRPr="00E9787E" w:rsidRDefault="001D5446" w:rsidP="00E9787E">
            <w:pPr>
              <w:spacing w:after="0" w:line="240" w:lineRule="auto"/>
              <w:rPr>
                <w:rFonts w:ascii="Times New Roman" w:eastAsia="Calibri" w:hAnsi="Times New Roman" w:cs="Times New Roman"/>
                <w:sz w:val="26"/>
                <w:szCs w:val="26"/>
              </w:rPr>
            </w:pPr>
            <w:r w:rsidRPr="00E9787E">
              <w:rPr>
                <w:rFonts w:ascii="Times New Roman" w:eastAsia="Calibri" w:hAnsi="Times New Roman" w:cs="Times New Roman"/>
                <w:i/>
                <w:sz w:val="26"/>
                <w:szCs w:val="26"/>
              </w:rPr>
              <w:t>Recordkeeping Requirements</w:t>
            </w:r>
          </w:p>
        </w:tc>
      </w:tr>
      <w:tr w:rsidR="001D5446" w:rsidRPr="00E9787E" w:rsidTr="001D5446">
        <w:trPr>
          <w:trHeight w:val="299"/>
        </w:trPr>
        <w:tc>
          <w:tcPr>
            <w:tcW w:w="971" w:type="dxa"/>
          </w:tcPr>
          <w:p w:rsidR="001D5446" w:rsidRPr="00E9787E" w:rsidRDefault="001D5446" w:rsidP="00E9787E">
            <w:pPr>
              <w:spacing w:after="0" w:line="240" w:lineRule="auto"/>
              <w:rPr>
                <w:rFonts w:ascii="Times New Roman" w:eastAsia="Calibri" w:hAnsi="Times New Roman" w:cs="Times New Roman"/>
                <w:sz w:val="26"/>
                <w:szCs w:val="26"/>
              </w:rPr>
            </w:pPr>
            <w:r w:rsidRPr="00E9787E">
              <w:rPr>
                <w:rFonts w:ascii="Times New Roman" w:hAnsi="Times New Roman" w:cs="Times New Roman"/>
                <w:sz w:val="26"/>
                <w:szCs w:val="26"/>
              </w:rPr>
              <w:t>Generator Owners and/or Operators, in Year 1</w:t>
            </w:r>
          </w:p>
        </w:tc>
        <w:tc>
          <w:tcPr>
            <w:tcW w:w="1164"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291</w:t>
            </w:r>
          </w:p>
        </w:tc>
        <w:tc>
          <w:tcPr>
            <w:tcW w:w="1389"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3</w:t>
            </w:r>
          </w:p>
        </w:tc>
        <w:tc>
          <w:tcPr>
            <w:tcW w:w="1239"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873</w:t>
            </w:r>
          </w:p>
        </w:tc>
        <w:tc>
          <w:tcPr>
            <w:tcW w:w="1267"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 xml:space="preserve">1 hr.; </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$31.19</w:t>
            </w:r>
          </w:p>
        </w:tc>
        <w:tc>
          <w:tcPr>
            <w:tcW w:w="1361"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 xml:space="preserve">873 hrs.; </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$27,228.87</w:t>
            </w:r>
          </w:p>
        </w:tc>
        <w:tc>
          <w:tcPr>
            <w:tcW w:w="1974"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$93.57</w:t>
            </w:r>
          </w:p>
        </w:tc>
      </w:tr>
      <w:tr w:rsidR="001D5446" w:rsidRPr="00E9787E" w:rsidTr="001D5446">
        <w:trPr>
          <w:trHeight w:val="299"/>
        </w:trPr>
        <w:tc>
          <w:tcPr>
            <w:tcW w:w="971" w:type="dxa"/>
          </w:tcPr>
          <w:p w:rsidR="001D5446" w:rsidRPr="00E9787E" w:rsidRDefault="001D5446" w:rsidP="00E9787E">
            <w:pPr>
              <w:spacing w:after="0" w:line="240" w:lineRule="auto"/>
              <w:rPr>
                <w:rFonts w:ascii="Times New Roman" w:eastAsia="Calibri" w:hAnsi="Times New Roman" w:cs="Times New Roman"/>
                <w:sz w:val="26"/>
                <w:szCs w:val="26"/>
              </w:rPr>
            </w:pPr>
            <w:r w:rsidRPr="00E9787E">
              <w:rPr>
                <w:rFonts w:ascii="Times New Roman" w:hAnsi="Times New Roman" w:cs="Times New Roman"/>
                <w:sz w:val="26"/>
                <w:szCs w:val="26"/>
              </w:rPr>
              <w:t>Generator Owners and/or Operators, in Year 2 and Ongoing</w:t>
            </w:r>
          </w:p>
        </w:tc>
        <w:tc>
          <w:tcPr>
            <w:tcW w:w="1164"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291</w:t>
            </w:r>
          </w:p>
        </w:tc>
        <w:tc>
          <w:tcPr>
            <w:tcW w:w="1389"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2</w:t>
            </w:r>
          </w:p>
        </w:tc>
        <w:tc>
          <w:tcPr>
            <w:tcW w:w="1239"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582</w:t>
            </w:r>
          </w:p>
        </w:tc>
        <w:tc>
          <w:tcPr>
            <w:tcW w:w="1267"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0.5 hrs.;</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$15.595</w:t>
            </w:r>
          </w:p>
        </w:tc>
        <w:tc>
          <w:tcPr>
            <w:tcW w:w="1361"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291 hrs.;</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$9,076.29</w:t>
            </w:r>
          </w:p>
        </w:tc>
        <w:tc>
          <w:tcPr>
            <w:tcW w:w="1974"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$31.19</w:t>
            </w:r>
          </w:p>
        </w:tc>
      </w:tr>
      <w:tr w:rsidR="001D5446" w:rsidRPr="00E9787E" w:rsidTr="001D5446">
        <w:trPr>
          <w:trHeight w:val="299"/>
        </w:trPr>
        <w:tc>
          <w:tcPr>
            <w:tcW w:w="971" w:type="dxa"/>
            <w:vAlign w:val="bottom"/>
          </w:tcPr>
          <w:p w:rsidR="001D5446" w:rsidRPr="00E9787E" w:rsidRDefault="001D5446" w:rsidP="00E9787E">
            <w:pPr>
              <w:spacing w:after="0" w:line="240" w:lineRule="auto"/>
              <w:rPr>
                <w:rFonts w:ascii="Times New Roman" w:hAnsi="Times New Roman" w:cs="Times New Roman"/>
                <w:b/>
                <w:sz w:val="26"/>
                <w:szCs w:val="26"/>
              </w:rPr>
            </w:pPr>
            <w:r w:rsidRPr="00E9787E">
              <w:rPr>
                <w:rFonts w:ascii="Times New Roman" w:hAnsi="Times New Roman" w:cs="Times New Roman"/>
                <w:b/>
                <w:sz w:val="26"/>
                <w:szCs w:val="26"/>
              </w:rPr>
              <w:t>New Burden, in Year 1</w:t>
            </w:r>
          </w:p>
        </w:tc>
        <w:tc>
          <w:tcPr>
            <w:tcW w:w="1164"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p>
        </w:tc>
        <w:tc>
          <w:tcPr>
            <w:tcW w:w="1389"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p>
        </w:tc>
        <w:tc>
          <w:tcPr>
            <w:tcW w:w="1239"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p>
        </w:tc>
        <w:tc>
          <w:tcPr>
            <w:tcW w:w="1267"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p>
        </w:tc>
        <w:tc>
          <w:tcPr>
            <w:tcW w:w="1361"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1,746 hrs.;</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$94,441.14</w:t>
            </w:r>
          </w:p>
        </w:tc>
        <w:tc>
          <w:tcPr>
            <w:tcW w:w="1974"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p>
        </w:tc>
      </w:tr>
      <w:tr w:rsidR="001D5446" w:rsidRPr="00E9787E" w:rsidTr="001D5446">
        <w:trPr>
          <w:trHeight w:val="299"/>
        </w:trPr>
        <w:tc>
          <w:tcPr>
            <w:tcW w:w="971" w:type="dxa"/>
            <w:vAlign w:val="bottom"/>
          </w:tcPr>
          <w:p w:rsidR="001D5446" w:rsidRPr="00E9787E" w:rsidRDefault="001D5446" w:rsidP="00E9787E">
            <w:pPr>
              <w:spacing w:after="0" w:line="240" w:lineRule="auto"/>
              <w:rPr>
                <w:rFonts w:ascii="Times New Roman" w:hAnsi="Times New Roman" w:cs="Times New Roman"/>
                <w:b/>
                <w:sz w:val="26"/>
                <w:szCs w:val="26"/>
              </w:rPr>
            </w:pPr>
            <w:r w:rsidRPr="00E9787E">
              <w:rPr>
                <w:rFonts w:ascii="Times New Roman" w:hAnsi="Times New Roman" w:cs="Times New Roman"/>
                <w:b/>
                <w:sz w:val="26"/>
                <w:szCs w:val="26"/>
              </w:rPr>
              <w:t>New Burden, in Year 2 &amp; Ongoing</w:t>
            </w:r>
          </w:p>
        </w:tc>
        <w:tc>
          <w:tcPr>
            <w:tcW w:w="1164"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p>
        </w:tc>
        <w:tc>
          <w:tcPr>
            <w:tcW w:w="1389"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p>
        </w:tc>
        <w:tc>
          <w:tcPr>
            <w:tcW w:w="1239"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p>
        </w:tc>
        <w:tc>
          <w:tcPr>
            <w:tcW w:w="1267"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p>
        </w:tc>
        <w:tc>
          <w:tcPr>
            <w:tcW w:w="1361"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 xml:space="preserve">873 hrs.; </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$53,884.47</w:t>
            </w:r>
          </w:p>
        </w:tc>
        <w:tc>
          <w:tcPr>
            <w:tcW w:w="1974"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p>
        </w:tc>
      </w:tr>
      <w:tr w:rsidR="001D5446" w:rsidRPr="00E9787E" w:rsidTr="001D5446">
        <w:trPr>
          <w:trHeight w:val="299"/>
        </w:trPr>
        <w:tc>
          <w:tcPr>
            <w:tcW w:w="971" w:type="dxa"/>
          </w:tcPr>
          <w:p w:rsidR="001D5446" w:rsidRPr="00E9787E" w:rsidRDefault="001D5446" w:rsidP="00E9787E">
            <w:pPr>
              <w:spacing w:after="0" w:line="240" w:lineRule="auto"/>
              <w:rPr>
                <w:rFonts w:ascii="Times New Roman" w:hAnsi="Times New Roman" w:cs="Times New Roman"/>
                <w:b/>
                <w:sz w:val="26"/>
                <w:szCs w:val="26"/>
              </w:rPr>
            </w:pPr>
            <w:r w:rsidRPr="00E9787E">
              <w:rPr>
                <w:rFonts w:ascii="Times New Roman" w:hAnsi="Times New Roman" w:cs="Times New Roman"/>
                <w:b/>
                <w:sz w:val="26"/>
                <w:szCs w:val="26"/>
              </w:rPr>
              <w:t>Net Burden Change in Year 1</w:t>
            </w:r>
          </w:p>
          <w:p w:rsidR="001D5446" w:rsidRPr="00E9787E" w:rsidRDefault="001D5446" w:rsidP="00E9787E">
            <w:pPr>
              <w:spacing w:after="0" w:line="240" w:lineRule="auto"/>
              <w:rPr>
                <w:rFonts w:ascii="Times New Roman" w:hAnsi="Times New Roman" w:cs="Times New Roman"/>
                <w:b/>
                <w:sz w:val="26"/>
                <w:szCs w:val="26"/>
              </w:rPr>
            </w:pPr>
            <w:r w:rsidRPr="00E9787E">
              <w:rPr>
                <w:rFonts w:ascii="Times New Roman" w:hAnsi="Times New Roman" w:cs="Times New Roman"/>
                <w:b/>
                <w:sz w:val="26"/>
                <w:szCs w:val="26"/>
              </w:rPr>
              <w:t>(Due to Docket RD17-5)</w:t>
            </w:r>
          </w:p>
        </w:tc>
        <w:tc>
          <w:tcPr>
            <w:tcW w:w="1164"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p>
        </w:tc>
        <w:tc>
          <w:tcPr>
            <w:tcW w:w="1389"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p>
        </w:tc>
        <w:tc>
          <w:tcPr>
            <w:tcW w:w="1239"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p>
        </w:tc>
        <w:tc>
          <w:tcPr>
            <w:tcW w:w="1267"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p>
        </w:tc>
        <w:tc>
          <w:tcPr>
            <w:tcW w:w="1361" w:type="dxa"/>
            <w:vAlign w:val="bottom"/>
          </w:tcPr>
          <w:p w:rsidR="00EB1E46" w:rsidRDefault="001D5446" w:rsidP="00E9787E">
            <w:pPr>
              <w:spacing w:after="0" w:line="240" w:lineRule="auto"/>
              <w:jc w:val="right"/>
              <w:rPr>
                <w:rFonts w:ascii="Times New Roman" w:eastAsia="Calibri" w:hAnsi="Times New Roman" w:cs="Times New Roman"/>
                <w:b/>
                <w:sz w:val="26"/>
                <w:szCs w:val="26"/>
              </w:rPr>
            </w:pPr>
            <w:r w:rsidRPr="00E9787E">
              <w:rPr>
                <w:rFonts w:ascii="Times New Roman" w:eastAsia="Calibri" w:hAnsi="Times New Roman" w:cs="Times New Roman"/>
                <w:b/>
                <w:sz w:val="26"/>
                <w:szCs w:val="26"/>
              </w:rPr>
              <w:t>+252 hrs.</w:t>
            </w:r>
            <w:r w:rsidR="00CA5B1A">
              <w:rPr>
                <w:rFonts w:ascii="Times New Roman" w:eastAsia="Calibri" w:hAnsi="Times New Roman" w:cs="Times New Roman"/>
                <w:b/>
                <w:sz w:val="26"/>
                <w:szCs w:val="26"/>
              </w:rPr>
              <w:t>;</w:t>
            </w:r>
          </w:p>
          <w:p w:rsidR="001D5446" w:rsidRPr="00E9787E" w:rsidRDefault="00EB1E46" w:rsidP="00E9787E">
            <w:pPr>
              <w:spacing w:after="0" w:line="240" w:lineRule="auto"/>
              <w:jc w:val="right"/>
              <w:rPr>
                <w:rFonts w:ascii="Times New Roman" w:eastAsia="Calibri" w:hAnsi="Times New Roman" w:cs="Times New Roman"/>
                <w:b/>
                <w:sz w:val="26"/>
                <w:szCs w:val="26"/>
              </w:rPr>
            </w:pPr>
            <w:r>
              <w:rPr>
                <w:rFonts w:ascii="Times New Roman" w:eastAsia="Calibri" w:hAnsi="Times New Roman" w:cs="Times New Roman"/>
                <w:b/>
                <w:sz w:val="26"/>
                <w:szCs w:val="26"/>
              </w:rPr>
              <w:t>$2,993.40</w:t>
            </w:r>
            <w:r w:rsidR="001D5446" w:rsidRPr="00E9787E">
              <w:rPr>
                <w:rFonts w:ascii="Times New Roman" w:eastAsia="Calibri" w:hAnsi="Times New Roman" w:cs="Times New Roman"/>
                <w:b/>
                <w:sz w:val="26"/>
                <w:szCs w:val="26"/>
              </w:rPr>
              <w:t xml:space="preserve"> (increase)</w:t>
            </w:r>
          </w:p>
        </w:tc>
        <w:tc>
          <w:tcPr>
            <w:tcW w:w="1974"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p>
        </w:tc>
      </w:tr>
      <w:tr w:rsidR="001D5446" w:rsidRPr="00E9787E" w:rsidTr="001D5446">
        <w:trPr>
          <w:trHeight w:val="299"/>
        </w:trPr>
        <w:tc>
          <w:tcPr>
            <w:tcW w:w="971" w:type="dxa"/>
          </w:tcPr>
          <w:p w:rsidR="001D5446" w:rsidRPr="00E9787E" w:rsidRDefault="001D5446" w:rsidP="00E9787E">
            <w:pPr>
              <w:spacing w:after="0" w:line="240" w:lineRule="auto"/>
              <w:rPr>
                <w:rFonts w:ascii="Times New Roman" w:hAnsi="Times New Roman" w:cs="Times New Roman"/>
                <w:b/>
                <w:sz w:val="26"/>
                <w:szCs w:val="26"/>
              </w:rPr>
            </w:pPr>
            <w:r w:rsidRPr="00E9787E">
              <w:rPr>
                <w:rFonts w:ascii="Times New Roman" w:hAnsi="Times New Roman" w:cs="Times New Roman"/>
                <w:b/>
                <w:sz w:val="26"/>
                <w:szCs w:val="26"/>
              </w:rPr>
              <w:t>Net Burden Change in Year 2 and Ongoing (Due to Docket RD17-5)</w:t>
            </w:r>
          </w:p>
        </w:tc>
        <w:tc>
          <w:tcPr>
            <w:tcW w:w="1164"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p>
        </w:tc>
        <w:tc>
          <w:tcPr>
            <w:tcW w:w="1389"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p>
        </w:tc>
        <w:tc>
          <w:tcPr>
            <w:tcW w:w="1239"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p>
        </w:tc>
        <w:tc>
          <w:tcPr>
            <w:tcW w:w="1267"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p>
        </w:tc>
        <w:tc>
          <w:tcPr>
            <w:tcW w:w="1361" w:type="dxa"/>
            <w:vAlign w:val="bottom"/>
          </w:tcPr>
          <w:p w:rsidR="00EB1E46" w:rsidRDefault="00A74AB7" w:rsidP="00EB1E46">
            <w:pPr>
              <w:spacing w:after="0" w:line="240" w:lineRule="auto"/>
              <w:jc w:val="right"/>
              <w:rPr>
                <w:rFonts w:ascii="Times New Roman" w:eastAsia="Calibri" w:hAnsi="Times New Roman" w:cs="Times New Roman"/>
                <w:b/>
                <w:sz w:val="26"/>
                <w:szCs w:val="26"/>
              </w:rPr>
            </w:pPr>
            <w:r w:rsidRPr="00E9787E">
              <w:rPr>
                <w:rFonts w:ascii="Times New Roman" w:eastAsia="Calibri" w:hAnsi="Times New Roman" w:cs="Times New Roman"/>
                <w:b/>
                <w:sz w:val="26"/>
                <w:szCs w:val="26"/>
              </w:rPr>
              <w:t>+</w:t>
            </w:r>
            <w:r w:rsidR="00B45827" w:rsidRPr="00E9787E">
              <w:rPr>
                <w:rFonts w:ascii="Times New Roman" w:eastAsia="Calibri" w:hAnsi="Times New Roman" w:cs="Times New Roman"/>
                <w:b/>
                <w:sz w:val="26"/>
                <w:szCs w:val="26"/>
              </w:rPr>
              <w:t>8</w:t>
            </w:r>
            <w:r w:rsidR="00EB1E46">
              <w:rPr>
                <w:rFonts w:ascii="Times New Roman" w:eastAsia="Calibri" w:hAnsi="Times New Roman" w:cs="Times New Roman"/>
                <w:b/>
                <w:sz w:val="26"/>
                <w:szCs w:val="26"/>
              </w:rPr>
              <w:t>73</w:t>
            </w:r>
            <w:r w:rsidR="001D5446" w:rsidRPr="00E9787E">
              <w:rPr>
                <w:rFonts w:ascii="Times New Roman" w:eastAsia="Calibri" w:hAnsi="Times New Roman" w:cs="Times New Roman"/>
                <w:b/>
                <w:sz w:val="26"/>
                <w:szCs w:val="26"/>
              </w:rPr>
              <w:t xml:space="preserve"> hrs.</w:t>
            </w:r>
            <w:r w:rsidR="00EB1E46">
              <w:rPr>
                <w:rFonts w:ascii="Times New Roman" w:eastAsia="Calibri" w:hAnsi="Times New Roman" w:cs="Times New Roman"/>
                <w:b/>
                <w:sz w:val="26"/>
                <w:szCs w:val="26"/>
              </w:rPr>
              <w:t>;</w:t>
            </w:r>
          </w:p>
          <w:p w:rsidR="001D5446" w:rsidRPr="00E9787E" w:rsidRDefault="00EB1E46" w:rsidP="00EB1E46">
            <w:pPr>
              <w:spacing w:after="0" w:line="240" w:lineRule="auto"/>
              <w:jc w:val="right"/>
              <w:rPr>
                <w:rFonts w:ascii="Times New Roman" w:eastAsia="Calibri" w:hAnsi="Times New Roman" w:cs="Times New Roman"/>
                <w:b/>
                <w:sz w:val="26"/>
                <w:szCs w:val="26"/>
              </w:rPr>
            </w:pPr>
            <w:r>
              <w:rPr>
                <w:rFonts w:ascii="Times New Roman" w:eastAsia="Calibri" w:hAnsi="Times New Roman" w:cs="Times New Roman"/>
                <w:b/>
                <w:sz w:val="26"/>
                <w:szCs w:val="26"/>
              </w:rPr>
              <w:t>$53,884.47</w:t>
            </w:r>
            <w:r w:rsidR="001D5446" w:rsidRPr="00E9787E">
              <w:rPr>
                <w:rFonts w:ascii="Times New Roman" w:eastAsia="Calibri" w:hAnsi="Times New Roman" w:cs="Times New Roman"/>
                <w:b/>
                <w:sz w:val="26"/>
                <w:szCs w:val="26"/>
              </w:rPr>
              <w:t xml:space="preserve"> (</w:t>
            </w:r>
            <w:r w:rsidR="00B45827" w:rsidRPr="00E9787E">
              <w:rPr>
                <w:rFonts w:ascii="Times New Roman" w:eastAsia="Calibri" w:hAnsi="Times New Roman" w:cs="Times New Roman"/>
                <w:b/>
                <w:sz w:val="26"/>
                <w:szCs w:val="26"/>
              </w:rPr>
              <w:t>in</w:t>
            </w:r>
            <w:r w:rsidR="001D5446" w:rsidRPr="00E9787E">
              <w:rPr>
                <w:rFonts w:ascii="Times New Roman" w:eastAsia="Calibri" w:hAnsi="Times New Roman" w:cs="Times New Roman"/>
                <w:b/>
                <w:sz w:val="26"/>
                <w:szCs w:val="26"/>
              </w:rPr>
              <w:t xml:space="preserve">crease) </w:t>
            </w:r>
          </w:p>
        </w:tc>
        <w:tc>
          <w:tcPr>
            <w:tcW w:w="1974"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p>
        </w:tc>
      </w:tr>
    </w:tbl>
    <w:p w:rsidR="0071363C" w:rsidRPr="00E9787E" w:rsidRDefault="0071363C" w:rsidP="00E9787E">
      <w:pPr>
        <w:spacing w:after="160" w:line="240" w:lineRule="auto"/>
        <w:contextualSpacing/>
        <w:rPr>
          <w:rFonts w:ascii="Times New Roman" w:eastAsia="Times New Roman" w:hAnsi="Times New Roman" w:cs="Times New Roman"/>
          <w:i/>
          <w:sz w:val="26"/>
          <w:szCs w:val="26"/>
        </w:rPr>
      </w:pPr>
    </w:p>
    <w:p w:rsidR="00917FB4" w:rsidRPr="00917FB4" w:rsidRDefault="00917FB4" w:rsidP="00E9787E">
      <w:pPr>
        <w:spacing w:after="160" w:line="240" w:lineRule="auto"/>
        <w:contextualSpacing/>
        <w:rPr>
          <w:rFonts w:ascii="Times New Roman" w:eastAsia="Times New Roman" w:hAnsi="Times New Roman" w:cs="Times New Roman"/>
          <w:sz w:val="26"/>
          <w:szCs w:val="26"/>
        </w:rPr>
      </w:pPr>
      <w:r w:rsidRPr="00917FB4">
        <w:rPr>
          <w:rFonts w:ascii="Times New Roman" w:eastAsia="Times New Roman" w:hAnsi="Times New Roman" w:cs="Times New Roman"/>
          <w:i/>
          <w:sz w:val="26"/>
          <w:szCs w:val="26"/>
        </w:rPr>
        <w:t>Net Burden for FERC-725E, for Submittal to OMB</w:t>
      </w:r>
      <w:r w:rsidRPr="00E9787E">
        <w:rPr>
          <w:rFonts w:ascii="Times New Roman" w:eastAsia="Times New Roman" w:hAnsi="Times New Roman" w:cs="Times New Roman"/>
          <w:b/>
          <w:i/>
          <w:sz w:val="26"/>
          <w:szCs w:val="26"/>
          <w:vertAlign w:val="superscript"/>
        </w:rPr>
        <w:footnoteReference w:id="20"/>
      </w:r>
      <w:r w:rsidRPr="00917FB4">
        <w:rPr>
          <w:rFonts w:ascii="Times New Roman" w:eastAsia="Times New Roman" w:hAnsi="Times New Roman" w:cs="Times New Roman"/>
          <w:i/>
          <w:sz w:val="26"/>
          <w:szCs w:val="26"/>
        </w:rPr>
        <w:t>.</w:t>
      </w:r>
      <w:r w:rsidRPr="00917FB4">
        <w:rPr>
          <w:rFonts w:ascii="Times New Roman" w:eastAsia="Times New Roman" w:hAnsi="Times New Roman" w:cs="Times New Roman"/>
          <w:sz w:val="26"/>
          <w:szCs w:val="26"/>
        </w:rPr>
        <w:t xml:space="preserve">  The table below describes the new and continuing information collection requirements and the associated burden for FERC-725E.  (The burdens and costs related to TOP-007-WECC-1a and VAR-501-WECC-2 [the standards being retired] are omitted.)</w:t>
      </w:r>
    </w:p>
    <w:p w:rsidR="00DA737C" w:rsidRPr="00E9787E" w:rsidRDefault="00DA737C" w:rsidP="00E9787E">
      <w:pPr>
        <w:spacing w:after="0" w:line="240" w:lineRule="auto"/>
        <w:rPr>
          <w:rFonts w:ascii="Times New Roman" w:hAnsi="Times New Roman" w:cs="Times New Roman"/>
          <w:sz w:val="26"/>
          <w:szCs w:val="26"/>
        </w:rPr>
      </w:pPr>
    </w:p>
    <w:tbl>
      <w:tblPr>
        <w:tblpPr w:leftFromText="187" w:rightFromText="187" w:vertAnchor="text" w:horzAnchor="margin" w:tblpX="-10" w:tblpY="1"/>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5"/>
        <w:gridCol w:w="1170"/>
        <w:gridCol w:w="1440"/>
        <w:gridCol w:w="1350"/>
        <w:gridCol w:w="1440"/>
        <w:gridCol w:w="1620"/>
        <w:gridCol w:w="1170"/>
      </w:tblGrid>
      <w:tr w:rsidR="001D5446" w:rsidRPr="00E9787E" w:rsidTr="001D5446">
        <w:trPr>
          <w:trHeight w:val="288"/>
        </w:trPr>
        <w:tc>
          <w:tcPr>
            <w:tcW w:w="9995" w:type="dxa"/>
            <w:gridSpan w:val="7"/>
            <w:shd w:val="clear" w:color="auto" w:fill="D9D9D9"/>
          </w:tcPr>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 xml:space="preserve">FERC-725E, Mandatory Reliability Standards for the </w:t>
            </w:r>
          </w:p>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Western Electric Coordinating Council</w:t>
            </w:r>
          </w:p>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[New and Continuing Information Collection Requirements]</w:t>
            </w:r>
          </w:p>
        </w:tc>
      </w:tr>
      <w:tr w:rsidR="001D5446" w:rsidRPr="00E9787E" w:rsidTr="001D5446">
        <w:trPr>
          <w:trHeight w:val="744"/>
        </w:trPr>
        <w:tc>
          <w:tcPr>
            <w:tcW w:w="1805" w:type="dxa"/>
            <w:shd w:val="clear" w:color="auto" w:fill="D9D9D9"/>
            <w:vAlign w:val="bottom"/>
          </w:tcPr>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 xml:space="preserve">Entity </w:t>
            </w:r>
          </w:p>
        </w:tc>
        <w:tc>
          <w:tcPr>
            <w:tcW w:w="1170" w:type="dxa"/>
            <w:shd w:val="clear" w:color="auto" w:fill="D9D9D9"/>
            <w:vAlign w:val="bottom"/>
          </w:tcPr>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No. of Respondents</w:t>
            </w:r>
            <w:r w:rsidRPr="00E9787E">
              <w:rPr>
                <w:rFonts w:ascii="Times New Roman" w:eastAsia="Calibri" w:hAnsi="Times New Roman" w:cs="Times New Roman"/>
                <w:sz w:val="26"/>
                <w:szCs w:val="26"/>
                <w:vertAlign w:val="superscript"/>
              </w:rPr>
              <w:footnoteReference w:id="21"/>
            </w:r>
            <w:r w:rsidRPr="00E9787E">
              <w:rPr>
                <w:rFonts w:ascii="Times New Roman" w:eastAsia="Calibri" w:hAnsi="Times New Roman" w:cs="Times New Roman"/>
                <w:b/>
                <w:sz w:val="26"/>
                <w:szCs w:val="26"/>
              </w:rPr>
              <w:br/>
              <w:t>(1)</w:t>
            </w:r>
          </w:p>
        </w:tc>
        <w:tc>
          <w:tcPr>
            <w:tcW w:w="1440" w:type="dxa"/>
            <w:shd w:val="clear" w:color="auto" w:fill="D9D9D9"/>
            <w:vAlign w:val="bottom"/>
          </w:tcPr>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Annual No. of Responses per Respondent</w:t>
            </w:r>
          </w:p>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(2)</w:t>
            </w:r>
          </w:p>
        </w:tc>
        <w:tc>
          <w:tcPr>
            <w:tcW w:w="1350" w:type="dxa"/>
            <w:shd w:val="clear" w:color="auto" w:fill="D9D9D9"/>
            <w:vAlign w:val="bottom"/>
          </w:tcPr>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hAnsi="Times New Roman" w:cs="Times New Roman"/>
                <w:sz w:val="26"/>
                <w:szCs w:val="26"/>
              </w:rPr>
              <w:t xml:space="preserve"> </w:t>
            </w:r>
            <w:r w:rsidRPr="00E9787E">
              <w:rPr>
                <w:rFonts w:ascii="Times New Roman" w:eastAsia="Calibri" w:hAnsi="Times New Roman" w:cs="Times New Roman"/>
                <w:b/>
                <w:sz w:val="26"/>
                <w:szCs w:val="26"/>
              </w:rPr>
              <w:t>Annual No. of Responses</w:t>
            </w:r>
          </w:p>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(1)*(2)=(3)</w:t>
            </w:r>
          </w:p>
        </w:tc>
        <w:tc>
          <w:tcPr>
            <w:tcW w:w="1440" w:type="dxa"/>
            <w:shd w:val="clear" w:color="auto" w:fill="D9D9D9"/>
            <w:vAlign w:val="bottom"/>
          </w:tcPr>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Average Burden Hrs. &amp; Cost</w:t>
            </w:r>
            <w:r w:rsidR="00B45827" w:rsidRPr="00E9787E">
              <w:rPr>
                <w:rFonts w:ascii="Times New Roman" w:eastAsia="Calibri" w:hAnsi="Times New Roman" w:cs="Times New Roman"/>
                <w:sz w:val="26"/>
                <w:szCs w:val="26"/>
                <w:vertAlign w:val="superscript"/>
              </w:rPr>
              <w:footnoteReference w:id="22"/>
            </w:r>
            <w:r w:rsidR="00B45827" w:rsidRPr="00E9787E">
              <w:rPr>
                <w:rFonts w:ascii="Times New Roman" w:eastAsia="Calibri" w:hAnsi="Times New Roman" w:cs="Times New Roman"/>
                <w:b/>
                <w:sz w:val="26"/>
                <w:szCs w:val="26"/>
              </w:rPr>
              <w:t xml:space="preserve"> </w:t>
            </w:r>
            <w:r w:rsidRPr="00E9787E">
              <w:rPr>
                <w:rFonts w:ascii="Times New Roman" w:eastAsia="Calibri" w:hAnsi="Times New Roman" w:cs="Times New Roman"/>
                <w:b/>
                <w:sz w:val="26"/>
                <w:szCs w:val="26"/>
              </w:rPr>
              <w:t xml:space="preserve"> Per Response ($)</w:t>
            </w:r>
          </w:p>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(4)</w:t>
            </w:r>
          </w:p>
        </w:tc>
        <w:tc>
          <w:tcPr>
            <w:tcW w:w="1620" w:type="dxa"/>
            <w:shd w:val="clear" w:color="auto" w:fill="D9D9D9"/>
            <w:vAlign w:val="bottom"/>
          </w:tcPr>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Total Annual Burden Hours &amp; Total Annual Cost ($)</w:t>
            </w:r>
          </w:p>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(3)*(4)=(5)</w:t>
            </w:r>
          </w:p>
        </w:tc>
        <w:tc>
          <w:tcPr>
            <w:tcW w:w="1170" w:type="dxa"/>
            <w:shd w:val="clear" w:color="auto" w:fill="D9D9D9"/>
            <w:vAlign w:val="bottom"/>
          </w:tcPr>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Cost per Respondent ($)</w:t>
            </w:r>
          </w:p>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(5)÷(1)=(6)</w:t>
            </w:r>
          </w:p>
        </w:tc>
      </w:tr>
      <w:tr w:rsidR="001D5446" w:rsidRPr="00E9787E" w:rsidTr="001D5446">
        <w:trPr>
          <w:trHeight w:val="346"/>
        </w:trPr>
        <w:tc>
          <w:tcPr>
            <w:tcW w:w="9995" w:type="dxa"/>
            <w:gridSpan w:val="7"/>
            <w:shd w:val="clear" w:color="auto" w:fill="D9D9D9"/>
          </w:tcPr>
          <w:p w:rsidR="001D5446" w:rsidRPr="00E9787E" w:rsidRDefault="001D5446" w:rsidP="00E9787E">
            <w:pPr>
              <w:spacing w:after="0" w:line="240" w:lineRule="auto"/>
              <w:jc w:val="center"/>
              <w:rPr>
                <w:rFonts w:ascii="Times New Roman" w:eastAsia="Calibri" w:hAnsi="Times New Roman" w:cs="Times New Roman"/>
                <w:b/>
                <w:sz w:val="26"/>
                <w:szCs w:val="26"/>
              </w:rPr>
            </w:pPr>
            <w:r w:rsidRPr="00E9787E">
              <w:rPr>
                <w:rFonts w:ascii="Times New Roman" w:eastAsia="Calibri" w:hAnsi="Times New Roman" w:cs="Times New Roman"/>
                <w:b/>
                <w:sz w:val="26"/>
                <w:szCs w:val="26"/>
              </w:rPr>
              <w:t>Reporting Requirements</w:t>
            </w:r>
          </w:p>
        </w:tc>
      </w:tr>
      <w:tr w:rsidR="001D5446" w:rsidRPr="00E9787E" w:rsidTr="001D5446">
        <w:trPr>
          <w:trHeight w:val="294"/>
        </w:trPr>
        <w:tc>
          <w:tcPr>
            <w:tcW w:w="1805" w:type="dxa"/>
          </w:tcPr>
          <w:p w:rsidR="001D5446" w:rsidRPr="00E9787E" w:rsidRDefault="001D5446" w:rsidP="00E9787E">
            <w:pPr>
              <w:spacing w:after="0" w:line="240" w:lineRule="auto"/>
              <w:rPr>
                <w:rFonts w:ascii="Times New Roman" w:eastAsia="Calibri" w:hAnsi="Times New Roman" w:cs="Times New Roman"/>
                <w:sz w:val="26"/>
                <w:szCs w:val="26"/>
              </w:rPr>
            </w:pPr>
            <w:r w:rsidRPr="00E9787E">
              <w:rPr>
                <w:rFonts w:ascii="Times New Roman" w:eastAsia="Calibri" w:hAnsi="Times New Roman" w:cs="Times New Roman"/>
                <w:sz w:val="26"/>
                <w:szCs w:val="26"/>
              </w:rPr>
              <w:t>Balancing Authorities</w:t>
            </w:r>
          </w:p>
        </w:tc>
        <w:tc>
          <w:tcPr>
            <w:tcW w:w="1170"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34</w:t>
            </w:r>
          </w:p>
        </w:tc>
        <w:tc>
          <w:tcPr>
            <w:tcW w:w="1440"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1</w:t>
            </w:r>
          </w:p>
        </w:tc>
        <w:tc>
          <w:tcPr>
            <w:tcW w:w="1350"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34</w:t>
            </w:r>
          </w:p>
        </w:tc>
        <w:tc>
          <w:tcPr>
            <w:tcW w:w="1440"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21 hrs.,</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$1,616.79</w:t>
            </w:r>
          </w:p>
        </w:tc>
        <w:tc>
          <w:tcPr>
            <w:tcW w:w="1620"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714 hrs.,</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$54,970.86</w:t>
            </w:r>
          </w:p>
        </w:tc>
        <w:tc>
          <w:tcPr>
            <w:tcW w:w="1170"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$1,616.79</w:t>
            </w:r>
          </w:p>
        </w:tc>
      </w:tr>
      <w:tr w:rsidR="001D5446" w:rsidRPr="00E9787E" w:rsidTr="001D5446">
        <w:trPr>
          <w:trHeight w:val="299"/>
        </w:trPr>
        <w:tc>
          <w:tcPr>
            <w:tcW w:w="1805" w:type="dxa"/>
          </w:tcPr>
          <w:p w:rsidR="001D5446" w:rsidRPr="00E9787E" w:rsidRDefault="001D5446" w:rsidP="00E9787E">
            <w:pPr>
              <w:spacing w:after="0" w:line="240" w:lineRule="auto"/>
              <w:rPr>
                <w:rFonts w:ascii="Times New Roman" w:eastAsia="Calibri" w:hAnsi="Times New Roman" w:cs="Times New Roman"/>
                <w:sz w:val="26"/>
                <w:szCs w:val="26"/>
              </w:rPr>
            </w:pPr>
            <w:r w:rsidRPr="00E9787E">
              <w:rPr>
                <w:rFonts w:ascii="Times New Roman" w:eastAsia="Calibri" w:hAnsi="Times New Roman" w:cs="Times New Roman"/>
                <w:sz w:val="26"/>
                <w:szCs w:val="26"/>
              </w:rPr>
              <w:t>Generator Operators</w:t>
            </w:r>
          </w:p>
        </w:tc>
        <w:tc>
          <w:tcPr>
            <w:tcW w:w="1170"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228</w:t>
            </w:r>
          </w:p>
        </w:tc>
        <w:tc>
          <w:tcPr>
            <w:tcW w:w="1440"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1</w:t>
            </w:r>
          </w:p>
        </w:tc>
        <w:tc>
          <w:tcPr>
            <w:tcW w:w="1350"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228</w:t>
            </w:r>
          </w:p>
        </w:tc>
        <w:tc>
          <w:tcPr>
            <w:tcW w:w="1440"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10 hrs.,</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$769.90</w:t>
            </w:r>
          </w:p>
        </w:tc>
        <w:tc>
          <w:tcPr>
            <w:tcW w:w="1620"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2,280 hrs.,</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$175,537.20</w:t>
            </w:r>
          </w:p>
        </w:tc>
        <w:tc>
          <w:tcPr>
            <w:tcW w:w="1170"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$769.90</w:t>
            </w:r>
          </w:p>
        </w:tc>
      </w:tr>
      <w:tr w:rsidR="001D5446" w:rsidRPr="00E9787E" w:rsidTr="001D5446">
        <w:trPr>
          <w:trHeight w:val="529"/>
        </w:trPr>
        <w:tc>
          <w:tcPr>
            <w:tcW w:w="1805" w:type="dxa"/>
            <w:tcBorders>
              <w:bottom w:val="single" w:sz="4" w:space="0" w:color="auto"/>
            </w:tcBorders>
          </w:tcPr>
          <w:p w:rsidR="001D5446" w:rsidRPr="00E9787E" w:rsidRDefault="001D5446" w:rsidP="00E9787E">
            <w:pPr>
              <w:spacing w:after="0" w:line="240" w:lineRule="auto"/>
              <w:rPr>
                <w:rFonts w:ascii="Times New Roman" w:eastAsia="Calibri" w:hAnsi="Times New Roman" w:cs="Times New Roman"/>
                <w:sz w:val="26"/>
                <w:szCs w:val="26"/>
              </w:rPr>
            </w:pPr>
            <w:r w:rsidRPr="00E9787E">
              <w:rPr>
                <w:rFonts w:ascii="Times New Roman" w:eastAsia="Times New Roman" w:hAnsi="Times New Roman" w:cs="Times New Roman"/>
                <w:sz w:val="26"/>
                <w:szCs w:val="26"/>
              </w:rPr>
              <w:t>Transmission Operators applicable to standard VAR-002</w:t>
            </w:r>
          </w:p>
        </w:tc>
        <w:tc>
          <w:tcPr>
            <w:tcW w:w="1170" w:type="dxa"/>
            <w:tcBorders>
              <w:bottom w:val="single" w:sz="4" w:space="0" w:color="auto"/>
            </w:tcBorders>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86</w:t>
            </w:r>
          </w:p>
        </w:tc>
        <w:tc>
          <w:tcPr>
            <w:tcW w:w="1440" w:type="dxa"/>
            <w:tcBorders>
              <w:bottom w:val="single" w:sz="4" w:space="0" w:color="auto"/>
            </w:tcBorders>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4</w:t>
            </w:r>
          </w:p>
        </w:tc>
        <w:tc>
          <w:tcPr>
            <w:tcW w:w="1350" w:type="dxa"/>
            <w:tcBorders>
              <w:bottom w:val="single" w:sz="4" w:space="0" w:color="auto"/>
            </w:tcBorders>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344</w:t>
            </w:r>
          </w:p>
        </w:tc>
        <w:tc>
          <w:tcPr>
            <w:tcW w:w="1440" w:type="dxa"/>
            <w:tcBorders>
              <w:bottom w:val="single" w:sz="4" w:space="0" w:color="auto"/>
            </w:tcBorders>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10 hrs.,</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$769.90</w:t>
            </w:r>
          </w:p>
        </w:tc>
        <w:tc>
          <w:tcPr>
            <w:tcW w:w="1620" w:type="dxa"/>
            <w:tcBorders>
              <w:bottom w:val="single" w:sz="4" w:space="0" w:color="auto"/>
            </w:tcBorders>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3,440 hrs.,</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$264,845.60</w:t>
            </w:r>
          </w:p>
        </w:tc>
        <w:tc>
          <w:tcPr>
            <w:tcW w:w="1170" w:type="dxa"/>
            <w:tcBorders>
              <w:bottom w:val="single" w:sz="4" w:space="0" w:color="auto"/>
            </w:tcBorders>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$769.90</w:t>
            </w:r>
          </w:p>
        </w:tc>
      </w:tr>
      <w:tr w:rsidR="001D5446" w:rsidRPr="00E9787E" w:rsidTr="001D5446">
        <w:trPr>
          <w:trHeight w:val="317"/>
        </w:trPr>
        <w:tc>
          <w:tcPr>
            <w:tcW w:w="1805" w:type="dxa"/>
            <w:tcBorders>
              <w:bottom w:val="single" w:sz="4" w:space="0" w:color="auto"/>
            </w:tcBorders>
            <w:shd w:val="clear" w:color="auto" w:fill="auto"/>
            <w:vAlign w:val="bottom"/>
          </w:tcPr>
          <w:p w:rsidR="001D5446" w:rsidRPr="00E9787E" w:rsidRDefault="001D5446" w:rsidP="00E9787E">
            <w:pPr>
              <w:spacing w:after="0" w:line="240" w:lineRule="auto"/>
              <w:rPr>
                <w:rFonts w:ascii="Times New Roman" w:eastAsia="Calibri" w:hAnsi="Times New Roman" w:cs="Times New Roman"/>
                <w:sz w:val="26"/>
                <w:szCs w:val="26"/>
              </w:rPr>
            </w:pPr>
            <w:r w:rsidRPr="00E9787E">
              <w:rPr>
                <w:rFonts w:ascii="Times New Roman" w:eastAsia="Calibri" w:hAnsi="Times New Roman" w:cs="Times New Roman"/>
                <w:sz w:val="26"/>
                <w:szCs w:val="26"/>
              </w:rPr>
              <w:t>Transmission Owners that operate qualified transfer paths</w:t>
            </w:r>
          </w:p>
        </w:tc>
        <w:tc>
          <w:tcPr>
            <w:tcW w:w="1170" w:type="dxa"/>
            <w:tcBorders>
              <w:bottom w:val="single" w:sz="4" w:space="0" w:color="auto"/>
            </w:tcBorders>
            <w:shd w:val="clear" w:color="auto" w:fill="auto"/>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5</w:t>
            </w:r>
          </w:p>
        </w:tc>
        <w:tc>
          <w:tcPr>
            <w:tcW w:w="1440" w:type="dxa"/>
            <w:tcBorders>
              <w:bottom w:val="single" w:sz="4" w:space="0" w:color="auto"/>
            </w:tcBorders>
            <w:shd w:val="clear" w:color="auto" w:fill="auto"/>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3</w:t>
            </w:r>
          </w:p>
        </w:tc>
        <w:tc>
          <w:tcPr>
            <w:tcW w:w="1350" w:type="dxa"/>
            <w:tcBorders>
              <w:bottom w:val="single" w:sz="4" w:space="0" w:color="auto"/>
            </w:tcBorders>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15</w:t>
            </w:r>
          </w:p>
        </w:tc>
        <w:tc>
          <w:tcPr>
            <w:tcW w:w="1440" w:type="dxa"/>
            <w:tcBorders>
              <w:bottom w:val="single" w:sz="4" w:space="0" w:color="auto"/>
            </w:tcBorders>
            <w:shd w:val="clear" w:color="auto" w:fill="auto"/>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40 hrs.,</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$3,079.60</w:t>
            </w:r>
          </w:p>
        </w:tc>
        <w:tc>
          <w:tcPr>
            <w:tcW w:w="1620" w:type="dxa"/>
            <w:shd w:val="clear" w:color="auto" w:fill="auto"/>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600 hrs.,</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$46,194.00</w:t>
            </w:r>
          </w:p>
        </w:tc>
        <w:tc>
          <w:tcPr>
            <w:tcW w:w="1170" w:type="dxa"/>
            <w:shd w:val="clear" w:color="auto" w:fill="auto"/>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$3,079.60</w:t>
            </w:r>
          </w:p>
        </w:tc>
      </w:tr>
      <w:tr w:rsidR="001D5446" w:rsidRPr="00E9787E" w:rsidTr="001D5446">
        <w:trPr>
          <w:trHeight w:val="398"/>
        </w:trPr>
        <w:tc>
          <w:tcPr>
            <w:tcW w:w="1805" w:type="dxa"/>
            <w:vAlign w:val="bottom"/>
          </w:tcPr>
          <w:p w:rsidR="001D5446" w:rsidRPr="00E9787E" w:rsidRDefault="001D5446" w:rsidP="00E9787E">
            <w:pPr>
              <w:spacing w:after="0" w:line="240" w:lineRule="auto"/>
              <w:rPr>
                <w:rFonts w:ascii="Times New Roman" w:eastAsia="Calibri" w:hAnsi="Times New Roman" w:cs="Times New Roman"/>
                <w:sz w:val="26"/>
                <w:szCs w:val="26"/>
              </w:rPr>
            </w:pPr>
            <w:r w:rsidRPr="00E9787E">
              <w:rPr>
                <w:rFonts w:ascii="Times New Roman" w:eastAsia="Calibri" w:hAnsi="Times New Roman" w:cs="Times New Roman"/>
                <w:sz w:val="26"/>
                <w:szCs w:val="26"/>
              </w:rPr>
              <w:t>Reliability Coordinators</w:t>
            </w:r>
          </w:p>
        </w:tc>
        <w:tc>
          <w:tcPr>
            <w:tcW w:w="1170" w:type="dxa"/>
            <w:tcBorders>
              <w:bottom w:val="single" w:sz="4" w:space="0" w:color="auto"/>
            </w:tcBorders>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1</w:t>
            </w:r>
          </w:p>
        </w:tc>
        <w:tc>
          <w:tcPr>
            <w:tcW w:w="1440" w:type="dxa"/>
            <w:tcBorders>
              <w:bottom w:val="single" w:sz="4" w:space="0" w:color="auto"/>
            </w:tcBorders>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1</w:t>
            </w:r>
          </w:p>
        </w:tc>
        <w:tc>
          <w:tcPr>
            <w:tcW w:w="1350" w:type="dxa"/>
            <w:tcBorders>
              <w:bottom w:val="single" w:sz="4" w:space="0" w:color="auto"/>
            </w:tcBorders>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1</w:t>
            </w:r>
          </w:p>
        </w:tc>
        <w:tc>
          <w:tcPr>
            <w:tcW w:w="1440" w:type="dxa"/>
            <w:tcBorders>
              <w:bottom w:val="single" w:sz="4" w:space="0" w:color="auto"/>
            </w:tcBorders>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1 hr.,</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$76.99</w:t>
            </w:r>
          </w:p>
        </w:tc>
        <w:tc>
          <w:tcPr>
            <w:tcW w:w="1620"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1 hr.,</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$76.99</w:t>
            </w:r>
          </w:p>
        </w:tc>
        <w:tc>
          <w:tcPr>
            <w:tcW w:w="1170"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$76.99</w:t>
            </w:r>
          </w:p>
        </w:tc>
      </w:tr>
      <w:tr w:rsidR="001D5446" w:rsidRPr="00E9787E" w:rsidTr="001D5446">
        <w:trPr>
          <w:trHeight w:val="398"/>
        </w:trPr>
        <w:tc>
          <w:tcPr>
            <w:tcW w:w="1805" w:type="dxa"/>
            <w:tcBorders>
              <w:bottom w:val="single" w:sz="4" w:space="0" w:color="auto"/>
            </w:tcBorders>
            <w:vAlign w:val="bottom"/>
          </w:tcPr>
          <w:p w:rsidR="001D5446" w:rsidRPr="00E9787E" w:rsidRDefault="001D5446" w:rsidP="00E9787E">
            <w:pPr>
              <w:spacing w:after="0" w:line="240" w:lineRule="auto"/>
              <w:rPr>
                <w:rFonts w:ascii="Times New Roman" w:eastAsia="Calibri" w:hAnsi="Times New Roman" w:cs="Times New Roman"/>
                <w:sz w:val="26"/>
                <w:szCs w:val="26"/>
              </w:rPr>
            </w:pPr>
            <w:r w:rsidRPr="00E9787E">
              <w:rPr>
                <w:rFonts w:ascii="Times New Roman" w:eastAsia="Calibri" w:hAnsi="Times New Roman" w:cs="Times New Roman"/>
                <w:sz w:val="26"/>
                <w:szCs w:val="26"/>
              </w:rPr>
              <w:t xml:space="preserve">Reserve Sharing Group </w:t>
            </w:r>
          </w:p>
        </w:tc>
        <w:tc>
          <w:tcPr>
            <w:tcW w:w="1170" w:type="dxa"/>
            <w:tcBorders>
              <w:bottom w:val="single" w:sz="4" w:space="0" w:color="auto"/>
            </w:tcBorders>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3</w:t>
            </w:r>
          </w:p>
        </w:tc>
        <w:tc>
          <w:tcPr>
            <w:tcW w:w="1440" w:type="dxa"/>
            <w:tcBorders>
              <w:bottom w:val="single" w:sz="4" w:space="0" w:color="auto"/>
            </w:tcBorders>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1</w:t>
            </w:r>
          </w:p>
        </w:tc>
        <w:tc>
          <w:tcPr>
            <w:tcW w:w="1350" w:type="dxa"/>
            <w:tcBorders>
              <w:bottom w:val="single" w:sz="4" w:space="0" w:color="auto"/>
            </w:tcBorders>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3</w:t>
            </w:r>
          </w:p>
        </w:tc>
        <w:tc>
          <w:tcPr>
            <w:tcW w:w="1440" w:type="dxa"/>
            <w:tcBorders>
              <w:bottom w:val="single" w:sz="4" w:space="0" w:color="auto"/>
            </w:tcBorders>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1 hr.,</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$76.99</w:t>
            </w:r>
          </w:p>
        </w:tc>
        <w:tc>
          <w:tcPr>
            <w:tcW w:w="1620" w:type="dxa"/>
            <w:tcBorders>
              <w:bottom w:val="single" w:sz="4" w:space="0" w:color="auto"/>
            </w:tcBorders>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3 hrs.,</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$230.97</w:t>
            </w:r>
          </w:p>
        </w:tc>
        <w:tc>
          <w:tcPr>
            <w:tcW w:w="1170" w:type="dxa"/>
            <w:tcBorders>
              <w:bottom w:val="single" w:sz="4" w:space="0" w:color="auto"/>
            </w:tcBorders>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$76.99</w:t>
            </w:r>
          </w:p>
        </w:tc>
      </w:tr>
      <w:tr w:rsidR="001D5446" w:rsidRPr="00E9787E" w:rsidTr="001D5446">
        <w:trPr>
          <w:trHeight w:val="398"/>
        </w:trPr>
        <w:tc>
          <w:tcPr>
            <w:tcW w:w="1805" w:type="dxa"/>
            <w:vAlign w:val="bottom"/>
          </w:tcPr>
          <w:p w:rsidR="001D5446" w:rsidRPr="00E9787E" w:rsidRDefault="001D5446" w:rsidP="00E9787E">
            <w:pPr>
              <w:spacing w:after="0" w:line="240" w:lineRule="auto"/>
              <w:rPr>
                <w:rFonts w:ascii="Times New Roman" w:eastAsia="Calibri" w:hAnsi="Times New Roman" w:cs="Times New Roman"/>
                <w:sz w:val="26"/>
                <w:szCs w:val="26"/>
              </w:rPr>
            </w:pPr>
            <w:r w:rsidRPr="00E9787E">
              <w:rPr>
                <w:rFonts w:ascii="Times New Roman" w:hAnsi="Times New Roman" w:cs="Times New Roman"/>
                <w:sz w:val="26"/>
                <w:szCs w:val="26"/>
              </w:rPr>
              <w:t>Generator Owners and/or Operators , in Year 1, per RD17-5 for  VAR-501-WECC-3</w:t>
            </w:r>
          </w:p>
        </w:tc>
        <w:tc>
          <w:tcPr>
            <w:tcW w:w="1170"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291</w:t>
            </w:r>
          </w:p>
        </w:tc>
        <w:tc>
          <w:tcPr>
            <w:tcW w:w="1440"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3</w:t>
            </w:r>
          </w:p>
        </w:tc>
        <w:tc>
          <w:tcPr>
            <w:tcW w:w="1350"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873</w:t>
            </w:r>
          </w:p>
        </w:tc>
        <w:tc>
          <w:tcPr>
            <w:tcW w:w="1440"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 xml:space="preserve">1 hr.; </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$76.99</w:t>
            </w:r>
          </w:p>
        </w:tc>
        <w:tc>
          <w:tcPr>
            <w:tcW w:w="1620"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873 hrs.;</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$67,212.27</w:t>
            </w:r>
          </w:p>
        </w:tc>
        <w:tc>
          <w:tcPr>
            <w:tcW w:w="1170"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$230.97</w:t>
            </w:r>
          </w:p>
        </w:tc>
      </w:tr>
      <w:tr w:rsidR="001D5446" w:rsidRPr="00E9787E" w:rsidTr="001D5446">
        <w:trPr>
          <w:trHeight w:val="398"/>
        </w:trPr>
        <w:tc>
          <w:tcPr>
            <w:tcW w:w="1805" w:type="dxa"/>
            <w:vAlign w:val="bottom"/>
          </w:tcPr>
          <w:p w:rsidR="001D5446" w:rsidRPr="00E9787E" w:rsidRDefault="001D5446" w:rsidP="00E9787E">
            <w:pPr>
              <w:spacing w:after="0" w:line="240" w:lineRule="auto"/>
              <w:rPr>
                <w:rFonts w:ascii="Times New Roman" w:eastAsia="Calibri" w:hAnsi="Times New Roman" w:cs="Times New Roman"/>
                <w:sz w:val="26"/>
                <w:szCs w:val="26"/>
              </w:rPr>
            </w:pPr>
            <w:r w:rsidRPr="00E9787E">
              <w:rPr>
                <w:rFonts w:ascii="Times New Roman" w:hAnsi="Times New Roman" w:cs="Times New Roman"/>
                <w:sz w:val="26"/>
                <w:szCs w:val="26"/>
              </w:rPr>
              <w:t>Generator Owners and/or Operators, in Year 2 and Ongoing, per RD17-5 for  VAR-501-WECC-3</w:t>
            </w:r>
          </w:p>
        </w:tc>
        <w:tc>
          <w:tcPr>
            <w:tcW w:w="1170"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291</w:t>
            </w:r>
          </w:p>
        </w:tc>
        <w:tc>
          <w:tcPr>
            <w:tcW w:w="1440"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2</w:t>
            </w:r>
          </w:p>
        </w:tc>
        <w:tc>
          <w:tcPr>
            <w:tcW w:w="1350"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582</w:t>
            </w:r>
          </w:p>
        </w:tc>
        <w:tc>
          <w:tcPr>
            <w:tcW w:w="1440"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 xml:space="preserve">1 hr.; </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$76.99</w:t>
            </w:r>
          </w:p>
        </w:tc>
        <w:tc>
          <w:tcPr>
            <w:tcW w:w="1620"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 xml:space="preserve">582 hrs.; </w:t>
            </w:r>
          </w:p>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$44,808.18</w:t>
            </w:r>
          </w:p>
        </w:tc>
        <w:tc>
          <w:tcPr>
            <w:tcW w:w="1170"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$153.98</w:t>
            </w:r>
          </w:p>
        </w:tc>
      </w:tr>
      <w:tr w:rsidR="001D5446" w:rsidRPr="00E9787E" w:rsidTr="001D5446">
        <w:trPr>
          <w:trHeight w:val="398"/>
        </w:trPr>
        <w:tc>
          <w:tcPr>
            <w:tcW w:w="4415" w:type="dxa"/>
            <w:gridSpan w:val="3"/>
            <w:tcBorders>
              <w:bottom w:val="single" w:sz="4" w:space="0" w:color="auto"/>
            </w:tcBorders>
            <w:shd w:val="clear" w:color="auto" w:fill="auto"/>
            <w:vAlign w:val="bottom"/>
          </w:tcPr>
          <w:p w:rsidR="001D5446" w:rsidRPr="00E9787E" w:rsidRDefault="001D5446" w:rsidP="00E9787E">
            <w:pPr>
              <w:spacing w:after="0" w:line="240" w:lineRule="auto"/>
              <w:rPr>
                <w:rFonts w:ascii="Times New Roman" w:eastAsia="Calibri" w:hAnsi="Times New Roman" w:cs="Times New Roman"/>
                <w:b/>
                <w:sz w:val="26"/>
                <w:szCs w:val="26"/>
              </w:rPr>
            </w:pPr>
            <w:r w:rsidRPr="00E9787E">
              <w:rPr>
                <w:rFonts w:ascii="Times New Roman" w:eastAsia="Calibri" w:hAnsi="Times New Roman" w:cs="Times New Roman"/>
                <w:b/>
                <w:sz w:val="26"/>
                <w:szCs w:val="26"/>
              </w:rPr>
              <w:t>Sub-Total for Reporting Requirements in Year 1</w:t>
            </w:r>
          </w:p>
        </w:tc>
        <w:tc>
          <w:tcPr>
            <w:tcW w:w="1350" w:type="dxa"/>
            <w:tcBorders>
              <w:bottom w:val="single" w:sz="4" w:space="0" w:color="auto"/>
            </w:tcBorders>
            <w:vAlign w:val="bottom"/>
          </w:tcPr>
          <w:p w:rsidR="001D5446" w:rsidRPr="00E9787E" w:rsidRDefault="0071363C" w:rsidP="00EB1E46">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149</w:t>
            </w:r>
            <w:r w:rsidR="00EB1E46">
              <w:rPr>
                <w:rFonts w:ascii="Times New Roman" w:eastAsia="Calibri" w:hAnsi="Times New Roman" w:cs="Times New Roman"/>
                <w:sz w:val="26"/>
                <w:szCs w:val="26"/>
              </w:rPr>
              <w:t>8</w:t>
            </w:r>
          </w:p>
        </w:tc>
        <w:tc>
          <w:tcPr>
            <w:tcW w:w="1440" w:type="dxa"/>
            <w:tcBorders>
              <w:bottom w:val="single" w:sz="4" w:space="0" w:color="auto"/>
            </w:tcBorders>
            <w:shd w:val="clear" w:color="auto" w:fill="auto"/>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p>
        </w:tc>
        <w:tc>
          <w:tcPr>
            <w:tcW w:w="1620" w:type="dxa"/>
            <w:tcBorders>
              <w:bottom w:val="single" w:sz="4" w:space="0" w:color="auto"/>
            </w:tcBorders>
            <w:shd w:val="clear" w:color="auto" w:fill="auto"/>
            <w:vAlign w:val="bottom"/>
          </w:tcPr>
          <w:p w:rsidR="001D5446" w:rsidRPr="00E9787E" w:rsidRDefault="001D5446" w:rsidP="00E9787E">
            <w:pPr>
              <w:spacing w:after="0" w:line="240" w:lineRule="auto"/>
              <w:jc w:val="right"/>
              <w:rPr>
                <w:rFonts w:ascii="Times New Roman" w:eastAsia="Calibri" w:hAnsi="Times New Roman" w:cs="Times New Roman"/>
                <w:b/>
                <w:sz w:val="26"/>
                <w:szCs w:val="26"/>
              </w:rPr>
            </w:pPr>
            <w:r w:rsidRPr="00E9787E">
              <w:rPr>
                <w:rFonts w:ascii="Times New Roman" w:eastAsia="Calibri" w:hAnsi="Times New Roman" w:cs="Times New Roman"/>
                <w:b/>
                <w:sz w:val="26"/>
                <w:szCs w:val="26"/>
              </w:rPr>
              <w:t>7,911 hrs.;</w:t>
            </w:r>
          </w:p>
          <w:p w:rsidR="001D5446" w:rsidRPr="00E9787E" w:rsidRDefault="001D5446" w:rsidP="00E9787E">
            <w:pPr>
              <w:spacing w:after="0" w:line="240" w:lineRule="auto"/>
              <w:jc w:val="right"/>
              <w:rPr>
                <w:rFonts w:ascii="Times New Roman" w:eastAsia="Calibri" w:hAnsi="Times New Roman" w:cs="Times New Roman"/>
                <w:b/>
                <w:sz w:val="26"/>
                <w:szCs w:val="26"/>
              </w:rPr>
            </w:pPr>
            <w:r w:rsidRPr="00E9787E">
              <w:rPr>
                <w:rFonts w:ascii="Times New Roman" w:eastAsia="Calibri" w:hAnsi="Times New Roman" w:cs="Times New Roman"/>
                <w:b/>
                <w:sz w:val="26"/>
                <w:szCs w:val="26"/>
              </w:rPr>
              <w:t>$609,067.89</w:t>
            </w:r>
          </w:p>
        </w:tc>
        <w:tc>
          <w:tcPr>
            <w:tcW w:w="1170" w:type="dxa"/>
            <w:tcBorders>
              <w:bottom w:val="single" w:sz="4" w:space="0" w:color="auto"/>
            </w:tcBorders>
            <w:shd w:val="clear" w:color="auto" w:fill="auto"/>
            <w:vAlign w:val="bottom"/>
          </w:tcPr>
          <w:p w:rsidR="001D5446" w:rsidRPr="00E9787E" w:rsidRDefault="001D5446" w:rsidP="00E9787E">
            <w:pPr>
              <w:spacing w:after="0" w:line="240" w:lineRule="auto"/>
              <w:jc w:val="right"/>
              <w:rPr>
                <w:rFonts w:ascii="Times New Roman" w:eastAsia="Calibri" w:hAnsi="Times New Roman" w:cs="Times New Roman"/>
                <w:b/>
                <w:sz w:val="26"/>
                <w:szCs w:val="26"/>
              </w:rPr>
            </w:pPr>
          </w:p>
        </w:tc>
      </w:tr>
      <w:tr w:rsidR="001D5446" w:rsidRPr="00E9787E" w:rsidTr="001D5446">
        <w:trPr>
          <w:trHeight w:val="398"/>
        </w:trPr>
        <w:tc>
          <w:tcPr>
            <w:tcW w:w="4415" w:type="dxa"/>
            <w:gridSpan w:val="3"/>
            <w:shd w:val="clear" w:color="auto" w:fill="auto"/>
            <w:vAlign w:val="bottom"/>
          </w:tcPr>
          <w:p w:rsidR="001D5446" w:rsidRPr="00E9787E" w:rsidRDefault="001D5446" w:rsidP="00E9787E">
            <w:pPr>
              <w:spacing w:after="0" w:line="240" w:lineRule="auto"/>
              <w:rPr>
                <w:rFonts w:ascii="Times New Roman" w:eastAsia="Calibri" w:hAnsi="Times New Roman" w:cs="Times New Roman"/>
                <w:b/>
                <w:sz w:val="26"/>
                <w:szCs w:val="26"/>
              </w:rPr>
            </w:pPr>
            <w:r w:rsidRPr="00E9787E">
              <w:rPr>
                <w:rFonts w:ascii="Times New Roman" w:eastAsia="Calibri" w:hAnsi="Times New Roman" w:cs="Times New Roman"/>
                <w:b/>
                <w:sz w:val="26"/>
                <w:szCs w:val="26"/>
              </w:rPr>
              <w:t>Sub-Total for Reporting Requirements in Year 2 &amp; ongoing</w:t>
            </w:r>
          </w:p>
        </w:tc>
        <w:tc>
          <w:tcPr>
            <w:tcW w:w="1350" w:type="dxa"/>
            <w:vAlign w:val="bottom"/>
          </w:tcPr>
          <w:p w:rsidR="001D5446" w:rsidRPr="00E9787E" w:rsidRDefault="0071363C"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1207</w:t>
            </w:r>
          </w:p>
        </w:tc>
        <w:tc>
          <w:tcPr>
            <w:tcW w:w="1440" w:type="dxa"/>
            <w:tcBorders>
              <w:bottom w:val="single" w:sz="4" w:space="0" w:color="auto"/>
            </w:tcBorders>
            <w:shd w:val="clear" w:color="auto" w:fill="auto"/>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p>
        </w:tc>
        <w:tc>
          <w:tcPr>
            <w:tcW w:w="1620" w:type="dxa"/>
            <w:shd w:val="clear" w:color="auto" w:fill="auto"/>
            <w:vAlign w:val="bottom"/>
          </w:tcPr>
          <w:p w:rsidR="001D5446" w:rsidRPr="00E9787E" w:rsidRDefault="001D5446" w:rsidP="00E9787E">
            <w:pPr>
              <w:spacing w:after="0" w:line="240" w:lineRule="auto"/>
              <w:jc w:val="right"/>
              <w:rPr>
                <w:rFonts w:ascii="Times New Roman" w:eastAsia="Calibri" w:hAnsi="Times New Roman" w:cs="Times New Roman"/>
                <w:b/>
                <w:sz w:val="26"/>
                <w:szCs w:val="26"/>
              </w:rPr>
            </w:pPr>
            <w:r w:rsidRPr="00E9787E">
              <w:rPr>
                <w:rFonts w:ascii="Times New Roman" w:eastAsia="Calibri" w:hAnsi="Times New Roman" w:cs="Times New Roman"/>
                <w:b/>
                <w:sz w:val="26"/>
                <w:szCs w:val="26"/>
              </w:rPr>
              <w:t>7,620 hrs.; $586,663.80</w:t>
            </w:r>
          </w:p>
        </w:tc>
        <w:tc>
          <w:tcPr>
            <w:tcW w:w="1170" w:type="dxa"/>
            <w:shd w:val="clear" w:color="auto" w:fill="auto"/>
            <w:vAlign w:val="bottom"/>
          </w:tcPr>
          <w:p w:rsidR="001D5446" w:rsidRPr="00E9787E" w:rsidRDefault="001D5446" w:rsidP="00E9787E">
            <w:pPr>
              <w:spacing w:after="0" w:line="240" w:lineRule="auto"/>
              <w:jc w:val="right"/>
              <w:rPr>
                <w:rFonts w:ascii="Times New Roman" w:eastAsia="Calibri" w:hAnsi="Times New Roman" w:cs="Times New Roman"/>
                <w:b/>
                <w:sz w:val="26"/>
                <w:szCs w:val="26"/>
              </w:rPr>
            </w:pPr>
          </w:p>
        </w:tc>
      </w:tr>
    </w:tbl>
    <w:tbl>
      <w:tblPr>
        <w:tblStyle w:val="TableGrid"/>
        <w:tblW w:w="9990" w:type="dxa"/>
        <w:tblInd w:w="-5" w:type="dxa"/>
        <w:tblLayout w:type="fixed"/>
        <w:tblLook w:val="04A0" w:firstRow="1" w:lastRow="0" w:firstColumn="1" w:lastColumn="0" w:noHBand="0" w:noVBand="1"/>
      </w:tblPr>
      <w:tblGrid>
        <w:gridCol w:w="1800"/>
        <w:gridCol w:w="1170"/>
        <w:gridCol w:w="1440"/>
        <w:gridCol w:w="1350"/>
        <w:gridCol w:w="1440"/>
        <w:gridCol w:w="1620"/>
        <w:gridCol w:w="1170"/>
      </w:tblGrid>
      <w:tr w:rsidR="001D5446" w:rsidRPr="00E9787E" w:rsidTr="001D5446">
        <w:trPr>
          <w:trHeight w:val="422"/>
        </w:trPr>
        <w:tc>
          <w:tcPr>
            <w:tcW w:w="9990" w:type="dxa"/>
            <w:gridSpan w:val="7"/>
            <w:shd w:val="clear" w:color="auto" w:fill="D9D9D9"/>
          </w:tcPr>
          <w:p w:rsidR="001D5446" w:rsidRPr="00E9787E" w:rsidRDefault="001D5446" w:rsidP="00E9787E">
            <w:pPr>
              <w:spacing w:after="0" w:line="240" w:lineRule="auto"/>
              <w:jc w:val="center"/>
              <w:rPr>
                <w:rFonts w:ascii="Times New Roman" w:hAnsi="Times New Roman" w:cs="Times New Roman"/>
                <w:sz w:val="26"/>
                <w:szCs w:val="26"/>
              </w:rPr>
            </w:pPr>
            <w:r w:rsidRPr="00E9787E">
              <w:rPr>
                <w:rFonts w:ascii="Times New Roman" w:eastAsia="Calibri" w:hAnsi="Times New Roman" w:cs="Times New Roman"/>
                <w:b/>
                <w:sz w:val="26"/>
                <w:szCs w:val="26"/>
              </w:rPr>
              <w:t>Recordkeeping Requirements</w:t>
            </w:r>
          </w:p>
        </w:tc>
      </w:tr>
      <w:tr w:rsidR="001D5446" w:rsidRPr="00E9787E" w:rsidTr="001D5446">
        <w:tc>
          <w:tcPr>
            <w:tcW w:w="1800" w:type="dxa"/>
            <w:vAlign w:val="bottom"/>
          </w:tcPr>
          <w:p w:rsidR="001D5446" w:rsidRPr="00E9787E" w:rsidRDefault="001D5446" w:rsidP="00E9787E">
            <w:pPr>
              <w:spacing w:after="0" w:line="240" w:lineRule="auto"/>
              <w:rPr>
                <w:rFonts w:ascii="Times New Roman" w:eastAsia="Times New Roman" w:hAnsi="Times New Roman" w:cs="Times New Roman"/>
                <w:i/>
                <w:sz w:val="26"/>
                <w:szCs w:val="26"/>
              </w:rPr>
            </w:pPr>
            <w:r w:rsidRPr="00E9787E">
              <w:rPr>
                <w:rFonts w:ascii="Times New Roman" w:hAnsi="Times New Roman" w:cs="Times New Roman"/>
                <w:sz w:val="26"/>
                <w:szCs w:val="26"/>
              </w:rPr>
              <w:t>Balancing Authorities</w:t>
            </w:r>
          </w:p>
        </w:tc>
        <w:tc>
          <w:tcPr>
            <w:tcW w:w="1170" w:type="dxa"/>
            <w:vAlign w:val="bottom"/>
          </w:tcPr>
          <w:p w:rsidR="001D5446" w:rsidRPr="00E9787E" w:rsidRDefault="001D5446" w:rsidP="00E9787E">
            <w:pPr>
              <w:spacing w:after="0" w:line="240" w:lineRule="auto"/>
              <w:jc w:val="right"/>
              <w:rPr>
                <w:rFonts w:ascii="Times New Roman" w:eastAsia="Times New Roman" w:hAnsi="Times New Roman" w:cs="Times New Roman"/>
                <w:i/>
                <w:sz w:val="26"/>
                <w:szCs w:val="26"/>
              </w:rPr>
            </w:pPr>
            <w:r w:rsidRPr="00E9787E">
              <w:rPr>
                <w:rFonts w:ascii="Times New Roman" w:hAnsi="Times New Roman" w:cs="Times New Roman"/>
                <w:sz w:val="26"/>
                <w:szCs w:val="26"/>
              </w:rPr>
              <w:t>34</w:t>
            </w:r>
          </w:p>
        </w:tc>
        <w:tc>
          <w:tcPr>
            <w:tcW w:w="1440" w:type="dxa"/>
            <w:vAlign w:val="bottom"/>
          </w:tcPr>
          <w:p w:rsidR="001D5446" w:rsidRPr="00E9787E" w:rsidRDefault="001D5446" w:rsidP="00E9787E">
            <w:pPr>
              <w:spacing w:after="0" w:line="240" w:lineRule="auto"/>
              <w:jc w:val="right"/>
              <w:rPr>
                <w:rFonts w:ascii="Times New Roman" w:eastAsia="Times New Roman" w:hAnsi="Times New Roman" w:cs="Times New Roman"/>
                <w:i/>
                <w:sz w:val="26"/>
                <w:szCs w:val="26"/>
              </w:rPr>
            </w:pPr>
            <w:r w:rsidRPr="00E9787E">
              <w:rPr>
                <w:rFonts w:ascii="Times New Roman" w:hAnsi="Times New Roman" w:cs="Times New Roman"/>
                <w:sz w:val="26"/>
                <w:szCs w:val="26"/>
              </w:rPr>
              <w:t>1</w:t>
            </w:r>
          </w:p>
        </w:tc>
        <w:tc>
          <w:tcPr>
            <w:tcW w:w="1350" w:type="dxa"/>
            <w:vAlign w:val="bottom"/>
          </w:tcPr>
          <w:p w:rsidR="001D5446" w:rsidRPr="00E9787E" w:rsidRDefault="001D5446" w:rsidP="00E9787E">
            <w:pPr>
              <w:spacing w:after="0" w:line="240" w:lineRule="auto"/>
              <w:jc w:val="right"/>
              <w:rPr>
                <w:rFonts w:ascii="Times New Roman" w:hAnsi="Times New Roman" w:cs="Times New Roman"/>
                <w:sz w:val="26"/>
                <w:szCs w:val="26"/>
              </w:rPr>
            </w:pPr>
            <w:r w:rsidRPr="00E9787E">
              <w:rPr>
                <w:rFonts w:ascii="Times New Roman" w:hAnsi="Times New Roman" w:cs="Times New Roman"/>
                <w:sz w:val="26"/>
                <w:szCs w:val="26"/>
              </w:rPr>
              <w:t>34</w:t>
            </w:r>
          </w:p>
        </w:tc>
        <w:tc>
          <w:tcPr>
            <w:tcW w:w="1440" w:type="dxa"/>
            <w:vAlign w:val="bottom"/>
          </w:tcPr>
          <w:p w:rsidR="001D5446" w:rsidRPr="00E9787E" w:rsidRDefault="001D5446" w:rsidP="00E9787E">
            <w:pPr>
              <w:spacing w:after="0" w:line="240" w:lineRule="auto"/>
              <w:jc w:val="right"/>
              <w:rPr>
                <w:rFonts w:ascii="Times New Roman" w:hAnsi="Times New Roman" w:cs="Times New Roman"/>
                <w:sz w:val="26"/>
                <w:szCs w:val="26"/>
              </w:rPr>
            </w:pPr>
            <w:r w:rsidRPr="00E9787E">
              <w:rPr>
                <w:rFonts w:ascii="Times New Roman" w:hAnsi="Times New Roman" w:cs="Times New Roman"/>
                <w:sz w:val="26"/>
                <w:szCs w:val="26"/>
              </w:rPr>
              <w:t xml:space="preserve">2.1 hrs., </w:t>
            </w:r>
          </w:p>
          <w:p w:rsidR="001D5446" w:rsidRPr="00E9787E" w:rsidRDefault="001D5446" w:rsidP="00E9787E">
            <w:pPr>
              <w:spacing w:after="0" w:line="240" w:lineRule="auto"/>
              <w:jc w:val="right"/>
              <w:rPr>
                <w:rFonts w:ascii="Times New Roman" w:eastAsia="Times New Roman" w:hAnsi="Times New Roman" w:cs="Times New Roman"/>
                <w:sz w:val="26"/>
                <w:szCs w:val="26"/>
              </w:rPr>
            </w:pPr>
            <w:r w:rsidRPr="00E9787E">
              <w:rPr>
                <w:rFonts w:ascii="Times New Roman" w:hAnsi="Times New Roman" w:cs="Times New Roman"/>
                <w:sz w:val="26"/>
                <w:szCs w:val="26"/>
              </w:rPr>
              <w:t>$65.50</w:t>
            </w:r>
          </w:p>
        </w:tc>
        <w:tc>
          <w:tcPr>
            <w:tcW w:w="1620" w:type="dxa"/>
            <w:vAlign w:val="bottom"/>
          </w:tcPr>
          <w:p w:rsidR="001D5446" w:rsidRPr="00E9787E" w:rsidRDefault="001D5446" w:rsidP="00E9787E">
            <w:pPr>
              <w:spacing w:after="0" w:line="240" w:lineRule="auto"/>
              <w:jc w:val="right"/>
              <w:rPr>
                <w:rFonts w:ascii="Times New Roman" w:eastAsia="Times New Roman" w:hAnsi="Times New Roman" w:cs="Times New Roman"/>
                <w:sz w:val="26"/>
                <w:szCs w:val="26"/>
              </w:rPr>
            </w:pPr>
            <w:r w:rsidRPr="00E9787E">
              <w:rPr>
                <w:rFonts w:ascii="Times New Roman" w:eastAsia="Times New Roman" w:hAnsi="Times New Roman" w:cs="Times New Roman"/>
                <w:sz w:val="26"/>
                <w:szCs w:val="26"/>
              </w:rPr>
              <w:t>71.4 hrs.,</w:t>
            </w:r>
          </w:p>
          <w:p w:rsidR="001D5446" w:rsidRPr="00E9787E" w:rsidRDefault="001D5446" w:rsidP="00E9787E">
            <w:pPr>
              <w:spacing w:after="0" w:line="240" w:lineRule="auto"/>
              <w:jc w:val="right"/>
              <w:rPr>
                <w:rFonts w:ascii="Times New Roman" w:eastAsia="Times New Roman" w:hAnsi="Times New Roman" w:cs="Times New Roman"/>
                <w:sz w:val="26"/>
                <w:szCs w:val="26"/>
              </w:rPr>
            </w:pPr>
            <w:r w:rsidRPr="00E9787E">
              <w:rPr>
                <w:rFonts w:ascii="Times New Roman" w:eastAsia="Times New Roman" w:hAnsi="Times New Roman" w:cs="Times New Roman"/>
                <w:sz w:val="26"/>
                <w:szCs w:val="26"/>
              </w:rPr>
              <w:t>$2,226.97</w:t>
            </w:r>
          </w:p>
        </w:tc>
        <w:tc>
          <w:tcPr>
            <w:tcW w:w="1170" w:type="dxa"/>
            <w:vAlign w:val="bottom"/>
          </w:tcPr>
          <w:p w:rsidR="001D5446" w:rsidRPr="00E9787E" w:rsidRDefault="001D5446" w:rsidP="00E9787E">
            <w:pPr>
              <w:spacing w:after="0" w:line="240" w:lineRule="auto"/>
              <w:jc w:val="right"/>
              <w:rPr>
                <w:rFonts w:ascii="Times New Roman" w:eastAsia="Times New Roman" w:hAnsi="Times New Roman" w:cs="Times New Roman"/>
                <w:i/>
                <w:sz w:val="26"/>
                <w:szCs w:val="26"/>
              </w:rPr>
            </w:pPr>
            <w:r w:rsidRPr="00E9787E">
              <w:rPr>
                <w:rFonts w:ascii="Times New Roman" w:hAnsi="Times New Roman" w:cs="Times New Roman"/>
                <w:sz w:val="26"/>
                <w:szCs w:val="26"/>
              </w:rPr>
              <w:t>$65.50</w:t>
            </w:r>
          </w:p>
        </w:tc>
      </w:tr>
      <w:tr w:rsidR="001D5446" w:rsidRPr="00E9787E" w:rsidTr="001D5446">
        <w:tc>
          <w:tcPr>
            <w:tcW w:w="1800" w:type="dxa"/>
            <w:vAlign w:val="bottom"/>
          </w:tcPr>
          <w:p w:rsidR="001D5446" w:rsidRPr="00E9787E" w:rsidRDefault="001D5446" w:rsidP="00E9787E">
            <w:pPr>
              <w:spacing w:after="0" w:line="240" w:lineRule="auto"/>
              <w:rPr>
                <w:rFonts w:ascii="Times New Roman" w:eastAsia="Times New Roman" w:hAnsi="Times New Roman" w:cs="Times New Roman"/>
                <w:i/>
                <w:sz w:val="26"/>
                <w:szCs w:val="26"/>
              </w:rPr>
            </w:pPr>
            <w:r w:rsidRPr="00E9787E">
              <w:rPr>
                <w:rFonts w:ascii="Times New Roman" w:hAnsi="Times New Roman" w:cs="Times New Roman"/>
                <w:sz w:val="26"/>
                <w:szCs w:val="26"/>
              </w:rPr>
              <w:t>Balancing Authorities (IRO-006)</w:t>
            </w:r>
          </w:p>
        </w:tc>
        <w:tc>
          <w:tcPr>
            <w:tcW w:w="1170" w:type="dxa"/>
            <w:vAlign w:val="bottom"/>
          </w:tcPr>
          <w:p w:rsidR="001D5446" w:rsidRPr="00E9787E" w:rsidRDefault="001D5446" w:rsidP="00E9787E">
            <w:pPr>
              <w:spacing w:after="0" w:line="240" w:lineRule="auto"/>
              <w:jc w:val="right"/>
              <w:rPr>
                <w:rFonts w:ascii="Times New Roman" w:eastAsia="Times New Roman" w:hAnsi="Times New Roman" w:cs="Times New Roman"/>
                <w:i/>
                <w:sz w:val="26"/>
                <w:szCs w:val="26"/>
              </w:rPr>
            </w:pPr>
            <w:r w:rsidRPr="00E9787E">
              <w:rPr>
                <w:rFonts w:ascii="Times New Roman" w:hAnsi="Times New Roman" w:cs="Times New Roman"/>
                <w:sz w:val="26"/>
                <w:szCs w:val="26"/>
              </w:rPr>
              <w:t>34</w:t>
            </w:r>
          </w:p>
        </w:tc>
        <w:tc>
          <w:tcPr>
            <w:tcW w:w="1440" w:type="dxa"/>
            <w:vAlign w:val="bottom"/>
          </w:tcPr>
          <w:p w:rsidR="001D5446" w:rsidRPr="00E9787E" w:rsidRDefault="001D5446" w:rsidP="00E9787E">
            <w:pPr>
              <w:spacing w:after="0" w:line="240" w:lineRule="auto"/>
              <w:jc w:val="right"/>
              <w:rPr>
                <w:rFonts w:ascii="Times New Roman" w:eastAsia="Times New Roman" w:hAnsi="Times New Roman" w:cs="Times New Roman"/>
                <w:i/>
                <w:sz w:val="26"/>
                <w:szCs w:val="26"/>
              </w:rPr>
            </w:pPr>
            <w:r w:rsidRPr="00E9787E">
              <w:rPr>
                <w:rFonts w:ascii="Times New Roman" w:hAnsi="Times New Roman" w:cs="Times New Roman"/>
                <w:sz w:val="26"/>
                <w:szCs w:val="26"/>
              </w:rPr>
              <w:t>1</w:t>
            </w:r>
          </w:p>
        </w:tc>
        <w:tc>
          <w:tcPr>
            <w:tcW w:w="1350" w:type="dxa"/>
            <w:vAlign w:val="bottom"/>
          </w:tcPr>
          <w:p w:rsidR="001D5446" w:rsidRPr="00E9787E" w:rsidRDefault="001D5446" w:rsidP="00E9787E">
            <w:pPr>
              <w:spacing w:after="0" w:line="240" w:lineRule="auto"/>
              <w:jc w:val="right"/>
              <w:rPr>
                <w:rFonts w:ascii="Times New Roman" w:hAnsi="Times New Roman" w:cs="Times New Roman"/>
                <w:sz w:val="26"/>
                <w:szCs w:val="26"/>
              </w:rPr>
            </w:pPr>
            <w:r w:rsidRPr="00E9787E">
              <w:rPr>
                <w:rFonts w:ascii="Times New Roman" w:hAnsi="Times New Roman" w:cs="Times New Roman"/>
                <w:sz w:val="26"/>
                <w:szCs w:val="26"/>
              </w:rPr>
              <w:t>34</w:t>
            </w:r>
          </w:p>
        </w:tc>
        <w:tc>
          <w:tcPr>
            <w:tcW w:w="1440" w:type="dxa"/>
            <w:vAlign w:val="bottom"/>
          </w:tcPr>
          <w:p w:rsidR="001D5446" w:rsidRPr="00E9787E" w:rsidRDefault="001D5446" w:rsidP="00E9787E">
            <w:pPr>
              <w:spacing w:after="0" w:line="240" w:lineRule="auto"/>
              <w:jc w:val="right"/>
              <w:rPr>
                <w:rFonts w:ascii="Times New Roman" w:hAnsi="Times New Roman" w:cs="Times New Roman"/>
                <w:sz w:val="26"/>
                <w:szCs w:val="26"/>
              </w:rPr>
            </w:pPr>
            <w:r w:rsidRPr="00E9787E">
              <w:rPr>
                <w:rFonts w:ascii="Times New Roman" w:hAnsi="Times New Roman" w:cs="Times New Roman"/>
                <w:sz w:val="26"/>
                <w:szCs w:val="26"/>
              </w:rPr>
              <w:t>1 hr.,</w:t>
            </w:r>
          </w:p>
          <w:p w:rsidR="001D5446" w:rsidRPr="00E9787E" w:rsidRDefault="001D5446" w:rsidP="00E9787E">
            <w:pPr>
              <w:spacing w:after="0" w:line="240" w:lineRule="auto"/>
              <w:jc w:val="right"/>
              <w:rPr>
                <w:rFonts w:ascii="Times New Roman" w:eastAsia="Times New Roman" w:hAnsi="Times New Roman" w:cs="Times New Roman"/>
                <w:sz w:val="26"/>
                <w:szCs w:val="26"/>
              </w:rPr>
            </w:pPr>
            <w:r w:rsidRPr="00E9787E">
              <w:rPr>
                <w:rFonts w:ascii="Times New Roman" w:hAnsi="Times New Roman" w:cs="Times New Roman"/>
                <w:sz w:val="26"/>
                <w:szCs w:val="26"/>
              </w:rPr>
              <w:t>$31.19</w:t>
            </w:r>
          </w:p>
        </w:tc>
        <w:tc>
          <w:tcPr>
            <w:tcW w:w="1620" w:type="dxa"/>
            <w:vAlign w:val="bottom"/>
          </w:tcPr>
          <w:p w:rsidR="001D5446" w:rsidRPr="00E9787E" w:rsidRDefault="001D5446" w:rsidP="00E9787E">
            <w:pPr>
              <w:spacing w:after="0" w:line="240" w:lineRule="auto"/>
              <w:jc w:val="right"/>
              <w:rPr>
                <w:rFonts w:ascii="Times New Roman" w:eastAsia="Times New Roman" w:hAnsi="Times New Roman" w:cs="Times New Roman"/>
                <w:sz w:val="26"/>
                <w:szCs w:val="26"/>
              </w:rPr>
            </w:pPr>
            <w:r w:rsidRPr="00E9787E">
              <w:rPr>
                <w:rFonts w:ascii="Times New Roman" w:eastAsia="Times New Roman" w:hAnsi="Times New Roman" w:cs="Times New Roman"/>
                <w:sz w:val="26"/>
                <w:szCs w:val="26"/>
              </w:rPr>
              <w:t>34 hrs.,</w:t>
            </w:r>
          </w:p>
          <w:p w:rsidR="001D5446" w:rsidRPr="00E9787E" w:rsidRDefault="001D5446" w:rsidP="00E9787E">
            <w:pPr>
              <w:spacing w:after="0" w:line="240" w:lineRule="auto"/>
              <w:jc w:val="right"/>
              <w:rPr>
                <w:rFonts w:ascii="Times New Roman" w:eastAsia="Times New Roman" w:hAnsi="Times New Roman" w:cs="Times New Roman"/>
                <w:sz w:val="26"/>
                <w:szCs w:val="26"/>
              </w:rPr>
            </w:pPr>
            <w:r w:rsidRPr="00E9787E">
              <w:rPr>
                <w:rFonts w:ascii="Times New Roman" w:eastAsia="Times New Roman" w:hAnsi="Times New Roman" w:cs="Times New Roman"/>
                <w:sz w:val="26"/>
                <w:szCs w:val="26"/>
              </w:rPr>
              <w:t>$1,060.46</w:t>
            </w:r>
          </w:p>
        </w:tc>
        <w:tc>
          <w:tcPr>
            <w:tcW w:w="1170" w:type="dxa"/>
            <w:vAlign w:val="bottom"/>
          </w:tcPr>
          <w:p w:rsidR="001D5446" w:rsidRPr="00E9787E" w:rsidRDefault="001D5446" w:rsidP="00E9787E">
            <w:pPr>
              <w:spacing w:after="0" w:line="240" w:lineRule="auto"/>
              <w:jc w:val="right"/>
              <w:rPr>
                <w:rFonts w:ascii="Times New Roman" w:eastAsia="Times New Roman" w:hAnsi="Times New Roman" w:cs="Times New Roman"/>
                <w:i/>
                <w:sz w:val="26"/>
                <w:szCs w:val="26"/>
              </w:rPr>
            </w:pPr>
            <w:r w:rsidRPr="00E9787E">
              <w:rPr>
                <w:rFonts w:ascii="Times New Roman" w:hAnsi="Times New Roman" w:cs="Times New Roman"/>
                <w:sz w:val="26"/>
                <w:szCs w:val="26"/>
              </w:rPr>
              <w:t>$31.19</w:t>
            </w:r>
          </w:p>
        </w:tc>
      </w:tr>
      <w:tr w:rsidR="001D5446" w:rsidRPr="00E9787E" w:rsidTr="001D5446">
        <w:tc>
          <w:tcPr>
            <w:tcW w:w="1800" w:type="dxa"/>
            <w:vAlign w:val="bottom"/>
          </w:tcPr>
          <w:p w:rsidR="001D5446" w:rsidRPr="00E9787E" w:rsidRDefault="001D5446" w:rsidP="00E9787E">
            <w:pPr>
              <w:spacing w:after="0" w:line="240" w:lineRule="auto"/>
              <w:rPr>
                <w:rFonts w:ascii="Times New Roman" w:eastAsia="Times New Roman" w:hAnsi="Times New Roman" w:cs="Times New Roman"/>
                <w:i/>
                <w:sz w:val="26"/>
                <w:szCs w:val="26"/>
              </w:rPr>
            </w:pPr>
            <w:r w:rsidRPr="00E9787E">
              <w:rPr>
                <w:rFonts w:ascii="Times New Roman" w:hAnsi="Times New Roman" w:cs="Times New Roman"/>
                <w:sz w:val="26"/>
                <w:szCs w:val="26"/>
              </w:rPr>
              <w:t>Generator Operators</w:t>
            </w:r>
          </w:p>
        </w:tc>
        <w:tc>
          <w:tcPr>
            <w:tcW w:w="1170" w:type="dxa"/>
            <w:vAlign w:val="bottom"/>
          </w:tcPr>
          <w:p w:rsidR="001D5446" w:rsidRPr="00E9787E" w:rsidRDefault="001D5446" w:rsidP="00E9787E">
            <w:pPr>
              <w:spacing w:after="0" w:line="240" w:lineRule="auto"/>
              <w:jc w:val="right"/>
              <w:rPr>
                <w:rFonts w:ascii="Times New Roman" w:eastAsia="Times New Roman" w:hAnsi="Times New Roman" w:cs="Times New Roman"/>
                <w:i/>
                <w:sz w:val="26"/>
                <w:szCs w:val="26"/>
              </w:rPr>
            </w:pPr>
            <w:r w:rsidRPr="00E9787E">
              <w:rPr>
                <w:rFonts w:ascii="Times New Roman" w:hAnsi="Times New Roman" w:cs="Times New Roman"/>
                <w:sz w:val="26"/>
                <w:szCs w:val="26"/>
              </w:rPr>
              <w:t>228</w:t>
            </w:r>
          </w:p>
        </w:tc>
        <w:tc>
          <w:tcPr>
            <w:tcW w:w="1440" w:type="dxa"/>
            <w:vAlign w:val="bottom"/>
          </w:tcPr>
          <w:p w:rsidR="001D5446" w:rsidRPr="00E9787E" w:rsidRDefault="001D5446" w:rsidP="00E9787E">
            <w:pPr>
              <w:spacing w:after="0" w:line="240" w:lineRule="auto"/>
              <w:jc w:val="right"/>
              <w:rPr>
                <w:rFonts w:ascii="Times New Roman" w:eastAsia="Times New Roman" w:hAnsi="Times New Roman" w:cs="Times New Roman"/>
                <w:i/>
                <w:sz w:val="26"/>
                <w:szCs w:val="26"/>
              </w:rPr>
            </w:pPr>
            <w:r w:rsidRPr="00E9787E">
              <w:rPr>
                <w:rFonts w:ascii="Times New Roman" w:hAnsi="Times New Roman" w:cs="Times New Roman"/>
                <w:sz w:val="26"/>
                <w:szCs w:val="26"/>
              </w:rPr>
              <w:t>1</w:t>
            </w:r>
          </w:p>
        </w:tc>
        <w:tc>
          <w:tcPr>
            <w:tcW w:w="1350" w:type="dxa"/>
            <w:vAlign w:val="bottom"/>
          </w:tcPr>
          <w:p w:rsidR="001D5446" w:rsidRPr="00E9787E" w:rsidRDefault="001D5446" w:rsidP="00E9787E">
            <w:pPr>
              <w:spacing w:after="0" w:line="240" w:lineRule="auto"/>
              <w:jc w:val="right"/>
              <w:rPr>
                <w:rFonts w:ascii="Times New Roman" w:hAnsi="Times New Roman" w:cs="Times New Roman"/>
                <w:sz w:val="26"/>
                <w:szCs w:val="26"/>
              </w:rPr>
            </w:pPr>
            <w:r w:rsidRPr="00E9787E">
              <w:rPr>
                <w:rFonts w:ascii="Times New Roman" w:hAnsi="Times New Roman" w:cs="Times New Roman"/>
                <w:sz w:val="26"/>
                <w:szCs w:val="26"/>
              </w:rPr>
              <w:t>228</w:t>
            </w:r>
          </w:p>
        </w:tc>
        <w:tc>
          <w:tcPr>
            <w:tcW w:w="1440" w:type="dxa"/>
            <w:vAlign w:val="bottom"/>
          </w:tcPr>
          <w:p w:rsidR="001D5446" w:rsidRPr="00E9787E" w:rsidRDefault="001D5446" w:rsidP="00E9787E">
            <w:pPr>
              <w:spacing w:after="0" w:line="240" w:lineRule="auto"/>
              <w:jc w:val="right"/>
              <w:rPr>
                <w:rFonts w:ascii="Times New Roman" w:hAnsi="Times New Roman" w:cs="Times New Roman"/>
                <w:sz w:val="26"/>
                <w:szCs w:val="26"/>
              </w:rPr>
            </w:pPr>
            <w:r w:rsidRPr="00E9787E">
              <w:rPr>
                <w:rFonts w:ascii="Times New Roman" w:hAnsi="Times New Roman" w:cs="Times New Roman"/>
                <w:sz w:val="26"/>
                <w:szCs w:val="26"/>
              </w:rPr>
              <w:t>1 hr.,</w:t>
            </w:r>
          </w:p>
          <w:p w:rsidR="001D5446" w:rsidRPr="00E9787E" w:rsidRDefault="001D5446" w:rsidP="00E9787E">
            <w:pPr>
              <w:spacing w:after="0" w:line="240" w:lineRule="auto"/>
              <w:jc w:val="right"/>
              <w:rPr>
                <w:rFonts w:ascii="Times New Roman" w:eastAsia="Times New Roman" w:hAnsi="Times New Roman" w:cs="Times New Roman"/>
                <w:sz w:val="26"/>
                <w:szCs w:val="26"/>
              </w:rPr>
            </w:pPr>
            <w:r w:rsidRPr="00E9787E">
              <w:rPr>
                <w:rFonts w:ascii="Times New Roman" w:hAnsi="Times New Roman" w:cs="Times New Roman"/>
                <w:sz w:val="26"/>
                <w:szCs w:val="26"/>
              </w:rPr>
              <w:t>$31.19</w:t>
            </w:r>
          </w:p>
        </w:tc>
        <w:tc>
          <w:tcPr>
            <w:tcW w:w="1620" w:type="dxa"/>
            <w:vAlign w:val="bottom"/>
          </w:tcPr>
          <w:p w:rsidR="001D5446" w:rsidRPr="00E9787E" w:rsidRDefault="001D5446" w:rsidP="00E9787E">
            <w:pPr>
              <w:spacing w:after="0" w:line="240" w:lineRule="auto"/>
              <w:jc w:val="right"/>
              <w:rPr>
                <w:rFonts w:ascii="Times New Roman" w:eastAsia="Times New Roman" w:hAnsi="Times New Roman" w:cs="Times New Roman"/>
                <w:sz w:val="26"/>
                <w:szCs w:val="26"/>
              </w:rPr>
            </w:pPr>
            <w:r w:rsidRPr="00E9787E">
              <w:rPr>
                <w:rFonts w:ascii="Times New Roman" w:eastAsia="Times New Roman" w:hAnsi="Times New Roman" w:cs="Times New Roman"/>
                <w:sz w:val="26"/>
                <w:szCs w:val="26"/>
              </w:rPr>
              <w:t>228 hrs.,</w:t>
            </w:r>
          </w:p>
          <w:p w:rsidR="001D5446" w:rsidRPr="00E9787E" w:rsidRDefault="001D5446" w:rsidP="00E9787E">
            <w:pPr>
              <w:spacing w:after="0" w:line="240" w:lineRule="auto"/>
              <w:jc w:val="right"/>
              <w:rPr>
                <w:rFonts w:ascii="Times New Roman" w:eastAsia="Times New Roman" w:hAnsi="Times New Roman" w:cs="Times New Roman"/>
                <w:sz w:val="26"/>
                <w:szCs w:val="26"/>
              </w:rPr>
            </w:pPr>
            <w:r w:rsidRPr="00E9787E">
              <w:rPr>
                <w:rFonts w:ascii="Times New Roman" w:eastAsia="Times New Roman" w:hAnsi="Times New Roman" w:cs="Times New Roman"/>
                <w:sz w:val="26"/>
                <w:szCs w:val="26"/>
              </w:rPr>
              <w:t>$7,111.32</w:t>
            </w:r>
          </w:p>
        </w:tc>
        <w:tc>
          <w:tcPr>
            <w:tcW w:w="1170" w:type="dxa"/>
            <w:vAlign w:val="bottom"/>
          </w:tcPr>
          <w:p w:rsidR="001D5446" w:rsidRPr="00E9787E" w:rsidRDefault="001D5446" w:rsidP="00E9787E">
            <w:pPr>
              <w:spacing w:after="0" w:line="240" w:lineRule="auto"/>
              <w:jc w:val="right"/>
              <w:rPr>
                <w:rFonts w:ascii="Times New Roman" w:eastAsia="Times New Roman" w:hAnsi="Times New Roman" w:cs="Times New Roman"/>
                <w:sz w:val="26"/>
                <w:szCs w:val="26"/>
              </w:rPr>
            </w:pPr>
            <w:r w:rsidRPr="00E9787E">
              <w:rPr>
                <w:rFonts w:ascii="Times New Roman" w:hAnsi="Times New Roman" w:cs="Times New Roman"/>
                <w:sz w:val="26"/>
                <w:szCs w:val="26"/>
              </w:rPr>
              <w:t>$31.19</w:t>
            </w:r>
          </w:p>
        </w:tc>
      </w:tr>
      <w:tr w:rsidR="001D5446" w:rsidRPr="00E9787E" w:rsidTr="001D5446">
        <w:tc>
          <w:tcPr>
            <w:tcW w:w="1800" w:type="dxa"/>
            <w:vAlign w:val="bottom"/>
          </w:tcPr>
          <w:p w:rsidR="001D5446" w:rsidRPr="00E9787E" w:rsidRDefault="001D5446" w:rsidP="00E9787E">
            <w:pPr>
              <w:spacing w:after="0" w:line="240" w:lineRule="auto"/>
              <w:rPr>
                <w:rFonts w:ascii="Times New Roman" w:eastAsia="Times New Roman" w:hAnsi="Times New Roman" w:cs="Times New Roman"/>
                <w:i/>
                <w:sz w:val="26"/>
                <w:szCs w:val="26"/>
              </w:rPr>
            </w:pPr>
            <w:r w:rsidRPr="00E9787E">
              <w:rPr>
                <w:rFonts w:ascii="Times New Roman" w:hAnsi="Times New Roman" w:cs="Times New Roman"/>
                <w:sz w:val="26"/>
                <w:szCs w:val="26"/>
              </w:rPr>
              <w:t xml:space="preserve">Transmission Operator (VAR-002) </w:t>
            </w:r>
          </w:p>
        </w:tc>
        <w:tc>
          <w:tcPr>
            <w:tcW w:w="1170" w:type="dxa"/>
            <w:vAlign w:val="bottom"/>
          </w:tcPr>
          <w:p w:rsidR="001D5446" w:rsidRPr="00E9787E" w:rsidRDefault="001D5446" w:rsidP="00E9787E">
            <w:pPr>
              <w:spacing w:after="0" w:line="240" w:lineRule="auto"/>
              <w:jc w:val="right"/>
              <w:rPr>
                <w:rFonts w:ascii="Times New Roman" w:eastAsia="Times New Roman" w:hAnsi="Times New Roman" w:cs="Times New Roman"/>
                <w:i/>
                <w:sz w:val="26"/>
                <w:szCs w:val="26"/>
              </w:rPr>
            </w:pPr>
            <w:r w:rsidRPr="00E9787E">
              <w:rPr>
                <w:rFonts w:ascii="Times New Roman" w:hAnsi="Times New Roman" w:cs="Times New Roman"/>
                <w:sz w:val="26"/>
                <w:szCs w:val="26"/>
              </w:rPr>
              <w:t>86</w:t>
            </w:r>
          </w:p>
        </w:tc>
        <w:tc>
          <w:tcPr>
            <w:tcW w:w="1440" w:type="dxa"/>
            <w:vAlign w:val="bottom"/>
          </w:tcPr>
          <w:p w:rsidR="001D5446" w:rsidRPr="00E9787E" w:rsidRDefault="001D5446" w:rsidP="00E9787E">
            <w:pPr>
              <w:spacing w:after="0" w:line="240" w:lineRule="auto"/>
              <w:jc w:val="right"/>
              <w:rPr>
                <w:rFonts w:ascii="Times New Roman" w:eastAsia="Times New Roman" w:hAnsi="Times New Roman" w:cs="Times New Roman"/>
                <w:i/>
                <w:sz w:val="26"/>
                <w:szCs w:val="26"/>
              </w:rPr>
            </w:pPr>
            <w:r w:rsidRPr="00E9787E">
              <w:rPr>
                <w:rFonts w:ascii="Times New Roman" w:hAnsi="Times New Roman" w:cs="Times New Roman"/>
                <w:sz w:val="26"/>
                <w:szCs w:val="26"/>
              </w:rPr>
              <w:t>1</w:t>
            </w:r>
          </w:p>
        </w:tc>
        <w:tc>
          <w:tcPr>
            <w:tcW w:w="1350" w:type="dxa"/>
            <w:vAlign w:val="bottom"/>
          </w:tcPr>
          <w:p w:rsidR="001D5446" w:rsidRPr="00E9787E" w:rsidRDefault="001D5446" w:rsidP="00E9787E">
            <w:pPr>
              <w:spacing w:after="0" w:line="240" w:lineRule="auto"/>
              <w:jc w:val="right"/>
              <w:rPr>
                <w:rFonts w:ascii="Times New Roman" w:hAnsi="Times New Roman" w:cs="Times New Roman"/>
                <w:sz w:val="26"/>
                <w:szCs w:val="26"/>
              </w:rPr>
            </w:pPr>
            <w:r w:rsidRPr="00E9787E">
              <w:rPr>
                <w:rFonts w:ascii="Times New Roman" w:hAnsi="Times New Roman" w:cs="Times New Roman"/>
                <w:sz w:val="26"/>
                <w:szCs w:val="26"/>
              </w:rPr>
              <w:t>86</w:t>
            </w:r>
          </w:p>
        </w:tc>
        <w:tc>
          <w:tcPr>
            <w:tcW w:w="1440" w:type="dxa"/>
            <w:vAlign w:val="bottom"/>
          </w:tcPr>
          <w:p w:rsidR="001D5446" w:rsidRPr="00E9787E" w:rsidRDefault="001D5446" w:rsidP="00E9787E">
            <w:pPr>
              <w:spacing w:after="0" w:line="240" w:lineRule="auto"/>
              <w:jc w:val="right"/>
              <w:rPr>
                <w:rFonts w:ascii="Times New Roman" w:hAnsi="Times New Roman" w:cs="Times New Roman"/>
                <w:sz w:val="26"/>
                <w:szCs w:val="26"/>
              </w:rPr>
            </w:pPr>
            <w:r w:rsidRPr="00E9787E">
              <w:rPr>
                <w:rFonts w:ascii="Times New Roman" w:hAnsi="Times New Roman" w:cs="Times New Roman"/>
                <w:sz w:val="26"/>
                <w:szCs w:val="26"/>
              </w:rPr>
              <w:t>4 hrs.,</w:t>
            </w:r>
          </w:p>
          <w:p w:rsidR="001D5446" w:rsidRPr="00E9787E" w:rsidRDefault="001D5446" w:rsidP="00E9787E">
            <w:pPr>
              <w:spacing w:after="0" w:line="240" w:lineRule="auto"/>
              <w:jc w:val="right"/>
              <w:rPr>
                <w:rFonts w:ascii="Times New Roman" w:eastAsia="Times New Roman" w:hAnsi="Times New Roman" w:cs="Times New Roman"/>
                <w:sz w:val="26"/>
                <w:szCs w:val="26"/>
              </w:rPr>
            </w:pPr>
            <w:r w:rsidRPr="00E9787E">
              <w:rPr>
                <w:rFonts w:ascii="Times New Roman" w:hAnsi="Times New Roman" w:cs="Times New Roman"/>
                <w:sz w:val="26"/>
                <w:szCs w:val="26"/>
              </w:rPr>
              <w:t>$124.76</w:t>
            </w:r>
          </w:p>
        </w:tc>
        <w:tc>
          <w:tcPr>
            <w:tcW w:w="1620" w:type="dxa"/>
            <w:vAlign w:val="bottom"/>
          </w:tcPr>
          <w:p w:rsidR="001D5446" w:rsidRPr="00E9787E" w:rsidRDefault="001D5446" w:rsidP="00E9787E">
            <w:pPr>
              <w:spacing w:after="0" w:line="240" w:lineRule="auto"/>
              <w:jc w:val="right"/>
              <w:rPr>
                <w:rFonts w:ascii="Times New Roman" w:eastAsia="Times New Roman" w:hAnsi="Times New Roman" w:cs="Times New Roman"/>
                <w:sz w:val="26"/>
                <w:szCs w:val="26"/>
              </w:rPr>
            </w:pPr>
            <w:r w:rsidRPr="00E9787E">
              <w:rPr>
                <w:rFonts w:ascii="Times New Roman" w:eastAsia="Times New Roman" w:hAnsi="Times New Roman" w:cs="Times New Roman"/>
                <w:sz w:val="26"/>
                <w:szCs w:val="26"/>
              </w:rPr>
              <w:t>344 hrs.,</w:t>
            </w:r>
          </w:p>
          <w:p w:rsidR="001D5446" w:rsidRPr="00E9787E" w:rsidRDefault="001D5446" w:rsidP="00E9787E">
            <w:pPr>
              <w:spacing w:after="0" w:line="240" w:lineRule="auto"/>
              <w:jc w:val="right"/>
              <w:rPr>
                <w:rFonts w:ascii="Times New Roman" w:eastAsia="Times New Roman" w:hAnsi="Times New Roman" w:cs="Times New Roman"/>
                <w:sz w:val="26"/>
                <w:szCs w:val="26"/>
              </w:rPr>
            </w:pPr>
            <w:r w:rsidRPr="00E9787E">
              <w:rPr>
                <w:rFonts w:ascii="Times New Roman" w:eastAsia="Times New Roman" w:hAnsi="Times New Roman" w:cs="Times New Roman"/>
                <w:sz w:val="26"/>
                <w:szCs w:val="26"/>
              </w:rPr>
              <w:t>$10,729.36</w:t>
            </w:r>
          </w:p>
        </w:tc>
        <w:tc>
          <w:tcPr>
            <w:tcW w:w="1170" w:type="dxa"/>
            <w:vAlign w:val="bottom"/>
          </w:tcPr>
          <w:p w:rsidR="001D5446" w:rsidRPr="00E9787E" w:rsidRDefault="001D5446" w:rsidP="00E9787E">
            <w:pPr>
              <w:spacing w:after="0" w:line="240" w:lineRule="auto"/>
              <w:jc w:val="right"/>
              <w:rPr>
                <w:rFonts w:ascii="Times New Roman" w:eastAsia="Times New Roman" w:hAnsi="Times New Roman" w:cs="Times New Roman"/>
                <w:sz w:val="26"/>
                <w:szCs w:val="26"/>
              </w:rPr>
            </w:pPr>
            <w:r w:rsidRPr="00E9787E">
              <w:rPr>
                <w:rFonts w:ascii="Times New Roman" w:hAnsi="Times New Roman" w:cs="Times New Roman"/>
                <w:sz w:val="26"/>
                <w:szCs w:val="26"/>
              </w:rPr>
              <w:t>$124.76</w:t>
            </w:r>
          </w:p>
        </w:tc>
      </w:tr>
      <w:tr w:rsidR="001D5446" w:rsidRPr="00E9787E" w:rsidTr="001D5446">
        <w:tc>
          <w:tcPr>
            <w:tcW w:w="1800" w:type="dxa"/>
            <w:vAlign w:val="bottom"/>
          </w:tcPr>
          <w:p w:rsidR="001D5446" w:rsidRPr="00E9787E" w:rsidRDefault="001D5446" w:rsidP="00E9787E">
            <w:pPr>
              <w:spacing w:after="0" w:line="240" w:lineRule="auto"/>
              <w:rPr>
                <w:rFonts w:ascii="Times New Roman" w:eastAsia="Times New Roman" w:hAnsi="Times New Roman" w:cs="Times New Roman"/>
                <w:i/>
                <w:sz w:val="26"/>
                <w:szCs w:val="26"/>
              </w:rPr>
            </w:pPr>
            <w:r w:rsidRPr="00E9787E">
              <w:rPr>
                <w:rFonts w:ascii="Times New Roman" w:hAnsi="Times New Roman" w:cs="Times New Roman"/>
                <w:sz w:val="26"/>
                <w:szCs w:val="26"/>
              </w:rPr>
              <w:t>Transmission Owner that operate qualified transfer paths</w:t>
            </w:r>
          </w:p>
        </w:tc>
        <w:tc>
          <w:tcPr>
            <w:tcW w:w="1170" w:type="dxa"/>
            <w:vAlign w:val="bottom"/>
          </w:tcPr>
          <w:p w:rsidR="001D5446" w:rsidRPr="00E9787E" w:rsidRDefault="001D5446" w:rsidP="00E9787E">
            <w:pPr>
              <w:spacing w:after="0" w:line="240" w:lineRule="auto"/>
              <w:jc w:val="right"/>
              <w:rPr>
                <w:rFonts w:ascii="Times New Roman" w:eastAsia="Times New Roman" w:hAnsi="Times New Roman" w:cs="Times New Roman"/>
                <w:i/>
                <w:sz w:val="26"/>
                <w:szCs w:val="26"/>
              </w:rPr>
            </w:pPr>
            <w:r w:rsidRPr="00E9787E">
              <w:rPr>
                <w:rFonts w:ascii="Times New Roman" w:hAnsi="Times New Roman" w:cs="Times New Roman"/>
                <w:sz w:val="26"/>
                <w:szCs w:val="26"/>
              </w:rPr>
              <w:t>5</w:t>
            </w:r>
          </w:p>
        </w:tc>
        <w:tc>
          <w:tcPr>
            <w:tcW w:w="1440" w:type="dxa"/>
            <w:vAlign w:val="bottom"/>
          </w:tcPr>
          <w:p w:rsidR="001D5446" w:rsidRPr="00E9787E" w:rsidRDefault="001D5446" w:rsidP="00E9787E">
            <w:pPr>
              <w:spacing w:after="0" w:line="240" w:lineRule="auto"/>
              <w:jc w:val="right"/>
              <w:rPr>
                <w:rFonts w:ascii="Times New Roman" w:eastAsia="Times New Roman" w:hAnsi="Times New Roman" w:cs="Times New Roman"/>
                <w:i/>
                <w:sz w:val="26"/>
                <w:szCs w:val="26"/>
              </w:rPr>
            </w:pPr>
            <w:r w:rsidRPr="00E9787E">
              <w:rPr>
                <w:rFonts w:ascii="Times New Roman" w:hAnsi="Times New Roman" w:cs="Times New Roman"/>
                <w:sz w:val="26"/>
                <w:szCs w:val="26"/>
              </w:rPr>
              <w:t>1</w:t>
            </w:r>
          </w:p>
        </w:tc>
        <w:tc>
          <w:tcPr>
            <w:tcW w:w="1350" w:type="dxa"/>
            <w:vAlign w:val="bottom"/>
          </w:tcPr>
          <w:p w:rsidR="001D5446" w:rsidRPr="00E9787E" w:rsidRDefault="001D5446" w:rsidP="00E9787E">
            <w:pPr>
              <w:spacing w:after="0" w:line="240" w:lineRule="auto"/>
              <w:jc w:val="right"/>
              <w:rPr>
                <w:rFonts w:ascii="Times New Roman" w:hAnsi="Times New Roman" w:cs="Times New Roman"/>
                <w:sz w:val="26"/>
                <w:szCs w:val="26"/>
              </w:rPr>
            </w:pPr>
            <w:r w:rsidRPr="00E9787E">
              <w:rPr>
                <w:rFonts w:ascii="Times New Roman" w:hAnsi="Times New Roman" w:cs="Times New Roman"/>
                <w:sz w:val="26"/>
                <w:szCs w:val="26"/>
              </w:rPr>
              <w:t>5</w:t>
            </w:r>
          </w:p>
        </w:tc>
        <w:tc>
          <w:tcPr>
            <w:tcW w:w="1440" w:type="dxa"/>
            <w:vAlign w:val="bottom"/>
          </w:tcPr>
          <w:p w:rsidR="001D5446" w:rsidRPr="00E9787E" w:rsidRDefault="001D5446" w:rsidP="00E9787E">
            <w:pPr>
              <w:spacing w:after="0" w:line="240" w:lineRule="auto"/>
              <w:jc w:val="right"/>
              <w:rPr>
                <w:rFonts w:ascii="Times New Roman" w:hAnsi="Times New Roman" w:cs="Times New Roman"/>
                <w:sz w:val="26"/>
                <w:szCs w:val="26"/>
              </w:rPr>
            </w:pPr>
            <w:r w:rsidRPr="00E9787E">
              <w:rPr>
                <w:rFonts w:ascii="Times New Roman" w:hAnsi="Times New Roman" w:cs="Times New Roman"/>
                <w:sz w:val="26"/>
                <w:szCs w:val="26"/>
              </w:rPr>
              <w:t>12 hrs.,</w:t>
            </w:r>
          </w:p>
          <w:p w:rsidR="001D5446" w:rsidRPr="00E9787E" w:rsidRDefault="001D5446" w:rsidP="00E9787E">
            <w:pPr>
              <w:spacing w:after="0" w:line="240" w:lineRule="auto"/>
              <w:jc w:val="right"/>
              <w:rPr>
                <w:rFonts w:ascii="Times New Roman" w:eastAsia="Times New Roman" w:hAnsi="Times New Roman" w:cs="Times New Roman"/>
                <w:sz w:val="26"/>
                <w:szCs w:val="26"/>
              </w:rPr>
            </w:pPr>
            <w:r w:rsidRPr="00E9787E">
              <w:rPr>
                <w:rFonts w:ascii="Times New Roman" w:hAnsi="Times New Roman" w:cs="Times New Roman"/>
                <w:sz w:val="26"/>
                <w:szCs w:val="26"/>
              </w:rPr>
              <w:t>$374.28</w:t>
            </w:r>
          </w:p>
        </w:tc>
        <w:tc>
          <w:tcPr>
            <w:tcW w:w="1620" w:type="dxa"/>
            <w:vAlign w:val="bottom"/>
          </w:tcPr>
          <w:p w:rsidR="001D5446" w:rsidRPr="00E9787E" w:rsidRDefault="001D5446" w:rsidP="00E9787E">
            <w:pPr>
              <w:spacing w:after="0" w:line="240" w:lineRule="auto"/>
              <w:jc w:val="right"/>
              <w:rPr>
                <w:rFonts w:ascii="Times New Roman" w:eastAsia="Times New Roman" w:hAnsi="Times New Roman" w:cs="Times New Roman"/>
                <w:sz w:val="26"/>
                <w:szCs w:val="26"/>
              </w:rPr>
            </w:pPr>
            <w:r w:rsidRPr="00E9787E">
              <w:rPr>
                <w:rFonts w:ascii="Times New Roman" w:eastAsia="Times New Roman" w:hAnsi="Times New Roman" w:cs="Times New Roman"/>
                <w:sz w:val="26"/>
                <w:szCs w:val="26"/>
              </w:rPr>
              <w:t>60 hrs.,</w:t>
            </w:r>
          </w:p>
          <w:p w:rsidR="001D5446" w:rsidRPr="00E9787E" w:rsidRDefault="001D5446" w:rsidP="00E9787E">
            <w:pPr>
              <w:spacing w:after="0" w:line="240" w:lineRule="auto"/>
              <w:jc w:val="right"/>
              <w:rPr>
                <w:rFonts w:ascii="Times New Roman" w:eastAsia="Times New Roman" w:hAnsi="Times New Roman" w:cs="Times New Roman"/>
                <w:sz w:val="26"/>
                <w:szCs w:val="26"/>
              </w:rPr>
            </w:pPr>
            <w:r w:rsidRPr="00E9787E">
              <w:rPr>
                <w:rFonts w:ascii="Times New Roman" w:eastAsia="Times New Roman" w:hAnsi="Times New Roman" w:cs="Times New Roman"/>
                <w:sz w:val="26"/>
                <w:szCs w:val="26"/>
              </w:rPr>
              <w:t>$1,871.40</w:t>
            </w:r>
          </w:p>
        </w:tc>
        <w:tc>
          <w:tcPr>
            <w:tcW w:w="1170" w:type="dxa"/>
            <w:vAlign w:val="bottom"/>
          </w:tcPr>
          <w:p w:rsidR="001D5446" w:rsidRPr="00E9787E" w:rsidRDefault="001D5446" w:rsidP="00E9787E">
            <w:pPr>
              <w:spacing w:after="0" w:line="240" w:lineRule="auto"/>
              <w:jc w:val="right"/>
              <w:rPr>
                <w:rFonts w:ascii="Times New Roman" w:eastAsia="Times New Roman" w:hAnsi="Times New Roman" w:cs="Times New Roman"/>
                <w:sz w:val="26"/>
                <w:szCs w:val="26"/>
              </w:rPr>
            </w:pPr>
            <w:r w:rsidRPr="00E9787E">
              <w:rPr>
                <w:rFonts w:ascii="Times New Roman" w:hAnsi="Times New Roman" w:cs="Times New Roman"/>
                <w:sz w:val="26"/>
                <w:szCs w:val="26"/>
              </w:rPr>
              <w:t>$374.28</w:t>
            </w:r>
          </w:p>
        </w:tc>
      </w:tr>
      <w:tr w:rsidR="001D5446" w:rsidRPr="00E9787E" w:rsidTr="001D5446">
        <w:tc>
          <w:tcPr>
            <w:tcW w:w="1800" w:type="dxa"/>
            <w:vAlign w:val="bottom"/>
          </w:tcPr>
          <w:p w:rsidR="001D5446" w:rsidRPr="00E9787E" w:rsidRDefault="001D5446" w:rsidP="00E9787E">
            <w:pPr>
              <w:spacing w:after="0" w:line="240" w:lineRule="auto"/>
              <w:rPr>
                <w:rFonts w:ascii="Times New Roman" w:eastAsia="Times New Roman" w:hAnsi="Times New Roman" w:cs="Times New Roman"/>
                <w:i/>
                <w:sz w:val="26"/>
                <w:szCs w:val="26"/>
              </w:rPr>
            </w:pPr>
            <w:r w:rsidRPr="00E9787E">
              <w:rPr>
                <w:rFonts w:ascii="Times New Roman" w:hAnsi="Times New Roman" w:cs="Times New Roman"/>
                <w:sz w:val="26"/>
                <w:szCs w:val="26"/>
              </w:rPr>
              <w:t>Reliability Coordinator</w:t>
            </w:r>
          </w:p>
        </w:tc>
        <w:tc>
          <w:tcPr>
            <w:tcW w:w="1170" w:type="dxa"/>
            <w:vAlign w:val="bottom"/>
          </w:tcPr>
          <w:p w:rsidR="001D5446" w:rsidRPr="00E9787E" w:rsidRDefault="001D5446" w:rsidP="00E9787E">
            <w:pPr>
              <w:spacing w:after="0" w:line="240" w:lineRule="auto"/>
              <w:jc w:val="right"/>
              <w:rPr>
                <w:rFonts w:ascii="Times New Roman" w:eastAsia="Times New Roman" w:hAnsi="Times New Roman" w:cs="Times New Roman"/>
                <w:i/>
                <w:sz w:val="26"/>
                <w:szCs w:val="26"/>
              </w:rPr>
            </w:pPr>
            <w:r w:rsidRPr="00E9787E">
              <w:rPr>
                <w:rFonts w:ascii="Times New Roman" w:hAnsi="Times New Roman" w:cs="Times New Roman"/>
                <w:sz w:val="26"/>
                <w:szCs w:val="26"/>
              </w:rPr>
              <w:t>1</w:t>
            </w:r>
          </w:p>
        </w:tc>
        <w:tc>
          <w:tcPr>
            <w:tcW w:w="1440" w:type="dxa"/>
            <w:vAlign w:val="bottom"/>
          </w:tcPr>
          <w:p w:rsidR="001D5446" w:rsidRPr="00E9787E" w:rsidRDefault="001D5446" w:rsidP="00E9787E">
            <w:pPr>
              <w:spacing w:after="0" w:line="240" w:lineRule="auto"/>
              <w:jc w:val="right"/>
              <w:rPr>
                <w:rFonts w:ascii="Times New Roman" w:eastAsia="Times New Roman" w:hAnsi="Times New Roman" w:cs="Times New Roman"/>
                <w:i/>
                <w:sz w:val="26"/>
                <w:szCs w:val="26"/>
              </w:rPr>
            </w:pPr>
            <w:r w:rsidRPr="00E9787E">
              <w:rPr>
                <w:rFonts w:ascii="Times New Roman" w:hAnsi="Times New Roman" w:cs="Times New Roman"/>
                <w:sz w:val="26"/>
                <w:szCs w:val="26"/>
              </w:rPr>
              <w:t>1</w:t>
            </w:r>
          </w:p>
        </w:tc>
        <w:tc>
          <w:tcPr>
            <w:tcW w:w="1350" w:type="dxa"/>
            <w:vAlign w:val="bottom"/>
          </w:tcPr>
          <w:p w:rsidR="001D5446" w:rsidRPr="00E9787E" w:rsidRDefault="001D5446" w:rsidP="00E9787E">
            <w:pPr>
              <w:spacing w:after="0" w:line="240" w:lineRule="auto"/>
              <w:jc w:val="right"/>
              <w:rPr>
                <w:rFonts w:ascii="Times New Roman" w:hAnsi="Times New Roman" w:cs="Times New Roman"/>
                <w:sz w:val="26"/>
                <w:szCs w:val="26"/>
              </w:rPr>
            </w:pPr>
            <w:r w:rsidRPr="00E9787E">
              <w:rPr>
                <w:rFonts w:ascii="Times New Roman" w:hAnsi="Times New Roman" w:cs="Times New Roman"/>
                <w:sz w:val="26"/>
                <w:szCs w:val="26"/>
              </w:rPr>
              <w:t>1</w:t>
            </w:r>
          </w:p>
        </w:tc>
        <w:tc>
          <w:tcPr>
            <w:tcW w:w="1440" w:type="dxa"/>
            <w:vAlign w:val="bottom"/>
          </w:tcPr>
          <w:p w:rsidR="001D5446" w:rsidRPr="00E9787E" w:rsidRDefault="001D5446" w:rsidP="00E9787E">
            <w:pPr>
              <w:spacing w:after="0" w:line="240" w:lineRule="auto"/>
              <w:jc w:val="right"/>
              <w:rPr>
                <w:rFonts w:ascii="Times New Roman" w:hAnsi="Times New Roman" w:cs="Times New Roman"/>
                <w:sz w:val="26"/>
                <w:szCs w:val="26"/>
              </w:rPr>
            </w:pPr>
            <w:r w:rsidRPr="00E9787E">
              <w:rPr>
                <w:rFonts w:ascii="Times New Roman" w:hAnsi="Times New Roman" w:cs="Times New Roman"/>
                <w:sz w:val="26"/>
                <w:szCs w:val="26"/>
              </w:rPr>
              <w:t>1 hr.;</w:t>
            </w:r>
          </w:p>
          <w:p w:rsidR="001D5446" w:rsidRPr="00E9787E" w:rsidRDefault="001D5446" w:rsidP="00E9787E">
            <w:pPr>
              <w:spacing w:after="0" w:line="240" w:lineRule="auto"/>
              <w:jc w:val="right"/>
              <w:rPr>
                <w:rFonts w:ascii="Times New Roman" w:eastAsia="Times New Roman" w:hAnsi="Times New Roman" w:cs="Times New Roman"/>
                <w:sz w:val="26"/>
                <w:szCs w:val="26"/>
              </w:rPr>
            </w:pPr>
            <w:r w:rsidRPr="00E9787E">
              <w:rPr>
                <w:rFonts w:ascii="Times New Roman" w:hAnsi="Times New Roman" w:cs="Times New Roman"/>
                <w:sz w:val="26"/>
                <w:szCs w:val="26"/>
              </w:rPr>
              <w:t>$31.19</w:t>
            </w:r>
          </w:p>
        </w:tc>
        <w:tc>
          <w:tcPr>
            <w:tcW w:w="1620" w:type="dxa"/>
            <w:vAlign w:val="bottom"/>
          </w:tcPr>
          <w:p w:rsidR="001D5446" w:rsidRPr="00E9787E" w:rsidRDefault="001D5446" w:rsidP="00E9787E">
            <w:pPr>
              <w:spacing w:after="0" w:line="240" w:lineRule="auto"/>
              <w:jc w:val="right"/>
              <w:rPr>
                <w:rFonts w:ascii="Times New Roman" w:eastAsia="Times New Roman" w:hAnsi="Times New Roman" w:cs="Times New Roman"/>
                <w:sz w:val="26"/>
                <w:szCs w:val="26"/>
              </w:rPr>
            </w:pPr>
            <w:r w:rsidRPr="00E9787E">
              <w:rPr>
                <w:rFonts w:ascii="Times New Roman" w:eastAsia="Times New Roman" w:hAnsi="Times New Roman" w:cs="Times New Roman"/>
                <w:sz w:val="26"/>
                <w:szCs w:val="26"/>
              </w:rPr>
              <w:t>1 hr.;</w:t>
            </w:r>
          </w:p>
          <w:p w:rsidR="001D5446" w:rsidRPr="00E9787E" w:rsidRDefault="001D5446" w:rsidP="00E9787E">
            <w:pPr>
              <w:spacing w:after="0" w:line="240" w:lineRule="auto"/>
              <w:jc w:val="right"/>
              <w:rPr>
                <w:rFonts w:ascii="Times New Roman" w:eastAsia="Times New Roman" w:hAnsi="Times New Roman" w:cs="Times New Roman"/>
                <w:sz w:val="26"/>
                <w:szCs w:val="26"/>
              </w:rPr>
            </w:pPr>
            <w:r w:rsidRPr="00E9787E">
              <w:rPr>
                <w:rFonts w:ascii="Times New Roman" w:eastAsia="Times New Roman" w:hAnsi="Times New Roman" w:cs="Times New Roman"/>
                <w:sz w:val="26"/>
                <w:szCs w:val="26"/>
              </w:rPr>
              <w:t>$31.19</w:t>
            </w:r>
          </w:p>
        </w:tc>
        <w:tc>
          <w:tcPr>
            <w:tcW w:w="1170" w:type="dxa"/>
            <w:vAlign w:val="bottom"/>
          </w:tcPr>
          <w:p w:rsidR="001D5446" w:rsidRPr="00E9787E" w:rsidRDefault="001D5446" w:rsidP="00E9787E">
            <w:pPr>
              <w:spacing w:after="0" w:line="240" w:lineRule="auto"/>
              <w:jc w:val="right"/>
              <w:rPr>
                <w:rFonts w:ascii="Times New Roman" w:eastAsia="Times New Roman" w:hAnsi="Times New Roman" w:cs="Times New Roman"/>
                <w:sz w:val="26"/>
                <w:szCs w:val="26"/>
              </w:rPr>
            </w:pPr>
            <w:r w:rsidRPr="00E9787E">
              <w:rPr>
                <w:rFonts w:ascii="Times New Roman" w:eastAsia="Times New Roman" w:hAnsi="Times New Roman" w:cs="Times New Roman"/>
                <w:sz w:val="26"/>
                <w:szCs w:val="26"/>
              </w:rPr>
              <w:t>$31.19</w:t>
            </w:r>
          </w:p>
        </w:tc>
      </w:tr>
      <w:tr w:rsidR="001D5446" w:rsidRPr="00E9787E" w:rsidTr="001D5446">
        <w:tc>
          <w:tcPr>
            <w:tcW w:w="1800" w:type="dxa"/>
          </w:tcPr>
          <w:p w:rsidR="001D5446" w:rsidRPr="00E9787E" w:rsidRDefault="001D5446"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Generator Owners and/or Operators, in Year 1, per RD17-5 for  VAR-501-WECC-3</w:t>
            </w:r>
          </w:p>
        </w:tc>
        <w:tc>
          <w:tcPr>
            <w:tcW w:w="1170" w:type="dxa"/>
            <w:vAlign w:val="bottom"/>
          </w:tcPr>
          <w:p w:rsidR="001D5446" w:rsidRPr="00E9787E" w:rsidRDefault="001D5446" w:rsidP="00E9787E">
            <w:pPr>
              <w:spacing w:after="0" w:line="240" w:lineRule="auto"/>
              <w:jc w:val="right"/>
              <w:rPr>
                <w:rFonts w:ascii="Times New Roman" w:hAnsi="Times New Roman" w:cs="Times New Roman"/>
                <w:sz w:val="26"/>
                <w:szCs w:val="26"/>
              </w:rPr>
            </w:pPr>
            <w:r w:rsidRPr="00E9787E">
              <w:rPr>
                <w:rFonts w:ascii="Times New Roman" w:eastAsia="Calibri" w:hAnsi="Times New Roman" w:cs="Times New Roman"/>
                <w:sz w:val="26"/>
                <w:szCs w:val="26"/>
              </w:rPr>
              <w:t>291</w:t>
            </w:r>
          </w:p>
        </w:tc>
        <w:tc>
          <w:tcPr>
            <w:tcW w:w="1440" w:type="dxa"/>
            <w:vAlign w:val="bottom"/>
          </w:tcPr>
          <w:p w:rsidR="001D5446" w:rsidRPr="00E9787E" w:rsidRDefault="001D5446" w:rsidP="00E9787E">
            <w:pPr>
              <w:spacing w:after="0" w:line="240" w:lineRule="auto"/>
              <w:jc w:val="right"/>
              <w:rPr>
                <w:rFonts w:ascii="Times New Roman" w:hAnsi="Times New Roman" w:cs="Times New Roman"/>
                <w:sz w:val="26"/>
                <w:szCs w:val="26"/>
              </w:rPr>
            </w:pPr>
            <w:r w:rsidRPr="00E9787E">
              <w:rPr>
                <w:rFonts w:ascii="Times New Roman" w:eastAsia="Calibri" w:hAnsi="Times New Roman" w:cs="Times New Roman"/>
                <w:sz w:val="26"/>
                <w:szCs w:val="26"/>
              </w:rPr>
              <w:t>3</w:t>
            </w:r>
          </w:p>
        </w:tc>
        <w:tc>
          <w:tcPr>
            <w:tcW w:w="1350"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873</w:t>
            </w:r>
          </w:p>
        </w:tc>
        <w:tc>
          <w:tcPr>
            <w:tcW w:w="1440"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 xml:space="preserve">1 hr.; </w:t>
            </w:r>
          </w:p>
          <w:p w:rsidR="001D5446" w:rsidRPr="00E9787E" w:rsidRDefault="001D5446" w:rsidP="00E9787E">
            <w:pPr>
              <w:spacing w:after="0" w:line="240" w:lineRule="auto"/>
              <w:jc w:val="right"/>
              <w:rPr>
                <w:rFonts w:ascii="Times New Roman" w:hAnsi="Times New Roman" w:cs="Times New Roman"/>
                <w:sz w:val="26"/>
                <w:szCs w:val="26"/>
              </w:rPr>
            </w:pPr>
            <w:r w:rsidRPr="00E9787E">
              <w:rPr>
                <w:rFonts w:ascii="Times New Roman" w:eastAsia="Calibri" w:hAnsi="Times New Roman" w:cs="Times New Roman"/>
                <w:sz w:val="26"/>
                <w:szCs w:val="26"/>
              </w:rPr>
              <w:t>$31.19</w:t>
            </w:r>
          </w:p>
        </w:tc>
        <w:tc>
          <w:tcPr>
            <w:tcW w:w="1620"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 xml:space="preserve">873 hrs.; </w:t>
            </w:r>
          </w:p>
          <w:p w:rsidR="001D5446" w:rsidRPr="00E9787E" w:rsidRDefault="001D5446" w:rsidP="00E9787E">
            <w:pPr>
              <w:spacing w:after="0" w:line="240" w:lineRule="auto"/>
              <w:jc w:val="right"/>
              <w:rPr>
                <w:rFonts w:ascii="Times New Roman" w:eastAsia="Times New Roman" w:hAnsi="Times New Roman" w:cs="Times New Roman"/>
                <w:sz w:val="26"/>
                <w:szCs w:val="26"/>
              </w:rPr>
            </w:pPr>
            <w:r w:rsidRPr="00E9787E">
              <w:rPr>
                <w:rFonts w:ascii="Times New Roman" w:eastAsia="Calibri" w:hAnsi="Times New Roman" w:cs="Times New Roman"/>
                <w:sz w:val="26"/>
                <w:szCs w:val="26"/>
              </w:rPr>
              <w:t>$27,228.87</w:t>
            </w:r>
          </w:p>
        </w:tc>
        <w:tc>
          <w:tcPr>
            <w:tcW w:w="1170" w:type="dxa"/>
            <w:vAlign w:val="bottom"/>
          </w:tcPr>
          <w:p w:rsidR="001D5446" w:rsidRPr="00E9787E" w:rsidRDefault="001D5446" w:rsidP="00E9787E">
            <w:pPr>
              <w:spacing w:after="0" w:line="240" w:lineRule="auto"/>
              <w:jc w:val="right"/>
              <w:rPr>
                <w:rFonts w:ascii="Times New Roman" w:hAnsi="Times New Roman" w:cs="Times New Roman"/>
                <w:sz w:val="26"/>
                <w:szCs w:val="26"/>
              </w:rPr>
            </w:pPr>
            <w:r w:rsidRPr="00E9787E">
              <w:rPr>
                <w:rFonts w:ascii="Times New Roman" w:hAnsi="Times New Roman" w:cs="Times New Roman"/>
                <w:sz w:val="26"/>
                <w:szCs w:val="26"/>
              </w:rPr>
              <w:t>$93.57</w:t>
            </w:r>
          </w:p>
        </w:tc>
      </w:tr>
      <w:tr w:rsidR="001D5446" w:rsidRPr="00E9787E" w:rsidTr="001D5446">
        <w:tc>
          <w:tcPr>
            <w:tcW w:w="1800" w:type="dxa"/>
          </w:tcPr>
          <w:p w:rsidR="001D5446" w:rsidRPr="00E9787E" w:rsidRDefault="001D5446"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Generator Owners and/or Operators, in Year 2 and Ongoing, per RD17-5 for  VAR-501-WECC-3</w:t>
            </w:r>
          </w:p>
        </w:tc>
        <w:tc>
          <w:tcPr>
            <w:tcW w:w="1170" w:type="dxa"/>
            <w:vAlign w:val="bottom"/>
          </w:tcPr>
          <w:p w:rsidR="001D5446" w:rsidRPr="00E9787E" w:rsidRDefault="001D5446" w:rsidP="00E9787E">
            <w:pPr>
              <w:spacing w:after="0" w:line="240" w:lineRule="auto"/>
              <w:jc w:val="right"/>
              <w:rPr>
                <w:rFonts w:ascii="Times New Roman" w:hAnsi="Times New Roman" w:cs="Times New Roman"/>
                <w:sz w:val="26"/>
                <w:szCs w:val="26"/>
              </w:rPr>
            </w:pPr>
            <w:r w:rsidRPr="00E9787E">
              <w:rPr>
                <w:rFonts w:ascii="Times New Roman" w:eastAsia="Calibri" w:hAnsi="Times New Roman" w:cs="Times New Roman"/>
                <w:sz w:val="26"/>
                <w:szCs w:val="26"/>
              </w:rPr>
              <w:t>291</w:t>
            </w:r>
          </w:p>
        </w:tc>
        <w:tc>
          <w:tcPr>
            <w:tcW w:w="1440" w:type="dxa"/>
            <w:vAlign w:val="bottom"/>
          </w:tcPr>
          <w:p w:rsidR="001D5446" w:rsidRPr="00E9787E" w:rsidRDefault="001D5446" w:rsidP="00E9787E">
            <w:pPr>
              <w:spacing w:after="0" w:line="240" w:lineRule="auto"/>
              <w:jc w:val="right"/>
              <w:rPr>
                <w:rFonts w:ascii="Times New Roman" w:hAnsi="Times New Roman" w:cs="Times New Roman"/>
                <w:sz w:val="26"/>
                <w:szCs w:val="26"/>
              </w:rPr>
            </w:pPr>
            <w:r w:rsidRPr="00E9787E">
              <w:rPr>
                <w:rFonts w:ascii="Times New Roman" w:eastAsia="Calibri" w:hAnsi="Times New Roman" w:cs="Times New Roman"/>
                <w:sz w:val="26"/>
                <w:szCs w:val="26"/>
              </w:rPr>
              <w:t>2</w:t>
            </w:r>
          </w:p>
        </w:tc>
        <w:tc>
          <w:tcPr>
            <w:tcW w:w="1350"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582</w:t>
            </w:r>
          </w:p>
        </w:tc>
        <w:tc>
          <w:tcPr>
            <w:tcW w:w="1440"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0.5 hrs.;</w:t>
            </w:r>
          </w:p>
          <w:p w:rsidR="001D5446" w:rsidRPr="00E9787E" w:rsidRDefault="001D5446" w:rsidP="00E9787E">
            <w:pPr>
              <w:spacing w:after="0" w:line="240" w:lineRule="auto"/>
              <w:jc w:val="right"/>
              <w:rPr>
                <w:rFonts w:ascii="Times New Roman" w:hAnsi="Times New Roman" w:cs="Times New Roman"/>
                <w:sz w:val="26"/>
                <w:szCs w:val="26"/>
              </w:rPr>
            </w:pPr>
            <w:r w:rsidRPr="00E9787E">
              <w:rPr>
                <w:rFonts w:ascii="Times New Roman" w:eastAsia="Calibri" w:hAnsi="Times New Roman" w:cs="Times New Roman"/>
                <w:sz w:val="26"/>
                <w:szCs w:val="26"/>
              </w:rPr>
              <w:t>$15.595</w:t>
            </w:r>
          </w:p>
        </w:tc>
        <w:tc>
          <w:tcPr>
            <w:tcW w:w="1620" w:type="dxa"/>
            <w:vAlign w:val="bottom"/>
          </w:tcPr>
          <w:p w:rsidR="001D5446" w:rsidRPr="00E9787E" w:rsidRDefault="001D5446" w:rsidP="00E9787E">
            <w:pPr>
              <w:spacing w:after="0" w:line="240" w:lineRule="auto"/>
              <w:jc w:val="right"/>
              <w:rPr>
                <w:rFonts w:ascii="Times New Roman" w:eastAsia="Calibri" w:hAnsi="Times New Roman" w:cs="Times New Roman"/>
                <w:sz w:val="26"/>
                <w:szCs w:val="26"/>
              </w:rPr>
            </w:pPr>
            <w:r w:rsidRPr="00E9787E">
              <w:rPr>
                <w:rFonts w:ascii="Times New Roman" w:eastAsia="Calibri" w:hAnsi="Times New Roman" w:cs="Times New Roman"/>
                <w:sz w:val="26"/>
                <w:szCs w:val="26"/>
              </w:rPr>
              <w:t>291 hrs.;</w:t>
            </w:r>
          </w:p>
          <w:p w:rsidR="001D5446" w:rsidRPr="00E9787E" w:rsidRDefault="001D5446" w:rsidP="00E9787E">
            <w:pPr>
              <w:spacing w:after="0" w:line="240" w:lineRule="auto"/>
              <w:jc w:val="right"/>
              <w:rPr>
                <w:rFonts w:ascii="Times New Roman" w:eastAsia="Times New Roman" w:hAnsi="Times New Roman" w:cs="Times New Roman"/>
                <w:sz w:val="26"/>
                <w:szCs w:val="26"/>
              </w:rPr>
            </w:pPr>
            <w:r w:rsidRPr="00E9787E">
              <w:rPr>
                <w:rFonts w:ascii="Times New Roman" w:eastAsia="Calibri" w:hAnsi="Times New Roman" w:cs="Times New Roman"/>
                <w:sz w:val="26"/>
                <w:szCs w:val="26"/>
              </w:rPr>
              <w:t>$9,076.29</w:t>
            </w:r>
          </w:p>
        </w:tc>
        <w:tc>
          <w:tcPr>
            <w:tcW w:w="1170" w:type="dxa"/>
            <w:vAlign w:val="bottom"/>
          </w:tcPr>
          <w:p w:rsidR="001D5446" w:rsidRPr="00E9787E" w:rsidRDefault="001D5446" w:rsidP="00E9787E">
            <w:pPr>
              <w:spacing w:after="0" w:line="240" w:lineRule="auto"/>
              <w:jc w:val="right"/>
              <w:rPr>
                <w:rFonts w:ascii="Times New Roman" w:hAnsi="Times New Roman" w:cs="Times New Roman"/>
                <w:sz w:val="26"/>
                <w:szCs w:val="26"/>
              </w:rPr>
            </w:pPr>
            <w:r w:rsidRPr="00E9787E">
              <w:rPr>
                <w:rFonts w:ascii="Times New Roman" w:hAnsi="Times New Roman" w:cs="Times New Roman"/>
                <w:sz w:val="26"/>
                <w:szCs w:val="26"/>
              </w:rPr>
              <w:t>$31.19</w:t>
            </w:r>
          </w:p>
        </w:tc>
      </w:tr>
      <w:tr w:rsidR="001D5446" w:rsidRPr="00E9787E" w:rsidTr="001D5446">
        <w:trPr>
          <w:trHeight w:val="683"/>
        </w:trPr>
        <w:tc>
          <w:tcPr>
            <w:tcW w:w="4410" w:type="dxa"/>
            <w:gridSpan w:val="3"/>
            <w:vAlign w:val="bottom"/>
          </w:tcPr>
          <w:p w:rsidR="001D5446" w:rsidRPr="00E9787E" w:rsidRDefault="001D5446" w:rsidP="00E9787E">
            <w:pPr>
              <w:spacing w:after="0" w:line="240" w:lineRule="auto"/>
              <w:rPr>
                <w:rFonts w:ascii="Times New Roman" w:hAnsi="Times New Roman" w:cs="Times New Roman"/>
                <w:sz w:val="26"/>
                <w:szCs w:val="26"/>
              </w:rPr>
            </w:pPr>
            <w:r w:rsidRPr="00E9787E">
              <w:rPr>
                <w:rFonts w:ascii="Times New Roman" w:hAnsi="Times New Roman" w:cs="Times New Roman"/>
                <w:b/>
                <w:sz w:val="26"/>
                <w:szCs w:val="26"/>
              </w:rPr>
              <w:t>Sub-Total for Recordkeeping Requirements in Yr. 1</w:t>
            </w:r>
          </w:p>
        </w:tc>
        <w:tc>
          <w:tcPr>
            <w:tcW w:w="1350" w:type="dxa"/>
          </w:tcPr>
          <w:p w:rsidR="00B25098" w:rsidRPr="00E9787E" w:rsidRDefault="00B25098" w:rsidP="00E9787E">
            <w:pPr>
              <w:spacing w:after="0" w:line="240" w:lineRule="auto"/>
              <w:jc w:val="right"/>
              <w:rPr>
                <w:rFonts w:ascii="Times New Roman" w:eastAsia="Times New Roman" w:hAnsi="Times New Roman" w:cs="Times New Roman"/>
                <w:i/>
                <w:sz w:val="26"/>
                <w:szCs w:val="26"/>
              </w:rPr>
            </w:pPr>
          </w:p>
          <w:p w:rsidR="001D5446" w:rsidRPr="00E9787E" w:rsidRDefault="001D5446" w:rsidP="00E9787E">
            <w:pPr>
              <w:spacing w:after="0" w:line="240" w:lineRule="auto"/>
              <w:jc w:val="right"/>
              <w:rPr>
                <w:rFonts w:ascii="Times New Roman" w:eastAsia="Times New Roman" w:hAnsi="Times New Roman" w:cs="Times New Roman"/>
                <w:sz w:val="26"/>
                <w:szCs w:val="26"/>
              </w:rPr>
            </w:pPr>
          </w:p>
        </w:tc>
        <w:tc>
          <w:tcPr>
            <w:tcW w:w="1440" w:type="dxa"/>
            <w:vAlign w:val="bottom"/>
          </w:tcPr>
          <w:p w:rsidR="001D5446" w:rsidRPr="00E9787E" w:rsidRDefault="001D5446" w:rsidP="00E9787E">
            <w:pPr>
              <w:spacing w:after="0" w:line="240" w:lineRule="auto"/>
              <w:jc w:val="right"/>
              <w:rPr>
                <w:rFonts w:ascii="Times New Roman" w:eastAsia="Times New Roman" w:hAnsi="Times New Roman" w:cs="Times New Roman"/>
                <w:i/>
                <w:sz w:val="26"/>
                <w:szCs w:val="26"/>
              </w:rPr>
            </w:pPr>
          </w:p>
        </w:tc>
        <w:tc>
          <w:tcPr>
            <w:tcW w:w="1620" w:type="dxa"/>
            <w:vAlign w:val="bottom"/>
          </w:tcPr>
          <w:p w:rsidR="001D5446" w:rsidRPr="00E9787E" w:rsidRDefault="001D5446" w:rsidP="00E9787E">
            <w:pPr>
              <w:spacing w:after="0" w:line="240" w:lineRule="auto"/>
              <w:jc w:val="right"/>
              <w:rPr>
                <w:rFonts w:ascii="Times New Roman" w:hAnsi="Times New Roman" w:cs="Times New Roman"/>
                <w:b/>
                <w:sz w:val="26"/>
                <w:szCs w:val="26"/>
              </w:rPr>
            </w:pPr>
            <w:r w:rsidRPr="00E9787E">
              <w:rPr>
                <w:rFonts w:ascii="Times New Roman" w:hAnsi="Times New Roman" w:cs="Times New Roman"/>
                <w:b/>
                <w:sz w:val="26"/>
                <w:szCs w:val="26"/>
              </w:rPr>
              <w:t>1,611.4 hrs.;</w:t>
            </w:r>
          </w:p>
          <w:p w:rsidR="001D5446" w:rsidRPr="00E9787E" w:rsidRDefault="001D5446" w:rsidP="00223398">
            <w:pPr>
              <w:spacing w:after="0" w:line="240" w:lineRule="auto"/>
              <w:jc w:val="right"/>
              <w:rPr>
                <w:rFonts w:ascii="Times New Roman" w:hAnsi="Times New Roman" w:cs="Times New Roman"/>
                <w:sz w:val="26"/>
                <w:szCs w:val="26"/>
              </w:rPr>
            </w:pPr>
            <w:r w:rsidRPr="00E9787E">
              <w:rPr>
                <w:rFonts w:ascii="Times New Roman" w:hAnsi="Times New Roman" w:cs="Times New Roman"/>
                <w:b/>
                <w:sz w:val="26"/>
                <w:szCs w:val="26"/>
              </w:rPr>
              <w:t>$50,259.57</w:t>
            </w:r>
          </w:p>
        </w:tc>
        <w:tc>
          <w:tcPr>
            <w:tcW w:w="1170" w:type="dxa"/>
            <w:vAlign w:val="bottom"/>
          </w:tcPr>
          <w:p w:rsidR="001D5446" w:rsidRPr="00E9787E" w:rsidRDefault="001D5446" w:rsidP="00E9787E">
            <w:pPr>
              <w:spacing w:after="0" w:line="240" w:lineRule="auto"/>
              <w:jc w:val="right"/>
              <w:rPr>
                <w:rFonts w:ascii="Times New Roman" w:hAnsi="Times New Roman" w:cs="Times New Roman"/>
                <w:sz w:val="26"/>
                <w:szCs w:val="26"/>
              </w:rPr>
            </w:pPr>
          </w:p>
        </w:tc>
      </w:tr>
      <w:tr w:rsidR="001D5446" w:rsidRPr="00E9787E" w:rsidTr="001D5446">
        <w:trPr>
          <w:trHeight w:val="683"/>
        </w:trPr>
        <w:tc>
          <w:tcPr>
            <w:tcW w:w="4410" w:type="dxa"/>
            <w:gridSpan w:val="3"/>
            <w:vAlign w:val="bottom"/>
          </w:tcPr>
          <w:p w:rsidR="001D5446" w:rsidRPr="00E9787E" w:rsidRDefault="001D5446" w:rsidP="00E9787E">
            <w:pPr>
              <w:spacing w:after="0" w:line="240" w:lineRule="auto"/>
              <w:rPr>
                <w:rFonts w:ascii="Times New Roman" w:hAnsi="Times New Roman" w:cs="Times New Roman"/>
                <w:b/>
                <w:sz w:val="26"/>
                <w:szCs w:val="26"/>
              </w:rPr>
            </w:pPr>
            <w:r w:rsidRPr="00E9787E">
              <w:rPr>
                <w:rFonts w:ascii="Times New Roman" w:hAnsi="Times New Roman" w:cs="Times New Roman"/>
                <w:b/>
                <w:sz w:val="26"/>
                <w:szCs w:val="26"/>
              </w:rPr>
              <w:t>Sub-Total for Recordkeeping Requirements in Yr. 2 &amp; ongoing</w:t>
            </w:r>
          </w:p>
        </w:tc>
        <w:tc>
          <w:tcPr>
            <w:tcW w:w="1350" w:type="dxa"/>
          </w:tcPr>
          <w:p w:rsidR="001D5446" w:rsidRPr="00E9787E" w:rsidRDefault="001D5446" w:rsidP="00E9787E">
            <w:pPr>
              <w:spacing w:after="0" w:line="240" w:lineRule="auto"/>
              <w:jc w:val="right"/>
              <w:rPr>
                <w:rFonts w:ascii="Times New Roman" w:eastAsia="Times New Roman" w:hAnsi="Times New Roman" w:cs="Times New Roman"/>
                <w:i/>
                <w:sz w:val="26"/>
                <w:szCs w:val="26"/>
              </w:rPr>
            </w:pPr>
          </w:p>
        </w:tc>
        <w:tc>
          <w:tcPr>
            <w:tcW w:w="1440" w:type="dxa"/>
            <w:vAlign w:val="bottom"/>
          </w:tcPr>
          <w:p w:rsidR="001D5446" w:rsidRPr="00E9787E" w:rsidRDefault="001D5446" w:rsidP="00E9787E">
            <w:pPr>
              <w:spacing w:after="0" w:line="240" w:lineRule="auto"/>
              <w:jc w:val="right"/>
              <w:rPr>
                <w:rFonts w:ascii="Times New Roman" w:eastAsia="Times New Roman" w:hAnsi="Times New Roman" w:cs="Times New Roman"/>
                <w:i/>
                <w:sz w:val="26"/>
                <w:szCs w:val="26"/>
              </w:rPr>
            </w:pPr>
          </w:p>
        </w:tc>
        <w:tc>
          <w:tcPr>
            <w:tcW w:w="1620" w:type="dxa"/>
            <w:vAlign w:val="bottom"/>
          </w:tcPr>
          <w:p w:rsidR="001D5446" w:rsidRPr="00E9787E" w:rsidRDefault="001D5446" w:rsidP="00E9787E">
            <w:pPr>
              <w:spacing w:after="0" w:line="240" w:lineRule="auto"/>
              <w:jc w:val="right"/>
              <w:rPr>
                <w:rFonts w:ascii="Times New Roman" w:hAnsi="Times New Roman" w:cs="Times New Roman"/>
                <w:b/>
                <w:sz w:val="26"/>
                <w:szCs w:val="26"/>
              </w:rPr>
            </w:pPr>
            <w:r w:rsidRPr="00E9787E">
              <w:rPr>
                <w:rFonts w:ascii="Times New Roman" w:hAnsi="Times New Roman" w:cs="Times New Roman"/>
                <w:b/>
                <w:sz w:val="26"/>
                <w:szCs w:val="26"/>
              </w:rPr>
              <w:t xml:space="preserve">1,029.4 hrs.; </w:t>
            </w:r>
          </w:p>
          <w:p w:rsidR="001D5446" w:rsidRPr="00E9787E" w:rsidRDefault="001D5446" w:rsidP="00E9787E">
            <w:pPr>
              <w:spacing w:after="0" w:line="240" w:lineRule="auto"/>
              <w:jc w:val="right"/>
              <w:rPr>
                <w:rFonts w:ascii="Times New Roman" w:hAnsi="Times New Roman" w:cs="Times New Roman"/>
                <w:b/>
                <w:sz w:val="26"/>
                <w:szCs w:val="26"/>
              </w:rPr>
            </w:pPr>
            <w:r w:rsidRPr="00E9787E">
              <w:rPr>
                <w:rFonts w:ascii="Times New Roman" w:hAnsi="Times New Roman" w:cs="Times New Roman"/>
                <w:b/>
                <w:sz w:val="26"/>
                <w:szCs w:val="26"/>
              </w:rPr>
              <w:t>$32,106.99</w:t>
            </w:r>
          </w:p>
        </w:tc>
        <w:tc>
          <w:tcPr>
            <w:tcW w:w="1170" w:type="dxa"/>
            <w:vAlign w:val="bottom"/>
          </w:tcPr>
          <w:p w:rsidR="001D5446" w:rsidRPr="00E9787E" w:rsidRDefault="001D5446" w:rsidP="00E9787E">
            <w:pPr>
              <w:spacing w:after="0" w:line="240" w:lineRule="auto"/>
              <w:jc w:val="right"/>
              <w:rPr>
                <w:rFonts w:ascii="Times New Roman" w:hAnsi="Times New Roman" w:cs="Times New Roman"/>
                <w:sz w:val="26"/>
                <w:szCs w:val="26"/>
              </w:rPr>
            </w:pPr>
          </w:p>
        </w:tc>
      </w:tr>
      <w:tr w:rsidR="001D5446" w:rsidRPr="00E9787E" w:rsidTr="001D5446">
        <w:tc>
          <w:tcPr>
            <w:tcW w:w="4410" w:type="dxa"/>
            <w:gridSpan w:val="3"/>
            <w:vAlign w:val="bottom"/>
          </w:tcPr>
          <w:p w:rsidR="001D5446" w:rsidRPr="00E9787E" w:rsidRDefault="001D5446" w:rsidP="00E9787E">
            <w:pPr>
              <w:spacing w:after="0" w:line="240" w:lineRule="auto"/>
              <w:rPr>
                <w:rFonts w:ascii="Times New Roman" w:hAnsi="Times New Roman" w:cs="Times New Roman"/>
                <w:sz w:val="26"/>
                <w:szCs w:val="26"/>
              </w:rPr>
            </w:pPr>
            <w:r w:rsidRPr="00E9787E">
              <w:rPr>
                <w:rFonts w:ascii="Times New Roman" w:hAnsi="Times New Roman" w:cs="Times New Roman"/>
                <w:b/>
                <w:sz w:val="26"/>
                <w:szCs w:val="26"/>
              </w:rPr>
              <w:t>TOTAL FOR FERC-725E, IN YR. 1</w:t>
            </w:r>
          </w:p>
        </w:tc>
        <w:tc>
          <w:tcPr>
            <w:tcW w:w="1350" w:type="dxa"/>
            <w:vAlign w:val="bottom"/>
          </w:tcPr>
          <w:p w:rsidR="001D5446" w:rsidRPr="00E9787E" w:rsidRDefault="00B25098" w:rsidP="00E9787E">
            <w:pPr>
              <w:spacing w:after="0" w:line="240" w:lineRule="auto"/>
              <w:jc w:val="right"/>
              <w:rPr>
                <w:rFonts w:ascii="Times New Roman" w:eastAsia="Times New Roman" w:hAnsi="Times New Roman" w:cs="Times New Roman"/>
                <w:sz w:val="26"/>
                <w:szCs w:val="26"/>
              </w:rPr>
            </w:pPr>
            <w:r w:rsidRPr="00E9787E">
              <w:rPr>
                <w:rFonts w:ascii="Times New Roman" w:eastAsia="Times New Roman" w:hAnsi="Times New Roman" w:cs="Times New Roman"/>
                <w:sz w:val="26"/>
                <w:szCs w:val="26"/>
              </w:rPr>
              <w:t>1261</w:t>
            </w:r>
          </w:p>
        </w:tc>
        <w:tc>
          <w:tcPr>
            <w:tcW w:w="1440" w:type="dxa"/>
            <w:vAlign w:val="bottom"/>
          </w:tcPr>
          <w:p w:rsidR="001D5446" w:rsidRPr="00E9787E" w:rsidRDefault="001D5446" w:rsidP="00E9787E">
            <w:pPr>
              <w:spacing w:after="0" w:line="240" w:lineRule="auto"/>
              <w:jc w:val="right"/>
              <w:rPr>
                <w:rFonts w:ascii="Times New Roman" w:eastAsia="Times New Roman" w:hAnsi="Times New Roman" w:cs="Times New Roman"/>
                <w:i/>
                <w:sz w:val="26"/>
                <w:szCs w:val="26"/>
              </w:rPr>
            </w:pPr>
          </w:p>
        </w:tc>
        <w:tc>
          <w:tcPr>
            <w:tcW w:w="1620" w:type="dxa"/>
            <w:vAlign w:val="bottom"/>
          </w:tcPr>
          <w:p w:rsidR="001D5446" w:rsidRPr="00E9787E" w:rsidRDefault="001D5446" w:rsidP="00E9787E">
            <w:pPr>
              <w:spacing w:after="0" w:line="240" w:lineRule="auto"/>
              <w:jc w:val="right"/>
              <w:rPr>
                <w:rFonts w:ascii="Times New Roman" w:hAnsi="Times New Roman" w:cs="Times New Roman"/>
                <w:b/>
                <w:sz w:val="26"/>
                <w:szCs w:val="26"/>
              </w:rPr>
            </w:pPr>
            <w:r w:rsidRPr="00E9787E">
              <w:rPr>
                <w:rFonts w:ascii="Times New Roman" w:hAnsi="Times New Roman" w:cs="Times New Roman"/>
                <w:b/>
                <w:sz w:val="26"/>
                <w:szCs w:val="26"/>
              </w:rPr>
              <w:t>9,522.4 hrs.;</w:t>
            </w:r>
          </w:p>
          <w:p w:rsidR="001D5446" w:rsidRPr="00E9787E" w:rsidRDefault="001D5446" w:rsidP="00E9787E">
            <w:pPr>
              <w:spacing w:after="0" w:line="240" w:lineRule="auto"/>
              <w:jc w:val="right"/>
              <w:rPr>
                <w:rFonts w:ascii="Times New Roman" w:hAnsi="Times New Roman" w:cs="Times New Roman"/>
                <w:sz w:val="26"/>
                <w:szCs w:val="26"/>
              </w:rPr>
            </w:pPr>
            <w:r w:rsidRPr="00E9787E">
              <w:rPr>
                <w:rFonts w:ascii="Times New Roman" w:hAnsi="Times New Roman" w:cs="Times New Roman"/>
                <w:b/>
                <w:sz w:val="26"/>
                <w:szCs w:val="26"/>
              </w:rPr>
              <w:t>$659,327.46</w:t>
            </w:r>
          </w:p>
        </w:tc>
        <w:tc>
          <w:tcPr>
            <w:tcW w:w="1170" w:type="dxa"/>
            <w:vAlign w:val="bottom"/>
          </w:tcPr>
          <w:p w:rsidR="001D5446" w:rsidRPr="00E9787E" w:rsidRDefault="001D5446" w:rsidP="00E9787E">
            <w:pPr>
              <w:spacing w:after="0" w:line="240" w:lineRule="auto"/>
              <w:jc w:val="right"/>
              <w:rPr>
                <w:rFonts w:ascii="Times New Roman" w:hAnsi="Times New Roman" w:cs="Times New Roman"/>
                <w:sz w:val="26"/>
                <w:szCs w:val="26"/>
              </w:rPr>
            </w:pPr>
          </w:p>
        </w:tc>
      </w:tr>
      <w:tr w:rsidR="001D5446" w:rsidRPr="00E9787E" w:rsidTr="001D5446">
        <w:tc>
          <w:tcPr>
            <w:tcW w:w="4410" w:type="dxa"/>
            <w:gridSpan w:val="3"/>
            <w:vAlign w:val="bottom"/>
          </w:tcPr>
          <w:p w:rsidR="001D5446" w:rsidRPr="00E9787E" w:rsidRDefault="001D5446" w:rsidP="00E9787E">
            <w:pPr>
              <w:spacing w:after="0" w:line="240" w:lineRule="auto"/>
              <w:rPr>
                <w:rFonts w:ascii="Times New Roman" w:hAnsi="Times New Roman" w:cs="Times New Roman"/>
                <w:b/>
                <w:sz w:val="26"/>
                <w:szCs w:val="26"/>
              </w:rPr>
            </w:pPr>
            <w:r w:rsidRPr="00E9787E">
              <w:rPr>
                <w:rFonts w:ascii="Times New Roman" w:hAnsi="Times New Roman" w:cs="Times New Roman"/>
                <w:b/>
                <w:sz w:val="26"/>
                <w:szCs w:val="26"/>
              </w:rPr>
              <w:t>TOTAL FOR FERC-725E, IN YR. 2 &amp; ONGOING</w:t>
            </w:r>
          </w:p>
        </w:tc>
        <w:tc>
          <w:tcPr>
            <w:tcW w:w="1350" w:type="dxa"/>
            <w:vAlign w:val="bottom"/>
          </w:tcPr>
          <w:p w:rsidR="001D5446" w:rsidRPr="00E9787E" w:rsidRDefault="00B25098" w:rsidP="004F7A2F">
            <w:pPr>
              <w:spacing w:after="0" w:line="240" w:lineRule="auto"/>
              <w:jc w:val="right"/>
              <w:rPr>
                <w:rFonts w:ascii="Times New Roman" w:eastAsia="Times New Roman" w:hAnsi="Times New Roman" w:cs="Times New Roman"/>
                <w:sz w:val="26"/>
                <w:szCs w:val="26"/>
              </w:rPr>
            </w:pPr>
            <w:r w:rsidRPr="00E9787E">
              <w:rPr>
                <w:rFonts w:ascii="Times New Roman" w:eastAsia="Times New Roman" w:hAnsi="Times New Roman" w:cs="Times New Roman"/>
                <w:sz w:val="26"/>
                <w:szCs w:val="26"/>
              </w:rPr>
              <w:t>970</w:t>
            </w:r>
          </w:p>
        </w:tc>
        <w:tc>
          <w:tcPr>
            <w:tcW w:w="1440" w:type="dxa"/>
            <w:vAlign w:val="bottom"/>
          </w:tcPr>
          <w:p w:rsidR="001D5446" w:rsidRPr="00E9787E" w:rsidRDefault="001D5446" w:rsidP="00E9787E">
            <w:pPr>
              <w:spacing w:after="0" w:line="240" w:lineRule="auto"/>
              <w:jc w:val="right"/>
              <w:rPr>
                <w:rFonts w:ascii="Times New Roman" w:eastAsia="Times New Roman" w:hAnsi="Times New Roman" w:cs="Times New Roman"/>
                <w:i/>
                <w:sz w:val="26"/>
                <w:szCs w:val="26"/>
              </w:rPr>
            </w:pPr>
          </w:p>
        </w:tc>
        <w:tc>
          <w:tcPr>
            <w:tcW w:w="1620" w:type="dxa"/>
            <w:vAlign w:val="bottom"/>
          </w:tcPr>
          <w:p w:rsidR="001D5446" w:rsidRPr="00E9787E" w:rsidRDefault="001D5446" w:rsidP="00E9787E">
            <w:pPr>
              <w:spacing w:after="0" w:line="240" w:lineRule="auto"/>
              <w:jc w:val="right"/>
              <w:rPr>
                <w:rFonts w:ascii="Times New Roman" w:hAnsi="Times New Roman" w:cs="Times New Roman"/>
                <w:b/>
                <w:sz w:val="26"/>
                <w:szCs w:val="26"/>
              </w:rPr>
            </w:pPr>
            <w:r w:rsidRPr="00E9787E">
              <w:rPr>
                <w:rFonts w:ascii="Times New Roman" w:hAnsi="Times New Roman" w:cs="Times New Roman"/>
                <w:b/>
                <w:sz w:val="26"/>
                <w:szCs w:val="26"/>
              </w:rPr>
              <w:t>8,649.4 hrs.;</w:t>
            </w:r>
          </w:p>
          <w:p w:rsidR="001D5446" w:rsidRPr="00E9787E" w:rsidRDefault="001D5446" w:rsidP="00E9787E">
            <w:pPr>
              <w:spacing w:after="0" w:line="240" w:lineRule="auto"/>
              <w:jc w:val="right"/>
              <w:rPr>
                <w:rFonts w:ascii="Times New Roman" w:hAnsi="Times New Roman" w:cs="Times New Roman"/>
                <w:b/>
                <w:sz w:val="26"/>
                <w:szCs w:val="26"/>
              </w:rPr>
            </w:pPr>
            <w:r w:rsidRPr="00E9787E">
              <w:rPr>
                <w:rFonts w:ascii="Times New Roman" w:hAnsi="Times New Roman" w:cs="Times New Roman"/>
                <w:b/>
                <w:sz w:val="26"/>
                <w:szCs w:val="26"/>
              </w:rPr>
              <w:t>$618,770.79</w:t>
            </w:r>
          </w:p>
        </w:tc>
        <w:tc>
          <w:tcPr>
            <w:tcW w:w="1170" w:type="dxa"/>
            <w:vAlign w:val="bottom"/>
          </w:tcPr>
          <w:p w:rsidR="001D5446" w:rsidRPr="00E9787E" w:rsidRDefault="001D5446" w:rsidP="00E9787E">
            <w:pPr>
              <w:spacing w:after="0" w:line="240" w:lineRule="auto"/>
              <w:jc w:val="right"/>
              <w:rPr>
                <w:rFonts w:ascii="Times New Roman" w:hAnsi="Times New Roman" w:cs="Times New Roman"/>
                <w:sz w:val="26"/>
                <w:szCs w:val="26"/>
              </w:rPr>
            </w:pPr>
          </w:p>
        </w:tc>
      </w:tr>
    </w:tbl>
    <w:p w:rsidR="00DA737C" w:rsidRPr="00E9787E" w:rsidRDefault="00DA737C" w:rsidP="00E9787E">
      <w:pPr>
        <w:spacing w:after="0" w:line="240" w:lineRule="auto"/>
        <w:jc w:val="both"/>
        <w:rPr>
          <w:rFonts w:ascii="Times New Roman" w:hAnsi="Times New Roman" w:cs="Times New Roman"/>
          <w:sz w:val="26"/>
          <w:szCs w:val="26"/>
        </w:rPr>
      </w:pPr>
    </w:p>
    <w:p w:rsidR="00DA737C" w:rsidRPr="00E9787E" w:rsidRDefault="00DA737C" w:rsidP="00E9787E">
      <w:pPr>
        <w:pStyle w:val="ListParagraph"/>
        <w:numPr>
          <w:ilvl w:val="0"/>
          <w:numId w:val="1"/>
        </w:numPr>
        <w:spacing w:after="0" w:line="240" w:lineRule="auto"/>
        <w:rPr>
          <w:rFonts w:ascii="Times New Roman" w:hAnsi="Times New Roman" w:cs="Times New Roman"/>
          <w:b/>
          <w:sz w:val="26"/>
          <w:szCs w:val="26"/>
        </w:rPr>
      </w:pPr>
      <w:r w:rsidRPr="00E9787E">
        <w:rPr>
          <w:rFonts w:ascii="Times New Roman" w:hAnsi="Times New Roman" w:cs="Times New Roman"/>
          <w:b/>
          <w:sz w:val="26"/>
          <w:szCs w:val="26"/>
        </w:rPr>
        <w:t>ESTIMATE OF THE TOTAL ANNUAL COST BURDEN TO RESPONDENTS</w:t>
      </w:r>
    </w:p>
    <w:p w:rsidR="00DA737C" w:rsidRPr="00E9787E" w:rsidRDefault="00DA737C" w:rsidP="00E9787E">
      <w:pPr>
        <w:spacing w:after="0" w:line="240" w:lineRule="auto"/>
        <w:rPr>
          <w:rFonts w:ascii="Times New Roman" w:hAnsi="Times New Roman" w:cs="Times New Roman"/>
          <w:sz w:val="26"/>
          <w:szCs w:val="26"/>
        </w:rPr>
      </w:pPr>
    </w:p>
    <w:p w:rsidR="00C64BFE" w:rsidRPr="00E9787E" w:rsidRDefault="00C64BFE" w:rsidP="00E9787E">
      <w:pPr>
        <w:spacing w:after="0" w:line="240" w:lineRule="auto"/>
        <w:rPr>
          <w:rFonts w:ascii="Times New Roman" w:eastAsia="Calibri" w:hAnsi="Times New Roman" w:cs="Times New Roman"/>
          <w:sz w:val="26"/>
          <w:szCs w:val="26"/>
        </w:rPr>
      </w:pPr>
      <w:r w:rsidRPr="00E9787E">
        <w:rPr>
          <w:rFonts w:ascii="Times New Roman" w:eastAsia="Calibri" w:hAnsi="Times New Roman" w:cs="Times New Roman"/>
          <w:sz w:val="26"/>
          <w:szCs w:val="26"/>
        </w:rPr>
        <w:t>All of the costs in th</w:t>
      </w:r>
      <w:r w:rsidR="00EB1E46">
        <w:rPr>
          <w:rFonts w:ascii="Times New Roman" w:eastAsia="Calibri" w:hAnsi="Times New Roman" w:cs="Times New Roman"/>
          <w:sz w:val="26"/>
          <w:szCs w:val="26"/>
        </w:rPr>
        <w:t>is consolidation</w:t>
      </w:r>
      <w:r w:rsidRPr="00E9787E">
        <w:rPr>
          <w:rFonts w:ascii="Times New Roman" w:eastAsia="Calibri" w:hAnsi="Times New Roman" w:cs="Times New Roman"/>
          <w:sz w:val="26"/>
          <w:szCs w:val="26"/>
        </w:rPr>
        <w:t xml:space="preserve"> are associated with burden hours (labor) and described in #12 and #15.</w:t>
      </w:r>
    </w:p>
    <w:p w:rsidR="00DA737C" w:rsidRPr="00E9787E" w:rsidRDefault="00DA737C" w:rsidP="00E9787E">
      <w:pPr>
        <w:spacing w:after="0" w:line="240" w:lineRule="auto"/>
        <w:rPr>
          <w:rFonts w:ascii="Times New Roman" w:hAnsi="Times New Roman" w:cs="Times New Roman"/>
          <w:sz w:val="26"/>
          <w:szCs w:val="26"/>
        </w:rPr>
      </w:pPr>
    </w:p>
    <w:p w:rsidR="00DA737C" w:rsidRPr="00E9787E" w:rsidRDefault="00DA737C" w:rsidP="00E9787E">
      <w:pPr>
        <w:pStyle w:val="ListParagraph"/>
        <w:numPr>
          <w:ilvl w:val="0"/>
          <w:numId w:val="1"/>
        </w:numPr>
        <w:spacing w:after="0" w:line="240" w:lineRule="auto"/>
        <w:rPr>
          <w:rFonts w:ascii="Times New Roman" w:hAnsi="Times New Roman" w:cs="Times New Roman"/>
          <w:b/>
          <w:sz w:val="26"/>
          <w:szCs w:val="26"/>
        </w:rPr>
      </w:pPr>
      <w:r w:rsidRPr="00E9787E">
        <w:rPr>
          <w:rFonts w:ascii="Times New Roman" w:hAnsi="Times New Roman" w:cs="Times New Roman"/>
          <w:b/>
          <w:sz w:val="26"/>
          <w:szCs w:val="26"/>
        </w:rPr>
        <w:t>ESTIMATED ANNUALIZED COST TO FEDERAL GOVERNMENT</w:t>
      </w:r>
    </w:p>
    <w:p w:rsidR="00DA737C" w:rsidRPr="00E9787E" w:rsidRDefault="00DA737C" w:rsidP="00E9787E">
      <w:pPr>
        <w:spacing w:after="0" w:line="240" w:lineRule="auto"/>
        <w:rPr>
          <w:rFonts w:ascii="Times New Roman" w:hAnsi="Times New Roman" w:cs="Times New Roman"/>
          <w:sz w:val="26"/>
          <w:szCs w:val="26"/>
        </w:rPr>
      </w:pPr>
    </w:p>
    <w:p w:rsidR="009A3F19" w:rsidRPr="00E9787E" w:rsidRDefault="009A3F19"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 xml:space="preserve">The Regional Entities and NERC do most of the data processing, monitoring, auditing, and compliance work for Reliability Standards.  Any involvement by the Commission is covered under the FERC-725 (OMB Control No. 1902-0255) and is not part of this request or package. </w:t>
      </w:r>
    </w:p>
    <w:p w:rsidR="009A3F19" w:rsidRPr="00E9787E" w:rsidRDefault="009A3F19" w:rsidP="00E9787E">
      <w:pPr>
        <w:spacing w:after="0" w:line="240" w:lineRule="auto"/>
        <w:rPr>
          <w:rFonts w:ascii="Times New Roman" w:hAnsi="Times New Roman" w:cs="Times New Roman"/>
          <w:sz w:val="26"/>
          <w:szCs w:val="26"/>
        </w:rPr>
      </w:pPr>
    </w:p>
    <w:p w:rsidR="009A3F19" w:rsidRPr="00E9787E" w:rsidRDefault="009A3F19"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 xml:space="preserve">The Commission does incur the costs associated with obtaining OMB clearance for </w:t>
      </w:r>
      <w:r w:rsidR="00EB1E46">
        <w:rPr>
          <w:rFonts w:ascii="Times New Roman" w:hAnsi="Times New Roman" w:cs="Times New Roman"/>
          <w:sz w:val="26"/>
          <w:szCs w:val="26"/>
        </w:rPr>
        <w:t>this</w:t>
      </w:r>
      <w:r w:rsidR="00712C55">
        <w:rPr>
          <w:rFonts w:ascii="Times New Roman" w:hAnsi="Times New Roman" w:cs="Times New Roman"/>
          <w:sz w:val="26"/>
          <w:szCs w:val="26"/>
        </w:rPr>
        <w:t xml:space="preserve"> </w:t>
      </w:r>
      <w:r w:rsidRPr="00E9787E">
        <w:rPr>
          <w:rFonts w:ascii="Times New Roman" w:hAnsi="Times New Roman" w:cs="Times New Roman"/>
          <w:sz w:val="26"/>
          <w:szCs w:val="26"/>
        </w:rPr>
        <w:t xml:space="preserve">collection under the Paperwork Reduction Act of 1995 (PRA).  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  </w:t>
      </w:r>
      <w:r w:rsidR="00DA737C" w:rsidRPr="00E9787E">
        <w:rPr>
          <w:rFonts w:ascii="Times New Roman" w:hAnsi="Times New Roman" w:cs="Times New Roman"/>
          <w:sz w:val="26"/>
          <w:szCs w:val="26"/>
        </w:rPr>
        <w:t xml:space="preserve">The </w:t>
      </w:r>
      <w:r w:rsidR="00363D7B" w:rsidRPr="00E9787E">
        <w:rPr>
          <w:rFonts w:ascii="Times New Roman" w:hAnsi="Times New Roman" w:cs="Times New Roman"/>
          <w:sz w:val="26"/>
          <w:szCs w:val="26"/>
        </w:rPr>
        <w:t xml:space="preserve">following table contains the </w:t>
      </w:r>
      <w:r w:rsidR="00DA737C" w:rsidRPr="00E9787E">
        <w:rPr>
          <w:rFonts w:ascii="Times New Roman" w:hAnsi="Times New Roman" w:cs="Times New Roman"/>
          <w:sz w:val="26"/>
          <w:szCs w:val="26"/>
        </w:rPr>
        <w:t xml:space="preserve">annualized cost to the Federal Government for FERC-725E </w:t>
      </w:r>
    </w:p>
    <w:p w:rsidR="00DA737C" w:rsidRPr="00E9787E" w:rsidRDefault="00DA737C" w:rsidP="00E9787E">
      <w:pPr>
        <w:spacing w:after="0" w:line="240"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DA737C" w:rsidRPr="00E9787E" w:rsidTr="001D5446">
        <w:tc>
          <w:tcPr>
            <w:tcW w:w="3182" w:type="dxa"/>
            <w:tcBorders>
              <w:top w:val="single" w:sz="4" w:space="0" w:color="auto"/>
              <w:left w:val="single" w:sz="4" w:space="0" w:color="auto"/>
              <w:bottom w:val="single" w:sz="4" w:space="0" w:color="auto"/>
              <w:right w:val="single" w:sz="4" w:space="0" w:color="auto"/>
            </w:tcBorders>
            <w:shd w:val="clear" w:color="auto" w:fill="CCCCCC"/>
          </w:tcPr>
          <w:p w:rsidR="00DA737C" w:rsidRPr="00E9787E" w:rsidRDefault="00DA737C" w:rsidP="00E9787E">
            <w:pPr>
              <w:spacing w:after="0" w:line="240" w:lineRule="auto"/>
              <w:rPr>
                <w:rFonts w:ascii="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DA737C" w:rsidRPr="00E9787E" w:rsidRDefault="00DA737C" w:rsidP="00E9787E">
            <w:pPr>
              <w:spacing w:after="0" w:line="240" w:lineRule="auto"/>
              <w:rPr>
                <w:rFonts w:ascii="Times New Roman" w:hAnsi="Times New Roman" w:cs="Times New Roman"/>
                <w:b/>
                <w:sz w:val="26"/>
                <w:szCs w:val="26"/>
              </w:rPr>
            </w:pPr>
            <w:r w:rsidRPr="00E9787E">
              <w:rPr>
                <w:rFonts w:ascii="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DA737C" w:rsidRPr="00E9787E" w:rsidRDefault="00DA737C" w:rsidP="00E9787E">
            <w:pPr>
              <w:spacing w:after="0" w:line="240" w:lineRule="auto"/>
              <w:rPr>
                <w:rFonts w:ascii="Times New Roman" w:hAnsi="Times New Roman" w:cs="Times New Roman"/>
                <w:b/>
                <w:sz w:val="26"/>
                <w:szCs w:val="26"/>
              </w:rPr>
            </w:pPr>
            <w:r w:rsidRPr="00E9787E">
              <w:rPr>
                <w:rFonts w:ascii="Times New Roman" w:hAnsi="Times New Roman" w:cs="Times New Roman"/>
                <w:b/>
                <w:sz w:val="26"/>
                <w:szCs w:val="26"/>
              </w:rPr>
              <w:t>Estimated Annual Federal Cost</w:t>
            </w:r>
          </w:p>
        </w:tc>
      </w:tr>
      <w:tr w:rsidR="00DA737C" w:rsidRPr="00E9787E" w:rsidTr="001D5446">
        <w:tc>
          <w:tcPr>
            <w:tcW w:w="3182" w:type="dxa"/>
            <w:tcBorders>
              <w:top w:val="single" w:sz="4" w:space="0" w:color="auto"/>
              <w:left w:val="single" w:sz="4" w:space="0" w:color="auto"/>
              <w:bottom w:val="single" w:sz="4" w:space="0" w:color="auto"/>
              <w:right w:val="single" w:sz="4" w:space="0" w:color="auto"/>
            </w:tcBorders>
            <w:hideMark/>
          </w:tcPr>
          <w:p w:rsidR="00DA737C" w:rsidRPr="00E9787E" w:rsidRDefault="00DA737C"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 xml:space="preserve">FERC-725E Analysis and Processing of </w:t>
            </w:r>
            <w:r w:rsidR="004B65D1" w:rsidRPr="00E9787E">
              <w:rPr>
                <w:rFonts w:ascii="Times New Roman" w:hAnsi="Times New Roman" w:cs="Times New Roman"/>
                <w:sz w:val="26"/>
                <w:szCs w:val="26"/>
              </w:rPr>
              <w:t xml:space="preserve">Filings </w:t>
            </w:r>
          </w:p>
        </w:tc>
        <w:tc>
          <w:tcPr>
            <w:tcW w:w="3201" w:type="dxa"/>
            <w:tcBorders>
              <w:top w:val="single" w:sz="4" w:space="0" w:color="auto"/>
              <w:left w:val="single" w:sz="4" w:space="0" w:color="auto"/>
              <w:bottom w:val="single" w:sz="4" w:space="0" w:color="auto"/>
              <w:right w:val="single" w:sz="4" w:space="0" w:color="auto"/>
            </w:tcBorders>
            <w:vAlign w:val="bottom"/>
            <w:hideMark/>
          </w:tcPr>
          <w:p w:rsidR="00DA737C" w:rsidRPr="00E9787E" w:rsidRDefault="00B25098"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rsidR="00DA737C" w:rsidRPr="00E9787E" w:rsidRDefault="00B25098"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0</w:t>
            </w:r>
          </w:p>
        </w:tc>
      </w:tr>
      <w:tr w:rsidR="00DA737C" w:rsidRPr="00E9787E" w:rsidTr="001D5446">
        <w:tc>
          <w:tcPr>
            <w:tcW w:w="3182" w:type="dxa"/>
            <w:tcBorders>
              <w:top w:val="single" w:sz="4" w:space="0" w:color="auto"/>
              <w:left w:val="single" w:sz="4" w:space="0" w:color="auto"/>
              <w:bottom w:val="single" w:sz="4" w:space="0" w:color="auto"/>
              <w:right w:val="single" w:sz="4" w:space="0" w:color="auto"/>
            </w:tcBorders>
          </w:tcPr>
          <w:p w:rsidR="00DA737C" w:rsidRPr="00E9787E" w:rsidRDefault="00DA737C"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PRA</w:t>
            </w:r>
            <w:r w:rsidRPr="00E9787E">
              <w:rPr>
                <w:rFonts w:ascii="Times New Roman" w:hAnsi="Times New Roman" w:cs="Times New Roman"/>
                <w:sz w:val="26"/>
                <w:szCs w:val="26"/>
                <w:vertAlign w:val="superscript"/>
              </w:rPr>
              <w:footnoteReference w:id="23"/>
            </w:r>
            <w:r w:rsidRPr="00E9787E">
              <w:rPr>
                <w:rFonts w:ascii="Times New Roman" w:hAnsi="Times New Roman" w:cs="Times New Roman"/>
                <w:sz w:val="26"/>
                <w:szCs w:val="26"/>
              </w:rPr>
              <w:t xml:space="preserve"> Administrative Cost</w:t>
            </w:r>
            <w:r w:rsidRPr="00E9787E">
              <w:rPr>
                <w:rStyle w:val="FootnoteReference"/>
                <w:rFonts w:ascii="Times New Roman" w:hAnsi="Times New Roman" w:cs="Times New Roman"/>
                <w:sz w:val="26"/>
                <w:szCs w:val="26"/>
                <w:vertAlign w:val="superscript"/>
              </w:rPr>
              <w:footnoteReference w:id="24"/>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rsidR="00DA737C" w:rsidRPr="00E9787E" w:rsidRDefault="00DA737C" w:rsidP="00E9787E">
            <w:pPr>
              <w:spacing w:after="0" w:line="240" w:lineRule="auto"/>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tcPr>
          <w:p w:rsidR="00DA737C" w:rsidRPr="00E9787E" w:rsidRDefault="00DA737C"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 xml:space="preserve">$5,723 </w:t>
            </w:r>
          </w:p>
        </w:tc>
      </w:tr>
      <w:tr w:rsidR="00DA737C" w:rsidRPr="00E9787E" w:rsidTr="001D5446">
        <w:tc>
          <w:tcPr>
            <w:tcW w:w="3182" w:type="dxa"/>
            <w:tcBorders>
              <w:top w:val="single" w:sz="4" w:space="0" w:color="auto"/>
              <w:left w:val="single" w:sz="4" w:space="0" w:color="auto"/>
              <w:bottom w:val="single" w:sz="4" w:space="0" w:color="auto"/>
              <w:right w:val="single" w:sz="4" w:space="0" w:color="auto"/>
            </w:tcBorders>
            <w:hideMark/>
          </w:tcPr>
          <w:p w:rsidR="00DA737C" w:rsidRPr="00E9787E" w:rsidRDefault="00DA737C" w:rsidP="00E9787E">
            <w:pPr>
              <w:spacing w:after="0" w:line="240" w:lineRule="auto"/>
              <w:rPr>
                <w:rFonts w:ascii="Times New Roman" w:hAnsi="Times New Roman" w:cs="Times New Roman"/>
                <w:sz w:val="26"/>
                <w:szCs w:val="26"/>
              </w:rPr>
            </w:pPr>
            <w:r w:rsidRPr="00E9787E">
              <w:rPr>
                <w:rFonts w:ascii="Times New Roman" w:hAnsi="Times New Roman" w:cs="Times New Roman"/>
                <w:b/>
                <w:sz w:val="26"/>
                <w:szCs w:val="26"/>
              </w:rPr>
              <w:t>FERC Total</w:t>
            </w:r>
          </w:p>
        </w:tc>
        <w:tc>
          <w:tcPr>
            <w:tcW w:w="3201" w:type="dxa"/>
            <w:tcBorders>
              <w:top w:val="single" w:sz="4" w:space="0" w:color="auto"/>
              <w:left w:val="single" w:sz="4" w:space="0" w:color="auto"/>
              <w:bottom w:val="single" w:sz="4" w:space="0" w:color="auto"/>
              <w:right w:val="single" w:sz="4" w:space="0" w:color="auto"/>
            </w:tcBorders>
            <w:vAlign w:val="center"/>
          </w:tcPr>
          <w:p w:rsidR="00DA737C" w:rsidRPr="00E9787E" w:rsidRDefault="00DA737C" w:rsidP="00E9787E">
            <w:pPr>
              <w:spacing w:after="0" w:line="240" w:lineRule="auto"/>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DA737C" w:rsidRPr="00E9787E" w:rsidRDefault="00C64BFE"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w:t>
            </w:r>
            <w:r w:rsidR="009F5A2C" w:rsidRPr="00E9787E">
              <w:rPr>
                <w:rFonts w:ascii="Times New Roman" w:hAnsi="Times New Roman" w:cs="Times New Roman"/>
                <w:sz w:val="26"/>
                <w:szCs w:val="26"/>
              </w:rPr>
              <w:t>5,723</w:t>
            </w:r>
          </w:p>
        </w:tc>
      </w:tr>
    </w:tbl>
    <w:p w:rsidR="00DA737C" w:rsidRPr="00E9787E" w:rsidRDefault="00DA737C" w:rsidP="00E9787E">
      <w:pPr>
        <w:spacing w:after="0" w:line="240" w:lineRule="auto"/>
        <w:rPr>
          <w:rFonts w:ascii="Times New Roman" w:hAnsi="Times New Roman" w:cs="Times New Roman"/>
          <w:sz w:val="26"/>
          <w:szCs w:val="26"/>
        </w:rPr>
      </w:pPr>
    </w:p>
    <w:p w:rsidR="00DA737C" w:rsidRPr="00E9787E" w:rsidRDefault="00DA737C" w:rsidP="00E9787E">
      <w:pPr>
        <w:pStyle w:val="ListParagraph"/>
        <w:numPr>
          <w:ilvl w:val="0"/>
          <w:numId w:val="1"/>
        </w:numPr>
        <w:spacing w:after="0" w:line="240" w:lineRule="auto"/>
        <w:rPr>
          <w:rFonts w:ascii="Times New Roman" w:hAnsi="Times New Roman" w:cs="Times New Roman"/>
          <w:b/>
          <w:sz w:val="26"/>
          <w:szCs w:val="26"/>
        </w:rPr>
      </w:pPr>
      <w:r w:rsidRPr="00E9787E">
        <w:rPr>
          <w:rFonts w:ascii="Times New Roman" w:hAnsi="Times New Roman" w:cs="Times New Roman"/>
          <w:b/>
          <w:sz w:val="26"/>
          <w:szCs w:val="26"/>
        </w:rPr>
        <w:t>REASONS FOR CHANGES IN BURDEN INCLUDING THE NEED FOR ANY INCREASE</w:t>
      </w:r>
    </w:p>
    <w:p w:rsidR="00141744" w:rsidRPr="00E9787E" w:rsidRDefault="00141744" w:rsidP="00E9787E">
      <w:pPr>
        <w:spacing w:after="0" w:line="240" w:lineRule="auto"/>
        <w:rPr>
          <w:rFonts w:ascii="Times New Roman" w:hAnsi="Times New Roman" w:cs="Times New Roman"/>
          <w:sz w:val="26"/>
          <w:szCs w:val="26"/>
        </w:rPr>
      </w:pPr>
    </w:p>
    <w:p w:rsidR="00363D7B" w:rsidRDefault="00DC74A3" w:rsidP="00E9787E">
      <w:pPr>
        <w:spacing w:after="0" w:line="240" w:lineRule="auto"/>
        <w:rPr>
          <w:rFonts w:ascii="Times New Roman" w:hAnsi="Times New Roman" w:cs="Times New Roman"/>
          <w:sz w:val="26"/>
          <w:szCs w:val="26"/>
        </w:rPr>
      </w:pPr>
      <w:r>
        <w:rPr>
          <w:rFonts w:ascii="Times New Roman" w:hAnsi="Times New Roman" w:cs="Times New Roman"/>
          <w:sz w:val="26"/>
          <w:szCs w:val="26"/>
        </w:rPr>
        <w:t>The reason for the changes in burden are due to the retirement of regional Reliability Standard TOP-007-WECC-1a and the retirement of VAR-501-WECC-2</w:t>
      </w:r>
      <w:r w:rsidR="001535BD">
        <w:rPr>
          <w:rFonts w:ascii="Times New Roman" w:hAnsi="Times New Roman" w:cs="Times New Roman"/>
          <w:sz w:val="26"/>
          <w:szCs w:val="26"/>
        </w:rPr>
        <w:t xml:space="preserve"> and the approval of VAR-501-WECC-3</w:t>
      </w:r>
      <w:r>
        <w:rPr>
          <w:rFonts w:ascii="Times New Roman" w:hAnsi="Times New Roman" w:cs="Times New Roman"/>
          <w:sz w:val="26"/>
          <w:szCs w:val="26"/>
        </w:rPr>
        <w:t xml:space="preserve">.   </w:t>
      </w:r>
      <w:r w:rsidR="00B5660E" w:rsidRPr="00E9787E">
        <w:rPr>
          <w:rFonts w:ascii="Times New Roman" w:hAnsi="Times New Roman" w:cs="Times New Roman"/>
          <w:sz w:val="26"/>
          <w:szCs w:val="26"/>
        </w:rPr>
        <w:t>The table below describes the new and continuing information collection requirements and the associated burden for FERC-725E.  (The burdens and costs related to TOP-007-WECC-1a and VAR-501-WECC-2 [the standards being retired] are omitted.)</w:t>
      </w:r>
    </w:p>
    <w:p w:rsidR="00525017" w:rsidRDefault="00525017" w:rsidP="00E9787E">
      <w:pPr>
        <w:spacing w:after="0" w:line="240" w:lineRule="auto"/>
        <w:rPr>
          <w:rFonts w:ascii="Times New Roman" w:hAnsi="Times New Roman" w:cs="Times New Roman"/>
          <w:sz w:val="26"/>
          <w:szCs w:val="26"/>
        </w:rPr>
      </w:pPr>
    </w:p>
    <w:p w:rsidR="00525017" w:rsidRPr="00E9787E" w:rsidRDefault="00525017" w:rsidP="00E9787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Commission is also removing 36 one-time burden hours associated with the requirements in Docket No. RM13-13.  The one-time burden has been completed and will now be administratively removed on submittal to OMB.  </w:t>
      </w:r>
    </w:p>
    <w:p w:rsidR="00DA737C" w:rsidRPr="00E9787E" w:rsidRDefault="00DA737C" w:rsidP="00E9787E">
      <w:pPr>
        <w:spacing w:after="0" w:line="240" w:lineRule="auto"/>
        <w:rPr>
          <w:rFonts w:ascii="Times New Roman" w:hAnsi="Times New Roman" w:cs="Times New Roman"/>
          <w:sz w:val="26"/>
          <w:szCs w:val="26"/>
        </w:rPr>
      </w:pPr>
    </w:p>
    <w:p w:rsidR="00975EBD" w:rsidRPr="00E9787E" w:rsidRDefault="00DA737C"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 xml:space="preserve">The annual responses and annual burden </w:t>
      </w:r>
      <w:r w:rsidR="009B7FB5">
        <w:rPr>
          <w:rFonts w:ascii="Times New Roman" w:hAnsi="Times New Roman" w:cs="Times New Roman"/>
          <w:sz w:val="26"/>
          <w:szCs w:val="26"/>
        </w:rPr>
        <w:t>in the current OMB-approved inventory is</w:t>
      </w:r>
      <w:r w:rsidR="00A12421" w:rsidRPr="00E9787E">
        <w:rPr>
          <w:rFonts w:ascii="Times New Roman" w:hAnsi="Times New Roman" w:cs="Times New Roman"/>
          <w:sz w:val="26"/>
          <w:szCs w:val="26"/>
        </w:rPr>
        <w:t xml:space="preserve"> </w:t>
      </w:r>
      <w:r w:rsidR="001D3D61" w:rsidRPr="00E9787E">
        <w:rPr>
          <w:rFonts w:ascii="Times New Roman" w:hAnsi="Times New Roman" w:cs="Times New Roman"/>
          <w:sz w:val="26"/>
          <w:szCs w:val="26"/>
        </w:rPr>
        <w:t>688</w:t>
      </w:r>
      <w:r w:rsidRPr="00E9787E">
        <w:rPr>
          <w:rFonts w:ascii="Times New Roman" w:hAnsi="Times New Roman" w:cs="Times New Roman"/>
          <w:sz w:val="26"/>
          <w:szCs w:val="26"/>
        </w:rPr>
        <w:t xml:space="preserve"> </w:t>
      </w:r>
      <w:r w:rsidR="009B7FB5">
        <w:rPr>
          <w:rFonts w:ascii="Times New Roman" w:hAnsi="Times New Roman" w:cs="Times New Roman"/>
          <w:sz w:val="26"/>
          <w:szCs w:val="26"/>
        </w:rPr>
        <w:t xml:space="preserve">responses </w:t>
      </w:r>
      <w:r w:rsidRPr="00E9787E">
        <w:rPr>
          <w:rFonts w:ascii="Times New Roman" w:hAnsi="Times New Roman" w:cs="Times New Roman"/>
          <w:sz w:val="26"/>
          <w:szCs w:val="26"/>
        </w:rPr>
        <w:t xml:space="preserve">and </w:t>
      </w:r>
      <w:r w:rsidR="001D3D61" w:rsidRPr="00E9787E">
        <w:rPr>
          <w:rFonts w:ascii="Times New Roman" w:hAnsi="Times New Roman" w:cs="Times New Roman"/>
          <w:sz w:val="26"/>
          <w:szCs w:val="26"/>
        </w:rPr>
        <w:t>9,033</w:t>
      </w:r>
      <w:r w:rsidR="009B7FB5">
        <w:rPr>
          <w:rFonts w:ascii="Times New Roman" w:hAnsi="Times New Roman" w:cs="Times New Roman"/>
          <w:sz w:val="26"/>
          <w:szCs w:val="26"/>
        </w:rPr>
        <w:t xml:space="preserve"> hours</w:t>
      </w:r>
      <w:r w:rsidRPr="00E9787E">
        <w:rPr>
          <w:rFonts w:ascii="Times New Roman" w:hAnsi="Times New Roman" w:cs="Times New Roman"/>
          <w:sz w:val="26"/>
          <w:szCs w:val="26"/>
        </w:rPr>
        <w:t xml:space="preserve"> respectively.  </w:t>
      </w:r>
      <w:r w:rsidR="00B25098" w:rsidRPr="00E9787E">
        <w:rPr>
          <w:rFonts w:ascii="Times New Roman" w:hAnsi="Times New Roman" w:cs="Times New Roman"/>
          <w:sz w:val="26"/>
          <w:szCs w:val="26"/>
        </w:rPr>
        <w:t>The estimates are the average total number of annual responses</w:t>
      </w:r>
      <w:r w:rsidR="009C1D12">
        <w:rPr>
          <w:rFonts w:ascii="Times New Roman" w:hAnsi="Times New Roman" w:cs="Times New Roman"/>
          <w:sz w:val="26"/>
          <w:szCs w:val="26"/>
        </w:rPr>
        <w:t xml:space="preserve"> and corresponding burden hours</w:t>
      </w:r>
      <w:r w:rsidR="00B25098" w:rsidRPr="00E9787E">
        <w:rPr>
          <w:rFonts w:ascii="Times New Roman" w:hAnsi="Times New Roman" w:cs="Times New Roman"/>
          <w:sz w:val="26"/>
          <w:szCs w:val="26"/>
        </w:rPr>
        <w:t xml:space="preserve"> for year</w:t>
      </w:r>
      <w:r w:rsidR="00A12421" w:rsidRPr="00E9787E">
        <w:rPr>
          <w:rFonts w:ascii="Times New Roman" w:hAnsi="Times New Roman" w:cs="Times New Roman"/>
          <w:sz w:val="26"/>
          <w:szCs w:val="26"/>
        </w:rPr>
        <w:t>s</w:t>
      </w:r>
      <w:r w:rsidR="00B25098" w:rsidRPr="00E9787E">
        <w:rPr>
          <w:rFonts w:ascii="Times New Roman" w:hAnsi="Times New Roman" w:cs="Times New Roman"/>
          <w:sz w:val="26"/>
          <w:szCs w:val="26"/>
        </w:rPr>
        <w:t xml:space="preserve"> 1, 2 and </w:t>
      </w:r>
      <w:r w:rsidR="009B7FB5">
        <w:rPr>
          <w:rFonts w:ascii="Times New Roman" w:hAnsi="Times New Roman" w:cs="Times New Roman"/>
          <w:sz w:val="26"/>
          <w:szCs w:val="26"/>
        </w:rPr>
        <w:t>3</w:t>
      </w:r>
      <w:r w:rsidR="00B25098" w:rsidRPr="00E9787E">
        <w:rPr>
          <w:rFonts w:ascii="Times New Roman" w:hAnsi="Times New Roman" w:cs="Times New Roman"/>
          <w:sz w:val="26"/>
          <w:szCs w:val="26"/>
        </w:rPr>
        <w:t>, divided by three</w:t>
      </w:r>
      <w:r w:rsidR="009B7FB5">
        <w:rPr>
          <w:rFonts w:ascii="Times New Roman" w:hAnsi="Times New Roman" w:cs="Times New Roman"/>
          <w:sz w:val="26"/>
          <w:szCs w:val="26"/>
        </w:rPr>
        <w:t>, giving the average annual estimate for Years 1-3</w:t>
      </w:r>
      <w:r w:rsidR="00975EBD" w:rsidRPr="00E9787E">
        <w:rPr>
          <w:rFonts w:ascii="Times New Roman" w:hAnsi="Times New Roman" w:cs="Times New Roman"/>
          <w:sz w:val="26"/>
          <w:szCs w:val="26"/>
        </w:rPr>
        <w:t xml:space="preserve">. </w:t>
      </w:r>
      <w:r w:rsidR="00B25098" w:rsidRPr="00E9787E">
        <w:rPr>
          <w:rFonts w:ascii="Times New Roman" w:hAnsi="Times New Roman" w:cs="Times New Roman"/>
          <w:sz w:val="26"/>
          <w:szCs w:val="26"/>
        </w:rPr>
        <w:t xml:space="preserve">  </w:t>
      </w:r>
    </w:p>
    <w:p w:rsidR="009B7FB5" w:rsidRDefault="009B7FB5" w:rsidP="00E9787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number of responses is </w:t>
      </w:r>
    </w:p>
    <w:p w:rsidR="00975EBD" w:rsidRPr="00E9787E" w:rsidRDefault="009B7FB5" w:rsidP="00CA5B1A">
      <w:pPr>
        <w:spacing w:after="0" w:line="240" w:lineRule="auto"/>
        <w:ind w:left="450"/>
        <w:rPr>
          <w:rFonts w:ascii="Times New Roman" w:hAnsi="Times New Roman" w:cs="Times New Roman"/>
          <w:sz w:val="26"/>
          <w:szCs w:val="26"/>
        </w:rPr>
      </w:pPr>
      <w:r>
        <w:rPr>
          <w:rFonts w:ascii="Times New Roman" w:hAnsi="Times New Roman" w:cs="Times New Roman"/>
          <w:sz w:val="26"/>
          <w:szCs w:val="26"/>
        </w:rPr>
        <w:t>f</w:t>
      </w:r>
      <w:r w:rsidR="00B25098" w:rsidRPr="00E9787E">
        <w:rPr>
          <w:rFonts w:ascii="Times New Roman" w:hAnsi="Times New Roman" w:cs="Times New Roman"/>
          <w:sz w:val="26"/>
          <w:szCs w:val="26"/>
        </w:rPr>
        <w:t xml:space="preserve">or </w:t>
      </w:r>
      <w:r w:rsidR="00975EBD" w:rsidRPr="00E9787E">
        <w:rPr>
          <w:rFonts w:ascii="Times New Roman" w:hAnsi="Times New Roman" w:cs="Times New Roman"/>
          <w:sz w:val="26"/>
          <w:szCs w:val="26"/>
        </w:rPr>
        <w:t xml:space="preserve">reporting </w:t>
      </w:r>
      <w:r w:rsidR="00B25098" w:rsidRPr="00E9787E">
        <w:rPr>
          <w:rFonts w:ascii="Times New Roman" w:hAnsi="Times New Roman" w:cs="Times New Roman"/>
          <w:sz w:val="26"/>
          <w:szCs w:val="26"/>
        </w:rPr>
        <w:t>requirements</w:t>
      </w:r>
    </w:p>
    <w:p w:rsidR="00975EBD" w:rsidRPr="00E9787E" w:rsidRDefault="00B25098" w:rsidP="00E9787E">
      <w:pPr>
        <w:pStyle w:val="ListParagraph"/>
        <w:numPr>
          <w:ilvl w:val="0"/>
          <w:numId w:val="6"/>
        </w:num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1</w:t>
      </w:r>
      <w:r w:rsidR="009B7FB5">
        <w:rPr>
          <w:rFonts w:ascii="Times New Roman" w:hAnsi="Times New Roman" w:cs="Times New Roman"/>
          <w:sz w:val="26"/>
          <w:szCs w:val="26"/>
        </w:rPr>
        <w:t>,</w:t>
      </w:r>
      <w:r w:rsidRPr="00E9787E">
        <w:rPr>
          <w:rFonts w:ascii="Times New Roman" w:hAnsi="Times New Roman" w:cs="Times New Roman"/>
          <w:sz w:val="26"/>
          <w:szCs w:val="26"/>
        </w:rPr>
        <w:t>49</w:t>
      </w:r>
      <w:r w:rsidR="00EB1E46">
        <w:rPr>
          <w:rFonts w:ascii="Times New Roman" w:hAnsi="Times New Roman" w:cs="Times New Roman"/>
          <w:sz w:val="26"/>
          <w:szCs w:val="26"/>
        </w:rPr>
        <w:t>8</w:t>
      </w:r>
      <w:r w:rsidR="00975EBD" w:rsidRPr="00E9787E">
        <w:rPr>
          <w:rFonts w:ascii="Times New Roman" w:hAnsi="Times New Roman" w:cs="Times New Roman"/>
          <w:sz w:val="26"/>
          <w:szCs w:val="26"/>
        </w:rPr>
        <w:t xml:space="preserve"> responses</w:t>
      </w:r>
      <w:r w:rsidRPr="00E9787E">
        <w:rPr>
          <w:rFonts w:ascii="Times New Roman" w:hAnsi="Times New Roman" w:cs="Times New Roman"/>
          <w:sz w:val="26"/>
          <w:szCs w:val="26"/>
        </w:rPr>
        <w:t xml:space="preserve"> for year one, </w:t>
      </w:r>
    </w:p>
    <w:p w:rsidR="00975EBD" w:rsidRPr="00E9787E" w:rsidRDefault="00B25098" w:rsidP="00E9787E">
      <w:pPr>
        <w:pStyle w:val="ListParagraph"/>
        <w:numPr>
          <w:ilvl w:val="0"/>
          <w:numId w:val="6"/>
        </w:num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1</w:t>
      </w:r>
      <w:r w:rsidR="009B7FB5">
        <w:rPr>
          <w:rFonts w:ascii="Times New Roman" w:hAnsi="Times New Roman" w:cs="Times New Roman"/>
          <w:sz w:val="26"/>
          <w:szCs w:val="26"/>
        </w:rPr>
        <w:t>,</w:t>
      </w:r>
      <w:r w:rsidRPr="00E9787E">
        <w:rPr>
          <w:rFonts w:ascii="Times New Roman" w:hAnsi="Times New Roman" w:cs="Times New Roman"/>
          <w:sz w:val="26"/>
          <w:szCs w:val="26"/>
        </w:rPr>
        <w:t>207 for year two</w:t>
      </w:r>
    </w:p>
    <w:p w:rsidR="00975EBD" w:rsidRPr="00E9787E" w:rsidRDefault="00975EBD" w:rsidP="00E9787E">
      <w:pPr>
        <w:pStyle w:val="ListParagraph"/>
        <w:numPr>
          <w:ilvl w:val="0"/>
          <w:numId w:val="6"/>
        </w:num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1</w:t>
      </w:r>
      <w:r w:rsidR="009B7FB5">
        <w:rPr>
          <w:rFonts w:ascii="Times New Roman" w:hAnsi="Times New Roman" w:cs="Times New Roman"/>
          <w:sz w:val="26"/>
          <w:szCs w:val="26"/>
        </w:rPr>
        <w:t>,</w:t>
      </w:r>
      <w:r w:rsidRPr="00E9787E">
        <w:rPr>
          <w:rFonts w:ascii="Times New Roman" w:hAnsi="Times New Roman" w:cs="Times New Roman"/>
          <w:sz w:val="26"/>
          <w:szCs w:val="26"/>
        </w:rPr>
        <w:t xml:space="preserve">207 for year three </w:t>
      </w:r>
    </w:p>
    <w:p w:rsidR="00975EBD" w:rsidRPr="00E9787E" w:rsidRDefault="009B7FB5" w:rsidP="00E9787E">
      <w:pPr>
        <w:pStyle w:val="ListParagraph"/>
        <w:numPr>
          <w:ilvl w:val="0"/>
          <w:numId w:val="6"/>
        </w:numPr>
        <w:spacing w:after="0" w:line="240" w:lineRule="auto"/>
        <w:rPr>
          <w:rFonts w:ascii="Times New Roman" w:hAnsi="Times New Roman" w:cs="Times New Roman"/>
          <w:sz w:val="26"/>
          <w:szCs w:val="26"/>
        </w:rPr>
      </w:pPr>
      <w:r>
        <w:rPr>
          <w:rFonts w:ascii="Times New Roman" w:hAnsi="Times New Roman" w:cs="Times New Roman"/>
          <w:sz w:val="26"/>
          <w:szCs w:val="26"/>
        </w:rPr>
        <w:t>giving an annual average for years 1-3 of</w:t>
      </w:r>
      <w:r w:rsidR="00975EBD" w:rsidRPr="00E9787E">
        <w:rPr>
          <w:rFonts w:ascii="Times New Roman" w:hAnsi="Times New Roman" w:cs="Times New Roman"/>
          <w:sz w:val="26"/>
          <w:szCs w:val="26"/>
        </w:rPr>
        <w:t xml:space="preserve"> 3</w:t>
      </w:r>
      <w:r>
        <w:rPr>
          <w:rFonts w:ascii="Times New Roman" w:hAnsi="Times New Roman" w:cs="Times New Roman"/>
          <w:sz w:val="26"/>
          <w:szCs w:val="26"/>
        </w:rPr>
        <w:t>,</w:t>
      </w:r>
      <w:r w:rsidR="00975EBD" w:rsidRPr="00E9787E">
        <w:rPr>
          <w:rFonts w:ascii="Times New Roman" w:hAnsi="Times New Roman" w:cs="Times New Roman"/>
          <w:sz w:val="26"/>
          <w:szCs w:val="26"/>
        </w:rPr>
        <w:t>91</w:t>
      </w:r>
      <w:r w:rsidR="00712C55">
        <w:rPr>
          <w:rFonts w:ascii="Times New Roman" w:hAnsi="Times New Roman" w:cs="Times New Roman"/>
          <w:sz w:val="26"/>
          <w:szCs w:val="26"/>
        </w:rPr>
        <w:t>2</w:t>
      </w:r>
      <w:r w:rsidR="00975EBD" w:rsidRPr="00E9787E">
        <w:rPr>
          <w:rFonts w:ascii="Times New Roman" w:hAnsi="Times New Roman" w:cs="Times New Roman"/>
          <w:sz w:val="26"/>
          <w:szCs w:val="26"/>
        </w:rPr>
        <w:t>/3</w:t>
      </w:r>
      <w:r>
        <w:rPr>
          <w:rFonts w:ascii="Times New Roman" w:hAnsi="Times New Roman" w:cs="Times New Roman"/>
          <w:sz w:val="26"/>
          <w:szCs w:val="26"/>
        </w:rPr>
        <w:t>, or</w:t>
      </w:r>
      <w:r w:rsidR="00E60942">
        <w:rPr>
          <w:rFonts w:ascii="Times New Roman" w:hAnsi="Times New Roman" w:cs="Times New Roman"/>
          <w:sz w:val="26"/>
          <w:szCs w:val="26"/>
        </w:rPr>
        <w:t xml:space="preserve"> </w:t>
      </w:r>
      <w:r w:rsidR="00975EBD" w:rsidRPr="00E9787E">
        <w:rPr>
          <w:rFonts w:ascii="Times New Roman" w:hAnsi="Times New Roman" w:cs="Times New Roman"/>
          <w:sz w:val="26"/>
          <w:szCs w:val="26"/>
        </w:rPr>
        <w:t>1</w:t>
      </w:r>
      <w:r>
        <w:rPr>
          <w:rFonts w:ascii="Times New Roman" w:hAnsi="Times New Roman" w:cs="Times New Roman"/>
          <w:sz w:val="26"/>
          <w:szCs w:val="26"/>
        </w:rPr>
        <w:t>,</w:t>
      </w:r>
      <w:r w:rsidR="00975EBD" w:rsidRPr="00E9787E">
        <w:rPr>
          <w:rFonts w:ascii="Times New Roman" w:hAnsi="Times New Roman" w:cs="Times New Roman"/>
          <w:sz w:val="26"/>
          <w:szCs w:val="26"/>
        </w:rPr>
        <w:t>304</w:t>
      </w:r>
      <w:r>
        <w:rPr>
          <w:rFonts w:ascii="Times New Roman" w:hAnsi="Times New Roman" w:cs="Times New Roman"/>
          <w:sz w:val="26"/>
          <w:szCs w:val="26"/>
        </w:rPr>
        <w:t xml:space="preserve"> responses</w:t>
      </w:r>
      <w:r w:rsidR="00B25098" w:rsidRPr="00E9787E">
        <w:rPr>
          <w:rFonts w:ascii="Times New Roman" w:hAnsi="Times New Roman" w:cs="Times New Roman"/>
          <w:sz w:val="26"/>
          <w:szCs w:val="26"/>
        </w:rPr>
        <w:t xml:space="preserve">. </w:t>
      </w:r>
    </w:p>
    <w:p w:rsidR="00975EBD" w:rsidRPr="00E9787E" w:rsidRDefault="009B7FB5" w:rsidP="00CA5B1A">
      <w:pPr>
        <w:spacing w:after="0" w:line="240" w:lineRule="auto"/>
        <w:ind w:left="450"/>
        <w:rPr>
          <w:rFonts w:ascii="Times New Roman" w:hAnsi="Times New Roman" w:cs="Times New Roman"/>
          <w:sz w:val="26"/>
          <w:szCs w:val="26"/>
        </w:rPr>
      </w:pPr>
      <w:r>
        <w:rPr>
          <w:rFonts w:ascii="Times New Roman" w:hAnsi="Times New Roman" w:cs="Times New Roman"/>
          <w:sz w:val="26"/>
          <w:szCs w:val="26"/>
        </w:rPr>
        <w:t>f</w:t>
      </w:r>
      <w:r w:rsidR="00B25098" w:rsidRPr="00E9787E">
        <w:rPr>
          <w:rFonts w:ascii="Times New Roman" w:hAnsi="Times New Roman" w:cs="Times New Roman"/>
          <w:sz w:val="26"/>
          <w:szCs w:val="26"/>
        </w:rPr>
        <w:t>or record keeping</w:t>
      </w:r>
      <w:r w:rsidR="00975EBD" w:rsidRPr="00E9787E">
        <w:rPr>
          <w:rFonts w:ascii="Times New Roman" w:hAnsi="Times New Roman" w:cs="Times New Roman"/>
          <w:sz w:val="26"/>
          <w:szCs w:val="26"/>
        </w:rPr>
        <w:t xml:space="preserve"> requirements:</w:t>
      </w:r>
    </w:p>
    <w:p w:rsidR="00975EBD" w:rsidRPr="00E9787E" w:rsidRDefault="00B25098" w:rsidP="00E9787E">
      <w:pPr>
        <w:pStyle w:val="ListParagraph"/>
        <w:numPr>
          <w:ilvl w:val="0"/>
          <w:numId w:val="6"/>
        </w:num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1</w:t>
      </w:r>
      <w:r w:rsidR="00584F2D">
        <w:rPr>
          <w:rFonts w:ascii="Times New Roman" w:hAnsi="Times New Roman" w:cs="Times New Roman"/>
          <w:sz w:val="26"/>
          <w:szCs w:val="26"/>
        </w:rPr>
        <w:t>,</w:t>
      </w:r>
      <w:r w:rsidRPr="00E9787E">
        <w:rPr>
          <w:rFonts w:ascii="Times New Roman" w:hAnsi="Times New Roman" w:cs="Times New Roman"/>
          <w:sz w:val="26"/>
          <w:szCs w:val="26"/>
        </w:rPr>
        <w:t>261 responses</w:t>
      </w:r>
      <w:r w:rsidR="00975EBD" w:rsidRPr="00E9787E">
        <w:rPr>
          <w:rFonts w:ascii="Times New Roman" w:hAnsi="Times New Roman" w:cs="Times New Roman"/>
          <w:sz w:val="26"/>
          <w:szCs w:val="26"/>
        </w:rPr>
        <w:t xml:space="preserve"> for year one</w:t>
      </w:r>
      <w:r w:rsidRPr="00E9787E">
        <w:rPr>
          <w:rFonts w:ascii="Times New Roman" w:hAnsi="Times New Roman" w:cs="Times New Roman"/>
          <w:sz w:val="26"/>
          <w:szCs w:val="26"/>
        </w:rPr>
        <w:t xml:space="preserve">,  </w:t>
      </w:r>
    </w:p>
    <w:p w:rsidR="00975EBD" w:rsidRPr="00E9787E" w:rsidRDefault="00B25098" w:rsidP="00E9787E">
      <w:pPr>
        <w:pStyle w:val="ListParagraph"/>
        <w:numPr>
          <w:ilvl w:val="0"/>
          <w:numId w:val="6"/>
        </w:num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970 response</w:t>
      </w:r>
      <w:r w:rsidR="00584F2D">
        <w:rPr>
          <w:rFonts w:ascii="Times New Roman" w:hAnsi="Times New Roman" w:cs="Times New Roman"/>
          <w:sz w:val="26"/>
          <w:szCs w:val="26"/>
        </w:rPr>
        <w:t>s</w:t>
      </w:r>
      <w:r w:rsidRPr="00E9787E">
        <w:rPr>
          <w:rFonts w:ascii="Times New Roman" w:hAnsi="Times New Roman" w:cs="Times New Roman"/>
          <w:sz w:val="26"/>
          <w:szCs w:val="26"/>
        </w:rPr>
        <w:t xml:space="preserve"> </w:t>
      </w:r>
      <w:r w:rsidR="00975EBD" w:rsidRPr="00E9787E">
        <w:rPr>
          <w:rFonts w:ascii="Times New Roman" w:hAnsi="Times New Roman" w:cs="Times New Roman"/>
          <w:sz w:val="26"/>
          <w:szCs w:val="26"/>
        </w:rPr>
        <w:t>for year two</w:t>
      </w:r>
    </w:p>
    <w:p w:rsidR="00975EBD" w:rsidRPr="00E9787E" w:rsidRDefault="00975EBD" w:rsidP="00E9787E">
      <w:pPr>
        <w:pStyle w:val="ListParagraph"/>
        <w:numPr>
          <w:ilvl w:val="0"/>
          <w:numId w:val="6"/>
        </w:num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970 responses for year three</w:t>
      </w:r>
    </w:p>
    <w:p w:rsidR="006F5765" w:rsidRDefault="00584F2D" w:rsidP="00E9787E">
      <w:pPr>
        <w:pStyle w:val="ListParagraph"/>
        <w:numPr>
          <w:ilvl w:val="0"/>
          <w:numId w:val="6"/>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giving an annual average for Years 1-3 of </w:t>
      </w:r>
      <w:r w:rsidR="00975EBD" w:rsidRPr="00E9787E">
        <w:rPr>
          <w:rFonts w:ascii="Times New Roman" w:hAnsi="Times New Roman" w:cs="Times New Roman"/>
          <w:sz w:val="26"/>
          <w:szCs w:val="26"/>
        </w:rPr>
        <w:t>3</w:t>
      </w:r>
      <w:r w:rsidR="00712C55">
        <w:rPr>
          <w:rFonts w:ascii="Times New Roman" w:hAnsi="Times New Roman" w:cs="Times New Roman"/>
          <w:sz w:val="26"/>
          <w:szCs w:val="26"/>
        </w:rPr>
        <w:t>,</w:t>
      </w:r>
      <w:r w:rsidR="00975EBD" w:rsidRPr="00E9787E">
        <w:rPr>
          <w:rFonts w:ascii="Times New Roman" w:hAnsi="Times New Roman" w:cs="Times New Roman"/>
          <w:sz w:val="26"/>
          <w:szCs w:val="26"/>
        </w:rPr>
        <w:t>201/</w:t>
      </w:r>
      <w:r>
        <w:rPr>
          <w:rFonts w:ascii="Times New Roman" w:hAnsi="Times New Roman" w:cs="Times New Roman"/>
          <w:sz w:val="26"/>
          <w:szCs w:val="26"/>
        </w:rPr>
        <w:t>3, or</w:t>
      </w:r>
      <w:r w:rsidR="00975EBD" w:rsidRPr="00E9787E">
        <w:rPr>
          <w:rFonts w:ascii="Times New Roman" w:hAnsi="Times New Roman" w:cs="Times New Roman"/>
          <w:sz w:val="26"/>
          <w:szCs w:val="26"/>
        </w:rPr>
        <w:t xml:space="preserve"> 1</w:t>
      </w:r>
      <w:r w:rsidR="002D601E">
        <w:rPr>
          <w:rFonts w:ascii="Times New Roman" w:hAnsi="Times New Roman" w:cs="Times New Roman"/>
          <w:sz w:val="26"/>
          <w:szCs w:val="26"/>
        </w:rPr>
        <w:t>,</w:t>
      </w:r>
      <w:r w:rsidR="00975EBD" w:rsidRPr="00E9787E">
        <w:rPr>
          <w:rFonts w:ascii="Times New Roman" w:hAnsi="Times New Roman" w:cs="Times New Roman"/>
          <w:sz w:val="26"/>
          <w:szCs w:val="26"/>
        </w:rPr>
        <w:t xml:space="preserve">067 </w:t>
      </w:r>
      <w:r>
        <w:rPr>
          <w:rFonts w:ascii="Times New Roman" w:hAnsi="Times New Roman" w:cs="Times New Roman"/>
          <w:sz w:val="26"/>
          <w:szCs w:val="26"/>
        </w:rPr>
        <w:t>responses</w:t>
      </w:r>
      <w:r w:rsidR="00141744" w:rsidRPr="00E9787E">
        <w:rPr>
          <w:rFonts w:ascii="Times New Roman" w:hAnsi="Times New Roman" w:cs="Times New Roman"/>
          <w:sz w:val="26"/>
          <w:szCs w:val="26"/>
        </w:rPr>
        <w:t xml:space="preserve"> </w:t>
      </w:r>
    </w:p>
    <w:p w:rsidR="00550861" w:rsidRPr="00CA5B1A" w:rsidRDefault="00584F2D" w:rsidP="00CA5B1A">
      <w:pPr>
        <w:spacing w:after="0" w:line="240" w:lineRule="auto"/>
        <w:rPr>
          <w:rFonts w:ascii="Times New Roman" w:hAnsi="Times New Roman" w:cs="Times New Roman"/>
          <w:sz w:val="26"/>
          <w:szCs w:val="26"/>
        </w:rPr>
      </w:pPr>
      <w:r>
        <w:rPr>
          <w:rFonts w:ascii="Times New Roman" w:hAnsi="Times New Roman" w:cs="Times New Roman"/>
          <w:sz w:val="26"/>
          <w:szCs w:val="26"/>
        </w:rPr>
        <w:t>The number of b</w:t>
      </w:r>
      <w:r w:rsidR="00141744" w:rsidRPr="00CA5B1A">
        <w:rPr>
          <w:rFonts w:ascii="Times New Roman" w:hAnsi="Times New Roman" w:cs="Times New Roman"/>
          <w:sz w:val="26"/>
          <w:szCs w:val="26"/>
        </w:rPr>
        <w:t>urden hours</w:t>
      </w:r>
      <w:r>
        <w:rPr>
          <w:rFonts w:ascii="Times New Roman" w:hAnsi="Times New Roman" w:cs="Times New Roman"/>
          <w:sz w:val="26"/>
          <w:szCs w:val="26"/>
        </w:rPr>
        <w:t xml:space="preserve"> </w:t>
      </w:r>
      <w:r w:rsidR="001B5572">
        <w:rPr>
          <w:rFonts w:ascii="Times New Roman" w:hAnsi="Times New Roman" w:cs="Times New Roman"/>
          <w:sz w:val="26"/>
          <w:szCs w:val="26"/>
        </w:rPr>
        <w:t>(</w:t>
      </w:r>
      <w:r w:rsidR="007074C5">
        <w:rPr>
          <w:rFonts w:ascii="Times New Roman" w:hAnsi="Times New Roman" w:cs="Times New Roman"/>
          <w:sz w:val="26"/>
          <w:szCs w:val="26"/>
        </w:rPr>
        <w:t>including</w:t>
      </w:r>
      <w:r w:rsidR="001B5572">
        <w:rPr>
          <w:rFonts w:ascii="Times New Roman" w:hAnsi="Times New Roman" w:cs="Times New Roman"/>
          <w:sz w:val="26"/>
          <w:szCs w:val="26"/>
        </w:rPr>
        <w:t xml:space="preserve"> both reporting and recordkeeping requirements) </w:t>
      </w:r>
      <w:r>
        <w:rPr>
          <w:rFonts w:ascii="Times New Roman" w:hAnsi="Times New Roman" w:cs="Times New Roman"/>
          <w:sz w:val="26"/>
          <w:szCs w:val="26"/>
        </w:rPr>
        <w:t>is</w:t>
      </w:r>
      <w:r w:rsidR="00550861" w:rsidRPr="00CA5B1A">
        <w:rPr>
          <w:rFonts w:ascii="Times New Roman" w:hAnsi="Times New Roman" w:cs="Times New Roman"/>
          <w:sz w:val="26"/>
          <w:szCs w:val="26"/>
        </w:rPr>
        <w:t>:</w:t>
      </w:r>
    </w:p>
    <w:p w:rsidR="0026159A" w:rsidRPr="00E9787E" w:rsidRDefault="00141744" w:rsidP="00E9787E">
      <w:pPr>
        <w:pStyle w:val="ListParagraph"/>
        <w:numPr>
          <w:ilvl w:val="0"/>
          <w:numId w:val="6"/>
        </w:num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 xml:space="preserve">9,522.4 hours for year 1  </w:t>
      </w:r>
    </w:p>
    <w:p w:rsidR="0026159A" w:rsidRDefault="00141744" w:rsidP="00E9787E">
      <w:pPr>
        <w:pStyle w:val="ListParagraph"/>
        <w:numPr>
          <w:ilvl w:val="0"/>
          <w:numId w:val="6"/>
        </w:num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 xml:space="preserve">8,649.4 hours for year 2 </w:t>
      </w:r>
    </w:p>
    <w:p w:rsidR="00584F2D" w:rsidRPr="00E9787E" w:rsidRDefault="00584F2D" w:rsidP="00584F2D">
      <w:pPr>
        <w:pStyle w:val="ListParagraph"/>
        <w:numPr>
          <w:ilvl w:val="0"/>
          <w:numId w:val="6"/>
        </w:numPr>
        <w:spacing w:after="0" w:line="240" w:lineRule="auto"/>
        <w:rPr>
          <w:rFonts w:ascii="Times New Roman" w:hAnsi="Times New Roman" w:cs="Times New Roman"/>
          <w:sz w:val="26"/>
          <w:szCs w:val="26"/>
        </w:rPr>
      </w:pPr>
      <w:r w:rsidRPr="00584F2D">
        <w:rPr>
          <w:rFonts w:ascii="Times New Roman" w:hAnsi="Times New Roman" w:cs="Times New Roman"/>
          <w:sz w:val="26"/>
          <w:szCs w:val="26"/>
        </w:rPr>
        <w:t xml:space="preserve">8,649.4 hours for year </w:t>
      </w:r>
      <w:r>
        <w:rPr>
          <w:rFonts w:ascii="Times New Roman" w:hAnsi="Times New Roman" w:cs="Times New Roman"/>
          <w:sz w:val="26"/>
          <w:szCs w:val="26"/>
        </w:rPr>
        <w:t>3</w:t>
      </w:r>
    </w:p>
    <w:p w:rsidR="00B25098" w:rsidRPr="00E9787E" w:rsidRDefault="00584F2D" w:rsidP="00584F2D">
      <w:pPr>
        <w:pStyle w:val="ListParagraph"/>
        <w:numPr>
          <w:ilvl w:val="0"/>
          <w:numId w:val="6"/>
        </w:numPr>
        <w:spacing w:after="0" w:line="240" w:lineRule="auto"/>
        <w:rPr>
          <w:rFonts w:ascii="Times New Roman" w:hAnsi="Times New Roman" w:cs="Times New Roman"/>
          <w:sz w:val="26"/>
          <w:szCs w:val="26"/>
        </w:rPr>
      </w:pPr>
      <w:r>
        <w:rPr>
          <w:rFonts w:ascii="Times New Roman" w:hAnsi="Times New Roman" w:cs="Times New Roman"/>
          <w:sz w:val="26"/>
          <w:szCs w:val="26"/>
        </w:rPr>
        <w:t>giving an annual average for Years 1-3 of</w:t>
      </w:r>
      <w:r w:rsidR="00141744" w:rsidRPr="00E9787E">
        <w:rPr>
          <w:rFonts w:ascii="Times New Roman" w:hAnsi="Times New Roman" w:cs="Times New Roman"/>
          <w:sz w:val="26"/>
          <w:szCs w:val="26"/>
        </w:rPr>
        <w:t xml:space="preserve"> </w:t>
      </w:r>
      <w:r>
        <w:rPr>
          <w:rFonts w:ascii="Times New Roman" w:hAnsi="Times New Roman" w:cs="Times New Roman"/>
          <w:sz w:val="26"/>
          <w:szCs w:val="26"/>
        </w:rPr>
        <w:t>26,821.2</w:t>
      </w:r>
      <w:r w:rsidR="00141744" w:rsidRPr="00E9787E">
        <w:rPr>
          <w:rFonts w:ascii="Times New Roman" w:hAnsi="Times New Roman" w:cs="Times New Roman"/>
          <w:sz w:val="26"/>
          <w:szCs w:val="26"/>
        </w:rPr>
        <w:t xml:space="preserve"> hours</w:t>
      </w:r>
      <w:r w:rsidR="0026159A" w:rsidRPr="00E9787E">
        <w:rPr>
          <w:rFonts w:ascii="Times New Roman" w:hAnsi="Times New Roman" w:cs="Times New Roman"/>
          <w:sz w:val="26"/>
          <w:szCs w:val="26"/>
        </w:rPr>
        <w:t>/3</w:t>
      </w:r>
      <w:r>
        <w:rPr>
          <w:rFonts w:ascii="Times New Roman" w:hAnsi="Times New Roman" w:cs="Times New Roman"/>
          <w:sz w:val="26"/>
          <w:szCs w:val="26"/>
        </w:rPr>
        <w:t xml:space="preserve"> or</w:t>
      </w:r>
      <w:r w:rsidR="00141744" w:rsidRPr="00E9787E">
        <w:rPr>
          <w:rFonts w:ascii="Times New Roman" w:hAnsi="Times New Roman" w:cs="Times New Roman"/>
          <w:sz w:val="26"/>
          <w:szCs w:val="26"/>
        </w:rPr>
        <w:t xml:space="preserve"> </w:t>
      </w:r>
      <w:r>
        <w:rPr>
          <w:rFonts w:ascii="Times New Roman" w:hAnsi="Times New Roman" w:cs="Times New Roman"/>
          <w:sz w:val="26"/>
          <w:szCs w:val="26"/>
        </w:rPr>
        <w:t>8,940.4</w:t>
      </w:r>
      <w:r w:rsidR="00141744" w:rsidRPr="00E9787E">
        <w:rPr>
          <w:rFonts w:ascii="Times New Roman" w:hAnsi="Times New Roman" w:cs="Times New Roman"/>
          <w:sz w:val="26"/>
          <w:szCs w:val="26"/>
        </w:rPr>
        <w:t>.</w:t>
      </w:r>
    </w:p>
    <w:p w:rsidR="00DA737C" w:rsidRPr="00E9787E" w:rsidRDefault="00DA737C" w:rsidP="00E9787E">
      <w:pPr>
        <w:spacing w:after="0" w:line="240" w:lineRule="auto"/>
        <w:rPr>
          <w:rFonts w:ascii="Times New Roman" w:hAnsi="Times New Roman" w:cs="Times New Roman"/>
          <w:sz w:val="26"/>
          <w:szCs w:val="26"/>
        </w:rPr>
      </w:pPr>
    </w:p>
    <w:p w:rsidR="00DA737C" w:rsidRPr="00E9787E" w:rsidRDefault="00DA737C" w:rsidP="00E9787E">
      <w:pPr>
        <w:spacing w:after="0" w:line="240" w:lineRule="auto"/>
        <w:rPr>
          <w:rFonts w:ascii="Times New Roman" w:hAnsi="Times New Roman" w:cs="Times New Roman"/>
          <w:sz w:val="26"/>
          <w:szCs w:val="26"/>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DA737C" w:rsidRPr="00E9787E" w:rsidTr="001D5446">
        <w:trPr>
          <w:trHeight w:val="870"/>
        </w:trPr>
        <w:tc>
          <w:tcPr>
            <w:tcW w:w="2589" w:type="dxa"/>
            <w:shd w:val="clear" w:color="auto" w:fill="D9D9D9"/>
            <w:vAlign w:val="bottom"/>
          </w:tcPr>
          <w:p w:rsidR="00DA737C" w:rsidRPr="00E9787E" w:rsidRDefault="00DA737C" w:rsidP="00E9787E">
            <w:pPr>
              <w:spacing w:after="0" w:line="240" w:lineRule="auto"/>
              <w:rPr>
                <w:rFonts w:ascii="Times New Roman" w:hAnsi="Times New Roman" w:cs="Times New Roman"/>
                <w:b/>
                <w:sz w:val="26"/>
                <w:szCs w:val="26"/>
                <w:highlight w:val="yellow"/>
              </w:rPr>
            </w:pPr>
            <w:r w:rsidRPr="00E9787E">
              <w:rPr>
                <w:rFonts w:ascii="Times New Roman" w:hAnsi="Times New Roman" w:cs="Times New Roman"/>
                <w:b/>
                <w:sz w:val="26"/>
                <w:szCs w:val="26"/>
              </w:rPr>
              <w:t>FERC-725</w:t>
            </w:r>
            <w:r w:rsidR="00E57060" w:rsidRPr="00E9787E">
              <w:rPr>
                <w:rFonts w:ascii="Times New Roman" w:hAnsi="Times New Roman" w:cs="Times New Roman"/>
                <w:b/>
                <w:sz w:val="26"/>
                <w:szCs w:val="26"/>
              </w:rPr>
              <w:t>E</w:t>
            </w:r>
          </w:p>
        </w:tc>
        <w:tc>
          <w:tcPr>
            <w:tcW w:w="1779" w:type="dxa"/>
            <w:shd w:val="clear" w:color="auto" w:fill="D9D9D9"/>
            <w:vAlign w:val="bottom"/>
          </w:tcPr>
          <w:p w:rsidR="00DA737C" w:rsidRPr="00E9787E" w:rsidRDefault="00DA737C" w:rsidP="00E9787E">
            <w:pPr>
              <w:spacing w:after="0" w:line="240" w:lineRule="auto"/>
              <w:rPr>
                <w:rFonts w:ascii="Times New Roman" w:hAnsi="Times New Roman" w:cs="Times New Roman"/>
                <w:b/>
                <w:sz w:val="26"/>
                <w:szCs w:val="26"/>
              </w:rPr>
            </w:pPr>
            <w:r w:rsidRPr="00E9787E">
              <w:rPr>
                <w:rFonts w:ascii="Times New Roman" w:hAnsi="Times New Roman" w:cs="Times New Roman"/>
                <w:b/>
                <w:sz w:val="26"/>
                <w:szCs w:val="26"/>
              </w:rPr>
              <w:t>Total Request</w:t>
            </w:r>
          </w:p>
        </w:tc>
        <w:tc>
          <w:tcPr>
            <w:tcW w:w="1959" w:type="dxa"/>
            <w:shd w:val="clear" w:color="auto" w:fill="D9D9D9"/>
            <w:vAlign w:val="bottom"/>
          </w:tcPr>
          <w:p w:rsidR="00DA737C" w:rsidRPr="00E9787E" w:rsidRDefault="00DA737C" w:rsidP="00E9787E">
            <w:pPr>
              <w:spacing w:after="0" w:line="240" w:lineRule="auto"/>
              <w:rPr>
                <w:rFonts w:ascii="Times New Roman" w:hAnsi="Times New Roman" w:cs="Times New Roman"/>
                <w:b/>
                <w:sz w:val="26"/>
                <w:szCs w:val="26"/>
              </w:rPr>
            </w:pPr>
            <w:r w:rsidRPr="00E9787E">
              <w:rPr>
                <w:rFonts w:ascii="Times New Roman" w:hAnsi="Times New Roman" w:cs="Times New Roman"/>
                <w:b/>
                <w:sz w:val="26"/>
                <w:szCs w:val="26"/>
              </w:rPr>
              <w:t>Previously Approved</w:t>
            </w:r>
          </w:p>
        </w:tc>
        <w:tc>
          <w:tcPr>
            <w:tcW w:w="1683" w:type="dxa"/>
            <w:shd w:val="clear" w:color="auto" w:fill="D9D9D9"/>
            <w:vAlign w:val="bottom"/>
          </w:tcPr>
          <w:p w:rsidR="00DA737C" w:rsidRPr="00E9787E" w:rsidRDefault="00DA737C" w:rsidP="00E9787E">
            <w:pPr>
              <w:spacing w:after="0" w:line="240" w:lineRule="auto"/>
              <w:rPr>
                <w:rFonts w:ascii="Times New Roman" w:hAnsi="Times New Roman" w:cs="Times New Roman"/>
                <w:b/>
                <w:sz w:val="26"/>
                <w:szCs w:val="26"/>
              </w:rPr>
            </w:pPr>
            <w:r w:rsidRPr="00E9787E">
              <w:rPr>
                <w:rFonts w:ascii="Times New Roman" w:hAnsi="Times New Roman" w:cs="Times New Roman"/>
                <w:b/>
                <w:sz w:val="26"/>
                <w:szCs w:val="26"/>
              </w:rPr>
              <w:t>Change due to Adjustment in Estimate</w:t>
            </w:r>
          </w:p>
        </w:tc>
        <w:tc>
          <w:tcPr>
            <w:tcW w:w="1357" w:type="dxa"/>
            <w:shd w:val="clear" w:color="auto" w:fill="D9D9D9"/>
            <w:vAlign w:val="bottom"/>
          </w:tcPr>
          <w:p w:rsidR="00DA737C" w:rsidRPr="00E9787E" w:rsidRDefault="00DA737C" w:rsidP="00E9787E">
            <w:pPr>
              <w:spacing w:after="0" w:line="240" w:lineRule="auto"/>
              <w:rPr>
                <w:rFonts w:ascii="Times New Roman" w:hAnsi="Times New Roman" w:cs="Times New Roman"/>
                <w:b/>
                <w:sz w:val="26"/>
                <w:szCs w:val="26"/>
              </w:rPr>
            </w:pPr>
            <w:r w:rsidRPr="00E9787E">
              <w:rPr>
                <w:rFonts w:ascii="Times New Roman" w:hAnsi="Times New Roman" w:cs="Times New Roman"/>
                <w:b/>
                <w:sz w:val="26"/>
                <w:szCs w:val="26"/>
              </w:rPr>
              <w:t>Change Due to Agency Discretion</w:t>
            </w:r>
          </w:p>
        </w:tc>
      </w:tr>
      <w:tr w:rsidR="00DA737C" w:rsidRPr="00E9787E" w:rsidTr="001D5446">
        <w:trPr>
          <w:trHeight w:val="591"/>
        </w:trPr>
        <w:tc>
          <w:tcPr>
            <w:tcW w:w="2589" w:type="dxa"/>
          </w:tcPr>
          <w:p w:rsidR="00DA737C" w:rsidRPr="00E9787E" w:rsidRDefault="00DA737C"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Annual Number of Responses</w:t>
            </w:r>
          </w:p>
        </w:tc>
        <w:tc>
          <w:tcPr>
            <w:tcW w:w="1779" w:type="dxa"/>
            <w:vAlign w:val="center"/>
          </w:tcPr>
          <w:p w:rsidR="00DA737C" w:rsidRPr="00E9787E" w:rsidRDefault="00C935C2" w:rsidP="00E9787E">
            <w:pPr>
              <w:spacing w:after="0" w:line="240" w:lineRule="auto"/>
              <w:rPr>
                <w:rFonts w:ascii="Times New Roman" w:hAnsi="Times New Roman" w:cs="Times New Roman"/>
                <w:sz w:val="26"/>
                <w:szCs w:val="26"/>
              </w:rPr>
            </w:pPr>
            <w:r>
              <w:rPr>
                <w:rFonts w:ascii="Times New Roman" w:hAnsi="Times New Roman" w:cs="Times New Roman"/>
                <w:sz w:val="26"/>
                <w:szCs w:val="26"/>
              </w:rPr>
              <w:t>2,371</w:t>
            </w:r>
          </w:p>
        </w:tc>
        <w:tc>
          <w:tcPr>
            <w:tcW w:w="1959" w:type="dxa"/>
            <w:vAlign w:val="center"/>
          </w:tcPr>
          <w:p w:rsidR="00DA737C" w:rsidRPr="00E9787E" w:rsidRDefault="00525017" w:rsidP="00E9787E">
            <w:pPr>
              <w:spacing w:after="0" w:line="240" w:lineRule="auto"/>
              <w:rPr>
                <w:rFonts w:ascii="Times New Roman" w:hAnsi="Times New Roman" w:cs="Times New Roman"/>
                <w:sz w:val="26"/>
                <w:szCs w:val="26"/>
              </w:rPr>
            </w:pPr>
            <w:r>
              <w:rPr>
                <w:rFonts w:ascii="Times New Roman" w:hAnsi="Times New Roman" w:cs="Times New Roman"/>
                <w:sz w:val="26"/>
                <w:szCs w:val="26"/>
              </w:rPr>
              <w:t>688</w:t>
            </w:r>
          </w:p>
        </w:tc>
        <w:tc>
          <w:tcPr>
            <w:tcW w:w="1683" w:type="dxa"/>
            <w:vAlign w:val="center"/>
          </w:tcPr>
          <w:p w:rsidR="00DA737C" w:rsidRPr="00E9787E" w:rsidRDefault="00DA737C"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0</w:t>
            </w:r>
          </w:p>
        </w:tc>
        <w:tc>
          <w:tcPr>
            <w:tcW w:w="1357" w:type="dxa"/>
            <w:vAlign w:val="center"/>
          </w:tcPr>
          <w:p w:rsidR="00DA737C" w:rsidRPr="00E9787E" w:rsidRDefault="00967BE8" w:rsidP="00C935C2">
            <w:pPr>
              <w:spacing w:after="0" w:line="240" w:lineRule="auto"/>
              <w:rPr>
                <w:rFonts w:ascii="Times New Roman" w:hAnsi="Times New Roman" w:cs="Times New Roman"/>
                <w:sz w:val="26"/>
                <w:szCs w:val="26"/>
              </w:rPr>
            </w:pPr>
            <w:r>
              <w:rPr>
                <w:rFonts w:ascii="Times New Roman" w:hAnsi="Times New Roman" w:cs="Times New Roman"/>
                <w:sz w:val="26"/>
                <w:szCs w:val="26"/>
              </w:rPr>
              <w:t>1,</w:t>
            </w:r>
            <w:r w:rsidR="00525017">
              <w:rPr>
                <w:rFonts w:ascii="Times New Roman" w:hAnsi="Times New Roman" w:cs="Times New Roman"/>
                <w:sz w:val="26"/>
                <w:szCs w:val="26"/>
              </w:rPr>
              <w:t>683</w:t>
            </w:r>
          </w:p>
        </w:tc>
      </w:tr>
      <w:tr w:rsidR="00DA737C" w:rsidRPr="00E9787E" w:rsidTr="001D5446">
        <w:trPr>
          <w:trHeight w:val="575"/>
        </w:trPr>
        <w:tc>
          <w:tcPr>
            <w:tcW w:w="2589" w:type="dxa"/>
          </w:tcPr>
          <w:p w:rsidR="00DA737C" w:rsidRPr="00E9787E" w:rsidRDefault="00DA737C"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Annual Time Burden (Hr</w:t>
            </w:r>
            <w:r w:rsidR="005F7D59" w:rsidRPr="00E9787E">
              <w:rPr>
                <w:rFonts w:ascii="Times New Roman" w:hAnsi="Times New Roman" w:cs="Times New Roman"/>
                <w:sz w:val="26"/>
                <w:szCs w:val="26"/>
              </w:rPr>
              <w:t>.</w:t>
            </w:r>
            <w:r w:rsidRPr="00E9787E">
              <w:rPr>
                <w:rFonts w:ascii="Times New Roman" w:hAnsi="Times New Roman" w:cs="Times New Roman"/>
                <w:sz w:val="26"/>
                <w:szCs w:val="26"/>
              </w:rPr>
              <w:t>)</w:t>
            </w:r>
          </w:p>
        </w:tc>
        <w:tc>
          <w:tcPr>
            <w:tcW w:w="1779" w:type="dxa"/>
            <w:vAlign w:val="center"/>
          </w:tcPr>
          <w:p w:rsidR="00DA737C" w:rsidRPr="00E9787E" w:rsidRDefault="00967BE8" w:rsidP="00525017">
            <w:pPr>
              <w:spacing w:after="0" w:line="240" w:lineRule="auto"/>
              <w:rPr>
                <w:rFonts w:ascii="Times New Roman" w:hAnsi="Times New Roman" w:cs="Times New Roman"/>
                <w:sz w:val="26"/>
                <w:szCs w:val="26"/>
              </w:rPr>
            </w:pPr>
            <w:r>
              <w:rPr>
                <w:rFonts w:ascii="Times New Roman" w:hAnsi="Times New Roman" w:cs="Times New Roman"/>
                <w:sz w:val="26"/>
                <w:szCs w:val="26"/>
              </w:rPr>
              <w:t>8,9</w:t>
            </w:r>
            <w:r w:rsidR="00525017">
              <w:rPr>
                <w:rFonts w:ascii="Times New Roman" w:hAnsi="Times New Roman" w:cs="Times New Roman"/>
                <w:sz w:val="26"/>
                <w:szCs w:val="26"/>
              </w:rPr>
              <w:t>40</w:t>
            </w:r>
            <w:r>
              <w:rPr>
                <w:rFonts w:ascii="Times New Roman" w:hAnsi="Times New Roman" w:cs="Times New Roman"/>
                <w:sz w:val="26"/>
                <w:szCs w:val="26"/>
              </w:rPr>
              <w:t>.4</w:t>
            </w:r>
          </w:p>
        </w:tc>
        <w:tc>
          <w:tcPr>
            <w:tcW w:w="1959" w:type="dxa"/>
            <w:vAlign w:val="center"/>
          </w:tcPr>
          <w:p w:rsidR="00DA737C" w:rsidRPr="00E9787E" w:rsidRDefault="00525017" w:rsidP="00E9787E">
            <w:pPr>
              <w:spacing w:after="0" w:line="240" w:lineRule="auto"/>
              <w:rPr>
                <w:rFonts w:ascii="Times New Roman" w:hAnsi="Times New Roman" w:cs="Times New Roman"/>
                <w:sz w:val="26"/>
                <w:szCs w:val="26"/>
              </w:rPr>
            </w:pPr>
            <w:r>
              <w:rPr>
                <w:rFonts w:ascii="Times New Roman" w:hAnsi="Times New Roman" w:cs="Times New Roman"/>
                <w:sz w:val="26"/>
                <w:szCs w:val="26"/>
              </w:rPr>
              <w:t>9033</w:t>
            </w:r>
          </w:p>
        </w:tc>
        <w:tc>
          <w:tcPr>
            <w:tcW w:w="1683" w:type="dxa"/>
            <w:vAlign w:val="center"/>
          </w:tcPr>
          <w:p w:rsidR="00DA737C" w:rsidRPr="00E9787E" w:rsidRDefault="00DA737C"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0</w:t>
            </w:r>
          </w:p>
        </w:tc>
        <w:tc>
          <w:tcPr>
            <w:tcW w:w="1357" w:type="dxa"/>
            <w:vAlign w:val="center"/>
          </w:tcPr>
          <w:p w:rsidR="00DA737C" w:rsidRPr="00E9787E" w:rsidRDefault="00967BE8" w:rsidP="001B5572">
            <w:pPr>
              <w:spacing w:after="0" w:line="240" w:lineRule="auto"/>
              <w:rPr>
                <w:rFonts w:ascii="Times New Roman" w:hAnsi="Times New Roman" w:cs="Times New Roman"/>
                <w:sz w:val="26"/>
                <w:szCs w:val="26"/>
              </w:rPr>
            </w:pPr>
            <w:r>
              <w:rPr>
                <w:rFonts w:ascii="Times New Roman" w:hAnsi="Times New Roman" w:cs="Times New Roman"/>
                <w:sz w:val="26"/>
                <w:szCs w:val="26"/>
              </w:rPr>
              <w:t>-92.60</w:t>
            </w:r>
          </w:p>
        </w:tc>
      </w:tr>
      <w:tr w:rsidR="00DA737C" w:rsidRPr="00E9787E" w:rsidTr="001D5446">
        <w:trPr>
          <w:trHeight w:val="295"/>
        </w:trPr>
        <w:tc>
          <w:tcPr>
            <w:tcW w:w="2589" w:type="dxa"/>
          </w:tcPr>
          <w:p w:rsidR="00DA737C" w:rsidRPr="00E9787E" w:rsidRDefault="00DA737C"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Annual Cost Burden ($)</w:t>
            </w:r>
          </w:p>
        </w:tc>
        <w:tc>
          <w:tcPr>
            <w:tcW w:w="1779" w:type="dxa"/>
            <w:vAlign w:val="center"/>
          </w:tcPr>
          <w:p w:rsidR="00DA737C" w:rsidRPr="00E9787E" w:rsidRDefault="00DA737C"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0</w:t>
            </w:r>
          </w:p>
        </w:tc>
        <w:tc>
          <w:tcPr>
            <w:tcW w:w="1959" w:type="dxa"/>
            <w:vAlign w:val="center"/>
          </w:tcPr>
          <w:p w:rsidR="00DA737C" w:rsidRPr="00E9787E" w:rsidRDefault="00DA737C"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0</w:t>
            </w:r>
          </w:p>
        </w:tc>
        <w:tc>
          <w:tcPr>
            <w:tcW w:w="1683" w:type="dxa"/>
            <w:vAlign w:val="center"/>
          </w:tcPr>
          <w:p w:rsidR="00DA737C" w:rsidRPr="00E9787E" w:rsidRDefault="00DA737C"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0</w:t>
            </w:r>
          </w:p>
        </w:tc>
        <w:tc>
          <w:tcPr>
            <w:tcW w:w="1357" w:type="dxa"/>
            <w:vAlign w:val="center"/>
          </w:tcPr>
          <w:p w:rsidR="00DA737C" w:rsidRPr="00E9787E" w:rsidRDefault="00DA737C"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0</w:t>
            </w:r>
          </w:p>
        </w:tc>
      </w:tr>
    </w:tbl>
    <w:p w:rsidR="00DA737C" w:rsidRPr="00E9787E" w:rsidRDefault="00DA737C" w:rsidP="00E9787E">
      <w:pPr>
        <w:spacing w:after="0" w:line="240" w:lineRule="auto"/>
        <w:rPr>
          <w:rFonts w:ascii="Times New Roman" w:hAnsi="Times New Roman" w:cs="Times New Roman"/>
          <w:sz w:val="26"/>
          <w:szCs w:val="26"/>
        </w:rPr>
      </w:pPr>
    </w:p>
    <w:p w:rsidR="00DA737C" w:rsidRPr="00E9787E" w:rsidRDefault="00DA737C" w:rsidP="00E9787E">
      <w:pPr>
        <w:pStyle w:val="ListParagraph"/>
        <w:numPr>
          <w:ilvl w:val="0"/>
          <w:numId w:val="1"/>
        </w:numPr>
        <w:spacing w:after="0" w:line="240" w:lineRule="auto"/>
        <w:rPr>
          <w:rFonts w:ascii="Times New Roman" w:hAnsi="Times New Roman" w:cs="Times New Roman"/>
          <w:b/>
          <w:sz w:val="26"/>
          <w:szCs w:val="26"/>
        </w:rPr>
      </w:pPr>
      <w:r w:rsidRPr="00E9787E">
        <w:rPr>
          <w:rFonts w:ascii="Times New Roman" w:hAnsi="Times New Roman" w:cs="Times New Roman"/>
          <w:b/>
          <w:sz w:val="26"/>
          <w:szCs w:val="26"/>
        </w:rPr>
        <w:t>TIME SCHEDULE FOR PUBLICATION OF DATA</w:t>
      </w:r>
    </w:p>
    <w:p w:rsidR="00DA737C" w:rsidRPr="00E9787E" w:rsidRDefault="00DA737C" w:rsidP="00E9787E">
      <w:pPr>
        <w:spacing w:after="0" w:line="240" w:lineRule="auto"/>
        <w:rPr>
          <w:rFonts w:ascii="Times New Roman" w:hAnsi="Times New Roman" w:cs="Times New Roman"/>
          <w:sz w:val="26"/>
          <w:szCs w:val="26"/>
        </w:rPr>
      </w:pPr>
    </w:p>
    <w:p w:rsidR="00DA737C" w:rsidRPr="00E9787E" w:rsidRDefault="00363D7B"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There are no publication plans for this collection of information</w:t>
      </w:r>
      <w:r w:rsidR="00DA737C" w:rsidRPr="00E9787E">
        <w:rPr>
          <w:rFonts w:ascii="Times New Roman" w:hAnsi="Times New Roman" w:cs="Times New Roman"/>
          <w:sz w:val="26"/>
          <w:szCs w:val="26"/>
        </w:rPr>
        <w:t>.</w:t>
      </w:r>
    </w:p>
    <w:p w:rsidR="00DA737C" w:rsidRPr="00E9787E" w:rsidRDefault="00DA737C" w:rsidP="00E9787E">
      <w:pPr>
        <w:spacing w:after="0" w:line="240" w:lineRule="auto"/>
        <w:rPr>
          <w:rFonts w:ascii="Times New Roman" w:hAnsi="Times New Roman" w:cs="Times New Roman"/>
          <w:sz w:val="26"/>
          <w:szCs w:val="26"/>
        </w:rPr>
      </w:pPr>
    </w:p>
    <w:p w:rsidR="00DA737C" w:rsidRPr="00E9787E" w:rsidRDefault="00DA737C" w:rsidP="00E9787E">
      <w:pPr>
        <w:pStyle w:val="ListParagraph"/>
        <w:numPr>
          <w:ilvl w:val="0"/>
          <w:numId w:val="1"/>
        </w:numPr>
        <w:spacing w:after="0" w:line="240" w:lineRule="auto"/>
        <w:rPr>
          <w:rFonts w:ascii="Times New Roman" w:hAnsi="Times New Roman" w:cs="Times New Roman"/>
          <w:b/>
          <w:sz w:val="26"/>
          <w:szCs w:val="26"/>
        </w:rPr>
      </w:pPr>
      <w:r w:rsidRPr="00E9787E">
        <w:rPr>
          <w:rFonts w:ascii="Times New Roman" w:hAnsi="Times New Roman" w:cs="Times New Roman"/>
          <w:b/>
          <w:sz w:val="26"/>
          <w:szCs w:val="26"/>
        </w:rPr>
        <w:t>DISPLAY OF EXPIRATION DATE</w:t>
      </w:r>
    </w:p>
    <w:p w:rsidR="00DA737C" w:rsidRPr="00E9787E" w:rsidRDefault="00DA737C" w:rsidP="00E9787E">
      <w:pPr>
        <w:spacing w:after="0" w:line="240" w:lineRule="auto"/>
        <w:rPr>
          <w:rFonts w:ascii="Times New Roman" w:hAnsi="Times New Roman" w:cs="Times New Roman"/>
          <w:sz w:val="26"/>
          <w:szCs w:val="26"/>
        </w:rPr>
      </w:pPr>
    </w:p>
    <w:p w:rsidR="00DA737C" w:rsidRPr="00E9787E" w:rsidRDefault="00DA737C" w:rsidP="00E9787E">
      <w:pPr>
        <w:spacing w:after="0" w:line="240" w:lineRule="auto"/>
        <w:rPr>
          <w:rFonts w:ascii="Times New Roman" w:hAnsi="Times New Roman" w:cs="Times New Roman"/>
          <w:sz w:val="26"/>
          <w:szCs w:val="26"/>
        </w:rPr>
      </w:pPr>
      <w:r w:rsidRPr="00E9787E">
        <w:rPr>
          <w:rFonts w:ascii="Times New Roman" w:hAnsi="Times New Roman" w:cs="Times New Roman"/>
          <w:sz w:val="26"/>
          <w:szCs w:val="26"/>
        </w:rPr>
        <w:t xml:space="preserve">The expiration date is displayed </w:t>
      </w:r>
      <w:r w:rsidR="00363D7B" w:rsidRPr="00E9787E">
        <w:rPr>
          <w:rFonts w:ascii="Times New Roman" w:hAnsi="Times New Roman" w:cs="Times New Roman"/>
          <w:sz w:val="26"/>
          <w:szCs w:val="26"/>
        </w:rPr>
        <w:t xml:space="preserve">in a table posted on ferc.gov </w:t>
      </w:r>
      <w:r w:rsidRPr="00E9787E">
        <w:rPr>
          <w:rFonts w:ascii="Times New Roman" w:hAnsi="Times New Roman" w:cs="Times New Roman"/>
          <w:sz w:val="26"/>
          <w:szCs w:val="26"/>
        </w:rPr>
        <w:t xml:space="preserve">at </w:t>
      </w:r>
      <w:hyperlink r:id="rId14" w:history="1">
        <w:r w:rsidRPr="00E9787E">
          <w:rPr>
            <w:rStyle w:val="Hyperlink"/>
            <w:rFonts w:ascii="Times New Roman" w:hAnsi="Times New Roman" w:cs="Times New Roman"/>
            <w:sz w:val="26"/>
            <w:szCs w:val="26"/>
          </w:rPr>
          <w:t>http://www.ferc.gov/docs-filing/info-collections.asp</w:t>
        </w:r>
      </w:hyperlink>
      <w:r w:rsidRPr="00E9787E">
        <w:rPr>
          <w:rFonts w:ascii="Times New Roman" w:hAnsi="Times New Roman" w:cs="Times New Roman"/>
          <w:sz w:val="26"/>
          <w:szCs w:val="26"/>
        </w:rPr>
        <w:t xml:space="preserve">. </w:t>
      </w:r>
    </w:p>
    <w:p w:rsidR="00DA737C" w:rsidRPr="00E9787E" w:rsidRDefault="00DA737C" w:rsidP="00E9787E">
      <w:pPr>
        <w:spacing w:after="0" w:line="240" w:lineRule="auto"/>
        <w:rPr>
          <w:rFonts w:ascii="Times New Roman" w:hAnsi="Times New Roman" w:cs="Times New Roman"/>
          <w:sz w:val="26"/>
          <w:szCs w:val="26"/>
        </w:rPr>
      </w:pPr>
    </w:p>
    <w:p w:rsidR="00DA737C" w:rsidRPr="00E9787E" w:rsidRDefault="00DA737C" w:rsidP="00E9787E">
      <w:pPr>
        <w:pStyle w:val="ListParagraph"/>
        <w:numPr>
          <w:ilvl w:val="0"/>
          <w:numId w:val="1"/>
        </w:numPr>
        <w:spacing w:after="0" w:line="240" w:lineRule="auto"/>
        <w:rPr>
          <w:rFonts w:ascii="Times New Roman" w:hAnsi="Times New Roman" w:cs="Times New Roman"/>
          <w:b/>
          <w:sz w:val="26"/>
          <w:szCs w:val="26"/>
        </w:rPr>
      </w:pPr>
      <w:r w:rsidRPr="00E9787E">
        <w:rPr>
          <w:rFonts w:ascii="Times New Roman" w:hAnsi="Times New Roman" w:cs="Times New Roman"/>
          <w:b/>
          <w:sz w:val="26"/>
          <w:szCs w:val="26"/>
        </w:rPr>
        <w:t>EXCEPTIONS TO THE CERTIFICATION STATEMENT</w:t>
      </w:r>
    </w:p>
    <w:p w:rsidR="00DA737C" w:rsidRPr="00E9787E" w:rsidRDefault="00DA737C" w:rsidP="00E9787E">
      <w:pPr>
        <w:spacing w:after="0" w:line="240" w:lineRule="auto"/>
        <w:rPr>
          <w:rFonts w:ascii="Times New Roman" w:hAnsi="Times New Roman" w:cs="Times New Roman"/>
          <w:sz w:val="26"/>
          <w:szCs w:val="26"/>
        </w:rPr>
      </w:pPr>
    </w:p>
    <w:p w:rsidR="00363D7B" w:rsidRPr="00E9787E" w:rsidRDefault="00363D7B" w:rsidP="00E9787E">
      <w:pPr>
        <w:tabs>
          <w:tab w:val="left" w:pos="-1440"/>
        </w:tabs>
        <w:spacing w:line="240" w:lineRule="auto"/>
        <w:rPr>
          <w:rFonts w:ascii="Times New Roman" w:hAnsi="Times New Roman" w:cs="Times New Roman"/>
          <w:sz w:val="26"/>
          <w:szCs w:val="26"/>
        </w:rPr>
      </w:pPr>
      <w:r w:rsidRPr="00E9787E">
        <w:rPr>
          <w:rFonts w:ascii="Times New Roman" w:hAnsi="Times New Roman" w:cs="Times New Roman"/>
          <w:sz w:val="26"/>
          <w:szCs w:val="26"/>
        </w:rPr>
        <w:t>The data collected for this reporting requirement is not used for statistical purposes.</w:t>
      </w:r>
    </w:p>
    <w:p w:rsidR="00DA737C" w:rsidRPr="00E9787E" w:rsidRDefault="00DA737C" w:rsidP="00E9787E">
      <w:pPr>
        <w:spacing w:after="0" w:line="240" w:lineRule="auto"/>
        <w:rPr>
          <w:rFonts w:ascii="Times New Roman" w:hAnsi="Times New Roman" w:cs="Times New Roman"/>
          <w:sz w:val="26"/>
          <w:szCs w:val="26"/>
        </w:rPr>
      </w:pPr>
    </w:p>
    <w:p w:rsidR="001D5446" w:rsidRPr="00E9787E" w:rsidRDefault="001D5446" w:rsidP="00E9787E">
      <w:pPr>
        <w:spacing w:line="240" w:lineRule="auto"/>
        <w:rPr>
          <w:rFonts w:ascii="Times New Roman" w:hAnsi="Times New Roman" w:cs="Times New Roman"/>
          <w:sz w:val="26"/>
          <w:szCs w:val="26"/>
        </w:rPr>
      </w:pPr>
    </w:p>
    <w:sectPr w:rsidR="001D5446" w:rsidRPr="00E9787E" w:rsidSect="001D544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52D" w:rsidRDefault="00B7752D" w:rsidP="00DA737C">
      <w:pPr>
        <w:spacing w:after="0" w:line="240" w:lineRule="auto"/>
      </w:pPr>
      <w:r>
        <w:separator/>
      </w:r>
    </w:p>
  </w:endnote>
  <w:endnote w:type="continuationSeparator" w:id="0">
    <w:p w:rsidR="00B7752D" w:rsidRDefault="00B7752D" w:rsidP="00DA7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rsidR="00E41F4F" w:rsidRPr="00DD79FB" w:rsidRDefault="00E41F4F">
        <w:pPr>
          <w:pStyle w:val="Footer"/>
          <w:jc w:val="right"/>
          <w:rPr>
            <w:rFonts w:ascii="Times New Roman" w:hAnsi="Times New Roman" w:cs="Times New Roman"/>
          </w:rPr>
        </w:pPr>
        <w:r w:rsidRPr="00DD79FB">
          <w:rPr>
            <w:rFonts w:ascii="Times New Roman" w:hAnsi="Times New Roman" w:cs="Times New Roman"/>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rPr>
          <w:fldChar w:fldCharType="separate"/>
        </w:r>
        <w:r w:rsidR="002418E5">
          <w:rPr>
            <w:rFonts w:ascii="Times New Roman" w:hAnsi="Times New Roman" w:cs="Times New Roman"/>
            <w:noProof/>
          </w:rPr>
          <w:t>1</w:t>
        </w:r>
        <w:r w:rsidRPr="00DD79FB">
          <w:rPr>
            <w:rFonts w:ascii="Times New Roman" w:hAnsi="Times New Roman" w:cs="Times New Roman"/>
            <w:noProof/>
          </w:rPr>
          <w:fldChar w:fldCharType="end"/>
        </w:r>
      </w:p>
    </w:sdtContent>
  </w:sdt>
  <w:p w:rsidR="00E41F4F" w:rsidRDefault="00E41F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52D" w:rsidRDefault="00B7752D" w:rsidP="00DA737C">
      <w:pPr>
        <w:spacing w:after="0" w:line="240" w:lineRule="auto"/>
      </w:pPr>
      <w:r>
        <w:separator/>
      </w:r>
    </w:p>
  </w:footnote>
  <w:footnote w:type="continuationSeparator" w:id="0">
    <w:p w:rsidR="00B7752D" w:rsidRDefault="00B7752D" w:rsidP="00DA737C">
      <w:pPr>
        <w:spacing w:after="0" w:line="240" w:lineRule="auto"/>
      </w:pPr>
      <w:r>
        <w:continuationSeparator/>
      </w:r>
    </w:p>
  </w:footnote>
  <w:footnote w:id="1">
    <w:p w:rsidR="00E41F4F" w:rsidRPr="003F7F4B" w:rsidRDefault="00E41F4F" w:rsidP="00496CD8">
      <w:pPr>
        <w:pStyle w:val="FootnoteText"/>
      </w:pPr>
      <w:r w:rsidRPr="00112756">
        <w:rPr>
          <w:rStyle w:val="FootnoteReference"/>
        </w:rPr>
        <w:footnoteRef/>
      </w:r>
      <w:r w:rsidRPr="00112756">
        <w:rPr>
          <w:sz w:val="26"/>
          <w:szCs w:val="26"/>
        </w:rPr>
        <w:t xml:space="preserve"> </w:t>
      </w:r>
      <w:r w:rsidRPr="003F7F4B">
        <w:rPr>
          <w:sz w:val="26"/>
          <w:szCs w:val="26"/>
        </w:rPr>
        <w:t xml:space="preserve">The burdens related to Order No. </w:t>
      </w:r>
      <w:r w:rsidRPr="00E01816">
        <w:rPr>
          <w:sz w:val="26"/>
          <w:szCs w:val="26"/>
        </w:rPr>
        <w:t>817</w:t>
      </w:r>
      <w:r w:rsidRPr="003F7F4B">
        <w:rPr>
          <w:sz w:val="26"/>
          <w:szCs w:val="26"/>
        </w:rPr>
        <w:t xml:space="preserve"> are included in FERC-725Z (Mandatory Reliability Standards:  IRO Reliability Standards, OMB Control No. 1902-0276), and FERC-725A Mandatory Reliability Standards for the Bulk-Power System, OMB Control No. 1902-0244).</w:t>
      </w:r>
    </w:p>
  </w:footnote>
  <w:footnote w:id="2">
    <w:p w:rsidR="00E41F4F" w:rsidRPr="003F7F4B" w:rsidRDefault="00E41F4F" w:rsidP="007D0E0F">
      <w:pPr>
        <w:pStyle w:val="FootnoteText"/>
        <w:rPr>
          <w:sz w:val="26"/>
          <w:szCs w:val="26"/>
        </w:rPr>
      </w:pPr>
      <w:r w:rsidRPr="003F7F4B">
        <w:rPr>
          <w:rStyle w:val="FootnoteReference"/>
        </w:rPr>
        <w:footnoteRef/>
      </w:r>
      <w:r w:rsidRPr="003F7F4B">
        <w:rPr>
          <w:sz w:val="26"/>
          <w:szCs w:val="26"/>
        </w:rPr>
        <w:t xml:space="preserve"> The Delegated Letter Order is posted in FERC’s eLibrary at </w:t>
      </w:r>
      <w:hyperlink r:id="rId1" w:history="1">
        <w:r w:rsidRPr="003F7F4B">
          <w:rPr>
            <w:rStyle w:val="Hyperlink"/>
            <w:sz w:val="26"/>
            <w:szCs w:val="26"/>
          </w:rPr>
          <w:t>https://elibrary.ferc.gov/idmws/common/opennat.asp?fileID=14515285</w:t>
        </w:r>
      </w:hyperlink>
      <w:r w:rsidRPr="003F7F4B">
        <w:rPr>
          <w:sz w:val="26"/>
          <w:szCs w:val="26"/>
        </w:rPr>
        <w:t xml:space="preserve">. </w:t>
      </w:r>
    </w:p>
  </w:footnote>
  <w:footnote w:id="3">
    <w:p w:rsidR="00E41F4F" w:rsidRPr="003F7F4B" w:rsidRDefault="00E41F4F" w:rsidP="007D0E0F">
      <w:pPr>
        <w:pStyle w:val="FootnoteText"/>
        <w:rPr>
          <w:sz w:val="26"/>
          <w:szCs w:val="26"/>
        </w:rPr>
      </w:pPr>
      <w:r w:rsidRPr="001507B4">
        <w:rPr>
          <w:rStyle w:val="FootnoteReference"/>
        </w:rPr>
        <w:footnoteRef/>
      </w:r>
      <w:r w:rsidRPr="0026143D">
        <w:rPr>
          <w:sz w:val="26"/>
          <w:szCs w:val="26"/>
        </w:rPr>
        <w:t xml:space="preserve"> </w:t>
      </w:r>
      <w:r w:rsidRPr="003F7F4B">
        <w:rPr>
          <w:sz w:val="26"/>
          <w:szCs w:val="26"/>
        </w:rPr>
        <w:t>The joint petition and exhibits are posted in the Commission’s eLibrary system in Docket No. RD17-5-000.</w:t>
      </w:r>
    </w:p>
  </w:footnote>
  <w:footnote w:id="4">
    <w:p w:rsidR="00E41F4F" w:rsidRPr="003F7F4B" w:rsidRDefault="00E41F4F" w:rsidP="007D0E0F">
      <w:pPr>
        <w:pStyle w:val="FootnoteText"/>
        <w:rPr>
          <w:sz w:val="26"/>
          <w:szCs w:val="26"/>
        </w:rPr>
      </w:pPr>
      <w:r w:rsidRPr="00A74AB7">
        <w:rPr>
          <w:rStyle w:val="FootnoteReference"/>
        </w:rPr>
        <w:footnoteRef/>
      </w:r>
      <w:r w:rsidRPr="00A07CBC">
        <w:t xml:space="preserve"> </w:t>
      </w:r>
      <w:r w:rsidRPr="003F7F4B">
        <w:rPr>
          <w:sz w:val="26"/>
          <w:szCs w:val="26"/>
        </w:rPr>
        <w:t xml:space="preserve">16 U.S.C. 824o(e)(4). </w:t>
      </w:r>
    </w:p>
  </w:footnote>
  <w:footnote w:id="5">
    <w:p w:rsidR="00E41F4F" w:rsidRPr="003F7F4B" w:rsidRDefault="00E41F4F" w:rsidP="007D0E0F">
      <w:pPr>
        <w:pStyle w:val="FootnoteText"/>
        <w:rPr>
          <w:sz w:val="26"/>
          <w:szCs w:val="26"/>
        </w:rPr>
      </w:pPr>
      <w:r w:rsidRPr="003F7F4B">
        <w:rPr>
          <w:rStyle w:val="FootnoteReference"/>
        </w:rPr>
        <w:footnoteRef/>
      </w:r>
      <w:r w:rsidRPr="003F7F4B">
        <w:rPr>
          <w:sz w:val="26"/>
          <w:szCs w:val="26"/>
        </w:rPr>
        <w:t xml:space="preserve"> 16 U.S.C. 824o(a)(7) and (e)(4). </w:t>
      </w:r>
    </w:p>
  </w:footnote>
  <w:footnote w:id="6">
    <w:p w:rsidR="00E41F4F" w:rsidRPr="003F7F4B" w:rsidRDefault="00E41F4F" w:rsidP="007D0E0F">
      <w:pPr>
        <w:pStyle w:val="FootnoteText"/>
        <w:rPr>
          <w:sz w:val="26"/>
          <w:szCs w:val="26"/>
        </w:rPr>
      </w:pPr>
      <w:r w:rsidRPr="003F7F4B">
        <w:rPr>
          <w:rStyle w:val="FootnoteReference"/>
        </w:rPr>
        <w:footnoteRef/>
      </w:r>
      <w:r w:rsidRPr="003F7F4B">
        <w:rPr>
          <w:sz w:val="26"/>
          <w:szCs w:val="26"/>
        </w:rPr>
        <w:t xml:space="preserve"> </w:t>
      </w:r>
      <w:r w:rsidRPr="003F7F4B">
        <w:rPr>
          <w:i/>
          <w:sz w:val="26"/>
          <w:szCs w:val="26"/>
        </w:rPr>
        <w:t>North American Electric Reliability Corp.</w:t>
      </w:r>
      <w:r w:rsidRPr="003F7F4B">
        <w:rPr>
          <w:sz w:val="26"/>
          <w:szCs w:val="26"/>
        </w:rPr>
        <w:t>, 119 FERC ¶ 61,260 (2007).</w:t>
      </w:r>
    </w:p>
  </w:footnote>
  <w:footnote w:id="7">
    <w:p w:rsidR="00E41F4F" w:rsidRPr="003F7F4B" w:rsidRDefault="00E41F4F" w:rsidP="00905240">
      <w:pPr>
        <w:pStyle w:val="FootnoteText"/>
        <w:rPr>
          <w:sz w:val="26"/>
          <w:szCs w:val="26"/>
        </w:rPr>
      </w:pPr>
      <w:r w:rsidRPr="0050165D">
        <w:rPr>
          <w:rStyle w:val="FootnoteReference"/>
        </w:rPr>
        <w:footnoteRef/>
      </w:r>
      <w:r w:rsidRPr="00C63A3A">
        <w:rPr>
          <w:sz w:val="26"/>
          <w:szCs w:val="26"/>
        </w:rPr>
        <w:t xml:space="preserve"> </w:t>
      </w:r>
      <w:r w:rsidRPr="003F7F4B">
        <w:rPr>
          <w:sz w:val="26"/>
          <w:szCs w:val="26"/>
        </w:rPr>
        <w:t>BAL-002-WECC-2 is included in the OMB-approved inventory for FERC-725E.  On November 9, 2016, NERC and WECC submitted a joint petition for approval of an interpretation of BAL-002-WECC-2, to be designated BAL-002-WECC-2a.  BAL-002-WECC-2a was approved by order in Docket No. RD17-3-000 on January 24, 2017.  The Order determined:  “The proposed interpretation provides clarification regarding the types of resources that may be used to satisfy Contingency Reserve requirements in regional Reliability Standard BAL-002-WECC-2.”  BAL-002-WECC-2a did not trigger the Paperwork Reduction Act and did not affect the burden estimate.  BAL-002-WECC-2a is being included in this Notice and the Commission’s submittal to OMB as part of the FERC-725E.</w:t>
      </w:r>
    </w:p>
  </w:footnote>
  <w:footnote w:id="8">
    <w:p w:rsidR="00E41F4F" w:rsidRPr="003F7F4B" w:rsidRDefault="00E41F4F" w:rsidP="00905240">
      <w:pPr>
        <w:pStyle w:val="FootnoteText"/>
        <w:rPr>
          <w:sz w:val="26"/>
          <w:szCs w:val="26"/>
        </w:rPr>
      </w:pPr>
      <w:r w:rsidRPr="002844BC">
        <w:rPr>
          <w:rStyle w:val="FootnoteReference"/>
        </w:rPr>
        <w:footnoteRef/>
      </w:r>
      <w:r w:rsidRPr="00C63A3A">
        <w:rPr>
          <w:sz w:val="26"/>
          <w:szCs w:val="26"/>
        </w:rPr>
        <w:t xml:space="preserve"> </w:t>
      </w:r>
      <w:r w:rsidRPr="003F7F4B">
        <w:rPr>
          <w:sz w:val="26"/>
          <w:szCs w:val="26"/>
        </w:rPr>
        <w:t>On December 20, 2013, NERC and WECC submitted a joint petition for approval of IRO-006-WECC-2 and retirement of IRO-006-WECC-1.  IRO-006-WECC-2 was approved by order in Docket No. RD14-9-000 on May 13, 2014.  Because the reporting burden for IRO-006-WECC-2 did not increase for entities that operate within the Western Interconnection, FERC submitted the order to OMB for information only.  The burden related to IRO-006-WECC-2 does not differ from the burden of IRO-006-WECC-1, which is included in the OMB-approved inventory.  IRO-006-WECC-2 is being included in this Notice and the Commission’s submittal to OMB as part of FERC-725E.</w:t>
      </w:r>
    </w:p>
  </w:footnote>
  <w:footnote w:id="9">
    <w:p w:rsidR="00E41F4F" w:rsidRPr="003F7F4B" w:rsidRDefault="00E41F4F" w:rsidP="00905240">
      <w:pPr>
        <w:pStyle w:val="FootnoteText"/>
        <w:rPr>
          <w:sz w:val="26"/>
          <w:szCs w:val="26"/>
        </w:rPr>
      </w:pPr>
      <w:r w:rsidRPr="003F7F4B">
        <w:rPr>
          <w:rStyle w:val="FootnoteReference"/>
        </w:rPr>
        <w:footnoteRef/>
      </w:r>
      <w:r w:rsidRPr="003F7F4B">
        <w:rPr>
          <w:sz w:val="26"/>
          <w:szCs w:val="26"/>
        </w:rPr>
        <w:t xml:space="preserve"> Order No. 818, issued on November 19, 2015 in Docket Nos. RM15-7, RM15-12, and RM15-13, stated in part: “NERC requested approval of the following Reliability Standards to incorporate the proposed definition of Remedial Action Scheme and eliminate use of the term Special Protection System: . . . PRC-004-WECC-2, . . . NERC did not propose any changes to the Violation Risk Factors or Violation Severity Levels for the modified standards.”  </w:t>
      </w:r>
      <w:r w:rsidRPr="003F7F4B">
        <w:rPr>
          <w:i/>
          <w:sz w:val="26"/>
          <w:szCs w:val="26"/>
        </w:rPr>
        <w:t>Revisions to Emergency Operations Reliability Standards; Revisions to Undervoltage Load Shedding Reliability Standards; Revisions to the Definition of “Remedial Action Scheme” and Related Reliability Standards</w:t>
      </w:r>
      <w:r w:rsidRPr="003F7F4B">
        <w:rPr>
          <w:sz w:val="26"/>
          <w:szCs w:val="26"/>
        </w:rPr>
        <w:t xml:space="preserve">, Order No. 818, 153 FERC ¶ 61,228, at P 23 n.31 (2015).  In addition, Order No. 818 stated:  “The Commission approved the definition of Special Protection System (Remedial Action Scheme) in Order No. 693.  We approve a revision to the previously approved definition.  The revisions to the Remedial Action Scheme definition and related Reliability Standards are not expected to result in changes to the scope of systems covered by the Reliability Standards and other Reliability Standards that include the term Remedial Action Scheme.  Therefore, the Commission does not expect the revisions to affect applicable entities’ current reporting burden.”  </w:t>
      </w:r>
      <w:r w:rsidRPr="003F7F4B">
        <w:rPr>
          <w:i/>
          <w:sz w:val="26"/>
          <w:szCs w:val="26"/>
        </w:rPr>
        <w:t>Id.</w:t>
      </w:r>
      <w:r w:rsidRPr="003F7F4B">
        <w:rPr>
          <w:sz w:val="26"/>
          <w:szCs w:val="26"/>
        </w:rPr>
        <w:t xml:space="preserve"> P 67.  The change to the definition did not affect the burden of PRC-004-WECC-1 (which is included in the current OMB-approved inventory).  PRC-004-WECC-2 (the current version of the standard) is being included in this Notice and the Commission’s submittal to OMB as part of the FERC-725E.</w:t>
      </w:r>
    </w:p>
  </w:footnote>
  <w:footnote w:id="10">
    <w:p w:rsidR="00E41F4F" w:rsidRPr="003F7F4B" w:rsidRDefault="00E41F4F" w:rsidP="0094136F">
      <w:pPr>
        <w:pStyle w:val="FootnoteText"/>
        <w:rPr>
          <w:sz w:val="26"/>
          <w:szCs w:val="26"/>
        </w:rPr>
      </w:pPr>
      <w:r w:rsidRPr="003F7F4B">
        <w:rPr>
          <w:rStyle w:val="FootnoteReference"/>
        </w:rPr>
        <w:footnoteRef/>
      </w:r>
      <w:r w:rsidRPr="003F7F4B">
        <w:rPr>
          <w:sz w:val="26"/>
          <w:szCs w:val="26"/>
        </w:rPr>
        <w:t xml:space="preserve"> The Commission approved the retirement of regional Reliability Standard TOP-007-WECC-1a (System Operating Limits (“SOL”)) by order in Docket No. RD16-10-000 on March 10, 2017.  On March 31, 2017, the Commission issued a 60-day Notice requesting public comment on the effect on burden.  The </w:t>
      </w:r>
      <w:r>
        <w:rPr>
          <w:sz w:val="26"/>
          <w:szCs w:val="26"/>
        </w:rPr>
        <w:t xml:space="preserve">60-day </w:t>
      </w:r>
      <w:r w:rsidRPr="003F7F4B">
        <w:rPr>
          <w:sz w:val="26"/>
          <w:szCs w:val="26"/>
        </w:rPr>
        <w:t xml:space="preserve">Notice is available at 82 FR 16823 (April 6, 2017).  Comments </w:t>
      </w:r>
      <w:r>
        <w:rPr>
          <w:sz w:val="26"/>
          <w:szCs w:val="26"/>
        </w:rPr>
        <w:t>on the 60-day Notice we</w:t>
      </w:r>
      <w:r w:rsidRPr="003F7F4B">
        <w:rPr>
          <w:sz w:val="26"/>
          <w:szCs w:val="26"/>
        </w:rPr>
        <w:t>re due in Docket No. RD16-10-000 by June 5, 2017</w:t>
      </w:r>
      <w:r>
        <w:rPr>
          <w:sz w:val="26"/>
          <w:szCs w:val="26"/>
        </w:rPr>
        <w:t>; no comments were received</w:t>
      </w:r>
      <w:r w:rsidRPr="003F7F4B">
        <w:rPr>
          <w:sz w:val="26"/>
          <w:szCs w:val="26"/>
        </w:rPr>
        <w:t xml:space="preserve">.  </w:t>
      </w:r>
      <w:r w:rsidRPr="003F7F4B">
        <w:rPr>
          <w:i/>
          <w:sz w:val="26"/>
          <w:szCs w:val="26"/>
        </w:rPr>
        <w:t>See</w:t>
      </w:r>
      <w:r w:rsidRPr="003F7F4B">
        <w:rPr>
          <w:sz w:val="26"/>
          <w:szCs w:val="26"/>
        </w:rPr>
        <w:t xml:space="preserve"> Docket No. RD16-10-000 for additional information (including the estimated annual burden reduction of 1,188 hours).  </w:t>
      </w:r>
    </w:p>
  </w:footnote>
  <w:footnote w:id="11">
    <w:p w:rsidR="00E41F4F" w:rsidRPr="003F7F4B" w:rsidRDefault="00E41F4F" w:rsidP="00091DDC">
      <w:pPr>
        <w:pStyle w:val="FootnoteText"/>
        <w:rPr>
          <w:sz w:val="26"/>
          <w:szCs w:val="26"/>
        </w:rPr>
      </w:pPr>
      <w:r w:rsidRPr="00D27CEF">
        <w:rPr>
          <w:rStyle w:val="FootnoteReference"/>
        </w:rPr>
        <w:footnoteRef/>
      </w:r>
      <w:r w:rsidRPr="00D27CEF">
        <w:rPr>
          <w:sz w:val="26"/>
          <w:szCs w:val="26"/>
        </w:rPr>
        <w:t xml:space="preserve"> </w:t>
      </w:r>
      <w:r w:rsidRPr="003F7F4B">
        <w:rPr>
          <w:sz w:val="26"/>
          <w:szCs w:val="26"/>
        </w:rPr>
        <w:t xml:space="preserve">16 U.S.C. 824o(e)(4). </w:t>
      </w:r>
    </w:p>
  </w:footnote>
  <w:footnote w:id="12">
    <w:p w:rsidR="00E41F4F" w:rsidRPr="008C6513" w:rsidRDefault="00E41F4F" w:rsidP="00917FB4">
      <w:pPr>
        <w:pStyle w:val="FootnoteText"/>
      </w:pPr>
      <w:r w:rsidRPr="008C6513">
        <w:rPr>
          <w:rStyle w:val="FootnoteReference"/>
        </w:rPr>
        <w:footnoteRef/>
      </w:r>
      <w:r w:rsidRPr="008C6513">
        <w:t xml:space="preserve"> </w:t>
      </w:r>
      <w:r w:rsidRPr="00E9787E">
        <w:rPr>
          <w:sz w:val="26"/>
          <w:szCs w:val="26"/>
        </w:rPr>
        <w:t xml:space="preserve">NERC Misoperations Report at 3, available at </w:t>
      </w:r>
      <w:hyperlink r:id="rId2" w:history="1">
        <w:r w:rsidRPr="00E9787E">
          <w:rPr>
            <w:rStyle w:val="Hyperlink"/>
            <w:sz w:val="26"/>
            <w:szCs w:val="26"/>
          </w:rPr>
          <w:t>http://www.nerc.com/comm/PC/Pages/Protection-System-Misoperations-Task-Force-(PSMTF)-2013.aspx</w:t>
        </w:r>
      </w:hyperlink>
      <w:r w:rsidRPr="008C6513">
        <w:t xml:space="preserve">. </w:t>
      </w:r>
    </w:p>
  </w:footnote>
  <w:footnote w:id="13">
    <w:p w:rsidR="00E41F4F" w:rsidRPr="00B939DA" w:rsidRDefault="00E41F4F" w:rsidP="00C64BFE">
      <w:pPr>
        <w:pStyle w:val="FootnoteText"/>
        <w:rPr>
          <w:sz w:val="26"/>
          <w:szCs w:val="26"/>
        </w:rPr>
      </w:pPr>
      <w:r w:rsidRPr="00BD0B6A">
        <w:rPr>
          <w:rStyle w:val="FootnoteReference"/>
          <w:vertAlign w:val="superscript"/>
        </w:rPr>
        <w:footnoteRef/>
      </w:r>
      <w:r w:rsidRPr="00BD0B6A">
        <w:t xml:space="preserve"> </w:t>
      </w:r>
      <w:r w:rsidRPr="00B939DA">
        <w:rPr>
          <w:sz w:val="26"/>
          <w:szCs w:val="26"/>
        </w:rPr>
        <w:t>Section 1502, Paragraph 2, available at NERC’s website (</w:t>
      </w:r>
      <w:hyperlink r:id="rId3" w:history="1">
        <w:r w:rsidRPr="00B939DA">
          <w:rPr>
            <w:rStyle w:val="Hyperlink"/>
            <w:sz w:val="26"/>
            <w:szCs w:val="26"/>
          </w:rPr>
          <w:t>http://www.nerc.com/FilingsOrders/us/RuleOfProcedureDL/NERC_ROP_Effective_20140701_updated_20140602%20(updated).pdf)</w:t>
        </w:r>
      </w:hyperlink>
      <w:r w:rsidRPr="00B939DA">
        <w:rPr>
          <w:sz w:val="26"/>
          <w:szCs w:val="26"/>
        </w:rPr>
        <w:t xml:space="preserve">.  </w:t>
      </w:r>
    </w:p>
  </w:footnote>
  <w:footnote w:id="14">
    <w:p w:rsidR="00E41F4F" w:rsidRDefault="00E41F4F" w:rsidP="004F7A2F">
      <w:pPr>
        <w:spacing w:after="0" w:line="240" w:lineRule="auto"/>
        <w:jc w:val="both"/>
      </w:pPr>
      <w:r>
        <w:rPr>
          <w:rStyle w:val="FootnoteReference"/>
        </w:rPr>
        <w:footnoteRef/>
      </w:r>
      <w:r>
        <w:t xml:space="preserve">  </w:t>
      </w:r>
      <w:r w:rsidRPr="00CA5B1A">
        <w:rPr>
          <w:rFonts w:ascii="Times New Roman" w:hAnsi="Times New Roman" w:cs="Times New Roman"/>
          <w:sz w:val="26"/>
          <w:szCs w:val="26"/>
        </w:rPr>
        <w:t xml:space="preserve">In the tables, </w:t>
      </w:r>
      <w:r w:rsidRPr="00223398">
        <w:rPr>
          <w:rFonts w:ascii="Times New Roman" w:hAnsi="Times New Roman" w:cs="Times New Roman"/>
          <w:sz w:val="26"/>
          <w:szCs w:val="26"/>
        </w:rPr>
        <w:t>an</w:t>
      </w:r>
      <w:r w:rsidRPr="00A74AB7">
        <w:rPr>
          <w:rFonts w:ascii="Times New Roman" w:hAnsi="Times New Roman" w:cs="Times New Roman"/>
          <w:sz w:val="26"/>
          <w:szCs w:val="26"/>
        </w:rPr>
        <w:t xml:space="preserve"> entity could serve one or more roles</w:t>
      </w:r>
      <w:r>
        <w:rPr>
          <w:rFonts w:ascii="Times New Roman" w:hAnsi="Times New Roman" w:cs="Times New Roman"/>
          <w:sz w:val="26"/>
          <w:szCs w:val="26"/>
        </w:rPr>
        <w:t>, be subject to multiple requirements, and be double counted in the number of entities</w:t>
      </w:r>
      <w:r w:rsidRPr="00A74AB7">
        <w:rPr>
          <w:rFonts w:ascii="Times New Roman" w:hAnsi="Times New Roman" w:cs="Times New Roman"/>
          <w:sz w:val="26"/>
          <w:szCs w:val="26"/>
        </w:rPr>
        <w:t>.</w:t>
      </w:r>
    </w:p>
  </w:footnote>
  <w:footnote w:id="15">
    <w:p w:rsidR="00E41F4F" w:rsidRPr="003F7F4B" w:rsidRDefault="00E41F4F" w:rsidP="00917FB4">
      <w:pPr>
        <w:pStyle w:val="FootnoteText"/>
        <w:rPr>
          <w:sz w:val="26"/>
          <w:szCs w:val="26"/>
        </w:rPr>
      </w:pPr>
      <w:r w:rsidRPr="003F7F4B">
        <w:rPr>
          <w:rStyle w:val="FootnoteReference"/>
        </w:rPr>
        <w:footnoteRef/>
      </w:r>
      <w:r w:rsidRPr="003F7F4B">
        <w:rPr>
          <w:sz w:val="26"/>
          <w:szCs w:val="26"/>
        </w:rPr>
        <w:t xml:space="preserve"> The reductions in burden and cost shown in the table are the same figures as those in the current OMB-approved inventory for the reporting and recordkeeping requirements, now being retired.</w:t>
      </w:r>
    </w:p>
  </w:footnote>
  <w:footnote w:id="16">
    <w:p w:rsidR="00E41F4F" w:rsidRPr="00720313" w:rsidRDefault="00E41F4F" w:rsidP="00BD0B6A">
      <w:pPr>
        <w:pStyle w:val="FootnoteText"/>
        <w:rPr>
          <w:sz w:val="26"/>
          <w:szCs w:val="26"/>
        </w:rPr>
      </w:pPr>
      <w:r w:rsidRPr="00B258EE">
        <w:rPr>
          <w:rStyle w:val="FootnoteReference"/>
        </w:rPr>
        <w:footnoteRef/>
      </w:r>
      <w:r w:rsidRPr="00B258EE">
        <w:rPr>
          <w:sz w:val="26"/>
          <w:szCs w:val="26"/>
        </w:rPr>
        <w:t xml:space="preserve"> </w:t>
      </w:r>
      <w:r w:rsidRPr="00720313">
        <w:rPr>
          <w:sz w:val="26"/>
          <w:szCs w:val="26"/>
        </w:rPr>
        <w:t>T</w:t>
      </w:r>
      <w:r w:rsidRPr="00B258EE">
        <w:rPr>
          <w:sz w:val="26"/>
          <w:szCs w:val="26"/>
        </w:rPr>
        <w:t xml:space="preserve">he hourly cost (for salary </w:t>
      </w:r>
      <w:r w:rsidRPr="00720313">
        <w:rPr>
          <w:sz w:val="26"/>
          <w:szCs w:val="26"/>
        </w:rPr>
        <w:t>plus benefits) uses the figures from the Bureau of Labor Statistics for three positions involved in the reporting and recordkeeping requirements.  These figures include salary (</w:t>
      </w:r>
      <w:hyperlink r:id="rId4" w:history="1">
        <w:r w:rsidRPr="00720313">
          <w:rPr>
            <w:rStyle w:val="Hyperlink"/>
            <w:sz w:val="26"/>
            <w:szCs w:val="26"/>
          </w:rPr>
          <w:t>http://bls.gov/oes/current/naics2_22.htm</w:t>
        </w:r>
      </w:hyperlink>
      <w:r w:rsidRPr="00B258EE">
        <w:rPr>
          <w:sz w:val="26"/>
          <w:szCs w:val="26"/>
        </w:rPr>
        <w:t>) and benefits (</w:t>
      </w:r>
      <w:hyperlink r:id="rId5" w:history="1">
        <w:r w:rsidRPr="00720313">
          <w:rPr>
            <w:rStyle w:val="Hyperlink"/>
            <w:sz w:val="26"/>
            <w:szCs w:val="26"/>
          </w:rPr>
          <w:t>http://www.bls.gov/news.release/ecec.nr0.htm</w:t>
        </w:r>
      </w:hyperlink>
      <w:r w:rsidRPr="00B258EE">
        <w:rPr>
          <w:sz w:val="26"/>
          <w:szCs w:val="26"/>
        </w:rPr>
        <w:t>) and are:</w:t>
      </w:r>
      <w:r>
        <w:rPr>
          <w:sz w:val="26"/>
          <w:szCs w:val="26"/>
        </w:rPr>
        <w:t xml:space="preserve"> </w:t>
      </w:r>
      <w:r w:rsidRPr="00720313">
        <w:rPr>
          <w:sz w:val="26"/>
          <w:szCs w:val="26"/>
        </w:rPr>
        <w:t>Manager: $89.07/hour</w:t>
      </w:r>
      <w:r>
        <w:rPr>
          <w:sz w:val="26"/>
          <w:szCs w:val="26"/>
        </w:rPr>
        <w:t xml:space="preserve">, </w:t>
      </w:r>
      <w:r w:rsidRPr="00720313">
        <w:rPr>
          <w:sz w:val="26"/>
          <w:szCs w:val="26"/>
        </w:rPr>
        <w:t>Engineer: $64.91/hour</w:t>
      </w:r>
      <w:r>
        <w:rPr>
          <w:sz w:val="26"/>
          <w:szCs w:val="26"/>
        </w:rPr>
        <w:t xml:space="preserve">, and </w:t>
      </w:r>
      <w:r w:rsidRPr="00720313">
        <w:rPr>
          <w:sz w:val="26"/>
          <w:szCs w:val="26"/>
        </w:rPr>
        <w:t>File Clerk: $31.19/hour</w:t>
      </w:r>
      <w:r>
        <w:rPr>
          <w:sz w:val="26"/>
          <w:szCs w:val="26"/>
        </w:rPr>
        <w:t>.</w:t>
      </w:r>
    </w:p>
    <w:p w:rsidR="00E41F4F" w:rsidRPr="00720313" w:rsidRDefault="00E41F4F" w:rsidP="00B45827">
      <w:pPr>
        <w:pStyle w:val="FootnoteText"/>
        <w:rPr>
          <w:sz w:val="26"/>
          <w:szCs w:val="26"/>
        </w:rPr>
      </w:pPr>
      <w:r w:rsidRPr="00720313">
        <w:rPr>
          <w:sz w:val="26"/>
          <w:szCs w:val="26"/>
        </w:rPr>
        <w:t>The hourly cost for the reporting requirements ($76.99) is an average of the cost of a manager and engineer.  The hourly cost for recordkeeping requirements uses the cost of a file clerk.</w:t>
      </w:r>
    </w:p>
  </w:footnote>
  <w:footnote w:id="17">
    <w:p w:rsidR="00E41F4F" w:rsidRPr="002D4A69" w:rsidRDefault="00E41F4F" w:rsidP="001D5446">
      <w:pPr>
        <w:pStyle w:val="FootnoteText"/>
        <w:rPr>
          <w:sz w:val="26"/>
          <w:szCs w:val="26"/>
        </w:rPr>
      </w:pPr>
    </w:p>
  </w:footnote>
  <w:footnote w:id="18">
    <w:p w:rsidR="00E41F4F" w:rsidRPr="002D4A69" w:rsidRDefault="00E41F4F" w:rsidP="002D4A69">
      <w:pPr>
        <w:pStyle w:val="FootnoteText"/>
        <w:rPr>
          <w:sz w:val="26"/>
          <w:szCs w:val="26"/>
          <w:highlight w:val="yellow"/>
        </w:rPr>
      </w:pPr>
      <w:r w:rsidRPr="00BD0B6A">
        <w:rPr>
          <w:rStyle w:val="FootnoteReference"/>
        </w:rPr>
        <w:footnoteRef/>
      </w:r>
      <w:r w:rsidRPr="002D4A69">
        <w:rPr>
          <w:sz w:val="26"/>
          <w:szCs w:val="26"/>
        </w:rPr>
        <w:t xml:space="preserve"> The number of respondents is derived from the NERC Compliance Registry as of March 10, 2017.</w:t>
      </w:r>
    </w:p>
  </w:footnote>
  <w:footnote w:id="19">
    <w:p w:rsidR="00E41F4F" w:rsidRPr="002D4A69" w:rsidRDefault="00E41F4F" w:rsidP="001E7258">
      <w:pPr>
        <w:pStyle w:val="FootnoteText"/>
        <w:rPr>
          <w:sz w:val="26"/>
          <w:szCs w:val="26"/>
        </w:rPr>
      </w:pPr>
      <w:r w:rsidRPr="00BD0B6A">
        <w:rPr>
          <w:rStyle w:val="Hyperlink"/>
          <w:color w:val="auto"/>
          <w:u w:val="none"/>
        </w:rPr>
        <w:footnoteRef/>
      </w:r>
      <w:r w:rsidRPr="002D4A69">
        <w:rPr>
          <w:sz w:val="26"/>
          <w:szCs w:val="26"/>
          <w:vertAlign w:val="superscript"/>
        </w:rPr>
        <w:t xml:space="preserve"> </w:t>
      </w:r>
      <w:r w:rsidRPr="002D4A69">
        <w:rPr>
          <w:sz w:val="26"/>
          <w:szCs w:val="26"/>
        </w:rPr>
        <w:t>For VAR-501-WECC-3, the hourly cost (for salary plus benefits) uses the figures from the Bureau of Labor Statistics for three positions involved in the reporting and recordkeeping requirements.  These figures include salary (</w:t>
      </w:r>
      <w:hyperlink r:id="rId6" w:history="1">
        <w:r w:rsidRPr="002D4A69">
          <w:rPr>
            <w:rStyle w:val="Hyperlink"/>
            <w:sz w:val="26"/>
            <w:szCs w:val="26"/>
          </w:rPr>
          <w:t>http://bls.gov/oes/current/naics2_22.htm</w:t>
        </w:r>
      </w:hyperlink>
      <w:r w:rsidRPr="002D4A69">
        <w:rPr>
          <w:sz w:val="26"/>
          <w:szCs w:val="26"/>
        </w:rPr>
        <w:t>) and benefits (</w:t>
      </w:r>
      <w:hyperlink r:id="rId7" w:history="1">
        <w:r w:rsidRPr="002D4A69">
          <w:rPr>
            <w:rStyle w:val="Hyperlink"/>
            <w:sz w:val="26"/>
            <w:szCs w:val="26"/>
          </w:rPr>
          <w:t>http://www.bls.gov/news.release/ecec.nr0.htm</w:t>
        </w:r>
      </w:hyperlink>
      <w:r w:rsidRPr="002D4A69">
        <w:rPr>
          <w:sz w:val="26"/>
          <w:szCs w:val="26"/>
        </w:rPr>
        <w:t>) and are:</w:t>
      </w:r>
    </w:p>
    <w:p w:rsidR="00E41F4F" w:rsidRPr="002D4A69" w:rsidRDefault="00E41F4F" w:rsidP="00CA5B1A">
      <w:pPr>
        <w:pStyle w:val="FootnoteText"/>
        <w:widowControl/>
        <w:autoSpaceDE/>
        <w:autoSpaceDN/>
        <w:adjustRightInd/>
        <w:rPr>
          <w:sz w:val="26"/>
          <w:szCs w:val="26"/>
        </w:rPr>
      </w:pPr>
      <w:r>
        <w:rPr>
          <w:sz w:val="26"/>
          <w:szCs w:val="26"/>
        </w:rPr>
        <w:t xml:space="preserve">Manager: $89.07/hour, Engineer: $64.91/hour, and </w:t>
      </w:r>
      <w:r w:rsidRPr="002D4A69">
        <w:rPr>
          <w:sz w:val="26"/>
          <w:szCs w:val="26"/>
        </w:rPr>
        <w:t>File Clerk: $31.19/hour</w:t>
      </w:r>
      <w:r>
        <w:rPr>
          <w:sz w:val="26"/>
          <w:szCs w:val="26"/>
        </w:rPr>
        <w:t>.</w:t>
      </w:r>
    </w:p>
    <w:p w:rsidR="00E41F4F" w:rsidRPr="002D4A69" w:rsidRDefault="00E41F4F" w:rsidP="00CA5B1A">
      <w:pPr>
        <w:pStyle w:val="FootnoteText"/>
        <w:rPr>
          <w:sz w:val="26"/>
          <w:szCs w:val="26"/>
        </w:rPr>
      </w:pPr>
      <w:r w:rsidRPr="002D4A69">
        <w:rPr>
          <w:sz w:val="26"/>
          <w:szCs w:val="26"/>
        </w:rPr>
        <w:t>The hourly cost for the reporting requirements ($76.99) is an average of the cost of a manager and engineer.  The hourly cost for recordkeeping requirements uses the cost of a file clerk.</w:t>
      </w:r>
    </w:p>
  </w:footnote>
  <w:footnote w:id="20">
    <w:p w:rsidR="00E41F4F" w:rsidRDefault="00E41F4F" w:rsidP="00917FB4">
      <w:pPr>
        <w:pStyle w:val="FootnoteText"/>
      </w:pPr>
      <w:r>
        <w:rPr>
          <w:rStyle w:val="FootnoteReference"/>
        </w:rPr>
        <w:footnoteRef/>
      </w:r>
      <w:r>
        <w:t xml:space="preserve"> </w:t>
      </w:r>
      <w:r w:rsidRPr="00D27CEF">
        <w:rPr>
          <w:sz w:val="26"/>
          <w:szCs w:val="26"/>
        </w:rPr>
        <w:t>The Commission is also removing 36 one-time burden hours associated with the requirements in Docket No. RM13-13.  The one-time burden has been completed and will now be administratively removed on submittal to OMB.  Those hours are not included in the table.</w:t>
      </w:r>
    </w:p>
  </w:footnote>
  <w:footnote w:id="21">
    <w:p w:rsidR="00E41F4F" w:rsidRPr="002D4A69" w:rsidRDefault="00E41F4F" w:rsidP="00BD0B6A">
      <w:pPr>
        <w:pStyle w:val="FootnoteText"/>
        <w:rPr>
          <w:sz w:val="26"/>
          <w:szCs w:val="26"/>
        </w:rPr>
      </w:pPr>
      <w:r w:rsidRPr="00BD0B6A">
        <w:rPr>
          <w:rStyle w:val="FootnoteReference"/>
        </w:rPr>
        <w:footnoteRef/>
      </w:r>
      <w:r w:rsidRPr="00BD0B6A">
        <w:t xml:space="preserve"> </w:t>
      </w:r>
      <w:r w:rsidRPr="002D4A69">
        <w:rPr>
          <w:sz w:val="26"/>
          <w:szCs w:val="26"/>
        </w:rPr>
        <w:t xml:space="preserve"> The number of respondents is derived from the NERC Compliance Registry as of March 10, 2017.</w:t>
      </w:r>
    </w:p>
  </w:footnote>
  <w:footnote w:id="22">
    <w:p w:rsidR="00E41F4F" w:rsidRPr="00720313" w:rsidRDefault="00E41F4F" w:rsidP="00BD0B6A">
      <w:pPr>
        <w:pStyle w:val="FootnoteText"/>
        <w:rPr>
          <w:sz w:val="26"/>
          <w:szCs w:val="26"/>
        </w:rPr>
      </w:pPr>
      <w:r w:rsidRPr="00B258EE">
        <w:rPr>
          <w:rStyle w:val="FootnoteReference"/>
        </w:rPr>
        <w:footnoteRef/>
      </w:r>
      <w:r w:rsidRPr="00B258EE">
        <w:rPr>
          <w:sz w:val="26"/>
          <w:szCs w:val="26"/>
        </w:rPr>
        <w:t xml:space="preserve"> </w:t>
      </w:r>
      <w:r w:rsidRPr="00720313">
        <w:rPr>
          <w:sz w:val="26"/>
          <w:szCs w:val="26"/>
        </w:rPr>
        <w:t>T</w:t>
      </w:r>
      <w:r w:rsidRPr="00B258EE">
        <w:rPr>
          <w:sz w:val="26"/>
          <w:szCs w:val="26"/>
        </w:rPr>
        <w:t xml:space="preserve">he hourly cost (for salary </w:t>
      </w:r>
      <w:r w:rsidRPr="00720313">
        <w:rPr>
          <w:sz w:val="26"/>
          <w:szCs w:val="26"/>
        </w:rPr>
        <w:t>plus benefits) uses the figures from the Bureau of Labor Statistics for three positions involved in the reporting and recordkeeping requirements.  These figures include salary (</w:t>
      </w:r>
      <w:hyperlink r:id="rId8" w:history="1">
        <w:r w:rsidRPr="00720313">
          <w:rPr>
            <w:rStyle w:val="Hyperlink"/>
            <w:sz w:val="26"/>
            <w:szCs w:val="26"/>
          </w:rPr>
          <w:t>http://bls.gov/oes/current/naics2_22.htm</w:t>
        </w:r>
      </w:hyperlink>
      <w:r w:rsidRPr="00B258EE">
        <w:rPr>
          <w:sz w:val="26"/>
          <w:szCs w:val="26"/>
        </w:rPr>
        <w:t>) and benefits (</w:t>
      </w:r>
      <w:hyperlink r:id="rId9" w:history="1">
        <w:r w:rsidRPr="00720313">
          <w:rPr>
            <w:rStyle w:val="Hyperlink"/>
            <w:sz w:val="26"/>
            <w:szCs w:val="26"/>
          </w:rPr>
          <w:t>http://www.bls.gov/news.release/ecec.nr0.htm</w:t>
        </w:r>
      </w:hyperlink>
      <w:r w:rsidRPr="00B258EE">
        <w:rPr>
          <w:sz w:val="26"/>
          <w:szCs w:val="26"/>
        </w:rPr>
        <w:t>) and are:</w:t>
      </w:r>
      <w:r>
        <w:rPr>
          <w:sz w:val="26"/>
          <w:szCs w:val="26"/>
        </w:rPr>
        <w:t xml:space="preserve"> </w:t>
      </w:r>
      <w:r w:rsidRPr="00720313">
        <w:rPr>
          <w:sz w:val="26"/>
          <w:szCs w:val="26"/>
        </w:rPr>
        <w:t>Manager: $89.07/hour</w:t>
      </w:r>
      <w:r>
        <w:rPr>
          <w:sz w:val="26"/>
          <w:szCs w:val="26"/>
        </w:rPr>
        <w:t>,</w:t>
      </w:r>
    </w:p>
    <w:p w:rsidR="00E41F4F" w:rsidRPr="00720313" w:rsidRDefault="00E41F4F" w:rsidP="00BD0B6A">
      <w:pPr>
        <w:pStyle w:val="FootnoteText"/>
        <w:widowControl/>
        <w:autoSpaceDE/>
        <w:autoSpaceDN/>
        <w:adjustRightInd/>
        <w:rPr>
          <w:sz w:val="26"/>
          <w:szCs w:val="26"/>
        </w:rPr>
      </w:pPr>
      <w:r w:rsidRPr="00720313">
        <w:rPr>
          <w:sz w:val="26"/>
          <w:szCs w:val="26"/>
        </w:rPr>
        <w:t>Engineer: $64.91/hour</w:t>
      </w:r>
      <w:r>
        <w:rPr>
          <w:sz w:val="26"/>
          <w:szCs w:val="26"/>
        </w:rPr>
        <w:t xml:space="preserve">, </w:t>
      </w:r>
      <w:r w:rsidRPr="00720313">
        <w:rPr>
          <w:sz w:val="26"/>
          <w:szCs w:val="26"/>
        </w:rPr>
        <w:t>File Clerk: $31.19/hour</w:t>
      </w:r>
      <w:r>
        <w:rPr>
          <w:sz w:val="26"/>
          <w:szCs w:val="26"/>
        </w:rPr>
        <w:t>.</w:t>
      </w:r>
    </w:p>
    <w:p w:rsidR="00E41F4F" w:rsidRPr="00720313" w:rsidRDefault="00E41F4F" w:rsidP="00B45827">
      <w:pPr>
        <w:pStyle w:val="FootnoteText"/>
        <w:rPr>
          <w:sz w:val="26"/>
          <w:szCs w:val="26"/>
        </w:rPr>
      </w:pPr>
      <w:r w:rsidRPr="00720313">
        <w:rPr>
          <w:sz w:val="26"/>
          <w:szCs w:val="26"/>
        </w:rPr>
        <w:t>The hourly cost for the reporting requirements ($76.99) is an average of the cost of a manager and engineer.  The hourly cost for recordkeeping requirements uses the cost of a file clerk.</w:t>
      </w:r>
    </w:p>
    <w:p w:rsidR="00E41F4F" w:rsidRPr="00720313" w:rsidRDefault="00E41F4F" w:rsidP="00B45827">
      <w:pPr>
        <w:pStyle w:val="FootnoteText"/>
        <w:rPr>
          <w:sz w:val="26"/>
          <w:szCs w:val="26"/>
        </w:rPr>
      </w:pPr>
    </w:p>
  </w:footnote>
  <w:footnote w:id="23">
    <w:p w:rsidR="00E41F4F" w:rsidRPr="002D4A69" w:rsidRDefault="00E41F4F" w:rsidP="00BD0B6A">
      <w:pPr>
        <w:pStyle w:val="FootnoteText"/>
        <w:jc w:val="both"/>
        <w:rPr>
          <w:sz w:val="26"/>
          <w:szCs w:val="26"/>
        </w:rPr>
      </w:pPr>
      <w:r w:rsidRPr="00BD0B6A">
        <w:rPr>
          <w:rStyle w:val="FootnoteReference"/>
        </w:rPr>
        <w:footnoteRef/>
      </w:r>
      <w:r w:rsidRPr="002D4A69">
        <w:rPr>
          <w:sz w:val="26"/>
          <w:szCs w:val="26"/>
        </w:rPr>
        <w:t xml:space="preserve"> Paperwork Reduction Act of 1995 (PRA)</w:t>
      </w:r>
    </w:p>
  </w:footnote>
  <w:footnote w:id="24">
    <w:p w:rsidR="00E41F4F" w:rsidRPr="002D4A69" w:rsidRDefault="00E41F4F" w:rsidP="00DA737C">
      <w:pPr>
        <w:pStyle w:val="FootnoteText"/>
        <w:rPr>
          <w:sz w:val="26"/>
          <w:szCs w:val="2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F4F" w:rsidRPr="00DE413B" w:rsidRDefault="00E41F4F" w:rsidP="001D5446">
    <w:pPr>
      <w:pStyle w:val="Header"/>
      <w:rPr>
        <w:rFonts w:ascii="Times New Roman" w:hAnsi="Times New Roman" w:cs="Times New Roman"/>
        <w:sz w:val="24"/>
        <w:szCs w:val="24"/>
      </w:rPr>
    </w:pPr>
    <w:r>
      <w:rPr>
        <w:rFonts w:ascii="Times New Roman" w:hAnsi="Times New Roman" w:cs="Times New Roman"/>
        <w:sz w:val="24"/>
        <w:szCs w:val="24"/>
      </w:rPr>
      <w:t>FERC-</w:t>
    </w:r>
    <w:r w:rsidRPr="00DE413B">
      <w:rPr>
        <w:rFonts w:ascii="Times New Roman" w:hAnsi="Times New Roman" w:cs="Times New Roman"/>
        <w:sz w:val="24"/>
        <w:szCs w:val="24"/>
      </w:rPr>
      <w:t>725</w:t>
    </w:r>
    <w:r>
      <w:rPr>
        <w:rFonts w:ascii="Times New Roman" w:hAnsi="Times New Roman" w:cs="Times New Roman"/>
        <w:sz w:val="24"/>
        <w:szCs w:val="24"/>
      </w:rPr>
      <w:t>E</w:t>
    </w:r>
    <w:r w:rsidRPr="00DE413B">
      <w:rPr>
        <w:rFonts w:ascii="Times New Roman" w:hAnsi="Times New Roman" w:cs="Times New Roman"/>
        <w:sz w:val="24"/>
        <w:szCs w:val="24"/>
      </w:rPr>
      <w:t xml:space="preserve"> (OMB Control Number: 1902-02</w:t>
    </w:r>
    <w:r>
      <w:rPr>
        <w:rFonts w:ascii="Times New Roman" w:hAnsi="Times New Roman" w:cs="Times New Roman"/>
        <w:sz w:val="24"/>
        <w:szCs w:val="24"/>
      </w:rPr>
      <w:t>46</w:t>
    </w:r>
    <w:r w:rsidRPr="00DE413B">
      <w:rPr>
        <w:rFonts w:ascii="Times New Roman" w:hAnsi="Times New Roman" w:cs="Times New Roman"/>
        <w:sz w:val="24"/>
        <w:szCs w:val="24"/>
      </w:rPr>
      <w:t>)</w:t>
    </w:r>
  </w:p>
  <w:p w:rsidR="00E41F4F" w:rsidRDefault="00E41F4F" w:rsidP="001D5446">
    <w:pPr>
      <w:pStyle w:val="Header"/>
      <w:rPr>
        <w:rFonts w:ascii="Times New Roman" w:hAnsi="Times New Roman" w:cs="Times New Roman"/>
        <w:sz w:val="24"/>
        <w:szCs w:val="24"/>
      </w:rPr>
    </w:pPr>
    <w:r w:rsidRPr="00DE413B">
      <w:rPr>
        <w:rFonts w:ascii="Times New Roman" w:hAnsi="Times New Roman" w:cs="Times New Roman"/>
        <w:sz w:val="24"/>
        <w:szCs w:val="24"/>
      </w:rPr>
      <w:t>Docket</w:t>
    </w:r>
    <w:r>
      <w:rPr>
        <w:rFonts w:ascii="Times New Roman" w:hAnsi="Times New Roman" w:cs="Times New Roman"/>
        <w:sz w:val="24"/>
        <w:szCs w:val="24"/>
      </w:rPr>
      <w:t xml:space="preserve"> Nos. RD16-10</w:t>
    </w:r>
    <w:r w:rsidRPr="00CE2CDA">
      <w:rPr>
        <w:rFonts w:ascii="Times New Roman" w:hAnsi="Times New Roman" w:cs="Times New Roman"/>
        <w:sz w:val="24"/>
        <w:szCs w:val="24"/>
      </w:rPr>
      <w:t>-000</w:t>
    </w:r>
    <w:r>
      <w:rPr>
        <w:rFonts w:ascii="Times New Roman" w:hAnsi="Times New Roman" w:cs="Times New Roman"/>
        <w:sz w:val="24"/>
        <w:szCs w:val="24"/>
      </w:rPr>
      <w:t>, RD17-5-000 and IC17-6-000</w:t>
    </w:r>
  </w:p>
  <w:p w:rsidR="00E41F4F" w:rsidRDefault="00E41F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C04FF"/>
    <w:multiLevelType w:val="hybridMultilevel"/>
    <w:tmpl w:val="CAC21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E068CE"/>
    <w:multiLevelType w:val="hybridMultilevel"/>
    <w:tmpl w:val="02E0B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2BB3549"/>
    <w:multiLevelType w:val="hybridMultilevel"/>
    <w:tmpl w:val="20D01A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53C6417"/>
    <w:multiLevelType w:val="hybridMultilevel"/>
    <w:tmpl w:val="B8B2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DB56EA1"/>
    <w:multiLevelType w:val="hybridMultilevel"/>
    <w:tmpl w:val="DF985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FCC1895"/>
    <w:multiLevelType w:val="hybridMultilevel"/>
    <w:tmpl w:val="632C2E0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37C"/>
    <w:rsid w:val="00007D79"/>
    <w:rsid w:val="00060414"/>
    <w:rsid w:val="00091DDC"/>
    <w:rsid w:val="000B4A06"/>
    <w:rsid w:val="000D1854"/>
    <w:rsid w:val="000F3ED8"/>
    <w:rsid w:val="00101FE5"/>
    <w:rsid w:val="00141744"/>
    <w:rsid w:val="001535BD"/>
    <w:rsid w:val="00173CA3"/>
    <w:rsid w:val="001839DC"/>
    <w:rsid w:val="001B5572"/>
    <w:rsid w:val="001B5E66"/>
    <w:rsid w:val="001D3D61"/>
    <w:rsid w:val="001D4451"/>
    <w:rsid w:val="001D5446"/>
    <w:rsid w:val="001E65C3"/>
    <w:rsid w:val="001E7258"/>
    <w:rsid w:val="00223398"/>
    <w:rsid w:val="00223C22"/>
    <w:rsid w:val="002418E5"/>
    <w:rsid w:val="0026159A"/>
    <w:rsid w:val="00291F13"/>
    <w:rsid w:val="002A113A"/>
    <w:rsid w:val="002D4A69"/>
    <w:rsid w:val="002D601E"/>
    <w:rsid w:val="002D7E44"/>
    <w:rsid w:val="003143A8"/>
    <w:rsid w:val="00350618"/>
    <w:rsid w:val="00363D7B"/>
    <w:rsid w:val="0037346C"/>
    <w:rsid w:val="003931A5"/>
    <w:rsid w:val="003C273F"/>
    <w:rsid w:val="003E0B69"/>
    <w:rsid w:val="00403F6F"/>
    <w:rsid w:val="00410944"/>
    <w:rsid w:val="004207E0"/>
    <w:rsid w:val="004659F3"/>
    <w:rsid w:val="004744A9"/>
    <w:rsid w:val="00496CD8"/>
    <w:rsid w:val="004B65D1"/>
    <w:rsid w:val="004F4C33"/>
    <w:rsid w:val="004F7A2F"/>
    <w:rsid w:val="00525017"/>
    <w:rsid w:val="005307B1"/>
    <w:rsid w:val="00550861"/>
    <w:rsid w:val="0057409A"/>
    <w:rsid w:val="00584F2D"/>
    <w:rsid w:val="0058516D"/>
    <w:rsid w:val="005A38E7"/>
    <w:rsid w:val="005B555E"/>
    <w:rsid w:val="005C737E"/>
    <w:rsid w:val="005D7AAB"/>
    <w:rsid w:val="005E4E42"/>
    <w:rsid w:val="005F7D59"/>
    <w:rsid w:val="0064219F"/>
    <w:rsid w:val="00656839"/>
    <w:rsid w:val="00663FE4"/>
    <w:rsid w:val="00665F52"/>
    <w:rsid w:val="006B48F9"/>
    <w:rsid w:val="006D326C"/>
    <w:rsid w:val="006F5765"/>
    <w:rsid w:val="007074C5"/>
    <w:rsid w:val="00712C55"/>
    <w:rsid w:val="0071363C"/>
    <w:rsid w:val="00725223"/>
    <w:rsid w:val="007547A8"/>
    <w:rsid w:val="00773A1D"/>
    <w:rsid w:val="00774B9D"/>
    <w:rsid w:val="007855E9"/>
    <w:rsid w:val="007A2A3F"/>
    <w:rsid w:val="007A3197"/>
    <w:rsid w:val="007C48CA"/>
    <w:rsid w:val="007C5EA3"/>
    <w:rsid w:val="007D0E0F"/>
    <w:rsid w:val="007F410A"/>
    <w:rsid w:val="0083696F"/>
    <w:rsid w:val="00842F8B"/>
    <w:rsid w:val="00875A09"/>
    <w:rsid w:val="00883A27"/>
    <w:rsid w:val="00905240"/>
    <w:rsid w:val="009063C7"/>
    <w:rsid w:val="00917FB4"/>
    <w:rsid w:val="0093182D"/>
    <w:rsid w:val="0094136F"/>
    <w:rsid w:val="00967BE8"/>
    <w:rsid w:val="00975EBD"/>
    <w:rsid w:val="00990515"/>
    <w:rsid w:val="009A3F19"/>
    <w:rsid w:val="009B7FB5"/>
    <w:rsid w:val="009C1D12"/>
    <w:rsid w:val="009E5233"/>
    <w:rsid w:val="009E7606"/>
    <w:rsid w:val="009F5A2C"/>
    <w:rsid w:val="00A07CBC"/>
    <w:rsid w:val="00A1039F"/>
    <w:rsid w:val="00A12421"/>
    <w:rsid w:val="00A74AB7"/>
    <w:rsid w:val="00AF2DFE"/>
    <w:rsid w:val="00B12489"/>
    <w:rsid w:val="00B25098"/>
    <w:rsid w:val="00B332D5"/>
    <w:rsid w:val="00B45827"/>
    <w:rsid w:val="00B51244"/>
    <w:rsid w:val="00B5660E"/>
    <w:rsid w:val="00B70451"/>
    <w:rsid w:val="00B70F43"/>
    <w:rsid w:val="00B7752D"/>
    <w:rsid w:val="00BB03B3"/>
    <w:rsid w:val="00BD0B6A"/>
    <w:rsid w:val="00BD46B4"/>
    <w:rsid w:val="00C20BE8"/>
    <w:rsid w:val="00C278EB"/>
    <w:rsid w:val="00C64BFE"/>
    <w:rsid w:val="00C935C2"/>
    <w:rsid w:val="00C93B81"/>
    <w:rsid w:val="00CA5B1A"/>
    <w:rsid w:val="00CB21AA"/>
    <w:rsid w:val="00CE0F7F"/>
    <w:rsid w:val="00D24A23"/>
    <w:rsid w:val="00D46DD1"/>
    <w:rsid w:val="00D56C7D"/>
    <w:rsid w:val="00D646C9"/>
    <w:rsid w:val="00D6659D"/>
    <w:rsid w:val="00D731B2"/>
    <w:rsid w:val="00D92026"/>
    <w:rsid w:val="00D94F41"/>
    <w:rsid w:val="00DA737C"/>
    <w:rsid w:val="00DC74A3"/>
    <w:rsid w:val="00DF0B7D"/>
    <w:rsid w:val="00E41F4F"/>
    <w:rsid w:val="00E57060"/>
    <w:rsid w:val="00E60942"/>
    <w:rsid w:val="00E64979"/>
    <w:rsid w:val="00E70CDD"/>
    <w:rsid w:val="00E9787E"/>
    <w:rsid w:val="00EB1E46"/>
    <w:rsid w:val="00EE1E94"/>
    <w:rsid w:val="00EF3F56"/>
    <w:rsid w:val="00F73076"/>
    <w:rsid w:val="00F77815"/>
    <w:rsid w:val="00FA7881"/>
    <w:rsid w:val="00FB74EB"/>
    <w:rsid w:val="00FC077B"/>
    <w:rsid w:val="00FC2476"/>
    <w:rsid w:val="00FF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37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37C"/>
  </w:style>
  <w:style w:type="paragraph" w:styleId="Footer">
    <w:name w:val="footer"/>
    <w:basedOn w:val="Normal"/>
    <w:link w:val="FooterChar"/>
    <w:uiPriority w:val="99"/>
    <w:unhideWhenUsed/>
    <w:rsid w:val="00DA7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37C"/>
  </w:style>
  <w:style w:type="paragraph" w:styleId="ListParagraph">
    <w:name w:val="List Paragraph"/>
    <w:basedOn w:val="Normal"/>
    <w:uiPriority w:val="34"/>
    <w:qFormat/>
    <w:rsid w:val="00DA737C"/>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qFormat/>
    <w:rsid w:val="00DA737C"/>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qFormat/>
    <w:rsid w:val="00DA737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basedOn w:val="DefaultParagraphFont"/>
    <w:semiHidden/>
    <w:rsid w:val="00DA737C"/>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1 Char"/>
    <w:link w:val="FootnoteText"/>
    <w:rsid w:val="00DA737C"/>
    <w:rPr>
      <w:rFonts w:ascii="Times New Roman" w:eastAsia="Times New Roman" w:hAnsi="Times New Roman" w:cs="Times New Roman"/>
      <w:sz w:val="20"/>
      <w:szCs w:val="20"/>
    </w:rPr>
  </w:style>
  <w:style w:type="character" w:styleId="Hyperlink">
    <w:name w:val="Hyperlink"/>
    <w:basedOn w:val="DefaultParagraphFont"/>
    <w:rsid w:val="00DA737C"/>
    <w:rPr>
      <w:color w:val="0000FF"/>
      <w:u w:val="single"/>
    </w:rPr>
  </w:style>
  <w:style w:type="table" w:styleId="TableGrid">
    <w:name w:val="Table Grid"/>
    <w:basedOn w:val="TableNormal"/>
    <w:uiPriority w:val="39"/>
    <w:rsid w:val="001D5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A113A"/>
    <w:rPr>
      <w:color w:val="954F72" w:themeColor="followedHyperlink"/>
      <w:u w:val="single"/>
    </w:rPr>
  </w:style>
  <w:style w:type="paragraph" w:styleId="BalloonText">
    <w:name w:val="Balloon Text"/>
    <w:basedOn w:val="Normal"/>
    <w:link w:val="BalloonTextChar"/>
    <w:uiPriority w:val="99"/>
    <w:semiHidden/>
    <w:unhideWhenUsed/>
    <w:rsid w:val="00FC24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476"/>
    <w:rPr>
      <w:rFonts w:ascii="Segoe UI" w:hAnsi="Segoe UI" w:cs="Segoe UI"/>
      <w:sz w:val="18"/>
      <w:szCs w:val="18"/>
    </w:rPr>
  </w:style>
  <w:style w:type="character" w:styleId="CommentReference">
    <w:name w:val="annotation reference"/>
    <w:basedOn w:val="DefaultParagraphFont"/>
    <w:uiPriority w:val="99"/>
    <w:semiHidden/>
    <w:unhideWhenUsed/>
    <w:rsid w:val="00FC2476"/>
    <w:rPr>
      <w:sz w:val="16"/>
      <w:szCs w:val="16"/>
    </w:rPr>
  </w:style>
  <w:style w:type="paragraph" w:styleId="CommentText">
    <w:name w:val="annotation text"/>
    <w:basedOn w:val="Normal"/>
    <w:link w:val="CommentTextChar"/>
    <w:uiPriority w:val="99"/>
    <w:semiHidden/>
    <w:unhideWhenUsed/>
    <w:rsid w:val="00FC2476"/>
    <w:pPr>
      <w:spacing w:line="240" w:lineRule="auto"/>
    </w:pPr>
    <w:rPr>
      <w:sz w:val="20"/>
      <w:szCs w:val="20"/>
    </w:rPr>
  </w:style>
  <w:style w:type="character" w:customStyle="1" w:styleId="CommentTextChar">
    <w:name w:val="Comment Text Char"/>
    <w:basedOn w:val="DefaultParagraphFont"/>
    <w:link w:val="CommentText"/>
    <w:uiPriority w:val="99"/>
    <w:semiHidden/>
    <w:rsid w:val="00FC2476"/>
    <w:rPr>
      <w:sz w:val="20"/>
      <w:szCs w:val="20"/>
    </w:rPr>
  </w:style>
  <w:style w:type="paragraph" w:styleId="CommentSubject">
    <w:name w:val="annotation subject"/>
    <w:basedOn w:val="CommentText"/>
    <w:next w:val="CommentText"/>
    <w:link w:val="CommentSubjectChar"/>
    <w:uiPriority w:val="99"/>
    <w:semiHidden/>
    <w:unhideWhenUsed/>
    <w:rsid w:val="00FC2476"/>
    <w:rPr>
      <w:b/>
      <w:bCs/>
    </w:rPr>
  </w:style>
  <w:style w:type="character" w:customStyle="1" w:styleId="CommentSubjectChar">
    <w:name w:val="Comment Subject Char"/>
    <w:basedOn w:val="CommentTextChar"/>
    <w:link w:val="CommentSubject"/>
    <w:uiPriority w:val="99"/>
    <w:semiHidden/>
    <w:rsid w:val="00FC2476"/>
    <w:rPr>
      <w:b/>
      <w:bCs/>
      <w:sz w:val="20"/>
      <w:szCs w:val="20"/>
    </w:rPr>
  </w:style>
  <w:style w:type="paragraph" w:styleId="EndnoteText">
    <w:name w:val="endnote text"/>
    <w:basedOn w:val="Normal"/>
    <w:link w:val="EndnoteTextChar"/>
    <w:uiPriority w:val="99"/>
    <w:semiHidden/>
    <w:unhideWhenUsed/>
    <w:rsid w:val="005508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0861"/>
    <w:rPr>
      <w:sz w:val="20"/>
      <w:szCs w:val="20"/>
    </w:rPr>
  </w:style>
  <w:style w:type="character" w:styleId="EndnoteReference">
    <w:name w:val="endnote reference"/>
    <w:basedOn w:val="DefaultParagraphFont"/>
    <w:uiPriority w:val="99"/>
    <w:semiHidden/>
    <w:unhideWhenUsed/>
    <w:rsid w:val="00550861"/>
    <w:rPr>
      <w:vertAlign w:val="superscript"/>
    </w:rPr>
  </w:style>
  <w:style w:type="paragraph" w:styleId="PlainText">
    <w:name w:val="Plain Text"/>
    <w:basedOn w:val="Normal"/>
    <w:link w:val="PlainTextChar"/>
    <w:uiPriority w:val="99"/>
    <w:semiHidden/>
    <w:unhideWhenUsed/>
    <w:rsid w:val="0037346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7346C"/>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37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37C"/>
  </w:style>
  <w:style w:type="paragraph" w:styleId="Footer">
    <w:name w:val="footer"/>
    <w:basedOn w:val="Normal"/>
    <w:link w:val="FooterChar"/>
    <w:uiPriority w:val="99"/>
    <w:unhideWhenUsed/>
    <w:rsid w:val="00DA7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37C"/>
  </w:style>
  <w:style w:type="paragraph" w:styleId="ListParagraph">
    <w:name w:val="List Paragraph"/>
    <w:basedOn w:val="Normal"/>
    <w:uiPriority w:val="34"/>
    <w:qFormat/>
    <w:rsid w:val="00DA737C"/>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qFormat/>
    <w:rsid w:val="00DA737C"/>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qFormat/>
    <w:rsid w:val="00DA737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basedOn w:val="DefaultParagraphFont"/>
    <w:semiHidden/>
    <w:rsid w:val="00DA737C"/>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1 Char"/>
    <w:link w:val="FootnoteText"/>
    <w:rsid w:val="00DA737C"/>
    <w:rPr>
      <w:rFonts w:ascii="Times New Roman" w:eastAsia="Times New Roman" w:hAnsi="Times New Roman" w:cs="Times New Roman"/>
      <w:sz w:val="20"/>
      <w:szCs w:val="20"/>
    </w:rPr>
  </w:style>
  <w:style w:type="character" w:styleId="Hyperlink">
    <w:name w:val="Hyperlink"/>
    <w:basedOn w:val="DefaultParagraphFont"/>
    <w:rsid w:val="00DA737C"/>
    <w:rPr>
      <w:color w:val="0000FF"/>
      <w:u w:val="single"/>
    </w:rPr>
  </w:style>
  <w:style w:type="table" w:styleId="TableGrid">
    <w:name w:val="Table Grid"/>
    <w:basedOn w:val="TableNormal"/>
    <w:uiPriority w:val="39"/>
    <w:rsid w:val="001D5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A113A"/>
    <w:rPr>
      <w:color w:val="954F72" w:themeColor="followedHyperlink"/>
      <w:u w:val="single"/>
    </w:rPr>
  </w:style>
  <w:style w:type="paragraph" w:styleId="BalloonText">
    <w:name w:val="Balloon Text"/>
    <w:basedOn w:val="Normal"/>
    <w:link w:val="BalloonTextChar"/>
    <w:uiPriority w:val="99"/>
    <w:semiHidden/>
    <w:unhideWhenUsed/>
    <w:rsid w:val="00FC24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476"/>
    <w:rPr>
      <w:rFonts w:ascii="Segoe UI" w:hAnsi="Segoe UI" w:cs="Segoe UI"/>
      <w:sz w:val="18"/>
      <w:szCs w:val="18"/>
    </w:rPr>
  </w:style>
  <w:style w:type="character" w:styleId="CommentReference">
    <w:name w:val="annotation reference"/>
    <w:basedOn w:val="DefaultParagraphFont"/>
    <w:uiPriority w:val="99"/>
    <w:semiHidden/>
    <w:unhideWhenUsed/>
    <w:rsid w:val="00FC2476"/>
    <w:rPr>
      <w:sz w:val="16"/>
      <w:szCs w:val="16"/>
    </w:rPr>
  </w:style>
  <w:style w:type="paragraph" w:styleId="CommentText">
    <w:name w:val="annotation text"/>
    <w:basedOn w:val="Normal"/>
    <w:link w:val="CommentTextChar"/>
    <w:uiPriority w:val="99"/>
    <w:semiHidden/>
    <w:unhideWhenUsed/>
    <w:rsid w:val="00FC2476"/>
    <w:pPr>
      <w:spacing w:line="240" w:lineRule="auto"/>
    </w:pPr>
    <w:rPr>
      <w:sz w:val="20"/>
      <w:szCs w:val="20"/>
    </w:rPr>
  </w:style>
  <w:style w:type="character" w:customStyle="1" w:styleId="CommentTextChar">
    <w:name w:val="Comment Text Char"/>
    <w:basedOn w:val="DefaultParagraphFont"/>
    <w:link w:val="CommentText"/>
    <w:uiPriority w:val="99"/>
    <w:semiHidden/>
    <w:rsid w:val="00FC2476"/>
    <w:rPr>
      <w:sz w:val="20"/>
      <w:szCs w:val="20"/>
    </w:rPr>
  </w:style>
  <w:style w:type="paragraph" w:styleId="CommentSubject">
    <w:name w:val="annotation subject"/>
    <w:basedOn w:val="CommentText"/>
    <w:next w:val="CommentText"/>
    <w:link w:val="CommentSubjectChar"/>
    <w:uiPriority w:val="99"/>
    <w:semiHidden/>
    <w:unhideWhenUsed/>
    <w:rsid w:val="00FC2476"/>
    <w:rPr>
      <w:b/>
      <w:bCs/>
    </w:rPr>
  </w:style>
  <w:style w:type="character" w:customStyle="1" w:styleId="CommentSubjectChar">
    <w:name w:val="Comment Subject Char"/>
    <w:basedOn w:val="CommentTextChar"/>
    <w:link w:val="CommentSubject"/>
    <w:uiPriority w:val="99"/>
    <w:semiHidden/>
    <w:rsid w:val="00FC2476"/>
    <w:rPr>
      <w:b/>
      <w:bCs/>
      <w:sz w:val="20"/>
      <w:szCs w:val="20"/>
    </w:rPr>
  </w:style>
  <w:style w:type="paragraph" w:styleId="EndnoteText">
    <w:name w:val="endnote text"/>
    <w:basedOn w:val="Normal"/>
    <w:link w:val="EndnoteTextChar"/>
    <w:uiPriority w:val="99"/>
    <w:semiHidden/>
    <w:unhideWhenUsed/>
    <w:rsid w:val="005508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0861"/>
    <w:rPr>
      <w:sz w:val="20"/>
      <w:szCs w:val="20"/>
    </w:rPr>
  </w:style>
  <w:style w:type="character" w:styleId="EndnoteReference">
    <w:name w:val="endnote reference"/>
    <w:basedOn w:val="DefaultParagraphFont"/>
    <w:uiPriority w:val="99"/>
    <w:semiHidden/>
    <w:unhideWhenUsed/>
    <w:rsid w:val="00550861"/>
    <w:rPr>
      <w:vertAlign w:val="superscript"/>
    </w:rPr>
  </w:style>
  <w:style w:type="paragraph" w:styleId="PlainText">
    <w:name w:val="Plain Text"/>
    <w:basedOn w:val="Normal"/>
    <w:link w:val="PlainTextChar"/>
    <w:uiPriority w:val="99"/>
    <w:semiHidden/>
    <w:unhideWhenUsed/>
    <w:rsid w:val="0037346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7346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530952">
      <w:bodyDiv w:val="1"/>
      <w:marLeft w:val="0"/>
      <w:marRight w:val="0"/>
      <w:marTop w:val="0"/>
      <w:marBottom w:val="0"/>
      <w:divBdr>
        <w:top w:val="none" w:sz="0" w:space="0" w:color="auto"/>
        <w:left w:val="none" w:sz="0" w:space="0" w:color="auto"/>
        <w:bottom w:val="none" w:sz="0" w:space="0" w:color="auto"/>
        <w:right w:val="none" w:sz="0" w:space="0" w:color="auto"/>
      </w:divBdr>
    </w:div>
    <w:div w:id="780494335">
      <w:bodyDiv w:val="1"/>
      <w:marLeft w:val="0"/>
      <w:marRight w:val="0"/>
      <w:marTop w:val="0"/>
      <w:marBottom w:val="0"/>
      <w:divBdr>
        <w:top w:val="none" w:sz="0" w:space="0" w:color="auto"/>
        <w:left w:val="none" w:sz="0" w:space="0" w:color="auto"/>
        <w:bottom w:val="none" w:sz="0" w:space="0" w:color="auto"/>
        <w:right w:val="none" w:sz="0" w:space="0" w:color="auto"/>
      </w:divBdr>
    </w:div>
    <w:div w:id="1070424104">
      <w:bodyDiv w:val="1"/>
      <w:marLeft w:val="0"/>
      <w:marRight w:val="0"/>
      <w:marTop w:val="0"/>
      <w:marBottom w:val="0"/>
      <w:divBdr>
        <w:top w:val="none" w:sz="0" w:space="0" w:color="auto"/>
        <w:left w:val="none" w:sz="0" w:space="0" w:color="auto"/>
        <w:bottom w:val="none" w:sz="0" w:space="0" w:color="auto"/>
        <w:right w:val="none" w:sz="0" w:space="0" w:color="auto"/>
      </w:divBdr>
    </w:div>
    <w:div w:id="1077478999">
      <w:bodyDiv w:val="1"/>
      <w:marLeft w:val="0"/>
      <w:marRight w:val="0"/>
      <w:marTop w:val="0"/>
      <w:marBottom w:val="0"/>
      <w:divBdr>
        <w:top w:val="none" w:sz="0" w:space="0" w:color="auto"/>
        <w:left w:val="none" w:sz="0" w:space="0" w:color="auto"/>
        <w:bottom w:val="none" w:sz="0" w:space="0" w:color="auto"/>
        <w:right w:val="none" w:sz="0" w:space="0" w:color="auto"/>
      </w:divBdr>
    </w:div>
    <w:div w:id="1276249224">
      <w:bodyDiv w:val="1"/>
      <w:marLeft w:val="0"/>
      <w:marRight w:val="0"/>
      <w:marTop w:val="0"/>
      <w:marBottom w:val="0"/>
      <w:divBdr>
        <w:top w:val="none" w:sz="0" w:space="0" w:color="auto"/>
        <w:left w:val="none" w:sz="0" w:space="0" w:color="auto"/>
        <w:bottom w:val="none" w:sz="0" w:space="0" w:color="auto"/>
        <w:right w:val="none" w:sz="0" w:space="0" w:color="auto"/>
      </w:divBdr>
    </w:div>
    <w:div w:id="1439830933">
      <w:bodyDiv w:val="1"/>
      <w:marLeft w:val="0"/>
      <w:marRight w:val="0"/>
      <w:marTop w:val="0"/>
      <w:marBottom w:val="0"/>
      <w:divBdr>
        <w:top w:val="none" w:sz="0" w:space="0" w:color="auto"/>
        <w:left w:val="none" w:sz="0" w:space="0" w:color="auto"/>
        <w:bottom w:val="none" w:sz="0" w:space="0" w:color="auto"/>
        <w:right w:val="none" w:sz="0" w:space="0" w:color="auto"/>
      </w:divBdr>
    </w:div>
    <w:div w:id="1511600188">
      <w:bodyDiv w:val="1"/>
      <w:marLeft w:val="0"/>
      <w:marRight w:val="0"/>
      <w:marTop w:val="0"/>
      <w:marBottom w:val="0"/>
      <w:divBdr>
        <w:top w:val="none" w:sz="0" w:space="0" w:color="auto"/>
        <w:left w:val="none" w:sz="0" w:space="0" w:color="auto"/>
        <w:bottom w:val="none" w:sz="0" w:space="0" w:color="auto"/>
        <w:right w:val="none" w:sz="0" w:space="0" w:color="auto"/>
      </w:divBdr>
    </w:div>
    <w:div w:id="1559052654">
      <w:bodyDiv w:val="1"/>
      <w:marLeft w:val="0"/>
      <w:marRight w:val="0"/>
      <w:marTop w:val="0"/>
      <w:marBottom w:val="0"/>
      <w:divBdr>
        <w:top w:val="none" w:sz="0" w:space="0" w:color="auto"/>
        <w:left w:val="none" w:sz="0" w:space="0" w:color="auto"/>
        <w:bottom w:val="none" w:sz="0" w:space="0" w:color="auto"/>
        <w:right w:val="none" w:sz="0" w:space="0" w:color="auto"/>
      </w:divBdr>
    </w:div>
    <w:div w:id="1730885818">
      <w:bodyDiv w:val="1"/>
      <w:marLeft w:val="0"/>
      <w:marRight w:val="0"/>
      <w:marTop w:val="0"/>
      <w:marBottom w:val="0"/>
      <w:divBdr>
        <w:top w:val="none" w:sz="0" w:space="0" w:color="auto"/>
        <w:left w:val="none" w:sz="0" w:space="0" w:color="auto"/>
        <w:bottom w:val="none" w:sz="0" w:space="0" w:color="auto"/>
        <w:right w:val="none" w:sz="0" w:space="0" w:color="auto"/>
      </w:divBdr>
    </w:div>
    <w:div w:id="175578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bls.gov/oes/current/naics2_22.htm" TargetMode="External"/><Relationship Id="rId3" Type="http://schemas.openxmlformats.org/officeDocument/2006/relationships/hyperlink" Target="http://www.nerc.com/FilingsOrders/us/RuleOfProcedureDL/NERC_ROP_Effective_20140701_updated_20140602%20(updated).pdf)" TargetMode="External"/><Relationship Id="rId7" Type="http://schemas.openxmlformats.org/officeDocument/2006/relationships/hyperlink" Target="http://www.bls.gov/news.release/ecec.nr0.htm" TargetMode="External"/><Relationship Id="rId2" Type="http://schemas.openxmlformats.org/officeDocument/2006/relationships/hyperlink" Target="http://www.nerc.com/comm/PC/Pages/Protection-System-Misoperations-Task-Force-(PSMTF)-2013.aspx" TargetMode="External"/><Relationship Id="rId1" Type="http://schemas.openxmlformats.org/officeDocument/2006/relationships/hyperlink" Target="https://elibrary.ferc.gov/idmws/common/opennat.asp?fileID=14515285" TargetMode="External"/><Relationship Id="rId6" Type="http://schemas.openxmlformats.org/officeDocument/2006/relationships/hyperlink" Target="http://bls.gov/oes/current/naics2_22.htm" TargetMode="External"/><Relationship Id="rId5" Type="http://schemas.openxmlformats.org/officeDocument/2006/relationships/hyperlink" Target="http://www.bls.gov/news.release/ecec.nr0.htm" TargetMode="External"/><Relationship Id="rId4" Type="http://schemas.openxmlformats.org/officeDocument/2006/relationships/hyperlink" Target="http://bls.gov/oes/current/naics2_22.htm" TargetMode="External"/><Relationship Id="rId9"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554ac0bdc10f7dea3e168c16496930f1">
  <xsd:schema xmlns:xsd="http://www.w3.org/2001/XMLSchema" xmlns:xs="http://www.w3.org/2001/XMLSchema" xmlns:p="http://schemas.microsoft.com/office/2006/metadata/properties" xmlns:ns2="d6eefc7d-9817-4fa6-84d5-3bc009be21b8" targetNamespace="http://schemas.microsoft.com/office/2006/metadata/properties" ma:root="true" ma:fieldsID="f3859b136ef73833873d2ce29e844531"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ate xmlns="d6eefc7d-9817-4fa6-84d5-3bc009be21b8">2017-08-30T00:00:00-04:00</Date>
    <Renewal_x0020_Document_x0020_Type xmlns="d6eefc7d-9817-4fa6-84d5-3bc009be21b8">OMB Supporting Statement</Renewal_x0020_Document_x0020_Type>
    <Rulemaking_x0020_Document_x0020_Type xmlns="d6eefc7d-9817-4fa6-84d5-3bc009be21b8">OMB Supporting Statement</Rulemaking_x0020_Document_x0020_Type>
    <_x0033__x002e__x0020_Docket_x0020_Number xmlns="d6eefc7d-9817-4fa6-84d5-3bc009be21b8">IC17-6</_x0033__x002e__x0020_Docket_x0020_Number>
    <_x0031__x002e__x0020_Collection_x0020_Number xmlns="d6eefc7d-9817-4fa6-84d5-3bc009be21b8">725E</_x0031__x002e__x0020_Collection_x0020_Number>
    <Status xmlns="d6eefc7d-9817-4fa6-84d5-3bc009be21b8">Draft</Status>
    <_x0032__x002e__x0020_Docket_x0020_Number xmlns="d6eefc7d-9817-4fa6-84d5-3bc009be21b8">RD17-5</_x0032__x002e__x0020_Docket_x0020_Number>
    <_x0032__x002e__x0020_Collection_x0020_Number xmlns="d6eefc7d-9817-4fa6-84d5-3bc009be21b8" xsi:nil="true"/>
    <_x0031__x002e__x0020_Docket_x0020_Number xmlns="d6eefc7d-9817-4fa6-84d5-3bc009be21b8">RD16-10</_x0031__x002e__x0020_Docket_x0020_Number>
    <_x0033__x002e__x0020_Collection_x0020_Number xmlns="d6eefc7d-9817-4fa6-84d5-3bc009be21b8"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751A5-C2B2-4E03-A609-554D3249B493}">
  <ds:schemaRefs>
    <ds:schemaRef ds:uri="http://schemas.microsoft.com/office/2006/metadata/customXsn"/>
  </ds:schemaRefs>
</ds:datastoreItem>
</file>

<file path=customXml/itemProps2.xml><?xml version="1.0" encoding="utf-8"?>
<ds:datastoreItem xmlns:ds="http://schemas.openxmlformats.org/officeDocument/2006/customXml" ds:itemID="{20D513E5-9853-4262-A0E4-F9363BE61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D0B119-1898-4292-B158-C6AF5141F124}">
  <ds:schemaRefs>
    <ds:schemaRef ds:uri="Microsoft.SharePoint.Taxonomy.ContentTypeSync"/>
  </ds:schemaRefs>
</ds:datastoreItem>
</file>

<file path=customXml/itemProps4.xml><?xml version="1.0" encoding="utf-8"?>
<ds:datastoreItem xmlns:ds="http://schemas.openxmlformats.org/officeDocument/2006/customXml" ds:itemID="{90ABE43F-39A7-4F16-B60C-D19CC708424C}">
  <ds:schemaRefs>
    <ds:schemaRef ds:uri="http://schemas.microsoft.com/sharepoint/v3/contenttype/forms"/>
  </ds:schemaRefs>
</ds:datastoreItem>
</file>

<file path=customXml/itemProps5.xml><?xml version="1.0" encoding="utf-8"?>
<ds:datastoreItem xmlns:ds="http://schemas.openxmlformats.org/officeDocument/2006/customXml" ds:itemID="{51DB63AB-29F8-45C7-ABC7-082B94E9F7AE}">
  <ds:schemaRefs>
    <ds:schemaRef ds:uri="http://schemas.microsoft.com/office/2006/metadata/properties"/>
    <ds:schemaRef ds:uri="http://schemas.microsoft.com/office/infopath/2007/PartnerControls"/>
    <ds:schemaRef ds:uri="d6eefc7d-9817-4fa6-84d5-3bc009be21b8"/>
  </ds:schemaRefs>
</ds:datastoreItem>
</file>

<file path=customXml/itemProps6.xml><?xml version="1.0" encoding="utf-8"?>
<ds:datastoreItem xmlns:ds="http://schemas.openxmlformats.org/officeDocument/2006/customXml" ds:itemID="{A30A84BE-E44A-447F-A362-27564F769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3463</Words>
  <Characters>19743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cp:lastPrinted>2017-08-22T18:07:00Z</cp:lastPrinted>
  <dcterms:created xsi:type="dcterms:W3CDTF">2017-08-30T15:52:00Z</dcterms:created>
  <dcterms:modified xsi:type="dcterms:W3CDTF">2017-08-30T15:52:00Z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