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93EE1"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bookmarkStart w:id="0" w:name="_GoBack"/>
      <w:bookmarkEnd w:id="0"/>
      <w:r w:rsidRPr="000027F9">
        <w:rPr>
          <w:rFonts w:ascii="Times New Roman" w:eastAsia="Times New Roman" w:hAnsi="Times New Roman" w:cs="Times New Roman"/>
          <w:sz w:val="26"/>
          <w:szCs w:val="26"/>
        </w:rPr>
        <w:t>UNITED STATES OF AMERICA</w:t>
      </w:r>
    </w:p>
    <w:p w14:paraId="669E2284" w14:textId="77777777" w:rsidR="00AD1160"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FEDERAL ENERGY REGULATORY COMMISSION</w:t>
      </w:r>
    </w:p>
    <w:p w14:paraId="5B9F078E" w14:textId="77777777" w:rsidR="00A635C5" w:rsidRPr="000027F9" w:rsidRDefault="00A635C5" w:rsidP="00AD1160">
      <w:pPr>
        <w:spacing w:after="0" w:line="240" w:lineRule="auto"/>
        <w:jc w:val="center"/>
        <w:rPr>
          <w:rFonts w:ascii="Times New Roman" w:eastAsia="Times New Roman" w:hAnsi="Times New Roman" w:cs="Times New Roman"/>
          <w:sz w:val="26"/>
          <w:szCs w:val="26"/>
        </w:rPr>
      </w:pPr>
    </w:p>
    <w:p w14:paraId="7EF1B81C"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[Docket No</w:t>
      </w:r>
      <w:r w:rsidR="00924AC8" w:rsidRPr="00677263">
        <w:rPr>
          <w:rFonts w:ascii="Times New Roman" w:eastAsia="Times New Roman" w:hAnsi="Times New Roman" w:cs="Times New Roman"/>
          <w:sz w:val="26"/>
          <w:szCs w:val="26"/>
        </w:rPr>
        <w:t>s</w:t>
      </w:r>
      <w:r w:rsidRPr="00677263">
        <w:rPr>
          <w:rFonts w:ascii="Times New Roman" w:eastAsia="Times New Roman" w:hAnsi="Times New Roman" w:cs="Times New Roman"/>
          <w:sz w:val="26"/>
          <w:szCs w:val="26"/>
        </w:rPr>
        <w:t xml:space="preserve">. </w:t>
      </w:r>
      <w:r w:rsidR="006A0104">
        <w:rPr>
          <w:rFonts w:ascii="Times New Roman" w:eastAsia="Times New Roman" w:hAnsi="Times New Roman" w:cs="Times New Roman"/>
          <w:sz w:val="26"/>
          <w:szCs w:val="26"/>
        </w:rPr>
        <w:t>RD17-5-000</w:t>
      </w:r>
      <w:r w:rsidR="00544929" w:rsidRPr="00677263">
        <w:rPr>
          <w:rFonts w:ascii="Times New Roman" w:eastAsia="Times New Roman" w:hAnsi="Times New Roman" w:cs="Times New Roman"/>
          <w:sz w:val="26"/>
          <w:szCs w:val="26"/>
        </w:rPr>
        <w:t xml:space="preserve"> </w:t>
      </w:r>
      <w:r w:rsidR="00924AC8" w:rsidRPr="00677263">
        <w:rPr>
          <w:rFonts w:ascii="Times New Roman" w:eastAsia="Times New Roman" w:hAnsi="Times New Roman" w:cs="Times New Roman"/>
          <w:sz w:val="26"/>
          <w:szCs w:val="26"/>
        </w:rPr>
        <w:t>and IC17</w:t>
      </w:r>
      <w:r w:rsidR="00924AC8">
        <w:rPr>
          <w:rFonts w:ascii="Times New Roman" w:eastAsia="Times New Roman" w:hAnsi="Times New Roman" w:cs="Times New Roman"/>
          <w:sz w:val="26"/>
          <w:szCs w:val="26"/>
        </w:rPr>
        <w:t>-6-000</w:t>
      </w:r>
      <w:r w:rsidRPr="000027F9">
        <w:rPr>
          <w:rFonts w:ascii="Times New Roman" w:eastAsia="Times New Roman" w:hAnsi="Times New Roman" w:cs="Times New Roman"/>
          <w:sz w:val="26"/>
          <w:szCs w:val="26"/>
        </w:rPr>
        <w:t>]</w:t>
      </w:r>
    </w:p>
    <w:p w14:paraId="1A310F1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671CEE8C"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COMMISSION INFORMATION COLLECTION ACTIVITIES </w:t>
      </w:r>
    </w:p>
    <w:p w14:paraId="5BF8611A"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(FERC-725E)</w:t>
      </w:r>
      <w:r w:rsidR="005A005A">
        <w:rPr>
          <w:rFonts w:ascii="Times New Roman" w:eastAsia="Times New Roman" w:hAnsi="Times New Roman" w:cs="Times New Roman"/>
          <w:sz w:val="26"/>
          <w:szCs w:val="26"/>
        </w:rPr>
        <w:t xml:space="preserve">; </w:t>
      </w:r>
    </w:p>
    <w:p w14:paraId="62B20007"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COMMENT REQUEST; </w:t>
      </w:r>
      <w:r w:rsidR="005A005A">
        <w:rPr>
          <w:rFonts w:ascii="Times New Roman" w:eastAsia="Times New Roman" w:hAnsi="Times New Roman" w:cs="Times New Roman"/>
          <w:sz w:val="26"/>
          <w:szCs w:val="26"/>
        </w:rPr>
        <w:t xml:space="preserve">REVISION AND </w:t>
      </w:r>
      <w:r w:rsidRPr="000027F9">
        <w:rPr>
          <w:rFonts w:ascii="Times New Roman" w:eastAsia="Times New Roman" w:hAnsi="Times New Roman" w:cs="Times New Roman"/>
          <w:sz w:val="26"/>
          <w:szCs w:val="26"/>
        </w:rPr>
        <w:t xml:space="preserve">EXTENSION </w:t>
      </w:r>
    </w:p>
    <w:p w14:paraId="61B807B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51D2DB2A" w14:textId="3ED95265" w:rsidR="00AD1160" w:rsidRDefault="006870DD" w:rsidP="006870DD">
      <w:pPr>
        <w:spacing w:after="0" w:line="240" w:lineRule="auto"/>
        <w:jc w:val="center"/>
        <w:rPr>
          <w:rFonts w:ascii="Times New Roman" w:eastAsia="Times New Roman" w:hAnsi="Times New Roman" w:cs="Times New Roman"/>
          <w:sz w:val="26"/>
          <w:szCs w:val="26"/>
        </w:rPr>
      </w:pPr>
      <w:r w:rsidRPr="006870DD">
        <w:rPr>
          <w:rFonts w:ascii="Times New Roman" w:eastAsia="Times New Roman" w:hAnsi="Times New Roman" w:cs="Times New Roman"/>
          <w:sz w:val="26"/>
          <w:szCs w:val="26"/>
        </w:rPr>
        <w:t>(May 3, 2017)</w:t>
      </w:r>
    </w:p>
    <w:p w14:paraId="323ACB41" w14:textId="77777777" w:rsidR="006870DD" w:rsidRPr="006870DD" w:rsidRDefault="006870DD" w:rsidP="006870DD">
      <w:pPr>
        <w:spacing w:after="0" w:line="240" w:lineRule="auto"/>
        <w:rPr>
          <w:rFonts w:ascii="Times New Roman" w:eastAsia="Times New Roman" w:hAnsi="Times New Roman" w:cs="Times New Roman"/>
          <w:sz w:val="26"/>
          <w:szCs w:val="26"/>
        </w:rPr>
      </w:pPr>
    </w:p>
    <w:p w14:paraId="212EB5E6" w14:textId="77777777" w:rsidR="00AD1160" w:rsidRPr="000027F9" w:rsidRDefault="00AD1160" w:rsidP="00AD1160">
      <w:pPr>
        <w:spacing w:after="0" w:line="24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AGENCY:</w:t>
      </w:r>
      <w:r w:rsidRPr="000027F9">
        <w:rPr>
          <w:rFonts w:ascii="Times New Roman" w:eastAsia="Times New Roman" w:hAnsi="Times New Roman" w:cs="Times New Roman"/>
          <w:sz w:val="26"/>
          <w:szCs w:val="26"/>
        </w:rPr>
        <w:t xml:space="preserve">  Federal Energy Regulatory Commission.</w:t>
      </w:r>
    </w:p>
    <w:p w14:paraId="1804F1A7"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10B756E2"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ACTION:</w:t>
      </w:r>
      <w:r w:rsidRPr="000027F9">
        <w:rPr>
          <w:rFonts w:ascii="Times New Roman" w:eastAsia="Times New Roman" w:hAnsi="Times New Roman" w:cs="Times New Roman"/>
          <w:sz w:val="26"/>
          <w:szCs w:val="26"/>
        </w:rPr>
        <w:t xml:space="preserve">  Notice of </w:t>
      </w:r>
      <w:r w:rsidR="00B242FC">
        <w:rPr>
          <w:rFonts w:ascii="Times New Roman" w:eastAsia="Times New Roman" w:hAnsi="Times New Roman" w:cs="Times New Roman"/>
          <w:sz w:val="26"/>
          <w:szCs w:val="26"/>
        </w:rPr>
        <w:t xml:space="preserve">revised </w:t>
      </w:r>
      <w:r w:rsidRPr="000027F9">
        <w:rPr>
          <w:rFonts w:ascii="Times New Roman" w:eastAsia="Times New Roman" w:hAnsi="Times New Roman" w:cs="Times New Roman"/>
          <w:sz w:val="26"/>
          <w:szCs w:val="26"/>
        </w:rPr>
        <w:t>information collection and request for comments.</w:t>
      </w:r>
    </w:p>
    <w:p w14:paraId="648CCCF4" w14:textId="77777777" w:rsidR="00AD1160" w:rsidRPr="000027F9" w:rsidRDefault="00AD1160" w:rsidP="000027F9">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SUMMARY:</w:t>
      </w:r>
      <w:r w:rsidRPr="000027F9">
        <w:rPr>
          <w:rFonts w:ascii="Times New Roman" w:eastAsia="Times New Roman" w:hAnsi="Times New Roman" w:cs="Times New Roman"/>
          <w:sz w:val="26"/>
          <w:szCs w:val="26"/>
        </w:rPr>
        <w:t xml:space="preserve">  In compliance with the requirements of the Paperwork Reduction Act of 1995, 44 USC 3506(c)(2)(A), the Federal Energy Regulatory Commission (Commission or FERC) </w:t>
      </w:r>
      <w:r w:rsidR="00B242FC" w:rsidRPr="00B242FC">
        <w:rPr>
          <w:rFonts w:ascii="Times New Roman" w:eastAsia="Times New Roman" w:hAnsi="Times New Roman" w:cs="Times New Roman"/>
          <w:sz w:val="26"/>
          <w:szCs w:val="26"/>
        </w:rPr>
        <w:t>is soliciting public comment on revision</w:t>
      </w:r>
      <w:r w:rsidR="00DD4828">
        <w:rPr>
          <w:rFonts w:ascii="Times New Roman" w:eastAsia="Times New Roman" w:hAnsi="Times New Roman" w:cs="Times New Roman"/>
          <w:sz w:val="26"/>
          <w:szCs w:val="26"/>
        </w:rPr>
        <w:t>s</w:t>
      </w:r>
      <w:r w:rsidR="00B242FC" w:rsidRPr="00B242FC">
        <w:rPr>
          <w:rFonts w:ascii="Times New Roman" w:eastAsia="Times New Roman" w:hAnsi="Times New Roman" w:cs="Times New Roman"/>
          <w:sz w:val="26"/>
          <w:szCs w:val="26"/>
        </w:rPr>
        <w:t xml:space="preserve"> to the information collection, FERC-725E (Mandatory Reliability Standards for the Western Electric Coordinating Council) </w:t>
      </w:r>
      <w:r w:rsidR="00B242FC">
        <w:rPr>
          <w:rFonts w:ascii="Times New Roman" w:eastAsia="Times New Roman" w:hAnsi="Times New Roman" w:cs="Times New Roman"/>
          <w:sz w:val="26"/>
          <w:szCs w:val="26"/>
        </w:rPr>
        <w:t xml:space="preserve">and will be </w:t>
      </w:r>
      <w:r w:rsidRPr="000027F9">
        <w:rPr>
          <w:rFonts w:ascii="Times New Roman" w:eastAsia="Times New Roman" w:hAnsi="Times New Roman" w:cs="Times New Roman"/>
          <w:sz w:val="26"/>
          <w:szCs w:val="26"/>
        </w:rPr>
        <w:t xml:space="preserve"> submitting </w:t>
      </w:r>
      <w:r w:rsidR="000027F9" w:rsidRPr="000027F9">
        <w:rPr>
          <w:rFonts w:ascii="Times New Roman" w:eastAsia="Times New Roman" w:hAnsi="Times New Roman" w:cs="Times New Roman"/>
          <w:sz w:val="26"/>
          <w:szCs w:val="26"/>
        </w:rPr>
        <w:t>FERC-725E</w:t>
      </w:r>
      <w:r w:rsidRPr="000027F9">
        <w:rPr>
          <w:rFonts w:ascii="Times New Roman" w:eastAsia="Times New Roman" w:hAnsi="Times New Roman" w:cs="Times New Roman"/>
          <w:sz w:val="26"/>
          <w:szCs w:val="26"/>
        </w:rPr>
        <w:t xml:space="preserve"> to the Office of Management and Budget (OMB) for review of the information collection requirements.  </w:t>
      </w:r>
    </w:p>
    <w:p w14:paraId="089F96F8" w14:textId="20E1FCB8" w:rsidR="00A371CE" w:rsidRPr="00973DF1" w:rsidRDefault="00AD1160" w:rsidP="00AD1160">
      <w:pPr>
        <w:spacing w:after="0" w:line="480" w:lineRule="auto"/>
        <w:rPr>
          <w:rFonts w:ascii="Times New Roman" w:eastAsia="Times New Roman" w:hAnsi="Times New Roman" w:cs="Times New Roman"/>
          <w:b/>
          <w:sz w:val="26"/>
          <w:szCs w:val="26"/>
        </w:rPr>
      </w:pPr>
      <w:r w:rsidRPr="00AD1160">
        <w:rPr>
          <w:rFonts w:ascii="Times New Roman" w:eastAsia="Times New Roman" w:hAnsi="Times New Roman" w:cs="Times New Roman"/>
          <w:b/>
          <w:sz w:val="26"/>
          <w:szCs w:val="26"/>
        </w:rPr>
        <w:t>DATES:</w:t>
      </w:r>
      <w:r w:rsidRPr="00AD1160">
        <w:rPr>
          <w:rFonts w:ascii="Times New Roman" w:eastAsia="Times New Roman" w:hAnsi="Times New Roman" w:cs="Times New Roman"/>
          <w:sz w:val="26"/>
          <w:szCs w:val="26"/>
        </w:rPr>
        <w:t xml:space="preserve">  Comments on the collection of information are due </w:t>
      </w:r>
      <w:r w:rsidRPr="00973DF1">
        <w:rPr>
          <w:rFonts w:ascii="Times New Roman" w:eastAsia="Times New Roman" w:hAnsi="Times New Roman" w:cs="Times New Roman"/>
          <w:b/>
          <w:sz w:val="26"/>
          <w:szCs w:val="26"/>
        </w:rPr>
        <w:t>[</w:t>
      </w:r>
      <w:r w:rsidR="006870DD">
        <w:rPr>
          <w:rFonts w:ascii="Times New Roman" w:eastAsia="Times New Roman" w:hAnsi="Times New Roman" w:cs="Times New Roman"/>
          <w:b/>
          <w:sz w:val="26"/>
          <w:szCs w:val="26"/>
        </w:rPr>
        <w:t xml:space="preserve">Insert date </w:t>
      </w:r>
      <w:r w:rsidRPr="00973DF1">
        <w:rPr>
          <w:rFonts w:ascii="Times New Roman" w:eastAsia="Times New Roman" w:hAnsi="Times New Roman" w:cs="Times New Roman"/>
          <w:b/>
          <w:sz w:val="26"/>
          <w:szCs w:val="26"/>
        </w:rPr>
        <w:t xml:space="preserve">60 days after publication in the Federal Register]. </w:t>
      </w:r>
    </w:p>
    <w:p w14:paraId="6D6F51E7" w14:textId="77777777" w:rsidR="00152CD4" w:rsidRDefault="00AD1160" w:rsidP="00152CD4">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ADDRESSES:</w:t>
      </w:r>
      <w:r w:rsidRPr="000027F9">
        <w:rPr>
          <w:rFonts w:ascii="Times New Roman" w:eastAsia="Times New Roman" w:hAnsi="Times New Roman" w:cs="Times New Roman"/>
          <w:sz w:val="26"/>
          <w:szCs w:val="26"/>
        </w:rPr>
        <w:t xml:space="preserve">  </w:t>
      </w:r>
      <w:bookmarkStart w:id="1" w:name="OLE_LINK1"/>
      <w:r w:rsidR="00152CD4">
        <w:rPr>
          <w:rFonts w:ascii="Times New Roman" w:eastAsia="Times New Roman" w:hAnsi="Times New Roman" w:cs="Times New Roman"/>
          <w:sz w:val="26"/>
          <w:szCs w:val="26"/>
        </w:rPr>
        <w:t>You may submit comments identified by Docket No</w:t>
      </w:r>
      <w:r w:rsidR="00924AC8">
        <w:rPr>
          <w:rFonts w:ascii="Times New Roman" w:eastAsia="Times New Roman" w:hAnsi="Times New Roman" w:cs="Times New Roman"/>
          <w:sz w:val="26"/>
          <w:szCs w:val="26"/>
        </w:rPr>
        <w:t>s</w:t>
      </w:r>
      <w:r w:rsidR="00152CD4">
        <w:rPr>
          <w:rFonts w:ascii="Times New Roman" w:eastAsia="Times New Roman" w:hAnsi="Times New Roman" w:cs="Times New Roman"/>
          <w:sz w:val="26"/>
          <w:szCs w:val="26"/>
        </w:rPr>
        <w:t xml:space="preserve">. </w:t>
      </w:r>
      <w:r w:rsidR="00DD4828">
        <w:rPr>
          <w:rFonts w:ascii="Times New Roman" w:eastAsia="Times New Roman" w:hAnsi="Times New Roman" w:cs="Times New Roman"/>
          <w:sz w:val="26"/>
          <w:szCs w:val="26"/>
        </w:rPr>
        <w:t>RD17-5-000</w:t>
      </w:r>
      <w:r w:rsidR="005917AB">
        <w:rPr>
          <w:rFonts w:ascii="Times New Roman" w:eastAsia="Times New Roman" w:hAnsi="Times New Roman" w:cs="Times New Roman"/>
          <w:sz w:val="26"/>
          <w:szCs w:val="26"/>
        </w:rPr>
        <w:t xml:space="preserve"> and </w:t>
      </w:r>
      <w:r w:rsidR="00924AC8" w:rsidRPr="00924AC8">
        <w:rPr>
          <w:rFonts w:ascii="Times New Roman" w:eastAsia="Times New Roman" w:hAnsi="Times New Roman" w:cs="Times New Roman"/>
          <w:sz w:val="26"/>
          <w:szCs w:val="26"/>
        </w:rPr>
        <w:t xml:space="preserve">IC17-6-000 </w:t>
      </w:r>
      <w:r w:rsidR="00152CD4">
        <w:rPr>
          <w:rFonts w:ascii="Times New Roman" w:eastAsia="Times New Roman" w:hAnsi="Times New Roman" w:cs="Times New Roman"/>
          <w:sz w:val="26"/>
          <w:szCs w:val="26"/>
        </w:rPr>
        <w:t>by either of the following methods:</w:t>
      </w:r>
    </w:p>
    <w:p w14:paraId="62A5F264" w14:textId="77777777" w:rsidR="00AD1160" w:rsidRPr="00152CD4" w:rsidRDefault="00AD1160" w:rsidP="00152CD4">
      <w:pPr>
        <w:pStyle w:val="ListParagraph"/>
        <w:numPr>
          <w:ilvl w:val="0"/>
          <w:numId w:val="4"/>
        </w:numPr>
        <w:spacing w:after="0" w:line="480" w:lineRule="auto"/>
        <w:rPr>
          <w:rFonts w:ascii="Times New Roman" w:eastAsia="Times New Roman" w:hAnsi="Times New Roman" w:cs="Times New Roman"/>
          <w:sz w:val="26"/>
          <w:szCs w:val="26"/>
        </w:rPr>
      </w:pPr>
      <w:r w:rsidRPr="00152CD4">
        <w:rPr>
          <w:rFonts w:ascii="Times New Roman" w:eastAsia="Times New Roman" w:hAnsi="Times New Roman" w:cs="Times New Roman"/>
          <w:sz w:val="26"/>
          <w:szCs w:val="26"/>
        </w:rPr>
        <w:t xml:space="preserve">eFiling at Commission’s Web Site: </w:t>
      </w:r>
      <w:hyperlink r:id="rId12" w:history="1">
        <w:r w:rsidRPr="00152CD4">
          <w:rPr>
            <w:rStyle w:val="Hyperlink"/>
            <w:rFonts w:ascii="Times New Roman" w:eastAsia="Times New Roman" w:hAnsi="Times New Roman" w:cs="Times New Roman"/>
            <w:sz w:val="26"/>
            <w:szCs w:val="26"/>
          </w:rPr>
          <w:t>http://www.ferc.gov/docs-filing/efiling.asp</w:t>
        </w:r>
      </w:hyperlink>
    </w:p>
    <w:p w14:paraId="1350E0B0" w14:textId="77777777" w:rsidR="00AD1160" w:rsidRPr="000027F9" w:rsidRDefault="00AD1160" w:rsidP="00AD1160">
      <w:pPr>
        <w:numPr>
          <w:ilvl w:val="0"/>
          <w:numId w:val="2"/>
        </w:numPr>
        <w:tabs>
          <w:tab w:val="num" w:pos="108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lastRenderedPageBreak/>
        <w:t>Mail/Hand Delivery/Courier: Federal Energy Regulatory Commission, Secretary of the Commission, 888 First Street, NE, Washington, DC 20426.</w:t>
      </w:r>
    </w:p>
    <w:p w14:paraId="20C88B2B"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Instructions: </w:t>
      </w:r>
      <w:r w:rsidRPr="000027F9">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0027F9">
          <w:rPr>
            <w:rStyle w:val="Hyperlink"/>
            <w:rFonts w:ascii="Times New Roman" w:eastAsia="Times New Roman" w:hAnsi="Times New Roman" w:cs="Times New Roman"/>
            <w:sz w:val="26"/>
            <w:szCs w:val="26"/>
          </w:rPr>
          <w:t>http://www.ferc.gov/help/submission-guide.asp</w:t>
        </w:r>
      </w:hyperlink>
      <w:r w:rsidRPr="000027F9">
        <w:rPr>
          <w:rFonts w:ascii="Times New Roman" w:eastAsia="Times New Roman" w:hAnsi="Times New Roman" w:cs="Times New Roman"/>
          <w:sz w:val="26"/>
          <w:szCs w:val="26"/>
        </w:rPr>
        <w:t>.  For user assistance</w:t>
      </w:r>
      <w:r w:rsidR="00924AC8">
        <w:rPr>
          <w:rFonts w:ascii="Times New Roman" w:eastAsia="Times New Roman" w:hAnsi="Times New Roman" w:cs="Times New Roman"/>
          <w:sz w:val="26"/>
          <w:szCs w:val="26"/>
        </w:rPr>
        <w:t>,</w:t>
      </w:r>
      <w:r w:rsidRPr="000027F9">
        <w:rPr>
          <w:rFonts w:ascii="Times New Roman" w:eastAsia="Times New Roman" w:hAnsi="Times New Roman" w:cs="Times New Roman"/>
          <w:sz w:val="26"/>
          <w:szCs w:val="26"/>
        </w:rPr>
        <w:t xml:space="preserve"> contact FERC Online Support by e-mail at ferconlinesupport@ferc.gov, or by phone at:  (866) 208-3676 (toll-free), or (202) 502-8659 for TTY.</w:t>
      </w:r>
    </w:p>
    <w:p w14:paraId="488FB22F"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Docket:</w:t>
      </w:r>
      <w:r w:rsidRPr="000027F9">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0027F9">
          <w:rPr>
            <w:rStyle w:val="Hyperlink"/>
            <w:rFonts w:ascii="Times New Roman" w:eastAsia="Times New Roman" w:hAnsi="Times New Roman" w:cs="Times New Roman"/>
            <w:sz w:val="26"/>
            <w:szCs w:val="26"/>
          </w:rPr>
          <w:t>http://www.ferc.gov/docs-filing/docs-filing.asp</w:t>
        </w:r>
      </w:hyperlink>
      <w:r w:rsidRPr="000027F9">
        <w:rPr>
          <w:rFonts w:ascii="Times New Roman" w:eastAsia="Times New Roman" w:hAnsi="Times New Roman" w:cs="Times New Roman"/>
          <w:sz w:val="26"/>
          <w:szCs w:val="26"/>
        </w:rPr>
        <w:t xml:space="preserve">. </w:t>
      </w:r>
    </w:p>
    <w:bookmarkEnd w:id="1"/>
    <w:p w14:paraId="4BB38C71"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FOR FURTHER INFORMATION:</w:t>
      </w:r>
      <w:r w:rsidRPr="000027F9">
        <w:rPr>
          <w:rFonts w:ascii="Times New Roman" w:eastAsia="Times New Roman" w:hAnsi="Times New Roman" w:cs="Times New Roman"/>
          <w:sz w:val="26"/>
          <w:szCs w:val="26"/>
        </w:rPr>
        <w:t xml:space="preserve">  Ellen Brown may be reached by e-mail at </w:t>
      </w:r>
      <w:hyperlink r:id="rId15" w:history="1">
        <w:r w:rsidRPr="000027F9">
          <w:rPr>
            <w:rStyle w:val="Hyperlink"/>
            <w:rFonts w:ascii="Times New Roman" w:eastAsia="Times New Roman" w:hAnsi="Times New Roman" w:cs="Times New Roman"/>
            <w:sz w:val="26"/>
            <w:szCs w:val="26"/>
          </w:rPr>
          <w:t>DataClearance@FERC.gov</w:t>
        </w:r>
      </w:hyperlink>
      <w:r w:rsidRPr="000027F9">
        <w:rPr>
          <w:rFonts w:ascii="Times New Roman" w:eastAsia="Times New Roman" w:hAnsi="Times New Roman" w:cs="Times New Roman"/>
          <w:sz w:val="26"/>
          <w:szCs w:val="26"/>
        </w:rPr>
        <w:t>, telephone at (202) 502-8663, and fax at (202) 273-0873.</w:t>
      </w:r>
    </w:p>
    <w:p w14:paraId="421F9CF3" w14:textId="77777777" w:rsidR="00AD1160" w:rsidRPr="00AD1160" w:rsidRDefault="00AD1160" w:rsidP="00AD1160">
      <w:pPr>
        <w:spacing w:after="0" w:line="480" w:lineRule="auto"/>
        <w:rPr>
          <w:rFonts w:ascii="Times New Roman" w:eastAsia="Times New Roman" w:hAnsi="Times New Roman" w:cs="Times New Roman"/>
          <w:sz w:val="26"/>
          <w:szCs w:val="26"/>
        </w:rPr>
      </w:pPr>
      <w:r w:rsidRPr="00AD1160">
        <w:rPr>
          <w:rFonts w:ascii="Times New Roman" w:eastAsia="Times New Roman" w:hAnsi="Times New Roman" w:cs="Times New Roman"/>
          <w:b/>
          <w:sz w:val="26"/>
          <w:szCs w:val="26"/>
        </w:rPr>
        <w:t>SUPPLEMENTARY INFORMATION:</w:t>
      </w:r>
      <w:r w:rsidRPr="00AD1160">
        <w:rPr>
          <w:rFonts w:ascii="Times New Roman" w:eastAsia="Times New Roman" w:hAnsi="Times New Roman" w:cs="Times New Roman"/>
          <w:sz w:val="26"/>
          <w:szCs w:val="26"/>
        </w:rPr>
        <w:t xml:space="preserve">  </w:t>
      </w:r>
    </w:p>
    <w:p w14:paraId="51D4DE35"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Title: </w:t>
      </w:r>
      <w:r w:rsidRPr="000027F9">
        <w:rPr>
          <w:rFonts w:ascii="Times New Roman" w:eastAsia="Times New Roman" w:hAnsi="Times New Roman" w:cs="Times New Roman"/>
          <w:sz w:val="26"/>
          <w:szCs w:val="26"/>
        </w:rPr>
        <w:t>FERC-725E, Mandatory Reliability Standards for the Western Electric Coordinating Council</w:t>
      </w:r>
    </w:p>
    <w:p w14:paraId="6E5D7F7A" w14:textId="77777777" w:rsidR="00152CD4" w:rsidRDefault="00AD1160" w:rsidP="00AD1160">
      <w:pPr>
        <w:tabs>
          <w:tab w:val="center" w:pos="468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OMB Control No.: </w:t>
      </w:r>
      <w:r w:rsidRPr="000027F9">
        <w:rPr>
          <w:rFonts w:ascii="Times New Roman" w:eastAsia="Times New Roman" w:hAnsi="Times New Roman" w:cs="Times New Roman"/>
          <w:sz w:val="26"/>
          <w:szCs w:val="26"/>
        </w:rPr>
        <w:t>1902-0246</w:t>
      </w:r>
    </w:p>
    <w:p w14:paraId="13F05E90" w14:textId="77777777" w:rsidR="00AD1160" w:rsidRPr="000027F9" w:rsidRDefault="00152CD4" w:rsidP="00AD1160">
      <w:pPr>
        <w:tabs>
          <w:tab w:val="center" w:pos="468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Three-year approval of the FERC-725E information collection requirements, as modified</w:t>
      </w:r>
      <w:r w:rsidR="0000297F">
        <w:rPr>
          <w:rFonts w:ascii="Times New Roman" w:eastAsia="Times New Roman" w:hAnsi="Times New Roman" w:cs="Times New Roman"/>
          <w:sz w:val="26"/>
          <w:szCs w:val="26"/>
        </w:rPr>
        <w:t xml:space="preserve"> by Docket No. </w:t>
      </w:r>
      <w:r w:rsidR="006A0104">
        <w:rPr>
          <w:rFonts w:ascii="Times New Roman" w:eastAsia="Times New Roman" w:hAnsi="Times New Roman" w:cs="Times New Roman"/>
          <w:sz w:val="26"/>
          <w:szCs w:val="26"/>
        </w:rPr>
        <w:t>RD17-5-000.</w:t>
      </w:r>
    </w:p>
    <w:p w14:paraId="07687BE1" w14:textId="0E5ABAE8" w:rsidR="00AD1160" w:rsidRPr="000027F9" w:rsidRDefault="00AD1160" w:rsidP="00096E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Abstract: </w:t>
      </w:r>
      <w:r w:rsidRPr="000027F9">
        <w:rPr>
          <w:rFonts w:ascii="Times New Roman" w:eastAsia="Times New Roman" w:hAnsi="Times New Roman" w:cs="Times New Roman"/>
          <w:sz w:val="26"/>
          <w:szCs w:val="26"/>
        </w:rPr>
        <w:t xml:space="preserve">The information collected by the FERC-725E is required to implement the statutory provisions of section 215 of the Federal Power Act (FPA) (16 U.S.C. 824o).  Section 215 of the FPA buttresses the Commission’s efforts to strengthen the reliability of the interstate grid through the grant of new authority by providing for a system of </w:t>
      </w:r>
      <w:r w:rsidRPr="000027F9">
        <w:rPr>
          <w:rFonts w:ascii="Times New Roman" w:eastAsia="Times New Roman" w:hAnsi="Times New Roman" w:cs="Times New Roman"/>
          <w:sz w:val="26"/>
          <w:szCs w:val="26"/>
        </w:rPr>
        <w:lastRenderedPageBreak/>
        <w:t>mandatory Reliability Standards developed by the Electric Reliability Organization</w:t>
      </w:r>
      <w:r w:rsidR="002844BC">
        <w:rPr>
          <w:rFonts w:ascii="Times New Roman" w:eastAsia="Times New Roman" w:hAnsi="Times New Roman" w:cs="Times New Roman"/>
          <w:sz w:val="26"/>
          <w:szCs w:val="26"/>
        </w:rPr>
        <w:t xml:space="preserve"> (ERO)</w:t>
      </w:r>
      <w:r w:rsidRPr="000027F9">
        <w:rPr>
          <w:rFonts w:ascii="Times New Roman" w:eastAsia="Times New Roman" w:hAnsi="Times New Roman" w:cs="Times New Roman"/>
          <w:sz w:val="26"/>
          <w:szCs w:val="26"/>
        </w:rPr>
        <w:t>.  Reliability Standards that the ERO proposes to the Commission may include Reliability Standards that are proposed to the ERO by a Regional Entity.</w:t>
      </w:r>
      <w:r w:rsidRPr="000027F9">
        <w:rPr>
          <w:rFonts w:ascii="Times New Roman" w:eastAsia="Times New Roman" w:hAnsi="Times New Roman" w:cs="Times New Roman"/>
          <w:b/>
          <w:sz w:val="26"/>
          <w:szCs w:val="26"/>
          <w:vertAlign w:val="superscript"/>
        </w:rPr>
        <w:footnoteReference w:id="1"/>
      </w:r>
      <w:r w:rsidRPr="000027F9">
        <w:rPr>
          <w:rFonts w:ascii="Times New Roman" w:eastAsia="Times New Roman" w:hAnsi="Times New Roman" w:cs="Times New Roman"/>
          <w:sz w:val="26"/>
          <w:szCs w:val="26"/>
        </w:rPr>
        <w:t xml:space="preserve">  A Regional Entity is an entity that has been approved by the Commission to enforce Reliability Standards under delegated authority from the ERO.</w:t>
      </w:r>
      <w:r w:rsidRPr="000027F9">
        <w:rPr>
          <w:rFonts w:ascii="Times New Roman" w:eastAsia="Times New Roman" w:hAnsi="Times New Roman" w:cs="Times New Roman"/>
          <w:b/>
          <w:sz w:val="26"/>
          <w:szCs w:val="26"/>
          <w:vertAlign w:val="superscript"/>
        </w:rPr>
        <w:footnoteReference w:id="2"/>
      </w:r>
      <w:r w:rsidRPr="000027F9">
        <w:rPr>
          <w:rFonts w:ascii="Times New Roman" w:eastAsia="Times New Roman" w:hAnsi="Times New Roman" w:cs="Times New Roman"/>
          <w:sz w:val="26"/>
          <w:szCs w:val="26"/>
        </w:rPr>
        <w:t xml:space="preserve">  On June 8, 2008, the Commission approved eight regional Reliability Standards submitted by the ERO that were proposed by the Western Electricity Coordinating Council (WECC).</w:t>
      </w:r>
      <w:r w:rsidRPr="000027F9">
        <w:rPr>
          <w:rFonts w:ascii="Times New Roman" w:eastAsia="Times New Roman" w:hAnsi="Times New Roman" w:cs="Times New Roman"/>
          <w:b/>
          <w:sz w:val="26"/>
          <w:szCs w:val="26"/>
          <w:vertAlign w:val="superscript"/>
        </w:rPr>
        <w:footnoteReference w:id="3"/>
      </w:r>
    </w:p>
    <w:p w14:paraId="4E6517BE" w14:textId="2F449467" w:rsidR="00AD1160" w:rsidRPr="000027F9" w:rsidRDefault="00AD1160" w:rsidP="00AD11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ab/>
        <w:t>WECC</w:t>
      </w:r>
      <w:r w:rsidR="002844BC">
        <w:rPr>
          <w:rFonts w:ascii="Times New Roman" w:eastAsia="Times New Roman" w:hAnsi="Times New Roman" w:cs="Times New Roman"/>
          <w:sz w:val="26"/>
          <w:szCs w:val="26"/>
        </w:rPr>
        <w:t xml:space="preserve"> promotes bulk electric s</w:t>
      </w:r>
      <w:r w:rsidR="002844BC" w:rsidRPr="002844BC">
        <w:rPr>
          <w:rFonts w:ascii="Times New Roman" w:eastAsia="Times New Roman" w:hAnsi="Times New Roman" w:cs="Times New Roman"/>
          <w:sz w:val="26"/>
          <w:szCs w:val="26"/>
        </w:rPr>
        <w:t xml:space="preserve">ystem reliability in the Western Interconnection. WECC is the Regional Entity responsible for compliance monitoring and enforcement. </w:t>
      </w:r>
      <w:r w:rsidR="002844BC">
        <w:rPr>
          <w:rFonts w:ascii="Times New Roman" w:eastAsia="Times New Roman" w:hAnsi="Times New Roman" w:cs="Times New Roman"/>
          <w:sz w:val="26"/>
          <w:szCs w:val="26"/>
        </w:rPr>
        <w:t xml:space="preserve"> </w:t>
      </w:r>
      <w:r w:rsidR="002844BC" w:rsidRPr="002844BC">
        <w:rPr>
          <w:rFonts w:ascii="Times New Roman" w:eastAsia="Times New Roman" w:hAnsi="Times New Roman" w:cs="Times New Roman"/>
          <w:sz w:val="26"/>
          <w:szCs w:val="26"/>
        </w:rPr>
        <w:t>In addition, WECC provides an environment for the development of Reliability Standards and the coordination of the operating and planning activities of its members as set forth in the WECC Bylaws.</w:t>
      </w:r>
      <w:r w:rsidRPr="000027F9">
        <w:rPr>
          <w:rFonts w:ascii="Times New Roman" w:eastAsia="Times New Roman" w:hAnsi="Times New Roman" w:cs="Times New Roman"/>
          <w:sz w:val="26"/>
          <w:szCs w:val="26"/>
        </w:rPr>
        <w:t xml:space="preserve"> </w:t>
      </w:r>
    </w:p>
    <w:p w14:paraId="174CA5EC" w14:textId="74FDF055" w:rsidR="00AD1160" w:rsidRPr="000027F9" w:rsidRDefault="00AD1160" w:rsidP="00AD1160">
      <w:pPr>
        <w:autoSpaceDE w:val="0"/>
        <w:autoSpaceDN w:val="0"/>
        <w:adjustRightInd w:val="0"/>
        <w:spacing w:after="0" w:line="480" w:lineRule="auto"/>
        <w:ind w:firstLine="720"/>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There are </w:t>
      </w:r>
      <w:r w:rsidR="00B242FC">
        <w:rPr>
          <w:rFonts w:ascii="Times New Roman" w:eastAsia="Times New Roman" w:hAnsi="Times New Roman" w:cs="Times New Roman"/>
          <w:sz w:val="26"/>
          <w:szCs w:val="26"/>
        </w:rPr>
        <w:t>several</w:t>
      </w:r>
      <w:r w:rsidR="00B242FC" w:rsidRPr="000027F9">
        <w:rPr>
          <w:rFonts w:ascii="Times New Roman" w:eastAsia="Times New Roman" w:hAnsi="Times New Roman" w:cs="Times New Roman"/>
          <w:sz w:val="26"/>
          <w:szCs w:val="26"/>
        </w:rPr>
        <w:t xml:space="preserve"> </w:t>
      </w:r>
      <w:r w:rsidR="00B242FC">
        <w:rPr>
          <w:rFonts w:ascii="Times New Roman" w:eastAsia="Times New Roman" w:hAnsi="Times New Roman" w:cs="Times New Roman"/>
          <w:sz w:val="26"/>
          <w:szCs w:val="26"/>
        </w:rPr>
        <w:t xml:space="preserve">regional </w:t>
      </w:r>
      <w:r w:rsidRPr="000027F9">
        <w:rPr>
          <w:rFonts w:ascii="Times New Roman" w:eastAsia="Times New Roman" w:hAnsi="Times New Roman" w:cs="Times New Roman"/>
          <w:sz w:val="26"/>
          <w:szCs w:val="26"/>
        </w:rPr>
        <w:t xml:space="preserve">Reliability Standards in the WECC region.  These </w:t>
      </w:r>
      <w:r w:rsidR="004F3B23">
        <w:rPr>
          <w:rFonts w:ascii="Times New Roman" w:eastAsia="Times New Roman" w:hAnsi="Times New Roman" w:cs="Times New Roman"/>
          <w:sz w:val="26"/>
          <w:szCs w:val="26"/>
        </w:rPr>
        <w:t>regional Reliability S</w:t>
      </w:r>
      <w:r w:rsidRPr="000027F9">
        <w:rPr>
          <w:rFonts w:ascii="Times New Roman" w:eastAsia="Times New Roman" w:hAnsi="Times New Roman" w:cs="Times New Roman"/>
          <w:sz w:val="26"/>
          <w:szCs w:val="26"/>
        </w:rPr>
        <w:t xml:space="preserve">tandards generally require entities to document compliance with substantive requirements, retain documentation, and submit reports to WECC.  </w:t>
      </w:r>
    </w:p>
    <w:p w14:paraId="728616AA" w14:textId="5E3BE580" w:rsidR="00AD1160" w:rsidRPr="000027F9" w:rsidRDefault="00AD1160" w:rsidP="00AD1160">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BAL-002-WECC-2</w:t>
      </w:r>
      <w:r w:rsidR="005A2225">
        <w:rPr>
          <w:rFonts w:ascii="Times New Roman" w:eastAsia="Times New Roman" w:hAnsi="Times New Roman" w:cs="Times New Roman"/>
          <w:sz w:val="26"/>
          <w:szCs w:val="26"/>
        </w:rPr>
        <w:t>a</w:t>
      </w:r>
      <w:r w:rsidR="004F3B23" w:rsidDel="004F3B23">
        <w:rPr>
          <w:rStyle w:val="FootnoteReference"/>
          <w:rFonts w:eastAsia="Times New Roman" w:cs="Times New Roman"/>
        </w:rPr>
        <w:t xml:space="preserve"> </w:t>
      </w:r>
      <w:r w:rsidR="00B65224">
        <w:rPr>
          <w:rFonts w:ascii="Times New Roman" w:eastAsia="Times New Roman" w:hAnsi="Times New Roman" w:cs="Times New Roman"/>
          <w:sz w:val="26"/>
          <w:szCs w:val="26"/>
        </w:rPr>
        <w:t>(Contingency Reserve)</w:t>
      </w:r>
      <w:r w:rsidR="004F3B23">
        <w:rPr>
          <w:rStyle w:val="FootnoteReference"/>
          <w:rFonts w:eastAsia="Times New Roman" w:cs="Times New Roman"/>
        </w:rPr>
        <w:footnoteReference w:id="4"/>
      </w:r>
      <w:r w:rsidR="004F3B23" w:rsidRPr="000027F9">
        <w:rPr>
          <w:rFonts w:ascii="Times New Roman" w:eastAsia="Times New Roman" w:hAnsi="Times New Roman" w:cs="Times New Roman"/>
          <w:sz w:val="26"/>
          <w:szCs w:val="26"/>
        </w:rPr>
        <w:t xml:space="preserve"> </w:t>
      </w:r>
      <w:r w:rsidRPr="000027F9">
        <w:rPr>
          <w:rFonts w:ascii="Times New Roman" w:eastAsia="Times New Roman" w:hAnsi="Times New Roman" w:cs="Times New Roman"/>
          <w:sz w:val="26"/>
          <w:szCs w:val="26"/>
        </w:rPr>
        <w:t xml:space="preserve">requires balancing authorities and reserve sharing groups to document compliance with the contingency reserve requirements described in the standard.    </w:t>
      </w:r>
    </w:p>
    <w:p w14:paraId="1D205FFC" w14:textId="77777777" w:rsidR="00AD1160" w:rsidRPr="000027F9" w:rsidRDefault="00AD1160" w:rsidP="00AD1160">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BAL-004-WECC-02 </w:t>
      </w:r>
      <w:r w:rsidR="00B65224">
        <w:rPr>
          <w:rFonts w:ascii="Times New Roman" w:eastAsia="Times New Roman" w:hAnsi="Times New Roman" w:cs="Times New Roman"/>
          <w:sz w:val="26"/>
          <w:szCs w:val="26"/>
        </w:rPr>
        <w:t xml:space="preserve">(Automatic Time Error Correction) </w:t>
      </w:r>
      <w:r w:rsidRPr="000027F9">
        <w:rPr>
          <w:rFonts w:ascii="Times New Roman" w:eastAsia="Times New Roman" w:hAnsi="Times New Roman" w:cs="Times New Roman"/>
          <w:sz w:val="26"/>
          <w:szCs w:val="26"/>
        </w:rPr>
        <w:t xml:space="preserve">requires balancing authorities to document that time error corrections and primary inadvertent interchange payback were conducted according the requirements in the standard.  </w:t>
      </w:r>
    </w:p>
    <w:p w14:paraId="7E0F137F" w14:textId="77777777" w:rsidR="00AD1160" w:rsidRPr="000027F9" w:rsidRDefault="00AD1160" w:rsidP="00AD1160">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FAC-501-WECC-1</w:t>
      </w:r>
      <w:r w:rsidR="00B65224">
        <w:rPr>
          <w:rFonts w:ascii="Times New Roman" w:eastAsia="Times New Roman" w:hAnsi="Times New Roman" w:cs="Times New Roman"/>
          <w:sz w:val="26"/>
          <w:szCs w:val="26"/>
        </w:rPr>
        <w:t xml:space="preserve"> (Transmission Maintenance)</w:t>
      </w:r>
      <w:r w:rsidRPr="000027F9">
        <w:rPr>
          <w:rFonts w:ascii="Times New Roman" w:eastAsia="Times New Roman" w:hAnsi="Times New Roman" w:cs="Times New Roman"/>
          <w:sz w:val="26"/>
          <w:szCs w:val="26"/>
        </w:rPr>
        <w:t xml:space="preserve"> requires transmission owners with certain transmission paths to have a transmission maintenance and inspection plan and to document maintenance and inspection activities according to the plan.  </w:t>
      </w:r>
    </w:p>
    <w:p w14:paraId="236BDDE2" w14:textId="31DD27C7" w:rsidR="00AD1160" w:rsidRPr="000027F9" w:rsidRDefault="00AD1160" w:rsidP="00C3586A">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IRO-006-WECC-</w:t>
      </w:r>
      <w:r w:rsidR="00C64227">
        <w:rPr>
          <w:rFonts w:ascii="Times New Roman" w:eastAsia="Times New Roman" w:hAnsi="Times New Roman" w:cs="Times New Roman"/>
          <w:sz w:val="26"/>
          <w:szCs w:val="26"/>
        </w:rPr>
        <w:t>2</w:t>
      </w:r>
      <w:r w:rsidR="00C64227" w:rsidRPr="000027F9">
        <w:rPr>
          <w:rFonts w:ascii="Times New Roman" w:eastAsia="Times New Roman" w:hAnsi="Times New Roman" w:cs="Times New Roman"/>
          <w:sz w:val="26"/>
          <w:szCs w:val="26"/>
        </w:rPr>
        <w:t xml:space="preserve"> </w:t>
      </w:r>
      <w:r w:rsidR="00C3586A">
        <w:rPr>
          <w:rFonts w:ascii="Times New Roman" w:eastAsia="Times New Roman" w:hAnsi="Times New Roman" w:cs="Times New Roman"/>
          <w:sz w:val="26"/>
          <w:szCs w:val="26"/>
        </w:rPr>
        <w:t>(</w:t>
      </w:r>
      <w:r w:rsidR="00C3586A" w:rsidRPr="00C3586A">
        <w:rPr>
          <w:rFonts w:ascii="Times New Roman" w:eastAsia="Times New Roman" w:hAnsi="Times New Roman" w:cs="Times New Roman"/>
          <w:sz w:val="26"/>
          <w:szCs w:val="26"/>
        </w:rPr>
        <w:t>Qualified Transfer Path Unscheduled Flow (USF) Relief</w:t>
      </w:r>
      <w:r w:rsidR="00C3586A">
        <w:rPr>
          <w:rFonts w:ascii="Times New Roman" w:eastAsia="Times New Roman" w:hAnsi="Times New Roman" w:cs="Times New Roman"/>
          <w:sz w:val="26"/>
          <w:szCs w:val="26"/>
        </w:rPr>
        <w:t>)</w:t>
      </w:r>
      <w:r w:rsidR="004F3B23">
        <w:rPr>
          <w:rStyle w:val="FootnoteReference"/>
          <w:rFonts w:eastAsia="Times New Roman" w:cs="Times New Roman"/>
        </w:rPr>
        <w:footnoteReference w:id="5"/>
      </w:r>
      <w:r w:rsidR="00C3586A">
        <w:rPr>
          <w:rFonts w:ascii="Times New Roman" w:eastAsia="Times New Roman" w:hAnsi="Times New Roman" w:cs="Times New Roman"/>
          <w:sz w:val="26"/>
          <w:szCs w:val="26"/>
        </w:rPr>
        <w:t xml:space="preserve"> </w:t>
      </w:r>
      <w:r w:rsidRPr="000027F9">
        <w:rPr>
          <w:rFonts w:ascii="Times New Roman" w:eastAsia="Times New Roman" w:hAnsi="Times New Roman" w:cs="Times New Roman"/>
          <w:sz w:val="26"/>
          <w:szCs w:val="26"/>
        </w:rPr>
        <w:t xml:space="preserve">requires balancing authorities and reliability coordinators document actions taken to mitigate unscheduled flow.  </w:t>
      </w:r>
    </w:p>
    <w:p w14:paraId="7C2BEC8F" w14:textId="4BEF34E5" w:rsidR="00AD1160" w:rsidRPr="000027F9" w:rsidRDefault="00AD1160" w:rsidP="00C3586A">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PRC-004-WECC-</w:t>
      </w:r>
      <w:r w:rsidR="00015789">
        <w:rPr>
          <w:rFonts w:ascii="Times New Roman" w:eastAsia="Times New Roman" w:hAnsi="Times New Roman" w:cs="Times New Roman"/>
          <w:sz w:val="26"/>
          <w:szCs w:val="26"/>
        </w:rPr>
        <w:t>2</w:t>
      </w:r>
      <w:r w:rsidRPr="000027F9">
        <w:rPr>
          <w:rFonts w:ascii="Times New Roman" w:eastAsia="Times New Roman" w:hAnsi="Times New Roman" w:cs="Times New Roman"/>
          <w:sz w:val="26"/>
          <w:szCs w:val="26"/>
        </w:rPr>
        <w:t xml:space="preserve"> </w:t>
      </w:r>
      <w:r w:rsidR="00C3586A">
        <w:rPr>
          <w:rFonts w:ascii="Times New Roman" w:eastAsia="Times New Roman" w:hAnsi="Times New Roman" w:cs="Times New Roman"/>
          <w:sz w:val="26"/>
          <w:szCs w:val="26"/>
        </w:rPr>
        <w:t>(</w:t>
      </w:r>
      <w:r w:rsidR="00C3586A" w:rsidRPr="00C3586A">
        <w:rPr>
          <w:rFonts w:ascii="Times New Roman" w:eastAsia="Times New Roman" w:hAnsi="Times New Roman" w:cs="Times New Roman"/>
          <w:sz w:val="26"/>
          <w:szCs w:val="26"/>
        </w:rPr>
        <w:t>Protection System and Remedial Action Scheme Misoperation</w:t>
      </w:r>
      <w:r w:rsidR="00C3586A">
        <w:rPr>
          <w:rFonts w:ascii="Times New Roman" w:eastAsia="Times New Roman" w:hAnsi="Times New Roman" w:cs="Times New Roman"/>
          <w:sz w:val="26"/>
          <w:szCs w:val="26"/>
        </w:rPr>
        <w:t>)</w:t>
      </w:r>
      <w:r w:rsidR="00C3586A">
        <w:rPr>
          <w:rStyle w:val="FootnoteReference"/>
          <w:rFonts w:eastAsia="Times New Roman" w:cs="Times New Roman"/>
        </w:rPr>
        <w:footnoteReference w:id="6"/>
      </w:r>
      <w:r w:rsidR="00C3586A">
        <w:rPr>
          <w:rFonts w:ascii="Times New Roman" w:eastAsia="Times New Roman" w:hAnsi="Times New Roman" w:cs="Times New Roman"/>
          <w:sz w:val="26"/>
          <w:szCs w:val="26"/>
        </w:rPr>
        <w:t xml:space="preserve"> </w:t>
      </w:r>
      <w:r w:rsidRPr="000027F9">
        <w:rPr>
          <w:rFonts w:ascii="Times New Roman" w:eastAsia="Times New Roman" w:hAnsi="Times New Roman" w:cs="Times New Roman"/>
          <w:sz w:val="26"/>
          <w:szCs w:val="26"/>
        </w:rPr>
        <w:t xml:space="preserve">requires transmission owners, generator owners and transmission operators to document their analysis and/or mitigation due to certain misoperations on major transfer paths.  This standard requires that documentation be kept for six years.  </w:t>
      </w:r>
    </w:p>
    <w:p w14:paraId="3C1F1266" w14:textId="32CD17B9" w:rsidR="00B242FC" w:rsidRPr="00E35BD4" w:rsidRDefault="00AD1160" w:rsidP="004F3B23">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E35BD4">
        <w:rPr>
          <w:rFonts w:ascii="Times New Roman" w:eastAsia="Times New Roman" w:hAnsi="Times New Roman" w:cs="Times New Roman"/>
          <w:sz w:val="26"/>
          <w:szCs w:val="26"/>
        </w:rPr>
        <w:t>VAR-002-WECC-</w:t>
      </w:r>
      <w:r w:rsidR="00544B17">
        <w:rPr>
          <w:rFonts w:ascii="Times New Roman" w:eastAsia="Times New Roman" w:hAnsi="Times New Roman" w:cs="Times New Roman"/>
          <w:sz w:val="26"/>
          <w:szCs w:val="26"/>
        </w:rPr>
        <w:t>2</w:t>
      </w:r>
      <w:r w:rsidR="004F3B23">
        <w:rPr>
          <w:rFonts w:ascii="Times New Roman" w:eastAsia="Times New Roman" w:hAnsi="Times New Roman" w:cs="Times New Roman"/>
          <w:sz w:val="26"/>
          <w:szCs w:val="26"/>
        </w:rPr>
        <w:t xml:space="preserve"> (</w:t>
      </w:r>
      <w:r w:rsidR="004F3B23" w:rsidRPr="004F3B23">
        <w:rPr>
          <w:rFonts w:ascii="Times New Roman" w:eastAsia="Times New Roman" w:hAnsi="Times New Roman" w:cs="Times New Roman"/>
          <w:sz w:val="26"/>
          <w:szCs w:val="26"/>
        </w:rPr>
        <w:t>Automatic Voltage Regulators (AVR)</w:t>
      </w:r>
      <w:r w:rsidR="004F3B23">
        <w:rPr>
          <w:rFonts w:ascii="Times New Roman" w:eastAsia="Times New Roman" w:hAnsi="Times New Roman" w:cs="Times New Roman"/>
          <w:sz w:val="26"/>
          <w:szCs w:val="26"/>
        </w:rPr>
        <w:t>)</w:t>
      </w:r>
      <w:r w:rsidR="00A25214">
        <w:rPr>
          <w:rStyle w:val="FootnoteReference"/>
          <w:rFonts w:eastAsia="Times New Roman" w:cs="Times New Roman"/>
        </w:rPr>
        <w:footnoteReference w:id="7"/>
      </w:r>
      <w:r w:rsidRPr="00E35BD4">
        <w:rPr>
          <w:rFonts w:ascii="Times New Roman" w:eastAsia="Times New Roman" w:hAnsi="Times New Roman" w:cs="Times New Roman"/>
          <w:sz w:val="26"/>
          <w:szCs w:val="26"/>
        </w:rPr>
        <w:t xml:space="preserve"> requires generator operators and transmission operators to provide quarterly reports to the compliance monitor and have evidence related to their synchronous generators, synchronous condensers, and automatic voltage regulators.  </w:t>
      </w:r>
    </w:p>
    <w:p w14:paraId="0F11B4FD" w14:textId="77777777" w:rsidR="00F14869" w:rsidRDefault="00F839A5" w:rsidP="00AD1160">
      <w:pPr>
        <w:autoSpaceDE w:val="0"/>
        <w:autoSpaceDN w:val="0"/>
        <w:adjustRightInd w:val="0"/>
        <w:spacing w:after="0" w:line="480" w:lineRule="auto"/>
        <w:ind w:firstLine="720"/>
        <w:rPr>
          <w:rFonts w:ascii="Times New Roman" w:eastAsia="Times New Roman" w:hAnsi="Times New Roman" w:cs="Times New Roman"/>
          <w:sz w:val="26"/>
          <w:szCs w:val="26"/>
        </w:rPr>
      </w:pPr>
      <w:r w:rsidRPr="00F839A5">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associated</w:t>
      </w:r>
      <w:r w:rsidRPr="00F839A5">
        <w:rPr>
          <w:rFonts w:ascii="Times New Roman" w:eastAsia="Times New Roman" w:hAnsi="Times New Roman" w:cs="Times New Roman"/>
          <w:sz w:val="26"/>
          <w:szCs w:val="26"/>
        </w:rPr>
        <w:t xml:space="preserve"> reporting </w:t>
      </w:r>
      <w:r>
        <w:rPr>
          <w:rFonts w:ascii="Times New Roman" w:eastAsia="Times New Roman" w:hAnsi="Times New Roman" w:cs="Times New Roman"/>
          <w:sz w:val="26"/>
          <w:szCs w:val="26"/>
        </w:rPr>
        <w:t xml:space="preserve">and recordkeeping </w:t>
      </w:r>
      <w:r w:rsidRPr="00F839A5">
        <w:rPr>
          <w:rFonts w:ascii="Times New Roman" w:eastAsia="Times New Roman" w:hAnsi="Times New Roman" w:cs="Times New Roman"/>
          <w:sz w:val="26"/>
          <w:szCs w:val="26"/>
        </w:rPr>
        <w:t xml:space="preserve">requirements included in </w:t>
      </w:r>
      <w:r>
        <w:rPr>
          <w:rFonts w:ascii="Times New Roman" w:eastAsia="Times New Roman" w:hAnsi="Times New Roman" w:cs="Times New Roman"/>
          <w:sz w:val="26"/>
          <w:szCs w:val="26"/>
        </w:rPr>
        <w:t>the standards</w:t>
      </w:r>
      <w:r w:rsidRPr="00F839A5">
        <w:rPr>
          <w:rFonts w:ascii="Times New Roman" w:eastAsia="Times New Roman" w:hAnsi="Times New Roman" w:cs="Times New Roman"/>
          <w:sz w:val="26"/>
          <w:szCs w:val="26"/>
        </w:rPr>
        <w:t xml:space="preserve"> </w:t>
      </w:r>
      <w:r w:rsidR="00FC60FE">
        <w:rPr>
          <w:rFonts w:ascii="Times New Roman" w:eastAsia="Times New Roman" w:hAnsi="Times New Roman" w:cs="Times New Roman"/>
          <w:sz w:val="26"/>
          <w:szCs w:val="26"/>
        </w:rPr>
        <w:t xml:space="preserve">above </w:t>
      </w:r>
      <w:r w:rsidRPr="00F839A5">
        <w:rPr>
          <w:rFonts w:ascii="Times New Roman" w:eastAsia="Times New Roman" w:hAnsi="Times New Roman" w:cs="Times New Roman"/>
          <w:sz w:val="26"/>
          <w:szCs w:val="26"/>
        </w:rPr>
        <w:t>are not being revised</w:t>
      </w:r>
      <w:r w:rsidR="001467D4">
        <w:rPr>
          <w:rFonts w:ascii="Times New Roman" w:eastAsia="Times New Roman" w:hAnsi="Times New Roman" w:cs="Times New Roman"/>
          <w:sz w:val="26"/>
          <w:szCs w:val="26"/>
        </w:rPr>
        <w:t>, and t</w:t>
      </w:r>
      <w:r>
        <w:rPr>
          <w:rFonts w:ascii="Times New Roman" w:eastAsia="Times New Roman" w:hAnsi="Times New Roman" w:cs="Times New Roman"/>
          <w:sz w:val="26"/>
          <w:szCs w:val="26"/>
        </w:rPr>
        <w:t xml:space="preserve">he Commission will be submitting a request to OMB to extend these requirements for three years.  </w:t>
      </w:r>
      <w:r w:rsidR="0014026E">
        <w:rPr>
          <w:rFonts w:ascii="Times New Roman" w:eastAsia="Times New Roman" w:hAnsi="Times New Roman" w:cs="Times New Roman"/>
          <w:sz w:val="26"/>
          <w:szCs w:val="26"/>
        </w:rPr>
        <w:t>T</w:t>
      </w:r>
      <w:r>
        <w:rPr>
          <w:rFonts w:ascii="Times New Roman" w:eastAsia="Times New Roman" w:hAnsi="Times New Roman" w:cs="Times New Roman"/>
          <w:sz w:val="26"/>
          <w:szCs w:val="26"/>
        </w:rPr>
        <w:t>he Commission</w:t>
      </w:r>
      <w:r w:rsidR="00FC60FE">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FC60FE">
        <w:rPr>
          <w:rFonts w:ascii="Times New Roman" w:eastAsia="Times New Roman" w:hAnsi="Times New Roman" w:cs="Times New Roman"/>
          <w:sz w:val="26"/>
          <w:szCs w:val="26"/>
        </w:rPr>
        <w:t>request</w:t>
      </w:r>
      <w:r w:rsidR="00EA09CF">
        <w:rPr>
          <w:rFonts w:ascii="Times New Roman" w:eastAsia="Times New Roman" w:hAnsi="Times New Roman" w:cs="Times New Roman"/>
          <w:sz w:val="26"/>
          <w:szCs w:val="26"/>
        </w:rPr>
        <w:t xml:space="preserve"> to OMB </w:t>
      </w:r>
      <w:r w:rsidR="00FC60FE">
        <w:rPr>
          <w:rFonts w:ascii="Times New Roman" w:eastAsia="Times New Roman" w:hAnsi="Times New Roman" w:cs="Times New Roman"/>
          <w:sz w:val="26"/>
          <w:szCs w:val="26"/>
        </w:rPr>
        <w:t xml:space="preserve">will also </w:t>
      </w:r>
      <w:r w:rsidR="003F72FF">
        <w:rPr>
          <w:rFonts w:ascii="Times New Roman" w:eastAsia="Times New Roman" w:hAnsi="Times New Roman" w:cs="Times New Roman"/>
          <w:sz w:val="26"/>
          <w:szCs w:val="26"/>
        </w:rPr>
        <w:t>reflect</w:t>
      </w:r>
      <w:r w:rsidR="00E35BD4">
        <w:rPr>
          <w:rFonts w:ascii="Times New Roman" w:eastAsia="Times New Roman" w:hAnsi="Times New Roman" w:cs="Times New Roman"/>
          <w:sz w:val="26"/>
          <w:szCs w:val="26"/>
        </w:rPr>
        <w:t xml:space="preserve"> the following</w:t>
      </w:r>
      <w:r w:rsidR="00C14345">
        <w:rPr>
          <w:rFonts w:ascii="Times New Roman" w:eastAsia="Times New Roman" w:hAnsi="Times New Roman" w:cs="Times New Roman"/>
          <w:sz w:val="26"/>
          <w:szCs w:val="26"/>
        </w:rPr>
        <w:t>:</w:t>
      </w:r>
    </w:p>
    <w:p w14:paraId="355910E6" w14:textId="0113E895" w:rsidR="00F14869" w:rsidRDefault="00FC60FE" w:rsidP="00E35BD4">
      <w:pPr>
        <w:pStyle w:val="ListParagraph"/>
        <w:numPr>
          <w:ilvl w:val="0"/>
          <w:numId w:val="7"/>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26143D">
        <w:rPr>
          <w:rFonts w:ascii="Times New Roman" w:eastAsia="Times New Roman" w:hAnsi="Times New Roman" w:cs="Times New Roman"/>
          <w:sz w:val="26"/>
          <w:szCs w:val="26"/>
        </w:rPr>
        <w:t>eliminating</w:t>
      </w:r>
      <w:r w:rsidR="00F839A5" w:rsidRPr="0026143D">
        <w:rPr>
          <w:rFonts w:ascii="Times New Roman" w:eastAsia="Times New Roman" w:hAnsi="Times New Roman" w:cs="Times New Roman"/>
          <w:sz w:val="26"/>
          <w:szCs w:val="26"/>
        </w:rPr>
        <w:t xml:space="preserve"> the burden associated with regional Reliability Standard TOP-007-WECC-1a</w:t>
      </w:r>
      <w:r w:rsidR="00B05C6F">
        <w:rPr>
          <w:rFonts w:ascii="Times New Roman" w:eastAsia="Times New Roman" w:hAnsi="Times New Roman" w:cs="Times New Roman"/>
          <w:sz w:val="26"/>
          <w:szCs w:val="26"/>
        </w:rPr>
        <w:t>,</w:t>
      </w:r>
      <w:r w:rsidR="00F839A5" w:rsidRPr="0026143D">
        <w:rPr>
          <w:rFonts w:ascii="Times New Roman" w:eastAsia="Times New Roman" w:hAnsi="Times New Roman" w:cs="Times New Roman"/>
          <w:sz w:val="26"/>
          <w:szCs w:val="26"/>
        </w:rPr>
        <w:t xml:space="preserve"> which </w:t>
      </w:r>
      <w:r w:rsidR="007068C9" w:rsidRPr="0026143D">
        <w:rPr>
          <w:rFonts w:ascii="Times New Roman" w:eastAsia="Times New Roman" w:hAnsi="Times New Roman" w:cs="Times New Roman"/>
          <w:sz w:val="26"/>
          <w:szCs w:val="26"/>
        </w:rPr>
        <w:t>is</w:t>
      </w:r>
      <w:r w:rsidR="00F839A5" w:rsidRPr="0026143D">
        <w:rPr>
          <w:rFonts w:ascii="Times New Roman" w:eastAsia="Times New Roman" w:hAnsi="Times New Roman" w:cs="Times New Roman"/>
          <w:sz w:val="26"/>
          <w:szCs w:val="26"/>
        </w:rPr>
        <w:t xml:space="preserve"> be</w:t>
      </w:r>
      <w:r w:rsidR="007068C9" w:rsidRPr="0026143D">
        <w:rPr>
          <w:rFonts w:ascii="Times New Roman" w:eastAsia="Times New Roman" w:hAnsi="Times New Roman" w:cs="Times New Roman"/>
          <w:sz w:val="26"/>
          <w:szCs w:val="26"/>
        </w:rPr>
        <w:t>ing</w:t>
      </w:r>
      <w:r w:rsidR="00F839A5" w:rsidRPr="0026143D">
        <w:rPr>
          <w:rFonts w:ascii="Times New Roman" w:eastAsia="Times New Roman" w:hAnsi="Times New Roman" w:cs="Times New Roman"/>
          <w:sz w:val="26"/>
          <w:szCs w:val="26"/>
        </w:rPr>
        <w:t xml:space="preserve"> retired</w:t>
      </w:r>
      <w:r w:rsidR="0000297F" w:rsidRPr="0026143D">
        <w:rPr>
          <w:rFonts w:ascii="Times New Roman" w:eastAsia="Times New Roman" w:hAnsi="Times New Roman" w:cs="Times New Roman"/>
          <w:sz w:val="26"/>
          <w:szCs w:val="26"/>
        </w:rPr>
        <w:t xml:space="preserve"> </w:t>
      </w:r>
      <w:r w:rsidR="00A53386" w:rsidRPr="0026143D">
        <w:rPr>
          <w:rFonts w:ascii="Times New Roman" w:eastAsia="Times New Roman" w:hAnsi="Times New Roman" w:cs="Times New Roman"/>
          <w:sz w:val="26"/>
          <w:szCs w:val="26"/>
        </w:rPr>
        <w:t>(</w:t>
      </w:r>
      <w:r w:rsidR="00AA5B47">
        <w:rPr>
          <w:rFonts w:ascii="Times New Roman" w:eastAsia="Times New Roman" w:hAnsi="Times New Roman" w:cs="Times New Roman"/>
          <w:sz w:val="26"/>
          <w:szCs w:val="26"/>
        </w:rPr>
        <w:t>addressed</w:t>
      </w:r>
      <w:r w:rsidR="00AA5B47" w:rsidRPr="0026143D">
        <w:rPr>
          <w:rFonts w:ascii="Times New Roman" w:eastAsia="Times New Roman" w:hAnsi="Times New Roman" w:cs="Times New Roman"/>
          <w:sz w:val="26"/>
          <w:szCs w:val="26"/>
        </w:rPr>
        <w:t xml:space="preserve"> </w:t>
      </w:r>
      <w:r w:rsidR="0000297F" w:rsidRPr="0026143D">
        <w:rPr>
          <w:rFonts w:ascii="Times New Roman" w:eastAsia="Times New Roman" w:hAnsi="Times New Roman" w:cs="Times New Roman"/>
          <w:sz w:val="26"/>
          <w:szCs w:val="26"/>
        </w:rPr>
        <w:t>in Docket No. RD16-10</w:t>
      </w:r>
      <w:r w:rsidR="00A53386" w:rsidRPr="0026143D">
        <w:rPr>
          <w:rFonts w:ascii="Times New Roman" w:eastAsia="Times New Roman" w:hAnsi="Times New Roman" w:cs="Times New Roman"/>
          <w:sz w:val="26"/>
          <w:szCs w:val="26"/>
        </w:rPr>
        <w:t>)</w:t>
      </w:r>
      <w:r w:rsidR="00AA5B47">
        <w:rPr>
          <w:rFonts w:ascii="Times New Roman" w:eastAsia="Times New Roman" w:hAnsi="Times New Roman" w:cs="Times New Roman"/>
          <w:sz w:val="26"/>
          <w:szCs w:val="26"/>
        </w:rPr>
        <w:t>;</w:t>
      </w:r>
      <w:r w:rsidR="00DD4828">
        <w:rPr>
          <w:rStyle w:val="FootnoteReference"/>
          <w:rFonts w:eastAsia="Times New Roman" w:cs="Times New Roman"/>
        </w:rPr>
        <w:footnoteReference w:id="8"/>
      </w:r>
      <w:r w:rsidR="00C14345" w:rsidRPr="0026143D">
        <w:rPr>
          <w:rFonts w:ascii="Times New Roman" w:eastAsia="Times New Roman" w:hAnsi="Times New Roman" w:cs="Times New Roman"/>
          <w:sz w:val="26"/>
          <w:szCs w:val="26"/>
        </w:rPr>
        <w:t xml:space="preserve"> and</w:t>
      </w:r>
    </w:p>
    <w:p w14:paraId="34EA09DE" w14:textId="17687B5F" w:rsidR="00F839A5" w:rsidRPr="0026143D" w:rsidRDefault="00514E31" w:rsidP="00E35BD4">
      <w:pPr>
        <w:pStyle w:val="ListParagraph"/>
        <w:numPr>
          <w:ilvl w:val="0"/>
          <w:numId w:val="7"/>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26143D">
        <w:rPr>
          <w:rFonts w:ascii="Times New Roman" w:hAnsi="Times New Roman" w:cs="Times New Roman"/>
          <w:sz w:val="26"/>
          <w:szCs w:val="26"/>
        </w:rPr>
        <w:t xml:space="preserve">implementing </w:t>
      </w:r>
      <w:r w:rsidRPr="0026143D">
        <w:rPr>
          <w:rFonts w:ascii="Times New Roman" w:eastAsia="Times New Roman" w:hAnsi="Times New Roman" w:cs="Times New Roman"/>
          <w:sz w:val="26"/>
          <w:szCs w:val="26"/>
        </w:rPr>
        <w:t xml:space="preserve">the </w:t>
      </w:r>
      <w:r w:rsidR="00AA5B47">
        <w:rPr>
          <w:rFonts w:ascii="Times New Roman" w:eastAsia="Times New Roman" w:hAnsi="Times New Roman" w:cs="Times New Roman"/>
          <w:sz w:val="26"/>
          <w:szCs w:val="26"/>
        </w:rPr>
        <w:t>r</w:t>
      </w:r>
      <w:r w:rsidRPr="0026143D">
        <w:rPr>
          <w:rFonts w:ascii="Times New Roman" w:eastAsia="Times New Roman" w:hAnsi="Times New Roman" w:cs="Times New Roman"/>
          <w:sz w:val="26"/>
          <w:szCs w:val="26"/>
        </w:rPr>
        <w:t>egional Reliability Standard VAR-501-WECC-3</w:t>
      </w:r>
      <w:r>
        <w:rPr>
          <w:rFonts w:ascii="Times New Roman" w:eastAsia="Times New Roman" w:hAnsi="Times New Roman" w:cs="Times New Roman"/>
          <w:sz w:val="26"/>
          <w:szCs w:val="26"/>
        </w:rPr>
        <w:t xml:space="preserve"> and </w:t>
      </w:r>
      <w:r w:rsidR="00C14345" w:rsidRPr="0026143D">
        <w:rPr>
          <w:rFonts w:ascii="Times New Roman" w:eastAsia="Times New Roman" w:hAnsi="Times New Roman" w:cs="Times New Roman"/>
          <w:sz w:val="26"/>
          <w:szCs w:val="26"/>
        </w:rPr>
        <w:t xml:space="preserve"> the retirement of </w:t>
      </w:r>
      <w:r w:rsidR="00AA5B47">
        <w:rPr>
          <w:rFonts w:ascii="Times New Roman" w:eastAsia="Times New Roman" w:hAnsi="Times New Roman" w:cs="Times New Roman"/>
          <w:sz w:val="26"/>
          <w:szCs w:val="26"/>
        </w:rPr>
        <w:t>r</w:t>
      </w:r>
      <w:r w:rsidR="00C14345" w:rsidRPr="0026143D">
        <w:rPr>
          <w:rFonts w:ascii="Times New Roman" w:eastAsia="Times New Roman" w:hAnsi="Times New Roman" w:cs="Times New Roman"/>
          <w:sz w:val="26"/>
          <w:szCs w:val="26"/>
        </w:rPr>
        <w:t>egional Reliability Standard VAR-501-WECC-2</w:t>
      </w:r>
      <w:r w:rsidR="00C14345" w:rsidRPr="0026143D">
        <w:rPr>
          <w:rFonts w:ascii="Times New Roman" w:hAnsi="Times New Roman" w:cs="Times New Roman"/>
          <w:sz w:val="26"/>
          <w:szCs w:val="26"/>
        </w:rPr>
        <w:t xml:space="preserve"> </w:t>
      </w:r>
      <w:r w:rsidR="003F72FF" w:rsidRPr="0026143D">
        <w:rPr>
          <w:rFonts w:ascii="Times New Roman" w:eastAsia="Times New Roman" w:hAnsi="Times New Roman" w:cs="Times New Roman"/>
          <w:sz w:val="26"/>
          <w:szCs w:val="26"/>
        </w:rPr>
        <w:t>(</w:t>
      </w:r>
      <w:r w:rsidR="00AA5B47">
        <w:rPr>
          <w:rFonts w:ascii="Times New Roman" w:eastAsia="Times New Roman" w:hAnsi="Times New Roman" w:cs="Times New Roman"/>
          <w:sz w:val="26"/>
          <w:szCs w:val="26"/>
        </w:rPr>
        <w:t>addressed</w:t>
      </w:r>
      <w:r w:rsidR="00AA5B47" w:rsidRPr="0026143D">
        <w:rPr>
          <w:rFonts w:ascii="Times New Roman" w:eastAsia="Times New Roman" w:hAnsi="Times New Roman" w:cs="Times New Roman"/>
          <w:sz w:val="26"/>
          <w:szCs w:val="26"/>
        </w:rPr>
        <w:t xml:space="preserve"> </w:t>
      </w:r>
      <w:r w:rsidR="003F72FF" w:rsidRPr="0026143D">
        <w:rPr>
          <w:rFonts w:ascii="Times New Roman" w:eastAsia="Times New Roman" w:hAnsi="Times New Roman" w:cs="Times New Roman"/>
          <w:sz w:val="26"/>
          <w:szCs w:val="26"/>
        </w:rPr>
        <w:t>in Docket No. RD17-5 and</w:t>
      </w:r>
      <w:r w:rsidR="00AA5B47">
        <w:rPr>
          <w:rFonts w:ascii="Times New Roman" w:eastAsia="Times New Roman" w:hAnsi="Times New Roman" w:cs="Times New Roman"/>
          <w:sz w:val="26"/>
          <w:szCs w:val="26"/>
        </w:rPr>
        <w:t xml:space="preserve"> discussed</w:t>
      </w:r>
      <w:r w:rsidR="003F72FF" w:rsidRPr="0026143D">
        <w:rPr>
          <w:rFonts w:ascii="Times New Roman" w:eastAsia="Times New Roman" w:hAnsi="Times New Roman" w:cs="Times New Roman"/>
          <w:sz w:val="26"/>
          <w:szCs w:val="26"/>
        </w:rPr>
        <w:t xml:space="preserve"> below).</w:t>
      </w:r>
      <w:r w:rsidR="00C14345" w:rsidRPr="0026143D">
        <w:rPr>
          <w:rFonts w:ascii="Times New Roman" w:eastAsia="Times New Roman" w:hAnsi="Times New Roman" w:cs="Times New Roman"/>
          <w:sz w:val="26"/>
          <w:szCs w:val="26"/>
        </w:rPr>
        <w:t xml:space="preserve"> </w:t>
      </w:r>
    </w:p>
    <w:p w14:paraId="118959FA" w14:textId="1CA3599E" w:rsidR="00B242FC" w:rsidRPr="000027F9" w:rsidRDefault="001507B4" w:rsidP="00AD1160">
      <w:pPr>
        <w:autoSpaceDE w:val="0"/>
        <w:autoSpaceDN w:val="0"/>
        <w:adjustRightInd w:val="0"/>
        <w:spacing w:after="0"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On March 10, 2017, NERC and WECC filed a joint petition in Docket No. RD17-5-000</w:t>
      </w:r>
      <w:r>
        <w:rPr>
          <w:rStyle w:val="FootnoteReference"/>
          <w:rFonts w:eastAsia="Times New Roman" w:cs="Times New Roman"/>
        </w:rPr>
        <w:footnoteReference w:id="9"/>
      </w:r>
      <w:r>
        <w:rPr>
          <w:rFonts w:ascii="Times New Roman" w:eastAsia="Times New Roman" w:hAnsi="Times New Roman" w:cs="Times New Roman"/>
          <w:sz w:val="26"/>
          <w:szCs w:val="26"/>
        </w:rPr>
        <w:t xml:space="preserve"> requesting Commission approval of</w:t>
      </w:r>
      <w:r w:rsidR="00B4002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056FE8">
        <w:rPr>
          <w:rFonts w:ascii="Times New Roman" w:eastAsia="Times New Roman" w:hAnsi="Times New Roman" w:cs="Times New Roman"/>
          <w:sz w:val="26"/>
          <w:szCs w:val="26"/>
        </w:rPr>
        <w:t xml:space="preserve">(a) </w:t>
      </w:r>
      <w:r w:rsidR="004246BF">
        <w:rPr>
          <w:rFonts w:ascii="Times New Roman" w:eastAsia="Times New Roman" w:hAnsi="Times New Roman" w:cs="Times New Roman"/>
          <w:sz w:val="26"/>
          <w:szCs w:val="26"/>
        </w:rPr>
        <w:t>r</w:t>
      </w:r>
      <w:r w:rsidRPr="001507B4">
        <w:rPr>
          <w:rFonts w:ascii="Times New Roman" w:eastAsia="Times New Roman" w:hAnsi="Times New Roman" w:cs="Times New Roman"/>
          <w:sz w:val="26"/>
          <w:szCs w:val="26"/>
        </w:rPr>
        <w:t>egional Reliability Standard VAR-501-WECC-3</w:t>
      </w:r>
      <w:r>
        <w:rPr>
          <w:rFonts w:ascii="Times New Roman" w:eastAsia="Times New Roman" w:hAnsi="Times New Roman" w:cs="Times New Roman"/>
          <w:sz w:val="26"/>
          <w:szCs w:val="26"/>
        </w:rPr>
        <w:t xml:space="preserve"> (</w:t>
      </w:r>
      <w:r w:rsidRPr="001507B4">
        <w:rPr>
          <w:rFonts w:ascii="Times New Roman" w:eastAsia="Times New Roman" w:hAnsi="Times New Roman" w:cs="Times New Roman"/>
          <w:sz w:val="26"/>
          <w:szCs w:val="26"/>
        </w:rPr>
        <w:t>Power System Stabilizers</w:t>
      </w:r>
      <w:r>
        <w:rPr>
          <w:rFonts w:ascii="Times New Roman" w:eastAsia="Times New Roman" w:hAnsi="Times New Roman" w:cs="Times New Roman"/>
          <w:sz w:val="26"/>
          <w:szCs w:val="26"/>
        </w:rPr>
        <w:t>)</w:t>
      </w:r>
      <w:r w:rsidR="00056FE8">
        <w:rPr>
          <w:rFonts w:ascii="Times New Roman" w:eastAsia="Times New Roman" w:hAnsi="Times New Roman" w:cs="Times New Roman"/>
          <w:sz w:val="26"/>
          <w:szCs w:val="26"/>
        </w:rPr>
        <w:t xml:space="preserve">, and (b) the </w:t>
      </w:r>
      <w:r w:rsidR="00056FE8" w:rsidRPr="00056FE8">
        <w:rPr>
          <w:rFonts w:ascii="Times New Roman" w:eastAsia="Times New Roman" w:hAnsi="Times New Roman" w:cs="Times New Roman"/>
          <w:sz w:val="26"/>
          <w:szCs w:val="26"/>
        </w:rPr>
        <w:t xml:space="preserve">retirement of </w:t>
      </w:r>
      <w:r w:rsidR="004246BF">
        <w:rPr>
          <w:rFonts w:ascii="Times New Roman" w:eastAsia="Times New Roman" w:hAnsi="Times New Roman" w:cs="Times New Roman"/>
          <w:sz w:val="26"/>
          <w:szCs w:val="26"/>
        </w:rPr>
        <w:t>then-</w:t>
      </w:r>
      <w:r w:rsidR="00B40028">
        <w:rPr>
          <w:rFonts w:ascii="Times New Roman" w:eastAsia="Times New Roman" w:hAnsi="Times New Roman" w:cs="Times New Roman"/>
          <w:sz w:val="26"/>
          <w:szCs w:val="26"/>
        </w:rPr>
        <w:t xml:space="preserve">existing </w:t>
      </w:r>
      <w:r w:rsidR="004246BF">
        <w:rPr>
          <w:rFonts w:ascii="Times New Roman" w:eastAsia="Times New Roman" w:hAnsi="Times New Roman" w:cs="Times New Roman"/>
          <w:sz w:val="26"/>
          <w:szCs w:val="26"/>
        </w:rPr>
        <w:t>r</w:t>
      </w:r>
      <w:r w:rsidR="00056FE8" w:rsidRPr="00056FE8">
        <w:rPr>
          <w:rFonts w:ascii="Times New Roman" w:eastAsia="Times New Roman" w:hAnsi="Times New Roman" w:cs="Times New Roman"/>
          <w:sz w:val="26"/>
          <w:szCs w:val="26"/>
        </w:rPr>
        <w:t>egional Reliability Standard VAR-501-WECC-2</w:t>
      </w:r>
      <w:r w:rsidR="00B4002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The </w:t>
      </w:r>
      <w:r w:rsidR="004246BF">
        <w:rPr>
          <w:rFonts w:ascii="Times New Roman" w:eastAsia="Times New Roman" w:hAnsi="Times New Roman" w:cs="Times New Roman"/>
          <w:sz w:val="26"/>
          <w:szCs w:val="26"/>
        </w:rPr>
        <w:t>p</w:t>
      </w:r>
      <w:r>
        <w:rPr>
          <w:rFonts w:ascii="Times New Roman" w:eastAsia="Times New Roman" w:hAnsi="Times New Roman" w:cs="Times New Roman"/>
          <w:sz w:val="26"/>
          <w:szCs w:val="26"/>
        </w:rPr>
        <w:t>etition states</w:t>
      </w:r>
      <w:r w:rsidR="002736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1507B4">
        <w:rPr>
          <w:rFonts w:ascii="Times New Roman" w:eastAsia="Times New Roman" w:hAnsi="Times New Roman" w:cs="Times New Roman"/>
          <w:sz w:val="26"/>
          <w:szCs w:val="26"/>
        </w:rPr>
        <w:t>Regional Reliability Standard VAR-501-WECC-3 establishes the performance criteria for power system stabilizers to help ensure the Western Interconnection is operated in a coordinated manner under normal and abnormal conditions.</w:t>
      </w:r>
      <w:r>
        <w:rPr>
          <w:rFonts w:ascii="Times New Roman" w:eastAsia="Times New Roman" w:hAnsi="Times New Roman" w:cs="Times New Roman"/>
          <w:sz w:val="26"/>
          <w:szCs w:val="26"/>
        </w:rPr>
        <w:t>”</w:t>
      </w:r>
      <w:r w:rsidR="00056FE8" w:rsidRPr="00056FE8">
        <w:rPr>
          <w:rFonts w:ascii="Times New Roman" w:hAnsi="Times New Roman" w:cs="Times New Roman"/>
          <w:sz w:val="26"/>
          <w:szCs w:val="26"/>
        </w:rPr>
        <w:t xml:space="preserve"> </w:t>
      </w:r>
      <w:r w:rsidR="00056FE8">
        <w:rPr>
          <w:rFonts w:ascii="Times New Roman" w:hAnsi="Times New Roman" w:cs="Times New Roman"/>
          <w:sz w:val="26"/>
          <w:szCs w:val="26"/>
        </w:rPr>
        <w:t xml:space="preserve"> </w:t>
      </w:r>
      <w:r w:rsidR="004246BF" w:rsidRPr="001507B4">
        <w:rPr>
          <w:rFonts w:ascii="Times New Roman" w:eastAsia="Times New Roman" w:hAnsi="Times New Roman" w:cs="Times New Roman"/>
          <w:sz w:val="26"/>
          <w:szCs w:val="26"/>
        </w:rPr>
        <w:t xml:space="preserve">VAR-501-WECC-3 </w:t>
      </w:r>
      <w:r w:rsidR="004246BF">
        <w:rPr>
          <w:rFonts w:ascii="Times New Roman" w:hAnsi="Times New Roman" w:cs="Times New Roman"/>
          <w:sz w:val="26"/>
          <w:szCs w:val="26"/>
        </w:rPr>
        <w:t>was approved by o</w:t>
      </w:r>
      <w:r w:rsidR="004246BF" w:rsidRPr="00C63A3A">
        <w:rPr>
          <w:rFonts w:ascii="Times New Roman" w:hAnsi="Times New Roman" w:cs="Times New Roman"/>
          <w:sz w:val="26"/>
          <w:szCs w:val="26"/>
        </w:rPr>
        <w:t>rder in Docket No. RD17-</w:t>
      </w:r>
      <w:r w:rsidR="004246BF">
        <w:rPr>
          <w:rFonts w:ascii="Times New Roman" w:hAnsi="Times New Roman" w:cs="Times New Roman"/>
          <w:sz w:val="26"/>
          <w:szCs w:val="26"/>
        </w:rPr>
        <w:t>5-000</w:t>
      </w:r>
      <w:r w:rsidR="00273605">
        <w:rPr>
          <w:rFonts w:ascii="Times New Roman" w:hAnsi="Times New Roman" w:cs="Times New Roman"/>
          <w:sz w:val="26"/>
          <w:szCs w:val="26"/>
        </w:rPr>
        <w:t xml:space="preserve"> on </w:t>
      </w:r>
      <w:r w:rsidR="004246BF">
        <w:rPr>
          <w:rFonts w:ascii="Times New Roman" w:hAnsi="Times New Roman" w:cs="Times New Roman"/>
          <w:sz w:val="26"/>
          <w:szCs w:val="26"/>
        </w:rPr>
        <w:t xml:space="preserve">April </w:t>
      </w:r>
      <w:r w:rsidR="00273605">
        <w:rPr>
          <w:rFonts w:ascii="Times New Roman" w:hAnsi="Times New Roman" w:cs="Times New Roman"/>
          <w:sz w:val="26"/>
          <w:szCs w:val="26"/>
        </w:rPr>
        <w:t>2</w:t>
      </w:r>
      <w:r w:rsidR="004246BF">
        <w:rPr>
          <w:rFonts w:ascii="Times New Roman" w:hAnsi="Times New Roman" w:cs="Times New Roman"/>
          <w:sz w:val="26"/>
          <w:szCs w:val="26"/>
        </w:rPr>
        <w:t>8, 2017</w:t>
      </w:r>
      <w:r w:rsidR="00052E2F">
        <w:rPr>
          <w:rFonts w:ascii="Times New Roman" w:hAnsi="Times New Roman" w:cs="Times New Roman"/>
          <w:sz w:val="26"/>
          <w:szCs w:val="26"/>
        </w:rPr>
        <w:t xml:space="preserve">.  </w:t>
      </w:r>
      <w:r w:rsidR="00056FE8">
        <w:rPr>
          <w:rFonts w:ascii="Times New Roman" w:hAnsi="Times New Roman" w:cs="Times New Roman"/>
          <w:sz w:val="26"/>
          <w:szCs w:val="26"/>
        </w:rPr>
        <w:t>In this document, we provide estimates of the burden and cost related to th</w:t>
      </w:r>
      <w:r w:rsidR="00F14869">
        <w:rPr>
          <w:rFonts w:ascii="Times New Roman" w:hAnsi="Times New Roman" w:cs="Times New Roman"/>
          <w:sz w:val="26"/>
          <w:szCs w:val="26"/>
        </w:rPr>
        <w:t>os</w:t>
      </w:r>
      <w:r w:rsidR="00056FE8">
        <w:rPr>
          <w:rFonts w:ascii="Times New Roman" w:hAnsi="Times New Roman" w:cs="Times New Roman"/>
          <w:sz w:val="26"/>
          <w:szCs w:val="26"/>
        </w:rPr>
        <w:t>e revisions to FERC-725E.</w:t>
      </w:r>
    </w:p>
    <w:p w14:paraId="5D4D7481" w14:textId="77777777" w:rsidR="00AD1160"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Type of Respondents: </w:t>
      </w:r>
      <w:r w:rsidRPr="000027F9">
        <w:rPr>
          <w:rFonts w:ascii="Times New Roman" w:eastAsia="Times New Roman" w:hAnsi="Times New Roman" w:cs="Times New Roman"/>
          <w:sz w:val="26"/>
          <w:szCs w:val="26"/>
        </w:rPr>
        <w:t>Balancing authorities, reserve sharing groups, transmission owners, reliability coordinators, transmission operators, generator operators</w:t>
      </w:r>
      <w:r w:rsidR="00E35BD4">
        <w:rPr>
          <w:rFonts w:ascii="Times New Roman" w:eastAsia="Times New Roman" w:hAnsi="Times New Roman" w:cs="Times New Roman"/>
          <w:sz w:val="26"/>
          <w:szCs w:val="26"/>
        </w:rPr>
        <w:t>, and generator owners</w:t>
      </w:r>
      <w:r w:rsidRPr="000027F9">
        <w:rPr>
          <w:rFonts w:ascii="Times New Roman" w:eastAsia="Times New Roman" w:hAnsi="Times New Roman" w:cs="Times New Roman"/>
          <w:sz w:val="26"/>
          <w:szCs w:val="26"/>
        </w:rPr>
        <w:t>.</w:t>
      </w:r>
      <w:r w:rsidR="009D59EE">
        <w:rPr>
          <w:rFonts w:ascii="Times New Roman" w:eastAsia="Times New Roman" w:hAnsi="Times New Roman" w:cs="Times New Roman"/>
          <w:sz w:val="26"/>
          <w:szCs w:val="26"/>
        </w:rPr>
        <w:t xml:space="preserve"> </w:t>
      </w:r>
    </w:p>
    <w:p w14:paraId="7F7B6AE7" w14:textId="1FB22ACF" w:rsidR="00EB7065" w:rsidRPr="00E35BD4" w:rsidRDefault="00894E41" w:rsidP="00894E41">
      <w:pPr>
        <w:spacing w:after="0" w:line="480" w:lineRule="auto"/>
        <w:rPr>
          <w:rFonts w:ascii="Times New Roman" w:eastAsia="Times New Roman" w:hAnsi="Times New Roman" w:cs="Times New Roman"/>
          <w:sz w:val="26"/>
          <w:szCs w:val="24"/>
        </w:rPr>
      </w:pPr>
      <w:r w:rsidRPr="00894E41">
        <w:rPr>
          <w:rFonts w:ascii="Times New Roman" w:eastAsia="Times New Roman" w:hAnsi="Times New Roman" w:cs="Times New Roman"/>
          <w:i/>
          <w:sz w:val="26"/>
          <w:szCs w:val="24"/>
        </w:rPr>
        <w:t>Estimate of Annual Burden</w:t>
      </w:r>
      <w:r w:rsidRPr="00894E41">
        <w:rPr>
          <w:rFonts w:ascii="Times New Roman" w:eastAsia="Times New Roman" w:hAnsi="Times New Roman" w:cs="Times New Roman"/>
          <w:b/>
          <w:i/>
          <w:sz w:val="26"/>
          <w:szCs w:val="26"/>
          <w:vertAlign w:val="superscript"/>
        </w:rPr>
        <w:footnoteReference w:id="10"/>
      </w:r>
      <w:r w:rsidRPr="00894E41">
        <w:rPr>
          <w:rFonts w:ascii="Times New Roman" w:eastAsia="Times New Roman" w:hAnsi="Times New Roman" w:cs="Times New Roman"/>
          <w:i/>
          <w:sz w:val="26"/>
          <w:szCs w:val="24"/>
        </w:rPr>
        <w:t xml:space="preserve">: </w:t>
      </w:r>
      <w:r w:rsidR="00E35BD4" w:rsidRPr="00E35BD4">
        <w:rPr>
          <w:rFonts w:ascii="Times New Roman" w:eastAsia="Times New Roman" w:hAnsi="Times New Roman" w:cs="Times New Roman"/>
          <w:sz w:val="26"/>
          <w:szCs w:val="24"/>
        </w:rPr>
        <w:t xml:space="preserve">Details follow </w:t>
      </w:r>
      <w:r w:rsidR="00E35BD4">
        <w:rPr>
          <w:rFonts w:ascii="Times New Roman" w:eastAsia="Times New Roman" w:hAnsi="Times New Roman" w:cs="Times New Roman"/>
          <w:sz w:val="26"/>
          <w:szCs w:val="24"/>
        </w:rPr>
        <w:t>on the changes in Docket No. RD17-5-000, and on the continuing burdens</w:t>
      </w:r>
      <w:r w:rsidR="00CA29B6">
        <w:rPr>
          <w:rFonts w:ascii="Times New Roman" w:eastAsia="Times New Roman" w:hAnsi="Times New Roman" w:cs="Times New Roman"/>
          <w:sz w:val="26"/>
          <w:szCs w:val="24"/>
        </w:rPr>
        <w:t>,</w:t>
      </w:r>
      <w:r w:rsidR="00E35BD4">
        <w:rPr>
          <w:rFonts w:ascii="Times New Roman" w:eastAsia="Times New Roman" w:hAnsi="Times New Roman" w:cs="Times New Roman"/>
          <w:sz w:val="26"/>
          <w:szCs w:val="24"/>
        </w:rPr>
        <w:t xml:space="preserve"> which will be submitted to OMB for approval</w:t>
      </w:r>
      <w:r w:rsidR="006F2653" w:rsidRPr="006F2653">
        <w:rPr>
          <w:rFonts w:ascii="Times New Roman" w:eastAsia="Times New Roman" w:hAnsi="Times New Roman" w:cs="Times New Roman"/>
          <w:sz w:val="26"/>
          <w:szCs w:val="24"/>
        </w:rPr>
        <w:t xml:space="preserve"> </w:t>
      </w:r>
      <w:r w:rsidR="006F2653">
        <w:rPr>
          <w:rFonts w:ascii="Times New Roman" w:eastAsia="Times New Roman" w:hAnsi="Times New Roman" w:cs="Times New Roman"/>
          <w:sz w:val="26"/>
          <w:szCs w:val="24"/>
        </w:rPr>
        <w:t>in a consolidated package under FERC-725E</w:t>
      </w:r>
      <w:r w:rsidR="00E35BD4">
        <w:rPr>
          <w:rFonts w:ascii="Times New Roman" w:eastAsia="Times New Roman" w:hAnsi="Times New Roman" w:cs="Times New Roman"/>
          <w:sz w:val="26"/>
          <w:szCs w:val="24"/>
        </w:rPr>
        <w:t>.</w:t>
      </w:r>
    </w:p>
    <w:p w14:paraId="3CC10B4A" w14:textId="33BC320D" w:rsidR="001F31E7" w:rsidRDefault="006A0104" w:rsidP="007D05AF">
      <w:pPr>
        <w:spacing w:after="0" w:line="480" w:lineRule="auto"/>
      </w:pPr>
      <w:r>
        <w:rPr>
          <w:rFonts w:ascii="Times New Roman" w:eastAsia="Times New Roman" w:hAnsi="Times New Roman" w:cs="Times New Roman"/>
          <w:i/>
          <w:sz w:val="26"/>
          <w:szCs w:val="26"/>
        </w:rPr>
        <w:t xml:space="preserve">Estimate of </w:t>
      </w:r>
      <w:r w:rsidR="0082061B">
        <w:rPr>
          <w:rFonts w:ascii="Times New Roman" w:eastAsia="Times New Roman" w:hAnsi="Times New Roman" w:cs="Times New Roman"/>
          <w:i/>
          <w:sz w:val="26"/>
          <w:szCs w:val="26"/>
        </w:rPr>
        <w:t xml:space="preserve">Changes to </w:t>
      </w:r>
      <w:r>
        <w:rPr>
          <w:rFonts w:ascii="Times New Roman" w:eastAsia="Times New Roman" w:hAnsi="Times New Roman" w:cs="Times New Roman"/>
          <w:i/>
          <w:sz w:val="26"/>
          <w:szCs w:val="26"/>
        </w:rPr>
        <w:t xml:space="preserve">Burden Due to </w:t>
      </w:r>
      <w:r w:rsidR="00F91560">
        <w:rPr>
          <w:rFonts w:ascii="Times New Roman" w:eastAsia="Times New Roman" w:hAnsi="Times New Roman" w:cs="Times New Roman"/>
          <w:i/>
          <w:sz w:val="26"/>
          <w:szCs w:val="26"/>
        </w:rPr>
        <w:t xml:space="preserve">Docket No. </w:t>
      </w:r>
      <w:r>
        <w:rPr>
          <w:rFonts w:ascii="Times New Roman" w:eastAsia="Times New Roman" w:hAnsi="Times New Roman" w:cs="Times New Roman"/>
          <w:i/>
          <w:sz w:val="26"/>
          <w:szCs w:val="26"/>
        </w:rPr>
        <w:t>RD17-5:</w:t>
      </w:r>
      <w:r w:rsidR="00F91560">
        <w:rPr>
          <w:rFonts w:ascii="Times New Roman" w:eastAsia="Times New Roman" w:hAnsi="Times New Roman" w:cs="Times New Roman"/>
          <w:i/>
          <w:sz w:val="26"/>
          <w:szCs w:val="26"/>
        </w:rPr>
        <w:t xml:space="preserve">  </w:t>
      </w:r>
      <w:r w:rsidR="00657B67">
        <w:rPr>
          <w:rFonts w:ascii="Times New Roman" w:eastAsia="Times New Roman" w:hAnsi="Times New Roman" w:cs="Times New Roman"/>
          <w:sz w:val="26"/>
          <w:szCs w:val="26"/>
        </w:rPr>
        <w:t xml:space="preserve">The </w:t>
      </w:r>
      <w:r w:rsidR="00064832">
        <w:rPr>
          <w:rFonts w:ascii="Times New Roman" w:eastAsia="Times New Roman" w:hAnsi="Times New Roman" w:cs="Times New Roman"/>
          <w:sz w:val="26"/>
          <w:szCs w:val="26"/>
        </w:rPr>
        <w:t>joint p</w:t>
      </w:r>
      <w:r w:rsidR="00657B67">
        <w:rPr>
          <w:rFonts w:ascii="Times New Roman" w:eastAsia="Times New Roman" w:hAnsi="Times New Roman" w:cs="Times New Roman"/>
          <w:sz w:val="26"/>
          <w:szCs w:val="26"/>
        </w:rPr>
        <w:t>etition request</w:t>
      </w:r>
      <w:r w:rsidR="00064832">
        <w:rPr>
          <w:rFonts w:ascii="Times New Roman" w:eastAsia="Times New Roman" w:hAnsi="Times New Roman" w:cs="Times New Roman"/>
          <w:sz w:val="26"/>
          <w:szCs w:val="26"/>
        </w:rPr>
        <w:t xml:space="preserve">ed </w:t>
      </w:r>
      <w:r w:rsidR="00657B67">
        <w:rPr>
          <w:rFonts w:ascii="Times New Roman" w:eastAsia="Times New Roman" w:hAnsi="Times New Roman" w:cs="Times New Roman"/>
          <w:sz w:val="26"/>
          <w:szCs w:val="26"/>
        </w:rPr>
        <w:t xml:space="preserve">Commission approval of </w:t>
      </w:r>
      <w:r w:rsidR="00064832">
        <w:rPr>
          <w:rFonts w:ascii="Times New Roman" w:eastAsia="Times New Roman" w:hAnsi="Times New Roman" w:cs="Times New Roman"/>
          <w:sz w:val="26"/>
          <w:szCs w:val="26"/>
        </w:rPr>
        <w:t>r</w:t>
      </w:r>
      <w:r w:rsidR="00657B67" w:rsidRPr="00657B67">
        <w:rPr>
          <w:rFonts w:ascii="Times New Roman" w:eastAsia="Times New Roman" w:hAnsi="Times New Roman" w:cs="Times New Roman"/>
          <w:sz w:val="26"/>
          <w:szCs w:val="26"/>
        </w:rPr>
        <w:t xml:space="preserve">egional Reliability Standard VAR-501-WECC-3 and retirement of </w:t>
      </w:r>
      <w:r w:rsidR="00064832">
        <w:rPr>
          <w:rFonts w:ascii="Times New Roman" w:eastAsia="Times New Roman" w:hAnsi="Times New Roman" w:cs="Times New Roman"/>
          <w:sz w:val="26"/>
          <w:szCs w:val="26"/>
        </w:rPr>
        <w:t>then-</w:t>
      </w:r>
      <w:r w:rsidR="00657B67" w:rsidRPr="00657B67">
        <w:rPr>
          <w:rFonts w:ascii="Times New Roman" w:eastAsia="Times New Roman" w:hAnsi="Times New Roman" w:cs="Times New Roman"/>
          <w:sz w:val="26"/>
          <w:szCs w:val="26"/>
        </w:rPr>
        <w:t xml:space="preserve">existing </w:t>
      </w:r>
      <w:r w:rsidR="00064832">
        <w:rPr>
          <w:rFonts w:ascii="Times New Roman" w:eastAsia="Times New Roman" w:hAnsi="Times New Roman" w:cs="Times New Roman"/>
          <w:sz w:val="26"/>
          <w:szCs w:val="26"/>
        </w:rPr>
        <w:t>r</w:t>
      </w:r>
      <w:r w:rsidR="00657B67" w:rsidRPr="00657B67">
        <w:rPr>
          <w:rFonts w:ascii="Times New Roman" w:eastAsia="Times New Roman" w:hAnsi="Times New Roman" w:cs="Times New Roman"/>
          <w:sz w:val="26"/>
          <w:szCs w:val="26"/>
        </w:rPr>
        <w:t>egional Reliability Standard VAR-501-WECC-2</w:t>
      </w:r>
      <w:r w:rsidR="00657B67">
        <w:rPr>
          <w:rFonts w:ascii="Times New Roman" w:eastAsia="Times New Roman" w:hAnsi="Times New Roman" w:cs="Times New Roman"/>
          <w:sz w:val="26"/>
          <w:szCs w:val="26"/>
        </w:rPr>
        <w:t>.  The estimated effect</w:t>
      </w:r>
      <w:r w:rsidR="00F66991">
        <w:rPr>
          <w:rFonts w:ascii="Times New Roman" w:eastAsia="Times New Roman" w:hAnsi="Times New Roman" w:cs="Times New Roman"/>
          <w:sz w:val="26"/>
          <w:szCs w:val="26"/>
        </w:rPr>
        <w:t>s</w:t>
      </w:r>
      <w:r w:rsidR="00657B67">
        <w:rPr>
          <w:rFonts w:ascii="Times New Roman" w:eastAsia="Times New Roman" w:hAnsi="Times New Roman" w:cs="Times New Roman"/>
          <w:sz w:val="26"/>
          <w:szCs w:val="26"/>
        </w:rPr>
        <w:t xml:space="preserve"> on burden and cost</w:t>
      </w:r>
      <w:r w:rsidR="00F81CDD">
        <w:rPr>
          <w:rStyle w:val="FootnoteReference"/>
          <w:rFonts w:eastAsia="Times New Roman" w:cs="Times New Roman"/>
        </w:rPr>
        <w:footnoteReference w:id="11"/>
      </w:r>
      <w:r w:rsidR="00657B67">
        <w:rPr>
          <w:rFonts w:ascii="Times New Roman" w:eastAsia="Times New Roman" w:hAnsi="Times New Roman" w:cs="Times New Roman"/>
          <w:sz w:val="26"/>
          <w:szCs w:val="26"/>
        </w:rPr>
        <w:t xml:space="preserve"> </w:t>
      </w:r>
      <w:r w:rsidR="004C2941">
        <w:rPr>
          <w:rFonts w:ascii="Times New Roman" w:eastAsia="Times New Roman" w:hAnsi="Times New Roman" w:cs="Times New Roman"/>
          <w:sz w:val="26"/>
          <w:szCs w:val="26"/>
        </w:rPr>
        <w:t xml:space="preserve">are as </w:t>
      </w:r>
      <w:r w:rsidR="00657B67">
        <w:rPr>
          <w:rFonts w:ascii="Times New Roman" w:eastAsia="Times New Roman" w:hAnsi="Times New Roman" w:cs="Times New Roman"/>
          <w:sz w:val="26"/>
          <w:szCs w:val="26"/>
        </w:rPr>
        <w:t>follow</w:t>
      </w:r>
      <w:r w:rsidR="004C2941">
        <w:rPr>
          <w:rFonts w:ascii="Times New Roman" w:eastAsia="Times New Roman" w:hAnsi="Times New Roman" w:cs="Times New Roman"/>
          <w:sz w:val="26"/>
          <w:szCs w:val="26"/>
        </w:rPr>
        <w:t>:</w:t>
      </w:r>
    </w:p>
    <w:tbl>
      <w:tblPr>
        <w:tblpPr w:leftFromText="432" w:rightFromText="187" w:vertAnchor="text" w:horzAnchor="margin" w:tblpXSpec="right" w:tblpY="144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64"/>
        <w:gridCol w:w="1389"/>
        <w:gridCol w:w="1239"/>
        <w:gridCol w:w="1164"/>
        <w:gridCol w:w="1464"/>
        <w:gridCol w:w="1974"/>
      </w:tblGrid>
      <w:tr w:rsidR="007F3BA3" w:rsidRPr="007F3BA3" w14:paraId="39EE70B4" w14:textId="77777777" w:rsidTr="008B1616">
        <w:trPr>
          <w:trHeight w:val="288"/>
        </w:trPr>
        <w:tc>
          <w:tcPr>
            <w:tcW w:w="10080" w:type="dxa"/>
            <w:gridSpan w:val="7"/>
            <w:shd w:val="clear" w:color="auto" w:fill="D9D9D9"/>
          </w:tcPr>
          <w:p w14:paraId="54DAFAF6"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 xml:space="preserve">FERC-725E, Mandatory Reliability Standards for the </w:t>
            </w:r>
          </w:p>
          <w:p w14:paraId="6FDA8A7A"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Western Electric Coordinating Council,</w:t>
            </w:r>
          </w:p>
          <w:p w14:paraId="2DFF65BB" w14:textId="0D7B5226" w:rsidR="007F3BA3" w:rsidRPr="007F3BA3" w:rsidRDefault="007F3BA3" w:rsidP="00096E49">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Changes in Docket No. RD17-5-000</w:t>
            </w:r>
          </w:p>
        </w:tc>
      </w:tr>
      <w:tr w:rsidR="007F3BA3" w:rsidRPr="007F3BA3" w14:paraId="222A0B8C" w14:textId="77777777" w:rsidTr="008B1616">
        <w:trPr>
          <w:trHeight w:val="744"/>
        </w:trPr>
        <w:tc>
          <w:tcPr>
            <w:tcW w:w="1824" w:type="dxa"/>
            <w:shd w:val="clear" w:color="auto" w:fill="D9D9D9"/>
            <w:vAlign w:val="bottom"/>
          </w:tcPr>
          <w:p w14:paraId="0B6684F5"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 xml:space="preserve">Entity </w:t>
            </w:r>
          </w:p>
        </w:tc>
        <w:tc>
          <w:tcPr>
            <w:tcW w:w="1253" w:type="dxa"/>
            <w:shd w:val="clear" w:color="auto" w:fill="D9D9D9"/>
            <w:vAlign w:val="bottom"/>
          </w:tcPr>
          <w:p w14:paraId="77075D21" w14:textId="77777777" w:rsidR="007F3BA3" w:rsidRPr="007F3BA3" w:rsidRDefault="007F3BA3" w:rsidP="007F3BA3">
            <w:pPr>
              <w:spacing w:after="0" w:line="240" w:lineRule="auto"/>
              <w:jc w:val="center"/>
              <w:rPr>
                <w:rFonts w:ascii="Times New Roman" w:eastAsia="Calibri" w:hAnsi="Times New Roman" w:cs="Times New Roman"/>
                <w:sz w:val="26"/>
                <w:szCs w:val="26"/>
                <w:vertAlign w:val="superscript"/>
              </w:rPr>
            </w:pPr>
            <w:r w:rsidRPr="007F3BA3">
              <w:rPr>
                <w:rFonts w:ascii="Times New Roman" w:eastAsia="Calibri" w:hAnsi="Times New Roman" w:cs="Times New Roman"/>
                <w:b/>
                <w:sz w:val="26"/>
                <w:szCs w:val="26"/>
              </w:rPr>
              <w:t>No. of Respondents</w:t>
            </w:r>
            <w:r w:rsidR="007D3790">
              <w:rPr>
                <w:rStyle w:val="FootnoteReference"/>
                <w:rFonts w:eastAsia="Calibri" w:cs="Times New Roman"/>
                <w:b w:val="0"/>
              </w:rPr>
              <w:footnoteReference w:id="12"/>
            </w:r>
          </w:p>
          <w:p w14:paraId="708CA8AE"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(1)</w:t>
            </w:r>
          </w:p>
        </w:tc>
        <w:tc>
          <w:tcPr>
            <w:tcW w:w="1499" w:type="dxa"/>
            <w:shd w:val="clear" w:color="auto" w:fill="D9D9D9"/>
            <w:vAlign w:val="bottom"/>
          </w:tcPr>
          <w:p w14:paraId="5F30186A"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Annual No. of Responses per Respondent</w:t>
            </w:r>
          </w:p>
          <w:p w14:paraId="5325886D"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(2)</w:t>
            </w:r>
          </w:p>
        </w:tc>
        <w:tc>
          <w:tcPr>
            <w:tcW w:w="1335" w:type="dxa"/>
            <w:shd w:val="clear" w:color="auto" w:fill="D9D9D9"/>
            <w:vAlign w:val="bottom"/>
          </w:tcPr>
          <w:p w14:paraId="61EFA958"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Annual No. of Responses</w:t>
            </w:r>
          </w:p>
          <w:p w14:paraId="42407673" w14:textId="77777777" w:rsidR="007F3BA3" w:rsidRPr="007F3BA3" w:rsidRDefault="007F3BA3" w:rsidP="00DC47FC">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(1)*(2)=(3)</w:t>
            </w:r>
          </w:p>
        </w:tc>
        <w:tc>
          <w:tcPr>
            <w:tcW w:w="1253" w:type="dxa"/>
            <w:shd w:val="clear" w:color="auto" w:fill="D9D9D9"/>
            <w:vAlign w:val="bottom"/>
          </w:tcPr>
          <w:p w14:paraId="3E0CFFAE"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Average Burden Hrs. &amp; Cost Per Response ($)</w:t>
            </w:r>
          </w:p>
          <w:p w14:paraId="13B99140"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(4)</w:t>
            </w:r>
          </w:p>
        </w:tc>
        <w:tc>
          <w:tcPr>
            <w:tcW w:w="1581" w:type="dxa"/>
            <w:shd w:val="clear" w:color="auto" w:fill="D9D9D9"/>
            <w:vAlign w:val="bottom"/>
          </w:tcPr>
          <w:p w14:paraId="51061253"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Total Annual Burden Hours &amp; Total Annual Cost ($)</w:t>
            </w:r>
          </w:p>
          <w:p w14:paraId="70F9DE54"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(3)*(4)=(5)</w:t>
            </w:r>
          </w:p>
        </w:tc>
        <w:tc>
          <w:tcPr>
            <w:tcW w:w="1335" w:type="dxa"/>
            <w:shd w:val="clear" w:color="auto" w:fill="D9D9D9"/>
            <w:vAlign w:val="bottom"/>
          </w:tcPr>
          <w:p w14:paraId="3CD33719"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6"/>
                <w:szCs w:val="26"/>
              </w:rPr>
              <w:t>Cost per Respondent ($)</w:t>
            </w:r>
          </w:p>
          <w:p w14:paraId="0DF59A38" w14:textId="777777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eastAsia="Calibri" w:hAnsi="Times New Roman" w:cs="Times New Roman"/>
                <w:b/>
                <w:sz w:val="24"/>
              </w:rPr>
              <w:t>(5)÷(1)=(6)</w:t>
            </w:r>
          </w:p>
        </w:tc>
      </w:tr>
      <w:tr w:rsidR="007F3BA3" w:rsidRPr="007F3BA3" w14:paraId="149CB15E" w14:textId="77777777" w:rsidTr="00DD15AE">
        <w:trPr>
          <w:trHeight w:val="431"/>
        </w:trPr>
        <w:tc>
          <w:tcPr>
            <w:tcW w:w="10885" w:type="dxa"/>
            <w:gridSpan w:val="7"/>
            <w:shd w:val="clear" w:color="auto" w:fill="D9D9D9" w:themeFill="background1" w:themeFillShade="D9"/>
          </w:tcPr>
          <w:p w14:paraId="4209ABFD" w14:textId="4F0B2863" w:rsidR="007F3BA3" w:rsidRPr="008B1616" w:rsidRDefault="007F3BA3" w:rsidP="007F3BA3">
            <w:pPr>
              <w:spacing w:after="0" w:line="240" w:lineRule="auto"/>
              <w:jc w:val="center"/>
              <w:rPr>
                <w:rFonts w:ascii="Times New Roman" w:eastAsia="Calibri" w:hAnsi="Times New Roman" w:cs="Times New Roman"/>
                <w:b/>
                <w:sz w:val="26"/>
                <w:szCs w:val="26"/>
              </w:rPr>
            </w:pPr>
            <w:r w:rsidRPr="008B1616">
              <w:rPr>
                <w:rFonts w:ascii="Times New Roman" w:eastAsia="Calibri" w:hAnsi="Times New Roman" w:cs="Times New Roman"/>
                <w:b/>
                <w:sz w:val="26"/>
                <w:szCs w:val="26"/>
              </w:rPr>
              <w:t xml:space="preserve">Retirement Of </w:t>
            </w:r>
            <w:r w:rsidR="00052E2F">
              <w:rPr>
                <w:rFonts w:ascii="Times New Roman" w:eastAsia="Calibri" w:hAnsi="Times New Roman" w:cs="Times New Roman"/>
                <w:b/>
                <w:sz w:val="26"/>
                <w:szCs w:val="26"/>
              </w:rPr>
              <w:t>Former</w:t>
            </w:r>
            <w:r w:rsidRPr="008B1616">
              <w:rPr>
                <w:rFonts w:ascii="Times New Roman" w:eastAsia="Calibri" w:hAnsi="Times New Roman" w:cs="Times New Roman"/>
                <w:b/>
                <w:sz w:val="26"/>
                <w:szCs w:val="26"/>
              </w:rPr>
              <w:t xml:space="preserve"> Standard VAR-501-WECC-2</w:t>
            </w:r>
          </w:p>
          <w:p w14:paraId="0817D03F" w14:textId="77777777" w:rsidR="00B076E6" w:rsidRPr="008B1616" w:rsidRDefault="00B076E6" w:rsidP="007F3BA3">
            <w:pPr>
              <w:spacing w:after="0" w:line="240" w:lineRule="auto"/>
              <w:jc w:val="center"/>
              <w:rPr>
                <w:rFonts w:ascii="Times New Roman" w:eastAsia="Calibri" w:hAnsi="Times New Roman" w:cs="Times New Roman"/>
                <w:b/>
                <w:sz w:val="26"/>
                <w:szCs w:val="26"/>
              </w:rPr>
            </w:pPr>
            <w:r w:rsidRPr="008B1616">
              <w:rPr>
                <w:rFonts w:ascii="Times New Roman" w:eastAsia="Calibri" w:hAnsi="Times New Roman" w:cs="Times New Roman"/>
                <w:b/>
                <w:sz w:val="26"/>
                <w:szCs w:val="26"/>
              </w:rPr>
              <w:t>and Associated Reductions</w:t>
            </w:r>
          </w:p>
        </w:tc>
      </w:tr>
      <w:tr w:rsidR="007F3BA3" w:rsidRPr="007F3BA3" w14:paraId="5D694744" w14:textId="77777777" w:rsidTr="008B1616">
        <w:trPr>
          <w:trHeight w:val="299"/>
        </w:trPr>
        <w:tc>
          <w:tcPr>
            <w:tcW w:w="10080" w:type="dxa"/>
            <w:gridSpan w:val="7"/>
          </w:tcPr>
          <w:p w14:paraId="5A4D2AA1" w14:textId="77777777" w:rsidR="007F3BA3" w:rsidRPr="008B1616" w:rsidRDefault="007F3BA3" w:rsidP="007F3BA3">
            <w:pPr>
              <w:spacing w:after="0" w:line="240" w:lineRule="auto"/>
              <w:rPr>
                <w:rFonts w:ascii="Times New Roman" w:hAnsi="Times New Roman" w:cs="Times New Roman"/>
                <w:i/>
                <w:sz w:val="26"/>
                <w:szCs w:val="26"/>
              </w:rPr>
            </w:pPr>
            <w:r w:rsidRPr="008B1616">
              <w:rPr>
                <w:rFonts w:ascii="Times New Roman" w:eastAsia="Calibri" w:hAnsi="Times New Roman" w:cs="Times New Roman"/>
                <w:i/>
                <w:sz w:val="26"/>
                <w:szCs w:val="26"/>
              </w:rPr>
              <w:t xml:space="preserve">Reporting </w:t>
            </w:r>
            <w:r w:rsidRPr="008B1616">
              <w:rPr>
                <w:rFonts w:ascii="Times New Roman" w:hAnsi="Times New Roman" w:cs="Times New Roman"/>
                <w:i/>
                <w:sz w:val="26"/>
                <w:szCs w:val="26"/>
              </w:rPr>
              <w:t>Requirements</w:t>
            </w:r>
            <w:r w:rsidR="00DD15AE" w:rsidRPr="008B1616">
              <w:rPr>
                <w:rFonts w:ascii="Times New Roman" w:hAnsi="Times New Roman" w:cs="Times New Roman"/>
                <w:i/>
                <w:sz w:val="26"/>
                <w:szCs w:val="26"/>
              </w:rPr>
              <w:t xml:space="preserve"> (Annua</w:t>
            </w:r>
            <w:r w:rsidR="00C57E06" w:rsidRPr="008B1616">
              <w:rPr>
                <w:rFonts w:ascii="Times New Roman" w:hAnsi="Times New Roman" w:cs="Times New Roman"/>
                <w:i/>
                <w:sz w:val="26"/>
                <w:szCs w:val="26"/>
              </w:rPr>
              <w:t>l</w:t>
            </w:r>
            <w:r w:rsidR="00DD15AE" w:rsidRPr="008B1616">
              <w:rPr>
                <w:rFonts w:ascii="Times New Roman" w:hAnsi="Times New Roman" w:cs="Times New Roman"/>
                <w:i/>
                <w:sz w:val="26"/>
                <w:szCs w:val="26"/>
              </w:rPr>
              <w:t>l</w:t>
            </w:r>
            <w:r w:rsidR="00C57E06" w:rsidRPr="008B1616">
              <w:rPr>
                <w:rFonts w:ascii="Times New Roman" w:hAnsi="Times New Roman" w:cs="Times New Roman"/>
                <w:i/>
                <w:sz w:val="26"/>
                <w:szCs w:val="26"/>
              </w:rPr>
              <w:t>y</w:t>
            </w:r>
            <w:r w:rsidR="00DD15AE" w:rsidRPr="008B1616">
              <w:rPr>
                <w:rFonts w:ascii="Times New Roman" w:hAnsi="Times New Roman" w:cs="Times New Roman"/>
                <w:i/>
                <w:sz w:val="26"/>
                <w:szCs w:val="26"/>
              </w:rPr>
              <w:t>)</w:t>
            </w:r>
          </w:p>
        </w:tc>
      </w:tr>
      <w:tr w:rsidR="007F3BA3" w:rsidRPr="007F3BA3" w14:paraId="173F27F8" w14:textId="77777777" w:rsidTr="008B1616">
        <w:trPr>
          <w:trHeight w:val="299"/>
        </w:trPr>
        <w:tc>
          <w:tcPr>
            <w:tcW w:w="1824" w:type="dxa"/>
            <w:vAlign w:val="bottom"/>
          </w:tcPr>
          <w:p w14:paraId="2ADFE14F" w14:textId="77777777" w:rsidR="007F3BA3" w:rsidRPr="008B1616" w:rsidRDefault="007F3BA3" w:rsidP="00B076E6">
            <w:pPr>
              <w:spacing w:after="0" w:line="240" w:lineRule="auto"/>
              <w:rPr>
                <w:rFonts w:ascii="Times New Roman" w:hAnsi="Times New Roman" w:cs="Times New Roman"/>
                <w:sz w:val="26"/>
                <w:szCs w:val="26"/>
              </w:rPr>
            </w:pPr>
            <w:r w:rsidRPr="008B1616">
              <w:rPr>
                <w:rFonts w:ascii="Times New Roman" w:hAnsi="Times New Roman" w:cs="Times New Roman"/>
                <w:sz w:val="26"/>
                <w:szCs w:val="26"/>
              </w:rPr>
              <w:t>Generator Operators</w:t>
            </w:r>
          </w:p>
        </w:tc>
        <w:tc>
          <w:tcPr>
            <w:tcW w:w="1253" w:type="dxa"/>
            <w:vAlign w:val="bottom"/>
          </w:tcPr>
          <w:p w14:paraId="69D352DD"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249</w:t>
            </w:r>
          </w:p>
        </w:tc>
        <w:tc>
          <w:tcPr>
            <w:tcW w:w="1499" w:type="dxa"/>
            <w:vAlign w:val="bottom"/>
          </w:tcPr>
          <w:p w14:paraId="6B1EC6D8"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4</w:t>
            </w:r>
          </w:p>
        </w:tc>
        <w:tc>
          <w:tcPr>
            <w:tcW w:w="1335" w:type="dxa"/>
            <w:vAlign w:val="bottom"/>
          </w:tcPr>
          <w:p w14:paraId="16BF2F27"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996</w:t>
            </w:r>
          </w:p>
        </w:tc>
        <w:tc>
          <w:tcPr>
            <w:tcW w:w="1253" w:type="dxa"/>
            <w:vAlign w:val="bottom"/>
          </w:tcPr>
          <w:p w14:paraId="3F80A730"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 xml:space="preserve">1 hr.; </w:t>
            </w:r>
          </w:p>
          <w:p w14:paraId="459AA2DF"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$76.22</w:t>
            </w:r>
          </w:p>
        </w:tc>
        <w:tc>
          <w:tcPr>
            <w:tcW w:w="1581" w:type="dxa"/>
            <w:vAlign w:val="bottom"/>
          </w:tcPr>
          <w:p w14:paraId="586714F6"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 xml:space="preserve">996 hrs.; </w:t>
            </w:r>
          </w:p>
          <w:p w14:paraId="059BF3F1" w14:textId="77777777" w:rsidR="007F3BA3" w:rsidRPr="008B1616" w:rsidRDefault="00047FC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75</w:t>
            </w:r>
            <w:r w:rsidR="00652756"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915.12</w:t>
            </w:r>
          </w:p>
          <w:p w14:paraId="4AEA1E78" w14:textId="77777777" w:rsidR="00047FC6" w:rsidRPr="008B1616" w:rsidRDefault="00047FC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(reduction)</w:t>
            </w:r>
          </w:p>
        </w:tc>
        <w:tc>
          <w:tcPr>
            <w:tcW w:w="1335" w:type="dxa"/>
            <w:vAlign w:val="bottom"/>
          </w:tcPr>
          <w:p w14:paraId="129FCB19" w14:textId="77777777" w:rsidR="007F3BA3" w:rsidRPr="008B1616" w:rsidRDefault="00047FC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304.88</w:t>
            </w:r>
            <w:r w:rsidR="0082061B" w:rsidRPr="008B1616">
              <w:rPr>
                <w:rFonts w:ascii="Times New Roman" w:eastAsia="Calibri" w:hAnsi="Times New Roman" w:cs="Times New Roman"/>
                <w:sz w:val="26"/>
                <w:szCs w:val="26"/>
              </w:rPr>
              <w:t xml:space="preserve"> (reduction)</w:t>
            </w:r>
          </w:p>
        </w:tc>
      </w:tr>
      <w:tr w:rsidR="007F3BA3" w:rsidRPr="007F3BA3" w14:paraId="5F851725" w14:textId="77777777" w:rsidTr="008B1616">
        <w:trPr>
          <w:trHeight w:val="299"/>
        </w:trPr>
        <w:tc>
          <w:tcPr>
            <w:tcW w:w="10080" w:type="dxa"/>
            <w:gridSpan w:val="7"/>
            <w:vAlign w:val="bottom"/>
          </w:tcPr>
          <w:p w14:paraId="6CED1D2C" w14:textId="77777777" w:rsidR="007F3BA3" w:rsidRPr="008B1616" w:rsidRDefault="007F3BA3" w:rsidP="007F3BA3">
            <w:pPr>
              <w:spacing w:after="0" w:line="240" w:lineRule="auto"/>
              <w:rPr>
                <w:rFonts w:ascii="Times New Roman" w:eastAsia="Calibri" w:hAnsi="Times New Roman" w:cs="Times New Roman"/>
                <w:i/>
                <w:sz w:val="26"/>
                <w:szCs w:val="26"/>
              </w:rPr>
            </w:pPr>
            <w:r w:rsidRPr="008B1616">
              <w:rPr>
                <w:rFonts w:ascii="Times New Roman" w:eastAsia="Calibri" w:hAnsi="Times New Roman" w:cs="Times New Roman"/>
                <w:i/>
                <w:sz w:val="26"/>
                <w:szCs w:val="26"/>
              </w:rPr>
              <w:t>Recordkeeping Requirements</w:t>
            </w:r>
            <w:r w:rsidR="00DD15AE" w:rsidRPr="008B1616">
              <w:rPr>
                <w:rFonts w:ascii="Times New Roman" w:eastAsia="Calibri" w:hAnsi="Times New Roman" w:cs="Times New Roman"/>
                <w:i/>
                <w:sz w:val="26"/>
                <w:szCs w:val="26"/>
              </w:rPr>
              <w:t xml:space="preserve"> (Annual</w:t>
            </w:r>
            <w:r w:rsidR="00C57E06" w:rsidRPr="008B1616">
              <w:rPr>
                <w:rFonts w:ascii="Times New Roman" w:eastAsia="Calibri" w:hAnsi="Times New Roman" w:cs="Times New Roman"/>
                <w:i/>
                <w:sz w:val="26"/>
                <w:szCs w:val="26"/>
              </w:rPr>
              <w:t>ly</w:t>
            </w:r>
            <w:r w:rsidR="00DD15AE" w:rsidRPr="008B1616">
              <w:rPr>
                <w:rFonts w:ascii="Times New Roman" w:eastAsia="Calibri" w:hAnsi="Times New Roman" w:cs="Times New Roman"/>
                <w:i/>
                <w:sz w:val="26"/>
                <w:szCs w:val="26"/>
              </w:rPr>
              <w:t>)</w:t>
            </w:r>
          </w:p>
        </w:tc>
      </w:tr>
      <w:tr w:rsidR="007F3BA3" w:rsidRPr="007F3BA3" w14:paraId="1626D4C0" w14:textId="77777777" w:rsidTr="008B1616">
        <w:trPr>
          <w:trHeight w:val="299"/>
        </w:trPr>
        <w:tc>
          <w:tcPr>
            <w:tcW w:w="1824" w:type="dxa"/>
            <w:vAlign w:val="bottom"/>
          </w:tcPr>
          <w:p w14:paraId="0FD5D184" w14:textId="77777777" w:rsidR="007F3BA3" w:rsidRPr="008B1616" w:rsidRDefault="007F3BA3" w:rsidP="007F3BA3">
            <w:pPr>
              <w:spacing w:after="0" w:line="240" w:lineRule="auto"/>
              <w:rPr>
                <w:rFonts w:ascii="Times New Roman" w:eastAsia="Calibri" w:hAnsi="Times New Roman" w:cs="Times New Roman"/>
                <w:sz w:val="26"/>
                <w:szCs w:val="26"/>
              </w:rPr>
            </w:pPr>
            <w:r w:rsidRPr="008B1616">
              <w:rPr>
                <w:rFonts w:ascii="Times New Roman" w:eastAsia="Calibri" w:hAnsi="Times New Roman" w:cs="Times New Roman"/>
                <w:sz w:val="26"/>
                <w:szCs w:val="26"/>
              </w:rPr>
              <w:t>Generator Operators</w:t>
            </w:r>
          </w:p>
        </w:tc>
        <w:tc>
          <w:tcPr>
            <w:tcW w:w="1253" w:type="dxa"/>
            <w:vAlign w:val="bottom"/>
          </w:tcPr>
          <w:p w14:paraId="18D37E16"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249</w:t>
            </w:r>
          </w:p>
        </w:tc>
        <w:tc>
          <w:tcPr>
            <w:tcW w:w="1499" w:type="dxa"/>
            <w:vAlign w:val="bottom"/>
          </w:tcPr>
          <w:p w14:paraId="0498D043"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4</w:t>
            </w:r>
          </w:p>
        </w:tc>
        <w:tc>
          <w:tcPr>
            <w:tcW w:w="1335" w:type="dxa"/>
            <w:vAlign w:val="bottom"/>
          </w:tcPr>
          <w:p w14:paraId="757A4BA4"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996</w:t>
            </w:r>
          </w:p>
        </w:tc>
        <w:tc>
          <w:tcPr>
            <w:tcW w:w="1253" w:type="dxa"/>
            <w:vAlign w:val="bottom"/>
          </w:tcPr>
          <w:p w14:paraId="6FB4C058" w14:textId="77777777" w:rsidR="007F3BA3" w:rsidRPr="008B1616" w:rsidRDefault="00BE6210"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0</w:t>
            </w:r>
            <w:r w:rsidR="007F3BA3" w:rsidRPr="008B1616">
              <w:rPr>
                <w:rFonts w:ascii="Times New Roman" w:eastAsia="Calibri" w:hAnsi="Times New Roman" w:cs="Times New Roman"/>
                <w:sz w:val="26"/>
                <w:szCs w:val="26"/>
              </w:rPr>
              <w:t>.5</w:t>
            </w:r>
            <w:r w:rsidR="00047FC6" w:rsidRPr="008B1616">
              <w:rPr>
                <w:rFonts w:ascii="Times New Roman" w:eastAsia="Calibri" w:hAnsi="Times New Roman" w:cs="Times New Roman"/>
                <w:sz w:val="26"/>
                <w:szCs w:val="26"/>
              </w:rPr>
              <w:t xml:space="preserve"> hrs.;</w:t>
            </w:r>
          </w:p>
          <w:p w14:paraId="0443F439" w14:textId="77777777" w:rsidR="007F3BA3" w:rsidRPr="008B1616" w:rsidRDefault="00047FC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31.19</w:t>
            </w:r>
          </w:p>
        </w:tc>
        <w:tc>
          <w:tcPr>
            <w:tcW w:w="1581" w:type="dxa"/>
            <w:vAlign w:val="bottom"/>
          </w:tcPr>
          <w:p w14:paraId="3DFCD2BF" w14:textId="77777777" w:rsidR="007F3BA3" w:rsidRPr="008B1616" w:rsidRDefault="007F3BA3"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498</w:t>
            </w:r>
            <w:r w:rsidR="00047FC6" w:rsidRPr="008B1616">
              <w:rPr>
                <w:rFonts w:ascii="Times New Roman" w:eastAsia="Calibri" w:hAnsi="Times New Roman" w:cs="Times New Roman"/>
                <w:sz w:val="26"/>
                <w:szCs w:val="26"/>
              </w:rPr>
              <w:t xml:space="preserve"> hrs.;</w:t>
            </w:r>
          </w:p>
          <w:p w14:paraId="272DD164" w14:textId="77777777" w:rsidR="007F3BA3" w:rsidRPr="008B1616" w:rsidRDefault="00047FC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15</w:t>
            </w: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532.62</w:t>
            </w:r>
            <w:r w:rsidR="0082061B" w:rsidRPr="008B1616">
              <w:rPr>
                <w:rFonts w:ascii="Times New Roman" w:eastAsia="Calibri" w:hAnsi="Times New Roman" w:cs="Times New Roman"/>
                <w:sz w:val="26"/>
                <w:szCs w:val="26"/>
              </w:rPr>
              <w:t xml:space="preserve"> (reduction)</w:t>
            </w:r>
          </w:p>
        </w:tc>
        <w:tc>
          <w:tcPr>
            <w:tcW w:w="1335" w:type="dxa"/>
            <w:vAlign w:val="bottom"/>
          </w:tcPr>
          <w:p w14:paraId="23C6A14D" w14:textId="77777777" w:rsidR="007F3BA3" w:rsidRPr="008B1616" w:rsidRDefault="00BE6210"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w:t>
            </w:r>
            <w:r w:rsidR="007F3BA3" w:rsidRPr="008B1616">
              <w:rPr>
                <w:rFonts w:ascii="Times New Roman" w:eastAsia="Calibri" w:hAnsi="Times New Roman" w:cs="Times New Roman"/>
                <w:sz w:val="26"/>
                <w:szCs w:val="26"/>
              </w:rPr>
              <w:t>62.38</w:t>
            </w:r>
            <w:r w:rsidRPr="008B1616">
              <w:rPr>
                <w:rFonts w:ascii="Times New Roman" w:eastAsia="Calibri" w:hAnsi="Times New Roman" w:cs="Times New Roman"/>
                <w:sz w:val="26"/>
                <w:szCs w:val="26"/>
              </w:rPr>
              <w:t xml:space="preserve"> (reduction)</w:t>
            </w:r>
          </w:p>
        </w:tc>
      </w:tr>
      <w:tr w:rsidR="00652756" w:rsidRPr="007F3BA3" w14:paraId="7D687460" w14:textId="77777777" w:rsidTr="008B1616">
        <w:trPr>
          <w:trHeight w:val="299"/>
        </w:trPr>
        <w:tc>
          <w:tcPr>
            <w:tcW w:w="1824" w:type="dxa"/>
            <w:vAlign w:val="bottom"/>
          </w:tcPr>
          <w:p w14:paraId="6ABC920E" w14:textId="7A193AB9" w:rsidR="00652756" w:rsidRPr="008B1616" w:rsidRDefault="00652756" w:rsidP="007F3BA3">
            <w:pPr>
              <w:spacing w:after="0" w:line="240" w:lineRule="auto"/>
              <w:rPr>
                <w:rFonts w:ascii="Times New Roman" w:eastAsia="Calibri" w:hAnsi="Times New Roman" w:cs="Times New Roman"/>
                <w:b/>
                <w:sz w:val="26"/>
                <w:szCs w:val="26"/>
              </w:rPr>
            </w:pPr>
            <w:r w:rsidRPr="008B1616">
              <w:rPr>
                <w:rFonts w:ascii="Times New Roman" w:eastAsia="Calibri" w:hAnsi="Times New Roman" w:cs="Times New Roman"/>
                <w:b/>
                <w:sz w:val="26"/>
                <w:szCs w:val="26"/>
              </w:rPr>
              <w:t>Reductions</w:t>
            </w:r>
            <w:r w:rsidR="002B0275" w:rsidRPr="008B1616">
              <w:rPr>
                <w:rFonts w:ascii="Times New Roman" w:eastAsia="Calibri" w:hAnsi="Times New Roman" w:cs="Times New Roman"/>
                <w:b/>
                <w:sz w:val="26"/>
                <w:szCs w:val="26"/>
              </w:rPr>
              <w:t xml:space="preserve"> (Annually)</w:t>
            </w:r>
          </w:p>
        </w:tc>
        <w:tc>
          <w:tcPr>
            <w:tcW w:w="1253" w:type="dxa"/>
            <w:vAlign w:val="bottom"/>
          </w:tcPr>
          <w:p w14:paraId="5F3C07CA" w14:textId="77777777" w:rsidR="00652756" w:rsidRPr="008B1616" w:rsidRDefault="00652756" w:rsidP="007F3BA3">
            <w:pPr>
              <w:spacing w:after="0" w:line="240" w:lineRule="auto"/>
              <w:jc w:val="right"/>
              <w:rPr>
                <w:rFonts w:ascii="Times New Roman" w:eastAsia="Calibri" w:hAnsi="Times New Roman" w:cs="Times New Roman"/>
                <w:sz w:val="26"/>
                <w:szCs w:val="26"/>
              </w:rPr>
            </w:pPr>
          </w:p>
        </w:tc>
        <w:tc>
          <w:tcPr>
            <w:tcW w:w="1499" w:type="dxa"/>
            <w:vAlign w:val="bottom"/>
          </w:tcPr>
          <w:p w14:paraId="1D03AF05" w14:textId="77777777" w:rsidR="00652756" w:rsidRPr="008B1616" w:rsidRDefault="00652756" w:rsidP="007F3BA3">
            <w:pPr>
              <w:spacing w:after="0" w:line="240" w:lineRule="auto"/>
              <w:jc w:val="right"/>
              <w:rPr>
                <w:rFonts w:ascii="Times New Roman" w:eastAsia="Calibri" w:hAnsi="Times New Roman" w:cs="Times New Roman"/>
                <w:sz w:val="26"/>
                <w:szCs w:val="26"/>
              </w:rPr>
            </w:pPr>
          </w:p>
        </w:tc>
        <w:tc>
          <w:tcPr>
            <w:tcW w:w="1335" w:type="dxa"/>
            <w:vAlign w:val="bottom"/>
          </w:tcPr>
          <w:p w14:paraId="315E161A" w14:textId="77777777" w:rsidR="00652756" w:rsidRPr="008B1616" w:rsidRDefault="00652756" w:rsidP="007F3BA3">
            <w:pPr>
              <w:spacing w:after="0" w:line="240" w:lineRule="auto"/>
              <w:jc w:val="right"/>
              <w:rPr>
                <w:rFonts w:ascii="Times New Roman" w:eastAsia="Calibri" w:hAnsi="Times New Roman" w:cs="Times New Roman"/>
                <w:sz w:val="26"/>
                <w:szCs w:val="26"/>
              </w:rPr>
            </w:pPr>
          </w:p>
        </w:tc>
        <w:tc>
          <w:tcPr>
            <w:tcW w:w="1253" w:type="dxa"/>
            <w:vAlign w:val="bottom"/>
          </w:tcPr>
          <w:p w14:paraId="0182C1A2" w14:textId="77777777" w:rsidR="00652756" w:rsidRPr="008B1616" w:rsidRDefault="00652756" w:rsidP="007F3BA3">
            <w:pPr>
              <w:spacing w:after="0" w:line="240" w:lineRule="auto"/>
              <w:jc w:val="right"/>
              <w:rPr>
                <w:rFonts w:ascii="Times New Roman" w:eastAsia="Calibri" w:hAnsi="Times New Roman" w:cs="Times New Roman"/>
                <w:sz w:val="26"/>
                <w:szCs w:val="26"/>
              </w:rPr>
            </w:pPr>
          </w:p>
        </w:tc>
        <w:tc>
          <w:tcPr>
            <w:tcW w:w="1581" w:type="dxa"/>
            <w:vAlign w:val="bottom"/>
          </w:tcPr>
          <w:p w14:paraId="104B23B2" w14:textId="77777777" w:rsidR="00652756" w:rsidRPr="008B1616" w:rsidRDefault="0065275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 xml:space="preserve">1,494 hrs.; </w:t>
            </w:r>
          </w:p>
          <w:p w14:paraId="2DA50DDA" w14:textId="77777777" w:rsidR="00652756" w:rsidRPr="008B1616" w:rsidRDefault="0065275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$91,447.74</w:t>
            </w:r>
          </w:p>
          <w:p w14:paraId="30112D4A" w14:textId="77777777" w:rsidR="00C57E06" w:rsidRPr="008B1616" w:rsidRDefault="00C57E06" w:rsidP="007F3BA3">
            <w:pPr>
              <w:spacing w:after="0" w:line="240" w:lineRule="auto"/>
              <w:jc w:val="right"/>
              <w:rPr>
                <w:rFonts w:ascii="Times New Roman" w:eastAsia="Calibri" w:hAnsi="Times New Roman" w:cs="Times New Roman"/>
                <w:sz w:val="26"/>
                <w:szCs w:val="26"/>
              </w:rPr>
            </w:pPr>
            <w:r w:rsidRPr="008B1616">
              <w:rPr>
                <w:rFonts w:ascii="Times New Roman" w:eastAsia="Calibri" w:hAnsi="Times New Roman" w:cs="Times New Roman"/>
                <w:sz w:val="26"/>
                <w:szCs w:val="26"/>
              </w:rPr>
              <w:t>(reduction)</w:t>
            </w:r>
          </w:p>
        </w:tc>
        <w:tc>
          <w:tcPr>
            <w:tcW w:w="1335" w:type="dxa"/>
            <w:vAlign w:val="bottom"/>
          </w:tcPr>
          <w:p w14:paraId="1E033DD9" w14:textId="77777777" w:rsidR="00652756" w:rsidRPr="008B1616" w:rsidRDefault="00652756" w:rsidP="007F3BA3">
            <w:pPr>
              <w:spacing w:after="0" w:line="240" w:lineRule="auto"/>
              <w:jc w:val="right"/>
              <w:rPr>
                <w:rFonts w:ascii="Times New Roman" w:eastAsia="Calibri" w:hAnsi="Times New Roman" w:cs="Times New Roman"/>
                <w:sz w:val="26"/>
                <w:szCs w:val="26"/>
              </w:rPr>
            </w:pPr>
          </w:p>
        </w:tc>
      </w:tr>
      <w:tr w:rsidR="007F3BA3" w:rsidRPr="007F3BA3" w14:paraId="22918C31" w14:textId="77777777" w:rsidTr="008B1616">
        <w:trPr>
          <w:trHeight w:val="299"/>
        </w:trPr>
        <w:tc>
          <w:tcPr>
            <w:tcW w:w="10080" w:type="dxa"/>
            <w:gridSpan w:val="7"/>
            <w:shd w:val="clear" w:color="auto" w:fill="D9D9D9" w:themeFill="background1" w:themeFillShade="D9"/>
          </w:tcPr>
          <w:p w14:paraId="2B457476" w14:textId="34EEC677" w:rsidR="007F3BA3" w:rsidRPr="007F3BA3" w:rsidRDefault="007F3BA3" w:rsidP="007F3BA3">
            <w:pPr>
              <w:spacing w:after="0" w:line="240" w:lineRule="auto"/>
              <w:jc w:val="center"/>
              <w:rPr>
                <w:rFonts w:ascii="Times New Roman" w:eastAsia="Calibri" w:hAnsi="Times New Roman" w:cs="Times New Roman"/>
                <w:b/>
                <w:sz w:val="26"/>
                <w:szCs w:val="26"/>
              </w:rPr>
            </w:pPr>
            <w:r w:rsidRPr="007F3BA3">
              <w:rPr>
                <w:rFonts w:ascii="Times New Roman" w:hAnsi="Times New Roman" w:cs="Times New Roman"/>
                <w:b/>
                <w:sz w:val="26"/>
                <w:szCs w:val="26"/>
              </w:rPr>
              <w:t>New Standard VAR-501-WECC-3</w:t>
            </w:r>
          </w:p>
        </w:tc>
      </w:tr>
      <w:tr w:rsidR="007F3BA3" w:rsidRPr="007F3BA3" w14:paraId="77624370" w14:textId="77777777" w:rsidTr="008B1616">
        <w:trPr>
          <w:trHeight w:val="299"/>
        </w:trPr>
        <w:tc>
          <w:tcPr>
            <w:tcW w:w="10080" w:type="dxa"/>
            <w:gridSpan w:val="7"/>
          </w:tcPr>
          <w:p w14:paraId="44BBE58E" w14:textId="77777777" w:rsidR="007F3BA3" w:rsidRPr="007F3BA3" w:rsidRDefault="007F3BA3" w:rsidP="007F3BA3">
            <w:pPr>
              <w:spacing w:after="0" w:line="240" w:lineRule="auto"/>
              <w:rPr>
                <w:rFonts w:ascii="Times New Roman" w:hAnsi="Times New Roman" w:cs="Times New Roman"/>
                <w:i/>
                <w:sz w:val="26"/>
                <w:szCs w:val="26"/>
              </w:rPr>
            </w:pPr>
            <w:r w:rsidRPr="007F3BA3">
              <w:rPr>
                <w:rFonts w:ascii="Times New Roman" w:hAnsi="Times New Roman" w:cs="Times New Roman"/>
                <w:i/>
                <w:sz w:val="26"/>
                <w:szCs w:val="26"/>
              </w:rPr>
              <w:t>Reporting Requirements</w:t>
            </w:r>
          </w:p>
        </w:tc>
      </w:tr>
      <w:tr w:rsidR="007F3BA3" w:rsidRPr="007F3BA3" w14:paraId="5CEF2CD2" w14:textId="77777777" w:rsidTr="008B1616">
        <w:trPr>
          <w:trHeight w:val="299"/>
        </w:trPr>
        <w:tc>
          <w:tcPr>
            <w:tcW w:w="1824" w:type="dxa"/>
          </w:tcPr>
          <w:p w14:paraId="0FC20B23" w14:textId="77777777" w:rsidR="007F3BA3" w:rsidRPr="007F3BA3" w:rsidRDefault="007F3BA3" w:rsidP="00F74C3E">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Generator Owners and/or Operators</w:t>
            </w:r>
            <w:r w:rsidR="00BE6210">
              <w:rPr>
                <w:rFonts w:ascii="Times New Roman" w:hAnsi="Times New Roman" w:cs="Times New Roman"/>
                <w:sz w:val="26"/>
                <w:szCs w:val="26"/>
              </w:rPr>
              <w:t xml:space="preserve">, in </w:t>
            </w:r>
            <w:r w:rsidRPr="007F3BA3">
              <w:rPr>
                <w:rFonts w:ascii="Times New Roman" w:hAnsi="Times New Roman" w:cs="Times New Roman"/>
                <w:sz w:val="26"/>
                <w:szCs w:val="26"/>
              </w:rPr>
              <w:t>Year 1</w:t>
            </w:r>
          </w:p>
        </w:tc>
        <w:tc>
          <w:tcPr>
            <w:tcW w:w="1253" w:type="dxa"/>
            <w:vAlign w:val="bottom"/>
          </w:tcPr>
          <w:p w14:paraId="2232037A"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99" w:type="dxa"/>
            <w:vAlign w:val="bottom"/>
          </w:tcPr>
          <w:p w14:paraId="73BC16EA"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3</w:t>
            </w:r>
          </w:p>
        </w:tc>
        <w:tc>
          <w:tcPr>
            <w:tcW w:w="1335" w:type="dxa"/>
            <w:vAlign w:val="bottom"/>
          </w:tcPr>
          <w:p w14:paraId="11C806AC"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873</w:t>
            </w:r>
          </w:p>
        </w:tc>
        <w:tc>
          <w:tcPr>
            <w:tcW w:w="1253" w:type="dxa"/>
            <w:vAlign w:val="bottom"/>
          </w:tcPr>
          <w:p w14:paraId="41B4AB1B"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1</w:t>
            </w:r>
            <w:r w:rsidR="00BE6210">
              <w:rPr>
                <w:rFonts w:ascii="Times New Roman" w:eastAsia="Calibri" w:hAnsi="Times New Roman" w:cs="Times New Roman"/>
                <w:sz w:val="26"/>
                <w:szCs w:val="26"/>
              </w:rPr>
              <w:t xml:space="preserve"> hr.; </w:t>
            </w:r>
          </w:p>
          <w:p w14:paraId="4B15149B" w14:textId="77777777" w:rsidR="007F3BA3" w:rsidRPr="007F3BA3" w:rsidRDefault="00BE6210" w:rsidP="00302E5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76.</w:t>
            </w:r>
            <w:r w:rsidR="00302E57">
              <w:rPr>
                <w:rFonts w:ascii="Times New Roman" w:eastAsia="Calibri" w:hAnsi="Times New Roman" w:cs="Times New Roman"/>
                <w:sz w:val="26"/>
                <w:szCs w:val="26"/>
              </w:rPr>
              <w:t>99</w:t>
            </w:r>
          </w:p>
        </w:tc>
        <w:tc>
          <w:tcPr>
            <w:tcW w:w="1581" w:type="dxa"/>
            <w:vAlign w:val="bottom"/>
          </w:tcPr>
          <w:p w14:paraId="02C46A6F"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873</w:t>
            </w:r>
            <w:r w:rsidR="00BE6210">
              <w:rPr>
                <w:rFonts w:ascii="Times New Roman" w:eastAsia="Calibri" w:hAnsi="Times New Roman" w:cs="Times New Roman"/>
                <w:sz w:val="26"/>
                <w:szCs w:val="26"/>
              </w:rPr>
              <w:t xml:space="preserve"> hrs.;</w:t>
            </w:r>
          </w:p>
          <w:p w14:paraId="4433DBEC"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67</w:t>
            </w: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212.27</w:t>
            </w:r>
          </w:p>
        </w:tc>
        <w:tc>
          <w:tcPr>
            <w:tcW w:w="1335" w:type="dxa"/>
            <w:vAlign w:val="bottom"/>
          </w:tcPr>
          <w:p w14:paraId="1488BE09"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230.97</w:t>
            </w:r>
          </w:p>
        </w:tc>
      </w:tr>
      <w:tr w:rsidR="007F3BA3" w:rsidRPr="007F3BA3" w14:paraId="5DB24650" w14:textId="77777777" w:rsidTr="008B1616">
        <w:trPr>
          <w:trHeight w:val="299"/>
        </w:trPr>
        <w:tc>
          <w:tcPr>
            <w:tcW w:w="1824" w:type="dxa"/>
          </w:tcPr>
          <w:p w14:paraId="5E974E0D" w14:textId="77777777" w:rsidR="007F3BA3" w:rsidRPr="007F3BA3" w:rsidRDefault="007F3BA3" w:rsidP="00BE6210">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Generator Owners and/or Operators</w:t>
            </w:r>
            <w:r w:rsidR="00BE6210">
              <w:rPr>
                <w:rFonts w:ascii="Times New Roman" w:hAnsi="Times New Roman" w:cs="Times New Roman"/>
                <w:sz w:val="26"/>
                <w:szCs w:val="26"/>
              </w:rPr>
              <w:t xml:space="preserve">, in </w:t>
            </w:r>
            <w:r w:rsidRPr="007F3BA3">
              <w:rPr>
                <w:rFonts w:ascii="Times New Roman" w:hAnsi="Times New Roman" w:cs="Times New Roman"/>
                <w:sz w:val="26"/>
                <w:szCs w:val="26"/>
              </w:rPr>
              <w:t>Year 2 and On</w:t>
            </w:r>
            <w:r w:rsidR="00BE6210">
              <w:rPr>
                <w:rFonts w:ascii="Times New Roman" w:hAnsi="Times New Roman" w:cs="Times New Roman"/>
                <w:sz w:val="26"/>
                <w:szCs w:val="26"/>
              </w:rPr>
              <w:t>going</w:t>
            </w:r>
          </w:p>
        </w:tc>
        <w:tc>
          <w:tcPr>
            <w:tcW w:w="1253" w:type="dxa"/>
            <w:vAlign w:val="bottom"/>
          </w:tcPr>
          <w:p w14:paraId="6D9A39C9"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99" w:type="dxa"/>
            <w:vAlign w:val="bottom"/>
          </w:tcPr>
          <w:p w14:paraId="50A7D7E5"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w:t>
            </w:r>
          </w:p>
        </w:tc>
        <w:tc>
          <w:tcPr>
            <w:tcW w:w="1335" w:type="dxa"/>
            <w:vAlign w:val="bottom"/>
          </w:tcPr>
          <w:p w14:paraId="52123A0B"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582</w:t>
            </w:r>
          </w:p>
        </w:tc>
        <w:tc>
          <w:tcPr>
            <w:tcW w:w="1253" w:type="dxa"/>
            <w:vAlign w:val="bottom"/>
          </w:tcPr>
          <w:p w14:paraId="20498746"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1</w:t>
            </w:r>
            <w:r w:rsidR="00BE6210">
              <w:rPr>
                <w:rFonts w:ascii="Times New Roman" w:eastAsia="Calibri" w:hAnsi="Times New Roman" w:cs="Times New Roman"/>
                <w:sz w:val="26"/>
                <w:szCs w:val="26"/>
              </w:rPr>
              <w:t xml:space="preserve"> hr.; </w:t>
            </w:r>
          </w:p>
          <w:p w14:paraId="3FD742A6" w14:textId="77777777" w:rsidR="007F3BA3" w:rsidRPr="007F3BA3" w:rsidRDefault="00302E57" w:rsidP="00CB4FB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76.</w:t>
            </w:r>
            <w:r w:rsidR="00CB4FB4">
              <w:rPr>
                <w:rFonts w:ascii="Times New Roman" w:eastAsia="Calibri" w:hAnsi="Times New Roman" w:cs="Times New Roman"/>
                <w:sz w:val="26"/>
                <w:szCs w:val="26"/>
              </w:rPr>
              <w:t>99</w:t>
            </w:r>
          </w:p>
        </w:tc>
        <w:tc>
          <w:tcPr>
            <w:tcW w:w="1581" w:type="dxa"/>
            <w:vAlign w:val="bottom"/>
          </w:tcPr>
          <w:p w14:paraId="4024B950"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582</w:t>
            </w:r>
            <w:r w:rsidR="00BE6210">
              <w:rPr>
                <w:rFonts w:ascii="Times New Roman" w:eastAsia="Calibri" w:hAnsi="Times New Roman" w:cs="Times New Roman"/>
                <w:sz w:val="26"/>
                <w:szCs w:val="26"/>
              </w:rPr>
              <w:t xml:space="preserve"> hrs.; </w:t>
            </w:r>
          </w:p>
          <w:p w14:paraId="5BE61830" w14:textId="77777777" w:rsidR="007F3BA3" w:rsidRPr="007F3BA3" w:rsidRDefault="00BE6210" w:rsidP="00CB4FB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44</w:t>
            </w:r>
            <w:r>
              <w:rPr>
                <w:rFonts w:ascii="Times New Roman" w:eastAsia="Calibri" w:hAnsi="Times New Roman" w:cs="Times New Roman"/>
                <w:sz w:val="26"/>
                <w:szCs w:val="26"/>
              </w:rPr>
              <w:t>,</w:t>
            </w:r>
            <w:r w:rsidR="00CB4FB4">
              <w:rPr>
                <w:rFonts w:ascii="Times New Roman" w:eastAsia="Calibri" w:hAnsi="Times New Roman" w:cs="Times New Roman"/>
                <w:sz w:val="26"/>
                <w:szCs w:val="26"/>
              </w:rPr>
              <w:t>808.18</w:t>
            </w:r>
          </w:p>
        </w:tc>
        <w:tc>
          <w:tcPr>
            <w:tcW w:w="1335" w:type="dxa"/>
            <w:vAlign w:val="bottom"/>
          </w:tcPr>
          <w:p w14:paraId="253AD962" w14:textId="77777777" w:rsidR="007F3BA3" w:rsidRPr="007F3BA3" w:rsidRDefault="00BE6210" w:rsidP="00CB4FB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CB4FB4">
              <w:rPr>
                <w:rFonts w:ascii="Times New Roman" w:eastAsia="Calibri" w:hAnsi="Times New Roman" w:cs="Times New Roman"/>
                <w:sz w:val="26"/>
                <w:szCs w:val="26"/>
              </w:rPr>
              <w:t>153.98</w:t>
            </w:r>
          </w:p>
        </w:tc>
      </w:tr>
      <w:tr w:rsidR="007F3BA3" w:rsidRPr="007F3BA3" w14:paraId="0D57EFCE" w14:textId="77777777" w:rsidTr="008B1616">
        <w:trPr>
          <w:trHeight w:val="377"/>
        </w:trPr>
        <w:tc>
          <w:tcPr>
            <w:tcW w:w="10080" w:type="dxa"/>
            <w:gridSpan w:val="7"/>
          </w:tcPr>
          <w:p w14:paraId="1B40505E" w14:textId="77777777" w:rsidR="007F3BA3" w:rsidRPr="007F3BA3" w:rsidRDefault="007F3BA3" w:rsidP="00B73FA8">
            <w:pPr>
              <w:spacing w:after="0" w:line="240" w:lineRule="auto"/>
              <w:rPr>
                <w:rFonts w:ascii="Times New Roman" w:eastAsia="Calibri" w:hAnsi="Times New Roman" w:cs="Times New Roman"/>
                <w:sz w:val="26"/>
                <w:szCs w:val="26"/>
              </w:rPr>
            </w:pPr>
            <w:r w:rsidRPr="007F3BA3">
              <w:rPr>
                <w:rFonts w:ascii="Times New Roman" w:eastAsia="Calibri" w:hAnsi="Times New Roman" w:cs="Times New Roman"/>
                <w:i/>
                <w:sz w:val="26"/>
                <w:szCs w:val="26"/>
              </w:rPr>
              <w:t>Recordkeeping Requirements</w:t>
            </w:r>
          </w:p>
        </w:tc>
      </w:tr>
      <w:tr w:rsidR="007F3BA3" w:rsidRPr="007F3BA3" w14:paraId="180E00A6" w14:textId="77777777" w:rsidTr="008B1616">
        <w:trPr>
          <w:trHeight w:val="299"/>
        </w:trPr>
        <w:tc>
          <w:tcPr>
            <w:tcW w:w="1824" w:type="dxa"/>
          </w:tcPr>
          <w:p w14:paraId="01977A85" w14:textId="77777777" w:rsidR="007F3BA3" w:rsidRPr="007F3BA3" w:rsidRDefault="007F3BA3" w:rsidP="00BE6210">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Generator Owners and/or Operators</w:t>
            </w:r>
            <w:r w:rsidR="00BE6210">
              <w:rPr>
                <w:rFonts w:ascii="Times New Roman" w:hAnsi="Times New Roman" w:cs="Times New Roman"/>
                <w:sz w:val="26"/>
                <w:szCs w:val="26"/>
              </w:rPr>
              <w:t xml:space="preserve">, in </w:t>
            </w:r>
            <w:r w:rsidRPr="007F3BA3">
              <w:rPr>
                <w:rFonts w:ascii="Times New Roman" w:hAnsi="Times New Roman" w:cs="Times New Roman"/>
                <w:sz w:val="26"/>
                <w:szCs w:val="26"/>
              </w:rPr>
              <w:t>Year 1</w:t>
            </w:r>
          </w:p>
        </w:tc>
        <w:tc>
          <w:tcPr>
            <w:tcW w:w="1253" w:type="dxa"/>
            <w:vAlign w:val="bottom"/>
          </w:tcPr>
          <w:p w14:paraId="2B43FB23"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99" w:type="dxa"/>
            <w:vAlign w:val="bottom"/>
          </w:tcPr>
          <w:p w14:paraId="6A0637BE"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3</w:t>
            </w:r>
          </w:p>
        </w:tc>
        <w:tc>
          <w:tcPr>
            <w:tcW w:w="1335" w:type="dxa"/>
            <w:vAlign w:val="bottom"/>
          </w:tcPr>
          <w:p w14:paraId="0B956B0D"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873</w:t>
            </w:r>
          </w:p>
        </w:tc>
        <w:tc>
          <w:tcPr>
            <w:tcW w:w="1253" w:type="dxa"/>
            <w:vAlign w:val="bottom"/>
          </w:tcPr>
          <w:p w14:paraId="7E38869E"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1</w:t>
            </w:r>
            <w:r w:rsidR="00BE6210">
              <w:rPr>
                <w:rFonts w:ascii="Times New Roman" w:eastAsia="Calibri" w:hAnsi="Times New Roman" w:cs="Times New Roman"/>
                <w:sz w:val="26"/>
                <w:szCs w:val="26"/>
              </w:rPr>
              <w:t xml:space="preserve"> hr.; </w:t>
            </w:r>
          </w:p>
          <w:p w14:paraId="599164BE"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31.19</w:t>
            </w:r>
          </w:p>
        </w:tc>
        <w:tc>
          <w:tcPr>
            <w:tcW w:w="1581" w:type="dxa"/>
            <w:vAlign w:val="bottom"/>
          </w:tcPr>
          <w:p w14:paraId="39D2A4EA"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873</w:t>
            </w:r>
            <w:r w:rsidR="00BE6210">
              <w:rPr>
                <w:rFonts w:ascii="Times New Roman" w:eastAsia="Calibri" w:hAnsi="Times New Roman" w:cs="Times New Roman"/>
                <w:sz w:val="26"/>
                <w:szCs w:val="26"/>
              </w:rPr>
              <w:t xml:space="preserve"> hrs.; </w:t>
            </w:r>
          </w:p>
          <w:p w14:paraId="610D8151"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27</w:t>
            </w: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228.87</w:t>
            </w:r>
          </w:p>
        </w:tc>
        <w:tc>
          <w:tcPr>
            <w:tcW w:w="1335" w:type="dxa"/>
            <w:vAlign w:val="bottom"/>
          </w:tcPr>
          <w:p w14:paraId="5E26F83C"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93.57</w:t>
            </w:r>
          </w:p>
        </w:tc>
      </w:tr>
      <w:tr w:rsidR="007F3BA3" w:rsidRPr="007F3BA3" w14:paraId="05223A2A" w14:textId="77777777" w:rsidTr="008B1616">
        <w:trPr>
          <w:trHeight w:val="299"/>
        </w:trPr>
        <w:tc>
          <w:tcPr>
            <w:tcW w:w="1824" w:type="dxa"/>
          </w:tcPr>
          <w:p w14:paraId="6C3B9487" w14:textId="77777777" w:rsidR="007F3BA3" w:rsidRPr="007F3BA3" w:rsidRDefault="007F3BA3" w:rsidP="00BE6210">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Generator Owners and/or Operators</w:t>
            </w:r>
            <w:r w:rsidR="00BE6210">
              <w:rPr>
                <w:rFonts w:ascii="Times New Roman" w:hAnsi="Times New Roman" w:cs="Times New Roman"/>
                <w:sz w:val="26"/>
                <w:szCs w:val="26"/>
              </w:rPr>
              <w:t xml:space="preserve">, in </w:t>
            </w:r>
            <w:r w:rsidRPr="007F3BA3">
              <w:rPr>
                <w:rFonts w:ascii="Times New Roman" w:hAnsi="Times New Roman" w:cs="Times New Roman"/>
                <w:sz w:val="26"/>
                <w:szCs w:val="26"/>
              </w:rPr>
              <w:t>Year 2 and On</w:t>
            </w:r>
            <w:r w:rsidR="00BE6210">
              <w:rPr>
                <w:rFonts w:ascii="Times New Roman" w:hAnsi="Times New Roman" w:cs="Times New Roman"/>
                <w:sz w:val="26"/>
                <w:szCs w:val="26"/>
              </w:rPr>
              <w:t>going</w:t>
            </w:r>
          </w:p>
        </w:tc>
        <w:tc>
          <w:tcPr>
            <w:tcW w:w="1253" w:type="dxa"/>
            <w:vAlign w:val="bottom"/>
          </w:tcPr>
          <w:p w14:paraId="44BDF009"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99" w:type="dxa"/>
            <w:vAlign w:val="bottom"/>
          </w:tcPr>
          <w:p w14:paraId="45AE5FD0"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w:t>
            </w:r>
          </w:p>
        </w:tc>
        <w:tc>
          <w:tcPr>
            <w:tcW w:w="1335" w:type="dxa"/>
            <w:vAlign w:val="bottom"/>
          </w:tcPr>
          <w:p w14:paraId="4D9E8089"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582</w:t>
            </w:r>
          </w:p>
        </w:tc>
        <w:tc>
          <w:tcPr>
            <w:tcW w:w="1253" w:type="dxa"/>
            <w:vAlign w:val="bottom"/>
          </w:tcPr>
          <w:p w14:paraId="54B5D6AB"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r w:rsidR="007F3BA3" w:rsidRPr="007F3BA3">
              <w:rPr>
                <w:rFonts w:ascii="Times New Roman" w:eastAsia="Calibri" w:hAnsi="Times New Roman" w:cs="Times New Roman"/>
                <w:sz w:val="26"/>
                <w:szCs w:val="26"/>
              </w:rPr>
              <w:t>.5</w:t>
            </w:r>
            <w:r>
              <w:rPr>
                <w:rFonts w:ascii="Times New Roman" w:eastAsia="Calibri" w:hAnsi="Times New Roman" w:cs="Times New Roman"/>
                <w:sz w:val="26"/>
                <w:szCs w:val="26"/>
              </w:rPr>
              <w:t xml:space="preserve"> hrs.;</w:t>
            </w:r>
          </w:p>
          <w:p w14:paraId="5EF94239" w14:textId="77777777" w:rsidR="007F3BA3" w:rsidRPr="007F3BA3" w:rsidRDefault="00BE6210" w:rsidP="00D1788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D17889">
              <w:rPr>
                <w:rFonts w:ascii="Times New Roman" w:eastAsia="Calibri" w:hAnsi="Times New Roman" w:cs="Times New Roman"/>
                <w:sz w:val="26"/>
                <w:szCs w:val="26"/>
              </w:rPr>
              <w:t>15.595</w:t>
            </w:r>
          </w:p>
        </w:tc>
        <w:tc>
          <w:tcPr>
            <w:tcW w:w="1581" w:type="dxa"/>
            <w:vAlign w:val="bottom"/>
          </w:tcPr>
          <w:p w14:paraId="1B6E7853" w14:textId="77777777" w:rsidR="007F3BA3" w:rsidRPr="007F3BA3" w:rsidRDefault="007F3BA3" w:rsidP="007F3BA3">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r w:rsidR="00BE6210">
              <w:rPr>
                <w:rFonts w:ascii="Times New Roman" w:eastAsia="Calibri" w:hAnsi="Times New Roman" w:cs="Times New Roman"/>
                <w:sz w:val="26"/>
                <w:szCs w:val="26"/>
              </w:rPr>
              <w:t xml:space="preserve"> hrs.;</w:t>
            </w:r>
          </w:p>
          <w:p w14:paraId="780AC60A"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9</w:t>
            </w: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076.29</w:t>
            </w:r>
          </w:p>
        </w:tc>
        <w:tc>
          <w:tcPr>
            <w:tcW w:w="1335" w:type="dxa"/>
            <w:vAlign w:val="bottom"/>
          </w:tcPr>
          <w:p w14:paraId="505C6F2F" w14:textId="77777777" w:rsidR="007F3BA3" w:rsidRPr="007F3BA3" w:rsidRDefault="00BE6210"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7F3BA3" w:rsidRPr="007F3BA3">
              <w:rPr>
                <w:rFonts w:ascii="Times New Roman" w:eastAsia="Calibri" w:hAnsi="Times New Roman" w:cs="Times New Roman"/>
                <w:sz w:val="26"/>
                <w:szCs w:val="26"/>
              </w:rPr>
              <w:t>31.19</w:t>
            </w:r>
          </w:p>
        </w:tc>
      </w:tr>
      <w:tr w:rsidR="00652756" w:rsidRPr="007F3BA3" w14:paraId="25568833" w14:textId="77777777" w:rsidTr="008B1616">
        <w:trPr>
          <w:trHeight w:val="299"/>
        </w:trPr>
        <w:tc>
          <w:tcPr>
            <w:tcW w:w="1824" w:type="dxa"/>
            <w:vAlign w:val="bottom"/>
          </w:tcPr>
          <w:p w14:paraId="0D1E19CE" w14:textId="4740956D" w:rsidR="00652756" w:rsidRPr="00B73FA8" w:rsidRDefault="00D17889" w:rsidP="00AC36FC">
            <w:pPr>
              <w:spacing w:after="0" w:line="240" w:lineRule="auto"/>
              <w:rPr>
                <w:rFonts w:ascii="Times New Roman" w:hAnsi="Times New Roman" w:cs="Times New Roman"/>
                <w:b/>
                <w:sz w:val="26"/>
                <w:szCs w:val="26"/>
              </w:rPr>
            </w:pPr>
            <w:r>
              <w:rPr>
                <w:rFonts w:ascii="Times New Roman" w:hAnsi="Times New Roman" w:cs="Times New Roman"/>
                <w:b/>
                <w:sz w:val="26"/>
                <w:szCs w:val="26"/>
              </w:rPr>
              <w:t>New Burden</w:t>
            </w:r>
            <w:r w:rsidR="00F74C3E">
              <w:rPr>
                <w:rFonts w:ascii="Times New Roman" w:hAnsi="Times New Roman" w:cs="Times New Roman"/>
                <w:b/>
                <w:sz w:val="26"/>
                <w:szCs w:val="26"/>
              </w:rPr>
              <w:t>, in Year 1</w:t>
            </w:r>
          </w:p>
        </w:tc>
        <w:tc>
          <w:tcPr>
            <w:tcW w:w="1253" w:type="dxa"/>
            <w:vAlign w:val="bottom"/>
          </w:tcPr>
          <w:p w14:paraId="56D09E52" w14:textId="77777777" w:rsidR="00652756" w:rsidRPr="007F3BA3" w:rsidRDefault="00652756" w:rsidP="007F3BA3">
            <w:pPr>
              <w:spacing w:after="0" w:line="240" w:lineRule="auto"/>
              <w:jc w:val="right"/>
              <w:rPr>
                <w:rFonts w:ascii="Times New Roman" w:eastAsia="Calibri" w:hAnsi="Times New Roman" w:cs="Times New Roman"/>
                <w:sz w:val="26"/>
                <w:szCs w:val="26"/>
              </w:rPr>
            </w:pPr>
          </w:p>
        </w:tc>
        <w:tc>
          <w:tcPr>
            <w:tcW w:w="1499" w:type="dxa"/>
            <w:vAlign w:val="bottom"/>
          </w:tcPr>
          <w:p w14:paraId="1C568942" w14:textId="77777777" w:rsidR="00652756" w:rsidRPr="007F3BA3" w:rsidRDefault="00652756" w:rsidP="007F3BA3">
            <w:pPr>
              <w:spacing w:after="0" w:line="240" w:lineRule="auto"/>
              <w:jc w:val="right"/>
              <w:rPr>
                <w:rFonts w:ascii="Times New Roman" w:eastAsia="Calibri" w:hAnsi="Times New Roman" w:cs="Times New Roman"/>
                <w:sz w:val="26"/>
                <w:szCs w:val="26"/>
              </w:rPr>
            </w:pPr>
          </w:p>
        </w:tc>
        <w:tc>
          <w:tcPr>
            <w:tcW w:w="1335" w:type="dxa"/>
            <w:vAlign w:val="bottom"/>
          </w:tcPr>
          <w:p w14:paraId="3EDC57CF" w14:textId="77777777" w:rsidR="00652756" w:rsidRPr="007F3BA3" w:rsidRDefault="00652756" w:rsidP="007F3BA3">
            <w:pPr>
              <w:spacing w:after="0" w:line="240" w:lineRule="auto"/>
              <w:jc w:val="right"/>
              <w:rPr>
                <w:rFonts w:ascii="Times New Roman" w:eastAsia="Calibri" w:hAnsi="Times New Roman" w:cs="Times New Roman"/>
                <w:sz w:val="26"/>
                <w:szCs w:val="26"/>
              </w:rPr>
            </w:pPr>
          </w:p>
        </w:tc>
        <w:tc>
          <w:tcPr>
            <w:tcW w:w="1253" w:type="dxa"/>
            <w:vAlign w:val="bottom"/>
          </w:tcPr>
          <w:p w14:paraId="262167D5" w14:textId="77777777" w:rsidR="00652756" w:rsidRDefault="00652756" w:rsidP="007F3BA3">
            <w:pPr>
              <w:spacing w:after="0" w:line="240" w:lineRule="auto"/>
              <w:jc w:val="right"/>
              <w:rPr>
                <w:rFonts w:ascii="Times New Roman" w:eastAsia="Calibri" w:hAnsi="Times New Roman" w:cs="Times New Roman"/>
                <w:sz w:val="26"/>
                <w:szCs w:val="26"/>
              </w:rPr>
            </w:pPr>
          </w:p>
        </w:tc>
        <w:tc>
          <w:tcPr>
            <w:tcW w:w="1581" w:type="dxa"/>
            <w:vAlign w:val="bottom"/>
          </w:tcPr>
          <w:p w14:paraId="6A9922BB" w14:textId="77777777" w:rsidR="00F74C3E" w:rsidRDefault="00F74C3E"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1,746 hrs.;</w:t>
            </w:r>
          </w:p>
          <w:p w14:paraId="0FD63D4C" w14:textId="77777777" w:rsidR="00652756" w:rsidRPr="007F3BA3" w:rsidRDefault="00F74C3E"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$94,441.14</w:t>
            </w:r>
          </w:p>
        </w:tc>
        <w:tc>
          <w:tcPr>
            <w:tcW w:w="1335" w:type="dxa"/>
            <w:vAlign w:val="bottom"/>
          </w:tcPr>
          <w:p w14:paraId="28FA4C86" w14:textId="77777777" w:rsidR="00652756" w:rsidRDefault="00652756" w:rsidP="007F3BA3">
            <w:pPr>
              <w:spacing w:after="0" w:line="240" w:lineRule="auto"/>
              <w:jc w:val="right"/>
              <w:rPr>
                <w:rFonts w:ascii="Times New Roman" w:eastAsia="Calibri" w:hAnsi="Times New Roman" w:cs="Times New Roman"/>
                <w:sz w:val="26"/>
                <w:szCs w:val="26"/>
              </w:rPr>
            </w:pPr>
          </w:p>
        </w:tc>
      </w:tr>
      <w:tr w:rsidR="00F74C3E" w:rsidRPr="007F3BA3" w14:paraId="68782CE1" w14:textId="77777777" w:rsidTr="008B1616">
        <w:trPr>
          <w:trHeight w:val="299"/>
        </w:trPr>
        <w:tc>
          <w:tcPr>
            <w:tcW w:w="1824" w:type="dxa"/>
            <w:vAlign w:val="bottom"/>
          </w:tcPr>
          <w:p w14:paraId="03B3C600" w14:textId="13B15A68" w:rsidR="00F74C3E" w:rsidRDefault="00D17889" w:rsidP="00D17889">
            <w:pPr>
              <w:spacing w:after="0" w:line="240" w:lineRule="auto"/>
              <w:rPr>
                <w:rFonts w:ascii="Times New Roman" w:hAnsi="Times New Roman" w:cs="Times New Roman"/>
                <w:b/>
                <w:sz w:val="26"/>
                <w:szCs w:val="26"/>
              </w:rPr>
            </w:pPr>
            <w:r>
              <w:rPr>
                <w:rFonts w:ascii="Times New Roman" w:hAnsi="Times New Roman" w:cs="Times New Roman"/>
                <w:b/>
                <w:sz w:val="26"/>
                <w:szCs w:val="26"/>
              </w:rPr>
              <w:t>New Burden</w:t>
            </w:r>
            <w:r w:rsidR="00094626">
              <w:rPr>
                <w:rFonts w:ascii="Times New Roman" w:hAnsi="Times New Roman" w:cs="Times New Roman"/>
                <w:b/>
                <w:sz w:val="26"/>
                <w:szCs w:val="26"/>
              </w:rPr>
              <w:t>, in Year 2 &amp; O</w:t>
            </w:r>
            <w:r w:rsidR="00F74C3E">
              <w:rPr>
                <w:rFonts w:ascii="Times New Roman" w:hAnsi="Times New Roman" w:cs="Times New Roman"/>
                <w:b/>
                <w:sz w:val="26"/>
                <w:szCs w:val="26"/>
              </w:rPr>
              <w:t>ngoing</w:t>
            </w:r>
          </w:p>
        </w:tc>
        <w:tc>
          <w:tcPr>
            <w:tcW w:w="1253" w:type="dxa"/>
            <w:vAlign w:val="bottom"/>
          </w:tcPr>
          <w:p w14:paraId="22BFADB1" w14:textId="77777777" w:rsidR="00F74C3E" w:rsidRPr="007F3BA3" w:rsidRDefault="00F74C3E" w:rsidP="007F3BA3">
            <w:pPr>
              <w:spacing w:after="0" w:line="240" w:lineRule="auto"/>
              <w:jc w:val="right"/>
              <w:rPr>
                <w:rFonts w:ascii="Times New Roman" w:eastAsia="Calibri" w:hAnsi="Times New Roman" w:cs="Times New Roman"/>
                <w:sz w:val="26"/>
                <w:szCs w:val="26"/>
              </w:rPr>
            </w:pPr>
          </w:p>
        </w:tc>
        <w:tc>
          <w:tcPr>
            <w:tcW w:w="1499" w:type="dxa"/>
            <w:vAlign w:val="bottom"/>
          </w:tcPr>
          <w:p w14:paraId="2E7721EA" w14:textId="77777777" w:rsidR="00F74C3E" w:rsidRPr="007F3BA3" w:rsidRDefault="00F74C3E" w:rsidP="007F3BA3">
            <w:pPr>
              <w:spacing w:after="0" w:line="240" w:lineRule="auto"/>
              <w:jc w:val="right"/>
              <w:rPr>
                <w:rFonts w:ascii="Times New Roman" w:eastAsia="Calibri" w:hAnsi="Times New Roman" w:cs="Times New Roman"/>
                <w:sz w:val="26"/>
                <w:szCs w:val="26"/>
              </w:rPr>
            </w:pPr>
          </w:p>
        </w:tc>
        <w:tc>
          <w:tcPr>
            <w:tcW w:w="1335" w:type="dxa"/>
            <w:vAlign w:val="bottom"/>
          </w:tcPr>
          <w:p w14:paraId="2B5CD3D8" w14:textId="77777777" w:rsidR="00F74C3E" w:rsidRPr="007F3BA3" w:rsidRDefault="00F74C3E" w:rsidP="007F3BA3">
            <w:pPr>
              <w:spacing w:after="0" w:line="240" w:lineRule="auto"/>
              <w:jc w:val="right"/>
              <w:rPr>
                <w:rFonts w:ascii="Times New Roman" w:eastAsia="Calibri" w:hAnsi="Times New Roman" w:cs="Times New Roman"/>
                <w:sz w:val="26"/>
                <w:szCs w:val="26"/>
              </w:rPr>
            </w:pPr>
          </w:p>
        </w:tc>
        <w:tc>
          <w:tcPr>
            <w:tcW w:w="1253" w:type="dxa"/>
            <w:vAlign w:val="bottom"/>
          </w:tcPr>
          <w:p w14:paraId="2337C409" w14:textId="77777777" w:rsidR="00F74C3E" w:rsidRDefault="00F74C3E" w:rsidP="007F3BA3">
            <w:pPr>
              <w:spacing w:after="0" w:line="240" w:lineRule="auto"/>
              <w:jc w:val="right"/>
              <w:rPr>
                <w:rFonts w:ascii="Times New Roman" w:eastAsia="Calibri" w:hAnsi="Times New Roman" w:cs="Times New Roman"/>
                <w:sz w:val="26"/>
                <w:szCs w:val="26"/>
              </w:rPr>
            </w:pPr>
          </w:p>
        </w:tc>
        <w:tc>
          <w:tcPr>
            <w:tcW w:w="1581" w:type="dxa"/>
            <w:vAlign w:val="bottom"/>
          </w:tcPr>
          <w:p w14:paraId="2D685A72" w14:textId="77777777" w:rsidR="00F74C3E" w:rsidRDefault="00F74C3E" w:rsidP="007F3BA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873 hrs.; </w:t>
            </w:r>
          </w:p>
          <w:p w14:paraId="1762A4B4" w14:textId="77777777" w:rsidR="00F74C3E" w:rsidRDefault="00F74C3E" w:rsidP="00D1788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$53,</w:t>
            </w:r>
            <w:r w:rsidR="00D17889">
              <w:rPr>
                <w:rFonts w:ascii="Times New Roman" w:eastAsia="Calibri" w:hAnsi="Times New Roman" w:cs="Times New Roman"/>
                <w:sz w:val="26"/>
                <w:szCs w:val="26"/>
              </w:rPr>
              <w:t>884.47</w:t>
            </w:r>
          </w:p>
        </w:tc>
        <w:tc>
          <w:tcPr>
            <w:tcW w:w="1335" w:type="dxa"/>
            <w:vAlign w:val="bottom"/>
          </w:tcPr>
          <w:p w14:paraId="3E554656" w14:textId="77777777" w:rsidR="00F74C3E" w:rsidRDefault="00F74C3E" w:rsidP="007F3BA3">
            <w:pPr>
              <w:spacing w:after="0" w:line="240" w:lineRule="auto"/>
              <w:jc w:val="right"/>
              <w:rPr>
                <w:rFonts w:ascii="Times New Roman" w:eastAsia="Calibri" w:hAnsi="Times New Roman" w:cs="Times New Roman"/>
                <w:sz w:val="26"/>
                <w:szCs w:val="26"/>
              </w:rPr>
            </w:pPr>
          </w:p>
        </w:tc>
      </w:tr>
      <w:tr w:rsidR="00652756" w:rsidRPr="007F3BA3" w14:paraId="53FA1FC7" w14:textId="77777777" w:rsidTr="008B1616">
        <w:trPr>
          <w:trHeight w:val="299"/>
        </w:trPr>
        <w:tc>
          <w:tcPr>
            <w:tcW w:w="1824" w:type="dxa"/>
          </w:tcPr>
          <w:p w14:paraId="655E9332" w14:textId="77777777" w:rsidR="00652756" w:rsidRPr="002663F0" w:rsidRDefault="00652756" w:rsidP="00094626">
            <w:pPr>
              <w:spacing w:after="0" w:line="240" w:lineRule="auto"/>
              <w:rPr>
                <w:rFonts w:ascii="Times New Roman" w:hAnsi="Times New Roman" w:cs="Times New Roman"/>
                <w:b/>
                <w:sz w:val="26"/>
                <w:szCs w:val="26"/>
              </w:rPr>
            </w:pPr>
            <w:r w:rsidRPr="002663F0">
              <w:rPr>
                <w:rFonts w:ascii="Times New Roman" w:hAnsi="Times New Roman" w:cs="Times New Roman"/>
                <w:b/>
                <w:sz w:val="26"/>
                <w:szCs w:val="26"/>
              </w:rPr>
              <w:t xml:space="preserve">Net </w:t>
            </w:r>
            <w:r w:rsidR="002B0275" w:rsidRPr="002663F0">
              <w:rPr>
                <w:rFonts w:ascii="Times New Roman" w:hAnsi="Times New Roman" w:cs="Times New Roman"/>
                <w:b/>
                <w:sz w:val="26"/>
                <w:szCs w:val="26"/>
              </w:rPr>
              <w:t xml:space="preserve">Burden </w:t>
            </w:r>
            <w:r w:rsidRPr="002663F0">
              <w:rPr>
                <w:rFonts w:ascii="Times New Roman" w:hAnsi="Times New Roman" w:cs="Times New Roman"/>
                <w:b/>
                <w:sz w:val="26"/>
                <w:szCs w:val="26"/>
              </w:rPr>
              <w:t xml:space="preserve">Change </w:t>
            </w:r>
            <w:r w:rsidR="00094626" w:rsidRPr="002663F0">
              <w:rPr>
                <w:rFonts w:ascii="Times New Roman" w:hAnsi="Times New Roman" w:cs="Times New Roman"/>
                <w:b/>
                <w:sz w:val="26"/>
                <w:szCs w:val="26"/>
              </w:rPr>
              <w:t>in Year 1</w:t>
            </w:r>
          </w:p>
        </w:tc>
        <w:tc>
          <w:tcPr>
            <w:tcW w:w="1253" w:type="dxa"/>
            <w:vAlign w:val="bottom"/>
          </w:tcPr>
          <w:p w14:paraId="7841CEBC" w14:textId="77777777" w:rsidR="00652756" w:rsidRPr="002663F0" w:rsidRDefault="00652756" w:rsidP="007F3BA3">
            <w:pPr>
              <w:spacing w:after="0" w:line="240" w:lineRule="auto"/>
              <w:jc w:val="right"/>
              <w:rPr>
                <w:rFonts w:ascii="Times New Roman" w:eastAsia="Calibri" w:hAnsi="Times New Roman" w:cs="Times New Roman"/>
                <w:sz w:val="26"/>
                <w:szCs w:val="26"/>
              </w:rPr>
            </w:pPr>
          </w:p>
        </w:tc>
        <w:tc>
          <w:tcPr>
            <w:tcW w:w="1499" w:type="dxa"/>
            <w:vAlign w:val="bottom"/>
          </w:tcPr>
          <w:p w14:paraId="0FA4FFE1" w14:textId="77777777" w:rsidR="00652756" w:rsidRPr="002663F0" w:rsidRDefault="00652756" w:rsidP="007F3BA3">
            <w:pPr>
              <w:spacing w:after="0" w:line="240" w:lineRule="auto"/>
              <w:jc w:val="right"/>
              <w:rPr>
                <w:rFonts w:ascii="Times New Roman" w:eastAsia="Calibri" w:hAnsi="Times New Roman" w:cs="Times New Roman"/>
                <w:sz w:val="26"/>
                <w:szCs w:val="26"/>
              </w:rPr>
            </w:pPr>
          </w:p>
        </w:tc>
        <w:tc>
          <w:tcPr>
            <w:tcW w:w="1335" w:type="dxa"/>
            <w:vAlign w:val="bottom"/>
          </w:tcPr>
          <w:p w14:paraId="47F91EB3" w14:textId="77777777" w:rsidR="00652756" w:rsidRPr="002663F0" w:rsidRDefault="00652756" w:rsidP="007F3BA3">
            <w:pPr>
              <w:spacing w:after="0" w:line="240" w:lineRule="auto"/>
              <w:jc w:val="right"/>
              <w:rPr>
                <w:rFonts w:ascii="Times New Roman" w:eastAsia="Calibri" w:hAnsi="Times New Roman" w:cs="Times New Roman"/>
                <w:sz w:val="26"/>
                <w:szCs w:val="26"/>
              </w:rPr>
            </w:pPr>
          </w:p>
        </w:tc>
        <w:tc>
          <w:tcPr>
            <w:tcW w:w="1253" w:type="dxa"/>
            <w:vAlign w:val="bottom"/>
          </w:tcPr>
          <w:p w14:paraId="3B1B8934" w14:textId="77777777" w:rsidR="00652756" w:rsidRPr="002663F0" w:rsidRDefault="00652756" w:rsidP="007F3BA3">
            <w:pPr>
              <w:spacing w:after="0" w:line="240" w:lineRule="auto"/>
              <w:jc w:val="right"/>
              <w:rPr>
                <w:rFonts w:ascii="Times New Roman" w:eastAsia="Calibri" w:hAnsi="Times New Roman" w:cs="Times New Roman"/>
                <w:sz w:val="26"/>
                <w:szCs w:val="26"/>
              </w:rPr>
            </w:pPr>
          </w:p>
        </w:tc>
        <w:tc>
          <w:tcPr>
            <w:tcW w:w="1581" w:type="dxa"/>
            <w:vAlign w:val="bottom"/>
          </w:tcPr>
          <w:p w14:paraId="2A6B5101" w14:textId="77777777" w:rsidR="00652756" w:rsidRPr="002663F0" w:rsidRDefault="002B0275" w:rsidP="002B0275">
            <w:pPr>
              <w:spacing w:after="0" w:line="240" w:lineRule="auto"/>
              <w:jc w:val="right"/>
              <w:rPr>
                <w:rFonts w:ascii="Times New Roman" w:eastAsia="Calibri" w:hAnsi="Times New Roman" w:cs="Times New Roman"/>
                <w:b/>
                <w:sz w:val="26"/>
                <w:szCs w:val="26"/>
              </w:rPr>
            </w:pPr>
            <w:r w:rsidRPr="002663F0">
              <w:rPr>
                <w:rFonts w:ascii="Times New Roman" w:eastAsia="Calibri" w:hAnsi="Times New Roman" w:cs="Times New Roman"/>
                <w:b/>
                <w:sz w:val="26"/>
                <w:szCs w:val="26"/>
              </w:rPr>
              <w:t>+252</w:t>
            </w:r>
            <w:r w:rsidR="00652756" w:rsidRPr="002663F0">
              <w:rPr>
                <w:rFonts w:ascii="Times New Roman" w:eastAsia="Calibri" w:hAnsi="Times New Roman" w:cs="Times New Roman"/>
                <w:b/>
                <w:sz w:val="26"/>
                <w:szCs w:val="26"/>
              </w:rPr>
              <w:t xml:space="preserve"> hrs</w:t>
            </w:r>
            <w:r w:rsidRPr="002663F0">
              <w:rPr>
                <w:rFonts w:ascii="Times New Roman" w:eastAsia="Calibri" w:hAnsi="Times New Roman" w:cs="Times New Roman"/>
                <w:b/>
                <w:sz w:val="26"/>
                <w:szCs w:val="26"/>
              </w:rPr>
              <w:t xml:space="preserve"> (increase)</w:t>
            </w:r>
          </w:p>
        </w:tc>
        <w:tc>
          <w:tcPr>
            <w:tcW w:w="1335" w:type="dxa"/>
            <w:vAlign w:val="bottom"/>
          </w:tcPr>
          <w:p w14:paraId="720F6748" w14:textId="4208FD5B" w:rsidR="00652756" w:rsidRPr="002663F0" w:rsidRDefault="00652756" w:rsidP="007F3BA3">
            <w:pPr>
              <w:spacing w:after="0" w:line="240" w:lineRule="auto"/>
              <w:jc w:val="right"/>
              <w:rPr>
                <w:rFonts w:ascii="Times New Roman" w:eastAsia="Calibri" w:hAnsi="Times New Roman" w:cs="Times New Roman"/>
                <w:sz w:val="26"/>
                <w:szCs w:val="26"/>
              </w:rPr>
            </w:pPr>
          </w:p>
        </w:tc>
      </w:tr>
      <w:tr w:rsidR="00094626" w:rsidRPr="007F3BA3" w14:paraId="6EF51A6E" w14:textId="77777777" w:rsidTr="001F31E7">
        <w:trPr>
          <w:trHeight w:val="299"/>
        </w:trPr>
        <w:tc>
          <w:tcPr>
            <w:tcW w:w="1824" w:type="dxa"/>
          </w:tcPr>
          <w:p w14:paraId="3DA2016A" w14:textId="77777777" w:rsidR="00094626" w:rsidRPr="002663F0" w:rsidRDefault="00094626" w:rsidP="00094626">
            <w:pPr>
              <w:spacing w:after="0" w:line="240" w:lineRule="auto"/>
              <w:rPr>
                <w:rFonts w:ascii="Times New Roman" w:hAnsi="Times New Roman" w:cs="Times New Roman"/>
                <w:b/>
                <w:sz w:val="26"/>
                <w:szCs w:val="26"/>
              </w:rPr>
            </w:pPr>
            <w:r w:rsidRPr="002663F0">
              <w:rPr>
                <w:rFonts w:ascii="Times New Roman" w:hAnsi="Times New Roman" w:cs="Times New Roman"/>
                <w:b/>
                <w:sz w:val="26"/>
                <w:szCs w:val="26"/>
              </w:rPr>
              <w:t xml:space="preserve">Net </w:t>
            </w:r>
            <w:r w:rsidR="002B0275" w:rsidRPr="002663F0">
              <w:rPr>
                <w:rFonts w:ascii="Times New Roman" w:hAnsi="Times New Roman" w:cs="Times New Roman"/>
                <w:b/>
                <w:sz w:val="26"/>
                <w:szCs w:val="26"/>
              </w:rPr>
              <w:t xml:space="preserve">Burden </w:t>
            </w:r>
            <w:r w:rsidRPr="002663F0">
              <w:rPr>
                <w:rFonts w:ascii="Times New Roman" w:hAnsi="Times New Roman" w:cs="Times New Roman"/>
                <w:b/>
                <w:sz w:val="26"/>
                <w:szCs w:val="26"/>
              </w:rPr>
              <w:t>Change in Year 2 and Ongoing</w:t>
            </w:r>
          </w:p>
        </w:tc>
        <w:tc>
          <w:tcPr>
            <w:tcW w:w="1253" w:type="dxa"/>
            <w:vAlign w:val="bottom"/>
          </w:tcPr>
          <w:p w14:paraId="0B1D1D79" w14:textId="77777777" w:rsidR="00094626" w:rsidRPr="002663F0" w:rsidRDefault="00094626" w:rsidP="007F3BA3">
            <w:pPr>
              <w:spacing w:after="0" w:line="240" w:lineRule="auto"/>
              <w:jc w:val="right"/>
              <w:rPr>
                <w:rFonts w:ascii="Times New Roman" w:eastAsia="Calibri" w:hAnsi="Times New Roman" w:cs="Times New Roman"/>
                <w:sz w:val="26"/>
                <w:szCs w:val="26"/>
              </w:rPr>
            </w:pPr>
          </w:p>
        </w:tc>
        <w:tc>
          <w:tcPr>
            <w:tcW w:w="1499" w:type="dxa"/>
            <w:vAlign w:val="bottom"/>
          </w:tcPr>
          <w:p w14:paraId="770055E3" w14:textId="77777777" w:rsidR="00094626" w:rsidRPr="002663F0" w:rsidRDefault="00094626" w:rsidP="007F3BA3">
            <w:pPr>
              <w:spacing w:after="0" w:line="240" w:lineRule="auto"/>
              <w:jc w:val="right"/>
              <w:rPr>
                <w:rFonts w:ascii="Times New Roman" w:eastAsia="Calibri" w:hAnsi="Times New Roman" w:cs="Times New Roman"/>
                <w:sz w:val="26"/>
                <w:szCs w:val="26"/>
              </w:rPr>
            </w:pPr>
          </w:p>
        </w:tc>
        <w:tc>
          <w:tcPr>
            <w:tcW w:w="1335" w:type="dxa"/>
            <w:vAlign w:val="bottom"/>
          </w:tcPr>
          <w:p w14:paraId="62EBE8BD" w14:textId="77777777" w:rsidR="00094626" w:rsidRPr="002663F0" w:rsidRDefault="00094626" w:rsidP="007F3BA3">
            <w:pPr>
              <w:spacing w:after="0" w:line="240" w:lineRule="auto"/>
              <w:jc w:val="right"/>
              <w:rPr>
                <w:rFonts w:ascii="Times New Roman" w:eastAsia="Calibri" w:hAnsi="Times New Roman" w:cs="Times New Roman"/>
                <w:sz w:val="26"/>
                <w:szCs w:val="26"/>
              </w:rPr>
            </w:pPr>
          </w:p>
        </w:tc>
        <w:tc>
          <w:tcPr>
            <w:tcW w:w="1253" w:type="dxa"/>
            <w:vAlign w:val="bottom"/>
          </w:tcPr>
          <w:p w14:paraId="0F4C7D7E" w14:textId="77777777" w:rsidR="00094626" w:rsidRPr="002663F0" w:rsidRDefault="00094626" w:rsidP="007F3BA3">
            <w:pPr>
              <w:spacing w:after="0" w:line="240" w:lineRule="auto"/>
              <w:jc w:val="right"/>
              <w:rPr>
                <w:rFonts w:ascii="Times New Roman" w:eastAsia="Calibri" w:hAnsi="Times New Roman" w:cs="Times New Roman"/>
                <w:sz w:val="26"/>
                <w:szCs w:val="26"/>
              </w:rPr>
            </w:pPr>
          </w:p>
        </w:tc>
        <w:tc>
          <w:tcPr>
            <w:tcW w:w="1581" w:type="dxa"/>
            <w:vAlign w:val="bottom"/>
          </w:tcPr>
          <w:p w14:paraId="047714A8" w14:textId="77777777" w:rsidR="00094626" w:rsidRPr="002663F0" w:rsidRDefault="002B0275" w:rsidP="007F3BA3">
            <w:pPr>
              <w:spacing w:after="0" w:line="240" w:lineRule="auto"/>
              <w:jc w:val="right"/>
              <w:rPr>
                <w:rFonts w:ascii="Times New Roman" w:eastAsia="Calibri" w:hAnsi="Times New Roman" w:cs="Times New Roman"/>
                <w:b/>
                <w:sz w:val="26"/>
                <w:szCs w:val="26"/>
              </w:rPr>
            </w:pPr>
            <w:r w:rsidRPr="002663F0">
              <w:rPr>
                <w:rFonts w:ascii="Times New Roman" w:eastAsia="Calibri" w:hAnsi="Times New Roman" w:cs="Times New Roman"/>
                <w:b/>
                <w:sz w:val="26"/>
                <w:szCs w:val="26"/>
              </w:rPr>
              <w:t xml:space="preserve">-621 hrs. (decrease) </w:t>
            </w:r>
          </w:p>
        </w:tc>
        <w:tc>
          <w:tcPr>
            <w:tcW w:w="1335" w:type="dxa"/>
            <w:vAlign w:val="bottom"/>
          </w:tcPr>
          <w:p w14:paraId="67602840" w14:textId="77777777" w:rsidR="00094626" w:rsidRPr="002663F0" w:rsidRDefault="00094626" w:rsidP="007F3BA3">
            <w:pPr>
              <w:spacing w:after="0" w:line="240" w:lineRule="auto"/>
              <w:jc w:val="right"/>
              <w:rPr>
                <w:rFonts w:ascii="Times New Roman" w:eastAsia="Calibri" w:hAnsi="Times New Roman" w:cs="Times New Roman"/>
                <w:sz w:val="26"/>
                <w:szCs w:val="26"/>
              </w:rPr>
            </w:pPr>
          </w:p>
        </w:tc>
      </w:tr>
    </w:tbl>
    <w:p w14:paraId="4C03DF7A" w14:textId="77777777" w:rsidR="00F81CDD" w:rsidRDefault="00F81CDD" w:rsidP="0026143D">
      <w:pPr>
        <w:spacing w:line="480" w:lineRule="auto"/>
        <w:rPr>
          <w:rFonts w:ascii="Times New Roman" w:eastAsia="Times New Roman" w:hAnsi="Times New Roman" w:cs="Times New Roman"/>
          <w:i/>
          <w:sz w:val="26"/>
          <w:szCs w:val="26"/>
        </w:rPr>
      </w:pPr>
    </w:p>
    <w:p w14:paraId="4BA12C5A" w14:textId="6C792174" w:rsidR="003C1C20" w:rsidRDefault="00AD1160" w:rsidP="0026143D">
      <w:pPr>
        <w:spacing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Estimate of </w:t>
      </w:r>
      <w:r w:rsidR="00EB7065">
        <w:rPr>
          <w:rFonts w:ascii="Times New Roman" w:eastAsia="Times New Roman" w:hAnsi="Times New Roman" w:cs="Times New Roman"/>
          <w:i/>
          <w:sz w:val="26"/>
          <w:szCs w:val="26"/>
        </w:rPr>
        <w:t xml:space="preserve">Continuing </w:t>
      </w:r>
      <w:r w:rsidR="00F81CDD">
        <w:rPr>
          <w:rFonts w:ascii="Times New Roman" w:eastAsia="Times New Roman" w:hAnsi="Times New Roman" w:cs="Times New Roman"/>
          <w:i/>
          <w:sz w:val="26"/>
          <w:szCs w:val="26"/>
        </w:rPr>
        <w:t xml:space="preserve">Annual </w:t>
      </w:r>
      <w:r w:rsidRPr="000027F9">
        <w:rPr>
          <w:rFonts w:ascii="Times New Roman" w:eastAsia="Times New Roman" w:hAnsi="Times New Roman" w:cs="Times New Roman"/>
          <w:i/>
          <w:sz w:val="26"/>
          <w:szCs w:val="26"/>
        </w:rPr>
        <w:t>Burden</w:t>
      </w:r>
      <w:r w:rsidR="00894E41">
        <w:rPr>
          <w:rFonts w:ascii="Times New Roman" w:eastAsia="Times New Roman" w:hAnsi="Times New Roman" w:cs="Times New Roman"/>
          <w:i/>
          <w:sz w:val="26"/>
          <w:szCs w:val="26"/>
        </w:rPr>
        <w:t xml:space="preserve"> for </w:t>
      </w:r>
      <w:r w:rsidR="00876AA6">
        <w:rPr>
          <w:rFonts w:ascii="Times New Roman" w:eastAsia="Times New Roman" w:hAnsi="Times New Roman" w:cs="Times New Roman"/>
          <w:i/>
          <w:sz w:val="26"/>
          <w:szCs w:val="26"/>
        </w:rPr>
        <w:t xml:space="preserve">Renewal </w:t>
      </w:r>
      <w:r w:rsidR="003C1C20">
        <w:rPr>
          <w:rFonts w:ascii="Times New Roman" w:eastAsia="Times New Roman" w:hAnsi="Times New Roman" w:cs="Times New Roman"/>
          <w:i/>
          <w:sz w:val="26"/>
          <w:szCs w:val="26"/>
        </w:rPr>
        <w:t xml:space="preserve">and New </w:t>
      </w:r>
      <w:r w:rsidR="0026143D" w:rsidRPr="0026143D">
        <w:rPr>
          <w:rFonts w:ascii="Times New Roman" w:eastAsia="Times New Roman" w:hAnsi="Times New Roman" w:cs="Times New Roman"/>
          <w:i/>
          <w:sz w:val="26"/>
          <w:szCs w:val="26"/>
        </w:rPr>
        <w:t>Reliability Standard VAR-501-WECC-3</w:t>
      </w:r>
      <w:r w:rsidRPr="000027F9">
        <w:rPr>
          <w:rFonts w:ascii="Times New Roman" w:eastAsia="Times New Roman" w:hAnsi="Times New Roman" w:cs="Times New Roman"/>
          <w:i/>
          <w:sz w:val="26"/>
          <w:szCs w:val="26"/>
        </w:rPr>
        <w:t>:</w:t>
      </w:r>
      <w:r w:rsidR="00801E14">
        <w:rPr>
          <w:rStyle w:val="FootnoteReference"/>
          <w:rFonts w:eastAsia="Times New Roman" w:cs="Times New Roman"/>
          <w:i/>
        </w:rPr>
        <w:footnoteReference w:id="13"/>
      </w:r>
      <w:r w:rsidRPr="000027F9">
        <w:rPr>
          <w:rFonts w:ascii="Times New Roman" w:eastAsia="Times New Roman" w:hAnsi="Times New Roman" w:cs="Times New Roman"/>
          <w:i/>
          <w:sz w:val="26"/>
          <w:szCs w:val="26"/>
        </w:rPr>
        <w:t xml:space="preserve"> </w:t>
      </w:r>
      <w:r w:rsidR="0026143D">
        <w:rPr>
          <w:rFonts w:ascii="Times New Roman" w:eastAsia="Times New Roman" w:hAnsi="Times New Roman" w:cs="Times New Roman"/>
          <w:i/>
          <w:sz w:val="26"/>
          <w:szCs w:val="26"/>
        </w:rPr>
        <w:t xml:space="preserve"> </w:t>
      </w:r>
      <w:r w:rsidRPr="000027F9">
        <w:rPr>
          <w:rFonts w:ascii="Times New Roman" w:eastAsia="Times New Roman" w:hAnsi="Times New Roman" w:cs="Times New Roman"/>
          <w:sz w:val="26"/>
          <w:szCs w:val="26"/>
        </w:rPr>
        <w:t xml:space="preserve">The Commission estimates the annual public reporting burden </w:t>
      </w:r>
      <w:r w:rsidR="00420EE5">
        <w:rPr>
          <w:rFonts w:ascii="Times New Roman" w:eastAsia="Times New Roman" w:hAnsi="Times New Roman" w:cs="Times New Roman"/>
          <w:sz w:val="26"/>
          <w:szCs w:val="26"/>
        </w:rPr>
        <w:t>and cost</w:t>
      </w:r>
      <w:r w:rsidR="00420EE5">
        <w:rPr>
          <w:rStyle w:val="FootnoteReference"/>
          <w:rFonts w:eastAsia="Times New Roman" w:cs="Times New Roman"/>
        </w:rPr>
        <w:footnoteReference w:id="14"/>
      </w:r>
      <w:r w:rsidR="00420EE5">
        <w:rPr>
          <w:rFonts w:ascii="Times New Roman" w:eastAsia="Times New Roman" w:hAnsi="Times New Roman" w:cs="Times New Roman"/>
          <w:sz w:val="26"/>
          <w:szCs w:val="26"/>
        </w:rPr>
        <w:t xml:space="preserve"> </w:t>
      </w:r>
      <w:r w:rsidR="00AB6E94">
        <w:rPr>
          <w:rFonts w:ascii="Times New Roman" w:eastAsia="Times New Roman" w:hAnsi="Times New Roman" w:cs="Times New Roman"/>
          <w:sz w:val="26"/>
          <w:szCs w:val="26"/>
        </w:rPr>
        <w:t xml:space="preserve">as follows </w:t>
      </w:r>
      <w:r w:rsidR="00EB7065">
        <w:rPr>
          <w:rFonts w:ascii="Times New Roman" w:eastAsia="Times New Roman" w:hAnsi="Times New Roman" w:cs="Times New Roman"/>
          <w:sz w:val="26"/>
          <w:szCs w:val="26"/>
        </w:rPr>
        <w:t>for FERC-725E</w:t>
      </w:r>
      <w:r w:rsidR="00AB6E94">
        <w:rPr>
          <w:rFonts w:ascii="Times New Roman" w:eastAsia="Times New Roman" w:hAnsi="Times New Roman" w:cs="Times New Roman"/>
          <w:sz w:val="26"/>
          <w:szCs w:val="26"/>
        </w:rPr>
        <w:t xml:space="preserve">.  </w:t>
      </w:r>
      <w:r w:rsidR="004C1046">
        <w:rPr>
          <w:rFonts w:ascii="Times New Roman" w:eastAsia="Times New Roman" w:hAnsi="Times New Roman" w:cs="Times New Roman"/>
          <w:sz w:val="26"/>
          <w:szCs w:val="26"/>
        </w:rPr>
        <w:t xml:space="preserve">(This information will be submitted to OMB for approval.)  </w:t>
      </w:r>
      <w:r w:rsidR="00AB6E94">
        <w:rPr>
          <w:rFonts w:ascii="Times New Roman" w:eastAsia="Times New Roman" w:hAnsi="Times New Roman" w:cs="Times New Roman"/>
          <w:sz w:val="26"/>
          <w:szCs w:val="26"/>
        </w:rPr>
        <w:t>These estimates</w:t>
      </w:r>
      <w:r w:rsidR="003C1C20">
        <w:rPr>
          <w:rFonts w:ascii="Times New Roman" w:eastAsia="Times New Roman" w:hAnsi="Times New Roman" w:cs="Times New Roman"/>
          <w:sz w:val="26"/>
          <w:szCs w:val="26"/>
        </w:rPr>
        <w:t xml:space="preserve"> </w:t>
      </w:r>
      <w:r w:rsidR="00876AA6">
        <w:rPr>
          <w:rFonts w:ascii="Times New Roman" w:eastAsia="Times New Roman" w:hAnsi="Times New Roman" w:cs="Times New Roman"/>
          <w:sz w:val="26"/>
          <w:szCs w:val="26"/>
        </w:rPr>
        <w:t>reflect</w:t>
      </w:r>
      <w:r w:rsidR="003C1C20">
        <w:rPr>
          <w:rFonts w:ascii="Times New Roman" w:eastAsia="Times New Roman" w:hAnsi="Times New Roman" w:cs="Times New Roman"/>
          <w:sz w:val="26"/>
          <w:szCs w:val="26"/>
        </w:rPr>
        <w:t>:</w:t>
      </w:r>
    </w:p>
    <w:p w14:paraId="012F5B28" w14:textId="2DD76C60" w:rsidR="003C1C20" w:rsidRDefault="00645770" w:rsidP="00E42082">
      <w:pPr>
        <w:pStyle w:val="ListParagraph"/>
        <w:numPr>
          <w:ilvl w:val="0"/>
          <w:numId w:val="6"/>
        </w:num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Reliability S</w:t>
      </w:r>
      <w:r w:rsidR="00AB6E94" w:rsidRPr="0026143D">
        <w:rPr>
          <w:rFonts w:ascii="Times New Roman" w:eastAsia="Times New Roman" w:hAnsi="Times New Roman" w:cs="Times New Roman"/>
          <w:sz w:val="26"/>
          <w:szCs w:val="26"/>
        </w:rPr>
        <w:t>tandards</w:t>
      </w:r>
      <w:r w:rsidR="008D2AA0" w:rsidRPr="002614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FERC-725E </w:t>
      </w:r>
      <w:r w:rsidR="003C1C20">
        <w:rPr>
          <w:rFonts w:ascii="Times New Roman" w:eastAsia="Times New Roman" w:hAnsi="Times New Roman" w:cs="Times New Roman"/>
          <w:sz w:val="26"/>
          <w:szCs w:val="26"/>
        </w:rPr>
        <w:t xml:space="preserve">which </w:t>
      </w:r>
      <w:r w:rsidR="008D2AA0" w:rsidRPr="0026143D">
        <w:rPr>
          <w:rFonts w:ascii="Times New Roman" w:eastAsia="Times New Roman" w:hAnsi="Times New Roman" w:cs="Times New Roman"/>
          <w:sz w:val="26"/>
          <w:szCs w:val="26"/>
        </w:rPr>
        <w:t>continue</w:t>
      </w:r>
      <w:r w:rsidR="00876AA6">
        <w:rPr>
          <w:rFonts w:ascii="Times New Roman" w:eastAsia="Times New Roman" w:hAnsi="Times New Roman" w:cs="Times New Roman"/>
          <w:sz w:val="26"/>
          <w:szCs w:val="26"/>
        </w:rPr>
        <w:t xml:space="preserve"> and </w:t>
      </w:r>
      <w:r w:rsidR="003C1C20">
        <w:rPr>
          <w:rFonts w:ascii="Times New Roman" w:eastAsia="Times New Roman" w:hAnsi="Times New Roman" w:cs="Times New Roman"/>
          <w:sz w:val="26"/>
          <w:szCs w:val="26"/>
        </w:rPr>
        <w:t>remain</w:t>
      </w:r>
      <w:r w:rsidR="008D2AA0" w:rsidRPr="0026143D">
        <w:rPr>
          <w:rFonts w:ascii="Times New Roman" w:eastAsia="Times New Roman" w:hAnsi="Times New Roman" w:cs="Times New Roman"/>
          <w:sz w:val="26"/>
          <w:szCs w:val="26"/>
        </w:rPr>
        <w:t xml:space="preserve"> unchanged</w:t>
      </w:r>
      <w:r w:rsidR="00E42082">
        <w:rPr>
          <w:rFonts w:ascii="Times New Roman" w:eastAsia="Times New Roman" w:hAnsi="Times New Roman" w:cs="Times New Roman"/>
          <w:sz w:val="26"/>
          <w:szCs w:val="26"/>
        </w:rPr>
        <w:t xml:space="preserve"> (</w:t>
      </w:r>
      <w:r w:rsidR="00901885">
        <w:rPr>
          <w:rFonts w:ascii="Times New Roman" w:eastAsia="Times New Roman" w:hAnsi="Times New Roman" w:cs="Times New Roman"/>
          <w:sz w:val="26"/>
          <w:szCs w:val="26"/>
        </w:rPr>
        <w:t>BAL-002-WECC-2</w:t>
      </w:r>
      <w:r w:rsidR="00CF3E3C">
        <w:rPr>
          <w:rFonts w:ascii="Times New Roman" w:eastAsia="Times New Roman" w:hAnsi="Times New Roman" w:cs="Times New Roman"/>
          <w:sz w:val="26"/>
          <w:szCs w:val="26"/>
        </w:rPr>
        <w:t>a</w:t>
      </w:r>
      <w:r w:rsidR="00901885">
        <w:rPr>
          <w:rFonts w:ascii="Times New Roman" w:eastAsia="Times New Roman" w:hAnsi="Times New Roman" w:cs="Times New Roman"/>
          <w:sz w:val="26"/>
          <w:szCs w:val="26"/>
        </w:rPr>
        <w:t xml:space="preserve">, </w:t>
      </w:r>
      <w:r w:rsidR="00E42082" w:rsidRPr="00E42082">
        <w:rPr>
          <w:rFonts w:ascii="Times New Roman" w:eastAsia="Times New Roman" w:hAnsi="Times New Roman" w:cs="Times New Roman"/>
          <w:sz w:val="26"/>
          <w:szCs w:val="26"/>
        </w:rPr>
        <w:t>BAL-004-WECC-02, FAC-501-WECC-1, IRO-006-WECC-</w:t>
      </w:r>
      <w:r w:rsidR="00CF3E3C">
        <w:rPr>
          <w:rFonts w:ascii="Times New Roman" w:eastAsia="Times New Roman" w:hAnsi="Times New Roman" w:cs="Times New Roman"/>
          <w:sz w:val="26"/>
          <w:szCs w:val="26"/>
        </w:rPr>
        <w:t>2</w:t>
      </w:r>
      <w:r w:rsidR="00E42082" w:rsidRPr="00E42082">
        <w:rPr>
          <w:rFonts w:ascii="Times New Roman" w:eastAsia="Times New Roman" w:hAnsi="Times New Roman" w:cs="Times New Roman"/>
          <w:sz w:val="26"/>
          <w:szCs w:val="26"/>
        </w:rPr>
        <w:t>, PRC-004-WECC-</w:t>
      </w:r>
      <w:r w:rsidR="00CF3E3C">
        <w:rPr>
          <w:rFonts w:ascii="Times New Roman" w:eastAsia="Times New Roman" w:hAnsi="Times New Roman" w:cs="Times New Roman"/>
          <w:sz w:val="26"/>
          <w:szCs w:val="26"/>
        </w:rPr>
        <w:t>2</w:t>
      </w:r>
      <w:r w:rsidR="00E42082" w:rsidRPr="00E42082">
        <w:rPr>
          <w:rFonts w:ascii="Times New Roman" w:eastAsia="Times New Roman" w:hAnsi="Times New Roman" w:cs="Times New Roman"/>
          <w:sz w:val="26"/>
          <w:szCs w:val="26"/>
        </w:rPr>
        <w:t>, and VAR-002-WECC-</w:t>
      </w:r>
      <w:r w:rsidR="00CF3E3C">
        <w:rPr>
          <w:rFonts w:ascii="Times New Roman" w:eastAsia="Times New Roman" w:hAnsi="Times New Roman" w:cs="Times New Roman"/>
          <w:sz w:val="26"/>
          <w:szCs w:val="26"/>
        </w:rPr>
        <w:t>2</w:t>
      </w:r>
      <w:r w:rsidR="00E42082">
        <w:rPr>
          <w:rFonts w:ascii="Times New Roman" w:eastAsia="Times New Roman" w:hAnsi="Times New Roman" w:cs="Times New Roman"/>
          <w:sz w:val="26"/>
          <w:szCs w:val="26"/>
        </w:rPr>
        <w:t>)</w:t>
      </w:r>
      <w:r w:rsidR="00064832">
        <w:rPr>
          <w:rFonts w:ascii="Times New Roman" w:eastAsia="Times New Roman" w:hAnsi="Times New Roman" w:cs="Times New Roman"/>
          <w:sz w:val="26"/>
          <w:szCs w:val="26"/>
        </w:rPr>
        <w:t>;</w:t>
      </w:r>
    </w:p>
    <w:p w14:paraId="10C8B492" w14:textId="3C656BAD" w:rsidR="00F04F54" w:rsidRDefault="00F04F54" w:rsidP="0026143D">
      <w:pPr>
        <w:pStyle w:val="ListParagraph"/>
        <w:numPr>
          <w:ilvl w:val="0"/>
          <w:numId w:val="6"/>
        </w:num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removal of burden due to the </w:t>
      </w:r>
      <w:r w:rsidRPr="0026143D">
        <w:rPr>
          <w:rFonts w:ascii="Times New Roman" w:eastAsia="Times New Roman" w:hAnsi="Times New Roman" w:cs="Times New Roman"/>
          <w:sz w:val="26"/>
          <w:szCs w:val="26"/>
        </w:rPr>
        <w:t>retirement of TOP-007-WECC-1a</w:t>
      </w:r>
      <w:r>
        <w:rPr>
          <w:rFonts w:ascii="Times New Roman" w:eastAsia="Times New Roman" w:hAnsi="Times New Roman" w:cs="Times New Roman"/>
          <w:sz w:val="26"/>
          <w:szCs w:val="26"/>
        </w:rPr>
        <w:t xml:space="preserve"> (discussed in Docket No. RD16-10-000)</w:t>
      </w:r>
      <w:r w:rsidRPr="0026143D">
        <w:rPr>
          <w:rFonts w:ascii="Times New Roman" w:eastAsia="Times New Roman" w:hAnsi="Times New Roman" w:cs="Times New Roman"/>
          <w:sz w:val="26"/>
          <w:szCs w:val="26"/>
        </w:rPr>
        <w:t xml:space="preserve"> </w:t>
      </w:r>
    </w:p>
    <w:p w14:paraId="7EC410DD" w14:textId="5BCB1AE5" w:rsidR="00351813" w:rsidRDefault="00F04F54" w:rsidP="00FB6BBB">
      <w:pPr>
        <w:pStyle w:val="ListParagraph"/>
        <w:numPr>
          <w:ilvl w:val="0"/>
          <w:numId w:val="6"/>
        </w:numPr>
        <w:spacing w:line="480" w:lineRule="auto"/>
        <w:rPr>
          <w:rFonts w:ascii="Times New Roman" w:eastAsia="Times New Roman" w:hAnsi="Times New Roman" w:cs="Times New Roman"/>
          <w:sz w:val="26"/>
          <w:szCs w:val="26"/>
        </w:rPr>
      </w:pPr>
      <w:r w:rsidRPr="00684605">
        <w:rPr>
          <w:rFonts w:ascii="Times New Roman" w:eastAsia="Times New Roman" w:hAnsi="Times New Roman" w:cs="Times New Roman"/>
          <w:sz w:val="26"/>
          <w:szCs w:val="26"/>
        </w:rPr>
        <w:t xml:space="preserve">additional burden due to </w:t>
      </w:r>
      <w:r w:rsidR="003C1C20" w:rsidRPr="00684605">
        <w:rPr>
          <w:rFonts w:ascii="Times New Roman" w:eastAsia="Times New Roman" w:hAnsi="Times New Roman" w:cs="Times New Roman"/>
          <w:sz w:val="26"/>
          <w:szCs w:val="26"/>
        </w:rPr>
        <w:t>VAR-501-WECC-3</w:t>
      </w:r>
      <w:r w:rsidR="00B31554">
        <w:rPr>
          <w:rFonts w:ascii="Times New Roman" w:eastAsia="Times New Roman" w:hAnsi="Times New Roman" w:cs="Times New Roman"/>
          <w:sz w:val="26"/>
          <w:szCs w:val="26"/>
        </w:rPr>
        <w:t>,</w:t>
      </w:r>
      <w:r w:rsidR="003C1C20" w:rsidRPr="00684605">
        <w:rPr>
          <w:rFonts w:ascii="Times New Roman" w:eastAsia="Times New Roman" w:hAnsi="Times New Roman" w:cs="Times New Roman"/>
          <w:sz w:val="26"/>
          <w:szCs w:val="26"/>
        </w:rPr>
        <w:t xml:space="preserve"> </w:t>
      </w:r>
      <w:r w:rsidRPr="00684605">
        <w:rPr>
          <w:rFonts w:ascii="Times New Roman" w:eastAsia="Times New Roman" w:hAnsi="Times New Roman" w:cs="Times New Roman"/>
          <w:sz w:val="26"/>
          <w:szCs w:val="26"/>
        </w:rPr>
        <w:t xml:space="preserve">and </w:t>
      </w:r>
      <w:r w:rsidRPr="00517383">
        <w:rPr>
          <w:rFonts w:ascii="Times New Roman" w:eastAsia="Times New Roman" w:hAnsi="Times New Roman" w:cs="Times New Roman"/>
          <w:sz w:val="26"/>
          <w:szCs w:val="26"/>
        </w:rPr>
        <w:t>removal of burden due to the retirement of VAR-501-</w:t>
      </w:r>
      <w:r w:rsidRPr="00684605">
        <w:rPr>
          <w:rFonts w:ascii="Times New Roman" w:eastAsia="Times New Roman" w:hAnsi="Times New Roman" w:cs="Times New Roman"/>
          <w:sz w:val="26"/>
          <w:szCs w:val="26"/>
        </w:rPr>
        <w:t xml:space="preserve">WECC-2 </w:t>
      </w:r>
      <w:r w:rsidR="00645770" w:rsidRPr="00684605">
        <w:rPr>
          <w:rFonts w:ascii="Times New Roman" w:eastAsia="Times New Roman" w:hAnsi="Times New Roman" w:cs="Times New Roman"/>
          <w:sz w:val="26"/>
          <w:szCs w:val="26"/>
        </w:rPr>
        <w:t>(</w:t>
      </w:r>
      <w:r w:rsidRPr="00684605">
        <w:rPr>
          <w:rFonts w:ascii="Times New Roman" w:eastAsia="Times New Roman" w:hAnsi="Times New Roman" w:cs="Times New Roman"/>
          <w:sz w:val="26"/>
          <w:szCs w:val="26"/>
        </w:rPr>
        <w:t xml:space="preserve">detailed above and </w:t>
      </w:r>
      <w:r w:rsidR="00645770" w:rsidRPr="00684605">
        <w:rPr>
          <w:rFonts w:ascii="Times New Roman" w:eastAsia="Times New Roman" w:hAnsi="Times New Roman" w:cs="Times New Roman"/>
          <w:sz w:val="26"/>
          <w:szCs w:val="26"/>
        </w:rPr>
        <w:t>in Docket No. RD17-5-000)</w:t>
      </w:r>
      <w:r w:rsidRPr="00684605">
        <w:rPr>
          <w:rFonts w:ascii="Times New Roman" w:eastAsia="Times New Roman" w:hAnsi="Times New Roman" w:cs="Times New Roman"/>
          <w:sz w:val="26"/>
          <w:szCs w:val="26"/>
        </w:rPr>
        <w:t>.</w:t>
      </w:r>
      <w:r w:rsidR="00431ED8" w:rsidRPr="00431ED8">
        <w:rPr>
          <w:rFonts w:ascii="Times New Roman" w:eastAsia="Times New Roman" w:hAnsi="Times New Roman" w:cs="Times New Roman"/>
          <w:sz w:val="26"/>
          <w:szCs w:val="26"/>
        </w:rPr>
        <w:t xml:space="preserve"> </w:t>
      </w:r>
      <w:r w:rsidR="00431ED8">
        <w:rPr>
          <w:rFonts w:ascii="Times New Roman" w:eastAsia="Times New Roman" w:hAnsi="Times New Roman" w:cs="Times New Roman"/>
          <w:sz w:val="26"/>
          <w:szCs w:val="26"/>
        </w:rPr>
        <w:t xml:space="preserve"> </w:t>
      </w:r>
    </w:p>
    <w:p w14:paraId="42C7F319" w14:textId="445C04CC" w:rsidR="00894E41" w:rsidRPr="00684605" w:rsidRDefault="00FB6BBB" w:rsidP="00EE635B">
      <w:pPr>
        <w:pStyle w:val="ListParagraph"/>
        <w:spacing w:line="48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(The burden</w:t>
      </w:r>
      <w:r w:rsidR="00EE635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and cost</w:t>
      </w:r>
      <w:r w:rsidR="00EE635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related to </w:t>
      </w:r>
      <w:r w:rsidR="00431ED8" w:rsidRPr="00431ED8">
        <w:rPr>
          <w:rFonts w:ascii="Times New Roman" w:eastAsia="Times New Roman" w:hAnsi="Times New Roman" w:cs="Times New Roman"/>
          <w:sz w:val="26"/>
          <w:szCs w:val="26"/>
        </w:rPr>
        <w:t xml:space="preserve">TOP-007-WECC-1a </w:t>
      </w:r>
      <w:r w:rsidR="00431ED8">
        <w:rPr>
          <w:rFonts w:ascii="Times New Roman" w:eastAsia="Times New Roman" w:hAnsi="Times New Roman" w:cs="Times New Roman"/>
          <w:sz w:val="26"/>
          <w:szCs w:val="26"/>
        </w:rPr>
        <w:t xml:space="preserve">and </w:t>
      </w:r>
      <w:r w:rsidRPr="00FB6BBB">
        <w:rPr>
          <w:rFonts w:ascii="Times New Roman" w:eastAsia="Times New Roman" w:hAnsi="Times New Roman" w:cs="Times New Roman"/>
          <w:sz w:val="26"/>
          <w:szCs w:val="26"/>
        </w:rPr>
        <w:t>VAR-501-WECC-2</w:t>
      </w:r>
      <w:r>
        <w:rPr>
          <w:rFonts w:ascii="Times New Roman" w:eastAsia="Times New Roman" w:hAnsi="Times New Roman" w:cs="Times New Roman"/>
          <w:sz w:val="26"/>
          <w:szCs w:val="26"/>
        </w:rPr>
        <w:t xml:space="preserve"> [</w:t>
      </w:r>
      <w:r w:rsidR="00EE635B">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standards </w:t>
      </w:r>
      <w:r w:rsidR="00052E2F">
        <w:rPr>
          <w:rFonts w:ascii="Times New Roman" w:eastAsia="Times New Roman" w:hAnsi="Times New Roman" w:cs="Times New Roman"/>
          <w:sz w:val="26"/>
          <w:szCs w:val="26"/>
        </w:rPr>
        <w:t xml:space="preserve">being </w:t>
      </w:r>
      <w:r>
        <w:rPr>
          <w:rFonts w:ascii="Times New Roman" w:eastAsia="Times New Roman" w:hAnsi="Times New Roman" w:cs="Times New Roman"/>
          <w:sz w:val="26"/>
          <w:szCs w:val="26"/>
        </w:rPr>
        <w:t xml:space="preserve">retired] are </w:t>
      </w:r>
      <w:r w:rsidR="00431ED8">
        <w:rPr>
          <w:rFonts w:ascii="Times New Roman" w:eastAsia="Times New Roman" w:hAnsi="Times New Roman" w:cs="Times New Roman"/>
          <w:sz w:val="26"/>
          <w:szCs w:val="26"/>
        </w:rPr>
        <w:t xml:space="preserve">omitted </w:t>
      </w:r>
      <w:r w:rsidR="00EE635B">
        <w:rPr>
          <w:rFonts w:ascii="Times New Roman" w:eastAsia="Times New Roman" w:hAnsi="Times New Roman" w:cs="Times New Roman"/>
          <w:sz w:val="26"/>
          <w:szCs w:val="26"/>
        </w:rPr>
        <w:t xml:space="preserve">from </w:t>
      </w:r>
      <w:r w:rsidR="00431ED8">
        <w:rPr>
          <w:rFonts w:ascii="Times New Roman" w:eastAsia="Times New Roman" w:hAnsi="Times New Roman" w:cs="Times New Roman"/>
          <w:sz w:val="26"/>
          <w:szCs w:val="26"/>
        </w:rPr>
        <w:t>the table below</w:t>
      </w:r>
      <w:r w:rsidR="00EE635B">
        <w:rPr>
          <w:rFonts w:ascii="Times New Roman" w:eastAsia="Times New Roman" w:hAnsi="Times New Roman" w:cs="Times New Roman"/>
          <w:sz w:val="26"/>
          <w:szCs w:val="26"/>
        </w:rPr>
        <w:t xml:space="preserve">, which describes the new and continuing </w:t>
      </w:r>
      <w:r w:rsidR="00B73FA8">
        <w:rPr>
          <w:rFonts w:ascii="Times New Roman" w:eastAsia="Times New Roman" w:hAnsi="Times New Roman" w:cs="Times New Roman"/>
          <w:sz w:val="26"/>
          <w:szCs w:val="26"/>
        </w:rPr>
        <w:t>information collection requirements</w:t>
      </w:r>
      <w:r>
        <w:rPr>
          <w:rFonts w:ascii="Times New Roman" w:eastAsia="Times New Roman" w:hAnsi="Times New Roman" w:cs="Times New Roman"/>
          <w:sz w:val="26"/>
          <w:szCs w:val="26"/>
        </w:rPr>
        <w:t>.)</w:t>
      </w:r>
    </w:p>
    <w:tbl>
      <w:tblPr>
        <w:tblpPr w:leftFromText="187" w:rightFromText="187" w:vertAnchor="text" w:horzAnchor="margin" w:tblpY="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170"/>
        <w:gridCol w:w="1440"/>
        <w:gridCol w:w="1350"/>
        <w:gridCol w:w="1440"/>
        <w:gridCol w:w="1620"/>
        <w:gridCol w:w="1170"/>
      </w:tblGrid>
      <w:tr w:rsidR="00981883" w:rsidRPr="000027F9" w14:paraId="3938833F" w14:textId="77777777" w:rsidTr="009E207F">
        <w:trPr>
          <w:trHeight w:val="288"/>
        </w:trPr>
        <w:tc>
          <w:tcPr>
            <w:tcW w:w="9985" w:type="dxa"/>
            <w:gridSpan w:val="7"/>
            <w:shd w:val="clear" w:color="auto" w:fill="D9D9D9"/>
          </w:tcPr>
          <w:p w14:paraId="0BC5CB3F" w14:textId="77777777" w:rsidR="00555C74" w:rsidRDefault="00981883" w:rsidP="00AD1160">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 xml:space="preserve">FERC-725E, Mandatory Reliability Standards for the </w:t>
            </w:r>
          </w:p>
          <w:p w14:paraId="3E12D61A" w14:textId="77777777" w:rsidR="00981883" w:rsidRDefault="00981883" w:rsidP="00AD1160">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Western Electric Coordinating Council</w:t>
            </w:r>
          </w:p>
          <w:p w14:paraId="73AC6F58" w14:textId="77777777" w:rsidR="00981883" w:rsidRPr="000027F9" w:rsidRDefault="00981883" w:rsidP="00B73FA8">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[New and Continuing Information Collection Requirements]</w:t>
            </w:r>
          </w:p>
        </w:tc>
      </w:tr>
      <w:tr w:rsidR="00DC47FC" w:rsidRPr="000027F9" w14:paraId="4FC81DD7" w14:textId="77777777" w:rsidTr="009E207F">
        <w:trPr>
          <w:trHeight w:val="744"/>
        </w:trPr>
        <w:tc>
          <w:tcPr>
            <w:tcW w:w="1795" w:type="dxa"/>
            <w:shd w:val="clear" w:color="auto" w:fill="D9D9D9"/>
            <w:vAlign w:val="bottom"/>
          </w:tcPr>
          <w:p w14:paraId="480FE087" w14:textId="77777777" w:rsidR="00DC47FC" w:rsidRPr="000027F9" w:rsidRDefault="00DC47FC" w:rsidP="0059471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Entity </w:t>
            </w:r>
          </w:p>
        </w:tc>
        <w:tc>
          <w:tcPr>
            <w:tcW w:w="1170" w:type="dxa"/>
            <w:shd w:val="clear" w:color="auto" w:fill="D9D9D9"/>
            <w:vAlign w:val="bottom"/>
          </w:tcPr>
          <w:p w14:paraId="24257050" w14:textId="77777777" w:rsidR="00DC47FC" w:rsidRPr="000027F9" w:rsidRDefault="00DC47FC" w:rsidP="00680155">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N</w:t>
            </w:r>
            <w:r>
              <w:rPr>
                <w:rFonts w:ascii="Times New Roman" w:eastAsia="Calibri" w:hAnsi="Times New Roman" w:cs="Times New Roman"/>
                <w:b/>
                <w:sz w:val="26"/>
                <w:szCs w:val="26"/>
              </w:rPr>
              <w:t>o.</w:t>
            </w:r>
            <w:r w:rsidRPr="000027F9">
              <w:rPr>
                <w:rFonts w:ascii="Times New Roman" w:eastAsia="Calibri" w:hAnsi="Times New Roman" w:cs="Times New Roman"/>
                <w:b/>
                <w:sz w:val="26"/>
                <w:szCs w:val="26"/>
              </w:rPr>
              <w:t xml:space="preserve"> of Respondents</w:t>
            </w:r>
            <w:r w:rsidRPr="000027F9">
              <w:rPr>
                <w:rFonts w:ascii="Times New Roman" w:eastAsia="Calibri" w:hAnsi="Times New Roman" w:cs="Times New Roman"/>
                <w:sz w:val="26"/>
                <w:szCs w:val="26"/>
                <w:vertAlign w:val="superscript"/>
              </w:rPr>
              <w:footnoteReference w:id="15"/>
            </w:r>
            <w:r w:rsidRPr="000027F9">
              <w:rPr>
                <w:rFonts w:ascii="Times New Roman" w:eastAsia="Calibri" w:hAnsi="Times New Roman" w:cs="Times New Roman"/>
                <w:b/>
                <w:sz w:val="26"/>
                <w:szCs w:val="26"/>
              </w:rPr>
              <w:br/>
              <w:t>(1)</w:t>
            </w:r>
          </w:p>
        </w:tc>
        <w:tc>
          <w:tcPr>
            <w:tcW w:w="1440" w:type="dxa"/>
            <w:shd w:val="clear" w:color="auto" w:fill="D9D9D9"/>
            <w:vAlign w:val="bottom"/>
          </w:tcPr>
          <w:p w14:paraId="4B527BA9" w14:textId="77777777" w:rsidR="00DC47FC" w:rsidRPr="000027F9" w:rsidRDefault="00DC47FC" w:rsidP="00594712">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Annual N</w:t>
            </w:r>
            <w:r>
              <w:rPr>
                <w:rFonts w:ascii="Times New Roman" w:eastAsia="Calibri" w:hAnsi="Times New Roman" w:cs="Times New Roman"/>
                <w:b/>
                <w:sz w:val="26"/>
                <w:szCs w:val="26"/>
              </w:rPr>
              <w:t>o.</w:t>
            </w:r>
            <w:r w:rsidRPr="000027F9">
              <w:rPr>
                <w:rFonts w:ascii="Times New Roman" w:eastAsia="Calibri" w:hAnsi="Times New Roman" w:cs="Times New Roman"/>
                <w:b/>
                <w:sz w:val="26"/>
                <w:szCs w:val="26"/>
              </w:rPr>
              <w:t xml:space="preserve"> of Responses per Respondent</w:t>
            </w:r>
          </w:p>
          <w:p w14:paraId="365EF0FD" w14:textId="77777777" w:rsidR="00DC47FC" w:rsidRPr="000027F9" w:rsidRDefault="00DC47FC" w:rsidP="00594712">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(2)</w:t>
            </w:r>
          </w:p>
        </w:tc>
        <w:tc>
          <w:tcPr>
            <w:tcW w:w="1350" w:type="dxa"/>
            <w:shd w:val="clear" w:color="auto" w:fill="D9D9D9"/>
            <w:vAlign w:val="bottom"/>
          </w:tcPr>
          <w:p w14:paraId="734FF7A5" w14:textId="77777777" w:rsidR="00DC47FC" w:rsidRPr="00DC47FC" w:rsidRDefault="00DC47FC" w:rsidP="00DC47FC">
            <w:pPr>
              <w:spacing w:after="0" w:line="240" w:lineRule="auto"/>
              <w:jc w:val="center"/>
              <w:rPr>
                <w:rFonts w:ascii="Times New Roman" w:eastAsia="Calibri" w:hAnsi="Times New Roman" w:cs="Times New Roman"/>
                <w:b/>
                <w:sz w:val="26"/>
                <w:szCs w:val="26"/>
              </w:rPr>
            </w:pPr>
            <w:r>
              <w:t xml:space="preserve"> </w:t>
            </w:r>
            <w:r w:rsidRPr="00DC47FC">
              <w:rPr>
                <w:rFonts w:ascii="Times New Roman" w:eastAsia="Calibri" w:hAnsi="Times New Roman" w:cs="Times New Roman"/>
                <w:b/>
                <w:sz w:val="26"/>
                <w:szCs w:val="26"/>
              </w:rPr>
              <w:t>Annual No. of Responses</w:t>
            </w:r>
          </w:p>
          <w:p w14:paraId="5DDC57B2" w14:textId="77777777" w:rsidR="00DC47FC" w:rsidRPr="000027F9" w:rsidRDefault="00DC47FC" w:rsidP="00DC47FC">
            <w:pPr>
              <w:spacing w:after="0" w:line="240" w:lineRule="auto"/>
              <w:jc w:val="center"/>
              <w:rPr>
                <w:rFonts w:ascii="Times New Roman" w:eastAsia="Calibri" w:hAnsi="Times New Roman" w:cs="Times New Roman"/>
                <w:b/>
                <w:sz w:val="26"/>
                <w:szCs w:val="26"/>
              </w:rPr>
            </w:pPr>
            <w:r w:rsidRPr="00DC47FC">
              <w:rPr>
                <w:rFonts w:ascii="Times New Roman" w:eastAsia="Calibri" w:hAnsi="Times New Roman" w:cs="Times New Roman"/>
                <w:b/>
                <w:sz w:val="26"/>
                <w:szCs w:val="26"/>
              </w:rPr>
              <w:t>(1)*(2)=(3)</w:t>
            </w:r>
          </w:p>
        </w:tc>
        <w:tc>
          <w:tcPr>
            <w:tcW w:w="1440" w:type="dxa"/>
            <w:shd w:val="clear" w:color="auto" w:fill="D9D9D9"/>
            <w:vAlign w:val="bottom"/>
          </w:tcPr>
          <w:p w14:paraId="691D3116" w14:textId="77777777" w:rsidR="00DC47FC" w:rsidRPr="000027F9" w:rsidRDefault="00DC47FC" w:rsidP="00594712">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Average Burden</w:t>
            </w:r>
            <w:r>
              <w:rPr>
                <w:rFonts w:ascii="Times New Roman" w:eastAsia="Calibri" w:hAnsi="Times New Roman" w:cs="Times New Roman"/>
                <w:b/>
                <w:sz w:val="26"/>
                <w:szCs w:val="26"/>
              </w:rPr>
              <w:t xml:space="preserve"> Hrs. &amp; </w:t>
            </w:r>
            <w:r w:rsidRPr="000027F9">
              <w:rPr>
                <w:rFonts w:ascii="Times New Roman" w:eastAsia="Calibri" w:hAnsi="Times New Roman" w:cs="Times New Roman"/>
                <w:b/>
                <w:sz w:val="26"/>
                <w:szCs w:val="26"/>
              </w:rPr>
              <w:t>Cost Per Response</w:t>
            </w:r>
            <w:r>
              <w:rPr>
                <w:rFonts w:ascii="Times New Roman" w:eastAsia="Calibri" w:hAnsi="Times New Roman" w:cs="Times New Roman"/>
                <w:b/>
                <w:sz w:val="26"/>
                <w:szCs w:val="26"/>
              </w:rPr>
              <w:t xml:space="preserve"> ($)</w:t>
            </w:r>
          </w:p>
          <w:p w14:paraId="1FF108A3" w14:textId="77777777" w:rsidR="00DC47FC" w:rsidRPr="000027F9" w:rsidRDefault="00DC47FC" w:rsidP="00DC47FC">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w:t>
            </w:r>
            <w:r>
              <w:rPr>
                <w:rFonts w:ascii="Times New Roman" w:eastAsia="Calibri" w:hAnsi="Times New Roman" w:cs="Times New Roman"/>
                <w:b/>
                <w:sz w:val="26"/>
                <w:szCs w:val="26"/>
              </w:rPr>
              <w:t>4</w:t>
            </w:r>
            <w:r w:rsidRPr="000027F9">
              <w:rPr>
                <w:rFonts w:ascii="Times New Roman" w:eastAsia="Calibri" w:hAnsi="Times New Roman" w:cs="Times New Roman"/>
                <w:b/>
                <w:sz w:val="26"/>
                <w:szCs w:val="26"/>
              </w:rPr>
              <w:t>)</w:t>
            </w:r>
          </w:p>
        </w:tc>
        <w:tc>
          <w:tcPr>
            <w:tcW w:w="1620" w:type="dxa"/>
            <w:shd w:val="clear" w:color="auto" w:fill="D9D9D9"/>
            <w:vAlign w:val="bottom"/>
          </w:tcPr>
          <w:p w14:paraId="7CE5216A" w14:textId="77777777" w:rsidR="00DC47FC" w:rsidRPr="000027F9" w:rsidRDefault="00DC47FC" w:rsidP="00594712">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Total Annual Burden Hours</w:t>
            </w:r>
            <w:r>
              <w:rPr>
                <w:rFonts w:ascii="Times New Roman" w:eastAsia="Calibri" w:hAnsi="Times New Roman" w:cs="Times New Roman"/>
                <w:b/>
                <w:sz w:val="26"/>
                <w:szCs w:val="26"/>
              </w:rPr>
              <w:t xml:space="preserve"> &amp;</w:t>
            </w:r>
            <w:r w:rsidRPr="000027F9">
              <w:rPr>
                <w:rFonts w:ascii="Times New Roman" w:eastAsia="Calibri" w:hAnsi="Times New Roman" w:cs="Times New Roman"/>
                <w:b/>
                <w:sz w:val="26"/>
                <w:szCs w:val="26"/>
              </w:rPr>
              <w:t xml:space="preserve"> Total Annual Cost</w:t>
            </w:r>
            <w:r>
              <w:rPr>
                <w:rFonts w:ascii="Times New Roman" w:eastAsia="Calibri" w:hAnsi="Times New Roman" w:cs="Times New Roman"/>
                <w:b/>
                <w:sz w:val="26"/>
                <w:szCs w:val="26"/>
              </w:rPr>
              <w:t xml:space="preserve"> ($)</w:t>
            </w:r>
          </w:p>
          <w:p w14:paraId="7D3FD54B" w14:textId="77777777" w:rsidR="00DC47FC" w:rsidRPr="000027F9" w:rsidRDefault="00DC47FC" w:rsidP="00DC47FC">
            <w:pPr>
              <w:spacing w:after="0" w:line="240" w:lineRule="auto"/>
              <w:jc w:val="center"/>
              <w:rPr>
                <w:rFonts w:ascii="Times New Roman" w:eastAsia="Calibri" w:hAnsi="Times New Roman" w:cs="Times New Roman"/>
                <w:b/>
                <w:sz w:val="26"/>
                <w:szCs w:val="26"/>
              </w:rPr>
            </w:pPr>
            <w:r w:rsidRPr="000027F9">
              <w:rPr>
                <w:rFonts w:ascii="Times New Roman" w:eastAsia="Calibri" w:hAnsi="Times New Roman" w:cs="Times New Roman"/>
                <w:b/>
                <w:sz w:val="26"/>
                <w:szCs w:val="26"/>
              </w:rPr>
              <w:t>(</w:t>
            </w:r>
            <w:r>
              <w:rPr>
                <w:rFonts w:ascii="Times New Roman" w:eastAsia="Calibri" w:hAnsi="Times New Roman" w:cs="Times New Roman"/>
                <w:b/>
                <w:sz w:val="26"/>
                <w:szCs w:val="26"/>
              </w:rPr>
              <w:t>3</w:t>
            </w:r>
            <w:r w:rsidRPr="000027F9">
              <w:rPr>
                <w:rFonts w:ascii="Times New Roman" w:eastAsia="Calibri" w:hAnsi="Times New Roman" w:cs="Times New Roman"/>
                <w:b/>
                <w:sz w:val="26"/>
                <w:szCs w:val="26"/>
              </w:rPr>
              <w:t>)</w:t>
            </w:r>
            <w:r>
              <w:rPr>
                <w:rFonts w:ascii="Times New Roman" w:eastAsia="Calibri" w:hAnsi="Times New Roman" w:cs="Times New Roman"/>
                <w:b/>
                <w:sz w:val="26"/>
                <w:szCs w:val="26"/>
              </w:rPr>
              <w:t>*</w:t>
            </w:r>
            <w:r w:rsidRPr="000027F9">
              <w:rPr>
                <w:rFonts w:ascii="Times New Roman" w:eastAsia="Calibri" w:hAnsi="Times New Roman" w:cs="Times New Roman"/>
                <w:b/>
                <w:sz w:val="26"/>
                <w:szCs w:val="26"/>
              </w:rPr>
              <w:t>(</w:t>
            </w:r>
            <w:r>
              <w:rPr>
                <w:rFonts w:ascii="Times New Roman" w:eastAsia="Calibri" w:hAnsi="Times New Roman" w:cs="Times New Roman"/>
                <w:b/>
                <w:sz w:val="26"/>
                <w:szCs w:val="26"/>
              </w:rPr>
              <w:t>4</w:t>
            </w:r>
            <w:r w:rsidRPr="000027F9">
              <w:rPr>
                <w:rFonts w:ascii="Times New Roman" w:eastAsia="Calibri" w:hAnsi="Times New Roman" w:cs="Times New Roman"/>
                <w:b/>
                <w:sz w:val="26"/>
                <w:szCs w:val="26"/>
              </w:rPr>
              <w:t>)</w:t>
            </w:r>
            <w:r>
              <w:rPr>
                <w:rFonts w:ascii="Times New Roman" w:eastAsia="Calibri" w:hAnsi="Times New Roman" w:cs="Times New Roman"/>
                <w:b/>
                <w:sz w:val="26"/>
                <w:szCs w:val="26"/>
              </w:rPr>
              <w:t>=(5)</w:t>
            </w:r>
          </w:p>
        </w:tc>
        <w:tc>
          <w:tcPr>
            <w:tcW w:w="1170" w:type="dxa"/>
            <w:shd w:val="clear" w:color="auto" w:fill="D9D9D9"/>
            <w:vAlign w:val="bottom"/>
          </w:tcPr>
          <w:p w14:paraId="14E68CC5" w14:textId="77777777" w:rsidR="00DC47FC" w:rsidRPr="00677263" w:rsidRDefault="00DC47FC" w:rsidP="00594712">
            <w:pPr>
              <w:spacing w:after="0" w:line="240" w:lineRule="auto"/>
              <w:jc w:val="center"/>
              <w:rPr>
                <w:rFonts w:ascii="Times New Roman" w:eastAsia="Calibri" w:hAnsi="Times New Roman" w:cs="Times New Roman"/>
                <w:b/>
                <w:sz w:val="26"/>
                <w:szCs w:val="26"/>
              </w:rPr>
            </w:pPr>
            <w:r w:rsidRPr="00677263">
              <w:rPr>
                <w:rFonts w:ascii="Times New Roman" w:eastAsia="Calibri" w:hAnsi="Times New Roman" w:cs="Times New Roman"/>
                <w:b/>
                <w:sz w:val="26"/>
                <w:szCs w:val="26"/>
              </w:rPr>
              <w:t>Cost per Respondent ($)</w:t>
            </w:r>
          </w:p>
          <w:p w14:paraId="6BB3120B" w14:textId="77777777" w:rsidR="00DC47FC" w:rsidRPr="000027F9" w:rsidRDefault="00DC47FC" w:rsidP="00DC47FC">
            <w:pPr>
              <w:spacing w:after="0" w:line="240" w:lineRule="auto"/>
              <w:jc w:val="center"/>
              <w:rPr>
                <w:rFonts w:ascii="Times New Roman" w:eastAsia="Calibri" w:hAnsi="Times New Roman" w:cs="Times New Roman"/>
                <w:b/>
                <w:sz w:val="26"/>
                <w:szCs w:val="26"/>
              </w:rPr>
            </w:pPr>
            <w:r w:rsidRPr="00E62049">
              <w:rPr>
                <w:rFonts w:ascii="Times New Roman" w:eastAsia="Calibri" w:hAnsi="Times New Roman" w:cs="Times New Roman"/>
                <w:b/>
                <w:sz w:val="24"/>
              </w:rPr>
              <w:t>(</w:t>
            </w:r>
            <w:r>
              <w:rPr>
                <w:rFonts w:ascii="Times New Roman" w:eastAsia="Calibri" w:hAnsi="Times New Roman" w:cs="Times New Roman"/>
                <w:b/>
                <w:sz w:val="24"/>
              </w:rPr>
              <w:t>5</w:t>
            </w:r>
            <w:r w:rsidRPr="00E62049">
              <w:rPr>
                <w:rFonts w:ascii="Times New Roman" w:eastAsia="Calibri" w:hAnsi="Times New Roman" w:cs="Times New Roman"/>
                <w:b/>
                <w:sz w:val="24"/>
              </w:rPr>
              <w:t>)÷(1)</w:t>
            </w:r>
            <w:r>
              <w:rPr>
                <w:rFonts w:ascii="Times New Roman" w:eastAsia="Calibri" w:hAnsi="Times New Roman" w:cs="Times New Roman"/>
                <w:b/>
                <w:sz w:val="24"/>
              </w:rPr>
              <w:t>=(6)</w:t>
            </w:r>
          </w:p>
        </w:tc>
      </w:tr>
      <w:tr w:rsidR="00981883" w:rsidRPr="000027F9" w14:paraId="31477472" w14:textId="77777777" w:rsidTr="009E207F">
        <w:trPr>
          <w:trHeight w:val="346"/>
        </w:trPr>
        <w:tc>
          <w:tcPr>
            <w:tcW w:w="9985" w:type="dxa"/>
            <w:gridSpan w:val="7"/>
            <w:shd w:val="clear" w:color="auto" w:fill="D9D9D9"/>
          </w:tcPr>
          <w:p w14:paraId="4B2DA609" w14:textId="77777777" w:rsidR="00981883" w:rsidRDefault="00981883" w:rsidP="008E1CE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6"/>
                <w:szCs w:val="26"/>
              </w:rPr>
              <w:t>Reporting Requirements</w:t>
            </w:r>
          </w:p>
        </w:tc>
      </w:tr>
      <w:tr w:rsidR="00DC47FC" w:rsidRPr="000027F9" w14:paraId="3E44D11A" w14:textId="77777777" w:rsidTr="009E207F">
        <w:trPr>
          <w:trHeight w:val="294"/>
        </w:trPr>
        <w:tc>
          <w:tcPr>
            <w:tcW w:w="1795" w:type="dxa"/>
          </w:tcPr>
          <w:p w14:paraId="1D4B16B4" w14:textId="77777777" w:rsidR="00DC47FC" w:rsidRPr="000027F9" w:rsidRDefault="00DC47FC" w:rsidP="00594712">
            <w:pPr>
              <w:spacing w:after="0" w:line="240" w:lineRule="auto"/>
              <w:rPr>
                <w:rFonts w:ascii="Times New Roman" w:eastAsia="Calibri" w:hAnsi="Times New Roman" w:cs="Times New Roman"/>
                <w:sz w:val="26"/>
                <w:szCs w:val="26"/>
              </w:rPr>
            </w:pPr>
            <w:r w:rsidRPr="000027F9">
              <w:rPr>
                <w:rFonts w:ascii="Times New Roman" w:eastAsia="Calibri" w:hAnsi="Times New Roman" w:cs="Times New Roman"/>
                <w:sz w:val="26"/>
                <w:szCs w:val="26"/>
              </w:rPr>
              <w:t>Balancing Authorities</w:t>
            </w:r>
          </w:p>
        </w:tc>
        <w:tc>
          <w:tcPr>
            <w:tcW w:w="1170" w:type="dxa"/>
            <w:vAlign w:val="bottom"/>
          </w:tcPr>
          <w:p w14:paraId="64B2B056" w14:textId="77777777" w:rsidR="00DC47FC" w:rsidRPr="000027F9" w:rsidRDefault="00DC47FC" w:rsidP="00977770">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34</w:t>
            </w:r>
          </w:p>
        </w:tc>
        <w:tc>
          <w:tcPr>
            <w:tcW w:w="1440" w:type="dxa"/>
            <w:vAlign w:val="bottom"/>
          </w:tcPr>
          <w:p w14:paraId="3623AEE1" w14:textId="77777777" w:rsidR="00DC47FC" w:rsidRPr="000027F9" w:rsidRDefault="00DC47FC" w:rsidP="000979A7">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p>
        </w:tc>
        <w:tc>
          <w:tcPr>
            <w:tcW w:w="1350" w:type="dxa"/>
            <w:vAlign w:val="bottom"/>
          </w:tcPr>
          <w:p w14:paraId="11F8CD33"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w:t>
            </w:r>
          </w:p>
        </w:tc>
        <w:tc>
          <w:tcPr>
            <w:tcW w:w="1440" w:type="dxa"/>
            <w:vAlign w:val="bottom"/>
          </w:tcPr>
          <w:p w14:paraId="10E4E0BE"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21</w:t>
            </w:r>
            <w:r>
              <w:rPr>
                <w:rFonts w:ascii="Times New Roman" w:eastAsia="Calibri" w:hAnsi="Times New Roman" w:cs="Times New Roman"/>
                <w:sz w:val="26"/>
                <w:szCs w:val="26"/>
              </w:rPr>
              <w:t xml:space="preserve"> hrs.,</w:t>
            </w:r>
          </w:p>
          <w:p w14:paraId="378E89E1"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$1,616.79</w:t>
            </w:r>
          </w:p>
        </w:tc>
        <w:tc>
          <w:tcPr>
            <w:tcW w:w="1620" w:type="dxa"/>
            <w:vAlign w:val="bottom"/>
          </w:tcPr>
          <w:p w14:paraId="724C40B2"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714</w:t>
            </w:r>
            <w:r>
              <w:rPr>
                <w:rFonts w:ascii="Times New Roman" w:eastAsia="Calibri" w:hAnsi="Times New Roman" w:cs="Times New Roman"/>
                <w:sz w:val="26"/>
                <w:szCs w:val="26"/>
              </w:rPr>
              <w:t xml:space="preserve"> hrs.,</w:t>
            </w:r>
          </w:p>
          <w:p w14:paraId="725AE333"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$54,970.86</w:t>
            </w:r>
          </w:p>
        </w:tc>
        <w:tc>
          <w:tcPr>
            <w:tcW w:w="1170" w:type="dxa"/>
            <w:vAlign w:val="bottom"/>
          </w:tcPr>
          <w:p w14:paraId="23CB0328"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$1,616.79</w:t>
            </w:r>
          </w:p>
        </w:tc>
      </w:tr>
      <w:tr w:rsidR="00DC47FC" w:rsidRPr="000027F9" w14:paraId="4D8FDC3E" w14:textId="77777777" w:rsidTr="009E207F">
        <w:trPr>
          <w:trHeight w:val="299"/>
        </w:trPr>
        <w:tc>
          <w:tcPr>
            <w:tcW w:w="1795" w:type="dxa"/>
          </w:tcPr>
          <w:p w14:paraId="7116956E" w14:textId="77777777" w:rsidR="00DC47FC" w:rsidRPr="000027F9" w:rsidRDefault="00DC47FC" w:rsidP="00594712">
            <w:pPr>
              <w:spacing w:after="0" w:line="240" w:lineRule="auto"/>
              <w:rPr>
                <w:rFonts w:ascii="Times New Roman" w:eastAsia="Calibri" w:hAnsi="Times New Roman" w:cs="Times New Roman"/>
                <w:sz w:val="26"/>
                <w:szCs w:val="26"/>
              </w:rPr>
            </w:pPr>
            <w:r w:rsidRPr="000027F9">
              <w:rPr>
                <w:rFonts w:ascii="Times New Roman" w:eastAsia="Calibri" w:hAnsi="Times New Roman" w:cs="Times New Roman"/>
                <w:sz w:val="26"/>
                <w:szCs w:val="26"/>
              </w:rPr>
              <w:t>Generator Operators</w:t>
            </w:r>
          </w:p>
        </w:tc>
        <w:tc>
          <w:tcPr>
            <w:tcW w:w="1170" w:type="dxa"/>
            <w:vAlign w:val="bottom"/>
          </w:tcPr>
          <w:p w14:paraId="0A6F85A4" w14:textId="77777777" w:rsidR="00DC47FC" w:rsidRPr="000027F9" w:rsidRDefault="00DC47FC" w:rsidP="00977770">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228</w:t>
            </w:r>
          </w:p>
        </w:tc>
        <w:tc>
          <w:tcPr>
            <w:tcW w:w="1440" w:type="dxa"/>
            <w:vAlign w:val="bottom"/>
          </w:tcPr>
          <w:p w14:paraId="73668E9C" w14:textId="77777777" w:rsidR="00DC47FC" w:rsidRPr="000027F9" w:rsidRDefault="00DC47FC" w:rsidP="000979A7">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p>
        </w:tc>
        <w:tc>
          <w:tcPr>
            <w:tcW w:w="1350" w:type="dxa"/>
            <w:vAlign w:val="bottom"/>
          </w:tcPr>
          <w:p w14:paraId="4079F30E"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228</w:t>
            </w:r>
          </w:p>
        </w:tc>
        <w:tc>
          <w:tcPr>
            <w:tcW w:w="1440" w:type="dxa"/>
            <w:vAlign w:val="bottom"/>
          </w:tcPr>
          <w:p w14:paraId="216E27A5"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10</w:t>
            </w:r>
            <w:r>
              <w:rPr>
                <w:rFonts w:ascii="Times New Roman" w:eastAsia="Calibri" w:hAnsi="Times New Roman" w:cs="Times New Roman"/>
                <w:sz w:val="26"/>
                <w:szCs w:val="26"/>
              </w:rPr>
              <w:t xml:space="preserve"> hrs.,</w:t>
            </w:r>
          </w:p>
          <w:p w14:paraId="19F3AA54"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$769.90</w:t>
            </w:r>
          </w:p>
        </w:tc>
        <w:tc>
          <w:tcPr>
            <w:tcW w:w="1620" w:type="dxa"/>
            <w:vAlign w:val="bottom"/>
          </w:tcPr>
          <w:p w14:paraId="33DA13A3"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2,280</w:t>
            </w:r>
            <w:r>
              <w:rPr>
                <w:rFonts w:ascii="Times New Roman" w:eastAsia="Calibri" w:hAnsi="Times New Roman" w:cs="Times New Roman"/>
                <w:sz w:val="26"/>
                <w:szCs w:val="26"/>
              </w:rPr>
              <w:t xml:space="preserve"> hrs.,</w:t>
            </w:r>
          </w:p>
          <w:p w14:paraId="503013C1"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$175,537.20</w:t>
            </w:r>
          </w:p>
        </w:tc>
        <w:tc>
          <w:tcPr>
            <w:tcW w:w="1170" w:type="dxa"/>
            <w:vAlign w:val="bottom"/>
          </w:tcPr>
          <w:p w14:paraId="5F72AE26"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$769.90</w:t>
            </w:r>
          </w:p>
        </w:tc>
      </w:tr>
      <w:tr w:rsidR="00DC47FC" w:rsidRPr="000027F9" w14:paraId="72EF1287" w14:textId="77777777" w:rsidTr="009E207F">
        <w:trPr>
          <w:trHeight w:val="529"/>
        </w:trPr>
        <w:tc>
          <w:tcPr>
            <w:tcW w:w="1795" w:type="dxa"/>
            <w:tcBorders>
              <w:bottom w:val="single" w:sz="4" w:space="0" w:color="auto"/>
            </w:tcBorders>
          </w:tcPr>
          <w:p w14:paraId="23011AB4" w14:textId="3ABB9382" w:rsidR="00DC47FC" w:rsidRPr="000027F9" w:rsidRDefault="00DC47FC" w:rsidP="00801E14">
            <w:pPr>
              <w:spacing w:after="0" w:line="240" w:lineRule="auto"/>
              <w:rPr>
                <w:rFonts w:ascii="Times New Roman" w:eastAsia="Calibri" w:hAnsi="Times New Roman" w:cs="Times New Roman"/>
                <w:sz w:val="26"/>
                <w:szCs w:val="26"/>
              </w:rPr>
            </w:pPr>
            <w:r w:rsidRPr="000027F9">
              <w:rPr>
                <w:rFonts w:ascii="Times New Roman" w:eastAsia="Times New Roman" w:hAnsi="Times New Roman" w:cs="Times New Roman"/>
                <w:sz w:val="26"/>
                <w:szCs w:val="26"/>
              </w:rPr>
              <w:t>Transmission Operators applicable to standard VAR-002</w:t>
            </w:r>
          </w:p>
        </w:tc>
        <w:tc>
          <w:tcPr>
            <w:tcW w:w="1170" w:type="dxa"/>
            <w:tcBorders>
              <w:bottom w:val="single" w:sz="4" w:space="0" w:color="auto"/>
            </w:tcBorders>
            <w:vAlign w:val="bottom"/>
          </w:tcPr>
          <w:p w14:paraId="7C6A3F9B" w14:textId="77777777" w:rsidR="00DC47FC" w:rsidRPr="000027F9" w:rsidRDefault="00DC47FC" w:rsidP="00977770">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86</w:t>
            </w:r>
          </w:p>
        </w:tc>
        <w:tc>
          <w:tcPr>
            <w:tcW w:w="1440" w:type="dxa"/>
            <w:tcBorders>
              <w:bottom w:val="single" w:sz="4" w:space="0" w:color="auto"/>
            </w:tcBorders>
            <w:vAlign w:val="bottom"/>
          </w:tcPr>
          <w:p w14:paraId="131723CF" w14:textId="77777777" w:rsidR="00DC47FC" w:rsidRPr="000027F9"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4</w:t>
            </w:r>
          </w:p>
        </w:tc>
        <w:tc>
          <w:tcPr>
            <w:tcW w:w="1350" w:type="dxa"/>
            <w:tcBorders>
              <w:bottom w:val="single" w:sz="4" w:space="0" w:color="auto"/>
            </w:tcBorders>
            <w:vAlign w:val="bottom"/>
          </w:tcPr>
          <w:p w14:paraId="79C57178"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344</w:t>
            </w:r>
          </w:p>
        </w:tc>
        <w:tc>
          <w:tcPr>
            <w:tcW w:w="1440" w:type="dxa"/>
            <w:tcBorders>
              <w:bottom w:val="single" w:sz="4" w:space="0" w:color="auto"/>
            </w:tcBorders>
            <w:vAlign w:val="bottom"/>
          </w:tcPr>
          <w:p w14:paraId="269F0E6B"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10</w:t>
            </w:r>
            <w:r>
              <w:rPr>
                <w:rFonts w:ascii="Times New Roman" w:eastAsia="Calibri" w:hAnsi="Times New Roman" w:cs="Times New Roman"/>
                <w:sz w:val="26"/>
                <w:szCs w:val="26"/>
              </w:rPr>
              <w:t xml:space="preserve"> hrs.,</w:t>
            </w:r>
          </w:p>
          <w:p w14:paraId="3EF8E23B"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$769.90</w:t>
            </w:r>
          </w:p>
        </w:tc>
        <w:tc>
          <w:tcPr>
            <w:tcW w:w="1620" w:type="dxa"/>
            <w:tcBorders>
              <w:bottom w:val="single" w:sz="4" w:space="0" w:color="auto"/>
            </w:tcBorders>
            <w:vAlign w:val="bottom"/>
          </w:tcPr>
          <w:p w14:paraId="6D0BD696" w14:textId="77777777" w:rsidR="00DC47FC"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3,440 hrs.,</w:t>
            </w:r>
          </w:p>
          <w:p w14:paraId="7A341A92"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$264,845.60</w:t>
            </w:r>
          </w:p>
        </w:tc>
        <w:tc>
          <w:tcPr>
            <w:tcW w:w="1170" w:type="dxa"/>
            <w:tcBorders>
              <w:bottom w:val="single" w:sz="4" w:space="0" w:color="auto"/>
            </w:tcBorders>
            <w:vAlign w:val="bottom"/>
          </w:tcPr>
          <w:p w14:paraId="3BEC4A67"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$769.90</w:t>
            </w:r>
          </w:p>
        </w:tc>
      </w:tr>
      <w:tr w:rsidR="00DC47FC" w:rsidRPr="000027F9" w14:paraId="2436F588" w14:textId="77777777" w:rsidTr="009E207F">
        <w:trPr>
          <w:trHeight w:val="317"/>
        </w:trPr>
        <w:tc>
          <w:tcPr>
            <w:tcW w:w="1795" w:type="dxa"/>
            <w:tcBorders>
              <w:bottom w:val="single" w:sz="4" w:space="0" w:color="auto"/>
            </w:tcBorders>
            <w:shd w:val="clear" w:color="auto" w:fill="auto"/>
            <w:vAlign w:val="bottom"/>
          </w:tcPr>
          <w:p w14:paraId="58A6BF53" w14:textId="647A8A3B" w:rsidR="00DC47FC" w:rsidRPr="000027F9" w:rsidRDefault="00DC47FC" w:rsidP="00801E14">
            <w:pPr>
              <w:spacing w:after="0" w:line="240" w:lineRule="auto"/>
              <w:rPr>
                <w:rFonts w:ascii="Times New Roman" w:eastAsia="Calibri" w:hAnsi="Times New Roman" w:cs="Times New Roman"/>
                <w:sz w:val="26"/>
                <w:szCs w:val="26"/>
              </w:rPr>
            </w:pPr>
            <w:r w:rsidRPr="000027F9">
              <w:rPr>
                <w:rFonts w:ascii="Times New Roman" w:eastAsia="Calibri" w:hAnsi="Times New Roman" w:cs="Times New Roman"/>
                <w:sz w:val="26"/>
                <w:szCs w:val="26"/>
              </w:rPr>
              <w:t>Transmission Owners that operate qualified transfer paths</w:t>
            </w:r>
          </w:p>
        </w:tc>
        <w:tc>
          <w:tcPr>
            <w:tcW w:w="1170" w:type="dxa"/>
            <w:tcBorders>
              <w:bottom w:val="single" w:sz="4" w:space="0" w:color="auto"/>
            </w:tcBorders>
            <w:shd w:val="clear" w:color="auto" w:fill="auto"/>
            <w:vAlign w:val="bottom"/>
          </w:tcPr>
          <w:p w14:paraId="1006BDC7" w14:textId="77777777" w:rsidR="00DC47FC" w:rsidRPr="000027F9" w:rsidRDefault="00DC47FC" w:rsidP="00977770">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5</w:t>
            </w:r>
          </w:p>
        </w:tc>
        <w:tc>
          <w:tcPr>
            <w:tcW w:w="1440" w:type="dxa"/>
            <w:tcBorders>
              <w:bottom w:val="single" w:sz="4" w:space="0" w:color="auto"/>
            </w:tcBorders>
            <w:shd w:val="clear" w:color="auto" w:fill="auto"/>
            <w:vAlign w:val="bottom"/>
          </w:tcPr>
          <w:p w14:paraId="6DAB40F9" w14:textId="77777777" w:rsidR="00DC47FC" w:rsidRPr="000027F9" w:rsidRDefault="00DC47FC" w:rsidP="000979A7">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3</w:t>
            </w:r>
          </w:p>
        </w:tc>
        <w:tc>
          <w:tcPr>
            <w:tcW w:w="1350" w:type="dxa"/>
            <w:tcBorders>
              <w:bottom w:val="single" w:sz="4" w:space="0" w:color="auto"/>
            </w:tcBorders>
            <w:vAlign w:val="bottom"/>
          </w:tcPr>
          <w:p w14:paraId="5DE88DD0"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1440" w:type="dxa"/>
            <w:tcBorders>
              <w:bottom w:val="single" w:sz="4" w:space="0" w:color="auto"/>
            </w:tcBorders>
            <w:shd w:val="clear" w:color="auto" w:fill="auto"/>
            <w:vAlign w:val="bottom"/>
          </w:tcPr>
          <w:p w14:paraId="3D953A0E"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40</w:t>
            </w:r>
            <w:r>
              <w:rPr>
                <w:rFonts w:ascii="Times New Roman" w:eastAsia="Calibri" w:hAnsi="Times New Roman" w:cs="Times New Roman"/>
                <w:sz w:val="26"/>
                <w:szCs w:val="26"/>
              </w:rPr>
              <w:t xml:space="preserve"> hrs.,</w:t>
            </w:r>
          </w:p>
          <w:p w14:paraId="20E10E98"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$3,079.60</w:t>
            </w:r>
          </w:p>
        </w:tc>
        <w:tc>
          <w:tcPr>
            <w:tcW w:w="1620" w:type="dxa"/>
            <w:shd w:val="clear" w:color="auto" w:fill="auto"/>
            <w:vAlign w:val="bottom"/>
          </w:tcPr>
          <w:p w14:paraId="74F99915" w14:textId="77777777" w:rsidR="00DC47FC"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60</w:t>
            </w:r>
            <w:r w:rsidRPr="000027F9">
              <w:rPr>
                <w:rFonts w:ascii="Times New Roman" w:eastAsia="Calibri" w:hAnsi="Times New Roman" w:cs="Times New Roman"/>
                <w:sz w:val="26"/>
                <w:szCs w:val="26"/>
              </w:rPr>
              <w:t>0</w:t>
            </w:r>
            <w:r>
              <w:rPr>
                <w:rFonts w:ascii="Times New Roman" w:eastAsia="Calibri" w:hAnsi="Times New Roman" w:cs="Times New Roman"/>
                <w:sz w:val="26"/>
                <w:szCs w:val="26"/>
              </w:rPr>
              <w:t xml:space="preserve"> hrs.,</w:t>
            </w:r>
          </w:p>
          <w:p w14:paraId="2672BFDA"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$46,194.00</w:t>
            </w:r>
          </w:p>
        </w:tc>
        <w:tc>
          <w:tcPr>
            <w:tcW w:w="1170" w:type="dxa"/>
            <w:shd w:val="clear" w:color="auto" w:fill="auto"/>
            <w:vAlign w:val="bottom"/>
          </w:tcPr>
          <w:p w14:paraId="1B36E68A"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$3,079.60</w:t>
            </w:r>
          </w:p>
        </w:tc>
      </w:tr>
      <w:tr w:rsidR="00DC47FC" w:rsidRPr="000027F9" w14:paraId="3E151D4E" w14:textId="77777777" w:rsidTr="009E207F">
        <w:trPr>
          <w:trHeight w:val="398"/>
        </w:trPr>
        <w:tc>
          <w:tcPr>
            <w:tcW w:w="1795" w:type="dxa"/>
            <w:vAlign w:val="bottom"/>
          </w:tcPr>
          <w:p w14:paraId="6B761B20" w14:textId="77777777" w:rsidR="00DC47FC" w:rsidRPr="000027F9" w:rsidRDefault="00DC47FC" w:rsidP="00594712">
            <w:pPr>
              <w:spacing w:after="0" w:line="240" w:lineRule="auto"/>
              <w:rPr>
                <w:rFonts w:ascii="Times New Roman" w:eastAsia="Calibri" w:hAnsi="Times New Roman" w:cs="Times New Roman"/>
                <w:sz w:val="26"/>
                <w:szCs w:val="26"/>
              </w:rPr>
            </w:pPr>
            <w:r w:rsidRPr="000027F9">
              <w:rPr>
                <w:rFonts w:ascii="Times New Roman" w:eastAsia="Calibri" w:hAnsi="Times New Roman" w:cs="Times New Roman"/>
                <w:sz w:val="26"/>
                <w:szCs w:val="26"/>
              </w:rPr>
              <w:t>Reliability Coordinators</w:t>
            </w:r>
          </w:p>
        </w:tc>
        <w:tc>
          <w:tcPr>
            <w:tcW w:w="1170" w:type="dxa"/>
            <w:tcBorders>
              <w:bottom w:val="single" w:sz="4" w:space="0" w:color="auto"/>
            </w:tcBorders>
            <w:vAlign w:val="bottom"/>
          </w:tcPr>
          <w:p w14:paraId="2CFB87B9" w14:textId="77777777" w:rsidR="00DC47FC" w:rsidRPr="000027F9" w:rsidRDefault="00DC47FC" w:rsidP="00977770">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p>
        </w:tc>
        <w:tc>
          <w:tcPr>
            <w:tcW w:w="1440" w:type="dxa"/>
            <w:tcBorders>
              <w:bottom w:val="single" w:sz="4" w:space="0" w:color="auto"/>
            </w:tcBorders>
            <w:vAlign w:val="bottom"/>
          </w:tcPr>
          <w:p w14:paraId="489289AA" w14:textId="77777777" w:rsidR="00DC47FC" w:rsidRPr="000027F9" w:rsidRDefault="00DC47FC" w:rsidP="000979A7">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p>
        </w:tc>
        <w:tc>
          <w:tcPr>
            <w:tcW w:w="1350" w:type="dxa"/>
            <w:tcBorders>
              <w:bottom w:val="single" w:sz="4" w:space="0" w:color="auto"/>
            </w:tcBorders>
            <w:vAlign w:val="bottom"/>
          </w:tcPr>
          <w:p w14:paraId="38B82735"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440" w:type="dxa"/>
            <w:tcBorders>
              <w:bottom w:val="single" w:sz="4" w:space="0" w:color="auto"/>
            </w:tcBorders>
            <w:vAlign w:val="bottom"/>
          </w:tcPr>
          <w:p w14:paraId="0BC4FE0A"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r>
              <w:rPr>
                <w:rFonts w:ascii="Times New Roman" w:eastAsia="Calibri" w:hAnsi="Times New Roman" w:cs="Times New Roman"/>
                <w:sz w:val="26"/>
                <w:szCs w:val="26"/>
              </w:rPr>
              <w:t xml:space="preserve"> hr.,</w:t>
            </w:r>
          </w:p>
          <w:p w14:paraId="1F527AAF"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w:t>
            </w:r>
          </w:p>
        </w:tc>
        <w:tc>
          <w:tcPr>
            <w:tcW w:w="1620" w:type="dxa"/>
            <w:vAlign w:val="bottom"/>
          </w:tcPr>
          <w:p w14:paraId="3A395621"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r>
              <w:rPr>
                <w:rFonts w:ascii="Times New Roman" w:eastAsia="Calibri" w:hAnsi="Times New Roman" w:cs="Times New Roman"/>
                <w:sz w:val="26"/>
                <w:szCs w:val="26"/>
              </w:rPr>
              <w:t xml:space="preserve"> hr.,</w:t>
            </w:r>
          </w:p>
          <w:p w14:paraId="44A9FF90"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w:t>
            </w:r>
          </w:p>
        </w:tc>
        <w:tc>
          <w:tcPr>
            <w:tcW w:w="1170" w:type="dxa"/>
            <w:vAlign w:val="bottom"/>
          </w:tcPr>
          <w:p w14:paraId="48BE0D68"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w:t>
            </w:r>
          </w:p>
        </w:tc>
      </w:tr>
      <w:tr w:rsidR="00DC47FC" w:rsidRPr="000027F9" w14:paraId="10FE6121" w14:textId="77777777" w:rsidTr="009E207F">
        <w:trPr>
          <w:trHeight w:val="398"/>
        </w:trPr>
        <w:tc>
          <w:tcPr>
            <w:tcW w:w="1795" w:type="dxa"/>
            <w:tcBorders>
              <w:bottom w:val="single" w:sz="4" w:space="0" w:color="auto"/>
            </w:tcBorders>
            <w:vAlign w:val="bottom"/>
          </w:tcPr>
          <w:p w14:paraId="4B1220F6" w14:textId="77777777" w:rsidR="00DC47FC" w:rsidRPr="000027F9" w:rsidRDefault="00DC47FC" w:rsidP="00594712">
            <w:pPr>
              <w:spacing w:after="0" w:line="240" w:lineRule="auto"/>
              <w:rPr>
                <w:rFonts w:ascii="Times New Roman" w:eastAsia="Calibri" w:hAnsi="Times New Roman" w:cs="Times New Roman"/>
                <w:sz w:val="26"/>
                <w:szCs w:val="26"/>
              </w:rPr>
            </w:pPr>
            <w:r w:rsidRPr="000027F9">
              <w:rPr>
                <w:rFonts w:ascii="Times New Roman" w:eastAsia="Calibri" w:hAnsi="Times New Roman" w:cs="Times New Roman"/>
                <w:sz w:val="26"/>
                <w:szCs w:val="26"/>
              </w:rPr>
              <w:t xml:space="preserve">Reserve Sharing Group </w:t>
            </w:r>
          </w:p>
        </w:tc>
        <w:tc>
          <w:tcPr>
            <w:tcW w:w="1170" w:type="dxa"/>
            <w:tcBorders>
              <w:bottom w:val="single" w:sz="4" w:space="0" w:color="auto"/>
            </w:tcBorders>
            <w:vAlign w:val="bottom"/>
          </w:tcPr>
          <w:p w14:paraId="11875F3A" w14:textId="77777777" w:rsidR="00DC47FC" w:rsidRPr="000027F9" w:rsidRDefault="00DC47FC" w:rsidP="00594712">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3</w:t>
            </w:r>
          </w:p>
        </w:tc>
        <w:tc>
          <w:tcPr>
            <w:tcW w:w="1440" w:type="dxa"/>
            <w:tcBorders>
              <w:bottom w:val="single" w:sz="4" w:space="0" w:color="auto"/>
            </w:tcBorders>
            <w:vAlign w:val="bottom"/>
          </w:tcPr>
          <w:p w14:paraId="115CF017" w14:textId="77777777" w:rsidR="00DC47FC" w:rsidRPr="000027F9" w:rsidRDefault="00DC47FC" w:rsidP="00594712">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p>
        </w:tc>
        <w:tc>
          <w:tcPr>
            <w:tcW w:w="1350" w:type="dxa"/>
            <w:tcBorders>
              <w:bottom w:val="single" w:sz="4" w:space="0" w:color="auto"/>
            </w:tcBorders>
            <w:vAlign w:val="bottom"/>
          </w:tcPr>
          <w:p w14:paraId="357368CA" w14:textId="77777777" w:rsidR="00DC47FC" w:rsidRPr="000027F9" w:rsidRDefault="00981883"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440" w:type="dxa"/>
            <w:tcBorders>
              <w:bottom w:val="single" w:sz="4" w:space="0" w:color="auto"/>
            </w:tcBorders>
            <w:vAlign w:val="bottom"/>
          </w:tcPr>
          <w:p w14:paraId="2787DD55"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1</w:t>
            </w:r>
            <w:r>
              <w:rPr>
                <w:rFonts w:ascii="Times New Roman" w:eastAsia="Calibri" w:hAnsi="Times New Roman" w:cs="Times New Roman"/>
                <w:sz w:val="26"/>
                <w:szCs w:val="26"/>
              </w:rPr>
              <w:t xml:space="preserve"> hr.,</w:t>
            </w:r>
          </w:p>
          <w:p w14:paraId="2242D874"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w:t>
            </w:r>
          </w:p>
        </w:tc>
        <w:tc>
          <w:tcPr>
            <w:tcW w:w="1620" w:type="dxa"/>
            <w:tcBorders>
              <w:bottom w:val="single" w:sz="4" w:space="0" w:color="auto"/>
            </w:tcBorders>
            <w:vAlign w:val="bottom"/>
          </w:tcPr>
          <w:p w14:paraId="7976940F" w14:textId="77777777" w:rsidR="00DC47FC" w:rsidRDefault="00DC47FC" w:rsidP="00677263">
            <w:pPr>
              <w:spacing w:after="0" w:line="240" w:lineRule="auto"/>
              <w:jc w:val="right"/>
              <w:rPr>
                <w:rFonts w:ascii="Times New Roman" w:eastAsia="Calibri" w:hAnsi="Times New Roman" w:cs="Times New Roman"/>
                <w:sz w:val="26"/>
                <w:szCs w:val="26"/>
              </w:rPr>
            </w:pPr>
            <w:r w:rsidRPr="000027F9">
              <w:rPr>
                <w:rFonts w:ascii="Times New Roman" w:eastAsia="Calibri" w:hAnsi="Times New Roman" w:cs="Times New Roman"/>
                <w:sz w:val="26"/>
                <w:szCs w:val="26"/>
              </w:rPr>
              <w:t>3</w:t>
            </w:r>
            <w:r>
              <w:rPr>
                <w:rFonts w:ascii="Times New Roman" w:eastAsia="Calibri" w:hAnsi="Times New Roman" w:cs="Times New Roman"/>
                <w:sz w:val="26"/>
                <w:szCs w:val="26"/>
              </w:rPr>
              <w:t xml:space="preserve"> hrs.,</w:t>
            </w:r>
          </w:p>
          <w:p w14:paraId="551AECF3"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$230.97</w:t>
            </w:r>
          </w:p>
        </w:tc>
        <w:tc>
          <w:tcPr>
            <w:tcW w:w="1170" w:type="dxa"/>
            <w:tcBorders>
              <w:bottom w:val="single" w:sz="4" w:space="0" w:color="auto"/>
            </w:tcBorders>
            <w:vAlign w:val="bottom"/>
          </w:tcPr>
          <w:p w14:paraId="0500F688" w14:textId="77777777" w:rsidR="00DC47FC" w:rsidRPr="000027F9" w:rsidRDefault="00DC47FC" w:rsidP="00677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$76.99</w:t>
            </w:r>
          </w:p>
        </w:tc>
      </w:tr>
      <w:tr w:rsidR="00DC47FC" w:rsidRPr="000027F9" w14:paraId="55B38913" w14:textId="77777777" w:rsidTr="009E207F">
        <w:trPr>
          <w:trHeight w:val="398"/>
        </w:trPr>
        <w:tc>
          <w:tcPr>
            <w:tcW w:w="1795" w:type="dxa"/>
            <w:vAlign w:val="bottom"/>
          </w:tcPr>
          <w:p w14:paraId="09E0D86D" w14:textId="77777777" w:rsidR="00DC47FC" w:rsidRPr="000027F9" w:rsidRDefault="00DC47FC" w:rsidP="00684605">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 xml:space="preserve">Generator Owners and/or Operators </w:t>
            </w:r>
            <w:r>
              <w:rPr>
                <w:rFonts w:ascii="Times New Roman" w:hAnsi="Times New Roman" w:cs="Times New Roman"/>
                <w:sz w:val="26"/>
                <w:szCs w:val="26"/>
              </w:rPr>
              <w:t xml:space="preserve">, in </w:t>
            </w:r>
            <w:r w:rsidRPr="007F3BA3">
              <w:rPr>
                <w:rFonts w:ascii="Times New Roman" w:hAnsi="Times New Roman" w:cs="Times New Roman"/>
                <w:sz w:val="26"/>
                <w:szCs w:val="26"/>
              </w:rPr>
              <w:t>Year 1</w:t>
            </w:r>
            <w:r>
              <w:rPr>
                <w:rFonts w:ascii="Times New Roman" w:hAnsi="Times New Roman" w:cs="Times New Roman"/>
                <w:sz w:val="26"/>
                <w:szCs w:val="26"/>
              </w:rPr>
              <w:t xml:space="preserve">, per RD17-5 for </w:t>
            </w:r>
            <w:r>
              <w:t xml:space="preserve"> </w:t>
            </w:r>
            <w:r w:rsidRPr="004A4AC7">
              <w:rPr>
                <w:rFonts w:ascii="Times New Roman" w:hAnsi="Times New Roman" w:cs="Times New Roman"/>
                <w:sz w:val="26"/>
                <w:szCs w:val="26"/>
              </w:rPr>
              <w:t>VAR-501-WECC-3</w:t>
            </w:r>
          </w:p>
        </w:tc>
        <w:tc>
          <w:tcPr>
            <w:tcW w:w="1170" w:type="dxa"/>
            <w:vAlign w:val="bottom"/>
          </w:tcPr>
          <w:p w14:paraId="11DB923C" w14:textId="77777777" w:rsidR="00DC47FC" w:rsidRPr="000027F9" w:rsidRDefault="00DC47FC" w:rsidP="00684605">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40" w:type="dxa"/>
            <w:vAlign w:val="bottom"/>
          </w:tcPr>
          <w:p w14:paraId="2F85C9F6" w14:textId="77777777" w:rsidR="00DC47FC" w:rsidRPr="000027F9" w:rsidRDefault="00DC47FC" w:rsidP="00684605">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3</w:t>
            </w:r>
          </w:p>
        </w:tc>
        <w:tc>
          <w:tcPr>
            <w:tcW w:w="1350" w:type="dxa"/>
            <w:vAlign w:val="bottom"/>
          </w:tcPr>
          <w:p w14:paraId="3AA1A4C1" w14:textId="77777777" w:rsidR="00DC47FC" w:rsidRPr="00806533" w:rsidRDefault="00981883" w:rsidP="0080653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873</w:t>
            </w:r>
          </w:p>
        </w:tc>
        <w:tc>
          <w:tcPr>
            <w:tcW w:w="1440" w:type="dxa"/>
            <w:vAlign w:val="bottom"/>
          </w:tcPr>
          <w:p w14:paraId="663A5767" w14:textId="77777777" w:rsidR="00DC47FC" w:rsidRPr="00806533" w:rsidRDefault="00DC47FC" w:rsidP="00806533">
            <w:pPr>
              <w:spacing w:after="0" w:line="240" w:lineRule="auto"/>
              <w:jc w:val="right"/>
              <w:rPr>
                <w:rFonts w:ascii="Times New Roman" w:eastAsia="Calibri" w:hAnsi="Times New Roman" w:cs="Times New Roman"/>
                <w:sz w:val="26"/>
                <w:szCs w:val="26"/>
              </w:rPr>
            </w:pPr>
            <w:r w:rsidRPr="00806533">
              <w:rPr>
                <w:rFonts w:ascii="Times New Roman" w:eastAsia="Calibri" w:hAnsi="Times New Roman" w:cs="Times New Roman"/>
                <w:sz w:val="26"/>
                <w:szCs w:val="26"/>
              </w:rPr>
              <w:t xml:space="preserve">1 hr.; </w:t>
            </w:r>
          </w:p>
          <w:p w14:paraId="6737FBB5" w14:textId="77777777" w:rsidR="00DC47FC" w:rsidRPr="000027F9" w:rsidRDefault="00DC47FC" w:rsidP="00CB4FB4">
            <w:pPr>
              <w:spacing w:after="0" w:line="240" w:lineRule="auto"/>
              <w:jc w:val="right"/>
              <w:rPr>
                <w:rFonts w:ascii="Times New Roman" w:eastAsia="Calibri" w:hAnsi="Times New Roman" w:cs="Times New Roman"/>
                <w:sz w:val="26"/>
                <w:szCs w:val="26"/>
              </w:rPr>
            </w:pPr>
            <w:r w:rsidRPr="00806533">
              <w:rPr>
                <w:rFonts w:ascii="Times New Roman" w:eastAsia="Calibri" w:hAnsi="Times New Roman" w:cs="Times New Roman"/>
                <w:sz w:val="26"/>
                <w:szCs w:val="26"/>
              </w:rPr>
              <w:t>$76.</w:t>
            </w:r>
            <w:r w:rsidR="00CB4FB4">
              <w:rPr>
                <w:rFonts w:ascii="Times New Roman" w:eastAsia="Calibri" w:hAnsi="Times New Roman" w:cs="Times New Roman"/>
                <w:sz w:val="26"/>
                <w:szCs w:val="26"/>
              </w:rPr>
              <w:t>99</w:t>
            </w:r>
          </w:p>
        </w:tc>
        <w:tc>
          <w:tcPr>
            <w:tcW w:w="1620" w:type="dxa"/>
            <w:vAlign w:val="bottom"/>
          </w:tcPr>
          <w:p w14:paraId="69C0412B" w14:textId="77777777" w:rsidR="00DC47FC" w:rsidRPr="00806533" w:rsidRDefault="00DC47FC" w:rsidP="00806533">
            <w:pPr>
              <w:spacing w:after="0" w:line="240" w:lineRule="auto"/>
              <w:jc w:val="right"/>
              <w:rPr>
                <w:rFonts w:ascii="Times New Roman" w:eastAsia="Calibri" w:hAnsi="Times New Roman" w:cs="Times New Roman"/>
                <w:sz w:val="26"/>
                <w:szCs w:val="26"/>
              </w:rPr>
            </w:pPr>
            <w:r w:rsidRPr="00806533">
              <w:rPr>
                <w:rFonts w:ascii="Times New Roman" w:eastAsia="Calibri" w:hAnsi="Times New Roman" w:cs="Times New Roman"/>
                <w:sz w:val="26"/>
                <w:szCs w:val="26"/>
              </w:rPr>
              <w:t>873 hrs.;</w:t>
            </w:r>
          </w:p>
          <w:p w14:paraId="0F90F67A" w14:textId="77777777" w:rsidR="00DC47FC" w:rsidRPr="000027F9" w:rsidRDefault="00DC47FC" w:rsidP="00806533">
            <w:pPr>
              <w:spacing w:after="0" w:line="240" w:lineRule="auto"/>
              <w:jc w:val="right"/>
              <w:rPr>
                <w:rFonts w:ascii="Times New Roman" w:eastAsia="Calibri" w:hAnsi="Times New Roman" w:cs="Times New Roman"/>
                <w:sz w:val="26"/>
                <w:szCs w:val="26"/>
              </w:rPr>
            </w:pPr>
            <w:r w:rsidRPr="00806533">
              <w:rPr>
                <w:rFonts w:ascii="Times New Roman" w:eastAsia="Calibri" w:hAnsi="Times New Roman" w:cs="Times New Roman"/>
                <w:sz w:val="26"/>
                <w:szCs w:val="26"/>
              </w:rPr>
              <w:t>$67,212.27</w:t>
            </w:r>
          </w:p>
        </w:tc>
        <w:tc>
          <w:tcPr>
            <w:tcW w:w="1170" w:type="dxa"/>
            <w:vAlign w:val="bottom"/>
          </w:tcPr>
          <w:p w14:paraId="474C505B" w14:textId="77777777" w:rsidR="00DC47FC" w:rsidRDefault="00DC47FC" w:rsidP="0068460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$230.97</w:t>
            </w:r>
          </w:p>
        </w:tc>
      </w:tr>
      <w:tr w:rsidR="00B31554" w:rsidRPr="000027F9" w14:paraId="355BABDC" w14:textId="77777777" w:rsidTr="009E207F">
        <w:trPr>
          <w:trHeight w:val="398"/>
        </w:trPr>
        <w:tc>
          <w:tcPr>
            <w:tcW w:w="1795" w:type="dxa"/>
            <w:vAlign w:val="bottom"/>
          </w:tcPr>
          <w:p w14:paraId="639E8BD2" w14:textId="77777777" w:rsidR="00B31554" w:rsidRDefault="00B31554" w:rsidP="00B31554">
            <w:pPr>
              <w:spacing w:after="0" w:line="240" w:lineRule="auto"/>
              <w:rPr>
                <w:rFonts w:ascii="Times New Roman" w:eastAsia="Calibri" w:hAnsi="Times New Roman" w:cs="Times New Roman"/>
                <w:sz w:val="26"/>
                <w:szCs w:val="26"/>
              </w:rPr>
            </w:pPr>
            <w:r w:rsidRPr="007F3BA3">
              <w:rPr>
                <w:rFonts w:ascii="Times New Roman" w:hAnsi="Times New Roman" w:cs="Times New Roman"/>
                <w:sz w:val="26"/>
                <w:szCs w:val="26"/>
              </w:rPr>
              <w:t>Generator Owners and/or Operators</w:t>
            </w:r>
            <w:r>
              <w:rPr>
                <w:rFonts w:ascii="Times New Roman" w:hAnsi="Times New Roman" w:cs="Times New Roman"/>
                <w:sz w:val="26"/>
                <w:szCs w:val="26"/>
              </w:rPr>
              <w:t xml:space="preserve">, in </w:t>
            </w:r>
            <w:r w:rsidRPr="007F3BA3">
              <w:rPr>
                <w:rFonts w:ascii="Times New Roman" w:hAnsi="Times New Roman" w:cs="Times New Roman"/>
                <w:sz w:val="26"/>
                <w:szCs w:val="26"/>
              </w:rPr>
              <w:t>Year 2 and On</w:t>
            </w:r>
            <w:r>
              <w:rPr>
                <w:rFonts w:ascii="Times New Roman" w:hAnsi="Times New Roman" w:cs="Times New Roman"/>
                <w:sz w:val="26"/>
                <w:szCs w:val="26"/>
              </w:rPr>
              <w:t>going, per RD17-5</w:t>
            </w:r>
            <w:r>
              <w:t xml:space="preserve"> </w:t>
            </w:r>
            <w:r w:rsidRPr="004A4AC7">
              <w:rPr>
                <w:rFonts w:ascii="Times New Roman" w:hAnsi="Times New Roman" w:cs="Times New Roman"/>
                <w:sz w:val="26"/>
                <w:szCs w:val="26"/>
              </w:rPr>
              <w:t>for  VAR-501-WECC-3</w:t>
            </w:r>
          </w:p>
        </w:tc>
        <w:tc>
          <w:tcPr>
            <w:tcW w:w="1170" w:type="dxa"/>
            <w:vAlign w:val="bottom"/>
          </w:tcPr>
          <w:p w14:paraId="5466E309" w14:textId="77777777" w:rsidR="00B31554" w:rsidRPr="000027F9" w:rsidRDefault="00B31554" w:rsidP="00B31554">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p>
        </w:tc>
        <w:tc>
          <w:tcPr>
            <w:tcW w:w="1440" w:type="dxa"/>
            <w:vAlign w:val="bottom"/>
          </w:tcPr>
          <w:p w14:paraId="0A20B1C1" w14:textId="77777777" w:rsidR="00B31554" w:rsidRPr="000027F9" w:rsidRDefault="00B31554" w:rsidP="00B31554">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w:t>
            </w:r>
          </w:p>
        </w:tc>
        <w:tc>
          <w:tcPr>
            <w:tcW w:w="1350" w:type="dxa"/>
            <w:vAlign w:val="bottom"/>
          </w:tcPr>
          <w:p w14:paraId="234FF8A8" w14:textId="77777777" w:rsidR="00B31554" w:rsidRPr="007F3BA3" w:rsidRDefault="00B31554" w:rsidP="00B3155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582</w:t>
            </w:r>
          </w:p>
        </w:tc>
        <w:tc>
          <w:tcPr>
            <w:tcW w:w="1440" w:type="dxa"/>
            <w:vAlign w:val="bottom"/>
          </w:tcPr>
          <w:p w14:paraId="4E02F9B5" w14:textId="77777777" w:rsidR="00B31554" w:rsidRPr="007F3BA3" w:rsidRDefault="00B31554" w:rsidP="00B31554">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1</w:t>
            </w:r>
            <w:r>
              <w:rPr>
                <w:rFonts w:ascii="Times New Roman" w:eastAsia="Calibri" w:hAnsi="Times New Roman" w:cs="Times New Roman"/>
                <w:sz w:val="26"/>
                <w:szCs w:val="26"/>
              </w:rPr>
              <w:t xml:space="preserve"> hr.; </w:t>
            </w:r>
          </w:p>
          <w:p w14:paraId="633262D4" w14:textId="77777777" w:rsidR="00B31554" w:rsidRPr="000027F9" w:rsidRDefault="00B31554" w:rsidP="00B3155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Pr="007F3BA3">
              <w:rPr>
                <w:rFonts w:ascii="Times New Roman" w:eastAsia="Calibri" w:hAnsi="Times New Roman" w:cs="Times New Roman"/>
                <w:sz w:val="26"/>
                <w:szCs w:val="26"/>
              </w:rPr>
              <w:t>76.</w:t>
            </w:r>
            <w:r>
              <w:rPr>
                <w:rFonts w:ascii="Times New Roman" w:eastAsia="Calibri" w:hAnsi="Times New Roman" w:cs="Times New Roman"/>
                <w:sz w:val="26"/>
                <w:szCs w:val="26"/>
              </w:rPr>
              <w:t>99</w:t>
            </w:r>
          </w:p>
        </w:tc>
        <w:tc>
          <w:tcPr>
            <w:tcW w:w="1620" w:type="dxa"/>
            <w:vAlign w:val="bottom"/>
          </w:tcPr>
          <w:p w14:paraId="1F064332" w14:textId="77777777" w:rsidR="00B31554" w:rsidRPr="007F3BA3" w:rsidRDefault="00B31554" w:rsidP="00B31554">
            <w:pPr>
              <w:spacing w:after="0" w:line="240" w:lineRule="auto"/>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582</w:t>
            </w:r>
            <w:r>
              <w:rPr>
                <w:rFonts w:ascii="Times New Roman" w:eastAsia="Calibri" w:hAnsi="Times New Roman" w:cs="Times New Roman"/>
                <w:sz w:val="26"/>
                <w:szCs w:val="26"/>
              </w:rPr>
              <w:t xml:space="preserve"> hrs.; </w:t>
            </w:r>
          </w:p>
          <w:p w14:paraId="4E4CA962" w14:textId="77777777" w:rsidR="00B31554" w:rsidRPr="000027F9" w:rsidRDefault="00B31554" w:rsidP="00B3155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Pr="007F3BA3">
              <w:rPr>
                <w:rFonts w:ascii="Times New Roman" w:eastAsia="Calibri" w:hAnsi="Times New Roman" w:cs="Times New Roman"/>
                <w:sz w:val="26"/>
                <w:szCs w:val="26"/>
              </w:rPr>
              <w:t>44</w:t>
            </w:r>
            <w:r>
              <w:rPr>
                <w:rFonts w:ascii="Times New Roman" w:eastAsia="Calibri" w:hAnsi="Times New Roman" w:cs="Times New Roman"/>
                <w:sz w:val="26"/>
                <w:szCs w:val="26"/>
              </w:rPr>
              <w:t>,808.18</w:t>
            </w:r>
          </w:p>
        </w:tc>
        <w:tc>
          <w:tcPr>
            <w:tcW w:w="1170" w:type="dxa"/>
            <w:vAlign w:val="bottom"/>
          </w:tcPr>
          <w:p w14:paraId="6E0AF4BB" w14:textId="77777777" w:rsidR="00B31554" w:rsidRDefault="00B31554" w:rsidP="00B3155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$153.98</w:t>
            </w:r>
          </w:p>
        </w:tc>
      </w:tr>
      <w:tr w:rsidR="00DC47FC" w:rsidRPr="000027F9" w14:paraId="68544905" w14:textId="77777777" w:rsidTr="008B1616">
        <w:trPr>
          <w:trHeight w:val="398"/>
        </w:trPr>
        <w:tc>
          <w:tcPr>
            <w:tcW w:w="4405" w:type="dxa"/>
            <w:gridSpan w:val="3"/>
            <w:tcBorders>
              <w:bottom w:val="single" w:sz="4" w:space="0" w:color="auto"/>
            </w:tcBorders>
            <w:shd w:val="clear" w:color="auto" w:fill="auto"/>
            <w:vAlign w:val="bottom"/>
          </w:tcPr>
          <w:p w14:paraId="18DCEF91" w14:textId="77777777" w:rsidR="00DC47FC" w:rsidRPr="000027F9" w:rsidRDefault="00DC47FC" w:rsidP="008B1616">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Sub-</w:t>
            </w:r>
            <w:r w:rsidRPr="000027F9">
              <w:rPr>
                <w:rFonts w:ascii="Times New Roman" w:eastAsia="Calibri" w:hAnsi="Times New Roman" w:cs="Times New Roman"/>
                <w:b/>
                <w:sz w:val="26"/>
                <w:szCs w:val="26"/>
              </w:rPr>
              <w:t>Total</w:t>
            </w:r>
            <w:r>
              <w:rPr>
                <w:rFonts w:ascii="Times New Roman" w:eastAsia="Calibri" w:hAnsi="Times New Roman" w:cs="Times New Roman"/>
                <w:b/>
                <w:sz w:val="26"/>
                <w:szCs w:val="26"/>
              </w:rPr>
              <w:t xml:space="preserve"> for Reporting Requirement</w:t>
            </w:r>
            <w:r w:rsidR="00E65537">
              <w:rPr>
                <w:rFonts w:ascii="Times New Roman" w:eastAsia="Calibri" w:hAnsi="Times New Roman" w:cs="Times New Roman"/>
                <w:b/>
                <w:sz w:val="26"/>
                <w:szCs w:val="26"/>
              </w:rPr>
              <w:t xml:space="preserve"> in Year 1</w:t>
            </w:r>
          </w:p>
        </w:tc>
        <w:tc>
          <w:tcPr>
            <w:tcW w:w="1350" w:type="dxa"/>
            <w:tcBorders>
              <w:bottom w:val="single" w:sz="4" w:space="0" w:color="auto"/>
            </w:tcBorders>
            <w:vAlign w:val="bottom"/>
          </w:tcPr>
          <w:p w14:paraId="6EDF3C94" w14:textId="77777777" w:rsidR="00DC47FC" w:rsidRPr="002F7954" w:rsidRDefault="00DC47FC" w:rsidP="00677263">
            <w:pPr>
              <w:spacing w:after="0" w:line="240" w:lineRule="auto"/>
              <w:jc w:val="right"/>
              <w:rPr>
                <w:rFonts w:ascii="Times New Roman" w:eastAsia="Calibri" w:hAnsi="Times New Roman" w:cs="Times New Roman"/>
                <w:sz w:val="26"/>
                <w:szCs w:val="26"/>
              </w:rPr>
            </w:pPr>
          </w:p>
        </w:tc>
        <w:tc>
          <w:tcPr>
            <w:tcW w:w="1440" w:type="dxa"/>
            <w:tcBorders>
              <w:bottom w:val="single" w:sz="4" w:space="0" w:color="auto"/>
            </w:tcBorders>
            <w:shd w:val="clear" w:color="auto" w:fill="auto"/>
            <w:vAlign w:val="bottom"/>
          </w:tcPr>
          <w:p w14:paraId="0523EEBC" w14:textId="77777777" w:rsidR="00DC47FC" w:rsidRPr="002F7954" w:rsidRDefault="00DC47FC" w:rsidP="00677263">
            <w:pPr>
              <w:spacing w:after="0" w:line="240" w:lineRule="auto"/>
              <w:jc w:val="right"/>
              <w:rPr>
                <w:rFonts w:ascii="Times New Roman" w:eastAsia="Calibri" w:hAnsi="Times New Roman" w:cs="Times New Roman"/>
                <w:sz w:val="26"/>
                <w:szCs w:val="26"/>
              </w:rPr>
            </w:pPr>
          </w:p>
        </w:tc>
        <w:tc>
          <w:tcPr>
            <w:tcW w:w="1620" w:type="dxa"/>
            <w:tcBorders>
              <w:bottom w:val="single" w:sz="4" w:space="0" w:color="auto"/>
            </w:tcBorders>
            <w:shd w:val="clear" w:color="auto" w:fill="auto"/>
            <w:vAlign w:val="bottom"/>
          </w:tcPr>
          <w:p w14:paraId="4E8A443D" w14:textId="77777777" w:rsidR="00355024" w:rsidRDefault="00E65537" w:rsidP="00677263">
            <w:pPr>
              <w:spacing w:after="0" w:line="240" w:lineRule="auto"/>
              <w:jc w:val="right"/>
              <w:rPr>
                <w:rFonts w:ascii="Times New Roman" w:eastAsia="Calibri" w:hAnsi="Times New Roman" w:cs="Times New Roman"/>
                <w:b/>
                <w:sz w:val="26"/>
                <w:szCs w:val="26"/>
              </w:rPr>
            </w:pPr>
            <w:r>
              <w:rPr>
                <w:rFonts w:ascii="Times New Roman" w:eastAsia="Calibri" w:hAnsi="Times New Roman" w:cs="Times New Roman"/>
                <w:b/>
                <w:sz w:val="26"/>
                <w:szCs w:val="26"/>
              </w:rPr>
              <w:t>7,911 hrs.</w:t>
            </w:r>
            <w:r w:rsidR="00355024">
              <w:rPr>
                <w:rFonts w:ascii="Times New Roman" w:eastAsia="Calibri" w:hAnsi="Times New Roman" w:cs="Times New Roman"/>
                <w:b/>
                <w:sz w:val="26"/>
                <w:szCs w:val="26"/>
              </w:rPr>
              <w:t>;</w:t>
            </w:r>
          </w:p>
          <w:p w14:paraId="2968BCDE" w14:textId="77777777" w:rsidR="00DC47FC" w:rsidRPr="000027F9" w:rsidRDefault="00355024" w:rsidP="00677263">
            <w:pPr>
              <w:spacing w:after="0" w:line="240" w:lineRule="auto"/>
              <w:jc w:val="right"/>
              <w:rPr>
                <w:rFonts w:ascii="Times New Roman" w:eastAsia="Calibri" w:hAnsi="Times New Roman" w:cs="Times New Roman"/>
                <w:b/>
                <w:sz w:val="26"/>
                <w:szCs w:val="26"/>
              </w:rPr>
            </w:pPr>
            <w:r>
              <w:rPr>
                <w:rFonts w:ascii="Times New Roman" w:eastAsia="Calibri" w:hAnsi="Times New Roman" w:cs="Times New Roman"/>
                <w:b/>
                <w:sz w:val="26"/>
                <w:szCs w:val="26"/>
              </w:rPr>
              <w:t>$609,067.89</w:t>
            </w:r>
          </w:p>
        </w:tc>
        <w:tc>
          <w:tcPr>
            <w:tcW w:w="1170" w:type="dxa"/>
            <w:tcBorders>
              <w:bottom w:val="single" w:sz="4" w:space="0" w:color="auto"/>
            </w:tcBorders>
            <w:shd w:val="clear" w:color="auto" w:fill="auto"/>
            <w:vAlign w:val="bottom"/>
          </w:tcPr>
          <w:p w14:paraId="322248EC" w14:textId="77777777" w:rsidR="00DC47FC" w:rsidRDefault="00DC47FC" w:rsidP="00677263">
            <w:pPr>
              <w:spacing w:after="0" w:line="240" w:lineRule="auto"/>
              <w:jc w:val="right"/>
              <w:rPr>
                <w:rFonts w:ascii="Times New Roman" w:eastAsia="Calibri" w:hAnsi="Times New Roman" w:cs="Times New Roman"/>
                <w:b/>
                <w:sz w:val="26"/>
                <w:szCs w:val="26"/>
              </w:rPr>
            </w:pPr>
          </w:p>
        </w:tc>
      </w:tr>
      <w:tr w:rsidR="00E65537" w:rsidRPr="000027F9" w14:paraId="7DB0DF2E" w14:textId="77777777" w:rsidTr="009E207F">
        <w:trPr>
          <w:trHeight w:val="398"/>
        </w:trPr>
        <w:tc>
          <w:tcPr>
            <w:tcW w:w="4405" w:type="dxa"/>
            <w:gridSpan w:val="3"/>
            <w:shd w:val="clear" w:color="auto" w:fill="auto"/>
            <w:vAlign w:val="bottom"/>
          </w:tcPr>
          <w:p w14:paraId="04822301" w14:textId="15E5F929" w:rsidR="00E65537" w:rsidRDefault="00E65537" w:rsidP="00AC36FC">
            <w:pPr>
              <w:spacing w:after="0" w:line="240" w:lineRule="auto"/>
              <w:rPr>
                <w:rFonts w:ascii="Times New Roman" w:eastAsia="Calibri" w:hAnsi="Times New Roman" w:cs="Times New Roman"/>
                <w:b/>
                <w:sz w:val="26"/>
                <w:szCs w:val="26"/>
              </w:rPr>
            </w:pPr>
            <w:r w:rsidRPr="00E65537">
              <w:rPr>
                <w:rFonts w:ascii="Times New Roman" w:eastAsia="Calibri" w:hAnsi="Times New Roman" w:cs="Times New Roman"/>
                <w:b/>
                <w:sz w:val="26"/>
                <w:szCs w:val="26"/>
              </w:rPr>
              <w:t>Sub-Total for R</w:t>
            </w:r>
            <w:r>
              <w:rPr>
                <w:rFonts w:ascii="Times New Roman" w:eastAsia="Calibri" w:hAnsi="Times New Roman" w:cs="Times New Roman"/>
                <w:b/>
                <w:sz w:val="26"/>
                <w:szCs w:val="26"/>
              </w:rPr>
              <w:t>eporting Requirement Burden in Year 2 &amp; ongoing</w:t>
            </w:r>
          </w:p>
        </w:tc>
        <w:tc>
          <w:tcPr>
            <w:tcW w:w="1350" w:type="dxa"/>
            <w:vAlign w:val="bottom"/>
          </w:tcPr>
          <w:p w14:paraId="0F859D35" w14:textId="77777777" w:rsidR="00E65537" w:rsidRDefault="00E65537" w:rsidP="00677263">
            <w:pPr>
              <w:spacing w:after="0" w:line="240" w:lineRule="auto"/>
              <w:jc w:val="right"/>
              <w:rPr>
                <w:rFonts w:ascii="Times New Roman" w:eastAsia="Calibri" w:hAnsi="Times New Roman" w:cs="Times New Roman"/>
                <w:sz w:val="26"/>
                <w:szCs w:val="26"/>
              </w:rPr>
            </w:pPr>
          </w:p>
        </w:tc>
        <w:tc>
          <w:tcPr>
            <w:tcW w:w="1440" w:type="dxa"/>
            <w:tcBorders>
              <w:bottom w:val="single" w:sz="4" w:space="0" w:color="auto"/>
            </w:tcBorders>
            <w:shd w:val="clear" w:color="auto" w:fill="auto"/>
            <w:vAlign w:val="bottom"/>
          </w:tcPr>
          <w:p w14:paraId="13ECA471" w14:textId="77777777" w:rsidR="00E65537" w:rsidRDefault="00E65537" w:rsidP="00677263">
            <w:pPr>
              <w:spacing w:after="0" w:line="240" w:lineRule="auto"/>
              <w:jc w:val="right"/>
              <w:rPr>
                <w:rFonts w:ascii="Times New Roman" w:eastAsia="Calibri" w:hAnsi="Times New Roman" w:cs="Times New Roman"/>
                <w:sz w:val="26"/>
                <w:szCs w:val="26"/>
              </w:rPr>
            </w:pPr>
          </w:p>
        </w:tc>
        <w:tc>
          <w:tcPr>
            <w:tcW w:w="1620" w:type="dxa"/>
            <w:shd w:val="clear" w:color="auto" w:fill="auto"/>
            <w:vAlign w:val="bottom"/>
          </w:tcPr>
          <w:p w14:paraId="786D40A4" w14:textId="77777777" w:rsidR="00E65537" w:rsidRPr="008B1616" w:rsidRDefault="00E65537" w:rsidP="00677263">
            <w:pPr>
              <w:spacing w:after="0" w:line="240" w:lineRule="auto"/>
              <w:jc w:val="right"/>
              <w:rPr>
                <w:rFonts w:ascii="Times New Roman" w:eastAsia="Calibri" w:hAnsi="Times New Roman" w:cs="Times New Roman"/>
                <w:b/>
                <w:sz w:val="26"/>
                <w:szCs w:val="26"/>
              </w:rPr>
            </w:pPr>
            <w:r w:rsidRPr="008B1616">
              <w:rPr>
                <w:rFonts w:ascii="Times New Roman" w:eastAsia="Calibri" w:hAnsi="Times New Roman" w:cs="Times New Roman"/>
                <w:b/>
                <w:sz w:val="26"/>
                <w:szCs w:val="26"/>
              </w:rPr>
              <w:t>7,620 hrs.</w:t>
            </w:r>
            <w:r w:rsidR="00355024">
              <w:rPr>
                <w:rFonts w:ascii="Times New Roman" w:eastAsia="Calibri" w:hAnsi="Times New Roman" w:cs="Times New Roman"/>
                <w:b/>
                <w:sz w:val="26"/>
                <w:szCs w:val="26"/>
              </w:rPr>
              <w:t>; $586,663.80</w:t>
            </w:r>
          </w:p>
        </w:tc>
        <w:tc>
          <w:tcPr>
            <w:tcW w:w="1170" w:type="dxa"/>
            <w:shd w:val="clear" w:color="auto" w:fill="auto"/>
            <w:vAlign w:val="bottom"/>
          </w:tcPr>
          <w:p w14:paraId="1255B942" w14:textId="77777777" w:rsidR="00E65537" w:rsidRPr="00AC36FC" w:rsidRDefault="00E65537" w:rsidP="00677263">
            <w:pPr>
              <w:spacing w:after="0" w:line="240" w:lineRule="auto"/>
              <w:jc w:val="right"/>
              <w:rPr>
                <w:rFonts w:ascii="Times New Roman" w:eastAsia="Calibri" w:hAnsi="Times New Roman" w:cs="Times New Roman"/>
                <w:b/>
                <w:sz w:val="26"/>
                <w:szCs w:val="26"/>
              </w:rPr>
            </w:pPr>
          </w:p>
        </w:tc>
      </w:tr>
    </w:tbl>
    <w:tbl>
      <w:tblPr>
        <w:tblStyle w:val="TableGrid"/>
        <w:tblW w:w="9985" w:type="dxa"/>
        <w:tblLayout w:type="fixed"/>
        <w:tblLook w:val="04A0" w:firstRow="1" w:lastRow="0" w:firstColumn="1" w:lastColumn="0" w:noHBand="0" w:noVBand="1"/>
      </w:tblPr>
      <w:tblGrid>
        <w:gridCol w:w="1795"/>
        <w:gridCol w:w="1170"/>
        <w:gridCol w:w="1440"/>
        <w:gridCol w:w="1350"/>
        <w:gridCol w:w="1440"/>
        <w:gridCol w:w="1620"/>
        <w:gridCol w:w="1170"/>
      </w:tblGrid>
      <w:tr w:rsidR="00981883" w:rsidRPr="00875C85" w14:paraId="0BE6209F" w14:textId="77777777" w:rsidTr="009925A4">
        <w:trPr>
          <w:trHeight w:val="422"/>
        </w:trPr>
        <w:tc>
          <w:tcPr>
            <w:tcW w:w="9985" w:type="dxa"/>
            <w:gridSpan w:val="7"/>
            <w:shd w:val="clear" w:color="auto" w:fill="D9D9D9"/>
          </w:tcPr>
          <w:p w14:paraId="056EEF7C" w14:textId="77777777" w:rsidR="00981883" w:rsidRPr="00677263" w:rsidRDefault="00981883" w:rsidP="0026143D">
            <w:pPr>
              <w:jc w:val="center"/>
              <w:rPr>
                <w:rFonts w:ascii="Times New Roman" w:hAnsi="Times New Roman" w:cs="Times New Roman"/>
                <w:sz w:val="26"/>
                <w:szCs w:val="26"/>
              </w:rPr>
            </w:pPr>
            <w:r>
              <w:rPr>
                <w:rFonts w:ascii="Times New Roman" w:eastAsia="Calibri" w:hAnsi="Times New Roman" w:cs="Times New Roman"/>
                <w:b/>
                <w:sz w:val="26"/>
                <w:szCs w:val="26"/>
              </w:rPr>
              <w:t>Recordkeeping Requirements</w:t>
            </w:r>
          </w:p>
        </w:tc>
      </w:tr>
      <w:tr w:rsidR="00DC47FC" w:rsidRPr="00875C85" w14:paraId="21F9F50A" w14:textId="77777777" w:rsidTr="009925A4">
        <w:tc>
          <w:tcPr>
            <w:tcW w:w="1795" w:type="dxa"/>
            <w:vAlign w:val="bottom"/>
          </w:tcPr>
          <w:p w14:paraId="167E2C8F"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Balancing Authorities</w:t>
            </w:r>
          </w:p>
        </w:tc>
        <w:tc>
          <w:tcPr>
            <w:tcW w:w="1170" w:type="dxa"/>
            <w:vAlign w:val="bottom"/>
          </w:tcPr>
          <w:p w14:paraId="018037A7"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34</w:t>
            </w:r>
          </w:p>
        </w:tc>
        <w:tc>
          <w:tcPr>
            <w:tcW w:w="1440" w:type="dxa"/>
            <w:vAlign w:val="bottom"/>
          </w:tcPr>
          <w:p w14:paraId="2EE3C302"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72BCE630"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34</w:t>
            </w:r>
          </w:p>
        </w:tc>
        <w:tc>
          <w:tcPr>
            <w:tcW w:w="1440" w:type="dxa"/>
            <w:vAlign w:val="bottom"/>
          </w:tcPr>
          <w:p w14:paraId="53D7A933"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 xml:space="preserve">2.1 hrs., </w:t>
            </w:r>
          </w:p>
          <w:p w14:paraId="1382DF06"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$65.50</w:t>
            </w:r>
          </w:p>
        </w:tc>
        <w:tc>
          <w:tcPr>
            <w:tcW w:w="1620" w:type="dxa"/>
            <w:vAlign w:val="bottom"/>
          </w:tcPr>
          <w:p w14:paraId="1EB2A653"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71.4 hrs.,</w:t>
            </w:r>
          </w:p>
          <w:p w14:paraId="46A37A05"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2,226.97</w:t>
            </w:r>
          </w:p>
        </w:tc>
        <w:tc>
          <w:tcPr>
            <w:tcW w:w="1170" w:type="dxa"/>
            <w:vAlign w:val="bottom"/>
          </w:tcPr>
          <w:p w14:paraId="088CF0AE"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$65.50</w:t>
            </w:r>
          </w:p>
        </w:tc>
      </w:tr>
      <w:tr w:rsidR="00DC47FC" w:rsidRPr="00875C85" w14:paraId="57F5B6AB" w14:textId="77777777" w:rsidTr="009925A4">
        <w:tc>
          <w:tcPr>
            <w:tcW w:w="1795" w:type="dxa"/>
            <w:vAlign w:val="bottom"/>
          </w:tcPr>
          <w:p w14:paraId="0D3A5275"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Balancing Authorities (IRO-006)</w:t>
            </w:r>
          </w:p>
        </w:tc>
        <w:tc>
          <w:tcPr>
            <w:tcW w:w="1170" w:type="dxa"/>
            <w:vAlign w:val="bottom"/>
          </w:tcPr>
          <w:p w14:paraId="117A1378"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34</w:t>
            </w:r>
          </w:p>
        </w:tc>
        <w:tc>
          <w:tcPr>
            <w:tcW w:w="1440" w:type="dxa"/>
            <w:vAlign w:val="bottom"/>
          </w:tcPr>
          <w:p w14:paraId="1349A894"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0BD50245"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34</w:t>
            </w:r>
          </w:p>
        </w:tc>
        <w:tc>
          <w:tcPr>
            <w:tcW w:w="1440" w:type="dxa"/>
            <w:vAlign w:val="bottom"/>
          </w:tcPr>
          <w:p w14:paraId="05C4D601"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1 hr.,</w:t>
            </w:r>
          </w:p>
          <w:p w14:paraId="6B529C08"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$31.19</w:t>
            </w:r>
          </w:p>
        </w:tc>
        <w:tc>
          <w:tcPr>
            <w:tcW w:w="1620" w:type="dxa"/>
            <w:vAlign w:val="bottom"/>
          </w:tcPr>
          <w:p w14:paraId="5B38DD89"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34 hrs.,</w:t>
            </w:r>
          </w:p>
          <w:p w14:paraId="2F97A9B6"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1,060.46</w:t>
            </w:r>
          </w:p>
        </w:tc>
        <w:tc>
          <w:tcPr>
            <w:tcW w:w="1170" w:type="dxa"/>
            <w:vAlign w:val="bottom"/>
          </w:tcPr>
          <w:p w14:paraId="685675E5"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$31.19</w:t>
            </w:r>
          </w:p>
        </w:tc>
      </w:tr>
      <w:tr w:rsidR="00DC47FC" w:rsidRPr="00875C85" w14:paraId="7C7D9434" w14:textId="77777777" w:rsidTr="009925A4">
        <w:tc>
          <w:tcPr>
            <w:tcW w:w="1795" w:type="dxa"/>
            <w:vAlign w:val="bottom"/>
          </w:tcPr>
          <w:p w14:paraId="086DAE38"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Generator Operators</w:t>
            </w:r>
          </w:p>
        </w:tc>
        <w:tc>
          <w:tcPr>
            <w:tcW w:w="1170" w:type="dxa"/>
            <w:vAlign w:val="bottom"/>
          </w:tcPr>
          <w:p w14:paraId="72C143A0"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228</w:t>
            </w:r>
          </w:p>
        </w:tc>
        <w:tc>
          <w:tcPr>
            <w:tcW w:w="1440" w:type="dxa"/>
            <w:vAlign w:val="bottom"/>
          </w:tcPr>
          <w:p w14:paraId="7B4C548C"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3A546FC7"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228</w:t>
            </w:r>
          </w:p>
        </w:tc>
        <w:tc>
          <w:tcPr>
            <w:tcW w:w="1440" w:type="dxa"/>
            <w:vAlign w:val="bottom"/>
          </w:tcPr>
          <w:p w14:paraId="5450F4F1"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1 hr.,</w:t>
            </w:r>
          </w:p>
          <w:p w14:paraId="40D19E9D"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$31.19</w:t>
            </w:r>
          </w:p>
        </w:tc>
        <w:tc>
          <w:tcPr>
            <w:tcW w:w="1620" w:type="dxa"/>
            <w:vAlign w:val="bottom"/>
          </w:tcPr>
          <w:p w14:paraId="44BEB770"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228 hrs.,</w:t>
            </w:r>
          </w:p>
          <w:p w14:paraId="63902BB0"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7,111.32</w:t>
            </w:r>
          </w:p>
        </w:tc>
        <w:tc>
          <w:tcPr>
            <w:tcW w:w="1170" w:type="dxa"/>
            <w:vAlign w:val="bottom"/>
          </w:tcPr>
          <w:p w14:paraId="2CE8DD46"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$31.19</w:t>
            </w:r>
          </w:p>
        </w:tc>
      </w:tr>
      <w:tr w:rsidR="00DC47FC" w:rsidRPr="00875C85" w14:paraId="63651EDE" w14:textId="77777777" w:rsidTr="009925A4">
        <w:tc>
          <w:tcPr>
            <w:tcW w:w="1795" w:type="dxa"/>
            <w:vAlign w:val="bottom"/>
          </w:tcPr>
          <w:p w14:paraId="78AB7D8E"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 xml:space="preserve">Transmission Operator (VAR-002) </w:t>
            </w:r>
          </w:p>
        </w:tc>
        <w:tc>
          <w:tcPr>
            <w:tcW w:w="1170" w:type="dxa"/>
            <w:vAlign w:val="bottom"/>
          </w:tcPr>
          <w:p w14:paraId="65FCBBBA"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86</w:t>
            </w:r>
          </w:p>
        </w:tc>
        <w:tc>
          <w:tcPr>
            <w:tcW w:w="1440" w:type="dxa"/>
            <w:vAlign w:val="bottom"/>
          </w:tcPr>
          <w:p w14:paraId="2BBAB440"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34A1C162"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86</w:t>
            </w:r>
          </w:p>
        </w:tc>
        <w:tc>
          <w:tcPr>
            <w:tcW w:w="1440" w:type="dxa"/>
            <w:vAlign w:val="bottom"/>
          </w:tcPr>
          <w:p w14:paraId="3C84A70A"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4 hrs.,</w:t>
            </w:r>
          </w:p>
          <w:p w14:paraId="48090DB0"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$124.76</w:t>
            </w:r>
          </w:p>
        </w:tc>
        <w:tc>
          <w:tcPr>
            <w:tcW w:w="1620" w:type="dxa"/>
            <w:vAlign w:val="bottom"/>
          </w:tcPr>
          <w:p w14:paraId="1E5EF7B9"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344 hrs.,</w:t>
            </w:r>
          </w:p>
          <w:p w14:paraId="3C52456E" w14:textId="77777777" w:rsidR="00DC47FC" w:rsidRPr="00677263" w:rsidRDefault="00DC47FC" w:rsidP="00B17FDA">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10,729.36</w:t>
            </w:r>
          </w:p>
        </w:tc>
        <w:tc>
          <w:tcPr>
            <w:tcW w:w="1170" w:type="dxa"/>
            <w:vAlign w:val="bottom"/>
          </w:tcPr>
          <w:p w14:paraId="3B3E62E8"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$124.76</w:t>
            </w:r>
          </w:p>
        </w:tc>
      </w:tr>
      <w:tr w:rsidR="00DC47FC" w:rsidRPr="00875C85" w14:paraId="0485DB3F" w14:textId="77777777" w:rsidTr="009925A4">
        <w:tc>
          <w:tcPr>
            <w:tcW w:w="1795" w:type="dxa"/>
            <w:vAlign w:val="bottom"/>
          </w:tcPr>
          <w:p w14:paraId="395E1A84"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Transmission Owner that operate qualified transfer paths</w:t>
            </w:r>
          </w:p>
        </w:tc>
        <w:tc>
          <w:tcPr>
            <w:tcW w:w="1170" w:type="dxa"/>
            <w:vAlign w:val="bottom"/>
          </w:tcPr>
          <w:p w14:paraId="6A2C1B0F"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5</w:t>
            </w:r>
          </w:p>
        </w:tc>
        <w:tc>
          <w:tcPr>
            <w:tcW w:w="1440" w:type="dxa"/>
            <w:vAlign w:val="bottom"/>
          </w:tcPr>
          <w:p w14:paraId="3916F7E0"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413015A8"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5</w:t>
            </w:r>
          </w:p>
        </w:tc>
        <w:tc>
          <w:tcPr>
            <w:tcW w:w="1440" w:type="dxa"/>
            <w:vAlign w:val="bottom"/>
          </w:tcPr>
          <w:p w14:paraId="6CBB9A3B"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12 hrs.,</w:t>
            </w:r>
          </w:p>
          <w:p w14:paraId="7418BF38"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$374.28</w:t>
            </w:r>
          </w:p>
        </w:tc>
        <w:tc>
          <w:tcPr>
            <w:tcW w:w="1620" w:type="dxa"/>
            <w:vAlign w:val="bottom"/>
          </w:tcPr>
          <w:p w14:paraId="746CB5DC"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60 hrs.,</w:t>
            </w:r>
          </w:p>
          <w:p w14:paraId="0989B621" w14:textId="77777777" w:rsidR="00DC47FC" w:rsidRPr="00677263" w:rsidRDefault="00DC47FC" w:rsidP="00B17FDA">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1,871.40</w:t>
            </w:r>
          </w:p>
        </w:tc>
        <w:tc>
          <w:tcPr>
            <w:tcW w:w="1170" w:type="dxa"/>
            <w:vAlign w:val="bottom"/>
          </w:tcPr>
          <w:p w14:paraId="031CD78D"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$374.28</w:t>
            </w:r>
          </w:p>
        </w:tc>
      </w:tr>
      <w:tr w:rsidR="00DC47FC" w:rsidRPr="00875C85" w14:paraId="722BC6B6" w14:textId="77777777" w:rsidTr="009925A4">
        <w:tc>
          <w:tcPr>
            <w:tcW w:w="1795" w:type="dxa"/>
            <w:vAlign w:val="bottom"/>
          </w:tcPr>
          <w:p w14:paraId="1E38BB03" w14:textId="77777777" w:rsidR="00DC47FC" w:rsidRPr="000979A7" w:rsidRDefault="00DC47FC" w:rsidP="00677263">
            <w:pPr>
              <w:rPr>
                <w:rFonts w:ascii="Times New Roman" w:eastAsia="Times New Roman" w:hAnsi="Times New Roman" w:cs="Times New Roman"/>
                <w:i/>
                <w:sz w:val="26"/>
                <w:szCs w:val="26"/>
              </w:rPr>
            </w:pPr>
            <w:r w:rsidRPr="00677263">
              <w:rPr>
                <w:rFonts w:ascii="Times New Roman" w:hAnsi="Times New Roman" w:cs="Times New Roman"/>
                <w:sz w:val="26"/>
                <w:szCs w:val="26"/>
              </w:rPr>
              <w:t>Reliability Coordinator</w:t>
            </w:r>
          </w:p>
        </w:tc>
        <w:tc>
          <w:tcPr>
            <w:tcW w:w="1170" w:type="dxa"/>
            <w:vAlign w:val="bottom"/>
          </w:tcPr>
          <w:p w14:paraId="016B1243"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440" w:type="dxa"/>
            <w:vAlign w:val="bottom"/>
          </w:tcPr>
          <w:p w14:paraId="03A85711" w14:textId="77777777" w:rsidR="00DC47FC" w:rsidRPr="000979A7" w:rsidRDefault="00DC47FC" w:rsidP="00677263">
            <w:pPr>
              <w:jc w:val="right"/>
              <w:rPr>
                <w:rFonts w:ascii="Times New Roman" w:eastAsia="Times New Roman" w:hAnsi="Times New Roman" w:cs="Times New Roman"/>
                <w:i/>
                <w:sz w:val="26"/>
                <w:szCs w:val="26"/>
              </w:rPr>
            </w:pPr>
            <w:r w:rsidRPr="00677263">
              <w:rPr>
                <w:rFonts w:ascii="Times New Roman" w:hAnsi="Times New Roman" w:cs="Times New Roman"/>
                <w:sz w:val="26"/>
                <w:szCs w:val="26"/>
              </w:rPr>
              <w:t>1</w:t>
            </w:r>
          </w:p>
        </w:tc>
        <w:tc>
          <w:tcPr>
            <w:tcW w:w="1350" w:type="dxa"/>
            <w:vAlign w:val="bottom"/>
          </w:tcPr>
          <w:p w14:paraId="6C20E447" w14:textId="77777777" w:rsidR="00DC47FC" w:rsidRPr="00677263" w:rsidRDefault="00981883" w:rsidP="00677263">
            <w:pPr>
              <w:jc w:val="right"/>
              <w:rPr>
                <w:rFonts w:ascii="Times New Roman" w:hAnsi="Times New Roman" w:cs="Times New Roman"/>
                <w:sz w:val="26"/>
                <w:szCs w:val="26"/>
              </w:rPr>
            </w:pPr>
            <w:r>
              <w:rPr>
                <w:rFonts w:ascii="Times New Roman" w:hAnsi="Times New Roman" w:cs="Times New Roman"/>
                <w:sz w:val="26"/>
                <w:szCs w:val="26"/>
              </w:rPr>
              <w:t>1</w:t>
            </w:r>
          </w:p>
        </w:tc>
        <w:tc>
          <w:tcPr>
            <w:tcW w:w="1440" w:type="dxa"/>
            <w:vAlign w:val="bottom"/>
          </w:tcPr>
          <w:p w14:paraId="44E27538" w14:textId="77777777" w:rsidR="00DC47FC" w:rsidRPr="00677263" w:rsidRDefault="00DC47FC" w:rsidP="00677263">
            <w:pPr>
              <w:jc w:val="right"/>
              <w:rPr>
                <w:rFonts w:ascii="Times New Roman" w:hAnsi="Times New Roman" w:cs="Times New Roman"/>
                <w:sz w:val="26"/>
                <w:szCs w:val="26"/>
              </w:rPr>
            </w:pPr>
            <w:r w:rsidRPr="00677263">
              <w:rPr>
                <w:rFonts w:ascii="Times New Roman" w:hAnsi="Times New Roman" w:cs="Times New Roman"/>
                <w:sz w:val="26"/>
                <w:szCs w:val="26"/>
              </w:rPr>
              <w:t>1 hr.;</w:t>
            </w:r>
          </w:p>
          <w:p w14:paraId="3EB7BA3D"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hAnsi="Times New Roman" w:cs="Times New Roman"/>
                <w:sz w:val="26"/>
                <w:szCs w:val="26"/>
              </w:rPr>
              <w:t>$31.19</w:t>
            </w:r>
          </w:p>
        </w:tc>
        <w:tc>
          <w:tcPr>
            <w:tcW w:w="1620" w:type="dxa"/>
            <w:vAlign w:val="bottom"/>
          </w:tcPr>
          <w:p w14:paraId="29708849"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1 hr.</w:t>
            </w:r>
            <w:r w:rsidRPr="000979A7">
              <w:rPr>
                <w:rFonts w:ascii="Times New Roman" w:eastAsia="Times New Roman" w:hAnsi="Times New Roman" w:cs="Times New Roman"/>
                <w:sz w:val="26"/>
                <w:szCs w:val="26"/>
              </w:rPr>
              <w:t>;</w:t>
            </w:r>
          </w:p>
          <w:p w14:paraId="5D290EFE"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31.19</w:t>
            </w:r>
          </w:p>
        </w:tc>
        <w:tc>
          <w:tcPr>
            <w:tcW w:w="1170" w:type="dxa"/>
            <w:vAlign w:val="bottom"/>
          </w:tcPr>
          <w:p w14:paraId="0B310224" w14:textId="77777777" w:rsidR="00DC47FC" w:rsidRPr="00677263" w:rsidRDefault="00DC47FC" w:rsidP="00677263">
            <w:pPr>
              <w:jc w:val="right"/>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w:t>
            </w:r>
            <w:r w:rsidRPr="000979A7">
              <w:rPr>
                <w:rFonts w:ascii="Times New Roman" w:eastAsia="Times New Roman" w:hAnsi="Times New Roman" w:cs="Times New Roman"/>
                <w:sz w:val="26"/>
                <w:szCs w:val="26"/>
              </w:rPr>
              <w:t>31.19</w:t>
            </w:r>
          </w:p>
        </w:tc>
      </w:tr>
      <w:tr w:rsidR="00E65537" w:rsidRPr="00875C85" w14:paraId="69F13D4F" w14:textId="77777777" w:rsidTr="009925A4">
        <w:tc>
          <w:tcPr>
            <w:tcW w:w="1795" w:type="dxa"/>
          </w:tcPr>
          <w:p w14:paraId="147337B2" w14:textId="77777777" w:rsidR="00E65537" w:rsidRDefault="00E65537" w:rsidP="00E65537">
            <w:pPr>
              <w:rPr>
                <w:rFonts w:ascii="Times New Roman" w:hAnsi="Times New Roman" w:cs="Times New Roman"/>
                <w:sz w:val="26"/>
                <w:szCs w:val="26"/>
              </w:rPr>
            </w:pPr>
            <w:r w:rsidRPr="007F3BA3">
              <w:rPr>
                <w:rFonts w:ascii="Times New Roman" w:hAnsi="Times New Roman" w:cs="Times New Roman"/>
                <w:sz w:val="26"/>
                <w:szCs w:val="26"/>
              </w:rPr>
              <w:t>Generator Owners and/or Operators</w:t>
            </w:r>
            <w:r>
              <w:rPr>
                <w:rFonts w:ascii="Times New Roman" w:hAnsi="Times New Roman" w:cs="Times New Roman"/>
                <w:sz w:val="26"/>
                <w:szCs w:val="26"/>
              </w:rPr>
              <w:t xml:space="preserve">, in </w:t>
            </w:r>
            <w:r w:rsidRPr="007F3BA3">
              <w:rPr>
                <w:rFonts w:ascii="Times New Roman" w:hAnsi="Times New Roman" w:cs="Times New Roman"/>
                <w:sz w:val="26"/>
                <w:szCs w:val="26"/>
              </w:rPr>
              <w:t>Year 1</w:t>
            </w:r>
            <w:r>
              <w:rPr>
                <w:rFonts w:ascii="Times New Roman" w:hAnsi="Times New Roman" w:cs="Times New Roman"/>
                <w:sz w:val="26"/>
                <w:szCs w:val="26"/>
              </w:rPr>
              <w:t>, per RD17-5</w:t>
            </w:r>
            <w:r>
              <w:t xml:space="preserve"> </w:t>
            </w:r>
            <w:r w:rsidRPr="004A4AC7">
              <w:rPr>
                <w:rFonts w:ascii="Times New Roman" w:hAnsi="Times New Roman" w:cs="Times New Roman"/>
                <w:sz w:val="26"/>
                <w:szCs w:val="26"/>
              </w:rPr>
              <w:t>for  VAR-501-WECC-3</w:t>
            </w:r>
          </w:p>
        </w:tc>
        <w:tc>
          <w:tcPr>
            <w:tcW w:w="1170" w:type="dxa"/>
            <w:vAlign w:val="bottom"/>
          </w:tcPr>
          <w:p w14:paraId="232C59A5" w14:textId="77777777" w:rsidR="00E65537" w:rsidRPr="00677263" w:rsidRDefault="00E65537" w:rsidP="00E65537">
            <w:pPr>
              <w:jc w:val="right"/>
              <w:rPr>
                <w:rFonts w:ascii="Times New Roman" w:hAnsi="Times New Roman" w:cs="Times New Roman"/>
                <w:sz w:val="26"/>
                <w:szCs w:val="26"/>
              </w:rPr>
            </w:pPr>
            <w:r w:rsidRPr="007F3BA3">
              <w:rPr>
                <w:rFonts w:ascii="Times New Roman" w:eastAsia="Calibri" w:hAnsi="Times New Roman" w:cs="Times New Roman"/>
                <w:sz w:val="26"/>
                <w:szCs w:val="26"/>
              </w:rPr>
              <w:t>291</w:t>
            </w:r>
          </w:p>
        </w:tc>
        <w:tc>
          <w:tcPr>
            <w:tcW w:w="1440" w:type="dxa"/>
            <w:vAlign w:val="bottom"/>
          </w:tcPr>
          <w:p w14:paraId="7777C855" w14:textId="77777777" w:rsidR="00E65537" w:rsidRPr="00677263" w:rsidRDefault="00E65537" w:rsidP="00E65537">
            <w:pPr>
              <w:jc w:val="right"/>
              <w:rPr>
                <w:rFonts w:ascii="Times New Roman" w:hAnsi="Times New Roman" w:cs="Times New Roman"/>
                <w:sz w:val="26"/>
                <w:szCs w:val="26"/>
              </w:rPr>
            </w:pPr>
            <w:r w:rsidRPr="007F3BA3">
              <w:rPr>
                <w:rFonts w:ascii="Times New Roman" w:eastAsia="Calibri" w:hAnsi="Times New Roman" w:cs="Times New Roman"/>
                <w:sz w:val="26"/>
                <w:szCs w:val="26"/>
              </w:rPr>
              <w:t>3</w:t>
            </w:r>
          </w:p>
        </w:tc>
        <w:tc>
          <w:tcPr>
            <w:tcW w:w="1350" w:type="dxa"/>
            <w:vAlign w:val="bottom"/>
          </w:tcPr>
          <w:p w14:paraId="494D6A53" w14:textId="77777777" w:rsidR="00E65537" w:rsidRPr="007F3BA3" w:rsidRDefault="00E65537" w:rsidP="00E65537">
            <w:pPr>
              <w:jc w:val="right"/>
              <w:rPr>
                <w:rFonts w:ascii="Times New Roman" w:eastAsia="Calibri" w:hAnsi="Times New Roman" w:cs="Times New Roman"/>
                <w:sz w:val="26"/>
                <w:szCs w:val="26"/>
              </w:rPr>
            </w:pPr>
            <w:r>
              <w:rPr>
                <w:rFonts w:ascii="Times New Roman" w:eastAsia="Calibri" w:hAnsi="Times New Roman" w:cs="Times New Roman"/>
                <w:sz w:val="26"/>
                <w:szCs w:val="26"/>
              </w:rPr>
              <w:t>873</w:t>
            </w:r>
          </w:p>
        </w:tc>
        <w:tc>
          <w:tcPr>
            <w:tcW w:w="1440" w:type="dxa"/>
            <w:vAlign w:val="bottom"/>
          </w:tcPr>
          <w:p w14:paraId="39F4DF53" w14:textId="77777777" w:rsidR="00E65537" w:rsidRPr="007F3BA3" w:rsidRDefault="00E65537" w:rsidP="00E65537">
            <w:pPr>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1</w:t>
            </w:r>
            <w:r>
              <w:rPr>
                <w:rFonts w:ascii="Times New Roman" w:eastAsia="Calibri" w:hAnsi="Times New Roman" w:cs="Times New Roman"/>
                <w:sz w:val="26"/>
                <w:szCs w:val="26"/>
              </w:rPr>
              <w:t xml:space="preserve"> hr.; </w:t>
            </w:r>
          </w:p>
          <w:p w14:paraId="02283F95" w14:textId="77777777" w:rsidR="00E65537" w:rsidRPr="00677263" w:rsidRDefault="00E65537" w:rsidP="00E65537">
            <w:pPr>
              <w:jc w:val="right"/>
              <w:rPr>
                <w:rFonts w:ascii="Times New Roman" w:hAnsi="Times New Roman" w:cs="Times New Roman"/>
                <w:sz w:val="26"/>
                <w:szCs w:val="26"/>
              </w:rPr>
            </w:pPr>
            <w:r>
              <w:rPr>
                <w:rFonts w:ascii="Times New Roman" w:eastAsia="Calibri" w:hAnsi="Times New Roman" w:cs="Times New Roman"/>
                <w:sz w:val="26"/>
                <w:szCs w:val="26"/>
              </w:rPr>
              <w:t>$</w:t>
            </w:r>
            <w:r w:rsidRPr="007F3BA3">
              <w:rPr>
                <w:rFonts w:ascii="Times New Roman" w:eastAsia="Calibri" w:hAnsi="Times New Roman" w:cs="Times New Roman"/>
                <w:sz w:val="26"/>
                <w:szCs w:val="26"/>
              </w:rPr>
              <w:t>31.19</w:t>
            </w:r>
          </w:p>
        </w:tc>
        <w:tc>
          <w:tcPr>
            <w:tcW w:w="1620" w:type="dxa"/>
            <w:vAlign w:val="bottom"/>
          </w:tcPr>
          <w:p w14:paraId="5D1BF518" w14:textId="77777777" w:rsidR="00E65537" w:rsidRPr="007F3BA3" w:rsidRDefault="00E65537" w:rsidP="00E65537">
            <w:pPr>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873</w:t>
            </w:r>
            <w:r>
              <w:rPr>
                <w:rFonts w:ascii="Times New Roman" w:eastAsia="Calibri" w:hAnsi="Times New Roman" w:cs="Times New Roman"/>
                <w:sz w:val="26"/>
                <w:szCs w:val="26"/>
              </w:rPr>
              <w:t xml:space="preserve"> hrs.; </w:t>
            </w:r>
          </w:p>
          <w:p w14:paraId="14967BE1" w14:textId="77777777" w:rsidR="00E65537" w:rsidRPr="00677263" w:rsidRDefault="00E65537" w:rsidP="00E65537">
            <w:pPr>
              <w:jc w:val="right"/>
              <w:rPr>
                <w:rFonts w:ascii="Times New Roman" w:eastAsia="Times New Roman" w:hAnsi="Times New Roman" w:cs="Times New Roman"/>
                <w:sz w:val="26"/>
                <w:szCs w:val="26"/>
              </w:rPr>
            </w:pPr>
            <w:r>
              <w:rPr>
                <w:rFonts w:ascii="Times New Roman" w:eastAsia="Calibri" w:hAnsi="Times New Roman" w:cs="Times New Roman"/>
                <w:sz w:val="26"/>
                <w:szCs w:val="26"/>
              </w:rPr>
              <w:t>$</w:t>
            </w:r>
            <w:r w:rsidRPr="007F3BA3">
              <w:rPr>
                <w:rFonts w:ascii="Times New Roman" w:eastAsia="Calibri" w:hAnsi="Times New Roman" w:cs="Times New Roman"/>
                <w:sz w:val="26"/>
                <w:szCs w:val="26"/>
              </w:rPr>
              <w:t>27</w:t>
            </w:r>
            <w:r>
              <w:rPr>
                <w:rFonts w:ascii="Times New Roman" w:eastAsia="Calibri" w:hAnsi="Times New Roman" w:cs="Times New Roman"/>
                <w:sz w:val="26"/>
                <w:szCs w:val="26"/>
              </w:rPr>
              <w:t>,</w:t>
            </w:r>
            <w:r w:rsidRPr="007F3BA3">
              <w:rPr>
                <w:rFonts w:ascii="Times New Roman" w:eastAsia="Calibri" w:hAnsi="Times New Roman" w:cs="Times New Roman"/>
                <w:sz w:val="26"/>
                <w:szCs w:val="26"/>
              </w:rPr>
              <w:t>228.87</w:t>
            </w:r>
          </w:p>
        </w:tc>
        <w:tc>
          <w:tcPr>
            <w:tcW w:w="1170" w:type="dxa"/>
            <w:vAlign w:val="bottom"/>
          </w:tcPr>
          <w:p w14:paraId="6C1B2F44" w14:textId="77777777" w:rsidR="00E65537" w:rsidRDefault="00E65537" w:rsidP="00E65537">
            <w:pPr>
              <w:jc w:val="right"/>
              <w:rPr>
                <w:rFonts w:ascii="Times New Roman" w:hAnsi="Times New Roman" w:cs="Times New Roman"/>
                <w:sz w:val="26"/>
                <w:szCs w:val="26"/>
              </w:rPr>
            </w:pPr>
            <w:r>
              <w:rPr>
                <w:rFonts w:ascii="Times New Roman" w:hAnsi="Times New Roman" w:cs="Times New Roman"/>
                <w:sz w:val="26"/>
                <w:szCs w:val="26"/>
              </w:rPr>
              <w:t>$93.57</w:t>
            </w:r>
          </w:p>
        </w:tc>
      </w:tr>
      <w:tr w:rsidR="00E65537" w:rsidRPr="00875C85" w14:paraId="23175116" w14:textId="77777777" w:rsidTr="009925A4">
        <w:tc>
          <w:tcPr>
            <w:tcW w:w="1795" w:type="dxa"/>
          </w:tcPr>
          <w:p w14:paraId="66C9F868" w14:textId="77777777" w:rsidR="00E65537" w:rsidRPr="00677263" w:rsidRDefault="00E65537" w:rsidP="00E65537">
            <w:pPr>
              <w:rPr>
                <w:rFonts w:ascii="Times New Roman" w:hAnsi="Times New Roman" w:cs="Times New Roman"/>
                <w:sz w:val="26"/>
                <w:szCs w:val="26"/>
              </w:rPr>
            </w:pPr>
            <w:r w:rsidRPr="007F3BA3">
              <w:rPr>
                <w:rFonts w:ascii="Times New Roman" w:hAnsi="Times New Roman" w:cs="Times New Roman"/>
                <w:sz w:val="26"/>
                <w:szCs w:val="26"/>
              </w:rPr>
              <w:t>Generator Owners and/or Operators</w:t>
            </w:r>
            <w:r>
              <w:rPr>
                <w:rFonts w:ascii="Times New Roman" w:hAnsi="Times New Roman" w:cs="Times New Roman"/>
                <w:sz w:val="26"/>
                <w:szCs w:val="26"/>
              </w:rPr>
              <w:t xml:space="preserve">, in </w:t>
            </w:r>
            <w:r w:rsidRPr="007F3BA3">
              <w:rPr>
                <w:rFonts w:ascii="Times New Roman" w:hAnsi="Times New Roman" w:cs="Times New Roman"/>
                <w:sz w:val="26"/>
                <w:szCs w:val="26"/>
              </w:rPr>
              <w:t>Year 2 and On</w:t>
            </w:r>
            <w:r>
              <w:rPr>
                <w:rFonts w:ascii="Times New Roman" w:hAnsi="Times New Roman" w:cs="Times New Roman"/>
                <w:sz w:val="26"/>
                <w:szCs w:val="26"/>
              </w:rPr>
              <w:t>going, per RD17-5</w:t>
            </w:r>
            <w:r>
              <w:t xml:space="preserve"> </w:t>
            </w:r>
            <w:r w:rsidRPr="004A4AC7">
              <w:rPr>
                <w:rFonts w:ascii="Times New Roman" w:hAnsi="Times New Roman" w:cs="Times New Roman"/>
                <w:sz w:val="26"/>
                <w:szCs w:val="26"/>
              </w:rPr>
              <w:t>for  VAR-501-WECC-3</w:t>
            </w:r>
          </w:p>
        </w:tc>
        <w:tc>
          <w:tcPr>
            <w:tcW w:w="1170" w:type="dxa"/>
            <w:vAlign w:val="bottom"/>
          </w:tcPr>
          <w:p w14:paraId="6D4B9F85" w14:textId="77777777" w:rsidR="00E65537" w:rsidRPr="00677263" w:rsidRDefault="00E65537" w:rsidP="00E65537">
            <w:pPr>
              <w:jc w:val="right"/>
              <w:rPr>
                <w:rFonts w:ascii="Times New Roman" w:hAnsi="Times New Roman" w:cs="Times New Roman"/>
                <w:sz w:val="26"/>
                <w:szCs w:val="26"/>
              </w:rPr>
            </w:pPr>
            <w:r w:rsidRPr="007F3BA3">
              <w:rPr>
                <w:rFonts w:ascii="Times New Roman" w:eastAsia="Calibri" w:hAnsi="Times New Roman" w:cs="Times New Roman"/>
                <w:sz w:val="26"/>
                <w:szCs w:val="26"/>
              </w:rPr>
              <w:t>291</w:t>
            </w:r>
          </w:p>
        </w:tc>
        <w:tc>
          <w:tcPr>
            <w:tcW w:w="1440" w:type="dxa"/>
            <w:vAlign w:val="bottom"/>
          </w:tcPr>
          <w:p w14:paraId="0933A72F" w14:textId="77777777" w:rsidR="00E65537" w:rsidRPr="00677263" w:rsidRDefault="00E65537" w:rsidP="00E65537">
            <w:pPr>
              <w:jc w:val="right"/>
              <w:rPr>
                <w:rFonts w:ascii="Times New Roman" w:hAnsi="Times New Roman" w:cs="Times New Roman"/>
                <w:sz w:val="26"/>
                <w:szCs w:val="26"/>
              </w:rPr>
            </w:pPr>
            <w:r w:rsidRPr="007F3BA3">
              <w:rPr>
                <w:rFonts w:ascii="Times New Roman" w:eastAsia="Calibri" w:hAnsi="Times New Roman" w:cs="Times New Roman"/>
                <w:sz w:val="26"/>
                <w:szCs w:val="26"/>
              </w:rPr>
              <w:t>2</w:t>
            </w:r>
          </w:p>
        </w:tc>
        <w:tc>
          <w:tcPr>
            <w:tcW w:w="1350" w:type="dxa"/>
            <w:vAlign w:val="bottom"/>
          </w:tcPr>
          <w:p w14:paraId="1DA15EEA" w14:textId="77777777" w:rsidR="00E65537" w:rsidRDefault="00E65537" w:rsidP="00E65537">
            <w:pPr>
              <w:jc w:val="right"/>
              <w:rPr>
                <w:rFonts w:ascii="Times New Roman" w:eastAsia="Calibri" w:hAnsi="Times New Roman" w:cs="Times New Roman"/>
                <w:sz w:val="26"/>
                <w:szCs w:val="26"/>
              </w:rPr>
            </w:pPr>
            <w:r>
              <w:rPr>
                <w:rFonts w:ascii="Times New Roman" w:eastAsia="Calibri" w:hAnsi="Times New Roman" w:cs="Times New Roman"/>
                <w:sz w:val="26"/>
                <w:szCs w:val="26"/>
              </w:rPr>
              <w:t>582</w:t>
            </w:r>
          </w:p>
        </w:tc>
        <w:tc>
          <w:tcPr>
            <w:tcW w:w="1440" w:type="dxa"/>
            <w:vAlign w:val="bottom"/>
          </w:tcPr>
          <w:p w14:paraId="52C2EA42" w14:textId="77777777" w:rsidR="00E65537" w:rsidRPr="007F3BA3" w:rsidRDefault="00E65537" w:rsidP="00E65537">
            <w:pPr>
              <w:jc w:val="right"/>
              <w:rPr>
                <w:rFonts w:ascii="Times New Roman" w:eastAsia="Calibri" w:hAnsi="Times New Roman" w:cs="Times New Roman"/>
                <w:sz w:val="26"/>
                <w:szCs w:val="26"/>
              </w:rPr>
            </w:pPr>
            <w:r>
              <w:rPr>
                <w:rFonts w:ascii="Times New Roman" w:eastAsia="Calibri" w:hAnsi="Times New Roman" w:cs="Times New Roman"/>
                <w:sz w:val="26"/>
                <w:szCs w:val="26"/>
              </w:rPr>
              <w:t>0</w:t>
            </w:r>
            <w:r w:rsidRPr="007F3BA3">
              <w:rPr>
                <w:rFonts w:ascii="Times New Roman" w:eastAsia="Calibri" w:hAnsi="Times New Roman" w:cs="Times New Roman"/>
                <w:sz w:val="26"/>
                <w:szCs w:val="26"/>
              </w:rPr>
              <w:t>.5</w:t>
            </w:r>
            <w:r>
              <w:rPr>
                <w:rFonts w:ascii="Times New Roman" w:eastAsia="Calibri" w:hAnsi="Times New Roman" w:cs="Times New Roman"/>
                <w:sz w:val="26"/>
                <w:szCs w:val="26"/>
              </w:rPr>
              <w:t xml:space="preserve"> hrs.;</w:t>
            </w:r>
          </w:p>
          <w:p w14:paraId="1AA1C91C" w14:textId="77777777" w:rsidR="00E65537" w:rsidRPr="00677263" w:rsidRDefault="00E65537" w:rsidP="00E65537">
            <w:pPr>
              <w:jc w:val="right"/>
              <w:rPr>
                <w:rFonts w:ascii="Times New Roman" w:hAnsi="Times New Roman" w:cs="Times New Roman"/>
                <w:sz w:val="26"/>
                <w:szCs w:val="26"/>
              </w:rPr>
            </w:pPr>
            <w:r>
              <w:rPr>
                <w:rFonts w:ascii="Times New Roman" w:eastAsia="Calibri" w:hAnsi="Times New Roman" w:cs="Times New Roman"/>
                <w:sz w:val="26"/>
                <w:szCs w:val="26"/>
              </w:rPr>
              <w:t>$15.595</w:t>
            </w:r>
          </w:p>
        </w:tc>
        <w:tc>
          <w:tcPr>
            <w:tcW w:w="1620" w:type="dxa"/>
            <w:vAlign w:val="bottom"/>
          </w:tcPr>
          <w:p w14:paraId="4BACF690" w14:textId="77777777" w:rsidR="00E65537" w:rsidRPr="007F3BA3" w:rsidRDefault="00E65537" w:rsidP="00E65537">
            <w:pPr>
              <w:jc w:val="right"/>
              <w:rPr>
                <w:rFonts w:ascii="Times New Roman" w:eastAsia="Calibri" w:hAnsi="Times New Roman" w:cs="Times New Roman"/>
                <w:sz w:val="26"/>
                <w:szCs w:val="26"/>
              </w:rPr>
            </w:pPr>
            <w:r w:rsidRPr="007F3BA3">
              <w:rPr>
                <w:rFonts w:ascii="Times New Roman" w:eastAsia="Calibri" w:hAnsi="Times New Roman" w:cs="Times New Roman"/>
                <w:sz w:val="26"/>
                <w:szCs w:val="26"/>
              </w:rPr>
              <w:t>291</w:t>
            </w:r>
            <w:r>
              <w:rPr>
                <w:rFonts w:ascii="Times New Roman" w:eastAsia="Calibri" w:hAnsi="Times New Roman" w:cs="Times New Roman"/>
                <w:sz w:val="26"/>
                <w:szCs w:val="26"/>
              </w:rPr>
              <w:t xml:space="preserve"> hrs.;</w:t>
            </w:r>
          </w:p>
          <w:p w14:paraId="457BBF6A" w14:textId="77777777" w:rsidR="00E65537" w:rsidRPr="00677263" w:rsidRDefault="00E65537" w:rsidP="00E65537">
            <w:pPr>
              <w:jc w:val="right"/>
              <w:rPr>
                <w:rFonts w:ascii="Times New Roman" w:eastAsia="Times New Roman" w:hAnsi="Times New Roman" w:cs="Times New Roman"/>
                <w:sz w:val="26"/>
                <w:szCs w:val="26"/>
              </w:rPr>
            </w:pPr>
            <w:r>
              <w:rPr>
                <w:rFonts w:ascii="Times New Roman" w:eastAsia="Calibri" w:hAnsi="Times New Roman" w:cs="Times New Roman"/>
                <w:sz w:val="26"/>
                <w:szCs w:val="26"/>
              </w:rPr>
              <w:t>$</w:t>
            </w:r>
            <w:r w:rsidRPr="007F3BA3">
              <w:rPr>
                <w:rFonts w:ascii="Times New Roman" w:eastAsia="Calibri" w:hAnsi="Times New Roman" w:cs="Times New Roman"/>
                <w:sz w:val="26"/>
                <w:szCs w:val="26"/>
              </w:rPr>
              <w:t>9</w:t>
            </w:r>
            <w:r>
              <w:rPr>
                <w:rFonts w:ascii="Times New Roman" w:eastAsia="Calibri" w:hAnsi="Times New Roman" w:cs="Times New Roman"/>
                <w:sz w:val="26"/>
                <w:szCs w:val="26"/>
              </w:rPr>
              <w:t>,</w:t>
            </w:r>
            <w:r w:rsidRPr="007F3BA3">
              <w:rPr>
                <w:rFonts w:ascii="Times New Roman" w:eastAsia="Calibri" w:hAnsi="Times New Roman" w:cs="Times New Roman"/>
                <w:sz w:val="26"/>
                <w:szCs w:val="26"/>
              </w:rPr>
              <w:t>076.29</w:t>
            </w:r>
          </w:p>
        </w:tc>
        <w:tc>
          <w:tcPr>
            <w:tcW w:w="1170" w:type="dxa"/>
            <w:vAlign w:val="bottom"/>
          </w:tcPr>
          <w:p w14:paraId="376B1BD3" w14:textId="77777777" w:rsidR="00E65537" w:rsidRPr="00677263" w:rsidRDefault="00E65537" w:rsidP="00E65537">
            <w:pPr>
              <w:jc w:val="right"/>
              <w:rPr>
                <w:rFonts w:ascii="Times New Roman" w:hAnsi="Times New Roman" w:cs="Times New Roman"/>
                <w:sz w:val="26"/>
                <w:szCs w:val="26"/>
              </w:rPr>
            </w:pPr>
            <w:r>
              <w:rPr>
                <w:rFonts w:ascii="Times New Roman" w:hAnsi="Times New Roman" w:cs="Times New Roman"/>
                <w:sz w:val="26"/>
                <w:szCs w:val="26"/>
              </w:rPr>
              <w:t>$31.19</w:t>
            </w:r>
          </w:p>
        </w:tc>
      </w:tr>
      <w:tr w:rsidR="00DC47FC" w:rsidRPr="00875C85" w14:paraId="1D333F35" w14:textId="77777777" w:rsidTr="009925A4">
        <w:trPr>
          <w:trHeight w:val="683"/>
        </w:trPr>
        <w:tc>
          <w:tcPr>
            <w:tcW w:w="4405" w:type="dxa"/>
            <w:gridSpan w:val="3"/>
            <w:vAlign w:val="bottom"/>
          </w:tcPr>
          <w:p w14:paraId="508E6DE4" w14:textId="77777777" w:rsidR="00DC47FC" w:rsidRPr="00677263" w:rsidRDefault="00DC47FC" w:rsidP="006F71E9">
            <w:pPr>
              <w:rPr>
                <w:rFonts w:ascii="Times New Roman" w:hAnsi="Times New Roman" w:cs="Times New Roman"/>
                <w:sz w:val="26"/>
                <w:szCs w:val="26"/>
              </w:rPr>
            </w:pPr>
            <w:r>
              <w:rPr>
                <w:rFonts w:ascii="Times New Roman" w:hAnsi="Times New Roman" w:cs="Times New Roman"/>
                <w:b/>
                <w:sz w:val="26"/>
                <w:szCs w:val="26"/>
              </w:rPr>
              <w:t>Sub-</w:t>
            </w:r>
            <w:r w:rsidRPr="00677263">
              <w:rPr>
                <w:rFonts w:ascii="Times New Roman" w:hAnsi="Times New Roman" w:cs="Times New Roman"/>
                <w:b/>
                <w:sz w:val="26"/>
                <w:szCs w:val="26"/>
              </w:rPr>
              <w:t>Total for Recordkeeping</w:t>
            </w:r>
            <w:r>
              <w:rPr>
                <w:rFonts w:ascii="Times New Roman" w:hAnsi="Times New Roman" w:cs="Times New Roman"/>
                <w:b/>
                <w:sz w:val="26"/>
                <w:szCs w:val="26"/>
              </w:rPr>
              <w:t xml:space="preserve"> Requirement</w:t>
            </w:r>
            <w:r w:rsidR="00A528E2">
              <w:rPr>
                <w:rFonts w:ascii="Times New Roman" w:hAnsi="Times New Roman" w:cs="Times New Roman"/>
                <w:b/>
                <w:sz w:val="26"/>
                <w:szCs w:val="26"/>
              </w:rPr>
              <w:t>s</w:t>
            </w:r>
            <w:r w:rsidR="005A42FB">
              <w:rPr>
                <w:rFonts w:ascii="Times New Roman" w:hAnsi="Times New Roman" w:cs="Times New Roman"/>
                <w:b/>
                <w:sz w:val="26"/>
                <w:szCs w:val="26"/>
              </w:rPr>
              <w:t xml:space="preserve"> in Yr. 1</w:t>
            </w:r>
          </w:p>
        </w:tc>
        <w:tc>
          <w:tcPr>
            <w:tcW w:w="1350" w:type="dxa"/>
          </w:tcPr>
          <w:p w14:paraId="031AA6D0" w14:textId="77777777" w:rsidR="00DC47FC" w:rsidRPr="000979A7" w:rsidRDefault="00DC47FC" w:rsidP="00677263">
            <w:pPr>
              <w:jc w:val="right"/>
              <w:rPr>
                <w:rFonts w:ascii="Times New Roman" w:eastAsia="Times New Roman" w:hAnsi="Times New Roman" w:cs="Times New Roman"/>
                <w:i/>
                <w:sz w:val="26"/>
                <w:szCs w:val="26"/>
              </w:rPr>
            </w:pPr>
          </w:p>
        </w:tc>
        <w:tc>
          <w:tcPr>
            <w:tcW w:w="1440" w:type="dxa"/>
            <w:vAlign w:val="bottom"/>
          </w:tcPr>
          <w:p w14:paraId="307E2B04" w14:textId="77777777" w:rsidR="00DC47FC" w:rsidRPr="006F71E9" w:rsidRDefault="00DC47FC" w:rsidP="00677263">
            <w:pPr>
              <w:jc w:val="right"/>
              <w:rPr>
                <w:rFonts w:ascii="Times New Roman" w:eastAsia="Times New Roman" w:hAnsi="Times New Roman" w:cs="Times New Roman"/>
                <w:i/>
                <w:sz w:val="26"/>
                <w:szCs w:val="26"/>
              </w:rPr>
            </w:pPr>
          </w:p>
        </w:tc>
        <w:tc>
          <w:tcPr>
            <w:tcW w:w="1620" w:type="dxa"/>
            <w:vAlign w:val="bottom"/>
          </w:tcPr>
          <w:p w14:paraId="73450DCC" w14:textId="77777777" w:rsidR="00355024" w:rsidRDefault="00DC47FC">
            <w:pPr>
              <w:jc w:val="right"/>
              <w:rPr>
                <w:rFonts w:ascii="Times New Roman" w:hAnsi="Times New Roman" w:cs="Times New Roman"/>
                <w:b/>
                <w:sz w:val="26"/>
                <w:szCs w:val="26"/>
              </w:rPr>
            </w:pPr>
            <w:r w:rsidRPr="006F71E9">
              <w:rPr>
                <w:rFonts w:ascii="Times New Roman" w:hAnsi="Times New Roman" w:cs="Times New Roman"/>
                <w:b/>
                <w:sz w:val="26"/>
                <w:szCs w:val="26"/>
              </w:rPr>
              <w:t>1,</w:t>
            </w:r>
            <w:r w:rsidR="00AC36FC" w:rsidRPr="008B1616">
              <w:rPr>
                <w:rFonts w:ascii="Times New Roman" w:hAnsi="Times New Roman" w:cs="Times New Roman"/>
                <w:b/>
                <w:sz w:val="26"/>
                <w:szCs w:val="26"/>
              </w:rPr>
              <w:t>611.4</w:t>
            </w:r>
            <w:r w:rsidRPr="006F71E9">
              <w:rPr>
                <w:rFonts w:ascii="Times New Roman" w:hAnsi="Times New Roman" w:cs="Times New Roman"/>
                <w:b/>
                <w:sz w:val="26"/>
                <w:szCs w:val="26"/>
              </w:rPr>
              <w:t xml:space="preserve"> hrs</w:t>
            </w:r>
            <w:r w:rsidR="00355024">
              <w:rPr>
                <w:rFonts w:ascii="Times New Roman" w:hAnsi="Times New Roman" w:cs="Times New Roman"/>
                <w:b/>
                <w:sz w:val="26"/>
                <w:szCs w:val="26"/>
              </w:rPr>
              <w:t>.;</w:t>
            </w:r>
          </w:p>
          <w:p w14:paraId="3B2F37AE" w14:textId="77777777" w:rsidR="00DC47FC" w:rsidRPr="006F71E9" w:rsidRDefault="00355024" w:rsidP="00AC36FC">
            <w:pPr>
              <w:jc w:val="right"/>
              <w:rPr>
                <w:rFonts w:ascii="Times New Roman" w:hAnsi="Times New Roman" w:cs="Times New Roman"/>
                <w:sz w:val="26"/>
                <w:szCs w:val="26"/>
              </w:rPr>
            </w:pPr>
            <w:r>
              <w:rPr>
                <w:rFonts w:ascii="Times New Roman" w:hAnsi="Times New Roman" w:cs="Times New Roman"/>
                <w:b/>
                <w:sz w:val="26"/>
                <w:szCs w:val="26"/>
              </w:rPr>
              <w:t>$50,259.57</w:t>
            </w:r>
            <w:r w:rsidR="00AC36FC" w:rsidRPr="008B1616">
              <w:rPr>
                <w:rFonts w:ascii="Times New Roman" w:hAnsi="Times New Roman" w:cs="Times New Roman"/>
                <w:b/>
                <w:sz w:val="26"/>
                <w:szCs w:val="26"/>
              </w:rPr>
              <w:t>.</w:t>
            </w:r>
          </w:p>
        </w:tc>
        <w:tc>
          <w:tcPr>
            <w:tcW w:w="1170" w:type="dxa"/>
            <w:vAlign w:val="bottom"/>
          </w:tcPr>
          <w:p w14:paraId="1D77EFB2" w14:textId="77777777" w:rsidR="00DC47FC" w:rsidRPr="006F71E9" w:rsidRDefault="00DC47FC">
            <w:pPr>
              <w:jc w:val="right"/>
              <w:rPr>
                <w:rFonts w:ascii="Times New Roman" w:hAnsi="Times New Roman" w:cs="Times New Roman"/>
                <w:sz w:val="26"/>
                <w:szCs w:val="26"/>
              </w:rPr>
            </w:pPr>
          </w:p>
        </w:tc>
      </w:tr>
      <w:tr w:rsidR="005A42FB" w:rsidRPr="00875C85" w14:paraId="16C73C22" w14:textId="77777777" w:rsidTr="009925A4">
        <w:trPr>
          <w:trHeight w:val="683"/>
        </w:trPr>
        <w:tc>
          <w:tcPr>
            <w:tcW w:w="4405" w:type="dxa"/>
            <w:gridSpan w:val="3"/>
            <w:vAlign w:val="bottom"/>
          </w:tcPr>
          <w:p w14:paraId="520C88ED" w14:textId="77777777" w:rsidR="005A42FB" w:rsidRDefault="005A42FB" w:rsidP="006F71E9">
            <w:pPr>
              <w:rPr>
                <w:rFonts w:ascii="Times New Roman" w:hAnsi="Times New Roman" w:cs="Times New Roman"/>
                <w:b/>
                <w:sz w:val="26"/>
                <w:szCs w:val="26"/>
              </w:rPr>
            </w:pPr>
            <w:r w:rsidRPr="005A42FB">
              <w:rPr>
                <w:rFonts w:ascii="Times New Roman" w:hAnsi="Times New Roman" w:cs="Times New Roman"/>
                <w:b/>
                <w:sz w:val="26"/>
                <w:szCs w:val="26"/>
              </w:rPr>
              <w:t>Sub-Total for Recordkeeping Requirement</w:t>
            </w:r>
            <w:r w:rsidR="00A528E2">
              <w:rPr>
                <w:rFonts w:ascii="Times New Roman" w:hAnsi="Times New Roman" w:cs="Times New Roman"/>
                <w:b/>
                <w:sz w:val="26"/>
                <w:szCs w:val="26"/>
              </w:rPr>
              <w:t>s</w:t>
            </w:r>
            <w:r w:rsidRPr="005A42FB">
              <w:rPr>
                <w:rFonts w:ascii="Times New Roman" w:hAnsi="Times New Roman" w:cs="Times New Roman"/>
                <w:b/>
                <w:sz w:val="26"/>
                <w:szCs w:val="26"/>
              </w:rPr>
              <w:t xml:space="preserve"> in Yr.</w:t>
            </w:r>
            <w:r>
              <w:rPr>
                <w:rFonts w:ascii="Times New Roman" w:hAnsi="Times New Roman" w:cs="Times New Roman"/>
                <w:b/>
                <w:sz w:val="26"/>
                <w:szCs w:val="26"/>
              </w:rPr>
              <w:t xml:space="preserve"> 2 &amp; ongoing</w:t>
            </w:r>
          </w:p>
        </w:tc>
        <w:tc>
          <w:tcPr>
            <w:tcW w:w="1350" w:type="dxa"/>
          </w:tcPr>
          <w:p w14:paraId="45EDE089" w14:textId="77777777" w:rsidR="005A42FB" w:rsidRPr="000979A7" w:rsidRDefault="005A42FB" w:rsidP="00677263">
            <w:pPr>
              <w:jc w:val="right"/>
              <w:rPr>
                <w:rFonts w:ascii="Times New Roman" w:eastAsia="Times New Roman" w:hAnsi="Times New Roman" w:cs="Times New Roman"/>
                <w:i/>
                <w:sz w:val="26"/>
                <w:szCs w:val="26"/>
              </w:rPr>
            </w:pPr>
          </w:p>
        </w:tc>
        <w:tc>
          <w:tcPr>
            <w:tcW w:w="1440" w:type="dxa"/>
            <w:vAlign w:val="bottom"/>
          </w:tcPr>
          <w:p w14:paraId="51CBCBF3" w14:textId="77777777" w:rsidR="005A42FB" w:rsidRPr="006F71E9" w:rsidRDefault="005A42FB" w:rsidP="00677263">
            <w:pPr>
              <w:jc w:val="right"/>
              <w:rPr>
                <w:rFonts w:ascii="Times New Roman" w:eastAsia="Times New Roman" w:hAnsi="Times New Roman" w:cs="Times New Roman"/>
                <w:i/>
                <w:sz w:val="26"/>
                <w:szCs w:val="26"/>
              </w:rPr>
            </w:pPr>
          </w:p>
        </w:tc>
        <w:tc>
          <w:tcPr>
            <w:tcW w:w="1620" w:type="dxa"/>
            <w:vAlign w:val="bottom"/>
          </w:tcPr>
          <w:p w14:paraId="125BFD80" w14:textId="77777777" w:rsidR="00355024" w:rsidRDefault="00AC36FC">
            <w:pPr>
              <w:jc w:val="right"/>
              <w:rPr>
                <w:rFonts w:ascii="Times New Roman" w:hAnsi="Times New Roman" w:cs="Times New Roman"/>
                <w:b/>
                <w:sz w:val="26"/>
                <w:szCs w:val="26"/>
              </w:rPr>
            </w:pPr>
            <w:r w:rsidRPr="008B1616">
              <w:rPr>
                <w:rFonts w:ascii="Times New Roman" w:hAnsi="Times New Roman" w:cs="Times New Roman"/>
                <w:b/>
                <w:sz w:val="26"/>
                <w:szCs w:val="26"/>
              </w:rPr>
              <w:t>1,029.4 hrs.</w:t>
            </w:r>
            <w:r w:rsidR="00355024">
              <w:rPr>
                <w:rFonts w:ascii="Times New Roman" w:hAnsi="Times New Roman" w:cs="Times New Roman"/>
                <w:b/>
                <w:sz w:val="26"/>
                <w:szCs w:val="26"/>
              </w:rPr>
              <w:t xml:space="preserve">; </w:t>
            </w:r>
          </w:p>
          <w:p w14:paraId="6E18D144" w14:textId="77777777" w:rsidR="005A42FB" w:rsidRPr="008B1616" w:rsidRDefault="00355024">
            <w:pPr>
              <w:jc w:val="right"/>
              <w:rPr>
                <w:rFonts w:ascii="Times New Roman" w:hAnsi="Times New Roman" w:cs="Times New Roman"/>
                <w:b/>
                <w:sz w:val="26"/>
                <w:szCs w:val="26"/>
              </w:rPr>
            </w:pPr>
            <w:r>
              <w:rPr>
                <w:rFonts w:ascii="Times New Roman" w:hAnsi="Times New Roman" w:cs="Times New Roman"/>
                <w:b/>
                <w:sz w:val="26"/>
                <w:szCs w:val="26"/>
              </w:rPr>
              <w:t>$</w:t>
            </w:r>
            <w:r w:rsidR="00A528E2">
              <w:rPr>
                <w:rFonts w:ascii="Times New Roman" w:hAnsi="Times New Roman" w:cs="Times New Roman"/>
                <w:b/>
                <w:sz w:val="26"/>
                <w:szCs w:val="26"/>
              </w:rPr>
              <w:t>32,106.99</w:t>
            </w:r>
          </w:p>
        </w:tc>
        <w:tc>
          <w:tcPr>
            <w:tcW w:w="1170" w:type="dxa"/>
            <w:vAlign w:val="bottom"/>
          </w:tcPr>
          <w:p w14:paraId="49211FA1" w14:textId="77777777" w:rsidR="005A42FB" w:rsidRPr="006F71E9" w:rsidRDefault="005A42FB">
            <w:pPr>
              <w:jc w:val="right"/>
              <w:rPr>
                <w:rFonts w:ascii="Times New Roman" w:hAnsi="Times New Roman" w:cs="Times New Roman"/>
                <w:sz w:val="26"/>
                <w:szCs w:val="26"/>
              </w:rPr>
            </w:pPr>
          </w:p>
        </w:tc>
      </w:tr>
      <w:tr w:rsidR="00DC47FC" w:rsidRPr="00875C85" w14:paraId="27DB29E6" w14:textId="77777777" w:rsidTr="009925A4">
        <w:tc>
          <w:tcPr>
            <w:tcW w:w="4405" w:type="dxa"/>
            <w:gridSpan w:val="3"/>
            <w:vAlign w:val="bottom"/>
          </w:tcPr>
          <w:p w14:paraId="745A9341" w14:textId="77777777" w:rsidR="00DC47FC" w:rsidRPr="00677263" w:rsidRDefault="006F71E9" w:rsidP="00677263">
            <w:pPr>
              <w:rPr>
                <w:rFonts w:ascii="Times New Roman" w:hAnsi="Times New Roman" w:cs="Times New Roman"/>
                <w:sz w:val="26"/>
                <w:szCs w:val="26"/>
              </w:rPr>
            </w:pPr>
            <w:r w:rsidRPr="00677263">
              <w:rPr>
                <w:rFonts w:ascii="Times New Roman" w:hAnsi="Times New Roman" w:cs="Times New Roman"/>
                <w:b/>
                <w:sz w:val="26"/>
                <w:szCs w:val="26"/>
              </w:rPr>
              <w:t>TOTAL FOR FERC-725E</w:t>
            </w:r>
            <w:r>
              <w:rPr>
                <w:rFonts w:ascii="Times New Roman" w:hAnsi="Times New Roman" w:cs="Times New Roman"/>
                <w:b/>
                <w:sz w:val="26"/>
                <w:szCs w:val="26"/>
              </w:rPr>
              <w:t>, IN YR. 1</w:t>
            </w:r>
          </w:p>
        </w:tc>
        <w:tc>
          <w:tcPr>
            <w:tcW w:w="1350" w:type="dxa"/>
            <w:vAlign w:val="bottom"/>
          </w:tcPr>
          <w:p w14:paraId="51D01993" w14:textId="77777777" w:rsidR="00DC47FC" w:rsidRPr="000979A7" w:rsidRDefault="00DC47FC" w:rsidP="00677263">
            <w:pPr>
              <w:jc w:val="right"/>
              <w:rPr>
                <w:rFonts w:ascii="Times New Roman" w:eastAsia="Times New Roman" w:hAnsi="Times New Roman" w:cs="Times New Roman"/>
                <w:i/>
                <w:sz w:val="26"/>
                <w:szCs w:val="26"/>
              </w:rPr>
            </w:pPr>
          </w:p>
        </w:tc>
        <w:tc>
          <w:tcPr>
            <w:tcW w:w="1440" w:type="dxa"/>
            <w:vAlign w:val="bottom"/>
          </w:tcPr>
          <w:p w14:paraId="37720B13" w14:textId="77777777" w:rsidR="00DC47FC" w:rsidRPr="003A70CA" w:rsidRDefault="00DC47FC" w:rsidP="00677263">
            <w:pPr>
              <w:jc w:val="right"/>
              <w:rPr>
                <w:rFonts w:ascii="Times New Roman" w:eastAsia="Times New Roman" w:hAnsi="Times New Roman" w:cs="Times New Roman"/>
                <w:i/>
                <w:sz w:val="26"/>
                <w:szCs w:val="26"/>
              </w:rPr>
            </w:pPr>
          </w:p>
        </w:tc>
        <w:tc>
          <w:tcPr>
            <w:tcW w:w="1620" w:type="dxa"/>
            <w:vAlign w:val="bottom"/>
          </w:tcPr>
          <w:p w14:paraId="2D1F963F" w14:textId="77777777" w:rsidR="00DC47FC" w:rsidRPr="008B1616" w:rsidRDefault="006F71E9" w:rsidP="00B73FA8">
            <w:pPr>
              <w:jc w:val="right"/>
              <w:rPr>
                <w:rFonts w:ascii="Times New Roman" w:hAnsi="Times New Roman" w:cs="Times New Roman"/>
                <w:b/>
                <w:sz w:val="26"/>
                <w:szCs w:val="26"/>
              </w:rPr>
            </w:pPr>
            <w:r w:rsidRPr="008B1616">
              <w:rPr>
                <w:rFonts w:ascii="Times New Roman" w:hAnsi="Times New Roman" w:cs="Times New Roman"/>
                <w:b/>
                <w:sz w:val="26"/>
                <w:szCs w:val="26"/>
              </w:rPr>
              <w:t>9,522.4 hrs.</w:t>
            </w:r>
            <w:r w:rsidR="003A70CA" w:rsidRPr="008B1616">
              <w:rPr>
                <w:rFonts w:ascii="Times New Roman" w:hAnsi="Times New Roman" w:cs="Times New Roman"/>
                <w:b/>
                <w:sz w:val="26"/>
                <w:szCs w:val="26"/>
              </w:rPr>
              <w:t>;</w:t>
            </w:r>
          </w:p>
          <w:p w14:paraId="2FD3A729" w14:textId="77777777" w:rsidR="003A70CA" w:rsidRPr="003A70CA" w:rsidRDefault="003A70CA" w:rsidP="00B73FA8">
            <w:pPr>
              <w:jc w:val="right"/>
              <w:rPr>
                <w:rFonts w:ascii="Times New Roman" w:hAnsi="Times New Roman" w:cs="Times New Roman"/>
                <w:sz w:val="26"/>
                <w:szCs w:val="26"/>
              </w:rPr>
            </w:pPr>
            <w:r w:rsidRPr="008B1616">
              <w:rPr>
                <w:rFonts w:ascii="Times New Roman" w:hAnsi="Times New Roman" w:cs="Times New Roman"/>
                <w:b/>
                <w:sz w:val="26"/>
                <w:szCs w:val="26"/>
              </w:rPr>
              <w:t>$659,327.46</w:t>
            </w:r>
          </w:p>
        </w:tc>
        <w:tc>
          <w:tcPr>
            <w:tcW w:w="1170" w:type="dxa"/>
            <w:vAlign w:val="bottom"/>
          </w:tcPr>
          <w:p w14:paraId="65C0932E" w14:textId="77777777" w:rsidR="00DC47FC" w:rsidRPr="003A70CA" w:rsidRDefault="00DC47FC">
            <w:pPr>
              <w:jc w:val="right"/>
              <w:rPr>
                <w:rFonts w:ascii="Times New Roman" w:hAnsi="Times New Roman" w:cs="Times New Roman"/>
                <w:sz w:val="26"/>
                <w:szCs w:val="26"/>
              </w:rPr>
            </w:pPr>
          </w:p>
        </w:tc>
      </w:tr>
      <w:tr w:rsidR="006F71E9" w:rsidRPr="00875C85" w14:paraId="1C8DF297" w14:textId="77777777" w:rsidTr="009925A4">
        <w:tc>
          <w:tcPr>
            <w:tcW w:w="4405" w:type="dxa"/>
            <w:gridSpan w:val="3"/>
            <w:vAlign w:val="bottom"/>
          </w:tcPr>
          <w:p w14:paraId="1DE31C65" w14:textId="77777777" w:rsidR="006F71E9" w:rsidRDefault="006F71E9" w:rsidP="00677263">
            <w:pPr>
              <w:rPr>
                <w:rFonts w:ascii="Times New Roman" w:hAnsi="Times New Roman" w:cs="Times New Roman"/>
                <w:b/>
                <w:sz w:val="26"/>
                <w:szCs w:val="26"/>
              </w:rPr>
            </w:pPr>
            <w:r w:rsidRPr="006F71E9">
              <w:rPr>
                <w:rFonts w:ascii="Times New Roman" w:hAnsi="Times New Roman" w:cs="Times New Roman"/>
                <w:b/>
                <w:sz w:val="26"/>
                <w:szCs w:val="26"/>
              </w:rPr>
              <w:t>TOTAL FOR FERC-</w:t>
            </w:r>
            <w:r>
              <w:rPr>
                <w:rFonts w:ascii="Times New Roman" w:hAnsi="Times New Roman" w:cs="Times New Roman"/>
                <w:b/>
                <w:sz w:val="26"/>
                <w:szCs w:val="26"/>
              </w:rPr>
              <w:t>725E, IN YR. 2 &amp; ONGOING</w:t>
            </w:r>
          </w:p>
        </w:tc>
        <w:tc>
          <w:tcPr>
            <w:tcW w:w="1350" w:type="dxa"/>
            <w:vAlign w:val="bottom"/>
          </w:tcPr>
          <w:p w14:paraId="2CC51F3E" w14:textId="77777777" w:rsidR="006F71E9" w:rsidRPr="000979A7" w:rsidRDefault="006F71E9" w:rsidP="00677263">
            <w:pPr>
              <w:jc w:val="right"/>
              <w:rPr>
                <w:rFonts w:ascii="Times New Roman" w:eastAsia="Times New Roman" w:hAnsi="Times New Roman" w:cs="Times New Roman"/>
                <w:i/>
                <w:sz w:val="26"/>
                <w:szCs w:val="26"/>
              </w:rPr>
            </w:pPr>
          </w:p>
        </w:tc>
        <w:tc>
          <w:tcPr>
            <w:tcW w:w="1440" w:type="dxa"/>
            <w:vAlign w:val="bottom"/>
          </w:tcPr>
          <w:p w14:paraId="214C4B1E" w14:textId="77777777" w:rsidR="006F71E9" w:rsidRPr="003A70CA" w:rsidRDefault="006F71E9" w:rsidP="00677263">
            <w:pPr>
              <w:jc w:val="right"/>
              <w:rPr>
                <w:rFonts w:ascii="Times New Roman" w:eastAsia="Times New Roman" w:hAnsi="Times New Roman" w:cs="Times New Roman"/>
                <w:i/>
                <w:sz w:val="26"/>
                <w:szCs w:val="26"/>
              </w:rPr>
            </w:pPr>
          </w:p>
        </w:tc>
        <w:tc>
          <w:tcPr>
            <w:tcW w:w="1620" w:type="dxa"/>
            <w:vAlign w:val="bottom"/>
          </w:tcPr>
          <w:p w14:paraId="06EA7D37" w14:textId="77777777" w:rsidR="003A70CA" w:rsidRPr="008B1616" w:rsidRDefault="006F71E9" w:rsidP="00B73FA8">
            <w:pPr>
              <w:jc w:val="right"/>
              <w:rPr>
                <w:rFonts w:ascii="Times New Roman" w:hAnsi="Times New Roman" w:cs="Times New Roman"/>
                <w:b/>
                <w:sz w:val="26"/>
                <w:szCs w:val="26"/>
              </w:rPr>
            </w:pPr>
            <w:r w:rsidRPr="008B1616">
              <w:rPr>
                <w:rFonts w:ascii="Times New Roman" w:hAnsi="Times New Roman" w:cs="Times New Roman"/>
                <w:b/>
                <w:sz w:val="26"/>
                <w:szCs w:val="26"/>
              </w:rPr>
              <w:t>8,649.4 hrs.</w:t>
            </w:r>
            <w:r w:rsidR="003A70CA" w:rsidRPr="008B1616">
              <w:rPr>
                <w:rFonts w:ascii="Times New Roman" w:hAnsi="Times New Roman" w:cs="Times New Roman"/>
                <w:b/>
                <w:sz w:val="26"/>
                <w:szCs w:val="26"/>
              </w:rPr>
              <w:t>;</w:t>
            </w:r>
          </w:p>
          <w:p w14:paraId="6CD26D1C" w14:textId="77777777" w:rsidR="006F71E9" w:rsidRPr="008B1616" w:rsidRDefault="003A70CA" w:rsidP="00B73FA8">
            <w:pPr>
              <w:jc w:val="right"/>
              <w:rPr>
                <w:rFonts w:ascii="Times New Roman" w:hAnsi="Times New Roman" w:cs="Times New Roman"/>
                <w:b/>
                <w:sz w:val="26"/>
                <w:szCs w:val="26"/>
              </w:rPr>
            </w:pPr>
            <w:r w:rsidRPr="008B1616">
              <w:rPr>
                <w:rFonts w:ascii="Times New Roman" w:hAnsi="Times New Roman" w:cs="Times New Roman"/>
                <w:b/>
                <w:sz w:val="26"/>
                <w:szCs w:val="26"/>
              </w:rPr>
              <w:t>$618,770.79</w:t>
            </w:r>
          </w:p>
        </w:tc>
        <w:tc>
          <w:tcPr>
            <w:tcW w:w="1170" w:type="dxa"/>
            <w:vAlign w:val="bottom"/>
          </w:tcPr>
          <w:p w14:paraId="5FB0CBF9" w14:textId="77777777" w:rsidR="006F71E9" w:rsidRPr="003A70CA" w:rsidRDefault="006F71E9">
            <w:pPr>
              <w:jc w:val="right"/>
              <w:rPr>
                <w:rFonts w:ascii="Times New Roman" w:hAnsi="Times New Roman" w:cs="Times New Roman"/>
                <w:sz w:val="26"/>
                <w:szCs w:val="26"/>
              </w:rPr>
            </w:pPr>
          </w:p>
        </w:tc>
      </w:tr>
    </w:tbl>
    <w:p w14:paraId="0CA04A40" w14:textId="77777777" w:rsidR="00E30633" w:rsidRPr="00E30633" w:rsidRDefault="00E30633" w:rsidP="00096E49">
      <w:pPr>
        <w:spacing w:before="240" w:after="0" w:line="480" w:lineRule="auto"/>
        <w:rPr>
          <w:rFonts w:ascii="Times New Roman" w:eastAsia="Times New Roman" w:hAnsi="Times New Roman" w:cs="Times New Roman"/>
          <w:sz w:val="26"/>
          <w:szCs w:val="24"/>
        </w:rPr>
      </w:pPr>
      <w:r w:rsidRPr="00E30633">
        <w:rPr>
          <w:rFonts w:ascii="Times New Roman" w:eastAsia="Times New Roman" w:hAnsi="Times New Roman" w:cs="Times New Roman"/>
          <w:i/>
          <w:sz w:val="26"/>
          <w:szCs w:val="24"/>
        </w:rPr>
        <w:t xml:space="preserve">Comments:  </w:t>
      </w:r>
      <w:r w:rsidRPr="00E30633">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B7E1DEF" w14:textId="77777777" w:rsidR="006870DD" w:rsidRDefault="006870DD" w:rsidP="006870DD">
      <w:pPr>
        <w:spacing w:after="0" w:line="240" w:lineRule="auto"/>
        <w:ind w:firstLine="2174"/>
        <w:jc w:val="center"/>
        <w:rPr>
          <w:rFonts w:ascii="Times New Roman" w:hAnsi="Times New Roman" w:cs="Times New Roman"/>
          <w:sz w:val="26"/>
        </w:rPr>
      </w:pPr>
    </w:p>
    <w:p w14:paraId="304F6245" w14:textId="77777777" w:rsidR="006870DD" w:rsidRDefault="006870DD" w:rsidP="006870DD">
      <w:pPr>
        <w:spacing w:after="0" w:line="240" w:lineRule="auto"/>
        <w:ind w:firstLine="2174"/>
        <w:jc w:val="center"/>
        <w:rPr>
          <w:rFonts w:ascii="Times New Roman" w:hAnsi="Times New Roman" w:cs="Times New Roman"/>
          <w:sz w:val="26"/>
        </w:rPr>
      </w:pPr>
    </w:p>
    <w:p w14:paraId="7079C210" w14:textId="77777777" w:rsidR="006870DD" w:rsidRDefault="006870DD" w:rsidP="006870DD">
      <w:pPr>
        <w:spacing w:after="0" w:line="240" w:lineRule="auto"/>
        <w:ind w:firstLine="2174"/>
        <w:jc w:val="center"/>
        <w:rPr>
          <w:rFonts w:ascii="Times New Roman" w:hAnsi="Times New Roman" w:cs="Times New Roman"/>
          <w:sz w:val="26"/>
        </w:rPr>
      </w:pPr>
    </w:p>
    <w:p w14:paraId="09F88BCF" w14:textId="098DBFF5" w:rsidR="006870DD" w:rsidRPr="006870DD" w:rsidRDefault="006870DD" w:rsidP="006870DD">
      <w:pPr>
        <w:spacing w:after="0" w:line="240" w:lineRule="auto"/>
        <w:ind w:firstLine="2174"/>
        <w:jc w:val="center"/>
        <w:rPr>
          <w:rFonts w:ascii="Times New Roman" w:hAnsi="Times New Roman" w:cs="Times New Roman"/>
          <w:sz w:val="26"/>
        </w:rPr>
      </w:pPr>
      <w:r w:rsidRPr="006870DD">
        <w:rPr>
          <w:rFonts w:ascii="Times New Roman" w:hAnsi="Times New Roman" w:cs="Times New Roman"/>
          <w:sz w:val="26"/>
        </w:rPr>
        <w:t>Kimberly D. Bose,</w:t>
      </w:r>
    </w:p>
    <w:p w14:paraId="7E5C222E" w14:textId="1E09DD5E" w:rsidR="006870DD" w:rsidRPr="006870DD" w:rsidRDefault="006870DD" w:rsidP="006870DD">
      <w:pPr>
        <w:spacing w:after="0" w:line="240" w:lineRule="auto"/>
        <w:ind w:firstLine="2174"/>
        <w:jc w:val="center"/>
      </w:pPr>
      <w:r w:rsidRPr="006870DD">
        <w:rPr>
          <w:rFonts w:ascii="Times New Roman" w:hAnsi="Times New Roman" w:cs="Times New Roman"/>
          <w:sz w:val="26"/>
        </w:rPr>
        <w:t>Secretary.</w:t>
      </w:r>
    </w:p>
    <w:p w14:paraId="7FC37C8A" w14:textId="77777777" w:rsidR="006870DD" w:rsidRPr="000027F9" w:rsidRDefault="006870DD" w:rsidP="00763576">
      <w:pPr>
        <w:spacing w:line="480" w:lineRule="auto"/>
        <w:rPr>
          <w:rFonts w:ascii="Times New Roman" w:hAnsi="Times New Roman" w:cs="Times New Roman"/>
          <w:sz w:val="26"/>
          <w:szCs w:val="26"/>
        </w:rPr>
      </w:pPr>
    </w:p>
    <w:sectPr w:rsidR="006870DD" w:rsidRPr="000027F9" w:rsidSect="00FB7947">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927B4" w14:textId="77777777" w:rsidR="00EF08BF" w:rsidRDefault="00EF08BF" w:rsidP="00AD1160">
      <w:pPr>
        <w:spacing w:after="0" w:line="240" w:lineRule="auto"/>
      </w:pPr>
      <w:r>
        <w:separator/>
      </w:r>
    </w:p>
  </w:endnote>
  <w:endnote w:type="continuationSeparator" w:id="0">
    <w:p w14:paraId="0A3CC494" w14:textId="77777777" w:rsidR="00EF08BF" w:rsidRDefault="00EF08BF"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2F80B" w14:textId="77777777" w:rsidR="00EF08BF" w:rsidRDefault="00EF08BF" w:rsidP="00AD1160">
      <w:pPr>
        <w:spacing w:after="0" w:line="240" w:lineRule="auto"/>
      </w:pPr>
      <w:r>
        <w:separator/>
      </w:r>
    </w:p>
  </w:footnote>
  <w:footnote w:type="continuationSeparator" w:id="0">
    <w:p w14:paraId="66B5FCA8" w14:textId="77777777" w:rsidR="00EF08BF" w:rsidRDefault="00EF08BF" w:rsidP="00AD1160">
      <w:pPr>
        <w:spacing w:after="0" w:line="240" w:lineRule="auto"/>
      </w:pPr>
      <w:r>
        <w:continuationSeparator/>
      </w:r>
    </w:p>
  </w:footnote>
  <w:footnote w:id="1">
    <w:p w14:paraId="24805AEC" w14:textId="77777777" w:rsidR="00697796" w:rsidRPr="00ED5F71" w:rsidRDefault="00697796" w:rsidP="00096E49">
      <w:pPr>
        <w:pStyle w:val="FootnoteText"/>
        <w:spacing w:after="240"/>
        <w:ind w:firstLine="720"/>
        <w:rPr>
          <w:szCs w:val="22"/>
        </w:rPr>
      </w:pPr>
      <w:r w:rsidRPr="00ED5F71">
        <w:rPr>
          <w:rStyle w:val="FootnoteReference"/>
          <w:sz w:val="22"/>
          <w:szCs w:val="22"/>
        </w:rPr>
        <w:footnoteRef/>
      </w:r>
      <w:r w:rsidRPr="00ED5F71">
        <w:rPr>
          <w:szCs w:val="22"/>
        </w:rPr>
        <w:t xml:space="preserve"> </w:t>
      </w:r>
      <w:r w:rsidRPr="000027F9">
        <w:rPr>
          <w:rFonts w:ascii="Times New Roman" w:hAnsi="Times New Roman" w:cs="Times New Roman"/>
          <w:sz w:val="26"/>
          <w:szCs w:val="26"/>
        </w:rPr>
        <w:t>16 U.S.C. 824o(e)(4).</w:t>
      </w:r>
      <w:r w:rsidRPr="00ED5F71">
        <w:rPr>
          <w:szCs w:val="22"/>
        </w:rPr>
        <w:t xml:space="preserve"> </w:t>
      </w:r>
    </w:p>
  </w:footnote>
  <w:footnote w:id="2">
    <w:p w14:paraId="6B2CDEB5" w14:textId="77777777" w:rsidR="00697796" w:rsidRPr="00ED5F71" w:rsidRDefault="00697796" w:rsidP="00096E49">
      <w:pPr>
        <w:pStyle w:val="FootnoteText"/>
        <w:spacing w:after="240"/>
        <w:ind w:firstLine="720"/>
        <w:rPr>
          <w:szCs w:val="22"/>
        </w:rPr>
      </w:pPr>
      <w:r w:rsidRPr="00ED5F71">
        <w:rPr>
          <w:rStyle w:val="FootnoteReference"/>
          <w:sz w:val="22"/>
          <w:szCs w:val="22"/>
        </w:rPr>
        <w:footnoteRef/>
      </w:r>
      <w:r w:rsidRPr="00ED5F71">
        <w:rPr>
          <w:szCs w:val="22"/>
        </w:rPr>
        <w:t xml:space="preserve">  </w:t>
      </w:r>
      <w:r w:rsidRPr="000027F9">
        <w:rPr>
          <w:rFonts w:ascii="Times New Roman" w:hAnsi="Times New Roman" w:cs="Times New Roman"/>
          <w:sz w:val="26"/>
          <w:szCs w:val="26"/>
        </w:rPr>
        <w:t>16 U.S.C. 824o(a)(7) and (e)(4).</w:t>
      </w:r>
      <w:r w:rsidRPr="00ED5F71">
        <w:rPr>
          <w:szCs w:val="22"/>
        </w:rPr>
        <w:t xml:space="preserve"> </w:t>
      </w:r>
    </w:p>
  </w:footnote>
  <w:footnote w:id="3">
    <w:p w14:paraId="3368B0D4" w14:textId="040EF350" w:rsidR="00697796" w:rsidRPr="00ED5F71" w:rsidRDefault="00697796" w:rsidP="00096E49">
      <w:pPr>
        <w:pStyle w:val="FootnoteText"/>
        <w:spacing w:after="240"/>
        <w:ind w:firstLine="720"/>
        <w:rPr>
          <w:szCs w:val="22"/>
        </w:rPr>
      </w:pPr>
      <w:r w:rsidRPr="00ED5F71">
        <w:rPr>
          <w:rStyle w:val="FootnoteReference"/>
          <w:sz w:val="22"/>
          <w:szCs w:val="22"/>
        </w:rPr>
        <w:footnoteRef/>
      </w:r>
      <w:r w:rsidRPr="00ED5F71">
        <w:rPr>
          <w:szCs w:val="22"/>
        </w:rPr>
        <w:t xml:space="preserve">  </w:t>
      </w:r>
      <w:r w:rsidRPr="00096E49">
        <w:rPr>
          <w:rFonts w:ascii="Times New Roman" w:hAnsi="Times New Roman" w:cs="Times New Roman"/>
          <w:i/>
          <w:sz w:val="26"/>
          <w:szCs w:val="26"/>
        </w:rPr>
        <w:t>North American Electric Reliability Corp.</w:t>
      </w:r>
      <w:r w:rsidRPr="00096E49">
        <w:rPr>
          <w:rFonts w:ascii="Times New Roman" w:hAnsi="Times New Roman" w:cs="Times New Roman"/>
          <w:sz w:val="26"/>
          <w:szCs w:val="26"/>
        </w:rPr>
        <w:t>, 119 FERC ¶ 61,260 (2007)</w:t>
      </w:r>
      <w:r>
        <w:rPr>
          <w:rFonts w:ascii="Times New Roman" w:hAnsi="Times New Roman" w:cs="Times New Roman"/>
          <w:sz w:val="26"/>
          <w:szCs w:val="26"/>
        </w:rPr>
        <w:t>.</w:t>
      </w:r>
    </w:p>
  </w:footnote>
  <w:footnote w:id="4">
    <w:p w14:paraId="23059219" w14:textId="4C15E7CD" w:rsidR="00697796" w:rsidRPr="00C63A3A" w:rsidRDefault="00697796" w:rsidP="00096E49">
      <w:pPr>
        <w:pStyle w:val="FootnoteText"/>
        <w:spacing w:after="240"/>
        <w:ind w:firstLine="720"/>
        <w:rPr>
          <w:rFonts w:ascii="Times New Roman" w:hAnsi="Times New Roman" w:cs="Times New Roman"/>
          <w:sz w:val="26"/>
          <w:szCs w:val="26"/>
        </w:rPr>
      </w:pPr>
      <w:r w:rsidRPr="0050165D">
        <w:rPr>
          <w:rStyle w:val="FootnoteReference"/>
          <w:rFonts w:cs="Times New Roman"/>
        </w:rPr>
        <w:footnoteRef/>
      </w:r>
      <w:r w:rsidRPr="00C63A3A">
        <w:rPr>
          <w:rFonts w:ascii="Times New Roman" w:hAnsi="Times New Roman" w:cs="Times New Roman"/>
          <w:sz w:val="26"/>
          <w:szCs w:val="26"/>
        </w:rPr>
        <w:t xml:space="preserve"> </w:t>
      </w:r>
      <w:r>
        <w:rPr>
          <w:rFonts w:ascii="Times New Roman" w:hAnsi="Times New Roman" w:cs="Times New Roman"/>
          <w:sz w:val="26"/>
          <w:szCs w:val="26"/>
        </w:rPr>
        <w:t xml:space="preserve">BAL-002-WECC-2 is included in the OMB-approved inventory for FERC-725E.  On November 9, 2016, NERC and WECC submitted a joint petition for approval of an interpretation of </w:t>
      </w:r>
      <w:r w:rsidRPr="005A2225">
        <w:rPr>
          <w:rFonts w:ascii="Times New Roman" w:hAnsi="Times New Roman" w:cs="Times New Roman"/>
          <w:sz w:val="26"/>
          <w:szCs w:val="26"/>
        </w:rPr>
        <w:t>BAL-002-WECC-2</w:t>
      </w:r>
      <w:r>
        <w:rPr>
          <w:rFonts w:ascii="Times New Roman" w:hAnsi="Times New Roman" w:cs="Times New Roman"/>
          <w:sz w:val="26"/>
          <w:szCs w:val="26"/>
        </w:rPr>
        <w:t xml:space="preserve">, to be designated </w:t>
      </w:r>
      <w:r w:rsidRPr="00C63A3A">
        <w:rPr>
          <w:rFonts w:ascii="Times New Roman" w:hAnsi="Times New Roman" w:cs="Times New Roman"/>
          <w:sz w:val="26"/>
          <w:szCs w:val="26"/>
        </w:rPr>
        <w:t>BAL</w:t>
      </w:r>
      <w:r w:rsidRPr="005A2225">
        <w:rPr>
          <w:rFonts w:ascii="Times New Roman" w:hAnsi="Times New Roman" w:cs="Times New Roman"/>
          <w:sz w:val="26"/>
          <w:szCs w:val="26"/>
        </w:rPr>
        <w:t>-002-WECC-2a</w:t>
      </w:r>
      <w:r>
        <w:rPr>
          <w:rFonts w:ascii="Times New Roman" w:hAnsi="Times New Roman" w:cs="Times New Roman"/>
          <w:sz w:val="26"/>
          <w:szCs w:val="26"/>
        </w:rPr>
        <w:t xml:space="preserve">.  </w:t>
      </w:r>
      <w:r w:rsidRPr="00C63A3A">
        <w:rPr>
          <w:rFonts w:ascii="Times New Roman" w:hAnsi="Times New Roman" w:cs="Times New Roman"/>
          <w:sz w:val="26"/>
          <w:szCs w:val="26"/>
        </w:rPr>
        <w:t>BAL</w:t>
      </w:r>
      <w:r w:rsidRPr="005A2225">
        <w:rPr>
          <w:rFonts w:ascii="Times New Roman" w:hAnsi="Times New Roman" w:cs="Times New Roman"/>
          <w:sz w:val="26"/>
          <w:szCs w:val="26"/>
        </w:rPr>
        <w:t>-002-WECC-2a</w:t>
      </w:r>
      <w:r>
        <w:rPr>
          <w:rFonts w:ascii="Times New Roman" w:hAnsi="Times New Roman" w:cs="Times New Roman"/>
          <w:sz w:val="26"/>
          <w:szCs w:val="26"/>
        </w:rPr>
        <w:t xml:space="preserve"> was approved by o</w:t>
      </w:r>
      <w:r w:rsidRPr="00C63A3A">
        <w:rPr>
          <w:rFonts w:ascii="Times New Roman" w:hAnsi="Times New Roman" w:cs="Times New Roman"/>
          <w:sz w:val="26"/>
          <w:szCs w:val="26"/>
        </w:rPr>
        <w:t>rder in Docket No. RD17-3</w:t>
      </w:r>
      <w:r>
        <w:rPr>
          <w:rFonts w:ascii="Times New Roman" w:hAnsi="Times New Roman" w:cs="Times New Roman"/>
          <w:sz w:val="26"/>
          <w:szCs w:val="26"/>
        </w:rPr>
        <w:t>-000 on January 24, 2017</w:t>
      </w:r>
      <w:r w:rsidRPr="00C63A3A">
        <w:rPr>
          <w:rFonts w:ascii="Times New Roman" w:hAnsi="Times New Roman" w:cs="Times New Roman"/>
          <w:sz w:val="26"/>
          <w:szCs w:val="26"/>
        </w:rPr>
        <w:t xml:space="preserve">.  </w:t>
      </w:r>
      <w:r>
        <w:rPr>
          <w:rFonts w:ascii="Times New Roman" w:hAnsi="Times New Roman" w:cs="Times New Roman"/>
          <w:sz w:val="26"/>
          <w:szCs w:val="26"/>
        </w:rPr>
        <w:t>The Order determined:</w:t>
      </w:r>
      <w:r w:rsidRPr="0050165D">
        <w:t xml:space="preserve"> </w:t>
      </w:r>
      <w:r>
        <w:t xml:space="preserve"> </w:t>
      </w:r>
      <w:r w:rsidR="00350ECB">
        <w:rPr>
          <w:rFonts w:ascii="Times New Roman" w:hAnsi="Times New Roman" w:cs="Times New Roman"/>
          <w:sz w:val="26"/>
          <w:szCs w:val="26"/>
        </w:rPr>
        <w:t>“</w:t>
      </w:r>
      <w:r w:rsidRPr="0050165D">
        <w:rPr>
          <w:rFonts w:ascii="Times New Roman" w:hAnsi="Times New Roman" w:cs="Times New Roman"/>
          <w:sz w:val="26"/>
          <w:szCs w:val="26"/>
        </w:rPr>
        <w:t>The proposed interpretation provides clarification regarding the types of resources that may be used to satisfy Contingency Reserve requirements in regional Reliability Standard BAL-002-WECC-2.</w:t>
      </w:r>
      <w:r>
        <w:rPr>
          <w:rFonts w:ascii="Times New Roman" w:hAnsi="Times New Roman" w:cs="Times New Roman"/>
          <w:sz w:val="26"/>
          <w:szCs w:val="26"/>
        </w:rPr>
        <w:t xml:space="preserve">”  </w:t>
      </w:r>
      <w:r w:rsidRPr="005A2225">
        <w:rPr>
          <w:rFonts w:ascii="Times New Roman" w:hAnsi="Times New Roman" w:cs="Times New Roman"/>
          <w:sz w:val="26"/>
          <w:szCs w:val="26"/>
        </w:rPr>
        <w:t xml:space="preserve">BAL-002-WECC-2a </w:t>
      </w:r>
      <w:r>
        <w:rPr>
          <w:rFonts w:ascii="Times New Roman" w:hAnsi="Times New Roman" w:cs="Times New Roman"/>
          <w:sz w:val="26"/>
          <w:szCs w:val="26"/>
        </w:rPr>
        <w:t>did not trigger the Paperwork Reduction Act and did not affect the burden estimate.  BAL-002-WECC-2a is being included in this Notice and the Commission’s submittal to OMB as part of the FERC-725E.</w:t>
      </w:r>
    </w:p>
  </w:footnote>
  <w:footnote w:id="5">
    <w:p w14:paraId="19B90486" w14:textId="77777777" w:rsidR="00697796" w:rsidRPr="00096E49" w:rsidRDefault="00697796" w:rsidP="00096E49">
      <w:pPr>
        <w:pStyle w:val="FootnoteText"/>
        <w:spacing w:after="240"/>
        <w:ind w:firstLine="720"/>
        <w:rPr>
          <w:rFonts w:ascii="Times New Roman" w:hAnsi="Times New Roman" w:cs="Times New Roman"/>
          <w:sz w:val="26"/>
          <w:szCs w:val="26"/>
        </w:rPr>
      </w:pPr>
      <w:r w:rsidRPr="002844BC">
        <w:rPr>
          <w:rStyle w:val="FootnoteReference"/>
          <w:rFonts w:cs="Times New Roman"/>
        </w:rPr>
        <w:footnoteRef/>
      </w:r>
      <w:r w:rsidRPr="00C63A3A">
        <w:rPr>
          <w:rFonts w:ascii="Times New Roman" w:hAnsi="Times New Roman" w:cs="Times New Roman"/>
          <w:sz w:val="26"/>
          <w:szCs w:val="26"/>
        </w:rPr>
        <w:t xml:space="preserve"> On </w:t>
      </w:r>
      <w:r>
        <w:rPr>
          <w:rFonts w:ascii="Times New Roman" w:hAnsi="Times New Roman" w:cs="Times New Roman"/>
          <w:sz w:val="26"/>
          <w:szCs w:val="26"/>
        </w:rPr>
        <w:t>December 20, 2013</w:t>
      </w:r>
      <w:r w:rsidRPr="00C63A3A">
        <w:rPr>
          <w:rFonts w:ascii="Times New Roman" w:hAnsi="Times New Roman" w:cs="Times New Roman"/>
          <w:sz w:val="26"/>
          <w:szCs w:val="26"/>
        </w:rPr>
        <w:t xml:space="preserve">, NERC and WECC submitted a </w:t>
      </w:r>
      <w:r>
        <w:rPr>
          <w:rFonts w:ascii="Times New Roman" w:hAnsi="Times New Roman" w:cs="Times New Roman"/>
          <w:sz w:val="26"/>
          <w:szCs w:val="26"/>
        </w:rPr>
        <w:t>j</w:t>
      </w:r>
      <w:r w:rsidRPr="00C63A3A">
        <w:rPr>
          <w:rFonts w:ascii="Times New Roman" w:hAnsi="Times New Roman" w:cs="Times New Roman"/>
          <w:sz w:val="26"/>
          <w:szCs w:val="26"/>
        </w:rPr>
        <w:t xml:space="preserve">oint </w:t>
      </w:r>
      <w:r>
        <w:rPr>
          <w:rFonts w:ascii="Times New Roman" w:hAnsi="Times New Roman" w:cs="Times New Roman"/>
          <w:sz w:val="26"/>
          <w:szCs w:val="26"/>
        </w:rPr>
        <w:t>p</w:t>
      </w:r>
      <w:r w:rsidRPr="00C63A3A">
        <w:rPr>
          <w:rFonts w:ascii="Times New Roman" w:hAnsi="Times New Roman" w:cs="Times New Roman"/>
          <w:sz w:val="26"/>
          <w:szCs w:val="26"/>
        </w:rPr>
        <w:t>etition for approval of IRO-006-WECC-2</w:t>
      </w:r>
      <w:r>
        <w:rPr>
          <w:rFonts w:ascii="Times New Roman" w:hAnsi="Times New Roman" w:cs="Times New Roman"/>
          <w:sz w:val="26"/>
          <w:szCs w:val="26"/>
        </w:rPr>
        <w:t xml:space="preserve"> </w:t>
      </w:r>
      <w:r w:rsidRPr="00C63A3A">
        <w:rPr>
          <w:rFonts w:ascii="Times New Roman" w:hAnsi="Times New Roman" w:cs="Times New Roman"/>
          <w:sz w:val="26"/>
          <w:szCs w:val="26"/>
        </w:rPr>
        <w:t xml:space="preserve">and retirement of IRO-006-WECC-1. </w:t>
      </w:r>
      <w:r>
        <w:rPr>
          <w:rFonts w:ascii="Times New Roman" w:hAnsi="Times New Roman" w:cs="Times New Roman"/>
          <w:sz w:val="26"/>
          <w:szCs w:val="26"/>
        </w:rPr>
        <w:t xml:space="preserve"> IRO-006-WECC-2 was approved by order in Docket No. RD14-9-000 on</w:t>
      </w:r>
      <w:r w:rsidRPr="00C63A3A">
        <w:rPr>
          <w:rFonts w:ascii="Times New Roman" w:hAnsi="Times New Roman" w:cs="Times New Roman"/>
          <w:sz w:val="26"/>
          <w:szCs w:val="26"/>
        </w:rPr>
        <w:t xml:space="preserve"> </w:t>
      </w:r>
      <w:r>
        <w:rPr>
          <w:rFonts w:ascii="Times New Roman" w:hAnsi="Times New Roman" w:cs="Times New Roman"/>
          <w:sz w:val="26"/>
          <w:szCs w:val="26"/>
        </w:rPr>
        <w:t>May 13, 2014.  Because t</w:t>
      </w:r>
      <w:r w:rsidRPr="00C63A3A">
        <w:rPr>
          <w:rFonts w:ascii="Times New Roman" w:hAnsi="Times New Roman" w:cs="Times New Roman"/>
          <w:sz w:val="26"/>
          <w:szCs w:val="26"/>
        </w:rPr>
        <w:t xml:space="preserve">he reporting burden </w:t>
      </w:r>
      <w:r>
        <w:rPr>
          <w:rFonts w:ascii="Times New Roman" w:hAnsi="Times New Roman" w:cs="Times New Roman"/>
          <w:sz w:val="26"/>
          <w:szCs w:val="26"/>
        </w:rPr>
        <w:t xml:space="preserve">for </w:t>
      </w:r>
      <w:r w:rsidRPr="000A2578">
        <w:rPr>
          <w:rFonts w:ascii="Times New Roman" w:hAnsi="Times New Roman" w:cs="Times New Roman"/>
          <w:sz w:val="26"/>
          <w:szCs w:val="26"/>
        </w:rPr>
        <w:t xml:space="preserve">IRO-006-WECC-2 </w:t>
      </w:r>
      <w:r>
        <w:rPr>
          <w:rFonts w:ascii="Times New Roman" w:hAnsi="Times New Roman" w:cs="Times New Roman"/>
          <w:sz w:val="26"/>
          <w:szCs w:val="26"/>
        </w:rPr>
        <w:t xml:space="preserve">did not increase </w:t>
      </w:r>
      <w:r w:rsidRPr="00C63A3A">
        <w:rPr>
          <w:rFonts w:ascii="Times New Roman" w:hAnsi="Times New Roman" w:cs="Times New Roman"/>
          <w:sz w:val="26"/>
          <w:szCs w:val="26"/>
        </w:rPr>
        <w:t>for entities that operate within the Western Interconnection</w:t>
      </w:r>
      <w:r>
        <w:rPr>
          <w:rFonts w:ascii="Times New Roman" w:hAnsi="Times New Roman" w:cs="Times New Roman"/>
          <w:sz w:val="26"/>
          <w:szCs w:val="26"/>
        </w:rPr>
        <w:t>, FERC</w:t>
      </w:r>
      <w:r w:rsidRPr="00C63A3A">
        <w:rPr>
          <w:rFonts w:ascii="Times New Roman" w:hAnsi="Times New Roman" w:cs="Times New Roman"/>
          <w:sz w:val="26"/>
          <w:szCs w:val="26"/>
        </w:rPr>
        <w:t xml:space="preserve"> submitted the order to OMB for</w:t>
      </w:r>
      <w:r>
        <w:rPr>
          <w:rFonts w:ascii="Times New Roman" w:hAnsi="Times New Roman" w:cs="Times New Roman"/>
          <w:sz w:val="26"/>
          <w:szCs w:val="26"/>
        </w:rPr>
        <w:t xml:space="preserve"> information</w:t>
      </w:r>
      <w:r w:rsidRPr="00C63A3A">
        <w:rPr>
          <w:rFonts w:ascii="Times New Roman" w:hAnsi="Times New Roman" w:cs="Times New Roman"/>
          <w:sz w:val="26"/>
          <w:szCs w:val="26"/>
        </w:rPr>
        <w:t xml:space="preserve"> only. </w:t>
      </w:r>
      <w:r>
        <w:rPr>
          <w:rFonts w:ascii="Times New Roman" w:hAnsi="Times New Roman" w:cs="Times New Roman"/>
          <w:sz w:val="26"/>
          <w:szCs w:val="26"/>
        </w:rPr>
        <w:t xml:space="preserve"> </w:t>
      </w:r>
      <w:r w:rsidRPr="00C63A3A">
        <w:rPr>
          <w:rFonts w:ascii="Times New Roman" w:hAnsi="Times New Roman" w:cs="Times New Roman"/>
          <w:sz w:val="26"/>
          <w:szCs w:val="26"/>
        </w:rPr>
        <w:t>The burden related to IRO-006-WECC-2 does not differ from the burden of IRO-006-WECC-1</w:t>
      </w:r>
      <w:r>
        <w:rPr>
          <w:rFonts w:ascii="Times New Roman" w:hAnsi="Times New Roman" w:cs="Times New Roman"/>
          <w:sz w:val="26"/>
          <w:szCs w:val="26"/>
        </w:rPr>
        <w:t>,</w:t>
      </w:r>
      <w:r w:rsidRPr="00C63A3A">
        <w:rPr>
          <w:rFonts w:ascii="Times New Roman" w:hAnsi="Times New Roman" w:cs="Times New Roman"/>
          <w:sz w:val="26"/>
          <w:szCs w:val="26"/>
        </w:rPr>
        <w:t xml:space="preserve"> which is included in the OMB-approved inventory.  IRO-006-WECC-2 is being included in this Notice and the Commission’s submittal to OMB as part of FERC-725E.</w:t>
      </w:r>
    </w:p>
  </w:footnote>
  <w:footnote w:id="6">
    <w:p w14:paraId="1C551D0A" w14:textId="0A7A309E" w:rsidR="00697796" w:rsidRPr="00C63A3A" w:rsidRDefault="00697796" w:rsidP="00096E49">
      <w:pPr>
        <w:pStyle w:val="FootnoteText"/>
        <w:spacing w:after="240"/>
        <w:ind w:firstLine="720"/>
        <w:rPr>
          <w:rFonts w:ascii="Times New Roman" w:hAnsi="Times New Roman" w:cs="Times New Roman"/>
          <w:sz w:val="26"/>
          <w:szCs w:val="26"/>
        </w:rPr>
      </w:pPr>
      <w:r w:rsidRPr="009A6B94">
        <w:rPr>
          <w:rStyle w:val="FootnoteReference"/>
          <w:rFonts w:cs="Times New Roman"/>
        </w:rPr>
        <w:footnoteRef/>
      </w:r>
      <w:r w:rsidRPr="00C63A3A">
        <w:rPr>
          <w:rFonts w:ascii="Times New Roman" w:hAnsi="Times New Roman" w:cs="Times New Roman"/>
          <w:sz w:val="26"/>
          <w:szCs w:val="26"/>
        </w:rPr>
        <w:t xml:space="preserve"> Order </w:t>
      </w:r>
      <w:r>
        <w:rPr>
          <w:rFonts w:ascii="Times New Roman" w:hAnsi="Times New Roman" w:cs="Times New Roman"/>
          <w:sz w:val="26"/>
          <w:szCs w:val="26"/>
        </w:rPr>
        <w:t xml:space="preserve">No. 818, issued on November 19, 2015 in Docket Nos. RM15-7, RM15-12, and RM15-13, </w:t>
      </w:r>
      <w:r w:rsidRPr="00C63A3A">
        <w:rPr>
          <w:rFonts w:ascii="Times New Roman" w:hAnsi="Times New Roman" w:cs="Times New Roman"/>
          <w:sz w:val="26"/>
          <w:szCs w:val="26"/>
        </w:rPr>
        <w:t>state</w:t>
      </w:r>
      <w:r>
        <w:rPr>
          <w:rFonts w:ascii="Times New Roman" w:hAnsi="Times New Roman" w:cs="Times New Roman"/>
          <w:sz w:val="26"/>
          <w:szCs w:val="26"/>
        </w:rPr>
        <w:t>d</w:t>
      </w:r>
      <w:r w:rsidRPr="00C63A3A">
        <w:rPr>
          <w:rFonts w:ascii="Times New Roman" w:hAnsi="Times New Roman" w:cs="Times New Roman"/>
          <w:sz w:val="26"/>
          <w:szCs w:val="26"/>
        </w:rPr>
        <w:t xml:space="preserve"> in part</w:t>
      </w:r>
      <w:r>
        <w:rPr>
          <w:rFonts w:ascii="Times New Roman" w:hAnsi="Times New Roman" w:cs="Times New Roman"/>
          <w:sz w:val="26"/>
          <w:szCs w:val="26"/>
        </w:rPr>
        <w:t>:</w:t>
      </w:r>
      <w:r w:rsidRPr="00C63A3A">
        <w:rPr>
          <w:rFonts w:ascii="Times New Roman" w:hAnsi="Times New Roman" w:cs="Times New Roman"/>
          <w:sz w:val="26"/>
          <w:szCs w:val="26"/>
        </w:rPr>
        <w:t xml:space="preserve"> “NERC requested approval of the following Reliability Standards to incorporate the proposed definition of Remedial Action Scheme and eliminate use of the term Special Protection System:</w:t>
      </w:r>
      <w:r>
        <w:rPr>
          <w:rFonts w:ascii="Times New Roman" w:hAnsi="Times New Roman" w:cs="Times New Roman"/>
          <w:sz w:val="26"/>
          <w:szCs w:val="26"/>
        </w:rPr>
        <w:t xml:space="preserve"> . . . </w:t>
      </w:r>
      <w:r w:rsidRPr="00C63A3A">
        <w:rPr>
          <w:rFonts w:ascii="Times New Roman" w:hAnsi="Times New Roman" w:cs="Times New Roman"/>
          <w:sz w:val="26"/>
          <w:szCs w:val="26"/>
        </w:rPr>
        <w:t>PRC-004-WECC-2,</w:t>
      </w:r>
      <w:r>
        <w:rPr>
          <w:rFonts w:ascii="Times New Roman" w:hAnsi="Times New Roman" w:cs="Times New Roman"/>
          <w:sz w:val="26"/>
          <w:szCs w:val="26"/>
        </w:rPr>
        <w:t xml:space="preserve"> . . .</w:t>
      </w:r>
      <w:r w:rsidRPr="00C63A3A">
        <w:rPr>
          <w:rFonts w:ascii="Times New Roman" w:hAnsi="Times New Roman" w:cs="Times New Roman"/>
          <w:sz w:val="26"/>
          <w:szCs w:val="26"/>
        </w:rPr>
        <w:t xml:space="preserve"> NERC did not propose any changes to the Violation Risk Factors or Violation Severity Levels for the modified standards.”  </w:t>
      </w:r>
      <w:r w:rsidRPr="00096E49">
        <w:rPr>
          <w:rFonts w:ascii="Times New Roman" w:hAnsi="Times New Roman" w:cs="Times New Roman"/>
          <w:i/>
          <w:sz w:val="26"/>
          <w:szCs w:val="26"/>
        </w:rPr>
        <w:t>Revisions to Emergency Operations Reliability Standards; Revisions to Undervoltage Load Shedding Reliability Standards; Revisions to the Definition of “Remedial Action Scheme” and Related Reliability Standards</w:t>
      </w:r>
      <w:r>
        <w:rPr>
          <w:rFonts w:ascii="Times New Roman" w:hAnsi="Times New Roman" w:cs="Times New Roman"/>
          <w:sz w:val="26"/>
          <w:szCs w:val="26"/>
        </w:rPr>
        <w:t xml:space="preserve">, Order No. 818, </w:t>
      </w:r>
      <w:r w:rsidRPr="004246BF">
        <w:rPr>
          <w:rFonts w:ascii="Times New Roman" w:hAnsi="Times New Roman" w:cs="Times New Roman"/>
          <w:sz w:val="26"/>
          <w:szCs w:val="26"/>
        </w:rPr>
        <w:t>153 FERC ¶ 61,228</w:t>
      </w:r>
      <w:r>
        <w:rPr>
          <w:rFonts w:ascii="Times New Roman" w:hAnsi="Times New Roman" w:cs="Times New Roman"/>
          <w:sz w:val="26"/>
          <w:szCs w:val="26"/>
        </w:rPr>
        <w:t xml:space="preserve">, at P 23 n.31 (2015).  </w:t>
      </w:r>
      <w:r w:rsidRPr="00C63A3A">
        <w:rPr>
          <w:rFonts w:ascii="Times New Roman" w:hAnsi="Times New Roman" w:cs="Times New Roman"/>
          <w:sz w:val="26"/>
          <w:szCs w:val="26"/>
        </w:rPr>
        <w:t>In addition</w:t>
      </w:r>
      <w:r>
        <w:rPr>
          <w:rFonts w:ascii="Times New Roman" w:hAnsi="Times New Roman" w:cs="Times New Roman"/>
          <w:sz w:val="26"/>
          <w:szCs w:val="26"/>
        </w:rPr>
        <w:t>,</w:t>
      </w:r>
      <w:r w:rsidRPr="00C63A3A">
        <w:rPr>
          <w:rFonts w:ascii="Times New Roman" w:hAnsi="Times New Roman" w:cs="Times New Roman"/>
          <w:sz w:val="26"/>
          <w:szCs w:val="26"/>
        </w:rPr>
        <w:t xml:space="preserve"> Order </w:t>
      </w:r>
      <w:r>
        <w:rPr>
          <w:rFonts w:ascii="Times New Roman" w:hAnsi="Times New Roman" w:cs="Times New Roman"/>
          <w:sz w:val="26"/>
          <w:szCs w:val="26"/>
        </w:rPr>
        <w:t xml:space="preserve">No. 818 stated: </w:t>
      </w:r>
      <w:r w:rsidRPr="00C63A3A">
        <w:rPr>
          <w:rFonts w:ascii="Times New Roman" w:hAnsi="Times New Roman" w:cs="Times New Roman"/>
          <w:sz w:val="26"/>
          <w:szCs w:val="26"/>
        </w:rPr>
        <w:t xml:space="preserve"> “The Commission approved the definition of Special Protection System (Remedial Action Scheme) in Order No. 693.  We approve a revision to the previously approved definition.  The revisions to the Remedial Action Scheme definition and related Reliability Standards are not expected to result in changes to the scope of systems covered by the Reliability Standards and other Reliability Standards that include the term Remedial Action Scheme.  Therefore, the Commission does not expect the revisions to affect applicable entities’ current reporting burden.”</w:t>
      </w:r>
      <w:r w:rsidRPr="00015789">
        <w:rPr>
          <w:rFonts w:ascii="Times New Roman" w:hAnsi="Times New Roman" w:cs="Times New Roman"/>
          <w:sz w:val="26"/>
          <w:szCs w:val="26"/>
        </w:rPr>
        <w:t xml:space="preserve">  </w:t>
      </w:r>
      <w:r>
        <w:rPr>
          <w:rFonts w:ascii="Times New Roman" w:hAnsi="Times New Roman" w:cs="Times New Roman"/>
          <w:i/>
          <w:sz w:val="26"/>
          <w:szCs w:val="26"/>
        </w:rPr>
        <w:t>Id.</w:t>
      </w:r>
      <w:r>
        <w:rPr>
          <w:rFonts w:ascii="Times New Roman" w:hAnsi="Times New Roman" w:cs="Times New Roman"/>
          <w:sz w:val="26"/>
          <w:szCs w:val="26"/>
        </w:rPr>
        <w:t xml:space="preserve"> P 67.  </w:t>
      </w:r>
      <w:r w:rsidRPr="00015789">
        <w:rPr>
          <w:rFonts w:ascii="Times New Roman" w:hAnsi="Times New Roman" w:cs="Times New Roman"/>
          <w:sz w:val="26"/>
          <w:szCs w:val="26"/>
        </w:rPr>
        <w:t xml:space="preserve">The </w:t>
      </w:r>
      <w:r w:rsidRPr="00C63A3A">
        <w:rPr>
          <w:rFonts w:ascii="Times New Roman" w:hAnsi="Times New Roman" w:cs="Times New Roman"/>
          <w:sz w:val="26"/>
          <w:szCs w:val="26"/>
        </w:rPr>
        <w:t xml:space="preserve">change to the definition </w:t>
      </w:r>
      <w:r w:rsidRPr="00015789">
        <w:rPr>
          <w:rFonts w:ascii="Times New Roman" w:hAnsi="Times New Roman" w:cs="Times New Roman"/>
          <w:sz w:val="26"/>
          <w:szCs w:val="26"/>
        </w:rPr>
        <w:t xml:space="preserve">did not affect </w:t>
      </w:r>
      <w:r w:rsidR="00350ECB">
        <w:rPr>
          <w:rFonts w:ascii="Times New Roman" w:hAnsi="Times New Roman" w:cs="Times New Roman"/>
          <w:sz w:val="26"/>
          <w:szCs w:val="26"/>
        </w:rPr>
        <w:t xml:space="preserve">the </w:t>
      </w:r>
      <w:r w:rsidRPr="00015789">
        <w:rPr>
          <w:rFonts w:ascii="Times New Roman" w:hAnsi="Times New Roman" w:cs="Times New Roman"/>
          <w:sz w:val="26"/>
          <w:szCs w:val="26"/>
        </w:rPr>
        <w:t>burden</w:t>
      </w:r>
      <w:r>
        <w:rPr>
          <w:rFonts w:ascii="Times New Roman" w:hAnsi="Times New Roman" w:cs="Times New Roman"/>
          <w:sz w:val="26"/>
          <w:szCs w:val="26"/>
        </w:rPr>
        <w:t xml:space="preserve"> </w:t>
      </w:r>
      <w:r w:rsidRPr="00C63A3A">
        <w:rPr>
          <w:rFonts w:ascii="Times New Roman" w:hAnsi="Times New Roman" w:cs="Times New Roman"/>
          <w:sz w:val="26"/>
          <w:szCs w:val="26"/>
        </w:rPr>
        <w:t xml:space="preserve">of </w:t>
      </w:r>
      <w:r w:rsidRPr="00015789">
        <w:rPr>
          <w:rFonts w:ascii="Times New Roman" w:hAnsi="Times New Roman" w:cs="Times New Roman"/>
          <w:sz w:val="26"/>
          <w:szCs w:val="26"/>
        </w:rPr>
        <w:t xml:space="preserve">PRC-004-WECC-1 (which is included in the current OMB-approved inventory). </w:t>
      </w:r>
      <w:r w:rsidRPr="00885DFA">
        <w:rPr>
          <w:rFonts w:ascii="Times New Roman" w:hAnsi="Times New Roman" w:cs="Times New Roman"/>
          <w:sz w:val="26"/>
          <w:szCs w:val="26"/>
        </w:rPr>
        <w:t xml:space="preserve"> PRC-004-WECC-2</w:t>
      </w:r>
      <w:r w:rsidRPr="00015789">
        <w:rPr>
          <w:rFonts w:ascii="Times New Roman" w:hAnsi="Times New Roman" w:cs="Times New Roman"/>
          <w:sz w:val="26"/>
          <w:szCs w:val="26"/>
        </w:rPr>
        <w:t xml:space="preserve"> </w:t>
      </w:r>
      <w:r w:rsidRPr="00C63A3A">
        <w:rPr>
          <w:rFonts w:ascii="Times New Roman" w:hAnsi="Times New Roman" w:cs="Times New Roman"/>
          <w:sz w:val="26"/>
          <w:szCs w:val="26"/>
        </w:rPr>
        <w:t>(</w:t>
      </w:r>
      <w:r w:rsidRPr="00015789">
        <w:rPr>
          <w:rFonts w:ascii="Times New Roman" w:hAnsi="Times New Roman" w:cs="Times New Roman"/>
          <w:sz w:val="26"/>
          <w:szCs w:val="26"/>
        </w:rPr>
        <w:t>the current version of the standard) is being included in this Notice and the Commission’s submittal to OMB as part of the FERC-725E.</w:t>
      </w:r>
    </w:p>
  </w:footnote>
  <w:footnote w:id="7">
    <w:p w14:paraId="0847CC12" w14:textId="368972E1" w:rsidR="00697796" w:rsidRPr="00096E49" w:rsidRDefault="00697796" w:rsidP="00096E49">
      <w:pPr>
        <w:pStyle w:val="FootnoteText"/>
        <w:spacing w:after="240"/>
        <w:ind w:firstLine="720"/>
        <w:rPr>
          <w:rFonts w:ascii="Times New Roman" w:hAnsi="Times New Roman" w:cs="Times New Roman"/>
          <w:sz w:val="26"/>
          <w:szCs w:val="26"/>
        </w:rPr>
      </w:pPr>
      <w:r w:rsidRPr="002844BC">
        <w:rPr>
          <w:rStyle w:val="FootnoteReference"/>
          <w:rFonts w:cs="Times New Roman"/>
        </w:rPr>
        <w:footnoteRef/>
      </w:r>
      <w:r w:rsidRPr="00096E49">
        <w:rPr>
          <w:rFonts w:ascii="Times New Roman" w:hAnsi="Times New Roman" w:cs="Times New Roman"/>
          <w:sz w:val="26"/>
          <w:szCs w:val="26"/>
        </w:rPr>
        <w:t xml:space="preserve"> VAR-002-WECC-2 was approved </w:t>
      </w:r>
      <w:r>
        <w:rPr>
          <w:rFonts w:ascii="Times New Roman" w:hAnsi="Times New Roman" w:cs="Times New Roman"/>
          <w:sz w:val="26"/>
          <w:szCs w:val="26"/>
        </w:rPr>
        <w:t>by</w:t>
      </w:r>
      <w:r w:rsidRPr="00096E49">
        <w:rPr>
          <w:rFonts w:ascii="Times New Roman" w:hAnsi="Times New Roman" w:cs="Times New Roman"/>
          <w:sz w:val="26"/>
          <w:szCs w:val="26"/>
        </w:rPr>
        <w:t xml:space="preserve"> </w:t>
      </w:r>
      <w:r>
        <w:rPr>
          <w:rFonts w:ascii="Times New Roman" w:hAnsi="Times New Roman" w:cs="Times New Roman"/>
          <w:sz w:val="26"/>
          <w:szCs w:val="26"/>
        </w:rPr>
        <w:t>order in Docket No. RD15-1 on March 3, 2015</w:t>
      </w:r>
      <w:r w:rsidRPr="00096E49">
        <w:rPr>
          <w:rFonts w:ascii="Times New Roman" w:hAnsi="Times New Roman" w:cs="Times New Roman"/>
          <w:sz w:val="26"/>
          <w:szCs w:val="26"/>
        </w:rPr>
        <w:t xml:space="preserve">.  Regional Reliability Standard VAR-002-WECC-2 made a </w:t>
      </w:r>
      <w:r w:rsidR="00350ECB">
        <w:rPr>
          <w:rFonts w:ascii="Times New Roman" w:hAnsi="Times New Roman" w:cs="Times New Roman"/>
          <w:sz w:val="26"/>
          <w:szCs w:val="26"/>
        </w:rPr>
        <w:t>“</w:t>
      </w:r>
      <w:r w:rsidRPr="00096E49">
        <w:rPr>
          <w:rFonts w:ascii="Times New Roman" w:hAnsi="Times New Roman" w:cs="Times New Roman"/>
          <w:sz w:val="26"/>
          <w:szCs w:val="26"/>
        </w:rPr>
        <w:t>non-material or non-substantive change</w:t>
      </w:r>
      <w:r w:rsidR="00350ECB">
        <w:rPr>
          <w:rFonts w:ascii="Times New Roman" w:hAnsi="Times New Roman" w:cs="Times New Roman"/>
          <w:sz w:val="26"/>
          <w:szCs w:val="26"/>
        </w:rPr>
        <w:t>”</w:t>
      </w:r>
      <w:r>
        <w:rPr>
          <w:rFonts w:ascii="Times New Roman" w:hAnsi="Times New Roman" w:cs="Times New Roman"/>
          <w:sz w:val="26"/>
          <w:szCs w:val="26"/>
        </w:rPr>
        <w:t xml:space="preserve"> </w:t>
      </w:r>
      <w:r w:rsidRPr="00096E49">
        <w:rPr>
          <w:rFonts w:ascii="Times New Roman" w:hAnsi="Times New Roman" w:cs="Times New Roman"/>
          <w:sz w:val="26"/>
          <w:szCs w:val="26"/>
        </w:rPr>
        <w:t xml:space="preserve">to the </w:t>
      </w:r>
      <w:r>
        <w:rPr>
          <w:rFonts w:ascii="Times New Roman" w:hAnsi="Times New Roman" w:cs="Times New Roman"/>
          <w:sz w:val="26"/>
          <w:szCs w:val="26"/>
        </w:rPr>
        <w:t xml:space="preserve">reporting and recordkeeping </w:t>
      </w:r>
      <w:r w:rsidRPr="00096E49">
        <w:rPr>
          <w:rFonts w:ascii="Times New Roman" w:hAnsi="Times New Roman" w:cs="Times New Roman"/>
          <w:sz w:val="26"/>
          <w:szCs w:val="26"/>
        </w:rPr>
        <w:t>requirements associated with VAR-002-WECC-1 (currently included in the OMB-approved inventory</w:t>
      </w:r>
      <w:r>
        <w:rPr>
          <w:rFonts w:ascii="Times New Roman" w:hAnsi="Times New Roman" w:cs="Times New Roman"/>
          <w:sz w:val="26"/>
          <w:szCs w:val="26"/>
        </w:rPr>
        <w:t>)</w:t>
      </w:r>
      <w:r w:rsidRPr="00096E49">
        <w:rPr>
          <w:rFonts w:ascii="Times New Roman" w:hAnsi="Times New Roman" w:cs="Times New Roman"/>
          <w:sz w:val="26"/>
          <w:szCs w:val="26"/>
        </w:rPr>
        <w:t>.  VAR-002-WECC-2 (the current version of the standard) is being included in this Notice and the Commission’s submittal to OMB as part of FERC-725E.</w:t>
      </w:r>
    </w:p>
  </w:footnote>
  <w:footnote w:id="8">
    <w:p w14:paraId="456C944C" w14:textId="1A18E4E1" w:rsidR="00697796" w:rsidRPr="0026143D" w:rsidRDefault="00697796" w:rsidP="00096E49">
      <w:pPr>
        <w:pStyle w:val="FootnoteText"/>
        <w:spacing w:after="240"/>
        <w:ind w:firstLine="720"/>
        <w:rPr>
          <w:rFonts w:ascii="Times New Roman" w:hAnsi="Times New Roman" w:cs="Times New Roman"/>
          <w:sz w:val="26"/>
          <w:szCs w:val="26"/>
        </w:rPr>
      </w:pPr>
      <w:r w:rsidRPr="00DD4828">
        <w:rPr>
          <w:rStyle w:val="FootnoteReference"/>
          <w:rFonts w:cs="Times New Roman"/>
        </w:rPr>
        <w:footnoteRef/>
      </w:r>
      <w:r w:rsidRPr="0026143D">
        <w:rPr>
          <w:rFonts w:ascii="Times New Roman" w:hAnsi="Times New Roman" w:cs="Times New Roman"/>
          <w:sz w:val="26"/>
          <w:szCs w:val="26"/>
        </w:rPr>
        <w:t xml:space="preserve"> </w:t>
      </w:r>
      <w:r>
        <w:rPr>
          <w:rFonts w:ascii="Times New Roman" w:hAnsi="Times New Roman" w:cs="Times New Roman"/>
          <w:sz w:val="26"/>
          <w:szCs w:val="26"/>
        </w:rPr>
        <w:t xml:space="preserve">The Commission approved the </w:t>
      </w:r>
      <w:r w:rsidRPr="007403B5">
        <w:rPr>
          <w:rFonts w:ascii="Times New Roman" w:hAnsi="Times New Roman" w:cs="Times New Roman"/>
          <w:sz w:val="26"/>
          <w:szCs w:val="26"/>
        </w:rPr>
        <w:t>retire</w:t>
      </w:r>
      <w:r>
        <w:rPr>
          <w:rFonts w:ascii="Times New Roman" w:hAnsi="Times New Roman" w:cs="Times New Roman"/>
          <w:sz w:val="26"/>
          <w:szCs w:val="26"/>
        </w:rPr>
        <w:t>ment of</w:t>
      </w:r>
      <w:r w:rsidRPr="007403B5">
        <w:rPr>
          <w:rFonts w:ascii="Times New Roman" w:hAnsi="Times New Roman" w:cs="Times New Roman"/>
          <w:sz w:val="26"/>
          <w:szCs w:val="26"/>
        </w:rPr>
        <w:t xml:space="preserve"> regional Reliability Standard TOP-007-WECC-1a (System Operating Limits (“SOL”))</w:t>
      </w:r>
      <w:r>
        <w:rPr>
          <w:rFonts w:ascii="Times New Roman" w:hAnsi="Times New Roman" w:cs="Times New Roman"/>
          <w:sz w:val="26"/>
          <w:szCs w:val="26"/>
        </w:rPr>
        <w:t xml:space="preserve"> by order </w:t>
      </w:r>
      <w:r w:rsidRPr="007403B5">
        <w:rPr>
          <w:rFonts w:ascii="Times New Roman" w:hAnsi="Times New Roman" w:cs="Times New Roman"/>
          <w:sz w:val="26"/>
          <w:szCs w:val="26"/>
        </w:rPr>
        <w:t>in Docket No. RD16-10-000 on March 10, 2017</w:t>
      </w:r>
      <w:r>
        <w:rPr>
          <w:rFonts w:ascii="Times New Roman" w:hAnsi="Times New Roman" w:cs="Times New Roman"/>
          <w:sz w:val="26"/>
          <w:szCs w:val="26"/>
        </w:rPr>
        <w:t xml:space="preserve">.  </w:t>
      </w:r>
      <w:r w:rsidRPr="0026143D">
        <w:rPr>
          <w:rFonts w:ascii="Times New Roman" w:hAnsi="Times New Roman" w:cs="Times New Roman"/>
          <w:sz w:val="26"/>
          <w:szCs w:val="26"/>
        </w:rPr>
        <w:t xml:space="preserve">On </w:t>
      </w:r>
      <w:r>
        <w:rPr>
          <w:rFonts w:ascii="Times New Roman" w:hAnsi="Times New Roman" w:cs="Times New Roman"/>
          <w:sz w:val="26"/>
          <w:szCs w:val="26"/>
        </w:rPr>
        <w:t xml:space="preserve">March 31, </w:t>
      </w:r>
      <w:r w:rsidRPr="0026143D">
        <w:rPr>
          <w:rFonts w:ascii="Times New Roman" w:hAnsi="Times New Roman" w:cs="Times New Roman"/>
          <w:sz w:val="26"/>
          <w:szCs w:val="26"/>
        </w:rPr>
        <w:t xml:space="preserve">2017, the Commission issued a 60-day Notice requesting public comment on the </w:t>
      </w:r>
      <w:r>
        <w:rPr>
          <w:rFonts w:ascii="Times New Roman" w:hAnsi="Times New Roman" w:cs="Times New Roman"/>
          <w:sz w:val="26"/>
          <w:szCs w:val="26"/>
        </w:rPr>
        <w:t xml:space="preserve">effect on burden.  The Notice is available at 82 FR 16823 (April 6, 2017).  Comments are due in Docket No. RD16-10-000 by June 5, 2017.  </w:t>
      </w:r>
      <w:r w:rsidRPr="0045488E">
        <w:rPr>
          <w:rFonts w:ascii="Times New Roman" w:hAnsi="Times New Roman" w:cs="Times New Roman"/>
          <w:i/>
          <w:sz w:val="26"/>
          <w:szCs w:val="26"/>
        </w:rPr>
        <w:t>See</w:t>
      </w:r>
      <w:r>
        <w:rPr>
          <w:rFonts w:ascii="Times New Roman" w:hAnsi="Times New Roman" w:cs="Times New Roman"/>
          <w:sz w:val="26"/>
          <w:szCs w:val="26"/>
        </w:rPr>
        <w:t xml:space="preserve"> Docket No. RD16-10-000 for additional information (including the estimated annual burden reduction of </w:t>
      </w:r>
      <w:r w:rsidRPr="00652139">
        <w:rPr>
          <w:rFonts w:ascii="Times New Roman" w:hAnsi="Times New Roman" w:cs="Times New Roman"/>
          <w:sz w:val="26"/>
          <w:szCs w:val="26"/>
        </w:rPr>
        <w:t>1,188</w:t>
      </w:r>
      <w:r>
        <w:rPr>
          <w:rFonts w:ascii="Times New Roman" w:hAnsi="Times New Roman" w:cs="Times New Roman"/>
          <w:sz w:val="26"/>
          <w:szCs w:val="26"/>
        </w:rPr>
        <w:t xml:space="preserve"> hours).  </w:t>
      </w:r>
    </w:p>
  </w:footnote>
  <w:footnote w:id="9">
    <w:p w14:paraId="71820591" w14:textId="076C060C" w:rsidR="00697796" w:rsidRPr="0026143D" w:rsidRDefault="00697796" w:rsidP="00096E49">
      <w:pPr>
        <w:pStyle w:val="FootnoteText"/>
        <w:spacing w:after="240"/>
        <w:ind w:firstLine="720"/>
        <w:rPr>
          <w:rFonts w:ascii="Times New Roman" w:hAnsi="Times New Roman" w:cs="Times New Roman"/>
          <w:sz w:val="26"/>
          <w:szCs w:val="26"/>
        </w:rPr>
      </w:pPr>
      <w:r w:rsidRPr="001507B4">
        <w:rPr>
          <w:rStyle w:val="FootnoteReference"/>
          <w:rFonts w:cs="Times New Roman"/>
        </w:rPr>
        <w:footnoteRef/>
      </w:r>
      <w:r w:rsidRPr="0026143D">
        <w:rPr>
          <w:rFonts w:ascii="Times New Roman" w:hAnsi="Times New Roman" w:cs="Times New Roman"/>
          <w:sz w:val="26"/>
          <w:szCs w:val="26"/>
        </w:rPr>
        <w:t xml:space="preserve"> The </w:t>
      </w:r>
      <w:r>
        <w:rPr>
          <w:rFonts w:ascii="Times New Roman" w:hAnsi="Times New Roman" w:cs="Times New Roman"/>
          <w:sz w:val="26"/>
          <w:szCs w:val="26"/>
        </w:rPr>
        <w:t>joint p</w:t>
      </w:r>
      <w:r w:rsidRPr="0026143D">
        <w:rPr>
          <w:rFonts w:ascii="Times New Roman" w:hAnsi="Times New Roman" w:cs="Times New Roman"/>
          <w:sz w:val="26"/>
          <w:szCs w:val="26"/>
        </w:rPr>
        <w:t xml:space="preserve">etition </w:t>
      </w:r>
      <w:r>
        <w:rPr>
          <w:rFonts w:ascii="Times New Roman" w:hAnsi="Times New Roman" w:cs="Times New Roman"/>
          <w:sz w:val="26"/>
          <w:szCs w:val="26"/>
        </w:rPr>
        <w:t xml:space="preserve">and </w:t>
      </w:r>
      <w:r w:rsidRPr="0026143D">
        <w:rPr>
          <w:rFonts w:ascii="Times New Roman" w:hAnsi="Times New Roman" w:cs="Times New Roman"/>
          <w:sz w:val="26"/>
          <w:szCs w:val="26"/>
        </w:rPr>
        <w:t>exhibits are posted in the Commission’s eLibrary</w:t>
      </w:r>
      <w:r>
        <w:rPr>
          <w:rFonts w:ascii="Times New Roman" w:hAnsi="Times New Roman" w:cs="Times New Roman"/>
          <w:sz w:val="26"/>
          <w:szCs w:val="26"/>
        </w:rPr>
        <w:t xml:space="preserve"> system in Docket No. RD17-5-000</w:t>
      </w:r>
      <w:r w:rsidRPr="0026143D">
        <w:rPr>
          <w:rFonts w:ascii="Times New Roman" w:hAnsi="Times New Roman" w:cs="Times New Roman"/>
          <w:sz w:val="26"/>
          <w:szCs w:val="26"/>
        </w:rPr>
        <w:t>.</w:t>
      </w:r>
    </w:p>
  </w:footnote>
  <w:footnote w:id="10">
    <w:p w14:paraId="241C8357" w14:textId="77777777" w:rsidR="00697796" w:rsidRPr="00677263" w:rsidRDefault="00697796" w:rsidP="00096E49">
      <w:pPr>
        <w:pStyle w:val="FootnoteText"/>
        <w:spacing w:after="240"/>
        <w:ind w:firstLine="720"/>
        <w:rPr>
          <w:rFonts w:ascii="Times New Roman" w:hAnsi="Times New Roman" w:cs="Times New Roman"/>
        </w:rPr>
      </w:pPr>
      <w:r w:rsidRPr="00EB7065">
        <w:rPr>
          <w:rStyle w:val="FootnoteReference"/>
          <w:rFonts w:cs="Times New Roman"/>
        </w:rPr>
        <w:footnoteRef/>
      </w:r>
      <w:r w:rsidRPr="00677263">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1">
    <w:p w14:paraId="74E7573A" w14:textId="6BA6F865" w:rsidR="00697796" w:rsidRPr="00677263" w:rsidRDefault="00697796" w:rsidP="00096E49">
      <w:pPr>
        <w:pStyle w:val="FootnoteText"/>
        <w:spacing w:after="240"/>
        <w:ind w:firstLine="720"/>
        <w:rPr>
          <w:rFonts w:ascii="Times New Roman" w:hAnsi="Times New Roman" w:cs="Times New Roman"/>
          <w:sz w:val="26"/>
          <w:szCs w:val="26"/>
        </w:rPr>
      </w:pPr>
      <w:r w:rsidRPr="00F81CDD">
        <w:rPr>
          <w:rStyle w:val="Hyperlink"/>
          <w:rFonts w:ascii="Times New Roman" w:hAnsi="Times New Roman" w:cs="Times New Roman"/>
          <w:sz w:val="26"/>
          <w:szCs w:val="26"/>
          <w:u w:val="none"/>
          <w:vertAlign w:val="superscript"/>
        </w:rPr>
        <w:footnoteRef/>
      </w:r>
      <w:r w:rsidRPr="00F81CDD">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For </w:t>
      </w:r>
      <w:r w:rsidRPr="00F81CDD">
        <w:rPr>
          <w:rFonts w:ascii="Times New Roman" w:hAnsi="Times New Roman" w:cs="Times New Roman"/>
          <w:sz w:val="26"/>
          <w:szCs w:val="26"/>
        </w:rPr>
        <w:t>VAR-501-WECC-3, the</w:t>
      </w:r>
      <w:r>
        <w:rPr>
          <w:rFonts w:ascii="Times New Roman" w:hAnsi="Times New Roman" w:cs="Times New Roman"/>
          <w:sz w:val="26"/>
          <w:szCs w:val="26"/>
        </w:rPr>
        <w:t xml:space="preserve"> hourly </w:t>
      </w:r>
      <w:r w:rsidRPr="00677263">
        <w:rPr>
          <w:rFonts w:ascii="Times New Roman" w:hAnsi="Times New Roman" w:cs="Times New Roman"/>
          <w:sz w:val="26"/>
          <w:szCs w:val="26"/>
        </w:rPr>
        <w:t xml:space="preserve">cost (for salary </w:t>
      </w:r>
      <w:r>
        <w:rPr>
          <w:rFonts w:ascii="Times New Roman" w:hAnsi="Times New Roman" w:cs="Times New Roman"/>
          <w:sz w:val="26"/>
          <w:szCs w:val="26"/>
        </w:rPr>
        <w:t>plus</w:t>
      </w:r>
      <w:r w:rsidRPr="00677263">
        <w:rPr>
          <w:rFonts w:ascii="Times New Roman" w:hAnsi="Times New Roman" w:cs="Times New Roman"/>
          <w:sz w:val="26"/>
          <w:szCs w:val="26"/>
        </w:rPr>
        <w:t xml:space="preserve"> benefits) uses the figures from the Bureau of Labor Statistics for three positions involved in the reporting and recordkeeping </w:t>
      </w:r>
      <w:r>
        <w:rPr>
          <w:rFonts w:ascii="Times New Roman" w:hAnsi="Times New Roman" w:cs="Times New Roman"/>
          <w:sz w:val="26"/>
          <w:szCs w:val="26"/>
        </w:rPr>
        <w:t>requirements</w:t>
      </w:r>
      <w:r w:rsidRPr="00677263">
        <w:rPr>
          <w:rFonts w:ascii="Times New Roman" w:hAnsi="Times New Roman" w:cs="Times New Roman"/>
          <w:sz w:val="26"/>
          <w:szCs w:val="26"/>
        </w:rPr>
        <w:t>.  These figures include salary (</w:t>
      </w:r>
      <w:hyperlink r:id="rId1" w:history="1">
        <w:r w:rsidRPr="00677263">
          <w:rPr>
            <w:rStyle w:val="Hyperlink"/>
            <w:rFonts w:ascii="Times New Roman" w:hAnsi="Times New Roman" w:cs="Times New Roman"/>
            <w:sz w:val="26"/>
            <w:szCs w:val="26"/>
          </w:rPr>
          <w:t>http://bls.gov/oes/current/naics2_22.htm</w:t>
        </w:r>
      </w:hyperlink>
      <w:r w:rsidRPr="00677263">
        <w:rPr>
          <w:rFonts w:ascii="Times New Roman" w:hAnsi="Times New Roman" w:cs="Times New Roman"/>
          <w:sz w:val="26"/>
          <w:szCs w:val="26"/>
        </w:rPr>
        <w:t>) and benefits (</w:t>
      </w:r>
      <w:hyperlink r:id="rId2" w:history="1">
        <w:r w:rsidRPr="00677263">
          <w:rPr>
            <w:rStyle w:val="Hyperlink"/>
            <w:rFonts w:ascii="Times New Roman" w:hAnsi="Times New Roman" w:cs="Times New Roman"/>
            <w:sz w:val="26"/>
            <w:szCs w:val="26"/>
          </w:rPr>
          <w:t>http://www.bls.gov/news.release/ecec.nr0.htm</w:t>
        </w:r>
      </w:hyperlink>
      <w:r w:rsidRPr="00677263">
        <w:rPr>
          <w:rFonts w:ascii="Times New Roman" w:hAnsi="Times New Roman" w:cs="Times New Roman"/>
          <w:sz w:val="26"/>
          <w:szCs w:val="26"/>
        </w:rPr>
        <w:t xml:space="preserve">) </w:t>
      </w:r>
      <w:r>
        <w:rPr>
          <w:rFonts w:ascii="Times New Roman" w:hAnsi="Times New Roman" w:cs="Times New Roman"/>
          <w:sz w:val="26"/>
          <w:szCs w:val="26"/>
        </w:rPr>
        <w:t>and are</w:t>
      </w:r>
      <w:r w:rsidRPr="00677263">
        <w:rPr>
          <w:rFonts w:ascii="Times New Roman" w:hAnsi="Times New Roman" w:cs="Times New Roman"/>
          <w:sz w:val="26"/>
          <w:szCs w:val="26"/>
        </w:rPr>
        <w:t>:</w:t>
      </w:r>
    </w:p>
    <w:p w14:paraId="6A0A35DE"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Manager: $89.07/hour</w:t>
      </w:r>
    </w:p>
    <w:p w14:paraId="24C171C6"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Engineer: $64.91/hour</w:t>
      </w:r>
    </w:p>
    <w:p w14:paraId="2C367087"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File Clerk: $31.19/hour</w:t>
      </w:r>
    </w:p>
    <w:p w14:paraId="3F87BC57" w14:textId="77777777" w:rsidR="00697796" w:rsidRDefault="00697796" w:rsidP="00096E49">
      <w:pPr>
        <w:pStyle w:val="FootnoteText"/>
        <w:spacing w:after="240"/>
        <w:ind w:firstLine="720"/>
      </w:pPr>
      <w:r w:rsidRPr="00677263">
        <w:rPr>
          <w:rFonts w:ascii="Times New Roman" w:hAnsi="Times New Roman" w:cs="Times New Roman"/>
          <w:sz w:val="26"/>
          <w:szCs w:val="26"/>
        </w:rPr>
        <w:t>The hourly cost for the reporting requirements ($76.99) is an average of the cost of a manager and engineer.  The hourly cost for recordkeeping requirements uses the cost of a file clerk.</w:t>
      </w:r>
    </w:p>
  </w:footnote>
  <w:footnote w:id="12">
    <w:p w14:paraId="55513284" w14:textId="77777777" w:rsidR="00697796" w:rsidRPr="008B1616" w:rsidRDefault="00697796" w:rsidP="00096E49">
      <w:pPr>
        <w:pStyle w:val="FootnoteText"/>
        <w:spacing w:after="240"/>
        <w:ind w:firstLine="720"/>
        <w:rPr>
          <w:rFonts w:ascii="Times New Roman" w:hAnsi="Times New Roman" w:cs="Times New Roman"/>
          <w:sz w:val="26"/>
          <w:szCs w:val="26"/>
          <w:highlight w:val="yellow"/>
        </w:rPr>
      </w:pPr>
      <w:r w:rsidRPr="00804E95">
        <w:rPr>
          <w:rStyle w:val="FootnoteReference"/>
          <w:rFonts w:cs="Times New Roman"/>
        </w:rPr>
        <w:footnoteRef/>
      </w:r>
      <w:r w:rsidRPr="00804E95">
        <w:rPr>
          <w:rFonts w:ascii="Times New Roman" w:hAnsi="Times New Roman" w:cs="Times New Roman"/>
          <w:sz w:val="26"/>
          <w:szCs w:val="26"/>
        </w:rPr>
        <w:t xml:space="preserve"> The number of respondents is derived from the NERC Compliance Registry as of March 10, 2017.</w:t>
      </w:r>
    </w:p>
  </w:footnote>
  <w:footnote w:id="13">
    <w:p w14:paraId="61AC099A" w14:textId="5A835ECC" w:rsidR="00801E14" w:rsidRPr="001F49FC" w:rsidRDefault="00801E14" w:rsidP="00801E14">
      <w:pPr>
        <w:pStyle w:val="FootnoteText"/>
        <w:ind w:firstLine="720"/>
        <w:rPr>
          <w:rFonts w:ascii="Times New Roman" w:hAnsi="Times New Roman" w:cs="Times New Roman"/>
          <w:sz w:val="26"/>
          <w:szCs w:val="26"/>
        </w:rPr>
      </w:pPr>
      <w:r>
        <w:rPr>
          <w:rStyle w:val="FootnoteReference"/>
        </w:rPr>
        <w:footnoteRef/>
      </w:r>
      <w:r>
        <w:t xml:space="preserve"> </w:t>
      </w:r>
      <w:r w:rsidRPr="001F49FC">
        <w:rPr>
          <w:rFonts w:ascii="Times New Roman" w:hAnsi="Times New Roman" w:cs="Times New Roman"/>
          <w:sz w:val="26"/>
          <w:szCs w:val="26"/>
        </w:rPr>
        <w:t>The Commission is also removing 36 one-time burden hours</w:t>
      </w:r>
      <w:r>
        <w:rPr>
          <w:rFonts w:ascii="Times New Roman" w:hAnsi="Times New Roman" w:cs="Times New Roman"/>
          <w:sz w:val="26"/>
          <w:szCs w:val="26"/>
        </w:rPr>
        <w:t xml:space="preserve"> </w:t>
      </w:r>
      <w:r w:rsidRPr="001F49FC">
        <w:rPr>
          <w:rFonts w:ascii="Times New Roman" w:hAnsi="Times New Roman" w:cs="Times New Roman"/>
          <w:sz w:val="26"/>
          <w:szCs w:val="26"/>
        </w:rPr>
        <w:t xml:space="preserve">associated with </w:t>
      </w:r>
      <w:r>
        <w:rPr>
          <w:rFonts w:ascii="Times New Roman" w:hAnsi="Times New Roman" w:cs="Times New Roman"/>
          <w:sz w:val="26"/>
          <w:szCs w:val="26"/>
        </w:rPr>
        <w:t xml:space="preserve">the requirements in </w:t>
      </w:r>
      <w:r w:rsidRPr="001F49FC">
        <w:rPr>
          <w:rFonts w:ascii="Times New Roman" w:hAnsi="Times New Roman" w:cs="Times New Roman"/>
          <w:sz w:val="26"/>
          <w:szCs w:val="26"/>
        </w:rPr>
        <w:t xml:space="preserve">Docket No. RM13-13.  The one-time burden </w:t>
      </w:r>
      <w:r>
        <w:rPr>
          <w:rFonts w:ascii="Times New Roman" w:hAnsi="Times New Roman" w:cs="Times New Roman"/>
          <w:sz w:val="26"/>
          <w:szCs w:val="26"/>
        </w:rPr>
        <w:t>has been completed</w:t>
      </w:r>
      <w:r w:rsidRPr="001F49FC">
        <w:rPr>
          <w:rFonts w:ascii="Times New Roman" w:hAnsi="Times New Roman" w:cs="Times New Roman"/>
          <w:sz w:val="26"/>
          <w:szCs w:val="26"/>
        </w:rPr>
        <w:t xml:space="preserve"> and will now be administratively removed on submittal to OMB.  Those hours are not included in the table.</w:t>
      </w:r>
    </w:p>
    <w:p w14:paraId="7E054EDB" w14:textId="559840F7" w:rsidR="00801E14" w:rsidRDefault="00801E14">
      <w:pPr>
        <w:pStyle w:val="FootnoteText"/>
      </w:pPr>
    </w:p>
  </w:footnote>
  <w:footnote w:id="14">
    <w:p w14:paraId="270BD4C9" w14:textId="77777777" w:rsidR="00697796" w:rsidRPr="00677263" w:rsidRDefault="00697796" w:rsidP="00096E49">
      <w:pPr>
        <w:pStyle w:val="FootnoteText"/>
        <w:spacing w:after="240"/>
        <w:ind w:firstLine="720"/>
        <w:rPr>
          <w:rFonts w:ascii="Times New Roman" w:hAnsi="Times New Roman" w:cs="Times New Roman"/>
          <w:sz w:val="26"/>
          <w:szCs w:val="26"/>
        </w:rPr>
      </w:pPr>
      <w:r w:rsidRPr="00B17FDA">
        <w:rPr>
          <w:rStyle w:val="Hyperlink"/>
          <w:rFonts w:ascii="Times New Roman" w:hAnsi="Times New Roman" w:cs="Times New Roman"/>
          <w:color w:val="auto"/>
          <w:sz w:val="26"/>
          <w:szCs w:val="26"/>
          <w:vertAlign w:val="superscript"/>
        </w:rPr>
        <w:footnoteRef/>
      </w:r>
      <w:r w:rsidRPr="00B17FDA">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The hourly </w:t>
      </w:r>
      <w:r w:rsidRPr="00677263">
        <w:rPr>
          <w:rFonts w:ascii="Times New Roman" w:hAnsi="Times New Roman" w:cs="Times New Roman"/>
          <w:sz w:val="26"/>
          <w:szCs w:val="26"/>
        </w:rPr>
        <w:t xml:space="preserve">cost (for salary </w:t>
      </w:r>
      <w:r>
        <w:rPr>
          <w:rFonts w:ascii="Times New Roman" w:hAnsi="Times New Roman" w:cs="Times New Roman"/>
          <w:sz w:val="26"/>
          <w:szCs w:val="26"/>
        </w:rPr>
        <w:t>plus</w:t>
      </w:r>
      <w:r w:rsidRPr="00677263">
        <w:rPr>
          <w:rFonts w:ascii="Times New Roman" w:hAnsi="Times New Roman" w:cs="Times New Roman"/>
          <w:sz w:val="26"/>
          <w:szCs w:val="26"/>
        </w:rPr>
        <w:t xml:space="preserve"> benefits) uses the figures from the Bureau of Labor Statistics for three positions involved in the reporting and recordkeeping </w:t>
      </w:r>
      <w:r>
        <w:rPr>
          <w:rFonts w:ascii="Times New Roman" w:hAnsi="Times New Roman" w:cs="Times New Roman"/>
          <w:sz w:val="26"/>
          <w:szCs w:val="26"/>
        </w:rPr>
        <w:t>requirements</w:t>
      </w:r>
      <w:r w:rsidRPr="00677263">
        <w:rPr>
          <w:rFonts w:ascii="Times New Roman" w:hAnsi="Times New Roman" w:cs="Times New Roman"/>
          <w:sz w:val="26"/>
          <w:szCs w:val="26"/>
        </w:rPr>
        <w:t>.  These figures include salary (</w:t>
      </w:r>
      <w:hyperlink r:id="rId3" w:history="1">
        <w:r w:rsidRPr="00677263">
          <w:rPr>
            <w:rStyle w:val="Hyperlink"/>
            <w:rFonts w:ascii="Times New Roman" w:hAnsi="Times New Roman" w:cs="Times New Roman"/>
            <w:sz w:val="26"/>
            <w:szCs w:val="26"/>
          </w:rPr>
          <w:t>http://bls.gov/oes/current/naics2_22.htm</w:t>
        </w:r>
      </w:hyperlink>
      <w:r w:rsidRPr="00677263">
        <w:rPr>
          <w:rFonts w:ascii="Times New Roman" w:hAnsi="Times New Roman" w:cs="Times New Roman"/>
          <w:sz w:val="26"/>
          <w:szCs w:val="26"/>
        </w:rPr>
        <w:t>) and other associated benefits (</w:t>
      </w:r>
      <w:hyperlink r:id="rId4" w:history="1">
        <w:r w:rsidRPr="00677263">
          <w:rPr>
            <w:rStyle w:val="Hyperlink"/>
            <w:rFonts w:ascii="Times New Roman" w:hAnsi="Times New Roman" w:cs="Times New Roman"/>
            <w:sz w:val="26"/>
            <w:szCs w:val="26"/>
          </w:rPr>
          <w:t>http://www.bls.gov/news.release/ecec.nr0.htm</w:t>
        </w:r>
      </w:hyperlink>
      <w:r w:rsidRPr="00677263">
        <w:rPr>
          <w:rFonts w:ascii="Times New Roman" w:hAnsi="Times New Roman" w:cs="Times New Roman"/>
          <w:sz w:val="26"/>
          <w:szCs w:val="26"/>
        </w:rPr>
        <w:t xml:space="preserve">) </w:t>
      </w:r>
      <w:r>
        <w:rPr>
          <w:rFonts w:ascii="Times New Roman" w:hAnsi="Times New Roman" w:cs="Times New Roman"/>
          <w:sz w:val="26"/>
          <w:szCs w:val="26"/>
        </w:rPr>
        <w:t>and are</w:t>
      </w:r>
      <w:r w:rsidRPr="00677263">
        <w:rPr>
          <w:rFonts w:ascii="Times New Roman" w:hAnsi="Times New Roman" w:cs="Times New Roman"/>
          <w:sz w:val="26"/>
          <w:szCs w:val="26"/>
        </w:rPr>
        <w:t>:</w:t>
      </w:r>
    </w:p>
    <w:p w14:paraId="0BEEECE7"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Manager: $89.07/hour</w:t>
      </w:r>
    </w:p>
    <w:p w14:paraId="68031123"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Engineer: $64.91/hour</w:t>
      </w:r>
    </w:p>
    <w:p w14:paraId="58B566E5" w14:textId="77777777" w:rsidR="00697796" w:rsidRPr="00677263" w:rsidRDefault="00697796" w:rsidP="00096E49">
      <w:pPr>
        <w:pStyle w:val="FootnoteText"/>
        <w:numPr>
          <w:ilvl w:val="0"/>
          <w:numId w:val="5"/>
        </w:numPr>
        <w:spacing w:after="240"/>
        <w:ind w:left="0" w:firstLine="720"/>
        <w:rPr>
          <w:rFonts w:ascii="Times New Roman" w:hAnsi="Times New Roman" w:cs="Times New Roman"/>
          <w:sz w:val="26"/>
          <w:szCs w:val="26"/>
        </w:rPr>
      </w:pPr>
      <w:r w:rsidRPr="00677263">
        <w:rPr>
          <w:rFonts w:ascii="Times New Roman" w:hAnsi="Times New Roman" w:cs="Times New Roman"/>
          <w:sz w:val="26"/>
          <w:szCs w:val="26"/>
        </w:rPr>
        <w:t>File Clerk: $31.19/hour</w:t>
      </w:r>
    </w:p>
    <w:p w14:paraId="423950B5" w14:textId="77777777" w:rsidR="00697796" w:rsidRPr="00677263" w:rsidRDefault="00697796" w:rsidP="00096E49">
      <w:pPr>
        <w:pStyle w:val="FootnoteText"/>
        <w:spacing w:after="240"/>
        <w:ind w:firstLine="720"/>
        <w:rPr>
          <w:sz w:val="26"/>
          <w:szCs w:val="26"/>
        </w:rPr>
      </w:pPr>
      <w:r w:rsidRPr="00677263">
        <w:rPr>
          <w:rFonts w:ascii="Times New Roman" w:hAnsi="Times New Roman" w:cs="Times New Roman"/>
          <w:sz w:val="26"/>
          <w:szCs w:val="26"/>
        </w:rPr>
        <w:t>The hourly cost for the reporting requirements ($76.99) is an average of the cost of a manager and engineer.  The hourly cost for recordkeeping requirements uses the cost of a file clerk.</w:t>
      </w:r>
    </w:p>
  </w:footnote>
  <w:footnote w:id="15">
    <w:p w14:paraId="2BDA10B6" w14:textId="77777777" w:rsidR="00697796" w:rsidRPr="00677263" w:rsidRDefault="00697796" w:rsidP="00096E49">
      <w:pPr>
        <w:pStyle w:val="FootnoteText"/>
        <w:spacing w:after="240"/>
        <w:ind w:firstLine="720"/>
        <w:rPr>
          <w:rFonts w:ascii="Times New Roman" w:hAnsi="Times New Roman" w:cs="Times New Roman"/>
          <w:sz w:val="26"/>
          <w:szCs w:val="26"/>
        </w:rPr>
      </w:pPr>
      <w:r w:rsidRPr="00804E95">
        <w:rPr>
          <w:rStyle w:val="FootnoteReference"/>
          <w:rFonts w:cs="Times New Roman"/>
        </w:rPr>
        <w:footnoteRef/>
      </w:r>
      <w:r w:rsidRPr="00804E95">
        <w:rPr>
          <w:rFonts w:ascii="Times New Roman" w:hAnsi="Times New Roman" w:cs="Times New Roman"/>
          <w:sz w:val="26"/>
          <w:szCs w:val="26"/>
        </w:rPr>
        <w:t xml:space="preserve">  The number of respondents is derived from the NERC Compliance Registry as of March 10,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547C5" w14:textId="4D775A03" w:rsidR="00697796" w:rsidRPr="00677263" w:rsidRDefault="00697796">
    <w:pPr>
      <w:pStyle w:val="Header"/>
      <w:rPr>
        <w:rFonts w:ascii="Times New Roman" w:hAnsi="Times New Roman" w:cs="Times New Roman"/>
        <w:sz w:val="26"/>
        <w:szCs w:val="26"/>
      </w:rPr>
    </w:pPr>
    <w:r>
      <w:rPr>
        <w:rFonts w:ascii="Times New Roman" w:hAnsi="Times New Roman" w:cs="Times New Roman"/>
        <w:sz w:val="26"/>
        <w:szCs w:val="26"/>
      </w:rPr>
      <w:t>Docket Nos. RD17-5-000</w:t>
    </w:r>
    <w:r w:rsidR="006870DD">
      <w:rPr>
        <w:rFonts w:ascii="Times New Roman" w:hAnsi="Times New Roman" w:cs="Times New Roman"/>
        <w:sz w:val="26"/>
        <w:szCs w:val="26"/>
      </w:rPr>
      <w:t xml:space="preserve">, </w:t>
    </w:r>
    <w:r w:rsidR="006870DD" w:rsidRPr="006870DD">
      <w:rPr>
        <w:rFonts w:ascii="Times New Roman" w:hAnsi="Times New Roman" w:cs="Times New Roman"/>
        <w:i/>
        <w:sz w:val="26"/>
        <w:szCs w:val="26"/>
      </w:rPr>
      <w:t>et al.</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1146CA">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60"/>
    <w:rsid w:val="0000161D"/>
    <w:rsid w:val="000027F9"/>
    <w:rsid w:val="0000297F"/>
    <w:rsid w:val="0001222A"/>
    <w:rsid w:val="00015789"/>
    <w:rsid w:val="00017A9F"/>
    <w:rsid w:val="00046110"/>
    <w:rsid w:val="00047FC6"/>
    <w:rsid w:val="00052E2F"/>
    <w:rsid w:val="00056FE8"/>
    <w:rsid w:val="00064832"/>
    <w:rsid w:val="00067503"/>
    <w:rsid w:val="00076B62"/>
    <w:rsid w:val="0008038D"/>
    <w:rsid w:val="000911D9"/>
    <w:rsid w:val="00093E81"/>
    <w:rsid w:val="00094626"/>
    <w:rsid w:val="00096E49"/>
    <w:rsid w:val="000979A7"/>
    <w:rsid w:val="000A2578"/>
    <w:rsid w:val="000A3EA4"/>
    <w:rsid w:val="000C3DD8"/>
    <w:rsid w:val="000D5A02"/>
    <w:rsid w:val="000F1E92"/>
    <w:rsid w:val="00103640"/>
    <w:rsid w:val="00103912"/>
    <w:rsid w:val="00112797"/>
    <w:rsid w:val="001140AC"/>
    <w:rsid w:val="001146CA"/>
    <w:rsid w:val="00125BA8"/>
    <w:rsid w:val="0014026E"/>
    <w:rsid w:val="001467D4"/>
    <w:rsid w:val="001507B4"/>
    <w:rsid w:val="00152CD4"/>
    <w:rsid w:val="00156E6F"/>
    <w:rsid w:val="00173CA3"/>
    <w:rsid w:val="00181D6A"/>
    <w:rsid w:val="00185D94"/>
    <w:rsid w:val="001A14C2"/>
    <w:rsid w:val="001E41C9"/>
    <w:rsid w:val="001F31E7"/>
    <w:rsid w:val="0020475C"/>
    <w:rsid w:val="002060D2"/>
    <w:rsid w:val="002155BD"/>
    <w:rsid w:val="00217436"/>
    <w:rsid w:val="002214F7"/>
    <w:rsid w:val="00222319"/>
    <w:rsid w:val="00226DCB"/>
    <w:rsid w:val="00231403"/>
    <w:rsid w:val="00243FEA"/>
    <w:rsid w:val="00254DAF"/>
    <w:rsid w:val="0026143D"/>
    <w:rsid w:val="002663F0"/>
    <w:rsid w:val="00273605"/>
    <w:rsid w:val="00283750"/>
    <w:rsid w:val="002844BC"/>
    <w:rsid w:val="002A0376"/>
    <w:rsid w:val="002A3D5A"/>
    <w:rsid w:val="002B0275"/>
    <w:rsid w:val="002E2E33"/>
    <w:rsid w:val="002F2BEB"/>
    <w:rsid w:val="002F7954"/>
    <w:rsid w:val="00302E57"/>
    <w:rsid w:val="003129F3"/>
    <w:rsid w:val="00320191"/>
    <w:rsid w:val="00330DDB"/>
    <w:rsid w:val="00334EDA"/>
    <w:rsid w:val="00350ECB"/>
    <w:rsid w:val="00351813"/>
    <w:rsid w:val="00355024"/>
    <w:rsid w:val="00362524"/>
    <w:rsid w:val="0037136E"/>
    <w:rsid w:val="003774C8"/>
    <w:rsid w:val="003966E5"/>
    <w:rsid w:val="003A2EEC"/>
    <w:rsid w:val="003A70CA"/>
    <w:rsid w:val="003C1C20"/>
    <w:rsid w:val="003D6428"/>
    <w:rsid w:val="003F4ED1"/>
    <w:rsid w:val="003F72FF"/>
    <w:rsid w:val="00420EE5"/>
    <w:rsid w:val="004246BF"/>
    <w:rsid w:val="0042609C"/>
    <w:rsid w:val="00431ED8"/>
    <w:rsid w:val="00443F1D"/>
    <w:rsid w:val="00446499"/>
    <w:rsid w:val="0044733B"/>
    <w:rsid w:val="0045488E"/>
    <w:rsid w:val="00496275"/>
    <w:rsid w:val="004A2539"/>
    <w:rsid w:val="004A4AC7"/>
    <w:rsid w:val="004B5258"/>
    <w:rsid w:val="004C1046"/>
    <w:rsid w:val="004C2941"/>
    <w:rsid w:val="004D09D8"/>
    <w:rsid w:val="004E59B9"/>
    <w:rsid w:val="004F3B23"/>
    <w:rsid w:val="004F7410"/>
    <w:rsid w:val="0050165D"/>
    <w:rsid w:val="00514DB1"/>
    <w:rsid w:val="00514E31"/>
    <w:rsid w:val="00517383"/>
    <w:rsid w:val="0052766C"/>
    <w:rsid w:val="0053047E"/>
    <w:rsid w:val="00544929"/>
    <w:rsid w:val="00544B17"/>
    <w:rsid w:val="00555C74"/>
    <w:rsid w:val="005628F6"/>
    <w:rsid w:val="00574511"/>
    <w:rsid w:val="005917AB"/>
    <w:rsid w:val="00594712"/>
    <w:rsid w:val="0059723E"/>
    <w:rsid w:val="00597699"/>
    <w:rsid w:val="005A005A"/>
    <w:rsid w:val="005A04DC"/>
    <w:rsid w:val="005A2225"/>
    <w:rsid w:val="005A4197"/>
    <w:rsid w:val="005A42FB"/>
    <w:rsid w:val="005A7A18"/>
    <w:rsid w:val="005C0056"/>
    <w:rsid w:val="005C0D5E"/>
    <w:rsid w:val="005C1DE4"/>
    <w:rsid w:val="005F14D2"/>
    <w:rsid w:val="006200C7"/>
    <w:rsid w:val="00640AC7"/>
    <w:rsid w:val="00645770"/>
    <w:rsid w:val="00652139"/>
    <w:rsid w:val="00652756"/>
    <w:rsid w:val="00657B67"/>
    <w:rsid w:val="006674E9"/>
    <w:rsid w:val="0067377E"/>
    <w:rsid w:val="00677263"/>
    <w:rsid w:val="00680155"/>
    <w:rsid w:val="00684605"/>
    <w:rsid w:val="006870DD"/>
    <w:rsid w:val="00694459"/>
    <w:rsid w:val="00696A59"/>
    <w:rsid w:val="00697796"/>
    <w:rsid w:val="006A0104"/>
    <w:rsid w:val="006A6DB6"/>
    <w:rsid w:val="006B098B"/>
    <w:rsid w:val="006B3317"/>
    <w:rsid w:val="006B535F"/>
    <w:rsid w:val="006C238A"/>
    <w:rsid w:val="006C7E82"/>
    <w:rsid w:val="006D3704"/>
    <w:rsid w:val="006E287B"/>
    <w:rsid w:val="006F2653"/>
    <w:rsid w:val="006F509F"/>
    <w:rsid w:val="006F71E9"/>
    <w:rsid w:val="0070022D"/>
    <w:rsid w:val="007068C9"/>
    <w:rsid w:val="00721950"/>
    <w:rsid w:val="00732FF2"/>
    <w:rsid w:val="007403B5"/>
    <w:rsid w:val="007410A5"/>
    <w:rsid w:val="007426B1"/>
    <w:rsid w:val="00745353"/>
    <w:rsid w:val="00747DAB"/>
    <w:rsid w:val="00760E05"/>
    <w:rsid w:val="00762C8F"/>
    <w:rsid w:val="00763576"/>
    <w:rsid w:val="00767CFA"/>
    <w:rsid w:val="007905D7"/>
    <w:rsid w:val="007A3197"/>
    <w:rsid w:val="007A3400"/>
    <w:rsid w:val="007A5328"/>
    <w:rsid w:val="007A5B5F"/>
    <w:rsid w:val="007A6247"/>
    <w:rsid w:val="007A6D47"/>
    <w:rsid w:val="007C71D9"/>
    <w:rsid w:val="007D05AF"/>
    <w:rsid w:val="007D3790"/>
    <w:rsid w:val="007D50F0"/>
    <w:rsid w:val="007E4CA2"/>
    <w:rsid w:val="007F1A93"/>
    <w:rsid w:val="007F283E"/>
    <w:rsid w:val="007F3BA3"/>
    <w:rsid w:val="00801E14"/>
    <w:rsid w:val="008049C0"/>
    <w:rsid w:val="00804E95"/>
    <w:rsid w:val="00806533"/>
    <w:rsid w:val="00816232"/>
    <w:rsid w:val="00816EA1"/>
    <w:rsid w:val="0082061B"/>
    <w:rsid w:val="00822F72"/>
    <w:rsid w:val="00835B31"/>
    <w:rsid w:val="00844D17"/>
    <w:rsid w:val="00847897"/>
    <w:rsid w:val="00850C77"/>
    <w:rsid w:val="00857AD9"/>
    <w:rsid w:val="008615DE"/>
    <w:rsid w:val="008729EA"/>
    <w:rsid w:val="00875127"/>
    <w:rsid w:val="00875C85"/>
    <w:rsid w:val="00876AA6"/>
    <w:rsid w:val="00881A08"/>
    <w:rsid w:val="00885DFA"/>
    <w:rsid w:val="008948F8"/>
    <w:rsid w:val="00894E41"/>
    <w:rsid w:val="008A0AF7"/>
    <w:rsid w:val="008B1616"/>
    <w:rsid w:val="008C77CB"/>
    <w:rsid w:val="008D2AA0"/>
    <w:rsid w:val="008E1CE7"/>
    <w:rsid w:val="008E29AB"/>
    <w:rsid w:val="00901885"/>
    <w:rsid w:val="00904910"/>
    <w:rsid w:val="009072D3"/>
    <w:rsid w:val="00924AC8"/>
    <w:rsid w:val="00933C26"/>
    <w:rsid w:val="00934F5F"/>
    <w:rsid w:val="00943812"/>
    <w:rsid w:val="00944671"/>
    <w:rsid w:val="00970438"/>
    <w:rsid w:val="009705FA"/>
    <w:rsid w:val="00973DF1"/>
    <w:rsid w:val="00974A73"/>
    <w:rsid w:val="00975F4F"/>
    <w:rsid w:val="00977770"/>
    <w:rsid w:val="00981420"/>
    <w:rsid w:val="00981883"/>
    <w:rsid w:val="00990942"/>
    <w:rsid w:val="00991AB8"/>
    <w:rsid w:val="009925A4"/>
    <w:rsid w:val="009A44E0"/>
    <w:rsid w:val="009A6B94"/>
    <w:rsid w:val="009C162C"/>
    <w:rsid w:val="009D59EE"/>
    <w:rsid w:val="009E125B"/>
    <w:rsid w:val="009E207F"/>
    <w:rsid w:val="009F0F35"/>
    <w:rsid w:val="00A07F52"/>
    <w:rsid w:val="00A134C1"/>
    <w:rsid w:val="00A1411B"/>
    <w:rsid w:val="00A1515B"/>
    <w:rsid w:val="00A171EF"/>
    <w:rsid w:val="00A25214"/>
    <w:rsid w:val="00A25CA2"/>
    <w:rsid w:val="00A27AFA"/>
    <w:rsid w:val="00A35E3E"/>
    <w:rsid w:val="00A371CE"/>
    <w:rsid w:val="00A373E8"/>
    <w:rsid w:val="00A401E6"/>
    <w:rsid w:val="00A4559D"/>
    <w:rsid w:val="00A45704"/>
    <w:rsid w:val="00A528E2"/>
    <w:rsid w:val="00A5312D"/>
    <w:rsid w:val="00A53386"/>
    <w:rsid w:val="00A625FD"/>
    <w:rsid w:val="00A635C5"/>
    <w:rsid w:val="00A830CA"/>
    <w:rsid w:val="00A9404A"/>
    <w:rsid w:val="00AA5B47"/>
    <w:rsid w:val="00AB6E94"/>
    <w:rsid w:val="00AC36FC"/>
    <w:rsid w:val="00AC571B"/>
    <w:rsid w:val="00AD1160"/>
    <w:rsid w:val="00AF4B8D"/>
    <w:rsid w:val="00AF5E29"/>
    <w:rsid w:val="00B00FB2"/>
    <w:rsid w:val="00B05C6F"/>
    <w:rsid w:val="00B076E6"/>
    <w:rsid w:val="00B07CA9"/>
    <w:rsid w:val="00B12F19"/>
    <w:rsid w:val="00B17FDA"/>
    <w:rsid w:val="00B242FC"/>
    <w:rsid w:val="00B24945"/>
    <w:rsid w:val="00B300A5"/>
    <w:rsid w:val="00B31554"/>
    <w:rsid w:val="00B40028"/>
    <w:rsid w:val="00B41EDD"/>
    <w:rsid w:val="00B50CD8"/>
    <w:rsid w:val="00B53B16"/>
    <w:rsid w:val="00B61518"/>
    <w:rsid w:val="00B6191A"/>
    <w:rsid w:val="00B651B4"/>
    <w:rsid w:val="00B65224"/>
    <w:rsid w:val="00B73FA8"/>
    <w:rsid w:val="00B7594D"/>
    <w:rsid w:val="00B812A6"/>
    <w:rsid w:val="00BA13E7"/>
    <w:rsid w:val="00BB6953"/>
    <w:rsid w:val="00BD3A16"/>
    <w:rsid w:val="00BE6210"/>
    <w:rsid w:val="00BF3DBF"/>
    <w:rsid w:val="00BF6BED"/>
    <w:rsid w:val="00C14345"/>
    <w:rsid w:val="00C148E2"/>
    <w:rsid w:val="00C26B8E"/>
    <w:rsid w:val="00C3586A"/>
    <w:rsid w:val="00C466B8"/>
    <w:rsid w:val="00C46CF3"/>
    <w:rsid w:val="00C57E06"/>
    <w:rsid w:val="00C64227"/>
    <w:rsid w:val="00C727A9"/>
    <w:rsid w:val="00C72D6C"/>
    <w:rsid w:val="00CA29B6"/>
    <w:rsid w:val="00CB4633"/>
    <w:rsid w:val="00CB4FB4"/>
    <w:rsid w:val="00CC084D"/>
    <w:rsid w:val="00CC20BC"/>
    <w:rsid w:val="00CD7C23"/>
    <w:rsid w:val="00CE745F"/>
    <w:rsid w:val="00CF3E3C"/>
    <w:rsid w:val="00D13B43"/>
    <w:rsid w:val="00D17889"/>
    <w:rsid w:val="00D313D0"/>
    <w:rsid w:val="00D328AF"/>
    <w:rsid w:val="00D3504A"/>
    <w:rsid w:val="00D4264B"/>
    <w:rsid w:val="00D47000"/>
    <w:rsid w:val="00D73726"/>
    <w:rsid w:val="00D73C3E"/>
    <w:rsid w:val="00D76D07"/>
    <w:rsid w:val="00D77066"/>
    <w:rsid w:val="00D77155"/>
    <w:rsid w:val="00D860F1"/>
    <w:rsid w:val="00DA3C91"/>
    <w:rsid w:val="00DC3F02"/>
    <w:rsid w:val="00DC47FC"/>
    <w:rsid w:val="00DD15AE"/>
    <w:rsid w:val="00DD4828"/>
    <w:rsid w:val="00DE64A1"/>
    <w:rsid w:val="00E052F5"/>
    <w:rsid w:val="00E071C0"/>
    <w:rsid w:val="00E30633"/>
    <w:rsid w:val="00E35BD4"/>
    <w:rsid w:val="00E42082"/>
    <w:rsid w:val="00E51EB8"/>
    <w:rsid w:val="00E54A79"/>
    <w:rsid w:val="00E637D5"/>
    <w:rsid w:val="00E64F63"/>
    <w:rsid w:val="00E65537"/>
    <w:rsid w:val="00E66B53"/>
    <w:rsid w:val="00E75D39"/>
    <w:rsid w:val="00E9271A"/>
    <w:rsid w:val="00EA09CF"/>
    <w:rsid w:val="00EB4095"/>
    <w:rsid w:val="00EB4F60"/>
    <w:rsid w:val="00EB7065"/>
    <w:rsid w:val="00EC7D83"/>
    <w:rsid w:val="00EE23D6"/>
    <w:rsid w:val="00EE625F"/>
    <w:rsid w:val="00EE635B"/>
    <w:rsid w:val="00EF08BF"/>
    <w:rsid w:val="00F01151"/>
    <w:rsid w:val="00F04F54"/>
    <w:rsid w:val="00F14869"/>
    <w:rsid w:val="00F14D84"/>
    <w:rsid w:val="00F16863"/>
    <w:rsid w:val="00F16B7A"/>
    <w:rsid w:val="00F2339A"/>
    <w:rsid w:val="00F568D6"/>
    <w:rsid w:val="00F66991"/>
    <w:rsid w:val="00F74C3E"/>
    <w:rsid w:val="00F75054"/>
    <w:rsid w:val="00F76402"/>
    <w:rsid w:val="00F815CD"/>
    <w:rsid w:val="00F81CDD"/>
    <w:rsid w:val="00F839A5"/>
    <w:rsid w:val="00F87A59"/>
    <w:rsid w:val="00F91560"/>
    <w:rsid w:val="00FB6BBB"/>
    <w:rsid w:val="00FB745F"/>
    <w:rsid w:val="00FB7947"/>
    <w:rsid w:val="00FC60FE"/>
    <w:rsid w:val="00FE7E79"/>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2_22.htm" TargetMode="External"/><Relationship Id="rId2" Type="http://schemas.openxmlformats.org/officeDocument/2006/relationships/hyperlink" Target="http://www.bls.gov/news.release/ecec.nr0.htm" TargetMode="External"/><Relationship Id="rId1" Type="http://schemas.openxmlformats.org/officeDocument/2006/relationships/hyperlink" Target="http://bls.gov/oes/current/naics2_22.ht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0F8D-A909-4299-8D1E-894954AF1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3.xml><?xml version="1.0" encoding="utf-8"?>
<ds:datastoreItem xmlns:ds="http://schemas.openxmlformats.org/officeDocument/2006/customXml" ds:itemID="{25C97F48-8427-43C6-B667-9F3FEEDF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3B1E02-D7D9-48CB-BFE3-968D2265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2017-04-18T20:51:00Z</cp:lastPrinted>
  <dcterms:created xsi:type="dcterms:W3CDTF">2017-08-29T19:21:00Z</dcterms:created>
  <dcterms:modified xsi:type="dcterms:W3CDTF">2017-08-29T19:21:00Z</dcterms:modified>
  <cp:category/>
  <dc:identifier/>
  <cp:contentStatus/>
  <cp:version/>
</cp:coreProperties>
</file>