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A3885" w14:textId="77777777" w:rsidR="00335028" w:rsidRDefault="00335028">
      <w:bookmarkStart w:id="0" w:name="_GoBack"/>
      <w:bookmarkEnd w:id="0"/>
    </w:p>
    <w:p w14:paraId="709A3886" w14:textId="77777777" w:rsidR="00EC44A5" w:rsidRPr="00850FCC" w:rsidRDefault="00EC44A5" w:rsidP="00EC44A5">
      <w:pPr>
        <w:spacing w:after="0" w:line="240" w:lineRule="auto"/>
        <w:jc w:val="center"/>
        <w:rPr>
          <w:rFonts w:ascii="Times New Roman" w:hAnsi="Times New Roman" w:cs="Times New Roman"/>
          <w:sz w:val="26"/>
          <w:szCs w:val="26"/>
        </w:rPr>
      </w:pPr>
      <w:r w:rsidRPr="00850FCC">
        <w:rPr>
          <w:rFonts w:ascii="Times New Roman" w:hAnsi="Times New Roman" w:cs="Times New Roman"/>
          <w:sz w:val="26"/>
          <w:szCs w:val="26"/>
        </w:rPr>
        <w:t>UNITED STATES OF AMERICA</w:t>
      </w:r>
    </w:p>
    <w:p w14:paraId="709A3887" w14:textId="77777777" w:rsidR="00EC44A5" w:rsidRPr="00850FCC" w:rsidRDefault="00EC44A5" w:rsidP="00EC44A5">
      <w:pPr>
        <w:spacing w:after="0" w:line="240" w:lineRule="auto"/>
        <w:jc w:val="center"/>
        <w:rPr>
          <w:rFonts w:ascii="Times New Roman" w:hAnsi="Times New Roman" w:cs="Times New Roman"/>
          <w:sz w:val="26"/>
          <w:szCs w:val="26"/>
        </w:rPr>
      </w:pPr>
      <w:r w:rsidRPr="00850FCC">
        <w:rPr>
          <w:rFonts w:ascii="Times New Roman" w:hAnsi="Times New Roman" w:cs="Times New Roman"/>
          <w:sz w:val="26"/>
          <w:szCs w:val="26"/>
        </w:rPr>
        <w:t>FEDERAL ENERGY REGULATORY COMMISSION</w:t>
      </w:r>
    </w:p>
    <w:p w14:paraId="709A3888" w14:textId="77777777" w:rsidR="00EC44A5" w:rsidRPr="00850FCC" w:rsidRDefault="00EC44A5" w:rsidP="00EC44A5">
      <w:pPr>
        <w:spacing w:after="0" w:line="240" w:lineRule="auto"/>
        <w:rPr>
          <w:rFonts w:ascii="Times New Roman" w:hAnsi="Times New Roman" w:cs="Times New Roman"/>
          <w:sz w:val="26"/>
          <w:szCs w:val="26"/>
        </w:rPr>
      </w:pPr>
    </w:p>
    <w:p w14:paraId="709A3889" w14:textId="77777777" w:rsidR="00EC44A5" w:rsidRPr="00850FCC" w:rsidRDefault="00EC44A5" w:rsidP="00EC44A5">
      <w:pPr>
        <w:spacing w:after="0" w:line="240" w:lineRule="auto"/>
        <w:jc w:val="center"/>
        <w:rPr>
          <w:rFonts w:ascii="Times New Roman" w:hAnsi="Times New Roman" w:cs="Times New Roman"/>
          <w:sz w:val="26"/>
          <w:szCs w:val="26"/>
        </w:rPr>
      </w:pPr>
      <w:r w:rsidRPr="00850FCC">
        <w:rPr>
          <w:rFonts w:ascii="Times New Roman" w:hAnsi="Times New Roman" w:cs="Times New Roman"/>
          <w:sz w:val="26"/>
          <w:szCs w:val="26"/>
        </w:rPr>
        <w:t>[Docket Nos. RD16-10-000, RD17-5</w:t>
      </w:r>
      <w:r>
        <w:rPr>
          <w:rFonts w:ascii="Times New Roman" w:hAnsi="Times New Roman" w:cs="Times New Roman"/>
          <w:sz w:val="26"/>
          <w:szCs w:val="26"/>
        </w:rPr>
        <w:t>-000</w:t>
      </w:r>
      <w:r w:rsidRPr="00850FCC">
        <w:rPr>
          <w:rFonts w:ascii="Times New Roman" w:hAnsi="Times New Roman" w:cs="Times New Roman"/>
          <w:sz w:val="26"/>
          <w:szCs w:val="26"/>
        </w:rPr>
        <w:t xml:space="preserve"> and IC17-6</w:t>
      </w:r>
      <w:r>
        <w:rPr>
          <w:rFonts w:ascii="Times New Roman" w:hAnsi="Times New Roman" w:cs="Times New Roman"/>
          <w:sz w:val="26"/>
          <w:szCs w:val="26"/>
        </w:rPr>
        <w:t>-000</w:t>
      </w:r>
      <w:r w:rsidRPr="00850FCC">
        <w:rPr>
          <w:rFonts w:ascii="Times New Roman" w:hAnsi="Times New Roman" w:cs="Times New Roman"/>
          <w:sz w:val="26"/>
          <w:szCs w:val="26"/>
        </w:rPr>
        <w:t>]</w:t>
      </w:r>
    </w:p>
    <w:p w14:paraId="709A388A" w14:textId="77777777" w:rsidR="00EC44A5" w:rsidRPr="00850FCC" w:rsidRDefault="00EC44A5" w:rsidP="00EC44A5">
      <w:pPr>
        <w:spacing w:after="0" w:line="240" w:lineRule="auto"/>
        <w:rPr>
          <w:rFonts w:ascii="Times New Roman" w:hAnsi="Times New Roman" w:cs="Times New Roman"/>
          <w:sz w:val="26"/>
          <w:szCs w:val="26"/>
        </w:rPr>
      </w:pPr>
    </w:p>
    <w:p w14:paraId="709A388B" w14:textId="77777777" w:rsidR="00EC44A5" w:rsidRPr="00850FCC" w:rsidRDefault="00EC44A5" w:rsidP="00EC44A5">
      <w:pPr>
        <w:spacing w:after="0" w:line="240" w:lineRule="auto"/>
        <w:jc w:val="center"/>
        <w:rPr>
          <w:rFonts w:ascii="Times New Roman" w:hAnsi="Times New Roman" w:cs="Times New Roman"/>
          <w:sz w:val="26"/>
          <w:szCs w:val="26"/>
        </w:rPr>
      </w:pPr>
      <w:r w:rsidRPr="00850FCC">
        <w:rPr>
          <w:rFonts w:ascii="Times New Roman" w:hAnsi="Times New Roman" w:cs="Times New Roman"/>
          <w:sz w:val="26"/>
          <w:szCs w:val="26"/>
        </w:rPr>
        <w:t>COMMISSION INFORMATION COLLECTION ACTIVITIES (FERC-725E);</w:t>
      </w:r>
    </w:p>
    <w:p w14:paraId="709A388C" w14:textId="77777777" w:rsidR="00EC44A5" w:rsidRPr="00850FCC" w:rsidRDefault="00EC44A5" w:rsidP="00EC44A5">
      <w:pPr>
        <w:spacing w:after="0" w:line="240" w:lineRule="auto"/>
        <w:jc w:val="center"/>
        <w:rPr>
          <w:rFonts w:ascii="Times New Roman" w:hAnsi="Times New Roman" w:cs="Times New Roman"/>
          <w:sz w:val="26"/>
          <w:szCs w:val="26"/>
        </w:rPr>
      </w:pPr>
      <w:r w:rsidRPr="00850FCC">
        <w:rPr>
          <w:rFonts w:ascii="Times New Roman" w:hAnsi="Times New Roman" w:cs="Times New Roman"/>
          <w:sz w:val="26"/>
          <w:szCs w:val="26"/>
        </w:rPr>
        <w:t>COMMENT REQUEST; REVISION</w:t>
      </w:r>
    </w:p>
    <w:p w14:paraId="709A388D" w14:textId="77777777" w:rsidR="00EC44A5" w:rsidRPr="00850FCC" w:rsidRDefault="00EC44A5" w:rsidP="00EC44A5">
      <w:pPr>
        <w:jc w:val="center"/>
        <w:rPr>
          <w:rFonts w:ascii="Times New Roman" w:hAnsi="Times New Roman" w:cs="Times New Roman"/>
          <w:sz w:val="26"/>
          <w:szCs w:val="26"/>
        </w:rPr>
      </w:pPr>
    </w:p>
    <w:p w14:paraId="709A388F" w14:textId="1D1683B5" w:rsidR="00EC44A5" w:rsidRDefault="000058FD" w:rsidP="000058FD">
      <w:pPr>
        <w:spacing w:after="0" w:line="240" w:lineRule="auto"/>
        <w:jc w:val="center"/>
        <w:rPr>
          <w:rFonts w:ascii="Times New Roman" w:hAnsi="Times New Roman" w:cs="Times New Roman"/>
          <w:sz w:val="26"/>
          <w:szCs w:val="26"/>
        </w:rPr>
      </w:pPr>
      <w:r w:rsidRPr="000058FD">
        <w:rPr>
          <w:rFonts w:ascii="Times New Roman" w:hAnsi="Times New Roman" w:cs="Times New Roman"/>
          <w:sz w:val="26"/>
          <w:szCs w:val="26"/>
        </w:rPr>
        <w:t>(August 15, 2017)</w:t>
      </w:r>
    </w:p>
    <w:p w14:paraId="03C77B3E" w14:textId="77777777" w:rsidR="000058FD" w:rsidRPr="000058FD" w:rsidRDefault="000058FD" w:rsidP="000058FD">
      <w:pPr>
        <w:spacing w:after="0" w:line="240" w:lineRule="auto"/>
        <w:rPr>
          <w:rFonts w:ascii="Times New Roman" w:hAnsi="Times New Roman" w:cs="Times New Roman"/>
          <w:sz w:val="26"/>
          <w:szCs w:val="26"/>
        </w:rPr>
      </w:pPr>
    </w:p>
    <w:p w14:paraId="709A3890"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b/>
          <w:sz w:val="26"/>
          <w:szCs w:val="26"/>
        </w:rPr>
        <w:t>AGENCY:</w:t>
      </w:r>
      <w:r w:rsidRPr="00850FCC">
        <w:rPr>
          <w:rFonts w:ascii="Times New Roman" w:hAnsi="Times New Roman" w:cs="Times New Roman"/>
          <w:sz w:val="26"/>
          <w:szCs w:val="26"/>
        </w:rPr>
        <w:t xml:space="preserve">  Federal Energy Regulatory Commission.</w:t>
      </w:r>
    </w:p>
    <w:p w14:paraId="709A3891"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b/>
          <w:sz w:val="26"/>
          <w:szCs w:val="26"/>
        </w:rPr>
        <w:t>ACTION:</w:t>
      </w:r>
      <w:r w:rsidRPr="00850FCC">
        <w:rPr>
          <w:rFonts w:ascii="Times New Roman" w:hAnsi="Times New Roman" w:cs="Times New Roman"/>
          <w:sz w:val="26"/>
          <w:szCs w:val="26"/>
        </w:rPr>
        <w:t xml:space="preserve">  Notice of revised information collection and request for comments.</w:t>
      </w:r>
    </w:p>
    <w:p w14:paraId="709A3892" w14:textId="77777777" w:rsidR="00EC44A5" w:rsidRPr="00850FCC" w:rsidRDefault="00EC44A5" w:rsidP="00EC44A5">
      <w:pPr>
        <w:spacing w:line="480" w:lineRule="auto"/>
        <w:rPr>
          <w:rFonts w:ascii="Times New Roman" w:hAnsi="Times New Roman" w:cs="Times New Roman"/>
          <w:sz w:val="26"/>
          <w:szCs w:val="26"/>
        </w:rPr>
      </w:pPr>
      <w:r w:rsidRPr="00850FCC">
        <w:rPr>
          <w:rFonts w:ascii="Times New Roman" w:hAnsi="Times New Roman" w:cs="Times New Roman"/>
          <w:b/>
          <w:sz w:val="26"/>
          <w:szCs w:val="26"/>
        </w:rPr>
        <w:t>SUMMARY:</w:t>
      </w:r>
      <w:r w:rsidRPr="00850FCC">
        <w:rPr>
          <w:rFonts w:ascii="Times New Roman" w:hAnsi="Times New Roman" w:cs="Times New Roman"/>
          <w:sz w:val="26"/>
          <w:szCs w:val="26"/>
        </w:rPr>
        <w:t xml:space="preserve">  In compliance with the requirements of the Paperwork Reduction Act of 1995, 44 USC 3507(a)(1)(D), the Federal Energy Regulatory Commission (Commission or FERC) is soliciting public comment on revision</w:t>
      </w:r>
      <w:r>
        <w:rPr>
          <w:rFonts w:ascii="Times New Roman" w:hAnsi="Times New Roman" w:cs="Times New Roman"/>
          <w:sz w:val="26"/>
          <w:szCs w:val="26"/>
        </w:rPr>
        <w:t>s</w:t>
      </w:r>
      <w:r w:rsidRPr="00850FCC">
        <w:rPr>
          <w:rFonts w:ascii="Times New Roman" w:hAnsi="Times New Roman" w:cs="Times New Roman"/>
          <w:sz w:val="26"/>
          <w:szCs w:val="26"/>
        </w:rPr>
        <w:t xml:space="preserve"> to the information collection, FERC-725E (Mandatory Reliability Standards for the Western Electric Coordinating Council),</w:t>
      </w:r>
      <w:r>
        <w:rPr>
          <w:rFonts w:ascii="Times New Roman" w:hAnsi="Times New Roman" w:cs="Times New Roman"/>
          <w:sz w:val="26"/>
          <w:szCs w:val="26"/>
        </w:rPr>
        <w:t xml:space="preserve"> </w:t>
      </w:r>
      <w:r w:rsidRPr="00850FCC">
        <w:rPr>
          <w:rFonts w:ascii="Times New Roman" w:hAnsi="Times New Roman" w:cs="Times New Roman"/>
          <w:sz w:val="26"/>
          <w:szCs w:val="26"/>
        </w:rPr>
        <w:t>in Docket No</w:t>
      </w:r>
      <w:r>
        <w:rPr>
          <w:rFonts w:ascii="Times New Roman" w:hAnsi="Times New Roman" w:cs="Times New Roman"/>
          <w:sz w:val="26"/>
          <w:szCs w:val="26"/>
        </w:rPr>
        <w:t>s</w:t>
      </w:r>
      <w:r w:rsidRPr="00850FCC">
        <w:rPr>
          <w:rFonts w:ascii="Times New Roman" w:hAnsi="Times New Roman" w:cs="Times New Roman"/>
          <w:sz w:val="26"/>
          <w:szCs w:val="26"/>
        </w:rPr>
        <w:t>. RD16-10</w:t>
      </w:r>
      <w:r>
        <w:rPr>
          <w:rFonts w:ascii="Times New Roman" w:hAnsi="Times New Roman" w:cs="Times New Roman"/>
          <w:sz w:val="26"/>
          <w:szCs w:val="26"/>
        </w:rPr>
        <w:t>-000,</w:t>
      </w:r>
      <w:r w:rsidRPr="00850FCC">
        <w:rPr>
          <w:rFonts w:ascii="Times New Roman" w:hAnsi="Times New Roman" w:cs="Times New Roman"/>
          <w:sz w:val="26"/>
          <w:szCs w:val="26"/>
        </w:rPr>
        <w:t xml:space="preserve"> RD17-5</w:t>
      </w:r>
      <w:r>
        <w:rPr>
          <w:rFonts w:ascii="Times New Roman" w:hAnsi="Times New Roman" w:cs="Times New Roman"/>
          <w:sz w:val="26"/>
          <w:szCs w:val="26"/>
        </w:rPr>
        <w:t>-000 and IC17-6-000</w:t>
      </w:r>
      <w:r w:rsidRPr="00850FCC">
        <w:rPr>
          <w:rFonts w:ascii="Times New Roman" w:hAnsi="Times New Roman" w:cs="Times New Roman"/>
          <w:sz w:val="26"/>
          <w:szCs w:val="26"/>
        </w:rPr>
        <w:t xml:space="preserve"> </w:t>
      </w:r>
      <w:r>
        <w:rPr>
          <w:rFonts w:ascii="Times New Roman" w:hAnsi="Times New Roman" w:cs="Times New Roman"/>
          <w:sz w:val="26"/>
          <w:szCs w:val="26"/>
        </w:rPr>
        <w:t xml:space="preserve">and submitting the information collection </w:t>
      </w:r>
      <w:r w:rsidRPr="00850FCC">
        <w:rPr>
          <w:rFonts w:ascii="Times New Roman" w:hAnsi="Times New Roman" w:cs="Times New Roman"/>
          <w:sz w:val="26"/>
          <w:szCs w:val="26"/>
        </w:rPr>
        <w:t>to the Office of Management and Budget (OMB)</w:t>
      </w:r>
      <w:r>
        <w:rPr>
          <w:rFonts w:ascii="Times New Roman" w:hAnsi="Times New Roman" w:cs="Times New Roman"/>
          <w:sz w:val="26"/>
          <w:szCs w:val="26"/>
        </w:rPr>
        <w:t xml:space="preserve"> </w:t>
      </w:r>
      <w:r w:rsidRPr="001A5D2A">
        <w:rPr>
          <w:rFonts w:ascii="Times New Roman" w:eastAsia="Times New Roman" w:hAnsi="Times New Roman" w:cs="Times New Roman"/>
          <w:sz w:val="26"/>
          <w:szCs w:val="24"/>
        </w:rPr>
        <w:t>for review</w:t>
      </w:r>
      <w:r>
        <w:rPr>
          <w:rFonts w:ascii="Times New Roman" w:eastAsia="Times New Roman" w:hAnsi="Times New Roman" w:cs="Times New Roman"/>
          <w:sz w:val="26"/>
          <w:szCs w:val="24"/>
        </w:rPr>
        <w:t>.</w:t>
      </w:r>
      <w:r w:rsidRPr="00850FCC">
        <w:rPr>
          <w:rFonts w:ascii="Times New Roman" w:hAnsi="Times New Roman" w:cs="Times New Roman"/>
          <w:sz w:val="26"/>
          <w:szCs w:val="26"/>
        </w:rPr>
        <w:t xml:space="preserve">  Any interested person may file comments directly with OMB and should address a copy of those comments to the Commission as explained below. The Commission </w:t>
      </w:r>
      <w:r>
        <w:rPr>
          <w:rFonts w:ascii="Times New Roman" w:hAnsi="Times New Roman" w:cs="Times New Roman"/>
          <w:sz w:val="26"/>
          <w:szCs w:val="26"/>
        </w:rPr>
        <w:t>publish</w:t>
      </w:r>
      <w:r w:rsidRPr="00850FCC">
        <w:rPr>
          <w:rFonts w:ascii="Times New Roman" w:hAnsi="Times New Roman" w:cs="Times New Roman"/>
          <w:sz w:val="26"/>
          <w:szCs w:val="26"/>
        </w:rPr>
        <w:t>ed Notice</w:t>
      </w:r>
      <w:r>
        <w:rPr>
          <w:rFonts w:ascii="Times New Roman" w:hAnsi="Times New Roman" w:cs="Times New Roman"/>
          <w:sz w:val="26"/>
          <w:szCs w:val="26"/>
        </w:rPr>
        <w:t>s</w:t>
      </w:r>
      <w:r w:rsidRPr="00850FCC">
        <w:rPr>
          <w:rFonts w:ascii="Times New Roman" w:hAnsi="Times New Roman" w:cs="Times New Roman"/>
          <w:sz w:val="26"/>
          <w:szCs w:val="26"/>
        </w:rPr>
        <w:t xml:space="preserve"> in the Federal Register</w:t>
      </w:r>
      <w:r>
        <w:rPr>
          <w:rFonts w:ascii="Times New Roman" w:hAnsi="Times New Roman" w:cs="Times New Roman"/>
          <w:sz w:val="26"/>
          <w:szCs w:val="26"/>
        </w:rPr>
        <w:t xml:space="preserve"> in Docket No. RD16-10-000,</w:t>
      </w:r>
      <w:r w:rsidRPr="00850FCC">
        <w:rPr>
          <w:rFonts w:ascii="Times New Roman" w:hAnsi="Times New Roman" w:cs="Times New Roman"/>
          <w:sz w:val="26"/>
          <w:szCs w:val="26"/>
        </w:rPr>
        <w:t xml:space="preserve"> (82 FR 16823, 4/6/2017</w:t>
      </w:r>
      <w:r>
        <w:rPr>
          <w:rFonts w:ascii="Times New Roman" w:hAnsi="Times New Roman" w:cs="Times New Roman"/>
          <w:sz w:val="26"/>
          <w:szCs w:val="26"/>
        </w:rPr>
        <w:t xml:space="preserve">) and in Docket Nos. RD17-5-000 and IC17-6-000 (82 FR 21538, 5/9/2017) requesting public comments.  </w:t>
      </w:r>
      <w:r w:rsidRPr="00850FCC">
        <w:rPr>
          <w:rFonts w:ascii="Times New Roman" w:hAnsi="Times New Roman" w:cs="Times New Roman"/>
          <w:sz w:val="26"/>
          <w:szCs w:val="26"/>
        </w:rPr>
        <w:t xml:space="preserve">FERC received </w:t>
      </w:r>
      <w:r>
        <w:rPr>
          <w:rFonts w:ascii="Times New Roman" w:hAnsi="Times New Roman" w:cs="Times New Roman"/>
          <w:sz w:val="26"/>
          <w:szCs w:val="26"/>
        </w:rPr>
        <w:t xml:space="preserve">no </w:t>
      </w:r>
      <w:r w:rsidRPr="00850FCC">
        <w:rPr>
          <w:rFonts w:ascii="Times New Roman" w:hAnsi="Times New Roman" w:cs="Times New Roman"/>
          <w:sz w:val="26"/>
          <w:szCs w:val="26"/>
        </w:rPr>
        <w:t xml:space="preserve">comments in response to </w:t>
      </w:r>
      <w:r>
        <w:rPr>
          <w:rFonts w:ascii="Times New Roman" w:hAnsi="Times New Roman" w:cs="Times New Roman"/>
          <w:sz w:val="26"/>
          <w:szCs w:val="26"/>
        </w:rPr>
        <w:t>the Notices</w:t>
      </w:r>
      <w:r w:rsidRPr="00850FCC">
        <w:rPr>
          <w:rFonts w:ascii="Times New Roman" w:hAnsi="Times New Roman" w:cs="Times New Roman"/>
          <w:sz w:val="26"/>
          <w:szCs w:val="26"/>
        </w:rPr>
        <w:t xml:space="preserve"> and is </w:t>
      </w:r>
      <w:r>
        <w:rPr>
          <w:rFonts w:ascii="Times New Roman" w:hAnsi="Times New Roman" w:cs="Times New Roman"/>
          <w:sz w:val="26"/>
          <w:szCs w:val="26"/>
        </w:rPr>
        <w:t>indicating that in its submittal</w:t>
      </w:r>
      <w:r w:rsidRPr="00850FCC">
        <w:rPr>
          <w:rFonts w:ascii="Times New Roman" w:hAnsi="Times New Roman" w:cs="Times New Roman"/>
          <w:sz w:val="26"/>
          <w:szCs w:val="26"/>
        </w:rPr>
        <w:t xml:space="preserve"> to</w:t>
      </w:r>
      <w:r>
        <w:rPr>
          <w:rFonts w:ascii="Times New Roman" w:hAnsi="Times New Roman" w:cs="Times New Roman"/>
          <w:sz w:val="26"/>
          <w:szCs w:val="26"/>
        </w:rPr>
        <w:t xml:space="preserve"> the </w:t>
      </w:r>
      <w:r w:rsidRPr="00850FCC">
        <w:rPr>
          <w:rFonts w:ascii="Times New Roman" w:hAnsi="Times New Roman" w:cs="Times New Roman"/>
          <w:sz w:val="26"/>
          <w:szCs w:val="26"/>
        </w:rPr>
        <w:t xml:space="preserve">OMB. </w:t>
      </w:r>
    </w:p>
    <w:p w14:paraId="709A3893"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b/>
          <w:sz w:val="26"/>
          <w:szCs w:val="26"/>
        </w:rPr>
        <w:lastRenderedPageBreak/>
        <w:t>DATES:</w:t>
      </w:r>
      <w:r w:rsidRPr="00850FCC">
        <w:rPr>
          <w:rFonts w:ascii="Times New Roman" w:hAnsi="Times New Roman" w:cs="Times New Roman"/>
          <w:sz w:val="26"/>
          <w:szCs w:val="26"/>
        </w:rPr>
        <w:t xml:space="preserve">  Comments on the collection of information are due</w:t>
      </w:r>
      <w:r w:rsidRPr="00850FCC">
        <w:rPr>
          <w:rFonts w:ascii="Times New Roman" w:hAnsi="Times New Roman" w:cs="Times New Roman"/>
          <w:b/>
          <w:sz w:val="26"/>
          <w:szCs w:val="26"/>
        </w:rPr>
        <w:t xml:space="preserve"> [Insert Date that is 30 days after publication in the Federal Register].</w:t>
      </w:r>
      <w:r w:rsidRPr="00850FCC">
        <w:rPr>
          <w:rFonts w:ascii="Times New Roman" w:hAnsi="Times New Roman" w:cs="Times New Roman"/>
          <w:sz w:val="26"/>
          <w:szCs w:val="26"/>
        </w:rPr>
        <w:t xml:space="preserve"> </w:t>
      </w:r>
    </w:p>
    <w:p w14:paraId="709A3894"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b/>
          <w:sz w:val="26"/>
          <w:szCs w:val="26"/>
        </w:rPr>
        <w:t>ADDRESSES:</w:t>
      </w:r>
      <w:r w:rsidRPr="00850FCC">
        <w:rPr>
          <w:rFonts w:ascii="Times New Roman" w:hAnsi="Times New Roman" w:cs="Times New Roman"/>
          <w:sz w:val="26"/>
          <w:szCs w:val="26"/>
        </w:rPr>
        <w:t xml:space="preserve">  Comments filed with OMB, identified by</w:t>
      </w:r>
      <w:r>
        <w:rPr>
          <w:rFonts w:ascii="Times New Roman" w:hAnsi="Times New Roman" w:cs="Times New Roman"/>
          <w:sz w:val="26"/>
          <w:szCs w:val="26"/>
        </w:rPr>
        <w:t xml:space="preserve"> OMB Control No. 1902-0246</w:t>
      </w:r>
      <w:r w:rsidRPr="0043134D">
        <w:rPr>
          <w:rFonts w:ascii="Times New Roman" w:hAnsi="Times New Roman" w:cs="Times New Roman"/>
          <w:sz w:val="26"/>
          <w:szCs w:val="26"/>
        </w:rPr>
        <w:t>, should</w:t>
      </w:r>
      <w:r>
        <w:rPr>
          <w:rFonts w:ascii="Times New Roman" w:hAnsi="Times New Roman" w:cs="Times New Roman"/>
          <w:sz w:val="26"/>
          <w:szCs w:val="26"/>
        </w:rPr>
        <w:t xml:space="preserve"> </w:t>
      </w:r>
      <w:r w:rsidRPr="00850FCC">
        <w:rPr>
          <w:rFonts w:ascii="Times New Roman" w:hAnsi="Times New Roman" w:cs="Times New Roman"/>
          <w:sz w:val="26"/>
          <w:szCs w:val="26"/>
        </w:rPr>
        <w:t xml:space="preserve">be sent via email to the Office of Information and Regulatory Affairs: </w:t>
      </w:r>
      <w:hyperlink r:id="rId12" w:history="1">
        <w:r w:rsidRPr="00850FCC">
          <w:rPr>
            <w:rStyle w:val="Hyperlink"/>
            <w:rFonts w:ascii="Times New Roman" w:hAnsi="Times New Roman" w:cs="Times New Roman"/>
            <w:sz w:val="26"/>
            <w:szCs w:val="26"/>
          </w:rPr>
          <w:t>oira_submission@omb.gov</w:t>
        </w:r>
      </w:hyperlink>
      <w:r w:rsidRPr="00850FCC">
        <w:rPr>
          <w:rFonts w:ascii="Times New Roman" w:hAnsi="Times New Roman" w:cs="Times New Roman"/>
          <w:sz w:val="26"/>
          <w:szCs w:val="26"/>
        </w:rPr>
        <w:t>.  Attention: Federal Energy Regulatory Commission Desk Officer.  The Desk Officer may also be reached via telephone at 202-395-</w:t>
      </w:r>
      <w:r w:rsidRPr="0022648D">
        <w:rPr>
          <w:rFonts w:ascii="Times New Roman" w:hAnsi="Times New Roman" w:cs="Times New Roman"/>
          <w:sz w:val="26"/>
          <w:szCs w:val="26"/>
        </w:rPr>
        <w:t>0710</w:t>
      </w:r>
      <w:r w:rsidRPr="00850FCC">
        <w:rPr>
          <w:rFonts w:ascii="Times New Roman" w:hAnsi="Times New Roman" w:cs="Times New Roman"/>
          <w:sz w:val="26"/>
          <w:szCs w:val="26"/>
        </w:rPr>
        <w:t>.</w:t>
      </w:r>
    </w:p>
    <w:p w14:paraId="709A3895" w14:textId="77777777" w:rsidR="00EC44A5" w:rsidRPr="00850FCC" w:rsidRDefault="00EC44A5" w:rsidP="00EC44A5">
      <w:pPr>
        <w:spacing w:after="0" w:line="480" w:lineRule="auto"/>
        <w:ind w:firstLine="720"/>
        <w:rPr>
          <w:rFonts w:ascii="Times New Roman" w:hAnsi="Times New Roman" w:cs="Times New Roman"/>
          <w:sz w:val="26"/>
          <w:szCs w:val="26"/>
        </w:rPr>
      </w:pPr>
      <w:r w:rsidRPr="00850FCC">
        <w:rPr>
          <w:rFonts w:ascii="Times New Roman" w:hAnsi="Times New Roman" w:cs="Times New Roman"/>
          <w:sz w:val="26"/>
          <w:szCs w:val="26"/>
        </w:rPr>
        <w:t>A copy of the comments should also be sent to the Commission, in Docket Nos.</w:t>
      </w:r>
      <w:r>
        <w:rPr>
          <w:rFonts w:ascii="Times New Roman" w:hAnsi="Times New Roman" w:cs="Times New Roman"/>
          <w:sz w:val="26"/>
          <w:szCs w:val="26"/>
        </w:rPr>
        <w:t xml:space="preserve"> RD17-5, RD16-10 and IC17-6</w:t>
      </w:r>
      <w:r w:rsidRPr="00850FCC">
        <w:rPr>
          <w:rFonts w:ascii="Times New Roman" w:hAnsi="Times New Roman" w:cs="Times New Roman"/>
          <w:sz w:val="26"/>
          <w:szCs w:val="26"/>
        </w:rPr>
        <w:t>, by either of the following methods:</w:t>
      </w:r>
    </w:p>
    <w:p w14:paraId="709A3896" w14:textId="77777777" w:rsidR="00EC44A5" w:rsidRPr="00850FCC" w:rsidRDefault="00EC44A5" w:rsidP="00EC44A5">
      <w:pPr>
        <w:numPr>
          <w:ilvl w:val="0"/>
          <w:numId w:val="3"/>
        </w:numPr>
        <w:tabs>
          <w:tab w:val="clear" w:pos="1500"/>
          <w:tab w:val="num" w:pos="1080"/>
        </w:tabs>
        <w:spacing w:after="0" w:line="480" w:lineRule="auto"/>
        <w:ind w:left="720" w:firstLine="0"/>
        <w:rPr>
          <w:rFonts w:ascii="Times New Roman" w:hAnsi="Times New Roman" w:cs="Times New Roman"/>
          <w:sz w:val="26"/>
          <w:szCs w:val="26"/>
        </w:rPr>
      </w:pPr>
      <w:bookmarkStart w:id="1" w:name="OLE_LINK1"/>
      <w:r w:rsidRPr="00850FCC">
        <w:rPr>
          <w:rFonts w:ascii="Times New Roman" w:hAnsi="Times New Roman" w:cs="Times New Roman"/>
          <w:sz w:val="26"/>
          <w:szCs w:val="26"/>
        </w:rPr>
        <w:t xml:space="preserve">eFiling at Commission’s Web Site: </w:t>
      </w:r>
      <w:hyperlink r:id="rId13" w:history="1">
        <w:r w:rsidRPr="00850FCC">
          <w:rPr>
            <w:rStyle w:val="Hyperlink"/>
            <w:rFonts w:ascii="Times New Roman" w:hAnsi="Times New Roman" w:cs="Times New Roman"/>
            <w:sz w:val="26"/>
            <w:szCs w:val="26"/>
          </w:rPr>
          <w:t>http://www.ferc.gov/docs-filing/efiling.asp</w:t>
        </w:r>
      </w:hyperlink>
    </w:p>
    <w:p w14:paraId="709A3897" w14:textId="77777777" w:rsidR="00EC44A5" w:rsidRPr="00850FCC" w:rsidRDefault="00EC44A5" w:rsidP="00EC44A5">
      <w:pPr>
        <w:numPr>
          <w:ilvl w:val="0"/>
          <w:numId w:val="3"/>
        </w:numPr>
        <w:tabs>
          <w:tab w:val="clear" w:pos="1500"/>
          <w:tab w:val="num" w:pos="1080"/>
        </w:tabs>
        <w:spacing w:after="0" w:line="480" w:lineRule="auto"/>
        <w:ind w:left="1080"/>
        <w:rPr>
          <w:rFonts w:ascii="Times New Roman" w:hAnsi="Times New Roman" w:cs="Times New Roman"/>
          <w:sz w:val="26"/>
          <w:szCs w:val="26"/>
        </w:rPr>
      </w:pPr>
      <w:r w:rsidRPr="00850FCC">
        <w:rPr>
          <w:rFonts w:ascii="Times New Roman" w:hAnsi="Times New Roman" w:cs="Times New Roman"/>
          <w:sz w:val="26"/>
          <w:szCs w:val="26"/>
        </w:rPr>
        <w:t>Mail/Hand Delivery/Courier: Federal Energy Regulatory Commission, Secretary of the Commission, 888 First Street, NE, Washington, DC 20426.</w:t>
      </w:r>
    </w:p>
    <w:p w14:paraId="709A3898"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i/>
          <w:sz w:val="26"/>
          <w:szCs w:val="26"/>
        </w:rPr>
        <w:t xml:space="preserve">Instructions: </w:t>
      </w:r>
      <w:r w:rsidRPr="00850FCC">
        <w:rPr>
          <w:rFonts w:ascii="Times New Roman" w:hAnsi="Times New Roman" w:cs="Times New Roman"/>
          <w:sz w:val="26"/>
          <w:szCs w:val="26"/>
        </w:rPr>
        <w:t xml:space="preserve">All submissions must be formatted and filed in accordance with submission guidelines at: </w:t>
      </w:r>
      <w:hyperlink r:id="rId14" w:history="1">
        <w:r w:rsidRPr="00850FCC">
          <w:rPr>
            <w:rStyle w:val="Hyperlink"/>
            <w:rFonts w:ascii="Times New Roman" w:hAnsi="Times New Roman" w:cs="Times New Roman"/>
            <w:sz w:val="26"/>
            <w:szCs w:val="26"/>
          </w:rPr>
          <w:t>http://www.ferc.gov/help/submission-guide.asp</w:t>
        </w:r>
      </w:hyperlink>
      <w:r w:rsidRPr="00850FCC">
        <w:rPr>
          <w:rFonts w:ascii="Times New Roman" w:hAnsi="Times New Roman" w:cs="Times New Roman"/>
          <w:sz w:val="26"/>
          <w:szCs w:val="26"/>
        </w:rPr>
        <w:t>.  For user assistance contact FERC Online Support by e-mail at ferconlinesupport@ferc.gov, or by phone at:  (866) 208-3676 (toll-free), or (202) 502-8659 for TTY.</w:t>
      </w:r>
    </w:p>
    <w:p w14:paraId="709A3899"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i/>
          <w:sz w:val="26"/>
          <w:szCs w:val="26"/>
        </w:rPr>
        <w:t>Docket:</w:t>
      </w:r>
      <w:r w:rsidRPr="00850FCC">
        <w:rPr>
          <w:rFonts w:ascii="Times New Roman" w:hAnsi="Times New Roman" w:cs="Times New Roman"/>
          <w:sz w:val="26"/>
          <w:szCs w:val="26"/>
        </w:rPr>
        <w:t xml:space="preserve"> Users interested in receiving automatic notification of activity in </w:t>
      </w:r>
      <w:r>
        <w:rPr>
          <w:rFonts w:ascii="Times New Roman" w:hAnsi="Times New Roman" w:cs="Times New Roman"/>
          <w:sz w:val="26"/>
          <w:szCs w:val="26"/>
        </w:rPr>
        <w:t xml:space="preserve">Docket Nos. RD17-5, RD16-10, and IC17-6 </w:t>
      </w:r>
      <w:r w:rsidRPr="00850FCC">
        <w:rPr>
          <w:rFonts w:ascii="Times New Roman" w:hAnsi="Times New Roman" w:cs="Times New Roman"/>
          <w:sz w:val="26"/>
          <w:szCs w:val="26"/>
        </w:rPr>
        <w:t>or in viewing/downloading comments and issuances in th</w:t>
      </w:r>
      <w:r>
        <w:rPr>
          <w:rFonts w:ascii="Times New Roman" w:hAnsi="Times New Roman" w:cs="Times New Roman"/>
          <w:sz w:val="26"/>
          <w:szCs w:val="26"/>
        </w:rPr>
        <w:t>ese</w:t>
      </w:r>
      <w:r w:rsidRPr="00850FCC">
        <w:rPr>
          <w:rFonts w:ascii="Times New Roman" w:hAnsi="Times New Roman" w:cs="Times New Roman"/>
          <w:sz w:val="26"/>
          <w:szCs w:val="26"/>
        </w:rPr>
        <w:t xml:space="preserve"> docket</w:t>
      </w:r>
      <w:r>
        <w:rPr>
          <w:rFonts w:ascii="Times New Roman" w:hAnsi="Times New Roman" w:cs="Times New Roman"/>
          <w:sz w:val="26"/>
          <w:szCs w:val="26"/>
        </w:rPr>
        <w:t>s</w:t>
      </w:r>
      <w:r w:rsidRPr="00850FCC">
        <w:rPr>
          <w:rFonts w:ascii="Times New Roman" w:hAnsi="Times New Roman" w:cs="Times New Roman"/>
          <w:sz w:val="26"/>
          <w:szCs w:val="26"/>
        </w:rPr>
        <w:t xml:space="preserve"> may do so at </w:t>
      </w:r>
      <w:hyperlink r:id="rId15" w:history="1">
        <w:r w:rsidRPr="00850FCC">
          <w:rPr>
            <w:rStyle w:val="Hyperlink"/>
            <w:rFonts w:ascii="Times New Roman" w:hAnsi="Times New Roman" w:cs="Times New Roman"/>
            <w:sz w:val="26"/>
            <w:szCs w:val="26"/>
          </w:rPr>
          <w:t>http://www.ferc.gov/docs-filing/docs-filing.asp</w:t>
        </w:r>
      </w:hyperlink>
      <w:r w:rsidRPr="00850FCC">
        <w:rPr>
          <w:rFonts w:ascii="Times New Roman" w:hAnsi="Times New Roman" w:cs="Times New Roman"/>
          <w:sz w:val="26"/>
          <w:szCs w:val="26"/>
        </w:rPr>
        <w:t xml:space="preserve">. </w:t>
      </w:r>
    </w:p>
    <w:bookmarkEnd w:id="1"/>
    <w:p w14:paraId="709A389A"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b/>
          <w:sz w:val="26"/>
          <w:szCs w:val="26"/>
        </w:rPr>
        <w:t>FOR FURTHER INFORMATION:</w:t>
      </w:r>
      <w:r w:rsidRPr="00850FCC">
        <w:rPr>
          <w:rFonts w:ascii="Times New Roman" w:hAnsi="Times New Roman" w:cs="Times New Roman"/>
          <w:sz w:val="26"/>
          <w:szCs w:val="26"/>
        </w:rPr>
        <w:t xml:space="preserve">  Ellen Brown may be reached by e-mail at </w:t>
      </w:r>
      <w:hyperlink r:id="rId16" w:history="1">
        <w:r w:rsidRPr="00850FCC">
          <w:rPr>
            <w:rStyle w:val="Hyperlink"/>
            <w:rFonts w:ascii="Times New Roman" w:hAnsi="Times New Roman" w:cs="Times New Roman"/>
            <w:sz w:val="26"/>
            <w:szCs w:val="26"/>
          </w:rPr>
          <w:t>DataClearance@FERC.gov</w:t>
        </w:r>
      </w:hyperlink>
      <w:r w:rsidRPr="00850FCC">
        <w:rPr>
          <w:rFonts w:ascii="Times New Roman" w:hAnsi="Times New Roman" w:cs="Times New Roman"/>
          <w:sz w:val="26"/>
          <w:szCs w:val="26"/>
        </w:rPr>
        <w:t>, telephone at (202) 502-8663, and fax at (202) 273-0873.</w:t>
      </w:r>
    </w:p>
    <w:p w14:paraId="709A389B" w14:textId="77777777" w:rsidR="00EC44A5" w:rsidRPr="00850FCC" w:rsidRDefault="00EC44A5" w:rsidP="00EC44A5">
      <w:pPr>
        <w:spacing w:line="480" w:lineRule="auto"/>
        <w:rPr>
          <w:rFonts w:ascii="Times New Roman" w:hAnsi="Times New Roman" w:cs="Times New Roman"/>
          <w:sz w:val="26"/>
          <w:szCs w:val="26"/>
        </w:rPr>
      </w:pPr>
      <w:r w:rsidRPr="00850FCC">
        <w:rPr>
          <w:rFonts w:ascii="Times New Roman" w:hAnsi="Times New Roman" w:cs="Times New Roman"/>
          <w:sz w:val="26"/>
          <w:szCs w:val="26"/>
        </w:rPr>
        <w:t xml:space="preserve"> </w:t>
      </w:r>
      <w:r w:rsidRPr="00850FCC">
        <w:rPr>
          <w:rFonts w:ascii="Times New Roman" w:hAnsi="Times New Roman" w:cs="Times New Roman"/>
          <w:b/>
          <w:sz w:val="26"/>
          <w:szCs w:val="26"/>
        </w:rPr>
        <w:t>SUPPLEMENTARY INFORMATION:</w:t>
      </w:r>
      <w:r w:rsidRPr="00850FCC">
        <w:rPr>
          <w:rFonts w:ascii="Times New Roman" w:hAnsi="Times New Roman" w:cs="Times New Roman"/>
          <w:sz w:val="26"/>
          <w:szCs w:val="26"/>
        </w:rPr>
        <w:t xml:space="preserve">  </w:t>
      </w:r>
    </w:p>
    <w:p w14:paraId="709A389C"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i/>
          <w:sz w:val="26"/>
          <w:szCs w:val="26"/>
        </w:rPr>
        <w:lastRenderedPageBreak/>
        <w:t xml:space="preserve">Title: </w:t>
      </w:r>
      <w:r w:rsidRPr="00850FCC">
        <w:rPr>
          <w:rFonts w:ascii="Times New Roman" w:hAnsi="Times New Roman" w:cs="Times New Roman"/>
          <w:sz w:val="26"/>
          <w:szCs w:val="26"/>
        </w:rPr>
        <w:t>FERC-725E, Mandatory Reliability Standards for the Western Electric Coordinating Council</w:t>
      </w:r>
    </w:p>
    <w:p w14:paraId="709A389D"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i/>
          <w:sz w:val="26"/>
          <w:szCs w:val="26"/>
        </w:rPr>
        <w:t>OMB Control No.:</w:t>
      </w:r>
      <w:r w:rsidRPr="00850FCC">
        <w:rPr>
          <w:rFonts w:ascii="Times New Roman" w:hAnsi="Times New Roman" w:cs="Times New Roman"/>
          <w:sz w:val="26"/>
          <w:szCs w:val="26"/>
        </w:rPr>
        <w:t xml:space="preserve"> 1902-0246</w:t>
      </w:r>
    </w:p>
    <w:p w14:paraId="709A389E" w14:textId="77777777" w:rsidR="00EC44A5" w:rsidRPr="00850FCC" w:rsidRDefault="00EC44A5" w:rsidP="00EC44A5">
      <w:pPr>
        <w:spacing w:after="0" w:line="480" w:lineRule="auto"/>
        <w:rPr>
          <w:rFonts w:ascii="Times New Roman" w:hAnsi="Times New Roman" w:cs="Times New Roman"/>
          <w:sz w:val="26"/>
          <w:szCs w:val="26"/>
        </w:rPr>
      </w:pPr>
      <w:r w:rsidRPr="00850FCC">
        <w:rPr>
          <w:rFonts w:ascii="Times New Roman" w:hAnsi="Times New Roman" w:cs="Times New Roman"/>
          <w:i/>
          <w:sz w:val="26"/>
          <w:szCs w:val="26"/>
        </w:rPr>
        <w:t>Type of Request:</w:t>
      </w:r>
      <w:r w:rsidRPr="00850FCC">
        <w:rPr>
          <w:rFonts w:ascii="Times New Roman" w:hAnsi="Times New Roman" w:cs="Times New Roman"/>
          <w:sz w:val="26"/>
          <w:szCs w:val="26"/>
        </w:rPr>
        <w:t xml:space="preserve"> Revision</w:t>
      </w:r>
      <w:r>
        <w:rPr>
          <w:rFonts w:ascii="Times New Roman" w:hAnsi="Times New Roman" w:cs="Times New Roman"/>
          <w:sz w:val="26"/>
          <w:szCs w:val="26"/>
        </w:rPr>
        <w:t>s</w:t>
      </w:r>
      <w:r w:rsidRPr="00850FCC">
        <w:rPr>
          <w:rFonts w:ascii="Times New Roman" w:hAnsi="Times New Roman" w:cs="Times New Roman"/>
          <w:sz w:val="26"/>
          <w:szCs w:val="26"/>
        </w:rPr>
        <w:t xml:space="preserve"> to the FERC-725E information collection requirements, as discussed in Docket Nos. RD16-10, RD17-5 and IC17-6. </w:t>
      </w:r>
    </w:p>
    <w:p w14:paraId="709A389F" w14:textId="77777777" w:rsidR="00EC44A5" w:rsidRPr="00850FCC" w:rsidRDefault="00EC44A5" w:rsidP="00EC4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6"/>
          <w:szCs w:val="26"/>
        </w:rPr>
      </w:pPr>
      <w:r>
        <w:rPr>
          <w:rFonts w:ascii="Times New Roman" w:hAnsi="Times New Roman" w:cs="Times New Roman"/>
          <w:i/>
          <w:sz w:val="26"/>
          <w:szCs w:val="26"/>
        </w:rPr>
        <w:t xml:space="preserve">Abstract: Docket No. RD16-10-000:  </w:t>
      </w:r>
      <w:r w:rsidRPr="00850FCC">
        <w:rPr>
          <w:rFonts w:ascii="Times New Roman" w:hAnsi="Times New Roman" w:cs="Times New Roman"/>
          <w:sz w:val="26"/>
          <w:szCs w:val="26"/>
        </w:rPr>
        <w:t>On March 23, 2016 (and supplemented on November 16, 2016), the North American Electric Reliability Corporation (NERC) and Western Electricity Coordinating Council (WECC) filed a joint petition to retire regional Reliability Standard TOP-007-WECC-1a - System Operating Limits (“SOL”).  The purpose of the proposed retirement is to shift away from the path-centric model and allow entities in the Western Interconnection to align their operating practices with the framework established in the continent-wide TOP/IRO Reliability Standards approved in Order No. 817,</w:t>
      </w:r>
      <w:r w:rsidRPr="00850FCC">
        <w:rPr>
          <w:rStyle w:val="FootnoteReference"/>
          <w:rFonts w:cs="Times New Roman"/>
        </w:rPr>
        <w:footnoteReference w:id="1"/>
      </w:r>
      <w:r w:rsidRPr="00850FCC">
        <w:rPr>
          <w:rFonts w:ascii="Times New Roman" w:hAnsi="Times New Roman" w:cs="Times New Roman"/>
          <w:sz w:val="26"/>
          <w:szCs w:val="26"/>
        </w:rPr>
        <w:t xml:space="preserve"> which, according to NERC and WECC, achieve the objective of operating within acceptable pre- and post-contingency reliability criteria (i.e., within SOLs and Interconnection Reliability Operating Limits (“IROL”). </w:t>
      </w:r>
      <w:r>
        <w:rPr>
          <w:rFonts w:ascii="Times New Roman" w:hAnsi="Times New Roman" w:cs="Times New Roman"/>
          <w:sz w:val="26"/>
          <w:szCs w:val="26"/>
        </w:rPr>
        <w:t xml:space="preserve"> </w:t>
      </w:r>
      <w:r w:rsidRPr="00850FCC">
        <w:rPr>
          <w:rFonts w:ascii="Times New Roman" w:hAnsi="Times New Roman" w:cs="Times New Roman"/>
          <w:sz w:val="26"/>
          <w:szCs w:val="26"/>
        </w:rPr>
        <w:t>On March 10, 2017, the Commission approved the retirement of regional Reliability Standard TOP-007-WECC-1a.</w:t>
      </w:r>
      <w:r w:rsidRPr="00850FCC">
        <w:rPr>
          <w:rStyle w:val="FootnoteReference"/>
          <w:rFonts w:cs="Times New Roman"/>
        </w:rPr>
        <w:footnoteReference w:id="2"/>
      </w:r>
      <w:r w:rsidRPr="00850FCC">
        <w:rPr>
          <w:rFonts w:ascii="Times New Roman" w:hAnsi="Times New Roman" w:cs="Times New Roman"/>
          <w:sz w:val="26"/>
          <w:szCs w:val="26"/>
        </w:rPr>
        <w:t xml:space="preserve"> </w:t>
      </w:r>
    </w:p>
    <w:p w14:paraId="709A38A0" w14:textId="77777777" w:rsidR="00EC44A5" w:rsidRDefault="00EC44A5" w:rsidP="00EC44A5">
      <w:pPr>
        <w:autoSpaceDE w:val="0"/>
        <w:autoSpaceDN w:val="0"/>
        <w:adjustRightInd w:val="0"/>
        <w:spacing w:after="0" w:line="480" w:lineRule="auto"/>
        <w:ind w:firstLine="720"/>
        <w:rPr>
          <w:rFonts w:ascii="Times New Roman" w:hAnsi="Times New Roman" w:cs="Times New Roman"/>
          <w:sz w:val="26"/>
          <w:szCs w:val="26"/>
        </w:rPr>
      </w:pPr>
      <w:r>
        <w:rPr>
          <w:rFonts w:ascii="Times New Roman" w:eastAsia="Times New Roman" w:hAnsi="Times New Roman" w:cs="Times New Roman"/>
          <w:i/>
          <w:sz w:val="26"/>
          <w:szCs w:val="26"/>
        </w:rPr>
        <w:t xml:space="preserve">Docket Nos. </w:t>
      </w:r>
      <w:r w:rsidRPr="008A51CA">
        <w:rPr>
          <w:rFonts w:ascii="Times New Roman" w:eastAsia="Times New Roman" w:hAnsi="Times New Roman" w:cs="Times New Roman"/>
          <w:i/>
          <w:sz w:val="26"/>
          <w:szCs w:val="26"/>
        </w:rPr>
        <w:t>RD17-5 and IC17-6</w:t>
      </w:r>
      <w:r>
        <w:rPr>
          <w:rFonts w:ascii="Times New Roman" w:eastAsia="Times New Roman" w:hAnsi="Times New Roman" w:cs="Times New Roman"/>
          <w:sz w:val="26"/>
          <w:szCs w:val="26"/>
        </w:rPr>
        <w:t xml:space="preserve">: </w:t>
      </w:r>
      <w:r w:rsidRPr="00850FCC">
        <w:rPr>
          <w:rFonts w:ascii="Times New Roman" w:eastAsia="Times New Roman" w:hAnsi="Times New Roman" w:cs="Times New Roman"/>
          <w:sz w:val="26"/>
          <w:szCs w:val="26"/>
        </w:rPr>
        <w:t>On March 10, 2017, NERC and WECC filed a joint petition in Docket No. RD17-5-000</w:t>
      </w:r>
      <w:r w:rsidRPr="00850FCC">
        <w:rPr>
          <w:rStyle w:val="FootnoteReference"/>
          <w:rFonts w:eastAsia="Times New Roman" w:cs="Times New Roman"/>
        </w:rPr>
        <w:footnoteReference w:id="3"/>
      </w:r>
      <w:r w:rsidRPr="00850FCC">
        <w:rPr>
          <w:rFonts w:ascii="Times New Roman" w:eastAsia="Times New Roman" w:hAnsi="Times New Roman" w:cs="Times New Roman"/>
          <w:sz w:val="26"/>
          <w:szCs w:val="26"/>
        </w:rPr>
        <w:t xml:space="preserve"> requesting Commission approval of:  (a) regional Reliability Standard VAR-501-WECC-3 (Power System Stabilizers), and (b) the retirement of then-existing regional Reliability Standard VAR-501-WECC-2.  The petition states:  “Regional Reliability Standard VAR-501-WECC-3 establishes the performance criteria for power system stabilizers to help ensure the Western Interconnection is operated in a coordinated manner under normal and abnormal conditions.”</w:t>
      </w:r>
      <w:r w:rsidRPr="00850FCC">
        <w:rPr>
          <w:rFonts w:ascii="Times New Roman" w:hAnsi="Times New Roman" w:cs="Times New Roman"/>
          <w:sz w:val="26"/>
          <w:szCs w:val="26"/>
        </w:rPr>
        <w:t xml:space="preserve">  </w:t>
      </w:r>
      <w:r w:rsidRPr="00850FCC">
        <w:rPr>
          <w:rFonts w:ascii="Times New Roman" w:eastAsia="Times New Roman" w:hAnsi="Times New Roman" w:cs="Times New Roman"/>
          <w:sz w:val="26"/>
          <w:szCs w:val="26"/>
        </w:rPr>
        <w:t xml:space="preserve">VAR-501-WECC-3 </w:t>
      </w:r>
      <w:r w:rsidRPr="00850FCC">
        <w:rPr>
          <w:rFonts w:ascii="Times New Roman" w:hAnsi="Times New Roman" w:cs="Times New Roman"/>
          <w:sz w:val="26"/>
          <w:szCs w:val="26"/>
        </w:rPr>
        <w:t xml:space="preserve">was approved by order in Docket No. RD17-5-000 on April 28, 2017.  </w:t>
      </w:r>
    </w:p>
    <w:p w14:paraId="709A38A1" w14:textId="77777777" w:rsidR="00EC44A5" w:rsidRPr="00850FCC" w:rsidRDefault="00EC44A5" w:rsidP="00EC4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A51CA">
        <w:rPr>
          <w:rFonts w:ascii="Times New Roman" w:eastAsia="Times New Roman" w:hAnsi="Times New Roman" w:cs="Times New Roman"/>
          <w:i/>
          <w:sz w:val="26"/>
          <w:szCs w:val="26"/>
        </w:rPr>
        <w:t xml:space="preserve">FERC-725E, </w:t>
      </w:r>
      <w:r>
        <w:rPr>
          <w:rFonts w:ascii="Times New Roman" w:eastAsia="Times New Roman" w:hAnsi="Times New Roman" w:cs="Times New Roman"/>
          <w:i/>
          <w:sz w:val="26"/>
          <w:szCs w:val="26"/>
        </w:rPr>
        <w:t>overall background</w:t>
      </w:r>
      <w:r w:rsidRPr="008A51CA">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w:t>
      </w:r>
      <w:r w:rsidRPr="00850FCC">
        <w:rPr>
          <w:rFonts w:ascii="Times New Roman" w:eastAsia="Times New Roman" w:hAnsi="Times New Roman" w:cs="Times New Roman"/>
          <w:sz w:val="26"/>
          <w:szCs w:val="26"/>
        </w:rPr>
        <w:t>The information collected by the FERC-725E is required to implement the statutory provisions of section 215 of the Federal Power Act (FPA) (16 U.S.C. 824o).  Section 215 of the FPA buttresses the Commission’s efforts to strengthen the reliability of the interstate grid through the grant of new authority by providing for a system of mandatory Reliability Standards developed by the Electric Reliability Organization (ERO).  Reliability Standards that the ERO proposes to the Commission may include Reliability Standards that are proposed to the ERO by a Regional Entity.</w:t>
      </w:r>
      <w:r w:rsidRPr="00850FCC">
        <w:rPr>
          <w:rFonts w:ascii="Times New Roman" w:eastAsia="Times New Roman" w:hAnsi="Times New Roman" w:cs="Times New Roman"/>
          <w:b/>
          <w:sz w:val="26"/>
          <w:szCs w:val="26"/>
          <w:vertAlign w:val="superscript"/>
        </w:rPr>
        <w:footnoteReference w:id="4"/>
      </w:r>
      <w:r w:rsidRPr="00850FCC">
        <w:rPr>
          <w:rFonts w:ascii="Times New Roman" w:eastAsia="Times New Roman" w:hAnsi="Times New Roman" w:cs="Times New Roman"/>
          <w:sz w:val="26"/>
          <w:szCs w:val="26"/>
        </w:rPr>
        <w:t xml:space="preserve">  A Regional Entity is an entity that has been approved by the Commission to enforce Reliability Standards under delegated authority from the ERO.</w:t>
      </w:r>
      <w:r w:rsidRPr="00850FCC">
        <w:rPr>
          <w:rFonts w:ascii="Times New Roman" w:eastAsia="Times New Roman" w:hAnsi="Times New Roman" w:cs="Times New Roman"/>
          <w:b/>
          <w:sz w:val="26"/>
          <w:szCs w:val="26"/>
          <w:vertAlign w:val="superscript"/>
        </w:rPr>
        <w:footnoteReference w:id="5"/>
      </w:r>
      <w:r w:rsidRPr="00850FCC">
        <w:rPr>
          <w:rFonts w:ascii="Times New Roman" w:eastAsia="Times New Roman" w:hAnsi="Times New Roman" w:cs="Times New Roman"/>
          <w:sz w:val="26"/>
          <w:szCs w:val="26"/>
        </w:rPr>
        <w:t xml:space="preserve">  On June 8, 2008, the Commission approved eight regional Reliability Standards submitted by the ERO that were proposed by WECC.</w:t>
      </w:r>
      <w:r w:rsidRPr="00850FCC">
        <w:rPr>
          <w:rFonts w:ascii="Times New Roman" w:eastAsia="Times New Roman" w:hAnsi="Times New Roman" w:cs="Times New Roman"/>
          <w:b/>
          <w:sz w:val="26"/>
          <w:szCs w:val="26"/>
          <w:vertAlign w:val="superscript"/>
        </w:rPr>
        <w:footnoteReference w:id="6"/>
      </w:r>
    </w:p>
    <w:p w14:paraId="709A38A2" w14:textId="77777777" w:rsidR="00EC44A5" w:rsidRPr="00850FCC" w:rsidRDefault="00EC44A5" w:rsidP="00EC4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ab/>
        <w:t xml:space="preserve">WECC promotes bulk electric system reliability in the Western Interconnection. WECC is the Regional Entity responsible for compliance monitoring and enforcement.  In addition, WECC provides an environment for the development of Reliability Standards and the coordination of the operating and planning activities of its members as set forth in the WECC Bylaws. </w:t>
      </w:r>
    </w:p>
    <w:p w14:paraId="709A38A3" w14:textId="77777777" w:rsidR="00EC44A5" w:rsidRPr="00850FCC" w:rsidRDefault="00EC44A5" w:rsidP="00EC44A5">
      <w:pPr>
        <w:autoSpaceDE w:val="0"/>
        <w:autoSpaceDN w:val="0"/>
        <w:adjustRightInd w:val="0"/>
        <w:spacing w:after="0" w:line="480" w:lineRule="auto"/>
        <w:ind w:firstLine="720"/>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 xml:space="preserve">There are several regional Reliability Standards in the WECC region.  These regional Reliability Standards generally require entities to document compliance with substantive requirements, retain documentation, and submit reports to WECC.  </w:t>
      </w:r>
      <w:r>
        <w:rPr>
          <w:rFonts w:ascii="Times New Roman" w:eastAsia="Times New Roman" w:hAnsi="Times New Roman" w:cs="Times New Roman"/>
          <w:sz w:val="26"/>
          <w:szCs w:val="26"/>
        </w:rPr>
        <w:t>The following standards will be continuing without change.</w:t>
      </w:r>
    </w:p>
    <w:p w14:paraId="709A38A4" w14:textId="77777777" w:rsidR="00EC44A5" w:rsidRPr="00850FCC" w:rsidRDefault="00EC44A5" w:rsidP="00EC44A5">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BAL-002-WECC-2a</w:t>
      </w:r>
      <w:r w:rsidRPr="00850FCC" w:rsidDel="004F3B23">
        <w:rPr>
          <w:rStyle w:val="FootnoteReference"/>
          <w:rFonts w:eastAsia="Times New Roman" w:cs="Times New Roman"/>
        </w:rPr>
        <w:t xml:space="preserve"> </w:t>
      </w:r>
      <w:r w:rsidRPr="00850FCC">
        <w:rPr>
          <w:rFonts w:ascii="Times New Roman" w:eastAsia="Times New Roman" w:hAnsi="Times New Roman" w:cs="Times New Roman"/>
          <w:sz w:val="26"/>
          <w:szCs w:val="26"/>
        </w:rPr>
        <w:t>(Contingency Reserve)</w:t>
      </w:r>
      <w:r w:rsidRPr="00850FCC">
        <w:rPr>
          <w:rStyle w:val="FootnoteReference"/>
          <w:rFonts w:eastAsia="Times New Roman" w:cs="Times New Roman"/>
        </w:rPr>
        <w:footnoteReference w:id="7"/>
      </w:r>
      <w:r w:rsidRPr="00850FCC">
        <w:rPr>
          <w:rFonts w:ascii="Times New Roman" w:eastAsia="Times New Roman" w:hAnsi="Times New Roman" w:cs="Times New Roman"/>
          <w:sz w:val="26"/>
          <w:szCs w:val="26"/>
        </w:rPr>
        <w:t xml:space="preserve"> requires balancing authorities and reserve sharing groups to document compliance with the contingency reserve requirements described in the standard.    </w:t>
      </w:r>
    </w:p>
    <w:p w14:paraId="709A38A5" w14:textId="77777777" w:rsidR="00EC44A5" w:rsidRPr="00850FCC" w:rsidRDefault="00EC44A5" w:rsidP="00EC44A5">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 xml:space="preserve">BAL-004-WECC-02 (Automatic Time Error Correction) requires balancing authorities to document that time error corrections and primary inadvertent interchange payback were conducted according </w:t>
      </w:r>
      <w:r>
        <w:rPr>
          <w:rFonts w:ascii="Times New Roman" w:eastAsia="Times New Roman" w:hAnsi="Times New Roman" w:cs="Times New Roman"/>
          <w:sz w:val="26"/>
          <w:szCs w:val="26"/>
        </w:rPr>
        <w:t xml:space="preserve">to </w:t>
      </w:r>
      <w:r w:rsidRPr="00850FCC">
        <w:rPr>
          <w:rFonts w:ascii="Times New Roman" w:eastAsia="Times New Roman" w:hAnsi="Times New Roman" w:cs="Times New Roman"/>
          <w:sz w:val="26"/>
          <w:szCs w:val="26"/>
        </w:rPr>
        <w:t xml:space="preserve">the requirements in the standard.  </w:t>
      </w:r>
    </w:p>
    <w:p w14:paraId="709A38A6" w14:textId="77777777" w:rsidR="00EC44A5" w:rsidRPr="00850FCC" w:rsidRDefault="00EC44A5" w:rsidP="00EC44A5">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 xml:space="preserve">FAC-501-WECC-1 (Transmission Maintenance) requires transmission owners with certain transmission paths to have a transmission maintenance and inspection plan and to document maintenance and inspection activities according to the plan.  </w:t>
      </w:r>
    </w:p>
    <w:p w14:paraId="709A38A7" w14:textId="77777777" w:rsidR="00EC44A5" w:rsidRPr="00850FCC" w:rsidRDefault="00EC44A5" w:rsidP="00EC44A5">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IRO-006-WECC-2 (Qualified Transfer Path Unscheduled Flow (USF) Relief)</w:t>
      </w:r>
      <w:r w:rsidRPr="00850FCC">
        <w:rPr>
          <w:rStyle w:val="FootnoteReference"/>
          <w:rFonts w:eastAsia="Times New Roman" w:cs="Times New Roman"/>
        </w:rPr>
        <w:footnoteReference w:id="8"/>
      </w:r>
      <w:r w:rsidRPr="00850FCC">
        <w:rPr>
          <w:rFonts w:ascii="Times New Roman" w:eastAsia="Times New Roman" w:hAnsi="Times New Roman" w:cs="Times New Roman"/>
          <w:sz w:val="26"/>
          <w:szCs w:val="26"/>
        </w:rPr>
        <w:t xml:space="preserve"> requires balancing authorities and reliability coordinators </w:t>
      </w:r>
      <w:r>
        <w:rPr>
          <w:rFonts w:ascii="Times New Roman" w:eastAsia="Times New Roman" w:hAnsi="Times New Roman" w:cs="Times New Roman"/>
          <w:sz w:val="26"/>
          <w:szCs w:val="26"/>
        </w:rPr>
        <w:t xml:space="preserve">to </w:t>
      </w:r>
      <w:r w:rsidRPr="00850FCC">
        <w:rPr>
          <w:rFonts w:ascii="Times New Roman" w:eastAsia="Times New Roman" w:hAnsi="Times New Roman" w:cs="Times New Roman"/>
          <w:sz w:val="26"/>
          <w:szCs w:val="26"/>
        </w:rPr>
        <w:t xml:space="preserve">document actions taken to mitigate unscheduled flow.  </w:t>
      </w:r>
    </w:p>
    <w:p w14:paraId="709A38A8" w14:textId="77777777" w:rsidR="00EC44A5" w:rsidRPr="00850FCC" w:rsidRDefault="00EC44A5" w:rsidP="00EC44A5">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PRC-004-WECC-2 (Protection System and Remedial Action Scheme Misoperation)</w:t>
      </w:r>
      <w:r w:rsidRPr="00850FCC">
        <w:rPr>
          <w:rStyle w:val="FootnoteReference"/>
          <w:rFonts w:eastAsia="Times New Roman" w:cs="Times New Roman"/>
        </w:rPr>
        <w:footnoteReference w:id="9"/>
      </w:r>
      <w:r w:rsidRPr="00850FCC">
        <w:rPr>
          <w:rFonts w:ascii="Times New Roman" w:eastAsia="Times New Roman" w:hAnsi="Times New Roman" w:cs="Times New Roman"/>
          <w:sz w:val="26"/>
          <w:szCs w:val="26"/>
        </w:rPr>
        <w:t xml:space="preserve"> requires transmission owners, generator owners and transmission operators to document their analysis and/or mitigation due to certain misoperations on major transfer paths.  This standard requires that documentation be kept for six years.  </w:t>
      </w:r>
    </w:p>
    <w:p w14:paraId="709A38A9" w14:textId="77777777" w:rsidR="00EC44A5" w:rsidRPr="00850FCC" w:rsidRDefault="00EC44A5" w:rsidP="00EC44A5">
      <w:pPr>
        <w:numPr>
          <w:ilvl w:val="0"/>
          <w:numId w:val="1"/>
        </w:numPr>
        <w:autoSpaceDE w:val="0"/>
        <w:autoSpaceDN w:val="0"/>
        <w:adjustRightInd w:val="0"/>
        <w:spacing w:after="0" w:line="480" w:lineRule="auto"/>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VAR-002-WECC-2 (Automatic Voltage Regulators (AVR))</w:t>
      </w:r>
      <w:r w:rsidRPr="00850FCC">
        <w:rPr>
          <w:rStyle w:val="FootnoteReference"/>
          <w:rFonts w:eastAsia="Times New Roman" w:cs="Times New Roman"/>
        </w:rPr>
        <w:footnoteReference w:id="10"/>
      </w:r>
      <w:r w:rsidRPr="00850FCC">
        <w:rPr>
          <w:rFonts w:ascii="Times New Roman" w:eastAsia="Times New Roman" w:hAnsi="Times New Roman" w:cs="Times New Roman"/>
          <w:sz w:val="26"/>
          <w:szCs w:val="26"/>
        </w:rPr>
        <w:t xml:space="preserve"> requires generator operators and transmission operators to provide quarterly reports to the compliance monitor and have evidence related to their synchronous generators, synchronous condensers, and automatic voltage regulators.  </w:t>
      </w:r>
    </w:p>
    <w:p w14:paraId="709A38AA" w14:textId="77777777" w:rsidR="00EC44A5" w:rsidRPr="00850FCC" w:rsidRDefault="00EC44A5" w:rsidP="00EC44A5">
      <w:pPr>
        <w:autoSpaceDE w:val="0"/>
        <w:autoSpaceDN w:val="0"/>
        <w:adjustRightInd w:val="0"/>
        <w:spacing w:after="0" w:line="480" w:lineRule="auto"/>
        <w:ind w:firstLine="720"/>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The Commission will be submitting a request to OMB to extend th</w:t>
      </w:r>
      <w:r>
        <w:rPr>
          <w:rFonts w:ascii="Times New Roman" w:eastAsia="Times New Roman" w:hAnsi="Times New Roman" w:cs="Times New Roman"/>
          <w:sz w:val="26"/>
          <w:szCs w:val="26"/>
        </w:rPr>
        <w:t>os</w:t>
      </w:r>
      <w:r w:rsidRPr="00850FCC">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w:t>
      </w:r>
      <w:r w:rsidRPr="00850FCC">
        <w:rPr>
          <w:rFonts w:ascii="Times New Roman" w:eastAsia="Times New Roman" w:hAnsi="Times New Roman" w:cs="Times New Roman"/>
          <w:sz w:val="26"/>
          <w:szCs w:val="26"/>
        </w:rPr>
        <w:t xml:space="preserve">requirements </w:t>
      </w:r>
      <w:r>
        <w:rPr>
          <w:rFonts w:ascii="Times New Roman" w:eastAsia="Times New Roman" w:hAnsi="Times New Roman" w:cs="Times New Roman"/>
          <w:sz w:val="26"/>
          <w:szCs w:val="26"/>
        </w:rPr>
        <w:t xml:space="preserve">with no change </w:t>
      </w:r>
      <w:r w:rsidRPr="00850FCC">
        <w:rPr>
          <w:rFonts w:ascii="Times New Roman" w:eastAsia="Times New Roman" w:hAnsi="Times New Roman" w:cs="Times New Roman"/>
          <w:sz w:val="26"/>
          <w:szCs w:val="26"/>
        </w:rPr>
        <w:t>for three years.  The Commission’s request to OMB will also reflect the following:</w:t>
      </w:r>
    </w:p>
    <w:p w14:paraId="709A38AB" w14:textId="77777777" w:rsidR="00EC44A5" w:rsidRPr="00850FCC" w:rsidRDefault="00EC44A5" w:rsidP="00EC44A5">
      <w:pPr>
        <w:pStyle w:val="ListParagraph"/>
        <w:numPr>
          <w:ilvl w:val="0"/>
          <w:numId w:val="2"/>
        </w:numPr>
        <w:tabs>
          <w:tab w:val="left" w:pos="1440"/>
        </w:tabs>
        <w:autoSpaceDE w:val="0"/>
        <w:autoSpaceDN w:val="0"/>
        <w:adjustRightInd w:val="0"/>
        <w:spacing w:after="0" w:line="480" w:lineRule="auto"/>
        <w:ind w:left="1440"/>
        <w:rPr>
          <w:rFonts w:ascii="Times New Roman" w:eastAsia="Times New Roman" w:hAnsi="Times New Roman" w:cs="Times New Roman"/>
          <w:sz w:val="26"/>
          <w:szCs w:val="26"/>
        </w:rPr>
      </w:pPr>
      <w:r w:rsidRPr="00850FCC">
        <w:rPr>
          <w:rFonts w:ascii="Times New Roman" w:eastAsia="Times New Roman" w:hAnsi="Times New Roman" w:cs="Times New Roman"/>
          <w:sz w:val="26"/>
          <w:szCs w:val="26"/>
        </w:rPr>
        <w:t>eliminating the burden associated with regional Reliability Standard TOP-007-WECC-1a, which is being retired (addressed in Docket No. RD16-10);</w:t>
      </w:r>
      <w:r w:rsidRPr="00850FCC">
        <w:rPr>
          <w:rStyle w:val="FootnoteReference"/>
          <w:rFonts w:eastAsia="Times New Roman" w:cs="Times New Roman"/>
        </w:rPr>
        <w:footnoteReference w:id="11"/>
      </w:r>
      <w:r w:rsidRPr="00850FCC">
        <w:rPr>
          <w:rFonts w:ascii="Times New Roman" w:eastAsia="Times New Roman" w:hAnsi="Times New Roman" w:cs="Times New Roman"/>
          <w:sz w:val="26"/>
          <w:szCs w:val="26"/>
        </w:rPr>
        <w:t xml:space="preserve"> and</w:t>
      </w:r>
    </w:p>
    <w:p w14:paraId="709A38AC" w14:textId="77777777" w:rsidR="00EC44A5" w:rsidRDefault="00EC44A5" w:rsidP="00EC44A5">
      <w:pPr>
        <w:pStyle w:val="ListParagraph"/>
        <w:numPr>
          <w:ilvl w:val="0"/>
          <w:numId w:val="2"/>
        </w:numPr>
        <w:tabs>
          <w:tab w:val="left" w:pos="1440"/>
        </w:tabs>
        <w:autoSpaceDE w:val="0"/>
        <w:autoSpaceDN w:val="0"/>
        <w:adjustRightInd w:val="0"/>
        <w:spacing w:after="0" w:line="480" w:lineRule="auto"/>
        <w:ind w:left="1440"/>
        <w:rPr>
          <w:rFonts w:ascii="Times New Roman" w:eastAsia="Times New Roman" w:hAnsi="Times New Roman" w:cs="Times New Roman"/>
          <w:sz w:val="26"/>
          <w:szCs w:val="26"/>
        </w:rPr>
      </w:pPr>
      <w:r w:rsidRPr="00850FCC">
        <w:rPr>
          <w:rFonts w:ascii="Times New Roman" w:hAnsi="Times New Roman" w:cs="Times New Roman"/>
          <w:sz w:val="26"/>
          <w:szCs w:val="26"/>
        </w:rPr>
        <w:t xml:space="preserve">implementing </w:t>
      </w:r>
      <w:r w:rsidRPr="00850FCC">
        <w:rPr>
          <w:rFonts w:ascii="Times New Roman" w:eastAsia="Times New Roman" w:hAnsi="Times New Roman" w:cs="Times New Roman"/>
          <w:sz w:val="26"/>
          <w:szCs w:val="26"/>
        </w:rPr>
        <w:t>the regional Reliability Standard VAR-501-WECC-3 and  retir</w:t>
      </w:r>
      <w:r>
        <w:rPr>
          <w:rFonts w:ascii="Times New Roman" w:eastAsia="Times New Roman" w:hAnsi="Times New Roman" w:cs="Times New Roman"/>
          <w:sz w:val="26"/>
          <w:szCs w:val="26"/>
        </w:rPr>
        <w:t>ing</w:t>
      </w:r>
      <w:r w:rsidRPr="00850FCC">
        <w:rPr>
          <w:rFonts w:ascii="Times New Roman" w:eastAsia="Times New Roman" w:hAnsi="Times New Roman" w:cs="Times New Roman"/>
          <w:sz w:val="26"/>
          <w:szCs w:val="26"/>
        </w:rPr>
        <w:t xml:space="preserve"> regional Reliability Standard VAR-501-WECC-2</w:t>
      </w:r>
      <w:r w:rsidRPr="00850FCC">
        <w:rPr>
          <w:rFonts w:ascii="Times New Roman" w:hAnsi="Times New Roman" w:cs="Times New Roman"/>
          <w:sz w:val="26"/>
          <w:szCs w:val="26"/>
        </w:rPr>
        <w:t xml:space="preserve"> </w:t>
      </w:r>
      <w:r w:rsidRPr="00850FCC">
        <w:rPr>
          <w:rFonts w:ascii="Times New Roman" w:eastAsia="Times New Roman" w:hAnsi="Times New Roman" w:cs="Times New Roman"/>
          <w:sz w:val="26"/>
          <w:szCs w:val="26"/>
        </w:rPr>
        <w:t xml:space="preserve">(addressed in Docket No. RD17-5 and discussed below). </w:t>
      </w:r>
    </w:p>
    <w:p w14:paraId="709A38AD" w14:textId="77777777" w:rsidR="00EC44A5" w:rsidRPr="00C934C6" w:rsidRDefault="00EC44A5" w:rsidP="00EC44A5">
      <w:pPr>
        <w:spacing w:after="0" w:line="480" w:lineRule="auto"/>
        <w:rPr>
          <w:rFonts w:ascii="Times New Roman" w:eastAsia="Times New Roman" w:hAnsi="Times New Roman" w:cs="Times New Roman"/>
          <w:sz w:val="26"/>
          <w:szCs w:val="24"/>
        </w:rPr>
      </w:pPr>
      <w:r w:rsidRPr="00C934C6">
        <w:rPr>
          <w:rFonts w:ascii="Times New Roman" w:hAnsi="Times New Roman" w:cs="Times New Roman"/>
          <w:sz w:val="26"/>
          <w:szCs w:val="26"/>
        </w:rPr>
        <w:t>In this document, we provide estimates of the burden and cost related to those revisions to FERC-725E.</w:t>
      </w:r>
      <w:r w:rsidRPr="00C934C6">
        <w:rPr>
          <w:rFonts w:ascii="Times New Roman" w:eastAsia="Times New Roman" w:hAnsi="Times New Roman" w:cs="Times New Roman"/>
          <w:sz w:val="26"/>
          <w:szCs w:val="24"/>
        </w:rPr>
        <w:t xml:space="preserve">  Details follow on the changes due to Docket Nos. RD16-10, RD17-5-000, and IC17-6 and on the continuing burdens which are being submitted to OMB for approval in a consolidated package under FERC-725E.</w:t>
      </w:r>
    </w:p>
    <w:p w14:paraId="709A38AE" w14:textId="77777777" w:rsidR="00EC44A5" w:rsidRDefault="00EC44A5" w:rsidP="00EC44A5">
      <w:pPr>
        <w:spacing w:after="0" w:line="480" w:lineRule="auto"/>
        <w:rPr>
          <w:rFonts w:ascii="Times New Roman" w:eastAsia="Times New Roman" w:hAnsi="Times New Roman" w:cs="Times New Roman"/>
          <w:sz w:val="26"/>
          <w:szCs w:val="26"/>
        </w:rPr>
      </w:pPr>
      <w:r w:rsidRPr="00850FCC">
        <w:rPr>
          <w:rFonts w:ascii="Times New Roman" w:eastAsia="Times New Roman" w:hAnsi="Times New Roman" w:cs="Times New Roman"/>
          <w:i/>
          <w:sz w:val="26"/>
          <w:szCs w:val="26"/>
        </w:rPr>
        <w:t xml:space="preserve">Type of Respondents: </w:t>
      </w:r>
      <w:r w:rsidRPr="00850FCC">
        <w:rPr>
          <w:rFonts w:ascii="Times New Roman" w:eastAsia="Times New Roman" w:hAnsi="Times New Roman" w:cs="Times New Roman"/>
          <w:sz w:val="26"/>
          <w:szCs w:val="26"/>
        </w:rPr>
        <w:t>Balancing authorities, reserve sharing groups, transmission owners, reliability coordinators, transmission operators, generator operators</w:t>
      </w:r>
      <w:r>
        <w:rPr>
          <w:rFonts w:ascii="Times New Roman" w:eastAsia="Times New Roman" w:hAnsi="Times New Roman" w:cs="Times New Roman"/>
          <w:sz w:val="26"/>
          <w:szCs w:val="26"/>
        </w:rPr>
        <w:t xml:space="preserve"> and</w:t>
      </w:r>
      <w:r w:rsidRPr="00850FCC">
        <w:rPr>
          <w:rFonts w:ascii="Times New Roman" w:eastAsia="Times New Roman" w:hAnsi="Times New Roman" w:cs="Times New Roman"/>
          <w:sz w:val="26"/>
          <w:szCs w:val="26"/>
        </w:rPr>
        <w:t xml:space="preserve"> generator owners. </w:t>
      </w:r>
    </w:p>
    <w:p w14:paraId="709A38AF" w14:textId="77777777" w:rsidR="00EC44A5" w:rsidRPr="008A51CA" w:rsidRDefault="00EC44A5" w:rsidP="00EC4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850FCC">
        <w:rPr>
          <w:rFonts w:ascii="Times New Roman" w:hAnsi="Times New Roman" w:cs="Times New Roman"/>
          <w:i/>
          <w:sz w:val="26"/>
          <w:szCs w:val="26"/>
        </w:rPr>
        <w:t>Estimate of Annual Burden</w:t>
      </w:r>
      <w:r w:rsidRPr="00850FCC">
        <w:rPr>
          <w:rStyle w:val="FootnoteReference"/>
          <w:rFonts w:cs="Times New Roman"/>
          <w:i/>
        </w:rPr>
        <w:footnoteReference w:id="12"/>
      </w:r>
      <w:r w:rsidRPr="00850FCC">
        <w:rPr>
          <w:rFonts w:ascii="Times New Roman" w:hAnsi="Times New Roman" w:cs="Times New Roman"/>
          <w:i/>
          <w:sz w:val="26"/>
          <w:szCs w:val="26"/>
        </w:rPr>
        <w:t xml:space="preserve">: </w:t>
      </w:r>
      <w:r>
        <w:rPr>
          <w:rFonts w:ascii="Times New Roman" w:hAnsi="Times New Roman" w:cs="Times New Roman"/>
          <w:sz w:val="26"/>
          <w:szCs w:val="26"/>
        </w:rPr>
        <w:t>We provide three tables below with burden estimates which show:  (1) reductions due to Docket No. RD16-10, (2) reductions, increases, and net changes, due to Docket No. RD17-5, and (3) resulting net ongoing burden for FERC-725E overall, which will be submitted to OMB for approval.</w:t>
      </w:r>
    </w:p>
    <w:p w14:paraId="709A38B0" w14:textId="77777777" w:rsidR="00EC44A5" w:rsidRDefault="00EC44A5" w:rsidP="00EC4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hAnsi="Times New Roman" w:cs="Times New Roman"/>
          <w:i/>
          <w:sz w:val="26"/>
          <w:szCs w:val="26"/>
        </w:rPr>
        <w:t xml:space="preserve">Changes Due to Docket No. RD16-10.  </w:t>
      </w:r>
      <w:r w:rsidRPr="00850FCC">
        <w:rPr>
          <w:rFonts w:ascii="Times New Roman" w:hAnsi="Times New Roman" w:cs="Times New Roman"/>
          <w:sz w:val="26"/>
          <w:szCs w:val="26"/>
        </w:rPr>
        <w:t>The Commission estimates the reduction in the annual public reporting burden for the FERC-725E (due to the retirement of regional Reliability Standard TOP-007-WECC-1a) as follows:</w:t>
      </w:r>
      <w:r w:rsidRPr="00850FCC">
        <w:rPr>
          <w:rStyle w:val="FootnoteReference"/>
          <w:rFonts w:cs="Times New Roman"/>
        </w:rPr>
        <w:footnoteReference w:id="13"/>
      </w:r>
      <w:r w:rsidRPr="00850FCC">
        <w:rPr>
          <w:rFonts w:ascii="Times New Roman" w:eastAsia="Times New Roman" w:hAnsi="Times New Roman" w:cs="Times New Roman"/>
          <w:sz w:val="26"/>
          <w:szCs w:val="26"/>
        </w:rPr>
        <w:tab/>
      </w:r>
    </w:p>
    <w:tbl>
      <w:tblPr>
        <w:tblW w:w="479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1530"/>
        <w:gridCol w:w="1535"/>
        <w:gridCol w:w="1443"/>
        <w:gridCol w:w="1344"/>
        <w:gridCol w:w="1350"/>
      </w:tblGrid>
      <w:tr w:rsidR="00EC44A5" w:rsidRPr="00850FCC" w14:paraId="709A38B2" w14:textId="77777777" w:rsidTr="00D176C1">
        <w:trPr>
          <w:cantSplit/>
        </w:trPr>
        <w:tc>
          <w:tcPr>
            <w:tcW w:w="5000" w:type="pct"/>
            <w:gridSpan w:val="6"/>
            <w:shd w:val="clear" w:color="auto" w:fill="D9D9D9"/>
            <w:vAlign w:val="bottom"/>
          </w:tcPr>
          <w:p w14:paraId="709A38B1"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FERC-725E, Mandatory Reliability Standards for the Western Electric Coordinating Council, Reductions Due to Docket No. RD16-10</w:t>
            </w:r>
          </w:p>
        </w:tc>
      </w:tr>
      <w:tr w:rsidR="00EC44A5" w:rsidRPr="00850FCC" w14:paraId="709A38BC" w14:textId="77777777" w:rsidTr="00D176C1">
        <w:trPr>
          <w:cantSplit/>
        </w:trPr>
        <w:tc>
          <w:tcPr>
            <w:tcW w:w="1078" w:type="pct"/>
            <w:shd w:val="clear" w:color="auto" w:fill="D9D9D9"/>
            <w:vAlign w:val="bottom"/>
          </w:tcPr>
          <w:p w14:paraId="709A38B3"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 xml:space="preserve">Information Collection Requirements </w:t>
            </w:r>
            <w:r>
              <w:rPr>
                <w:rFonts w:ascii="Times New Roman" w:eastAsia="Calibri" w:hAnsi="Times New Roman" w:cs="Times New Roman"/>
                <w:b/>
                <w:sz w:val="26"/>
                <w:szCs w:val="26"/>
              </w:rPr>
              <w:t>&amp; Entity</w:t>
            </w:r>
          </w:p>
        </w:tc>
        <w:tc>
          <w:tcPr>
            <w:tcW w:w="833" w:type="pct"/>
            <w:shd w:val="clear" w:color="auto" w:fill="D9D9D9"/>
            <w:vAlign w:val="bottom"/>
          </w:tcPr>
          <w:p w14:paraId="709A38B4"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Number of Respondents</w:t>
            </w:r>
            <w:r w:rsidRPr="00850FCC">
              <w:rPr>
                <w:rFonts w:ascii="Times New Roman" w:eastAsia="Calibri" w:hAnsi="Times New Roman" w:cs="Times New Roman"/>
                <w:b/>
                <w:sz w:val="26"/>
                <w:szCs w:val="26"/>
              </w:rPr>
              <w:br/>
              <w:t>(1)</w:t>
            </w:r>
          </w:p>
        </w:tc>
        <w:tc>
          <w:tcPr>
            <w:tcW w:w="836" w:type="pct"/>
            <w:shd w:val="clear" w:color="auto" w:fill="D9D9D9"/>
            <w:vAlign w:val="bottom"/>
          </w:tcPr>
          <w:p w14:paraId="709A38B5"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Annual Number of Responses per Respondent</w:t>
            </w:r>
          </w:p>
          <w:p w14:paraId="709A38B6"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(2)</w:t>
            </w:r>
          </w:p>
        </w:tc>
        <w:tc>
          <w:tcPr>
            <w:tcW w:w="786" w:type="pct"/>
            <w:shd w:val="clear" w:color="auto" w:fill="D9D9D9"/>
            <w:vAlign w:val="bottom"/>
          </w:tcPr>
          <w:p w14:paraId="709A38B7"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Total Number of Responses (1)*(2)=(3)</w:t>
            </w:r>
          </w:p>
        </w:tc>
        <w:tc>
          <w:tcPr>
            <w:tcW w:w="732" w:type="pct"/>
            <w:shd w:val="clear" w:color="auto" w:fill="D9D9D9"/>
            <w:vAlign w:val="bottom"/>
          </w:tcPr>
          <w:p w14:paraId="709A38B8"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Average Burden Hours &amp; Cost Per Response</w:t>
            </w:r>
          </w:p>
          <w:p w14:paraId="709A38B9"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(4)</w:t>
            </w:r>
          </w:p>
        </w:tc>
        <w:tc>
          <w:tcPr>
            <w:tcW w:w="735" w:type="pct"/>
            <w:shd w:val="clear" w:color="auto" w:fill="D9D9D9"/>
            <w:vAlign w:val="bottom"/>
          </w:tcPr>
          <w:p w14:paraId="709A38BA"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Total Annual Burden Hours &amp; Total Annual Cost</w:t>
            </w:r>
          </w:p>
          <w:p w14:paraId="709A38BB" w14:textId="77777777" w:rsidR="00EC44A5" w:rsidRPr="00850FCC" w:rsidRDefault="00EC44A5" w:rsidP="00D176C1">
            <w:pPr>
              <w:spacing w:after="0" w:line="240" w:lineRule="auto"/>
              <w:jc w:val="center"/>
              <w:rPr>
                <w:rFonts w:ascii="Times New Roman" w:eastAsia="Calibri" w:hAnsi="Times New Roman" w:cs="Times New Roman"/>
                <w:b/>
                <w:sz w:val="26"/>
                <w:szCs w:val="26"/>
              </w:rPr>
            </w:pPr>
            <w:r w:rsidRPr="00850FCC">
              <w:rPr>
                <w:rFonts w:ascii="Times New Roman" w:eastAsia="Calibri" w:hAnsi="Times New Roman" w:cs="Times New Roman"/>
                <w:b/>
                <w:sz w:val="26"/>
                <w:szCs w:val="26"/>
              </w:rPr>
              <w:t>(3)*(4)=(5)</w:t>
            </w:r>
          </w:p>
        </w:tc>
      </w:tr>
      <w:tr w:rsidR="00EC44A5" w:rsidRPr="00850FCC" w14:paraId="709A38C6" w14:textId="77777777" w:rsidTr="00D176C1">
        <w:trPr>
          <w:cantSplit/>
        </w:trPr>
        <w:tc>
          <w:tcPr>
            <w:tcW w:w="1078" w:type="pct"/>
          </w:tcPr>
          <w:p w14:paraId="709A38BD" w14:textId="77777777" w:rsidR="00EC44A5" w:rsidRPr="00850FCC" w:rsidRDefault="00EC44A5" w:rsidP="00D176C1">
            <w:pPr>
              <w:spacing w:after="0" w:line="240" w:lineRule="auto"/>
              <w:rPr>
                <w:rFonts w:ascii="Times New Roman" w:eastAsia="Calibri" w:hAnsi="Times New Roman" w:cs="Times New Roman"/>
                <w:sz w:val="26"/>
                <w:szCs w:val="26"/>
              </w:rPr>
            </w:pPr>
            <w:r w:rsidRPr="00850FCC">
              <w:rPr>
                <w:rFonts w:ascii="Times New Roman" w:eastAsia="Calibri" w:hAnsi="Times New Roman" w:cs="Times New Roman"/>
                <w:sz w:val="26"/>
                <w:szCs w:val="26"/>
              </w:rPr>
              <w:t>Reporting Requirement-</w:t>
            </w:r>
          </w:p>
          <w:p w14:paraId="709A38BE" w14:textId="77777777" w:rsidR="00EC44A5" w:rsidRPr="00850FCC" w:rsidRDefault="00EC44A5" w:rsidP="00D176C1">
            <w:pPr>
              <w:spacing w:after="0" w:line="240" w:lineRule="auto"/>
              <w:rPr>
                <w:rFonts w:ascii="Times New Roman" w:eastAsia="Calibri" w:hAnsi="Times New Roman" w:cs="Times New Roman"/>
                <w:sz w:val="26"/>
                <w:szCs w:val="26"/>
              </w:rPr>
            </w:pPr>
            <w:r w:rsidRPr="00850FCC">
              <w:rPr>
                <w:rFonts w:ascii="Times New Roman" w:eastAsia="Calibri" w:hAnsi="Times New Roman" w:cs="Times New Roman"/>
                <w:sz w:val="26"/>
                <w:szCs w:val="26"/>
              </w:rPr>
              <w:t>Transmission Operators that operate qualified transfer paths</w:t>
            </w:r>
            <w:r w:rsidRPr="00850FCC">
              <w:rPr>
                <w:rStyle w:val="FootnoteReference"/>
                <w:rFonts w:eastAsia="Calibri" w:cs="Times New Roman"/>
              </w:rPr>
              <w:footnoteReference w:id="14"/>
            </w:r>
          </w:p>
        </w:tc>
        <w:tc>
          <w:tcPr>
            <w:tcW w:w="833" w:type="pct"/>
            <w:vAlign w:val="bottom"/>
          </w:tcPr>
          <w:p w14:paraId="709A38BF"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hAnsi="Times New Roman" w:cs="Times New Roman"/>
                <w:sz w:val="26"/>
                <w:szCs w:val="26"/>
              </w:rPr>
              <w:t>9</w:t>
            </w:r>
          </w:p>
        </w:tc>
        <w:tc>
          <w:tcPr>
            <w:tcW w:w="836" w:type="pct"/>
            <w:vAlign w:val="bottom"/>
          </w:tcPr>
          <w:p w14:paraId="709A38C0"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hAnsi="Times New Roman" w:cs="Times New Roman"/>
                <w:sz w:val="26"/>
                <w:szCs w:val="26"/>
              </w:rPr>
              <w:t>3</w:t>
            </w:r>
          </w:p>
        </w:tc>
        <w:tc>
          <w:tcPr>
            <w:tcW w:w="786" w:type="pct"/>
            <w:vAlign w:val="bottom"/>
          </w:tcPr>
          <w:p w14:paraId="709A38C1"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hAnsi="Times New Roman" w:cs="Times New Roman"/>
                <w:sz w:val="26"/>
                <w:szCs w:val="26"/>
              </w:rPr>
              <w:t>27</w:t>
            </w:r>
          </w:p>
        </w:tc>
        <w:tc>
          <w:tcPr>
            <w:tcW w:w="732" w:type="pct"/>
            <w:vAlign w:val="bottom"/>
          </w:tcPr>
          <w:p w14:paraId="709A38C2" w14:textId="77777777" w:rsidR="00EC44A5" w:rsidRPr="00850FCC" w:rsidRDefault="00EC44A5" w:rsidP="00D176C1">
            <w:pPr>
              <w:spacing w:after="0" w:line="240" w:lineRule="auto"/>
              <w:jc w:val="right"/>
              <w:rPr>
                <w:rFonts w:ascii="Times New Roman" w:hAnsi="Times New Roman" w:cs="Times New Roman"/>
                <w:sz w:val="26"/>
                <w:szCs w:val="26"/>
              </w:rPr>
            </w:pPr>
            <w:r w:rsidRPr="00850FCC">
              <w:rPr>
                <w:rFonts w:ascii="Times New Roman" w:hAnsi="Times New Roman" w:cs="Times New Roman"/>
                <w:sz w:val="26"/>
                <w:szCs w:val="26"/>
              </w:rPr>
              <w:t>40 hrs.;</w:t>
            </w:r>
          </w:p>
          <w:p w14:paraId="709A38C3"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hAnsi="Times New Roman" w:cs="Times New Roman"/>
                <w:sz w:val="26"/>
                <w:szCs w:val="26"/>
              </w:rPr>
              <w:t>$2,908</w:t>
            </w:r>
          </w:p>
        </w:tc>
        <w:tc>
          <w:tcPr>
            <w:tcW w:w="735" w:type="pct"/>
            <w:vAlign w:val="bottom"/>
          </w:tcPr>
          <w:p w14:paraId="709A38C4" w14:textId="77777777" w:rsidR="00EC44A5" w:rsidRPr="00850FCC" w:rsidRDefault="00EC44A5" w:rsidP="00D176C1">
            <w:pPr>
              <w:spacing w:after="0" w:line="240" w:lineRule="auto"/>
              <w:jc w:val="right"/>
              <w:rPr>
                <w:rFonts w:ascii="Times New Roman" w:hAnsi="Times New Roman" w:cs="Times New Roman"/>
                <w:sz w:val="26"/>
                <w:szCs w:val="26"/>
              </w:rPr>
            </w:pPr>
            <w:r w:rsidRPr="00850FCC">
              <w:rPr>
                <w:rFonts w:ascii="Times New Roman" w:hAnsi="Times New Roman" w:cs="Times New Roman"/>
                <w:sz w:val="26"/>
                <w:szCs w:val="26"/>
              </w:rPr>
              <w:t>1,080 hrs.;</w:t>
            </w:r>
          </w:p>
          <w:p w14:paraId="709A38C5"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hAnsi="Times New Roman" w:cs="Times New Roman"/>
                <w:sz w:val="26"/>
                <w:szCs w:val="26"/>
              </w:rPr>
              <w:t>$78,516</w:t>
            </w:r>
          </w:p>
        </w:tc>
      </w:tr>
      <w:tr w:rsidR="00EC44A5" w:rsidRPr="00850FCC" w14:paraId="709A38CF" w14:textId="77777777" w:rsidTr="00D176C1">
        <w:trPr>
          <w:cantSplit/>
        </w:trPr>
        <w:tc>
          <w:tcPr>
            <w:tcW w:w="1078" w:type="pct"/>
          </w:tcPr>
          <w:p w14:paraId="709A38C7" w14:textId="77777777" w:rsidR="00EC44A5" w:rsidRPr="00850FCC" w:rsidRDefault="00EC44A5" w:rsidP="00D176C1">
            <w:pPr>
              <w:spacing w:after="0" w:line="240" w:lineRule="auto"/>
              <w:rPr>
                <w:rFonts w:ascii="Times New Roman" w:hAnsi="Times New Roman" w:cs="Times New Roman"/>
                <w:sz w:val="26"/>
                <w:szCs w:val="26"/>
              </w:rPr>
            </w:pPr>
            <w:r w:rsidRPr="00850FCC">
              <w:rPr>
                <w:rFonts w:ascii="Times New Roman" w:hAnsi="Times New Roman" w:cs="Times New Roman"/>
                <w:sz w:val="26"/>
                <w:szCs w:val="26"/>
              </w:rPr>
              <w:t>Recordkeeping Requirement- Transmission Operators that operate qualified transfer paths</w:t>
            </w:r>
          </w:p>
        </w:tc>
        <w:tc>
          <w:tcPr>
            <w:tcW w:w="833" w:type="pct"/>
            <w:tcBorders>
              <w:bottom w:val="single" w:sz="4" w:space="0" w:color="auto"/>
            </w:tcBorders>
            <w:shd w:val="clear" w:color="auto" w:fill="FFFFFF"/>
            <w:vAlign w:val="bottom"/>
          </w:tcPr>
          <w:p w14:paraId="709A38C8"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hAnsi="Times New Roman" w:cs="Times New Roman"/>
                <w:sz w:val="26"/>
                <w:szCs w:val="26"/>
              </w:rPr>
              <w:t>9</w:t>
            </w:r>
          </w:p>
        </w:tc>
        <w:tc>
          <w:tcPr>
            <w:tcW w:w="836" w:type="pct"/>
            <w:tcBorders>
              <w:bottom w:val="single" w:sz="4" w:space="0" w:color="auto"/>
            </w:tcBorders>
            <w:shd w:val="clear" w:color="auto" w:fill="FFFFFF"/>
            <w:vAlign w:val="bottom"/>
          </w:tcPr>
          <w:p w14:paraId="709A38C9"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hAnsi="Times New Roman" w:cs="Times New Roman"/>
                <w:sz w:val="26"/>
                <w:szCs w:val="26"/>
              </w:rPr>
              <w:t>1</w:t>
            </w:r>
          </w:p>
        </w:tc>
        <w:tc>
          <w:tcPr>
            <w:tcW w:w="786" w:type="pct"/>
            <w:tcBorders>
              <w:bottom w:val="single" w:sz="4" w:space="0" w:color="auto"/>
            </w:tcBorders>
            <w:shd w:val="clear" w:color="auto" w:fill="FFFFFF"/>
            <w:vAlign w:val="bottom"/>
          </w:tcPr>
          <w:p w14:paraId="709A38CA" w14:textId="77777777" w:rsidR="00EC44A5" w:rsidRPr="00850FCC" w:rsidRDefault="00EC44A5" w:rsidP="00D176C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732" w:type="pct"/>
            <w:tcBorders>
              <w:bottom w:val="single" w:sz="4" w:space="0" w:color="auto"/>
            </w:tcBorders>
            <w:shd w:val="clear" w:color="auto" w:fill="FFFFFF"/>
            <w:vAlign w:val="bottom"/>
          </w:tcPr>
          <w:p w14:paraId="709A38CB" w14:textId="77777777" w:rsidR="00EC44A5" w:rsidRPr="00850FCC" w:rsidRDefault="00EC44A5" w:rsidP="00D176C1">
            <w:pPr>
              <w:spacing w:after="0" w:line="240" w:lineRule="auto"/>
              <w:jc w:val="right"/>
              <w:rPr>
                <w:rFonts w:ascii="Times New Roman" w:hAnsi="Times New Roman" w:cs="Times New Roman"/>
                <w:sz w:val="26"/>
                <w:szCs w:val="26"/>
              </w:rPr>
            </w:pPr>
            <w:r w:rsidRPr="00850FCC">
              <w:rPr>
                <w:rFonts w:ascii="Times New Roman" w:hAnsi="Times New Roman" w:cs="Times New Roman"/>
                <w:sz w:val="26"/>
                <w:szCs w:val="26"/>
              </w:rPr>
              <w:t>12 hrs.;</w:t>
            </w:r>
          </w:p>
          <w:p w14:paraId="709A38CC"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hAnsi="Times New Roman" w:cs="Times New Roman"/>
                <w:sz w:val="26"/>
                <w:szCs w:val="26"/>
              </w:rPr>
              <w:t>$347</w:t>
            </w:r>
          </w:p>
        </w:tc>
        <w:tc>
          <w:tcPr>
            <w:tcW w:w="735" w:type="pct"/>
            <w:tcBorders>
              <w:bottom w:val="single" w:sz="4" w:space="0" w:color="auto"/>
            </w:tcBorders>
            <w:vAlign w:val="bottom"/>
          </w:tcPr>
          <w:p w14:paraId="709A38CD" w14:textId="77777777" w:rsidR="00EC44A5" w:rsidRPr="00850FCC" w:rsidRDefault="00EC44A5" w:rsidP="00D176C1">
            <w:pPr>
              <w:spacing w:after="0" w:line="240" w:lineRule="auto"/>
              <w:jc w:val="right"/>
              <w:rPr>
                <w:rFonts w:ascii="Times New Roman" w:hAnsi="Times New Roman" w:cs="Times New Roman"/>
                <w:sz w:val="26"/>
                <w:szCs w:val="26"/>
              </w:rPr>
            </w:pPr>
            <w:r w:rsidRPr="00850FCC">
              <w:rPr>
                <w:rFonts w:ascii="Times New Roman" w:hAnsi="Times New Roman" w:cs="Times New Roman"/>
                <w:sz w:val="26"/>
                <w:szCs w:val="26"/>
              </w:rPr>
              <w:t>108 hrs.;</w:t>
            </w:r>
          </w:p>
          <w:p w14:paraId="709A38CE"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hAnsi="Times New Roman" w:cs="Times New Roman"/>
                <w:sz w:val="26"/>
                <w:szCs w:val="26"/>
              </w:rPr>
              <w:t>$3,124</w:t>
            </w:r>
          </w:p>
        </w:tc>
      </w:tr>
      <w:tr w:rsidR="00EC44A5" w:rsidRPr="00850FCC" w14:paraId="709A38D5" w14:textId="77777777" w:rsidTr="00D176C1">
        <w:trPr>
          <w:cantSplit/>
          <w:trHeight w:val="485"/>
        </w:trPr>
        <w:tc>
          <w:tcPr>
            <w:tcW w:w="1078" w:type="pct"/>
            <w:tcBorders>
              <w:bottom w:val="single" w:sz="4" w:space="0" w:color="auto"/>
            </w:tcBorders>
          </w:tcPr>
          <w:p w14:paraId="709A38D0" w14:textId="77777777" w:rsidR="00EC44A5" w:rsidRPr="00850FCC" w:rsidRDefault="00EC44A5" w:rsidP="00D176C1">
            <w:pPr>
              <w:spacing w:after="0" w:line="240" w:lineRule="auto"/>
              <w:rPr>
                <w:rFonts w:ascii="Times New Roman" w:eastAsia="Calibri" w:hAnsi="Times New Roman" w:cs="Times New Roman"/>
                <w:b/>
                <w:sz w:val="26"/>
                <w:szCs w:val="26"/>
              </w:rPr>
            </w:pPr>
            <w:r w:rsidRPr="00850FCC">
              <w:rPr>
                <w:rFonts w:ascii="Times New Roman" w:eastAsia="Calibri" w:hAnsi="Times New Roman" w:cs="Times New Roman"/>
                <w:b/>
                <w:sz w:val="26"/>
                <w:szCs w:val="26"/>
              </w:rPr>
              <w:t xml:space="preserve">TOTAL REDUCTION (Due to Docket No. </w:t>
            </w:r>
            <w:r w:rsidRPr="00E44005">
              <w:rPr>
                <w:rFonts w:ascii="Times New Roman" w:eastAsia="Calibri" w:hAnsi="Times New Roman" w:cs="Times New Roman"/>
                <w:b/>
                <w:sz w:val="26"/>
                <w:szCs w:val="26"/>
              </w:rPr>
              <w:t>RD16</w:t>
            </w:r>
            <w:r w:rsidRPr="00850FCC">
              <w:rPr>
                <w:rFonts w:ascii="Times New Roman" w:eastAsia="Calibri" w:hAnsi="Times New Roman" w:cs="Times New Roman"/>
                <w:b/>
                <w:sz w:val="26"/>
                <w:szCs w:val="26"/>
              </w:rPr>
              <w:t>-10)</w:t>
            </w:r>
          </w:p>
        </w:tc>
        <w:tc>
          <w:tcPr>
            <w:tcW w:w="1669" w:type="pct"/>
            <w:gridSpan w:val="2"/>
            <w:tcBorders>
              <w:bottom w:val="single" w:sz="4" w:space="0" w:color="auto"/>
            </w:tcBorders>
            <w:shd w:val="pct10" w:color="auto" w:fill="auto"/>
            <w:vAlign w:val="bottom"/>
          </w:tcPr>
          <w:p w14:paraId="709A38D1" w14:textId="77777777" w:rsidR="00EC44A5" w:rsidRPr="00850FCC" w:rsidRDefault="00EC44A5" w:rsidP="00D176C1">
            <w:pPr>
              <w:spacing w:after="0" w:line="240" w:lineRule="auto"/>
              <w:jc w:val="right"/>
              <w:rPr>
                <w:rFonts w:ascii="Times New Roman" w:eastAsia="Calibri" w:hAnsi="Times New Roman" w:cs="Times New Roman"/>
                <w:sz w:val="26"/>
                <w:szCs w:val="26"/>
              </w:rPr>
            </w:pPr>
          </w:p>
        </w:tc>
        <w:tc>
          <w:tcPr>
            <w:tcW w:w="786" w:type="pct"/>
            <w:tcBorders>
              <w:bottom w:val="single" w:sz="4" w:space="0" w:color="auto"/>
            </w:tcBorders>
            <w:shd w:val="pct10" w:color="auto" w:fill="auto"/>
            <w:vAlign w:val="bottom"/>
          </w:tcPr>
          <w:p w14:paraId="709A38D2" w14:textId="77777777" w:rsidR="00EC44A5" w:rsidRPr="00850FCC" w:rsidRDefault="00EC44A5" w:rsidP="00D176C1">
            <w:pPr>
              <w:spacing w:after="0" w:line="240" w:lineRule="auto"/>
              <w:jc w:val="right"/>
              <w:rPr>
                <w:rFonts w:ascii="Times New Roman" w:eastAsia="Calibri" w:hAnsi="Times New Roman" w:cs="Times New Roman"/>
                <w:b/>
                <w:sz w:val="26"/>
                <w:szCs w:val="26"/>
              </w:rPr>
            </w:pPr>
          </w:p>
        </w:tc>
        <w:tc>
          <w:tcPr>
            <w:tcW w:w="732" w:type="pct"/>
            <w:tcBorders>
              <w:bottom w:val="single" w:sz="4" w:space="0" w:color="auto"/>
            </w:tcBorders>
            <w:shd w:val="pct10" w:color="auto" w:fill="auto"/>
            <w:vAlign w:val="bottom"/>
          </w:tcPr>
          <w:p w14:paraId="709A38D3" w14:textId="77777777" w:rsidR="00EC44A5" w:rsidRPr="00850FCC" w:rsidRDefault="00EC44A5" w:rsidP="00D176C1">
            <w:pPr>
              <w:spacing w:after="0" w:line="240" w:lineRule="auto"/>
              <w:jc w:val="right"/>
              <w:rPr>
                <w:rFonts w:ascii="Times New Roman" w:eastAsia="Calibri" w:hAnsi="Times New Roman" w:cs="Times New Roman"/>
                <w:sz w:val="26"/>
                <w:szCs w:val="26"/>
              </w:rPr>
            </w:pPr>
          </w:p>
        </w:tc>
        <w:tc>
          <w:tcPr>
            <w:tcW w:w="735" w:type="pct"/>
            <w:tcBorders>
              <w:bottom w:val="single" w:sz="4" w:space="0" w:color="auto"/>
            </w:tcBorders>
            <w:vAlign w:val="bottom"/>
          </w:tcPr>
          <w:p w14:paraId="709A38D4" w14:textId="77777777" w:rsidR="00EC44A5" w:rsidRPr="00850FCC" w:rsidRDefault="00EC44A5" w:rsidP="00D176C1">
            <w:pPr>
              <w:spacing w:after="0" w:line="240" w:lineRule="auto"/>
              <w:jc w:val="right"/>
              <w:rPr>
                <w:rFonts w:ascii="Times New Roman" w:eastAsia="Calibri" w:hAnsi="Times New Roman" w:cs="Times New Roman"/>
                <w:sz w:val="26"/>
                <w:szCs w:val="26"/>
              </w:rPr>
            </w:pPr>
            <w:r w:rsidRPr="00850FCC">
              <w:rPr>
                <w:rFonts w:ascii="Times New Roman" w:eastAsia="Calibri" w:hAnsi="Times New Roman" w:cs="Times New Roman"/>
                <w:sz w:val="26"/>
                <w:szCs w:val="26"/>
              </w:rPr>
              <w:t>1,188 hrs.; $81,640</w:t>
            </w:r>
          </w:p>
        </w:tc>
      </w:tr>
    </w:tbl>
    <w:p w14:paraId="709A38D6" w14:textId="77777777" w:rsidR="00EC44A5" w:rsidRDefault="00EC44A5" w:rsidP="00EC44A5">
      <w:pPr>
        <w:rPr>
          <w:rFonts w:ascii="Times New Roman" w:eastAsia="Times New Roman" w:hAnsi="Times New Roman" w:cs="Times New Roman"/>
          <w:i/>
          <w:sz w:val="26"/>
          <w:szCs w:val="24"/>
        </w:rPr>
      </w:pPr>
    </w:p>
    <w:p w14:paraId="709A38D7" w14:textId="77777777" w:rsidR="00EC44A5" w:rsidRDefault="00EC44A5" w:rsidP="00EC44A5">
      <w:pPr>
        <w:spacing w:after="0" w:line="480" w:lineRule="auto"/>
        <w:rPr>
          <w:rFonts w:ascii="Times New Roman" w:eastAsia="Times New Roman" w:hAnsi="Times New Roman" w:cs="Times New Roman"/>
          <w:sz w:val="26"/>
          <w:szCs w:val="24"/>
        </w:rPr>
      </w:pPr>
      <w:r w:rsidRPr="00861647">
        <w:rPr>
          <w:rFonts w:ascii="Times New Roman" w:eastAsia="Times New Roman" w:hAnsi="Times New Roman" w:cs="Times New Roman"/>
          <w:i/>
          <w:sz w:val="26"/>
          <w:szCs w:val="24"/>
        </w:rPr>
        <w:t>Estimate of Annual Burden</w:t>
      </w:r>
      <w:r w:rsidRPr="00861647">
        <w:rPr>
          <w:rFonts w:ascii="Times New Roman" w:eastAsia="Times New Roman" w:hAnsi="Times New Roman" w:cs="Times New Roman"/>
          <w:b/>
          <w:i/>
          <w:sz w:val="26"/>
          <w:szCs w:val="26"/>
          <w:vertAlign w:val="superscript"/>
        </w:rPr>
        <w:footnoteReference w:id="15"/>
      </w:r>
      <w:r w:rsidRPr="00861647">
        <w:rPr>
          <w:rFonts w:ascii="Times New Roman" w:eastAsia="Times New Roman" w:hAnsi="Times New Roman" w:cs="Times New Roman"/>
          <w:i/>
          <w:sz w:val="26"/>
          <w:szCs w:val="24"/>
        </w:rPr>
        <w:t xml:space="preserve">: </w:t>
      </w:r>
      <w:r w:rsidRPr="00861647">
        <w:rPr>
          <w:rFonts w:ascii="Times New Roman" w:eastAsia="Times New Roman" w:hAnsi="Times New Roman" w:cs="Times New Roman"/>
          <w:sz w:val="26"/>
          <w:szCs w:val="24"/>
        </w:rPr>
        <w:t>Details follow on the changes in Docket No. RD17-5-000, and on the continuing burdens, which will be submitted to OMB for approval in a consolidated package under FERC-725E.</w:t>
      </w:r>
    </w:p>
    <w:p w14:paraId="709A38D8" w14:textId="77777777" w:rsidR="009A5BEC" w:rsidRDefault="009A5BEC" w:rsidP="00EC44A5">
      <w:pPr>
        <w:spacing w:after="0" w:line="480" w:lineRule="auto"/>
        <w:rPr>
          <w:rFonts w:ascii="Times New Roman" w:eastAsia="Times New Roman" w:hAnsi="Times New Roman" w:cs="Times New Roman"/>
          <w:sz w:val="26"/>
          <w:szCs w:val="24"/>
        </w:rPr>
      </w:pPr>
    </w:p>
    <w:tbl>
      <w:tblPr>
        <w:tblpPr w:leftFromText="432" w:rightFromText="187" w:vertAnchor="text" w:horzAnchor="margin" w:tblpXSpec="right" w:tblpY="144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
        <w:gridCol w:w="1164"/>
        <w:gridCol w:w="1389"/>
        <w:gridCol w:w="1239"/>
        <w:gridCol w:w="1267"/>
        <w:gridCol w:w="1361"/>
        <w:gridCol w:w="1869"/>
      </w:tblGrid>
      <w:tr w:rsidR="009A5BEC" w:rsidRPr="009A5BEC" w14:paraId="709A38DC" w14:textId="77777777" w:rsidTr="00D176C1">
        <w:trPr>
          <w:trHeight w:val="288"/>
        </w:trPr>
        <w:tc>
          <w:tcPr>
            <w:tcW w:w="9265" w:type="dxa"/>
            <w:gridSpan w:val="7"/>
            <w:shd w:val="clear" w:color="auto" w:fill="D9D9D9"/>
          </w:tcPr>
          <w:p w14:paraId="709A38D9" w14:textId="77777777" w:rsidR="009A5BEC" w:rsidRPr="009A5BEC" w:rsidRDefault="009A5BEC" w:rsidP="009A5BEC">
            <w:pPr>
              <w:spacing w:after="0" w:line="240" w:lineRule="auto"/>
              <w:rPr>
                <w:rFonts w:ascii="Times New Roman" w:eastAsia="Calibri" w:hAnsi="Times New Roman" w:cs="Times New Roman"/>
                <w:b/>
                <w:sz w:val="26"/>
                <w:szCs w:val="26"/>
              </w:rPr>
            </w:pPr>
            <w:r w:rsidRPr="009A5BEC">
              <w:rPr>
                <w:rFonts w:ascii="Times New Roman" w:eastAsia="Calibri" w:hAnsi="Times New Roman" w:cs="Times New Roman"/>
                <w:b/>
                <w:sz w:val="26"/>
                <w:szCs w:val="26"/>
              </w:rPr>
              <w:t xml:space="preserve">FERC-725E, Mandatory Reliability Standards for the </w:t>
            </w:r>
          </w:p>
          <w:p w14:paraId="709A38DA"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Western Electric Coordinating Council,</w:t>
            </w:r>
          </w:p>
          <w:p w14:paraId="709A38DB"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Changes in Docket No. RD17-5-000</w:t>
            </w:r>
          </w:p>
        </w:tc>
      </w:tr>
      <w:tr w:rsidR="009A5BEC" w:rsidRPr="009A5BEC" w14:paraId="709A38EA" w14:textId="77777777" w:rsidTr="00D176C1">
        <w:trPr>
          <w:trHeight w:val="744"/>
        </w:trPr>
        <w:tc>
          <w:tcPr>
            <w:tcW w:w="976" w:type="dxa"/>
            <w:shd w:val="clear" w:color="auto" w:fill="D9D9D9"/>
            <w:vAlign w:val="bottom"/>
          </w:tcPr>
          <w:p w14:paraId="709A38DD"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 xml:space="preserve">Entity </w:t>
            </w:r>
          </w:p>
        </w:tc>
        <w:tc>
          <w:tcPr>
            <w:tcW w:w="1164" w:type="dxa"/>
            <w:shd w:val="clear" w:color="auto" w:fill="D9D9D9"/>
            <w:vAlign w:val="bottom"/>
          </w:tcPr>
          <w:p w14:paraId="709A38DE" w14:textId="77777777" w:rsidR="009A5BEC" w:rsidRPr="009A5BEC" w:rsidRDefault="009A5BEC" w:rsidP="009A5BEC">
            <w:pPr>
              <w:spacing w:after="0" w:line="240" w:lineRule="auto"/>
              <w:jc w:val="center"/>
              <w:rPr>
                <w:rFonts w:ascii="Times New Roman" w:eastAsia="Calibri" w:hAnsi="Times New Roman" w:cs="Times New Roman"/>
                <w:sz w:val="26"/>
                <w:szCs w:val="26"/>
                <w:vertAlign w:val="superscript"/>
              </w:rPr>
            </w:pPr>
            <w:r w:rsidRPr="009A5BEC">
              <w:rPr>
                <w:rFonts w:ascii="Times New Roman" w:eastAsia="Calibri" w:hAnsi="Times New Roman" w:cs="Times New Roman"/>
                <w:b/>
                <w:sz w:val="26"/>
                <w:szCs w:val="26"/>
              </w:rPr>
              <w:t>No. of Respondents</w:t>
            </w:r>
            <w:r w:rsidRPr="009A5BEC">
              <w:rPr>
                <w:rFonts w:ascii="Times New Roman" w:eastAsia="Calibri" w:hAnsi="Times New Roman" w:cs="Times New Roman"/>
                <w:sz w:val="26"/>
                <w:szCs w:val="26"/>
                <w:vertAlign w:val="superscript"/>
              </w:rPr>
              <w:footnoteReference w:id="16"/>
            </w:r>
          </w:p>
          <w:p w14:paraId="709A38DF"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(1)</w:t>
            </w:r>
          </w:p>
        </w:tc>
        <w:tc>
          <w:tcPr>
            <w:tcW w:w="1389" w:type="dxa"/>
            <w:shd w:val="clear" w:color="auto" w:fill="D9D9D9"/>
            <w:vAlign w:val="bottom"/>
          </w:tcPr>
          <w:p w14:paraId="709A38E0"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Annual No. of Responses per Respondent</w:t>
            </w:r>
          </w:p>
          <w:p w14:paraId="709A38E1"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(2)</w:t>
            </w:r>
          </w:p>
        </w:tc>
        <w:tc>
          <w:tcPr>
            <w:tcW w:w="1239" w:type="dxa"/>
            <w:shd w:val="clear" w:color="auto" w:fill="D9D9D9"/>
            <w:vAlign w:val="bottom"/>
          </w:tcPr>
          <w:p w14:paraId="709A38E2"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Annual No. of Responses</w:t>
            </w:r>
          </w:p>
          <w:p w14:paraId="709A38E3"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(1)*(2)=(3)</w:t>
            </w:r>
          </w:p>
        </w:tc>
        <w:tc>
          <w:tcPr>
            <w:tcW w:w="1267" w:type="dxa"/>
            <w:shd w:val="clear" w:color="auto" w:fill="D9D9D9"/>
            <w:vAlign w:val="bottom"/>
          </w:tcPr>
          <w:p w14:paraId="709A38E4"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Average Burden Hrs. &amp; Cost</w:t>
            </w:r>
            <w:r w:rsidRPr="009A5BEC">
              <w:rPr>
                <w:rFonts w:ascii="Times New Roman" w:eastAsia="Times New Roman" w:hAnsi="Times New Roman" w:cs="Times New Roman"/>
                <w:b/>
                <w:sz w:val="26"/>
                <w:szCs w:val="26"/>
                <w:vertAlign w:val="superscript"/>
              </w:rPr>
              <w:footnoteReference w:id="17"/>
            </w:r>
            <w:r w:rsidRPr="009A5BEC">
              <w:rPr>
                <w:rFonts w:ascii="Times New Roman" w:eastAsia="Times New Roman" w:hAnsi="Times New Roman" w:cs="Times New Roman"/>
                <w:sz w:val="26"/>
                <w:szCs w:val="26"/>
              </w:rPr>
              <w:t xml:space="preserve"> </w:t>
            </w:r>
            <w:r w:rsidRPr="009A5BEC">
              <w:rPr>
                <w:rFonts w:ascii="Times New Roman" w:eastAsia="Calibri" w:hAnsi="Times New Roman" w:cs="Times New Roman"/>
                <w:b/>
                <w:sz w:val="26"/>
                <w:szCs w:val="26"/>
              </w:rPr>
              <w:t>Per Response  ($)</w:t>
            </w:r>
          </w:p>
          <w:p w14:paraId="709A38E5"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(4)</w:t>
            </w:r>
          </w:p>
        </w:tc>
        <w:tc>
          <w:tcPr>
            <w:tcW w:w="1361" w:type="dxa"/>
            <w:shd w:val="clear" w:color="auto" w:fill="D9D9D9"/>
            <w:vAlign w:val="bottom"/>
          </w:tcPr>
          <w:p w14:paraId="709A38E6"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Total Annual Burden Hours &amp; Total Annual Cost ($)</w:t>
            </w:r>
          </w:p>
          <w:p w14:paraId="709A38E7"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(3)*(4)=(5)</w:t>
            </w:r>
          </w:p>
        </w:tc>
        <w:tc>
          <w:tcPr>
            <w:tcW w:w="1869" w:type="dxa"/>
            <w:shd w:val="clear" w:color="auto" w:fill="D9D9D9"/>
            <w:vAlign w:val="bottom"/>
          </w:tcPr>
          <w:p w14:paraId="709A38E8"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Cost per Respondent ($)</w:t>
            </w:r>
          </w:p>
          <w:p w14:paraId="709A38E9"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4"/>
              </w:rPr>
              <w:t>(5)÷(1)=(6)</w:t>
            </w:r>
          </w:p>
        </w:tc>
      </w:tr>
      <w:tr w:rsidR="009A5BEC" w:rsidRPr="009A5BEC" w14:paraId="709A38F2" w14:textId="77777777" w:rsidTr="00D176C1">
        <w:trPr>
          <w:trHeight w:val="744"/>
        </w:trPr>
        <w:tc>
          <w:tcPr>
            <w:tcW w:w="976" w:type="dxa"/>
            <w:shd w:val="clear" w:color="auto" w:fill="D9D9D9"/>
            <w:vAlign w:val="bottom"/>
          </w:tcPr>
          <w:p w14:paraId="709A38EB" w14:textId="77777777" w:rsidR="009A5BEC" w:rsidRPr="009A5BEC" w:rsidRDefault="009A5BEC" w:rsidP="009A5BEC">
            <w:pPr>
              <w:spacing w:after="0" w:line="240" w:lineRule="auto"/>
              <w:jc w:val="center"/>
              <w:rPr>
                <w:rFonts w:ascii="Times New Roman" w:eastAsia="Calibri" w:hAnsi="Times New Roman" w:cs="Times New Roman"/>
                <w:b/>
                <w:sz w:val="26"/>
                <w:szCs w:val="26"/>
              </w:rPr>
            </w:pPr>
          </w:p>
        </w:tc>
        <w:tc>
          <w:tcPr>
            <w:tcW w:w="1164" w:type="dxa"/>
            <w:shd w:val="clear" w:color="auto" w:fill="D9D9D9"/>
            <w:vAlign w:val="bottom"/>
          </w:tcPr>
          <w:p w14:paraId="709A38EC" w14:textId="77777777" w:rsidR="009A5BEC" w:rsidRPr="009A5BEC" w:rsidRDefault="009A5BEC" w:rsidP="009A5BEC">
            <w:pPr>
              <w:spacing w:after="0" w:line="240" w:lineRule="auto"/>
              <w:jc w:val="center"/>
              <w:rPr>
                <w:rFonts w:ascii="Times New Roman" w:eastAsia="Calibri" w:hAnsi="Times New Roman" w:cs="Times New Roman"/>
                <w:b/>
                <w:sz w:val="26"/>
                <w:szCs w:val="26"/>
              </w:rPr>
            </w:pPr>
          </w:p>
        </w:tc>
        <w:tc>
          <w:tcPr>
            <w:tcW w:w="1389" w:type="dxa"/>
            <w:shd w:val="clear" w:color="auto" w:fill="D9D9D9"/>
            <w:vAlign w:val="bottom"/>
          </w:tcPr>
          <w:p w14:paraId="709A38ED" w14:textId="77777777" w:rsidR="009A5BEC" w:rsidRPr="009A5BEC" w:rsidRDefault="009A5BEC" w:rsidP="009A5BEC">
            <w:pPr>
              <w:spacing w:after="0" w:line="240" w:lineRule="auto"/>
              <w:jc w:val="center"/>
              <w:rPr>
                <w:rFonts w:ascii="Times New Roman" w:eastAsia="Calibri" w:hAnsi="Times New Roman" w:cs="Times New Roman"/>
                <w:b/>
                <w:sz w:val="26"/>
                <w:szCs w:val="26"/>
              </w:rPr>
            </w:pPr>
          </w:p>
        </w:tc>
        <w:tc>
          <w:tcPr>
            <w:tcW w:w="1239" w:type="dxa"/>
            <w:shd w:val="clear" w:color="auto" w:fill="D9D9D9"/>
            <w:vAlign w:val="bottom"/>
          </w:tcPr>
          <w:p w14:paraId="709A38EE" w14:textId="77777777" w:rsidR="009A5BEC" w:rsidRPr="009A5BEC" w:rsidRDefault="009A5BEC" w:rsidP="009A5BEC">
            <w:pPr>
              <w:spacing w:after="0" w:line="240" w:lineRule="auto"/>
              <w:jc w:val="center"/>
              <w:rPr>
                <w:rFonts w:ascii="Times New Roman" w:eastAsia="Calibri" w:hAnsi="Times New Roman" w:cs="Times New Roman"/>
                <w:b/>
                <w:sz w:val="26"/>
                <w:szCs w:val="26"/>
              </w:rPr>
            </w:pPr>
          </w:p>
        </w:tc>
        <w:tc>
          <w:tcPr>
            <w:tcW w:w="1267" w:type="dxa"/>
            <w:shd w:val="clear" w:color="auto" w:fill="D9D9D9"/>
            <w:vAlign w:val="bottom"/>
          </w:tcPr>
          <w:p w14:paraId="709A38EF" w14:textId="77777777" w:rsidR="009A5BEC" w:rsidRPr="009A5BEC" w:rsidRDefault="009A5BEC" w:rsidP="009A5BEC">
            <w:pPr>
              <w:spacing w:after="0" w:line="240" w:lineRule="auto"/>
              <w:jc w:val="center"/>
              <w:rPr>
                <w:rFonts w:ascii="Times New Roman" w:eastAsia="Calibri" w:hAnsi="Times New Roman" w:cs="Times New Roman"/>
                <w:b/>
                <w:sz w:val="26"/>
                <w:szCs w:val="26"/>
              </w:rPr>
            </w:pPr>
          </w:p>
        </w:tc>
        <w:tc>
          <w:tcPr>
            <w:tcW w:w="1361" w:type="dxa"/>
            <w:shd w:val="clear" w:color="auto" w:fill="D9D9D9"/>
            <w:vAlign w:val="bottom"/>
          </w:tcPr>
          <w:p w14:paraId="709A38F0" w14:textId="77777777" w:rsidR="009A5BEC" w:rsidRPr="009A5BEC" w:rsidRDefault="009A5BEC" w:rsidP="009A5BEC">
            <w:pPr>
              <w:spacing w:after="0" w:line="240" w:lineRule="auto"/>
              <w:jc w:val="center"/>
              <w:rPr>
                <w:rFonts w:ascii="Times New Roman" w:eastAsia="Calibri" w:hAnsi="Times New Roman" w:cs="Times New Roman"/>
                <w:b/>
                <w:sz w:val="26"/>
                <w:szCs w:val="26"/>
              </w:rPr>
            </w:pPr>
          </w:p>
        </w:tc>
        <w:tc>
          <w:tcPr>
            <w:tcW w:w="1869" w:type="dxa"/>
            <w:shd w:val="clear" w:color="auto" w:fill="D9D9D9"/>
            <w:vAlign w:val="bottom"/>
          </w:tcPr>
          <w:p w14:paraId="709A38F1" w14:textId="77777777" w:rsidR="009A5BEC" w:rsidRPr="009A5BEC" w:rsidRDefault="009A5BEC" w:rsidP="009A5BEC">
            <w:pPr>
              <w:spacing w:after="0" w:line="240" w:lineRule="auto"/>
              <w:jc w:val="center"/>
              <w:rPr>
                <w:rFonts w:ascii="Times New Roman" w:eastAsia="Calibri" w:hAnsi="Times New Roman" w:cs="Times New Roman"/>
                <w:b/>
                <w:sz w:val="26"/>
                <w:szCs w:val="26"/>
              </w:rPr>
            </w:pPr>
          </w:p>
        </w:tc>
      </w:tr>
      <w:tr w:rsidR="009A5BEC" w:rsidRPr="009A5BEC" w14:paraId="709A38F5" w14:textId="77777777" w:rsidTr="00D176C1">
        <w:trPr>
          <w:trHeight w:val="431"/>
        </w:trPr>
        <w:tc>
          <w:tcPr>
            <w:tcW w:w="9265" w:type="dxa"/>
            <w:gridSpan w:val="7"/>
            <w:shd w:val="clear" w:color="auto" w:fill="D9D9D9" w:themeFill="background1" w:themeFillShade="D9"/>
          </w:tcPr>
          <w:p w14:paraId="709A38F3"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Retirement Of Former Standard VAR-501-WECC-2</w:t>
            </w:r>
          </w:p>
          <w:p w14:paraId="709A38F4"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eastAsia="Calibri" w:hAnsi="Times New Roman" w:cs="Times New Roman"/>
                <w:b/>
                <w:sz w:val="26"/>
                <w:szCs w:val="26"/>
              </w:rPr>
              <w:t>and Associated Reductions</w:t>
            </w:r>
          </w:p>
        </w:tc>
      </w:tr>
      <w:tr w:rsidR="009A5BEC" w:rsidRPr="009A5BEC" w14:paraId="709A38F7" w14:textId="77777777" w:rsidTr="00D176C1">
        <w:trPr>
          <w:trHeight w:val="299"/>
        </w:trPr>
        <w:tc>
          <w:tcPr>
            <w:tcW w:w="9265" w:type="dxa"/>
            <w:gridSpan w:val="7"/>
          </w:tcPr>
          <w:p w14:paraId="709A38F6" w14:textId="77777777" w:rsidR="009A5BEC" w:rsidRPr="009A5BEC" w:rsidRDefault="009A5BEC" w:rsidP="009A5BEC">
            <w:pPr>
              <w:spacing w:after="0" w:line="240" w:lineRule="auto"/>
              <w:rPr>
                <w:rFonts w:ascii="Times New Roman" w:hAnsi="Times New Roman" w:cs="Times New Roman"/>
                <w:i/>
                <w:sz w:val="26"/>
                <w:szCs w:val="26"/>
              </w:rPr>
            </w:pPr>
            <w:r w:rsidRPr="009A5BEC">
              <w:rPr>
                <w:rFonts w:ascii="Times New Roman" w:eastAsia="Calibri" w:hAnsi="Times New Roman" w:cs="Times New Roman"/>
                <w:i/>
                <w:sz w:val="26"/>
                <w:szCs w:val="26"/>
              </w:rPr>
              <w:t xml:space="preserve">Reporting </w:t>
            </w:r>
            <w:r w:rsidRPr="009A5BEC">
              <w:rPr>
                <w:rFonts w:ascii="Times New Roman" w:hAnsi="Times New Roman" w:cs="Times New Roman"/>
                <w:i/>
                <w:sz w:val="26"/>
                <w:szCs w:val="26"/>
              </w:rPr>
              <w:t xml:space="preserve">Requirements </w:t>
            </w:r>
          </w:p>
        </w:tc>
      </w:tr>
      <w:tr w:rsidR="009A5BEC" w:rsidRPr="009A5BEC" w14:paraId="709A3902" w14:textId="77777777" w:rsidTr="00D176C1">
        <w:trPr>
          <w:trHeight w:val="299"/>
        </w:trPr>
        <w:tc>
          <w:tcPr>
            <w:tcW w:w="976" w:type="dxa"/>
            <w:vAlign w:val="bottom"/>
          </w:tcPr>
          <w:p w14:paraId="709A38F8" w14:textId="77777777" w:rsidR="009A5BEC" w:rsidRPr="009A5BEC" w:rsidRDefault="009A5BEC" w:rsidP="009A5BEC">
            <w:pPr>
              <w:spacing w:after="0" w:line="240" w:lineRule="auto"/>
              <w:rPr>
                <w:rFonts w:ascii="Times New Roman" w:hAnsi="Times New Roman" w:cs="Times New Roman"/>
                <w:sz w:val="26"/>
                <w:szCs w:val="26"/>
              </w:rPr>
            </w:pPr>
            <w:r w:rsidRPr="009A5BEC">
              <w:rPr>
                <w:rFonts w:ascii="Times New Roman" w:hAnsi="Times New Roman" w:cs="Times New Roman"/>
                <w:sz w:val="26"/>
                <w:szCs w:val="26"/>
              </w:rPr>
              <w:t>Generator Operators</w:t>
            </w:r>
          </w:p>
        </w:tc>
        <w:tc>
          <w:tcPr>
            <w:tcW w:w="1164" w:type="dxa"/>
            <w:vAlign w:val="bottom"/>
          </w:tcPr>
          <w:p w14:paraId="709A38F9"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249</w:t>
            </w:r>
          </w:p>
        </w:tc>
        <w:tc>
          <w:tcPr>
            <w:tcW w:w="1389" w:type="dxa"/>
            <w:vAlign w:val="bottom"/>
          </w:tcPr>
          <w:p w14:paraId="709A38FA"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4</w:t>
            </w:r>
          </w:p>
        </w:tc>
        <w:tc>
          <w:tcPr>
            <w:tcW w:w="1239" w:type="dxa"/>
            <w:vAlign w:val="bottom"/>
          </w:tcPr>
          <w:p w14:paraId="709A38FB"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996</w:t>
            </w:r>
          </w:p>
        </w:tc>
        <w:tc>
          <w:tcPr>
            <w:tcW w:w="1267" w:type="dxa"/>
            <w:vAlign w:val="bottom"/>
          </w:tcPr>
          <w:p w14:paraId="709A38FC"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 xml:space="preserve">1 hr.; </w:t>
            </w:r>
          </w:p>
          <w:p w14:paraId="709A38FD"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$76.22</w:t>
            </w:r>
          </w:p>
        </w:tc>
        <w:tc>
          <w:tcPr>
            <w:tcW w:w="1361" w:type="dxa"/>
            <w:vAlign w:val="bottom"/>
          </w:tcPr>
          <w:p w14:paraId="709A38FE"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 xml:space="preserve">996 hrs.; </w:t>
            </w:r>
          </w:p>
          <w:p w14:paraId="709A38FF"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$75,915.12</w:t>
            </w:r>
          </w:p>
          <w:p w14:paraId="709A3900"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(reduction)</w:t>
            </w:r>
          </w:p>
        </w:tc>
        <w:tc>
          <w:tcPr>
            <w:tcW w:w="1869" w:type="dxa"/>
            <w:vAlign w:val="bottom"/>
          </w:tcPr>
          <w:p w14:paraId="709A3901"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$304.88 (reduction)</w:t>
            </w:r>
          </w:p>
        </w:tc>
      </w:tr>
      <w:tr w:rsidR="009A5BEC" w:rsidRPr="009A5BEC" w14:paraId="709A3904" w14:textId="77777777" w:rsidTr="00D176C1">
        <w:trPr>
          <w:trHeight w:val="299"/>
        </w:trPr>
        <w:tc>
          <w:tcPr>
            <w:tcW w:w="9265" w:type="dxa"/>
            <w:gridSpan w:val="7"/>
            <w:vAlign w:val="bottom"/>
          </w:tcPr>
          <w:p w14:paraId="709A3903" w14:textId="77777777" w:rsidR="009A5BEC" w:rsidRPr="009A5BEC" w:rsidRDefault="009A5BEC" w:rsidP="009A5BEC">
            <w:pPr>
              <w:spacing w:after="0" w:line="240" w:lineRule="auto"/>
              <w:rPr>
                <w:rFonts w:ascii="Times New Roman" w:eastAsia="Calibri" w:hAnsi="Times New Roman" w:cs="Times New Roman"/>
                <w:i/>
                <w:sz w:val="26"/>
                <w:szCs w:val="26"/>
              </w:rPr>
            </w:pPr>
            <w:r w:rsidRPr="009A5BEC">
              <w:rPr>
                <w:rFonts w:ascii="Times New Roman" w:eastAsia="Calibri" w:hAnsi="Times New Roman" w:cs="Times New Roman"/>
                <w:i/>
                <w:sz w:val="26"/>
                <w:szCs w:val="26"/>
              </w:rPr>
              <w:t xml:space="preserve">Recordkeeping Requirements </w:t>
            </w:r>
          </w:p>
        </w:tc>
      </w:tr>
      <w:tr w:rsidR="009A5BEC" w:rsidRPr="009A5BEC" w14:paraId="709A390E" w14:textId="77777777" w:rsidTr="00D176C1">
        <w:trPr>
          <w:trHeight w:val="299"/>
        </w:trPr>
        <w:tc>
          <w:tcPr>
            <w:tcW w:w="976" w:type="dxa"/>
            <w:vAlign w:val="bottom"/>
          </w:tcPr>
          <w:p w14:paraId="709A3905" w14:textId="77777777" w:rsidR="009A5BEC" w:rsidRPr="009A5BEC" w:rsidRDefault="009A5BEC" w:rsidP="009A5BEC">
            <w:pPr>
              <w:spacing w:after="0" w:line="240" w:lineRule="auto"/>
              <w:rPr>
                <w:rFonts w:ascii="Times New Roman" w:eastAsia="Calibri" w:hAnsi="Times New Roman" w:cs="Times New Roman"/>
                <w:sz w:val="26"/>
                <w:szCs w:val="26"/>
              </w:rPr>
            </w:pPr>
            <w:r w:rsidRPr="009A5BEC">
              <w:rPr>
                <w:rFonts w:ascii="Times New Roman" w:eastAsia="Calibri" w:hAnsi="Times New Roman" w:cs="Times New Roman"/>
                <w:sz w:val="26"/>
                <w:szCs w:val="26"/>
              </w:rPr>
              <w:t>Generator Operators</w:t>
            </w:r>
          </w:p>
        </w:tc>
        <w:tc>
          <w:tcPr>
            <w:tcW w:w="1164" w:type="dxa"/>
            <w:vAlign w:val="bottom"/>
          </w:tcPr>
          <w:p w14:paraId="709A3906"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249</w:t>
            </w:r>
          </w:p>
        </w:tc>
        <w:tc>
          <w:tcPr>
            <w:tcW w:w="1389" w:type="dxa"/>
            <w:vAlign w:val="bottom"/>
          </w:tcPr>
          <w:p w14:paraId="709A3907"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4</w:t>
            </w:r>
          </w:p>
        </w:tc>
        <w:tc>
          <w:tcPr>
            <w:tcW w:w="1239" w:type="dxa"/>
            <w:vAlign w:val="bottom"/>
          </w:tcPr>
          <w:p w14:paraId="709A3908"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996</w:t>
            </w:r>
          </w:p>
        </w:tc>
        <w:tc>
          <w:tcPr>
            <w:tcW w:w="1267" w:type="dxa"/>
            <w:vAlign w:val="bottom"/>
          </w:tcPr>
          <w:p w14:paraId="709A3909"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0.5 hrs.;</w:t>
            </w:r>
          </w:p>
          <w:p w14:paraId="709A390A"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$31.19</w:t>
            </w:r>
          </w:p>
        </w:tc>
        <w:tc>
          <w:tcPr>
            <w:tcW w:w="1361" w:type="dxa"/>
            <w:vAlign w:val="bottom"/>
          </w:tcPr>
          <w:p w14:paraId="709A390B"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498 hrs.;</w:t>
            </w:r>
          </w:p>
          <w:p w14:paraId="709A390C"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$15,532.62 (reduction)</w:t>
            </w:r>
          </w:p>
        </w:tc>
        <w:tc>
          <w:tcPr>
            <w:tcW w:w="1869" w:type="dxa"/>
            <w:vAlign w:val="bottom"/>
          </w:tcPr>
          <w:p w14:paraId="709A390D"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$62.38 (reduction)</w:t>
            </w:r>
          </w:p>
        </w:tc>
      </w:tr>
      <w:tr w:rsidR="009A5BEC" w:rsidRPr="009A5BEC" w14:paraId="709A3918" w14:textId="77777777" w:rsidTr="00D176C1">
        <w:trPr>
          <w:trHeight w:val="299"/>
        </w:trPr>
        <w:tc>
          <w:tcPr>
            <w:tcW w:w="976" w:type="dxa"/>
            <w:vAlign w:val="bottom"/>
          </w:tcPr>
          <w:p w14:paraId="709A390F" w14:textId="77777777" w:rsidR="009A5BEC" w:rsidRPr="009A5BEC" w:rsidRDefault="009A5BEC" w:rsidP="009A5BEC">
            <w:pPr>
              <w:spacing w:after="0" w:line="240" w:lineRule="auto"/>
              <w:rPr>
                <w:rFonts w:ascii="Times New Roman" w:eastAsia="Calibri" w:hAnsi="Times New Roman" w:cs="Times New Roman"/>
                <w:b/>
                <w:sz w:val="26"/>
                <w:szCs w:val="26"/>
              </w:rPr>
            </w:pPr>
            <w:r w:rsidRPr="009A5BEC">
              <w:rPr>
                <w:rFonts w:ascii="Times New Roman" w:eastAsia="Calibri" w:hAnsi="Times New Roman" w:cs="Times New Roman"/>
                <w:b/>
                <w:sz w:val="26"/>
                <w:szCs w:val="26"/>
              </w:rPr>
              <w:t>Reductions (Discontinued in yr. 1)</w:t>
            </w:r>
          </w:p>
        </w:tc>
        <w:tc>
          <w:tcPr>
            <w:tcW w:w="1164" w:type="dxa"/>
            <w:vAlign w:val="bottom"/>
          </w:tcPr>
          <w:p w14:paraId="709A3910"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89" w:type="dxa"/>
            <w:vAlign w:val="bottom"/>
          </w:tcPr>
          <w:p w14:paraId="709A3911"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39" w:type="dxa"/>
            <w:vAlign w:val="bottom"/>
          </w:tcPr>
          <w:p w14:paraId="709A3912"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67" w:type="dxa"/>
            <w:vAlign w:val="bottom"/>
          </w:tcPr>
          <w:p w14:paraId="709A3913"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61" w:type="dxa"/>
            <w:vAlign w:val="bottom"/>
          </w:tcPr>
          <w:p w14:paraId="709A3914"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 xml:space="preserve">1,494 hrs.; </w:t>
            </w:r>
          </w:p>
          <w:p w14:paraId="709A3915"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$91,447.74</w:t>
            </w:r>
          </w:p>
          <w:p w14:paraId="709A3916"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(reduction)</w:t>
            </w:r>
          </w:p>
        </w:tc>
        <w:tc>
          <w:tcPr>
            <w:tcW w:w="1869" w:type="dxa"/>
            <w:vAlign w:val="bottom"/>
          </w:tcPr>
          <w:p w14:paraId="709A3917"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r>
      <w:tr w:rsidR="009A5BEC" w:rsidRPr="009A5BEC" w14:paraId="709A391A" w14:textId="77777777" w:rsidTr="00D176C1">
        <w:trPr>
          <w:trHeight w:val="299"/>
        </w:trPr>
        <w:tc>
          <w:tcPr>
            <w:tcW w:w="9265" w:type="dxa"/>
            <w:gridSpan w:val="7"/>
            <w:shd w:val="clear" w:color="auto" w:fill="D9D9D9" w:themeFill="background1" w:themeFillShade="D9"/>
          </w:tcPr>
          <w:p w14:paraId="709A3919" w14:textId="77777777" w:rsidR="009A5BEC" w:rsidRPr="009A5BEC" w:rsidRDefault="009A5BEC" w:rsidP="009A5BEC">
            <w:pPr>
              <w:spacing w:after="0" w:line="240" w:lineRule="auto"/>
              <w:jc w:val="center"/>
              <w:rPr>
                <w:rFonts w:ascii="Times New Roman" w:eastAsia="Calibri" w:hAnsi="Times New Roman" w:cs="Times New Roman"/>
                <w:b/>
                <w:sz w:val="26"/>
                <w:szCs w:val="26"/>
              </w:rPr>
            </w:pPr>
            <w:r w:rsidRPr="009A5BEC">
              <w:rPr>
                <w:rFonts w:ascii="Times New Roman" w:hAnsi="Times New Roman" w:cs="Times New Roman"/>
                <w:b/>
                <w:sz w:val="26"/>
                <w:szCs w:val="26"/>
              </w:rPr>
              <w:t>New Standard VAR-501-WECC-3</w:t>
            </w:r>
          </w:p>
        </w:tc>
      </w:tr>
      <w:tr w:rsidR="009A5BEC" w:rsidRPr="009A5BEC" w14:paraId="709A391C" w14:textId="77777777" w:rsidTr="00D176C1">
        <w:trPr>
          <w:trHeight w:val="299"/>
        </w:trPr>
        <w:tc>
          <w:tcPr>
            <w:tcW w:w="9265" w:type="dxa"/>
            <w:gridSpan w:val="7"/>
          </w:tcPr>
          <w:p w14:paraId="709A391B" w14:textId="77777777" w:rsidR="009A5BEC" w:rsidRPr="009A5BEC" w:rsidRDefault="009A5BEC" w:rsidP="009A5BEC">
            <w:pPr>
              <w:spacing w:after="0" w:line="240" w:lineRule="auto"/>
              <w:rPr>
                <w:rFonts w:ascii="Times New Roman" w:hAnsi="Times New Roman" w:cs="Times New Roman"/>
                <w:i/>
                <w:sz w:val="26"/>
                <w:szCs w:val="26"/>
              </w:rPr>
            </w:pPr>
            <w:r w:rsidRPr="009A5BEC">
              <w:rPr>
                <w:rFonts w:ascii="Times New Roman" w:hAnsi="Times New Roman" w:cs="Times New Roman"/>
                <w:i/>
                <w:sz w:val="26"/>
                <w:szCs w:val="26"/>
              </w:rPr>
              <w:t>Reporting Requirements</w:t>
            </w:r>
          </w:p>
        </w:tc>
      </w:tr>
      <w:tr w:rsidR="009A5BEC" w:rsidRPr="009A5BEC" w14:paraId="709A3926" w14:textId="77777777" w:rsidTr="00D176C1">
        <w:trPr>
          <w:trHeight w:val="299"/>
        </w:trPr>
        <w:tc>
          <w:tcPr>
            <w:tcW w:w="976" w:type="dxa"/>
          </w:tcPr>
          <w:p w14:paraId="709A391D" w14:textId="77777777" w:rsidR="009A5BEC" w:rsidRPr="009A5BEC" w:rsidRDefault="009A5BEC" w:rsidP="009A5BEC">
            <w:pPr>
              <w:spacing w:after="0" w:line="240" w:lineRule="auto"/>
              <w:rPr>
                <w:rFonts w:ascii="Times New Roman" w:eastAsia="Calibri" w:hAnsi="Times New Roman" w:cs="Times New Roman"/>
                <w:sz w:val="26"/>
                <w:szCs w:val="26"/>
              </w:rPr>
            </w:pPr>
            <w:r w:rsidRPr="009A5BEC">
              <w:rPr>
                <w:rFonts w:ascii="Times New Roman" w:hAnsi="Times New Roman" w:cs="Times New Roman"/>
                <w:sz w:val="26"/>
                <w:szCs w:val="26"/>
              </w:rPr>
              <w:t>Generator Owners and/or Operators, in Year 1</w:t>
            </w:r>
          </w:p>
        </w:tc>
        <w:tc>
          <w:tcPr>
            <w:tcW w:w="1164" w:type="dxa"/>
            <w:vAlign w:val="bottom"/>
          </w:tcPr>
          <w:p w14:paraId="709A391E"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291</w:t>
            </w:r>
          </w:p>
        </w:tc>
        <w:tc>
          <w:tcPr>
            <w:tcW w:w="1389" w:type="dxa"/>
            <w:vAlign w:val="bottom"/>
          </w:tcPr>
          <w:p w14:paraId="709A391F"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3</w:t>
            </w:r>
          </w:p>
        </w:tc>
        <w:tc>
          <w:tcPr>
            <w:tcW w:w="1239" w:type="dxa"/>
            <w:vAlign w:val="bottom"/>
          </w:tcPr>
          <w:p w14:paraId="709A3920"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873</w:t>
            </w:r>
          </w:p>
        </w:tc>
        <w:tc>
          <w:tcPr>
            <w:tcW w:w="1267" w:type="dxa"/>
            <w:vAlign w:val="bottom"/>
          </w:tcPr>
          <w:p w14:paraId="709A3921"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 xml:space="preserve">1 hr.; </w:t>
            </w:r>
          </w:p>
          <w:p w14:paraId="709A3922"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$76.99</w:t>
            </w:r>
          </w:p>
        </w:tc>
        <w:tc>
          <w:tcPr>
            <w:tcW w:w="1361" w:type="dxa"/>
            <w:vAlign w:val="bottom"/>
          </w:tcPr>
          <w:p w14:paraId="709A3923"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873 hrs.;</w:t>
            </w:r>
          </w:p>
          <w:p w14:paraId="709A3924"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$67,212.27</w:t>
            </w:r>
          </w:p>
        </w:tc>
        <w:tc>
          <w:tcPr>
            <w:tcW w:w="1869" w:type="dxa"/>
            <w:vAlign w:val="bottom"/>
          </w:tcPr>
          <w:p w14:paraId="709A3925"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$230.97</w:t>
            </w:r>
          </w:p>
        </w:tc>
      </w:tr>
      <w:tr w:rsidR="009A5BEC" w:rsidRPr="009A5BEC" w14:paraId="709A3930" w14:textId="77777777" w:rsidTr="00D176C1">
        <w:trPr>
          <w:trHeight w:val="299"/>
        </w:trPr>
        <w:tc>
          <w:tcPr>
            <w:tcW w:w="976" w:type="dxa"/>
          </w:tcPr>
          <w:p w14:paraId="709A3927" w14:textId="77777777" w:rsidR="009A5BEC" w:rsidRPr="009A5BEC" w:rsidRDefault="009A5BEC" w:rsidP="009A5BEC">
            <w:pPr>
              <w:spacing w:after="0" w:line="240" w:lineRule="auto"/>
              <w:rPr>
                <w:rFonts w:ascii="Times New Roman" w:eastAsia="Calibri" w:hAnsi="Times New Roman" w:cs="Times New Roman"/>
                <w:sz w:val="26"/>
                <w:szCs w:val="26"/>
              </w:rPr>
            </w:pPr>
            <w:r w:rsidRPr="009A5BEC">
              <w:rPr>
                <w:rFonts w:ascii="Times New Roman" w:hAnsi="Times New Roman" w:cs="Times New Roman"/>
                <w:sz w:val="26"/>
                <w:szCs w:val="26"/>
              </w:rPr>
              <w:t>Generator Owners and/or Operators, in Year 2 and Ongoing</w:t>
            </w:r>
          </w:p>
        </w:tc>
        <w:tc>
          <w:tcPr>
            <w:tcW w:w="1164" w:type="dxa"/>
            <w:vAlign w:val="bottom"/>
          </w:tcPr>
          <w:p w14:paraId="709A3928"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291</w:t>
            </w:r>
          </w:p>
        </w:tc>
        <w:tc>
          <w:tcPr>
            <w:tcW w:w="1389" w:type="dxa"/>
            <w:vAlign w:val="bottom"/>
          </w:tcPr>
          <w:p w14:paraId="709A3929"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w:t>
            </w:r>
          </w:p>
        </w:tc>
        <w:tc>
          <w:tcPr>
            <w:tcW w:w="1239" w:type="dxa"/>
            <w:vAlign w:val="bottom"/>
          </w:tcPr>
          <w:p w14:paraId="709A392A"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582</w:t>
            </w:r>
          </w:p>
        </w:tc>
        <w:tc>
          <w:tcPr>
            <w:tcW w:w="1267" w:type="dxa"/>
            <w:vAlign w:val="bottom"/>
          </w:tcPr>
          <w:p w14:paraId="709A392B"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 xml:space="preserve">1 hr.; </w:t>
            </w:r>
          </w:p>
          <w:p w14:paraId="709A392C"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$76.99</w:t>
            </w:r>
          </w:p>
        </w:tc>
        <w:tc>
          <w:tcPr>
            <w:tcW w:w="1361" w:type="dxa"/>
            <w:vAlign w:val="bottom"/>
          </w:tcPr>
          <w:p w14:paraId="709A392D"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 xml:space="preserve">582 hrs.; </w:t>
            </w:r>
          </w:p>
          <w:p w14:paraId="709A392E"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$44,808.18</w:t>
            </w:r>
          </w:p>
        </w:tc>
        <w:tc>
          <w:tcPr>
            <w:tcW w:w="1869" w:type="dxa"/>
            <w:vAlign w:val="bottom"/>
          </w:tcPr>
          <w:p w14:paraId="709A392F"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$153.98</w:t>
            </w:r>
          </w:p>
        </w:tc>
      </w:tr>
      <w:tr w:rsidR="009A5BEC" w:rsidRPr="009A5BEC" w14:paraId="709A3932" w14:textId="77777777" w:rsidTr="00D176C1">
        <w:trPr>
          <w:trHeight w:val="377"/>
        </w:trPr>
        <w:tc>
          <w:tcPr>
            <w:tcW w:w="9265" w:type="dxa"/>
            <w:gridSpan w:val="7"/>
          </w:tcPr>
          <w:p w14:paraId="709A3931" w14:textId="77777777" w:rsidR="009A5BEC" w:rsidRPr="009A5BEC" w:rsidRDefault="009A5BEC" w:rsidP="009A5BEC">
            <w:pPr>
              <w:spacing w:after="0" w:line="240" w:lineRule="auto"/>
              <w:rPr>
                <w:rFonts w:ascii="Times New Roman" w:eastAsia="Calibri" w:hAnsi="Times New Roman" w:cs="Times New Roman"/>
                <w:sz w:val="26"/>
                <w:szCs w:val="26"/>
              </w:rPr>
            </w:pPr>
            <w:r w:rsidRPr="009A5BEC">
              <w:rPr>
                <w:rFonts w:ascii="Times New Roman" w:eastAsia="Calibri" w:hAnsi="Times New Roman" w:cs="Times New Roman"/>
                <w:i/>
                <w:sz w:val="26"/>
                <w:szCs w:val="26"/>
              </w:rPr>
              <w:t>Recordkeeping Requirements</w:t>
            </w:r>
          </w:p>
        </w:tc>
      </w:tr>
      <w:tr w:rsidR="009A5BEC" w:rsidRPr="009A5BEC" w14:paraId="709A393C" w14:textId="77777777" w:rsidTr="00D176C1">
        <w:trPr>
          <w:trHeight w:val="299"/>
        </w:trPr>
        <w:tc>
          <w:tcPr>
            <w:tcW w:w="976" w:type="dxa"/>
          </w:tcPr>
          <w:p w14:paraId="709A3933" w14:textId="77777777" w:rsidR="009A5BEC" w:rsidRPr="009A5BEC" w:rsidRDefault="009A5BEC" w:rsidP="009A5BEC">
            <w:pPr>
              <w:spacing w:after="0" w:line="240" w:lineRule="auto"/>
              <w:rPr>
                <w:rFonts w:ascii="Times New Roman" w:eastAsia="Calibri" w:hAnsi="Times New Roman" w:cs="Times New Roman"/>
                <w:sz w:val="26"/>
                <w:szCs w:val="26"/>
              </w:rPr>
            </w:pPr>
            <w:r w:rsidRPr="009A5BEC">
              <w:rPr>
                <w:rFonts w:ascii="Times New Roman" w:hAnsi="Times New Roman" w:cs="Times New Roman"/>
                <w:sz w:val="26"/>
                <w:szCs w:val="26"/>
              </w:rPr>
              <w:t>Generator Owners and/or Operators, in Year 1</w:t>
            </w:r>
          </w:p>
        </w:tc>
        <w:tc>
          <w:tcPr>
            <w:tcW w:w="1164" w:type="dxa"/>
            <w:vAlign w:val="bottom"/>
          </w:tcPr>
          <w:p w14:paraId="709A3934"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291</w:t>
            </w:r>
          </w:p>
        </w:tc>
        <w:tc>
          <w:tcPr>
            <w:tcW w:w="1389" w:type="dxa"/>
            <w:vAlign w:val="bottom"/>
          </w:tcPr>
          <w:p w14:paraId="709A3935"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3</w:t>
            </w:r>
          </w:p>
        </w:tc>
        <w:tc>
          <w:tcPr>
            <w:tcW w:w="1239" w:type="dxa"/>
            <w:vAlign w:val="bottom"/>
          </w:tcPr>
          <w:p w14:paraId="709A3936"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873</w:t>
            </w:r>
          </w:p>
        </w:tc>
        <w:tc>
          <w:tcPr>
            <w:tcW w:w="1267" w:type="dxa"/>
            <w:vAlign w:val="bottom"/>
          </w:tcPr>
          <w:p w14:paraId="709A3937"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 xml:space="preserve">1 hr.; </w:t>
            </w:r>
          </w:p>
          <w:p w14:paraId="709A3938"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$31.19</w:t>
            </w:r>
          </w:p>
        </w:tc>
        <w:tc>
          <w:tcPr>
            <w:tcW w:w="1361" w:type="dxa"/>
            <w:vAlign w:val="bottom"/>
          </w:tcPr>
          <w:p w14:paraId="709A3939"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 xml:space="preserve">873 hrs.; </w:t>
            </w:r>
          </w:p>
          <w:p w14:paraId="709A393A"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$27,228.87</w:t>
            </w:r>
          </w:p>
        </w:tc>
        <w:tc>
          <w:tcPr>
            <w:tcW w:w="1869" w:type="dxa"/>
            <w:vAlign w:val="bottom"/>
          </w:tcPr>
          <w:p w14:paraId="709A393B"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$93.57</w:t>
            </w:r>
          </w:p>
        </w:tc>
      </w:tr>
      <w:tr w:rsidR="009A5BEC" w:rsidRPr="009A5BEC" w14:paraId="709A3946" w14:textId="77777777" w:rsidTr="00D176C1">
        <w:trPr>
          <w:trHeight w:val="299"/>
        </w:trPr>
        <w:tc>
          <w:tcPr>
            <w:tcW w:w="976" w:type="dxa"/>
          </w:tcPr>
          <w:p w14:paraId="709A393D" w14:textId="77777777" w:rsidR="009A5BEC" w:rsidRPr="009A5BEC" w:rsidRDefault="009A5BEC" w:rsidP="009A5BEC">
            <w:pPr>
              <w:spacing w:after="0" w:line="240" w:lineRule="auto"/>
              <w:rPr>
                <w:rFonts w:ascii="Times New Roman" w:eastAsia="Calibri" w:hAnsi="Times New Roman" w:cs="Times New Roman"/>
                <w:sz w:val="26"/>
                <w:szCs w:val="26"/>
              </w:rPr>
            </w:pPr>
            <w:r w:rsidRPr="009A5BEC">
              <w:rPr>
                <w:rFonts w:ascii="Times New Roman" w:hAnsi="Times New Roman" w:cs="Times New Roman"/>
                <w:sz w:val="26"/>
                <w:szCs w:val="26"/>
              </w:rPr>
              <w:t>Generator Owners and/or Operators, in Year 2 and Ongoing</w:t>
            </w:r>
          </w:p>
        </w:tc>
        <w:tc>
          <w:tcPr>
            <w:tcW w:w="1164" w:type="dxa"/>
            <w:vAlign w:val="bottom"/>
          </w:tcPr>
          <w:p w14:paraId="709A393E"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291</w:t>
            </w:r>
          </w:p>
        </w:tc>
        <w:tc>
          <w:tcPr>
            <w:tcW w:w="1389" w:type="dxa"/>
            <w:vAlign w:val="bottom"/>
          </w:tcPr>
          <w:p w14:paraId="709A393F"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w:t>
            </w:r>
          </w:p>
        </w:tc>
        <w:tc>
          <w:tcPr>
            <w:tcW w:w="1239" w:type="dxa"/>
            <w:vAlign w:val="bottom"/>
          </w:tcPr>
          <w:p w14:paraId="709A3940"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582</w:t>
            </w:r>
          </w:p>
        </w:tc>
        <w:tc>
          <w:tcPr>
            <w:tcW w:w="1267" w:type="dxa"/>
            <w:vAlign w:val="bottom"/>
          </w:tcPr>
          <w:p w14:paraId="709A3941"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0.5 hrs.;</w:t>
            </w:r>
          </w:p>
          <w:p w14:paraId="709A3942"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$15.595</w:t>
            </w:r>
          </w:p>
        </w:tc>
        <w:tc>
          <w:tcPr>
            <w:tcW w:w="1361" w:type="dxa"/>
            <w:vAlign w:val="bottom"/>
          </w:tcPr>
          <w:p w14:paraId="709A3943"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291 hrs.;</w:t>
            </w:r>
          </w:p>
          <w:p w14:paraId="709A3944"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$9,076.29</w:t>
            </w:r>
          </w:p>
        </w:tc>
        <w:tc>
          <w:tcPr>
            <w:tcW w:w="1869" w:type="dxa"/>
            <w:vAlign w:val="bottom"/>
          </w:tcPr>
          <w:p w14:paraId="709A3945"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$31.19</w:t>
            </w:r>
          </w:p>
        </w:tc>
      </w:tr>
      <w:tr w:rsidR="009A5BEC" w:rsidRPr="009A5BEC" w14:paraId="709A394F" w14:textId="77777777" w:rsidTr="00D176C1">
        <w:trPr>
          <w:trHeight w:val="299"/>
        </w:trPr>
        <w:tc>
          <w:tcPr>
            <w:tcW w:w="976" w:type="dxa"/>
            <w:vAlign w:val="bottom"/>
          </w:tcPr>
          <w:p w14:paraId="709A3947" w14:textId="77777777" w:rsidR="009A5BEC" w:rsidRPr="009A5BEC" w:rsidRDefault="009A5BEC" w:rsidP="009A5BEC">
            <w:pPr>
              <w:spacing w:after="0" w:line="240" w:lineRule="auto"/>
              <w:rPr>
                <w:rFonts w:ascii="Times New Roman" w:hAnsi="Times New Roman" w:cs="Times New Roman"/>
                <w:b/>
                <w:sz w:val="26"/>
                <w:szCs w:val="26"/>
              </w:rPr>
            </w:pPr>
            <w:r w:rsidRPr="009A5BEC">
              <w:rPr>
                <w:rFonts w:ascii="Times New Roman" w:hAnsi="Times New Roman" w:cs="Times New Roman"/>
                <w:b/>
                <w:sz w:val="26"/>
                <w:szCs w:val="26"/>
              </w:rPr>
              <w:t>New Burden, in Year 1</w:t>
            </w:r>
          </w:p>
        </w:tc>
        <w:tc>
          <w:tcPr>
            <w:tcW w:w="1164" w:type="dxa"/>
            <w:vAlign w:val="bottom"/>
          </w:tcPr>
          <w:p w14:paraId="709A3948"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89" w:type="dxa"/>
            <w:vAlign w:val="bottom"/>
          </w:tcPr>
          <w:p w14:paraId="709A3949"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39" w:type="dxa"/>
            <w:vAlign w:val="bottom"/>
          </w:tcPr>
          <w:p w14:paraId="709A394A"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67" w:type="dxa"/>
            <w:vAlign w:val="bottom"/>
          </w:tcPr>
          <w:p w14:paraId="709A394B"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61" w:type="dxa"/>
            <w:vAlign w:val="bottom"/>
          </w:tcPr>
          <w:p w14:paraId="709A394C"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1,746 hrs.;</w:t>
            </w:r>
          </w:p>
          <w:p w14:paraId="709A394D"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$94,441.14</w:t>
            </w:r>
          </w:p>
        </w:tc>
        <w:tc>
          <w:tcPr>
            <w:tcW w:w="1869" w:type="dxa"/>
            <w:vAlign w:val="bottom"/>
          </w:tcPr>
          <w:p w14:paraId="709A394E"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r>
      <w:tr w:rsidR="009A5BEC" w:rsidRPr="009A5BEC" w14:paraId="709A3958" w14:textId="77777777" w:rsidTr="00D176C1">
        <w:trPr>
          <w:trHeight w:val="299"/>
        </w:trPr>
        <w:tc>
          <w:tcPr>
            <w:tcW w:w="976" w:type="dxa"/>
            <w:vAlign w:val="bottom"/>
          </w:tcPr>
          <w:p w14:paraId="709A3950" w14:textId="77777777" w:rsidR="009A5BEC" w:rsidRPr="009A5BEC" w:rsidRDefault="009A5BEC" w:rsidP="009A5BEC">
            <w:pPr>
              <w:spacing w:after="0" w:line="240" w:lineRule="auto"/>
              <w:rPr>
                <w:rFonts w:ascii="Times New Roman" w:hAnsi="Times New Roman" w:cs="Times New Roman"/>
                <w:b/>
                <w:sz w:val="26"/>
                <w:szCs w:val="26"/>
              </w:rPr>
            </w:pPr>
            <w:r w:rsidRPr="009A5BEC">
              <w:rPr>
                <w:rFonts w:ascii="Times New Roman" w:hAnsi="Times New Roman" w:cs="Times New Roman"/>
                <w:b/>
                <w:sz w:val="26"/>
                <w:szCs w:val="26"/>
              </w:rPr>
              <w:t>New Burden, in Year 2 &amp; Ongoing</w:t>
            </w:r>
          </w:p>
        </w:tc>
        <w:tc>
          <w:tcPr>
            <w:tcW w:w="1164" w:type="dxa"/>
            <w:vAlign w:val="bottom"/>
          </w:tcPr>
          <w:p w14:paraId="709A3951"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89" w:type="dxa"/>
            <w:vAlign w:val="bottom"/>
          </w:tcPr>
          <w:p w14:paraId="709A3952"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39" w:type="dxa"/>
            <w:vAlign w:val="bottom"/>
          </w:tcPr>
          <w:p w14:paraId="709A3953"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67" w:type="dxa"/>
            <w:vAlign w:val="bottom"/>
          </w:tcPr>
          <w:p w14:paraId="709A3954"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61" w:type="dxa"/>
            <w:vAlign w:val="bottom"/>
          </w:tcPr>
          <w:p w14:paraId="709A3955"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 xml:space="preserve">873 hrs.; </w:t>
            </w:r>
          </w:p>
          <w:p w14:paraId="709A3956" w14:textId="77777777" w:rsidR="009A5BEC" w:rsidRPr="009A5BEC" w:rsidRDefault="009A5BEC" w:rsidP="009A5BEC">
            <w:pPr>
              <w:spacing w:after="0" w:line="240" w:lineRule="auto"/>
              <w:jc w:val="right"/>
              <w:rPr>
                <w:rFonts w:ascii="Times New Roman" w:eastAsia="Calibri" w:hAnsi="Times New Roman" w:cs="Times New Roman"/>
                <w:sz w:val="26"/>
                <w:szCs w:val="26"/>
              </w:rPr>
            </w:pPr>
            <w:r w:rsidRPr="009A5BEC">
              <w:rPr>
                <w:rFonts w:ascii="Times New Roman" w:eastAsia="Calibri" w:hAnsi="Times New Roman" w:cs="Times New Roman"/>
                <w:sz w:val="26"/>
                <w:szCs w:val="26"/>
              </w:rPr>
              <w:t>$53,884.47</w:t>
            </w:r>
          </w:p>
        </w:tc>
        <w:tc>
          <w:tcPr>
            <w:tcW w:w="1869" w:type="dxa"/>
            <w:vAlign w:val="bottom"/>
          </w:tcPr>
          <w:p w14:paraId="709A3957"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r>
      <w:tr w:rsidR="009A5BEC" w:rsidRPr="009A5BEC" w14:paraId="709A3961" w14:textId="77777777" w:rsidTr="00D176C1">
        <w:trPr>
          <w:trHeight w:val="299"/>
        </w:trPr>
        <w:tc>
          <w:tcPr>
            <w:tcW w:w="976" w:type="dxa"/>
          </w:tcPr>
          <w:p w14:paraId="709A3959" w14:textId="77777777" w:rsidR="009A5BEC" w:rsidRPr="009A5BEC" w:rsidRDefault="009A5BEC" w:rsidP="009A5BEC">
            <w:pPr>
              <w:spacing w:after="0" w:line="240" w:lineRule="auto"/>
              <w:rPr>
                <w:rFonts w:ascii="Times New Roman" w:hAnsi="Times New Roman" w:cs="Times New Roman"/>
                <w:b/>
                <w:sz w:val="26"/>
                <w:szCs w:val="26"/>
              </w:rPr>
            </w:pPr>
            <w:r w:rsidRPr="009A5BEC">
              <w:rPr>
                <w:rFonts w:ascii="Times New Roman" w:hAnsi="Times New Roman" w:cs="Times New Roman"/>
                <w:b/>
                <w:sz w:val="26"/>
                <w:szCs w:val="26"/>
              </w:rPr>
              <w:t>Net Burden Change in Year 1</w:t>
            </w:r>
          </w:p>
          <w:p w14:paraId="709A395A" w14:textId="77777777" w:rsidR="009A5BEC" w:rsidRPr="009A5BEC" w:rsidRDefault="009A5BEC" w:rsidP="009A5BEC">
            <w:pPr>
              <w:spacing w:after="0" w:line="240" w:lineRule="auto"/>
              <w:rPr>
                <w:rFonts w:ascii="Times New Roman" w:hAnsi="Times New Roman" w:cs="Times New Roman"/>
                <w:b/>
                <w:sz w:val="26"/>
                <w:szCs w:val="26"/>
              </w:rPr>
            </w:pPr>
            <w:r w:rsidRPr="009A5BEC">
              <w:rPr>
                <w:rFonts w:ascii="Times New Roman" w:hAnsi="Times New Roman" w:cs="Times New Roman"/>
                <w:b/>
                <w:sz w:val="26"/>
                <w:szCs w:val="26"/>
              </w:rPr>
              <w:t>(Due to Docket RD17-5)</w:t>
            </w:r>
          </w:p>
        </w:tc>
        <w:tc>
          <w:tcPr>
            <w:tcW w:w="1164" w:type="dxa"/>
            <w:vAlign w:val="bottom"/>
          </w:tcPr>
          <w:p w14:paraId="709A395B"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89" w:type="dxa"/>
            <w:vAlign w:val="bottom"/>
          </w:tcPr>
          <w:p w14:paraId="709A395C"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39" w:type="dxa"/>
            <w:vAlign w:val="bottom"/>
          </w:tcPr>
          <w:p w14:paraId="709A395D"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67" w:type="dxa"/>
            <w:vAlign w:val="bottom"/>
          </w:tcPr>
          <w:p w14:paraId="709A395E"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61" w:type="dxa"/>
            <w:vAlign w:val="bottom"/>
          </w:tcPr>
          <w:p w14:paraId="709A395F" w14:textId="77777777" w:rsidR="009A5BEC" w:rsidRPr="009A5BEC" w:rsidRDefault="009A5BEC" w:rsidP="009A5BEC">
            <w:pPr>
              <w:spacing w:after="0" w:line="240" w:lineRule="auto"/>
              <w:jc w:val="right"/>
              <w:rPr>
                <w:rFonts w:ascii="Times New Roman" w:eastAsia="Calibri" w:hAnsi="Times New Roman" w:cs="Times New Roman"/>
                <w:b/>
                <w:sz w:val="26"/>
                <w:szCs w:val="26"/>
              </w:rPr>
            </w:pPr>
            <w:r w:rsidRPr="009A5BEC">
              <w:rPr>
                <w:rFonts w:ascii="Times New Roman" w:eastAsia="Calibri" w:hAnsi="Times New Roman" w:cs="Times New Roman"/>
                <w:b/>
                <w:sz w:val="26"/>
                <w:szCs w:val="26"/>
              </w:rPr>
              <w:t>+252 hrs. (increase)</w:t>
            </w:r>
          </w:p>
        </w:tc>
        <w:tc>
          <w:tcPr>
            <w:tcW w:w="1869" w:type="dxa"/>
            <w:vAlign w:val="bottom"/>
          </w:tcPr>
          <w:p w14:paraId="709A3960"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r>
      <w:tr w:rsidR="009A5BEC" w:rsidRPr="009A5BEC" w14:paraId="709A396A" w14:textId="77777777" w:rsidTr="00D176C1">
        <w:trPr>
          <w:trHeight w:val="299"/>
        </w:trPr>
        <w:tc>
          <w:tcPr>
            <w:tcW w:w="976" w:type="dxa"/>
          </w:tcPr>
          <w:p w14:paraId="709A3962" w14:textId="77777777" w:rsidR="009A5BEC" w:rsidRPr="009A5BEC" w:rsidRDefault="009A5BEC" w:rsidP="009A5BEC">
            <w:pPr>
              <w:spacing w:after="0" w:line="240" w:lineRule="auto"/>
              <w:rPr>
                <w:rFonts w:ascii="Times New Roman" w:hAnsi="Times New Roman" w:cs="Times New Roman"/>
                <w:b/>
                <w:sz w:val="26"/>
                <w:szCs w:val="26"/>
              </w:rPr>
            </w:pPr>
            <w:r w:rsidRPr="009A5BEC">
              <w:rPr>
                <w:rFonts w:ascii="Times New Roman" w:hAnsi="Times New Roman" w:cs="Times New Roman"/>
                <w:b/>
                <w:sz w:val="26"/>
                <w:szCs w:val="26"/>
              </w:rPr>
              <w:t>Net Burden Change in Year 2 and Ongoing (Due to Docket RD17-5)</w:t>
            </w:r>
          </w:p>
        </w:tc>
        <w:tc>
          <w:tcPr>
            <w:tcW w:w="1164" w:type="dxa"/>
            <w:vAlign w:val="bottom"/>
          </w:tcPr>
          <w:p w14:paraId="709A3963"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89" w:type="dxa"/>
            <w:vAlign w:val="bottom"/>
          </w:tcPr>
          <w:p w14:paraId="709A3964"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39" w:type="dxa"/>
            <w:vAlign w:val="bottom"/>
          </w:tcPr>
          <w:p w14:paraId="709A3965"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267" w:type="dxa"/>
            <w:vAlign w:val="bottom"/>
          </w:tcPr>
          <w:p w14:paraId="709A3966"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c>
          <w:tcPr>
            <w:tcW w:w="1361" w:type="dxa"/>
            <w:vAlign w:val="bottom"/>
          </w:tcPr>
          <w:p w14:paraId="709A3967" w14:textId="77777777" w:rsidR="009A5BEC" w:rsidRPr="008D3C3B" w:rsidRDefault="009A5BEC" w:rsidP="009A5BEC">
            <w:pPr>
              <w:spacing w:after="0" w:line="240" w:lineRule="auto"/>
              <w:jc w:val="right"/>
              <w:rPr>
                <w:rFonts w:ascii="Times New Roman" w:eastAsia="Calibri" w:hAnsi="Times New Roman" w:cs="Times New Roman"/>
                <w:b/>
                <w:sz w:val="26"/>
                <w:szCs w:val="26"/>
                <w:highlight w:val="yellow"/>
              </w:rPr>
            </w:pPr>
            <w:r w:rsidRPr="008D3C3B">
              <w:rPr>
                <w:rFonts w:ascii="Times New Roman" w:eastAsia="Calibri" w:hAnsi="Times New Roman" w:cs="Times New Roman"/>
                <w:b/>
                <w:sz w:val="26"/>
                <w:szCs w:val="26"/>
                <w:highlight w:val="yellow"/>
              </w:rPr>
              <w:t>-621 hrs.</w:t>
            </w:r>
          </w:p>
          <w:p w14:paraId="709A3968" w14:textId="77777777" w:rsidR="009A5BEC" w:rsidRPr="009A5BEC" w:rsidRDefault="009A5BEC" w:rsidP="009A5BEC">
            <w:pPr>
              <w:spacing w:after="0" w:line="240" w:lineRule="auto"/>
              <w:jc w:val="right"/>
              <w:rPr>
                <w:rFonts w:ascii="Times New Roman" w:eastAsia="Calibri" w:hAnsi="Times New Roman" w:cs="Times New Roman"/>
                <w:b/>
                <w:sz w:val="26"/>
                <w:szCs w:val="26"/>
              </w:rPr>
            </w:pPr>
            <w:r w:rsidRPr="008D3C3B">
              <w:rPr>
                <w:rFonts w:ascii="Times New Roman" w:eastAsia="Calibri" w:hAnsi="Times New Roman" w:cs="Times New Roman"/>
                <w:b/>
                <w:sz w:val="26"/>
                <w:szCs w:val="26"/>
                <w:highlight w:val="yellow"/>
              </w:rPr>
              <w:t>(decrease)</w:t>
            </w:r>
          </w:p>
        </w:tc>
        <w:tc>
          <w:tcPr>
            <w:tcW w:w="1869" w:type="dxa"/>
            <w:vAlign w:val="bottom"/>
          </w:tcPr>
          <w:p w14:paraId="709A3969" w14:textId="77777777" w:rsidR="009A5BEC" w:rsidRPr="009A5BEC" w:rsidRDefault="009A5BEC" w:rsidP="009A5BEC">
            <w:pPr>
              <w:spacing w:after="0" w:line="240" w:lineRule="auto"/>
              <w:jc w:val="right"/>
              <w:rPr>
                <w:rFonts w:ascii="Times New Roman" w:eastAsia="Calibri" w:hAnsi="Times New Roman" w:cs="Times New Roman"/>
                <w:sz w:val="26"/>
                <w:szCs w:val="26"/>
              </w:rPr>
            </w:pPr>
          </w:p>
        </w:tc>
      </w:tr>
    </w:tbl>
    <w:p w14:paraId="709A396B" w14:textId="77777777" w:rsidR="00EC44A5" w:rsidRDefault="00EC44A5" w:rsidP="00EC44A5">
      <w:pPr>
        <w:spacing w:after="0" w:line="480" w:lineRule="auto"/>
        <w:rPr>
          <w:rFonts w:ascii="Times New Roman" w:eastAsia="Times New Roman" w:hAnsi="Times New Roman" w:cs="Times New Roman"/>
          <w:sz w:val="26"/>
          <w:szCs w:val="24"/>
        </w:rPr>
      </w:pPr>
    </w:p>
    <w:p w14:paraId="709A396C" w14:textId="77777777" w:rsidR="00EC44A5" w:rsidRPr="00EC44A5" w:rsidRDefault="00EC44A5" w:rsidP="00EC44A5">
      <w:pPr>
        <w:spacing w:line="480" w:lineRule="auto"/>
        <w:contextualSpacing/>
        <w:rPr>
          <w:rFonts w:ascii="Times New Roman" w:eastAsia="Times New Roman" w:hAnsi="Times New Roman" w:cs="Times New Roman"/>
          <w:sz w:val="26"/>
          <w:szCs w:val="26"/>
        </w:rPr>
      </w:pPr>
      <w:r w:rsidRPr="00EC44A5">
        <w:rPr>
          <w:rFonts w:ascii="Times New Roman" w:eastAsia="Times New Roman" w:hAnsi="Times New Roman" w:cs="Times New Roman"/>
          <w:i/>
          <w:sz w:val="26"/>
          <w:szCs w:val="26"/>
        </w:rPr>
        <w:t>Net Burden for FERC-725E, for Submittal to OMB.</w:t>
      </w:r>
      <w:r w:rsidRPr="00EC44A5">
        <w:rPr>
          <w:rFonts w:ascii="Times New Roman" w:eastAsia="Times New Roman" w:hAnsi="Times New Roman" w:cs="Times New Roman"/>
          <w:sz w:val="26"/>
          <w:szCs w:val="26"/>
        </w:rPr>
        <w:t xml:space="preserve">  The table below describes the new and continuing information collection requirements and the associated burden for FERC-725E.  (The burdens and costs related to TOP-007-WECC-1a and VAR-501-WECC-2 [the standards being retired] are omitted.)</w:t>
      </w:r>
    </w:p>
    <w:tbl>
      <w:tblPr>
        <w:tblpPr w:leftFromText="187" w:rightFromText="187" w:vertAnchor="text" w:horzAnchor="margin" w:tblpY="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170"/>
        <w:gridCol w:w="1440"/>
        <w:gridCol w:w="1350"/>
        <w:gridCol w:w="1440"/>
        <w:gridCol w:w="1620"/>
        <w:gridCol w:w="1170"/>
      </w:tblGrid>
      <w:tr w:rsidR="00EC44A5" w:rsidRPr="00EC44A5" w14:paraId="709A3970" w14:textId="77777777" w:rsidTr="00D176C1">
        <w:trPr>
          <w:trHeight w:val="288"/>
        </w:trPr>
        <w:tc>
          <w:tcPr>
            <w:tcW w:w="9985" w:type="dxa"/>
            <w:gridSpan w:val="7"/>
            <w:shd w:val="clear" w:color="auto" w:fill="D9D9D9"/>
          </w:tcPr>
          <w:p w14:paraId="709A396D"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 xml:space="preserve">FERC-725E, Mandatory Reliability Standards for the </w:t>
            </w:r>
          </w:p>
          <w:p w14:paraId="709A396E"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Western Electric Coordinating Council</w:t>
            </w:r>
          </w:p>
          <w:p w14:paraId="709A396F"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[New and Continuing Information Collection Requirements]</w:t>
            </w:r>
          </w:p>
        </w:tc>
      </w:tr>
      <w:tr w:rsidR="00EC44A5" w:rsidRPr="00EC44A5" w14:paraId="709A397D" w14:textId="77777777" w:rsidTr="00D176C1">
        <w:trPr>
          <w:trHeight w:val="744"/>
        </w:trPr>
        <w:tc>
          <w:tcPr>
            <w:tcW w:w="1795" w:type="dxa"/>
            <w:shd w:val="clear" w:color="auto" w:fill="D9D9D9"/>
            <w:vAlign w:val="bottom"/>
          </w:tcPr>
          <w:p w14:paraId="709A3971"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 xml:space="preserve">Entity </w:t>
            </w:r>
          </w:p>
        </w:tc>
        <w:tc>
          <w:tcPr>
            <w:tcW w:w="1170" w:type="dxa"/>
            <w:shd w:val="clear" w:color="auto" w:fill="D9D9D9"/>
            <w:vAlign w:val="bottom"/>
          </w:tcPr>
          <w:p w14:paraId="709A3972"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No. of Respondents</w:t>
            </w:r>
            <w:r w:rsidRPr="00EC44A5">
              <w:rPr>
                <w:rFonts w:ascii="Times New Roman" w:eastAsia="Calibri" w:hAnsi="Times New Roman" w:cs="Times New Roman"/>
                <w:sz w:val="26"/>
                <w:szCs w:val="26"/>
                <w:vertAlign w:val="superscript"/>
              </w:rPr>
              <w:footnoteReference w:id="18"/>
            </w:r>
            <w:r w:rsidRPr="00EC44A5">
              <w:rPr>
                <w:rFonts w:ascii="Times New Roman" w:eastAsia="Calibri" w:hAnsi="Times New Roman" w:cs="Times New Roman"/>
                <w:b/>
                <w:sz w:val="26"/>
                <w:szCs w:val="26"/>
              </w:rPr>
              <w:br/>
              <w:t>(1)</w:t>
            </w:r>
          </w:p>
        </w:tc>
        <w:tc>
          <w:tcPr>
            <w:tcW w:w="1440" w:type="dxa"/>
            <w:shd w:val="clear" w:color="auto" w:fill="D9D9D9"/>
            <w:vAlign w:val="bottom"/>
          </w:tcPr>
          <w:p w14:paraId="709A3973"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Annual No. of Responses per Respondent</w:t>
            </w:r>
          </w:p>
          <w:p w14:paraId="709A3974"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(2)</w:t>
            </w:r>
          </w:p>
        </w:tc>
        <w:tc>
          <w:tcPr>
            <w:tcW w:w="1350" w:type="dxa"/>
            <w:shd w:val="clear" w:color="auto" w:fill="D9D9D9"/>
            <w:vAlign w:val="bottom"/>
          </w:tcPr>
          <w:p w14:paraId="709A3975"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t xml:space="preserve"> </w:t>
            </w:r>
            <w:r w:rsidRPr="00EC44A5">
              <w:rPr>
                <w:rFonts w:ascii="Times New Roman" w:eastAsia="Calibri" w:hAnsi="Times New Roman" w:cs="Times New Roman"/>
                <w:b/>
                <w:sz w:val="26"/>
                <w:szCs w:val="26"/>
              </w:rPr>
              <w:t>Annual No. of Responses</w:t>
            </w:r>
          </w:p>
          <w:p w14:paraId="709A3976"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(1)*(2)=(3)</w:t>
            </w:r>
          </w:p>
        </w:tc>
        <w:tc>
          <w:tcPr>
            <w:tcW w:w="1440" w:type="dxa"/>
            <w:shd w:val="clear" w:color="auto" w:fill="D9D9D9"/>
            <w:vAlign w:val="bottom"/>
          </w:tcPr>
          <w:p w14:paraId="709A3977"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Average Burden Hrs. &amp; Cost Per Response ($)</w:t>
            </w:r>
          </w:p>
          <w:p w14:paraId="709A3978"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(4)</w:t>
            </w:r>
          </w:p>
        </w:tc>
        <w:tc>
          <w:tcPr>
            <w:tcW w:w="1620" w:type="dxa"/>
            <w:shd w:val="clear" w:color="auto" w:fill="D9D9D9"/>
            <w:vAlign w:val="bottom"/>
          </w:tcPr>
          <w:p w14:paraId="709A3979"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Total Annual Burden Hours &amp; Total Annual Cost ($)</w:t>
            </w:r>
          </w:p>
          <w:p w14:paraId="709A397A"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(3)*(4)=(5)</w:t>
            </w:r>
          </w:p>
        </w:tc>
        <w:tc>
          <w:tcPr>
            <w:tcW w:w="1170" w:type="dxa"/>
            <w:shd w:val="clear" w:color="auto" w:fill="D9D9D9"/>
            <w:vAlign w:val="bottom"/>
          </w:tcPr>
          <w:p w14:paraId="709A397B"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6"/>
                <w:szCs w:val="26"/>
              </w:rPr>
              <w:t>Cost per Respondent ($)</w:t>
            </w:r>
          </w:p>
          <w:p w14:paraId="709A397C" w14:textId="77777777" w:rsidR="00EC44A5" w:rsidRPr="00EC44A5" w:rsidRDefault="00EC44A5" w:rsidP="00EC44A5">
            <w:pPr>
              <w:spacing w:after="0" w:line="240" w:lineRule="auto"/>
              <w:jc w:val="center"/>
              <w:rPr>
                <w:rFonts w:ascii="Times New Roman" w:eastAsia="Calibri" w:hAnsi="Times New Roman" w:cs="Times New Roman"/>
                <w:b/>
                <w:sz w:val="26"/>
                <w:szCs w:val="26"/>
              </w:rPr>
            </w:pPr>
            <w:r w:rsidRPr="00EC44A5">
              <w:rPr>
                <w:rFonts w:ascii="Times New Roman" w:eastAsia="Calibri" w:hAnsi="Times New Roman" w:cs="Times New Roman"/>
                <w:b/>
                <w:sz w:val="24"/>
              </w:rPr>
              <w:t>(5)÷(1)=(6)</w:t>
            </w:r>
          </w:p>
        </w:tc>
      </w:tr>
      <w:tr w:rsidR="00EC44A5" w:rsidRPr="00EC44A5" w14:paraId="709A397F" w14:textId="77777777" w:rsidTr="00D176C1">
        <w:trPr>
          <w:trHeight w:val="346"/>
        </w:trPr>
        <w:tc>
          <w:tcPr>
            <w:tcW w:w="9985" w:type="dxa"/>
            <w:gridSpan w:val="7"/>
            <w:shd w:val="clear" w:color="auto" w:fill="D9D9D9"/>
          </w:tcPr>
          <w:p w14:paraId="709A397E" w14:textId="77777777" w:rsidR="00EC44A5" w:rsidRPr="00EC44A5" w:rsidRDefault="00EC44A5" w:rsidP="00EC44A5">
            <w:pPr>
              <w:spacing w:after="0" w:line="240" w:lineRule="auto"/>
              <w:jc w:val="center"/>
              <w:rPr>
                <w:rFonts w:ascii="Times New Roman" w:eastAsia="Calibri" w:hAnsi="Times New Roman" w:cs="Times New Roman"/>
                <w:b/>
                <w:sz w:val="24"/>
                <w:szCs w:val="24"/>
              </w:rPr>
            </w:pPr>
            <w:r w:rsidRPr="00EC44A5">
              <w:rPr>
                <w:rFonts w:ascii="Times New Roman" w:eastAsia="Calibri" w:hAnsi="Times New Roman" w:cs="Times New Roman"/>
                <w:b/>
                <w:sz w:val="26"/>
                <w:szCs w:val="26"/>
              </w:rPr>
              <w:t>Reporting Requirements</w:t>
            </w:r>
          </w:p>
        </w:tc>
      </w:tr>
      <w:tr w:rsidR="00EC44A5" w:rsidRPr="00EC44A5" w14:paraId="709A3989" w14:textId="77777777" w:rsidTr="00D176C1">
        <w:trPr>
          <w:trHeight w:val="294"/>
        </w:trPr>
        <w:tc>
          <w:tcPr>
            <w:tcW w:w="1795" w:type="dxa"/>
          </w:tcPr>
          <w:p w14:paraId="709A3980" w14:textId="77777777" w:rsidR="00EC44A5" w:rsidRPr="00EC44A5" w:rsidRDefault="00EC44A5" w:rsidP="00EC44A5">
            <w:pPr>
              <w:spacing w:after="0" w:line="240" w:lineRule="auto"/>
              <w:rPr>
                <w:rFonts w:ascii="Times New Roman" w:eastAsia="Calibri" w:hAnsi="Times New Roman" w:cs="Times New Roman"/>
                <w:sz w:val="26"/>
                <w:szCs w:val="26"/>
              </w:rPr>
            </w:pPr>
            <w:r w:rsidRPr="00EC44A5">
              <w:rPr>
                <w:rFonts w:ascii="Times New Roman" w:eastAsia="Calibri" w:hAnsi="Times New Roman" w:cs="Times New Roman"/>
                <w:sz w:val="26"/>
                <w:szCs w:val="26"/>
              </w:rPr>
              <w:t>Balancing Authorities</w:t>
            </w:r>
          </w:p>
        </w:tc>
        <w:tc>
          <w:tcPr>
            <w:tcW w:w="1170" w:type="dxa"/>
            <w:vAlign w:val="bottom"/>
          </w:tcPr>
          <w:p w14:paraId="709A3981"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34</w:t>
            </w:r>
          </w:p>
        </w:tc>
        <w:tc>
          <w:tcPr>
            <w:tcW w:w="1440" w:type="dxa"/>
            <w:vAlign w:val="bottom"/>
          </w:tcPr>
          <w:p w14:paraId="709A3982"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w:t>
            </w:r>
          </w:p>
        </w:tc>
        <w:tc>
          <w:tcPr>
            <w:tcW w:w="1350" w:type="dxa"/>
            <w:vAlign w:val="bottom"/>
          </w:tcPr>
          <w:p w14:paraId="709A3983"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34</w:t>
            </w:r>
          </w:p>
        </w:tc>
        <w:tc>
          <w:tcPr>
            <w:tcW w:w="1440" w:type="dxa"/>
            <w:vAlign w:val="bottom"/>
          </w:tcPr>
          <w:p w14:paraId="709A3984"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21 hrs.,</w:t>
            </w:r>
          </w:p>
          <w:p w14:paraId="709A3985"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$1,616.79</w:t>
            </w:r>
          </w:p>
        </w:tc>
        <w:tc>
          <w:tcPr>
            <w:tcW w:w="1620" w:type="dxa"/>
            <w:vAlign w:val="bottom"/>
          </w:tcPr>
          <w:p w14:paraId="709A3986"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714 hrs.,</w:t>
            </w:r>
          </w:p>
          <w:p w14:paraId="709A3987"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$54,970.86</w:t>
            </w:r>
          </w:p>
        </w:tc>
        <w:tc>
          <w:tcPr>
            <w:tcW w:w="1170" w:type="dxa"/>
            <w:vAlign w:val="bottom"/>
          </w:tcPr>
          <w:p w14:paraId="709A3988"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$1,616.79</w:t>
            </w:r>
          </w:p>
        </w:tc>
      </w:tr>
      <w:tr w:rsidR="00EC44A5" w:rsidRPr="00EC44A5" w14:paraId="709A3993" w14:textId="77777777" w:rsidTr="00D176C1">
        <w:trPr>
          <w:trHeight w:val="299"/>
        </w:trPr>
        <w:tc>
          <w:tcPr>
            <w:tcW w:w="1795" w:type="dxa"/>
          </w:tcPr>
          <w:p w14:paraId="709A398A" w14:textId="77777777" w:rsidR="00EC44A5" w:rsidRPr="00EC44A5" w:rsidRDefault="00EC44A5" w:rsidP="00EC44A5">
            <w:pPr>
              <w:spacing w:after="0" w:line="240" w:lineRule="auto"/>
              <w:rPr>
                <w:rFonts w:ascii="Times New Roman" w:eastAsia="Calibri" w:hAnsi="Times New Roman" w:cs="Times New Roman"/>
                <w:sz w:val="26"/>
                <w:szCs w:val="26"/>
              </w:rPr>
            </w:pPr>
            <w:r w:rsidRPr="00EC44A5">
              <w:rPr>
                <w:rFonts w:ascii="Times New Roman" w:eastAsia="Calibri" w:hAnsi="Times New Roman" w:cs="Times New Roman"/>
                <w:sz w:val="26"/>
                <w:szCs w:val="26"/>
              </w:rPr>
              <w:t>Generator Operators</w:t>
            </w:r>
          </w:p>
        </w:tc>
        <w:tc>
          <w:tcPr>
            <w:tcW w:w="1170" w:type="dxa"/>
            <w:vAlign w:val="bottom"/>
          </w:tcPr>
          <w:p w14:paraId="709A398B"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228</w:t>
            </w:r>
          </w:p>
        </w:tc>
        <w:tc>
          <w:tcPr>
            <w:tcW w:w="1440" w:type="dxa"/>
            <w:vAlign w:val="bottom"/>
          </w:tcPr>
          <w:p w14:paraId="709A398C"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w:t>
            </w:r>
          </w:p>
        </w:tc>
        <w:tc>
          <w:tcPr>
            <w:tcW w:w="1350" w:type="dxa"/>
            <w:vAlign w:val="bottom"/>
          </w:tcPr>
          <w:p w14:paraId="709A398D"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228</w:t>
            </w:r>
          </w:p>
        </w:tc>
        <w:tc>
          <w:tcPr>
            <w:tcW w:w="1440" w:type="dxa"/>
            <w:vAlign w:val="bottom"/>
          </w:tcPr>
          <w:p w14:paraId="709A398E"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10 hrs.,</w:t>
            </w:r>
          </w:p>
          <w:p w14:paraId="709A398F"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$769.90</w:t>
            </w:r>
          </w:p>
        </w:tc>
        <w:tc>
          <w:tcPr>
            <w:tcW w:w="1620" w:type="dxa"/>
            <w:vAlign w:val="bottom"/>
          </w:tcPr>
          <w:p w14:paraId="709A3990"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2,280 hrs.,</w:t>
            </w:r>
          </w:p>
          <w:p w14:paraId="709A3991"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$175,537.20</w:t>
            </w:r>
          </w:p>
        </w:tc>
        <w:tc>
          <w:tcPr>
            <w:tcW w:w="1170" w:type="dxa"/>
            <w:vAlign w:val="bottom"/>
          </w:tcPr>
          <w:p w14:paraId="709A3992"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$769.90</w:t>
            </w:r>
          </w:p>
        </w:tc>
      </w:tr>
      <w:tr w:rsidR="00EC44A5" w:rsidRPr="00EC44A5" w14:paraId="709A399D" w14:textId="77777777" w:rsidTr="00D176C1">
        <w:trPr>
          <w:trHeight w:val="529"/>
        </w:trPr>
        <w:tc>
          <w:tcPr>
            <w:tcW w:w="1795" w:type="dxa"/>
            <w:tcBorders>
              <w:bottom w:val="single" w:sz="4" w:space="0" w:color="auto"/>
            </w:tcBorders>
          </w:tcPr>
          <w:p w14:paraId="709A3994" w14:textId="77777777" w:rsidR="00EC44A5" w:rsidRPr="00EC44A5" w:rsidRDefault="00EC44A5" w:rsidP="00EC44A5">
            <w:pPr>
              <w:spacing w:after="0" w:line="240" w:lineRule="auto"/>
              <w:rPr>
                <w:rFonts w:ascii="Times New Roman" w:eastAsia="Calibri" w:hAnsi="Times New Roman" w:cs="Times New Roman"/>
                <w:sz w:val="26"/>
                <w:szCs w:val="26"/>
              </w:rPr>
            </w:pPr>
            <w:r w:rsidRPr="00EC44A5">
              <w:rPr>
                <w:rFonts w:ascii="Times New Roman" w:eastAsia="Times New Roman" w:hAnsi="Times New Roman" w:cs="Times New Roman"/>
                <w:sz w:val="26"/>
                <w:szCs w:val="26"/>
              </w:rPr>
              <w:t>Transmission Operators applicable to standard VAR-002</w:t>
            </w:r>
          </w:p>
        </w:tc>
        <w:tc>
          <w:tcPr>
            <w:tcW w:w="1170" w:type="dxa"/>
            <w:tcBorders>
              <w:bottom w:val="single" w:sz="4" w:space="0" w:color="auto"/>
            </w:tcBorders>
            <w:vAlign w:val="bottom"/>
          </w:tcPr>
          <w:p w14:paraId="709A3995"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86</w:t>
            </w:r>
          </w:p>
        </w:tc>
        <w:tc>
          <w:tcPr>
            <w:tcW w:w="1440" w:type="dxa"/>
            <w:tcBorders>
              <w:bottom w:val="single" w:sz="4" w:space="0" w:color="auto"/>
            </w:tcBorders>
            <w:vAlign w:val="bottom"/>
          </w:tcPr>
          <w:p w14:paraId="709A3996"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4</w:t>
            </w:r>
          </w:p>
        </w:tc>
        <w:tc>
          <w:tcPr>
            <w:tcW w:w="1350" w:type="dxa"/>
            <w:tcBorders>
              <w:bottom w:val="single" w:sz="4" w:space="0" w:color="auto"/>
            </w:tcBorders>
            <w:vAlign w:val="bottom"/>
          </w:tcPr>
          <w:p w14:paraId="709A3997"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344</w:t>
            </w:r>
          </w:p>
        </w:tc>
        <w:tc>
          <w:tcPr>
            <w:tcW w:w="1440" w:type="dxa"/>
            <w:tcBorders>
              <w:bottom w:val="single" w:sz="4" w:space="0" w:color="auto"/>
            </w:tcBorders>
            <w:vAlign w:val="bottom"/>
          </w:tcPr>
          <w:p w14:paraId="709A3998"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10 hrs.,</w:t>
            </w:r>
          </w:p>
          <w:p w14:paraId="709A3999"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$769.90</w:t>
            </w:r>
          </w:p>
        </w:tc>
        <w:tc>
          <w:tcPr>
            <w:tcW w:w="1620" w:type="dxa"/>
            <w:tcBorders>
              <w:bottom w:val="single" w:sz="4" w:space="0" w:color="auto"/>
            </w:tcBorders>
            <w:vAlign w:val="bottom"/>
          </w:tcPr>
          <w:p w14:paraId="709A399A"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3,440 hrs.,</w:t>
            </w:r>
          </w:p>
          <w:p w14:paraId="709A399B"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$264,845.60</w:t>
            </w:r>
          </w:p>
        </w:tc>
        <w:tc>
          <w:tcPr>
            <w:tcW w:w="1170" w:type="dxa"/>
            <w:tcBorders>
              <w:bottom w:val="single" w:sz="4" w:space="0" w:color="auto"/>
            </w:tcBorders>
            <w:vAlign w:val="bottom"/>
          </w:tcPr>
          <w:p w14:paraId="709A399C"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$769.90</w:t>
            </w:r>
          </w:p>
        </w:tc>
      </w:tr>
      <w:tr w:rsidR="00EC44A5" w:rsidRPr="00EC44A5" w14:paraId="709A39A7" w14:textId="77777777" w:rsidTr="00D176C1">
        <w:trPr>
          <w:trHeight w:val="317"/>
        </w:trPr>
        <w:tc>
          <w:tcPr>
            <w:tcW w:w="1795" w:type="dxa"/>
            <w:tcBorders>
              <w:bottom w:val="single" w:sz="4" w:space="0" w:color="auto"/>
            </w:tcBorders>
            <w:shd w:val="clear" w:color="auto" w:fill="auto"/>
            <w:vAlign w:val="bottom"/>
          </w:tcPr>
          <w:p w14:paraId="709A399E" w14:textId="77777777" w:rsidR="00EC44A5" w:rsidRPr="00EC44A5" w:rsidRDefault="00EC44A5" w:rsidP="00EC44A5">
            <w:pPr>
              <w:spacing w:after="0" w:line="240" w:lineRule="auto"/>
              <w:rPr>
                <w:rFonts w:ascii="Times New Roman" w:eastAsia="Calibri" w:hAnsi="Times New Roman" w:cs="Times New Roman"/>
                <w:sz w:val="26"/>
                <w:szCs w:val="26"/>
              </w:rPr>
            </w:pPr>
            <w:r w:rsidRPr="00EC44A5">
              <w:rPr>
                <w:rFonts w:ascii="Times New Roman" w:eastAsia="Calibri" w:hAnsi="Times New Roman" w:cs="Times New Roman"/>
                <w:sz w:val="26"/>
                <w:szCs w:val="26"/>
              </w:rPr>
              <w:t>Transmission Owners that operate qualified transfer paths</w:t>
            </w:r>
          </w:p>
        </w:tc>
        <w:tc>
          <w:tcPr>
            <w:tcW w:w="1170" w:type="dxa"/>
            <w:tcBorders>
              <w:bottom w:val="single" w:sz="4" w:space="0" w:color="auto"/>
            </w:tcBorders>
            <w:shd w:val="clear" w:color="auto" w:fill="auto"/>
            <w:vAlign w:val="bottom"/>
          </w:tcPr>
          <w:p w14:paraId="709A399F"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5</w:t>
            </w:r>
          </w:p>
        </w:tc>
        <w:tc>
          <w:tcPr>
            <w:tcW w:w="1440" w:type="dxa"/>
            <w:tcBorders>
              <w:bottom w:val="single" w:sz="4" w:space="0" w:color="auto"/>
            </w:tcBorders>
            <w:shd w:val="clear" w:color="auto" w:fill="auto"/>
            <w:vAlign w:val="bottom"/>
          </w:tcPr>
          <w:p w14:paraId="709A39A0"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w:t>
            </w:r>
          </w:p>
        </w:tc>
        <w:tc>
          <w:tcPr>
            <w:tcW w:w="1350" w:type="dxa"/>
            <w:tcBorders>
              <w:bottom w:val="single" w:sz="4" w:space="0" w:color="auto"/>
            </w:tcBorders>
            <w:vAlign w:val="bottom"/>
          </w:tcPr>
          <w:p w14:paraId="709A39A1"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15</w:t>
            </w:r>
          </w:p>
        </w:tc>
        <w:tc>
          <w:tcPr>
            <w:tcW w:w="1440" w:type="dxa"/>
            <w:tcBorders>
              <w:bottom w:val="single" w:sz="4" w:space="0" w:color="auto"/>
            </w:tcBorders>
            <w:shd w:val="clear" w:color="auto" w:fill="auto"/>
            <w:vAlign w:val="bottom"/>
          </w:tcPr>
          <w:p w14:paraId="709A39A2"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40 hrs.,</w:t>
            </w:r>
          </w:p>
          <w:p w14:paraId="709A39A3"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$3,079.60</w:t>
            </w:r>
          </w:p>
        </w:tc>
        <w:tc>
          <w:tcPr>
            <w:tcW w:w="1620" w:type="dxa"/>
            <w:shd w:val="clear" w:color="auto" w:fill="auto"/>
            <w:vAlign w:val="bottom"/>
          </w:tcPr>
          <w:p w14:paraId="709A39A4"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600 hrs.,</w:t>
            </w:r>
          </w:p>
          <w:p w14:paraId="709A39A5"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$46,194.00</w:t>
            </w:r>
          </w:p>
        </w:tc>
        <w:tc>
          <w:tcPr>
            <w:tcW w:w="1170" w:type="dxa"/>
            <w:shd w:val="clear" w:color="auto" w:fill="auto"/>
            <w:vAlign w:val="bottom"/>
          </w:tcPr>
          <w:p w14:paraId="709A39A6"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$3,079.60</w:t>
            </w:r>
          </w:p>
        </w:tc>
      </w:tr>
      <w:tr w:rsidR="00EC44A5" w:rsidRPr="00EC44A5" w14:paraId="709A39B1" w14:textId="77777777" w:rsidTr="00D176C1">
        <w:trPr>
          <w:trHeight w:val="398"/>
        </w:trPr>
        <w:tc>
          <w:tcPr>
            <w:tcW w:w="1795" w:type="dxa"/>
            <w:vAlign w:val="bottom"/>
          </w:tcPr>
          <w:p w14:paraId="709A39A8" w14:textId="77777777" w:rsidR="00EC44A5" w:rsidRPr="00EC44A5" w:rsidRDefault="00EC44A5" w:rsidP="00EC44A5">
            <w:pPr>
              <w:spacing w:after="0" w:line="240" w:lineRule="auto"/>
              <w:rPr>
                <w:rFonts w:ascii="Times New Roman" w:eastAsia="Calibri" w:hAnsi="Times New Roman" w:cs="Times New Roman"/>
                <w:sz w:val="26"/>
                <w:szCs w:val="26"/>
              </w:rPr>
            </w:pPr>
            <w:r w:rsidRPr="00EC44A5">
              <w:rPr>
                <w:rFonts w:ascii="Times New Roman" w:eastAsia="Calibri" w:hAnsi="Times New Roman" w:cs="Times New Roman"/>
                <w:sz w:val="26"/>
                <w:szCs w:val="26"/>
              </w:rPr>
              <w:t>Reliability Coordinators</w:t>
            </w:r>
          </w:p>
        </w:tc>
        <w:tc>
          <w:tcPr>
            <w:tcW w:w="1170" w:type="dxa"/>
            <w:tcBorders>
              <w:bottom w:val="single" w:sz="4" w:space="0" w:color="auto"/>
            </w:tcBorders>
            <w:vAlign w:val="bottom"/>
          </w:tcPr>
          <w:p w14:paraId="709A39A9"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w:t>
            </w:r>
          </w:p>
        </w:tc>
        <w:tc>
          <w:tcPr>
            <w:tcW w:w="1440" w:type="dxa"/>
            <w:tcBorders>
              <w:bottom w:val="single" w:sz="4" w:space="0" w:color="auto"/>
            </w:tcBorders>
            <w:vAlign w:val="bottom"/>
          </w:tcPr>
          <w:p w14:paraId="709A39AA"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w:t>
            </w:r>
          </w:p>
        </w:tc>
        <w:tc>
          <w:tcPr>
            <w:tcW w:w="1350" w:type="dxa"/>
            <w:tcBorders>
              <w:bottom w:val="single" w:sz="4" w:space="0" w:color="auto"/>
            </w:tcBorders>
            <w:vAlign w:val="bottom"/>
          </w:tcPr>
          <w:p w14:paraId="709A39AB"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w:t>
            </w:r>
          </w:p>
        </w:tc>
        <w:tc>
          <w:tcPr>
            <w:tcW w:w="1440" w:type="dxa"/>
            <w:tcBorders>
              <w:bottom w:val="single" w:sz="4" w:space="0" w:color="auto"/>
            </w:tcBorders>
            <w:vAlign w:val="bottom"/>
          </w:tcPr>
          <w:p w14:paraId="709A39AC"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 hr.,</w:t>
            </w:r>
          </w:p>
          <w:p w14:paraId="709A39AD"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w:t>
            </w:r>
          </w:p>
        </w:tc>
        <w:tc>
          <w:tcPr>
            <w:tcW w:w="1620" w:type="dxa"/>
            <w:vAlign w:val="bottom"/>
          </w:tcPr>
          <w:p w14:paraId="709A39AE"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 hr.,</w:t>
            </w:r>
          </w:p>
          <w:p w14:paraId="709A39AF"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w:t>
            </w:r>
          </w:p>
        </w:tc>
        <w:tc>
          <w:tcPr>
            <w:tcW w:w="1170" w:type="dxa"/>
            <w:vAlign w:val="bottom"/>
          </w:tcPr>
          <w:p w14:paraId="709A39B0"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w:t>
            </w:r>
          </w:p>
        </w:tc>
      </w:tr>
      <w:tr w:rsidR="00EC44A5" w:rsidRPr="00EC44A5" w14:paraId="709A39BB" w14:textId="77777777" w:rsidTr="00D176C1">
        <w:trPr>
          <w:trHeight w:val="398"/>
        </w:trPr>
        <w:tc>
          <w:tcPr>
            <w:tcW w:w="1795" w:type="dxa"/>
            <w:tcBorders>
              <w:bottom w:val="single" w:sz="4" w:space="0" w:color="auto"/>
            </w:tcBorders>
            <w:vAlign w:val="bottom"/>
          </w:tcPr>
          <w:p w14:paraId="709A39B2" w14:textId="77777777" w:rsidR="00EC44A5" w:rsidRPr="00EC44A5" w:rsidRDefault="00EC44A5" w:rsidP="00EC44A5">
            <w:pPr>
              <w:spacing w:after="0" w:line="240" w:lineRule="auto"/>
              <w:rPr>
                <w:rFonts w:ascii="Times New Roman" w:eastAsia="Calibri" w:hAnsi="Times New Roman" w:cs="Times New Roman"/>
                <w:sz w:val="26"/>
                <w:szCs w:val="26"/>
              </w:rPr>
            </w:pPr>
            <w:r w:rsidRPr="00EC44A5">
              <w:rPr>
                <w:rFonts w:ascii="Times New Roman" w:eastAsia="Calibri" w:hAnsi="Times New Roman" w:cs="Times New Roman"/>
                <w:sz w:val="26"/>
                <w:szCs w:val="26"/>
              </w:rPr>
              <w:t xml:space="preserve">Reserve Sharing Group </w:t>
            </w:r>
          </w:p>
        </w:tc>
        <w:tc>
          <w:tcPr>
            <w:tcW w:w="1170" w:type="dxa"/>
            <w:tcBorders>
              <w:bottom w:val="single" w:sz="4" w:space="0" w:color="auto"/>
            </w:tcBorders>
            <w:vAlign w:val="bottom"/>
          </w:tcPr>
          <w:p w14:paraId="709A39B3"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w:t>
            </w:r>
          </w:p>
        </w:tc>
        <w:tc>
          <w:tcPr>
            <w:tcW w:w="1440" w:type="dxa"/>
            <w:tcBorders>
              <w:bottom w:val="single" w:sz="4" w:space="0" w:color="auto"/>
            </w:tcBorders>
            <w:vAlign w:val="bottom"/>
          </w:tcPr>
          <w:p w14:paraId="709A39B4"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w:t>
            </w:r>
          </w:p>
        </w:tc>
        <w:tc>
          <w:tcPr>
            <w:tcW w:w="1350" w:type="dxa"/>
            <w:tcBorders>
              <w:bottom w:val="single" w:sz="4" w:space="0" w:color="auto"/>
            </w:tcBorders>
            <w:vAlign w:val="bottom"/>
          </w:tcPr>
          <w:p w14:paraId="709A39B5"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w:t>
            </w:r>
          </w:p>
        </w:tc>
        <w:tc>
          <w:tcPr>
            <w:tcW w:w="1440" w:type="dxa"/>
            <w:tcBorders>
              <w:bottom w:val="single" w:sz="4" w:space="0" w:color="auto"/>
            </w:tcBorders>
            <w:vAlign w:val="bottom"/>
          </w:tcPr>
          <w:p w14:paraId="709A39B6"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 hr.,</w:t>
            </w:r>
          </w:p>
          <w:p w14:paraId="709A39B7"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w:t>
            </w:r>
          </w:p>
        </w:tc>
        <w:tc>
          <w:tcPr>
            <w:tcW w:w="1620" w:type="dxa"/>
            <w:tcBorders>
              <w:bottom w:val="single" w:sz="4" w:space="0" w:color="auto"/>
            </w:tcBorders>
            <w:vAlign w:val="bottom"/>
          </w:tcPr>
          <w:p w14:paraId="709A39B8"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 hrs.,</w:t>
            </w:r>
          </w:p>
          <w:p w14:paraId="709A39B9"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$230.97</w:t>
            </w:r>
          </w:p>
        </w:tc>
        <w:tc>
          <w:tcPr>
            <w:tcW w:w="1170" w:type="dxa"/>
            <w:tcBorders>
              <w:bottom w:val="single" w:sz="4" w:space="0" w:color="auto"/>
            </w:tcBorders>
            <w:vAlign w:val="bottom"/>
          </w:tcPr>
          <w:p w14:paraId="709A39BA"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w:t>
            </w:r>
          </w:p>
        </w:tc>
      </w:tr>
      <w:tr w:rsidR="00EC44A5" w:rsidRPr="00EC44A5" w14:paraId="709A39C5" w14:textId="77777777" w:rsidTr="00D176C1">
        <w:trPr>
          <w:trHeight w:val="398"/>
        </w:trPr>
        <w:tc>
          <w:tcPr>
            <w:tcW w:w="1795" w:type="dxa"/>
            <w:vAlign w:val="bottom"/>
          </w:tcPr>
          <w:p w14:paraId="709A39BC" w14:textId="77777777" w:rsidR="00EC44A5" w:rsidRPr="00EC44A5" w:rsidRDefault="00EC44A5" w:rsidP="00EC44A5">
            <w:pPr>
              <w:spacing w:after="0" w:line="240" w:lineRule="auto"/>
              <w:rPr>
                <w:rFonts w:ascii="Times New Roman" w:eastAsia="Calibri" w:hAnsi="Times New Roman" w:cs="Times New Roman"/>
                <w:sz w:val="26"/>
                <w:szCs w:val="26"/>
              </w:rPr>
            </w:pPr>
            <w:r w:rsidRPr="00EC44A5">
              <w:rPr>
                <w:rFonts w:ascii="Times New Roman" w:hAnsi="Times New Roman" w:cs="Times New Roman"/>
                <w:sz w:val="26"/>
                <w:szCs w:val="26"/>
              </w:rPr>
              <w:t xml:space="preserve">Generator Owners and/or Operators , in Year 1, per RD17-5 for </w:t>
            </w:r>
            <w:r w:rsidRPr="00EC44A5">
              <w:t xml:space="preserve"> </w:t>
            </w:r>
            <w:r w:rsidRPr="00EC44A5">
              <w:rPr>
                <w:rFonts w:ascii="Times New Roman" w:hAnsi="Times New Roman" w:cs="Times New Roman"/>
                <w:sz w:val="26"/>
                <w:szCs w:val="26"/>
              </w:rPr>
              <w:t>VAR-501-WECC-3</w:t>
            </w:r>
          </w:p>
        </w:tc>
        <w:tc>
          <w:tcPr>
            <w:tcW w:w="1170" w:type="dxa"/>
            <w:vAlign w:val="bottom"/>
          </w:tcPr>
          <w:p w14:paraId="709A39BD"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291</w:t>
            </w:r>
          </w:p>
        </w:tc>
        <w:tc>
          <w:tcPr>
            <w:tcW w:w="1440" w:type="dxa"/>
            <w:vAlign w:val="bottom"/>
          </w:tcPr>
          <w:p w14:paraId="709A39BE"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3</w:t>
            </w:r>
          </w:p>
        </w:tc>
        <w:tc>
          <w:tcPr>
            <w:tcW w:w="1350" w:type="dxa"/>
            <w:vAlign w:val="bottom"/>
          </w:tcPr>
          <w:p w14:paraId="709A39BF"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873</w:t>
            </w:r>
          </w:p>
        </w:tc>
        <w:tc>
          <w:tcPr>
            <w:tcW w:w="1440" w:type="dxa"/>
            <w:vAlign w:val="bottom"/>
          </w:tcPr>
          <w:p w14:paraId="709A39C0"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 xml:space="preserve">1 hr.; </w:t>
            </w:r>
          </w:p>
          <w:p w14:paraId="709A39C1"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w:t>
            </w:r>
          </w:p>
        </w:tc>
        <w:tc>
          <w:tcPr>
            <w:tcW w:w="1620" w:type="dxa"/>
            <w:vAlign w:val="bottom"/>
          </w:tcPr>
          <w:p w14:paraId="709A39C2"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873 hrs.;</w:t>
            </w:r>
          </w:p>
          <w:p w14:paraId="709A39C3"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$67,212.27</w:t>
            </w:r>
          </w:p>
        </w:tc>
        <w:tc>
          <w:tcPr>
            <w:tcW w:w="1170" w:type="dxa"/>
            <w:vAlign w:val="bottom"/>
          </w:tcPr>
          <w:p w14:paraId="709A39C4"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$230.97</w:t>
            </w:r>
          </w:p>
        </w:tc>
      </w:tr>
      <w:tr w:rsidR="00EC44A5" w:rsidRPr="00EC44A5" w14:paraId="709A39CF" w14:textId="77777777" w:rsidTr="00D176C1">
        <w:trPr>
          <w:trHeight w:val="398"/>
        </w:trPr>
        <w:tc>
          <w:tcPr>
            <w:tcW w:w="1795" w:type="dxa"/>
            <w:vAlign w:val="bottom"/>
          </w:tcPr>
          <w:p w14:paraId="709A39C6" w14:textId="77777777" w:rsidR="00EC44A5" w:rsidRPr="00EC44A5" w:rsidRDefault="00EC44A5" w:rsidP="00EC44A5">
            <w:pPr>
              <w:spacing w:after="0" w:line="240" w:lineRule="auto"/>
              <w:rPr>
                <w:rFonts w:ascii="Times New Roman" w:eastAsia="Calibri" w:hAnsi="Times New Roman" w:cs="Times New Roman"/>
                <w:sz w:val="26"/>
                <w:szCs w:val="26"/>
              </w:rPr>
            </w:pPr>
            <w:r w:rsidRPr="00EC44A5">
              <w:rPr>
                <w:rFonts w:ascii="Times New Roman" w:hAnsi="Times New Roman" w:cs="Times New Roman"/>
                <w:sz w:val="26"/>
                <w:szCs w:val="26"/>
              </w:rPr>
              <w:t>Generator Owners and/or Operators, in Year 2 and Ongoing, per RD17-5</w:t>
            </w:r>
            <w:r w:rsidRPr="00EC44A5">
              <w:t xml:space="preserve"> </w:t>
            </w:r>
            <w:r w:rsidRPr="00EC44A5">
              <w:rPr>
                <w:rFonts w:ascii="Times New Roman" w:hAnsi="Times New Roman" w:cs="Times New Roman"/>
                <w:sz w:val="26"/>
                <w:szCs w:val="26"/>
              </w:rPr>
              <w:t>for  VAR-501-WECC-3</w:t>
            </w:r>
          </w:p>
        </w:tc>
        <w:tc>
          <w:tcPr>
            <w:tcW w:w="1170" w:type="dxa"/>
            <w:vAlign w:val="bottom"/>
          </w:tcPr>
          <w:p w14:paraId="709A39C7"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291</w:t>
            </w:r>
          </w:p>
        </w:tc>
        <w:tc>
          <w:tcPr>
            <w:tcW w:w="1440" w:type="dxa"/>
            <w:vAlign w:val="bottom"/>
          </w:tcPr>
          <w:p w14:paraId="709A39C8"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w:t>
            </w:r>
          </w:p>
        </w:tc>
        <w:tc>
          <w:tcPr>
            <w:tcW w:w="1350" w:type="dxa"/>
            <w:vAlign w:val="bottom"/>
          </w:tcPr>
          <w:p w14:paraId="709A39C9"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582</w:t>
            </w:r>
          </w:p>
        </w:tc>
        <w:tc>
          <w:tcPr>
            <w:tcW w:w="1440" w:type="dxa"/>
            <w:vAlign w:val="bottom"/>
          </w:tcPr>
          <w:p w14:paraId="709A39CA"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 xml:space="preserve">1 hr.; </w:t>
            </w:r>
          </w:p>
          <w:p w14:paraId="709A39CB"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$76.99</w:t>
            </w:r>
          </w:p>
        </w:tc>
        <w:tc>
          <w:tcPr>
            <w:tcW w:w="1620" w:type="dxa"/>
            <w:vAlign w:val="bottom"/>
          </w:tcPr>
          <w:p w14:paraId="709A39CC"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 xml:space="preserve">582 hrs.; </w:t>
            </w:r>
          </w:p>
          <w:p w14:paraId="709A39CD"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$44,808.18</w:t>
            </w:r>
          </w:p>
        </w:tc>
        <w:tc>
          <w:tcPr>
            <w:tcW w:w="1170" w:type="dxa"/>
            <w:vAlign w:val="bottom"/>
          </w:tcPr>
          <w:p w14:paraId="709A39CE" w14:textId="77777777" w:rsidR="00EC44A5" w:rsidRPr="00EC44A5" w:rsidRDefault="00EC44A5" w:rsidP="00EC44A5">
            <w:pPr>
              <w:spacing w:after="0" w:line="240" w:lineRule="auto"/>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$153.98</w:t>
            </w:r>
          </w:p>
        </w:tc>
      </w:tr>
      <w:tr w:rsidR="00EC44A5" w:rsidRPr="00EC44A5" w14:paraId="709A39D6" w14:textId="77777777" w:rsidTr="00D176C1">
        <w:trPr>
          <w:trHeight w:val="398"/>
        </w:trPr>
        <w:tc>
          <w:tcPr>
            <w:tcW w:w="4405" w:type="dxa"/>
            <w:gridSpan w:val="3"/>
            <w:tcBorders>
              <w:bottom w:val="single" w:sz="4" w:space="0" w:color="auto"/>
            </w:tcBorders>
            <w:shd w:val="clear" w:color="auto" w:fill="auto"/>
            <w:vAlign w:val="bottom"/>
          </w:tcPr>
          <w:p w14:paraId="709A39D0" w14:textId="77777777" w:rsidR="00EC44A5" w:rsidRPr="00EC44A5" w:rsidRDefault="00EC44A5" w:rsidP="00EC44A5">
            <w:pPr>
              <w:spacing w:after="0" w:line="240" w:lineRule="auto"/>
              <w:rPr>
                <w:rFonts w:ascii="Times New Roman" w:eastAsia="Calibri" w:hAnsi="Times New Roman" w:cs="Times New Roman"/>
                <w:b/>
                <w:sz w:val="26"/>
                <w:szCs w:val="26"/>
              </w:rPr>
            </w:pPr>
            <w:r w:rsidRPr="00EC44A5">
              <w:rPr>
                <w:rFonts w:ascii="Times New Roman" w:eastAsia="Calibri" w:hAnsi="Times New Roman" w:cs="Times New Roman"/>
                <w:b/>
                <w:sz w:val="26"/>
                <w:szCs w:val="26"/>
              </w:rPr>
              <w:t>Total for Reporting Requirements in Year 1</w:t>
            </w:r>
          </w:p>
        </w:tc>
        <w:tc>
          <w:tcPr>
            <w:tcW w:w="1350" w:type="dxa"/>
            <w:tcBorders>
              <w:bottom w:val="single" w:sz="4" w:space="0" w:color="auto"/>
            </w:tcBorders>
            <w:vAlign w:val="bottom"/>
          </w:tcPr>
          <w:p w14:paraId="709A39D1" w14:textId="77777777" w:rsidR="00EC44A5" w:rsidRPr="00EC44A5" w:rsidRDefault="00EC44A5" w:rsidP="00EC44A5">
            <w:pPr>
              <w:spacing w:after="0" w:line="240" w:lineRule="auto"/>
              <w:jc w:val="right"/>
              <w:rPr>
                <w:rFonts w:ascii="Times New Roman" w:eastAsia="Calibri" w:hAnsi="Times New Roman" w:cs="Times New Roman"/>
                <w:sz w:val="26"/>
                <w:szCs w:val="26"/>
              </w:rPr>
            </w:pPr>
          </w:p>
        </w:tc>
        <w:tc>
          <w:tcPr>
            <w:tcW w:w="1440" w:type="dxa"/>
            <w:tcBorders>
              <w:bottom w:val="single" w:sz="4" w:space="0" w:color="auto"/>
            </w:tcBorders>
            <w:shd w:val="clear" w:color="auto" w:fill="auto"/>
            <w:vAlign w:val="bottom"/>
          </w:tcPr>
          <w:p w14:paraId="709A39D2" w14:textId="77777777" w:rsidR="00EC44A5" w:rsidRPr="00EC44A5" w:rsidRDefault="00EC44A5" w:rsidP="00EC44A5">
            <w:pPr>
              <w:spacing w:after="0" w:line="240" w:lineRule="auto"/>
              <w:jc w:val="right"/>
              <w:rPr>
                <w:rFonts w:ascii="Times New Roman" w:eastAsia="Calibri" w:hAnsi="Times New Roman" w:cs="Times New Roman"/>
                <w:sz w:val="26"/>
                <w:szCs w:val="26"/>
              </w:rPr>
            </w:pPr>
          </w:p>
        </w:tc>
        <w:tc>
          <w:tcPr>
            <w:tcW w:w="1620" w:type="dxa"/>
            <w:tcBorders>
              <w:bottom w:val="single" w:sz="4" w:space="0" w:color="auto"/>
            </w:tcBorders>
            <w:shd w:val="clear" w:color="auto" w:fill="auto"/>
            <w:vAlign w:val="bottom"/>
          </w:tcPr>
          <w:p w14:paraId="709A39D3" w14:textId="77777777" w:rsidR="00EC44A5" w:rsidRPr="00EC44A5" w:rsidRDefault="00EC44A5" w:rsidP="00EC44A5">
            <w:pPr>
              <w:spacing w:after="0" w:line="240" w:lineRule="auto"/>
              <w:jc w:val="right"/>
              <w:rPr>
                <w:rFonts w:ascii="Times New Roman" w:eastAsia="Calibri" w:hAnsi="Times New Roman" w:cs="Times New Roman"/>
                <w:b/>
                <w:sz w:val="26"/>
                <w:szCs w:val="26"/>
              </w:rPr>
            </w:pPr>
            <w:r w:rsidRPr="00EC44A5">
              <w:rPr>
                <w:rFonts w:ascii="Times New Roman" w:eastAsia="Calibri" w:hAnsi="Times New Roman" w:cs="Times New Roman"/>
                <w:b/>
                <w:sz w:val="26"/>
                <w:szCs w:val="26"/>
              </w:rPr>
              <w:t>7,911 hrs.;</w:t>
            </w:r>
          </w:p>
          <w:p w14:paraId="709A39D4" w14:textId="77777777" w:rsidR="00EC44A5" w:rsidRPr="00EC44A5" w:rsidRDefault="00EC44A5" w:rsidP="00EC44A5">
            <w:pPr>
              <w:spacing w:after="0" w:line="240" w:lineRule="auto"/>
              <w:jc w:val="right"/>
              <w:rPr>
                <w:rFonts w:ascii="Times New Roman" w:eastAsia="Calibri" w:hAnsi="Times New Roman" w:cs="Times New Roman"/>
                <w:b/>
                <w:sz w:val="26"/>
                <w:szCs w:val="26"/>
              </w:rPr>
            </w:pPr>
            <w:r w:rsidRPr="00EC44A5">
              <w:rPr>
                <w:rFonts w:ascii="Times New Roman" w:eastAsia="Calibri" w:hAnsi="Times New Roman" w:cs="Times New Roman"/>
                <w:b/>
                <w:sz w:val="26"/>
                <w:szCs w:val="26"/>
              </w:rPr>
              <w:t>$609,067.89</w:t>
            </w:r>
          </w:p>
        </w:tc>
        <w:tc>
          <w:tcPr>
            <w:tcW w:w="1170" w:type="dxa"/>
            <w:tcBorders>
              <w:bottom w:val="single" w:sz="4" w:space="0" w:color="auto"/>
            </w:tcBorders>
            <w:shd w:val="clear" w:color="auto" w:fill="auto"/>
            <w:vAlign w:val="bottom"/>
          </w:tcPr>
          <w:p w14:paraId="709A39D5" w14:textId="77777777" w:rsidR="00EC44A5" w:rsidRPr="00EC44A5" w:rsidRDefault="00EC44A5" w:rsidP="00EC44A5">
            <w:pPr>
              <w:spacing w:after="0" w:line="240" w:lineRule="auto"/>
              <w:jc w:val="right"/>
              <w:rPr>
                <w:rFonts w:ascii="Times New Roman" w:eastAsia="Calibri" w:hAnsi="Times New Roman" w:cs="Times New Roman"/>
                <w:b/>
                <w:sz w:val="26"/>
                <w:szCs w:val="26"/>
              </w:rPr>
            </w:pPr>
          </w:p>
        </w:tc>
      </w:tr>
      <w:tr w:rsidR="00EC44A5" w:rsidRPr="00EC44A5" w14:paraId="709A39DC" w14:textId="77777777" w:rsidTr="00D176C1">
        <w:trPr>
          <w:trHeight w:val="398"/>
        </w:trPr>
        <w:tc>
          <w:tcPr>
            <w:tcW w:w="4405" w:type="dxa"/>
            <w:gridSpan w:val="3"/>
            <w:shd w:val="clear" w:color="auto" w:fill="auto"/>
            <w:vAlign w:val="bottom"/>
          </w:tcPr>
          <w:p w14:paraId="709A39D7" w14:textId="77777777" w:rsidR="00EC44A5" w:rsidRPr="00EC44A5" w:rsidRDefault="00EC44A5" w:rsidP="00EC44A5">
            <w:pPr>
              <w:spacing w:after="0" w:line="240" w:lineRule="auto"/>
              <w:rPr>
                <w:rFonts w:ascii="Times New Roman" w:eastAsia="Calibri" w:hAnsi="Times New Roman" w:cs="Times New Roman"/>
                <w:b/>
                <w:sz w:val="26"/>
                <w:szCs w:val="26"/>
              </w:rPr>
            </w:pPr>
            <w:r w:rsidRPr="00EC44A5">
              <w:rPr>
                <w:rFonts w:ascii="Times New Roman" w:eastAsia="Calibri" w:hAnsi="Times New Roman" w:cs="Times New Roman"/>
                <w:b/>
                <w:sz w:val="26"/>
                <w:szCs w:val="26"/>
              </w:rPr>
              <w:t>Total for Reporting Requirements in Year 2 &amp; ongoing</w:t>
            </w:r>
          </w:p>
        </w:tc>
        <w:tc>
          <w:tcPr>
            <w:tcW w:w="1350" w:type="dxa"/>
            <w:vAlign w:val="bottom"/>
          </w:tcPr>
          <w:p w14:paraId="709A39D8" w14:textId="77777777" w:rsidR="00EC44A5" w:rsidRPr="00EC44A5" w:rsidRDefault="00EC44A5" w:rsidP="00EC44A5">
            <w:pPr>
              <w:spacing w:after="0" w:line="240" w:lineRule="auto"/>
              <w:jc w:val="right"/>
              <w:rPr>
                <w:rFonts w:ascii="Times New Roman" w:eastAsia="Calibri" w:hAnsi="Times New Roman" w:cs="Times New Roman"/>
                <w:sz w:val="26"/>
                <w:szCs w:val="26"/>
              </w:rPr>
            </w:pPr>
          </w:p>
        </w:tc>
        <w:tc>
          <w:tcPr>
            <w:tcW w:w="1440" w:type="dxa"/>
            <w:tcBorders>
              <w:bottom w:val="single" w:sz="4" w:space="0" w:color="auto"/>
            </w:tcBorders>
            <w:shd w:val="clear" w:color="auto" w:fill="auto"/>
            <w:vAlign w:val="bottom"/>
          </w:tcPr>
          <w:p w14:paraId="709A39D9" w14:textId="77777777" w:rsidR="00EC44A5" w:rsidRPr="00EC44A5" w:rsidRDefault="00EC44A5" w:rsidP="00EC44A5">
            <w:pPr>
              <w:spacing w:after="0" w:line="240" w:lineRule="auto"/>
              <w:jc w:val="right"/>
              <w:rPr>
                <w:rFonts w:ascii="Times New Roman" w:eastAsia="Calibri" w:hAnsi="Times New Roman" w:cs="Times New Roman"/>
                <w:sz w:val="26"/>
                <w:szCs w:val="26"/>
              </w:rPr>
            </w:pPr>
          </w:p>
        </w:tc>
        <w:tc>
          <w:tcPr>
            <w:tcW w:w="1620" w:type="dxa"/>
            <w:shd w:val="clear" w:color="auto" w:fill="auto"/>
            <w:vAlign w:val="bottom"/>
          </w:tcPr>
          <w:p w14:paraId="709A39DA" w14:textId="77777777" w:rsidR="00EC44A5" w:rsidRPr="00EC44A5" w:rsidRDefault="00EC44A5" w:rsidP="00EC44A5">
            <w:pPr>
              <w:spacing w:after="0" w:line="240" w:lineRule="auto"/>
              <w:jc w:val="right"/>
              <w:rPr>
                <w:rFonts w:ascii="Times New Roman" w:eastAsia="Calibri" w:hAnsi="Times New Roman" w:cs="Times New Roman"/>
                <w:b/>
                <w:sz w:val="26"/>
                <w:szCs w:val="26"/>
              </w:rPr>
            </w:pPr>
            <w:r w:rsidRPr="00EC44A5">
              <w:rPr>
                <w:rFonts w:ascii="Times New Roman" w:eastAsia="Calibri" w:hAnsi="Times New Roman" w:cs="Times New Roman"/>
                <w:b/>
                <w:sz w:val="26"/>
                <w:szCs w:val="26"/>
              </w:rPr>
              <w:t>7,620 hrs.; $586,663.80</w:t>
            </w:r>
          </w:p>
        </w:tc>
        <w:tc>
          <w:tcPr>
            <w:tcW w:w="1170" w:type="dxa"/>
            <w:shd w:val="clear" w:color="auto" w:fill="auto"/>
            <w:vAlign w:val="bottom"/>
          </w:tcPr>
          <w:p w14:paraId="709A39DB" w14:textId="77777777" w:rsidR="00EC44A5" w:rsidRPr="00EC44A5" w:rsidRDefault="00EC44A5" w:rsidP="00EC44A5">
            <w:pPr>
              <w:spacing w:after="0" w:line="240" w:lineRule="auto"/>
              <w:jc w:val="right"/>
              <w:rPr>
                <w:rFonts w:ascii="Times New Roman" w:eastAsia="Calibri" w:hAnsi="Times New Roman" w:cs="Times New Roman"/>
                <w:b/>
                <w:sz w:val="26"/>
                <w:szCs w:val="26"/>
              </w:rPr>
            </w:pPr>
          </w:p>
        </w:tc>
      </w:tr>
    </w:tbl>
    <w:tbl>
      <w:tblPr>
        <w:tblStyle w:val="TableGrid"/>
        <w:tblW w:w="9985" w:type="dxa"/>
        <w:tblLayout w:type="fixed"/>
        <w:tblLook w:val="04A0" w:firstRow="1" w:lastRow="0" w:firstColumn="1" w:lastColumn="0" w:noHBand="0" w:noVBand="1"/>
      </w:tblPr>
      <w:tblGrid>
        <w:gridCol w:w="1795"/>
        <w:gridCol w:w="1170"/>
        <w:gridCol w:w="1440"/>
        <w:gridCol w:w="1350"/>
        <w:gridCol w:w="1440"/>
        <w:gridCol w:w="1620"/>
        <w:gridCol w:w="1170"/>
      </w:tblGrid>
      <w:tr w:rsidR="00EC44A5" w:rsidRPr="00EC44A5" w14:paraId="709A39DE" w14:textId="77777777" w:rsidTr="00D176C1">
        <w:trPr>
          <w:trHeight w:val="422"/>
        </w:trPr>
        <w:tc>
          <w:tcPr>
            <w:tcW w:w="9985" w:type="dxa"/>
            <w:gridSpan w:val="7"/>
            <w:shd w:val="clear" w:color="auto" w:fill="D9D9D9"/>
          </w:tcPr>
          <w:p w14:paraId="709A39DD" w14:textId="77777777" w:rsidR="00EC44A5" w:rsidRPr="00EC44A5" w:rsidRDefault="00EC44A5" w:rsidP="00EC44A5">
            <w:pPr>
              <w:jc w:val="center"/>
              <w:rPr>
                <w:rFonts w:ascii="Times New Roman" w:hAnsi="Times New Roman" w:cs="Times New Roman"/>
                <w:sz w:val="26"/>
                <w:szCs w:val="26"/>
              </w:rPr>
            </w:pPr>
            <w:r w:rsidRPr="00EC44A5">
              <w:rPr>
                <w:rFonts w:ascii="Times New Roman" w:eastAsia="Calibri" w:hAnsi="Times New Roman" w:cs="Times New Roman"/>
                <w:b/>
                <w:sz w:val="26"/>
                <w:szCs w:val="26"/>
              </w:rPr>
              <w:t>Recordkeeping Requirements</w:t>
            </w:r>
          </w:p>
        </w:tc>
      </w:tr>
      <w:tr w:rsidR="00EC44A5" w:rsidRPr="00EC44A5" w14:paraId="709A39E8" w14:textId="77777777" w:rsidTr="00D176C1">
        <w:tc>
          <w:tcPr>
            <w:tcW w:w="1795" w:type="dxa"/>
            <w:vAlign w:val="bottom"/>
          </w:tcPr>
          <w:p w14:paraId="709A39DF" w14:textId="77777777" w:rsidR="00EC44A5" w:rsidRPr="00EC44A5" w:rsidRDefault="00EC44A5" w:rsidP="00EC44A5">
            <w:pPr>
              <w:rPr>
                <w:rFonts w:ascii="Times New Roman" w:eastAsia="Times New Roman" w:hAnsi="Times New Roman" w:cs="Times New Roman"/>
                <w:i/>
                <w:sz w:val="26"/>
                <w:szCs w:val="26"/>
              </w:rPr>
            </w:pPr>
            <w:r w:rsidRPr="00EC44A5">
              <w:rPr>
                <w:rFonts w:ascii="Times New Roman" w:hAnsi="Times New Roman" w:cs="Times New Roman"/>
                <w:sz w:val="26"/>
                <w:szCs w:val="26"/>
              </w:rPr>
              <w:t>Balancing Authorities</w:t>
            </w:r>
          </w:p>
        </w:tc>
        <w:tc>
          <w:tcPr>
            <w:tcW w:w="1170" w:type="dxa"/>
            <w:vAlign w:val="bottom"/>
          </w:tcPr>
          <w:p w14:paraId="709A39E0"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34</w:t>
            </w:r>
          </w:p>
        </w:tc>
        <w:tc>
          <w:tcPr>
            <w:tcW w:w="1440" w:type="dxa"/>
            <w:vAlign w:val="bottom"/>
          </w:tcPr>
          <w:p w14:paraId="709A39E1"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1</w:t>
            </w:r>
          </w:p>
        </w:tc>
        <w:tc>
          <w:tcPr>
            <w:tcW w:w="1350" w:type="dxa"/>
            <w:vAlign w:val="bottom"/>
          </w:tcPr>
          <w:p w14:paraId="709A39E2"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34</w:t>
            </w:r>
          </w:p>
        </w:tc>
        <w:tc>
          <w:tcPr>
            <w:tcW w:w="1440" w:type="dxa"/>
            <w:vAlign w:val="bottom"/>
          </w:tcPr>
          <w:p w14:paraId="709A39E3"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 xml:space="preserve">2.1 hrs., </w:t>
            </w:r>
          </w:p>
          <w:p w14:paraId="709A39E4"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hAnsi="Times New Roman" w:cs="Times New Roman"/>
                <w:sz w:val="26"/>
                <w:szCs w:val="26"/>
              </w:rPr>
              <w:t>$65.50</w:t>
            </w:r>
          </w:p>
        </w:tc>
        <w:tc>
          <w:tcPr>
            <w:tcW w:w="1620" w:type="dxa"/>
            <w:vAlign w:val="bottom"/>
          </w:tcPr>
          <w:p w14:paraId="709A39E5"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71.4 hrs.,</w:t>
            </w:r>
          </w:p>
          <w:p w14:paraId="709A39E6"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$2,226.97</w:t>
            </w:r>
          </w:p>
        </w:tc>
        <w:tc>
          <w:tcPr>
            <w:tcW w:w="1170" w:type="dxa"/>
            <w:vAlign w:val="bottom"/>
          </w:tcPr>
          <w:p w14:paraId="709A39E7"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$65.50</w:t>
            </w:r>
          </w:p>
        </w:tc>
      </w:tr>
      <w:tr w:rsidR="00EC44A5" w:rsidRPr="00EC44A5" w14:paraId="709A39F2" w14:textId="77777777" w:rsidTr="00D176C1">
        <w:tc>
          <w:tcPr>
            <w:tcW w:w="1795" w:type="dxa"/>
            <w:vAlign w:val="bottom"/>
          </w:tcPr>
          <w:p w14:paraId="709A39E9" w14:textId="77777777" w:rsidR="00EC44A5" w:rsidRPr="00EC44A5" w:rsidRDefault="00EC44A5" w:rsidP="00EC44A5">
            <w:pPr>
              <w:rPr>
                <w:rFonts w:ascii="Times New Roman" w:eastAsia="Times New Roman" w:hAnsi="Times New Roman" w:cs="Times New Roman"/>
                <w:i/>
                <w:sz w:val="26"/>
                <w:szCs w:val="26"/>
              </w:rPr>
            </w:pPr>
            <w:r w:rsidRPr="00EC44A5">
              <w:rPr>
                <w:rFonts w:ascii="Times New Roman" w:hAnsi="Times New Roman" w:cs="Times New Roman"/>
                <w:sz w:val="26"/>
                <w:szCs w:val="26"/>
              </w:rPr>
              <w:t>Balancing Authorities (IRO-006)</w:t>
            </w:r>
          </w:p>
        </w:tc>
        <w:tc>
          <w:tcPr>
            <w:tcW w:w="1170" w:type="dxa"/>
            <w:vAlign w:val="bottom"/>
          </w:tcPr>
          <w:p w14:paraId="709A39EA"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34</w:t>
            </w:r>
          </w:p>
        </w:tc>
        <w:tc>
          <w:tcPr>
            <w:tcW w:w="1440" w:type="dxa"/>
            <w:vAlign w:val="bottom"/>
          </w:tcPr>
          <w:p w14:paraId="709A39EB"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1</w:t>
            </w:r>
          </w:p>
        </w:tc>
        <w:tc>
          <w:tcPr>
            <w:tcW w:w="1350" w:type="dxa"/>
            <w:vAlign w:val="bottom"/>
          </w:tcPr>
          <w:p w14:paraId="709A39EC"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34</w:t>
            </w:r>
          </w:p>
        </w:tc>
        <w:tc>
          <w:tcPr>
            <w:tcW w:w="1440" w:type="dxa"/>
            <w:vAlign w:val="bottom"/>
          </w:tcPr>
          <w:p w14:paraId="709A39ED"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1 hr.,</w:t>
            </w:r>
          </w:p>
          <w:p w14:paraId="709A39EE"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hAnsi="Times New Roman" w:cs="Times New Roman"/>
                <w:sz w:val="26"/>
                <w:szCs w:val="26"/>
              </w:rPr>
              <w:t>$31.19</w:t>
            </w:r>
          </w:p>
        </w:tc>
        <w:tc>
          <w:tcPr>
            <w:tcW w:w="1620" w:type="dxa"/>
            <w:vAlign w:val="bottom"/>
          </w:tcPr>
          <w:p w14:paraId="709A39EF"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34 hrs.,</w:t>
            </w:r>
          </w:p>
          <w:p w14:paraId="709A39F0"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$1,060.46</w:t>
            </w:r>
          </w:p>
        </w:tc>
        <w:tc>
          <w:tcPr>
            <w:tcW w:w="1170" w:type="dxa"/>
            <w:vAlign w:val="bottom"/>
          </w:tcPr>
          <w:p w14:paraId="709A39F1"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$31.19</w:t>
            </w:r>
          </w:p>
        </w:tc>
      </w:tr>
      <w:tr w:rsidR="00EC44A5" w:rsidRPr="00EC44A5" w14:paraId="709A39FC" w14:textId="77777777" w:rsidTr="00D176C1">
        <w:tc>
          <w:tcPr>
            <w:tcW w:w="1795" w:type="dxa"/>
            <w:vAlign w:val="bottom"/>
          </w:tcPr>
          <w:p w14:paraId="709A39F3" w14:textId="77777777" w:rsidR="00EC44A5" w:rsidRPr="00EC44A5" w:rsidRDefault="00EC44A5" w:rsidP="00EC44A5">
            <w:pPr>
              <w:rPr>
                <w:rFonts w:ascii="Times New Roman" w:eastAsia="Times New Roman" w:hAnsi="Times New Roman" w:cs="Times New Roman"/>
                <w:i/>
                <w:sz w:val="26"/>
                <w:szCs w:val="26"/>
              </w:rPr>
            </w:pPr>
            <w:r w:rsidRPr="00EC44A5">
              <w:rPr>
                <w:rFonts w:ascii="Times New Roman" w:hAnsi="Times New Roman" w:cs="Times New Roman"/>
                <w:sz w:val="26"/>
                <w:szCs w:val="26"/>
              </w:rPr>
              <w:t>Generator Operators</w:t>
            </w:r>
          </w:p>
        </w:tc>
        <w:tc>
          <w:tcPr>
            <w:tcW w:w="1170" w:type="dxa"/>
            <w:vAlign w:val="bottom"/>
          </w:tcPr>
          <w:p w14:paraId="709A39F4"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228</w:t>
            </w:r>
          </w:p>
        </w:tc>
        <w:tc>
          <w:tcPr>
            <w:tcW w:w="1440" w:type="dxa"/>
            <w:vAlign w:val="bottom"/>
          </w:tcPr>
          <w:p w14:paraId="709A39F5"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1</w:t>
            </w:r>
          </w:p>
        </w:tc>
        <w:tc>
          <w:tcPr>
            <w:tcW w:w="1350" w:type="dxa"/>
            <w:vAlign w:val="bottom"/>
          </w:tcPr>
          <w:p w14:paraId="709A39F6"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228</w:t>
            </w:r>
          </w:p>
        </w:tc>
        <w:tc>
          <w:tcPr>
            <w:tcW w:w="1440" w:type="dxa"/>
            <w:vAlign w:val="bottom"/>
          </w:tcPr>
          <w:p w14:paraId="709A39F7"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1 hr.,</w:t>
            </w:r>
          </w:p>
          <w:p w14:paraId="709A39F8"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hAnsi="Times New Roman" w:cs="Times New Roman"/>
                <w:sz w:val="26"/>
                <w:szCs w:val="26"/>
              </w:rPr>
              <w:t>$31.19</w:t>
            </w:r>
          </w:p>
        </w:tc>
        <w:tc>
          <w:tcPr>
            <w:tcW w:w="1620" w:type="dxa"/>
            <w:vAlign w:val="bottom"/>
          </w:tcPr>
          <w:p w14:paraId="709A39F9"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228 hrs.,</w:t>
            </w:r>
          </w:p>
          <w:p w14:paraId="709A39FA"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$7,111.32</w:t>
            </w:r>
          </w:p>
        </w:tc>
        <w:tc>
          <w:tcPr>
            <w:tcW w:w="1170" w:type="dxa"/>
            <w:vAlign w:val="bottom"/>
          </w:tcPr>
          <w:p w14:paraId="709A39FB"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hAnsi="Times New Roman" w:cs="Times New Roman"/>
                <w:sz w:val="26"/>
                <w:szCs w:val="26"/>
              </w:rPr>
              <w:t>$31.19</w:t>
            </w:r>
          </w:p>
        </w:tc>
      </w:tr>
      <w:tr w:rsidR="00EC44A5" w:rsidRPr="00EC44A5" w14:paraId="709A3A06" w14:textId="77777777" w:rsidTr="00D176C1">
        <w:tc>
          <w:tcPr>
            <w:tcW w:w="1795" w:type="dxa"/>
            <w:vAlign w:val="bottom"/>
          </w:tcPr>
          <w:p w14:paraId="709A39FD" w14:textId="77777777" w:rsidR="00EC44A5" w:rsidRPr="00EC44A5" w:rsidRDefault="00EC44A5" w:rsidP="00EC44A5">
            <w:pPr>
              <w:rPr>
                <w:rFonts w:ascii="Times New Roman" w:eastAsia="Times New Roman" w:hAnsi="Times New Roman" w:cs="Times New Roman"/>
                <w:i/>
                <w:sz w:val="26"/>
                <w:szCs w:val="26"/>
              </w:rPr>
            </w:pPr>
            <w:r w:rsidRPr="00EC44A5">
              <w:rPr>
                <w:rFonts w:ascii="Times New Roman" w:hAnsi="Times New Roman" w:cs="Times New Roman"/>
                <w:sz w:val="26"/>
                <w:szCs w:val="26"/>
              </w:rPr>
              <w:t xml:space="preserve">Transmission Operator (VAR-002) </w:t>
            </w:r>
          </w:p>
        </w:tc>
        <w:tc>
          <w:tcPr>
            <w:tcW w:w="1170" w:type="dxa"/>
            <w:vAlign w:val="bottom"/>
          </w:tcPr>
          <w:p w14:paraId="709A39FE"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86</w:t>
            </w:r>
          </w:p>
        </w:tc>
        <w:tc>
          <w:tcPr>
            <w:tcW w:w="1440" w:type="dxa"/>
            <w:vAlign w:val="bottom"/>
          </w:tcPr>
          <w:p w14:paraId="709A39FF"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1</w:t>
            </w:r>
          </w:p>
        </w:tc>
        <w:tc>
          <w:tcPr>
            <w:tcW w:w="1350" w:type="dxa"/>
            <w:vAlign w:val="bottom"/>
          </w:tcPr>
          <w:p w14:paraId="709A3A00"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86</w:t>
            </w:r>
          </w:p>
        </w:tc>
        <w:tc>
          <w:tcPr>
            <w:tcW w:w="1440" w:type="dxa"/>
            <w:vAlign w:val="bottom"/>
          </w:tcPr>
          <w:p w14:paraId="709A3A01"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4 hrs.,</w:t>
            </w:r>
          </w:p>
          <w:p w14:paraId="709A3A02"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hAnsi="Times New Roman" w:cs="Times New Roman"/>
                <w:sz w:val="26"/>
                <w:szCs w:val="26"/>
              </w:rPr>
              <w:t>$124.76</w:t>
            </w:r>
          </w:p>
        </w:tc>
        <w:tc>
          <w:tcPr>
            <w:tcW w:w="1620" w:type="dxa"/>
            <w:vAlign w:val="bottom"/>
          </w:tcPr>
          <w:p w14:paraId="709A3A03"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344 hrs.,</w:t>
            </w:r>
          </w:p>
          <w:p w14:paraId="709A3A04"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$10,729.36</w:t>
            </w:r>
          </w:p>
        </w:tc>
        <w:tc>
          <w:tcPr>
            <w:tcW w:w="1170" w:type="dxa"/>
            <w:vAlign w:val="bottom"/>
          </w:tcPr>
          <w:p w14:paraId="709A3A05"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hAnsi="Times New Roman" w:cs="Times New Roman"/>
                <w:sz w:val="26"/>
                <w:szCs w:val="26"/>
              </w:rPr>
              <w:t>$124.76</w:t>
            </w:r>
          </w:p>
        </w:tc>
      </w:tr>
      <w:tr w:rsidR="00EC44A5" w:rsidRPr="00EC44A5" w14:paraId="709A3A10" w14:textId="77777777" w:rsidTr="00D176C1">
        <w:tc>
          <w:tcPr>
            <w:tcW w:w="1795" w:type="dxa"/>
            <w:vAlign w:val="bottom"/>
          </w:tcPr>
          <w:p w14:paraId="709A3A07" w14:textId="77777777" w:rsidR="00EC44A5" w:rsidRPr="00EC44A5" w:rsidRDefault="00EC44A5" w:rsidP="00EC44A5">
            <w:pPr>
              <w:rPr>
                <w:rFonts w:ascii="Times New Roman" w:eastAsia="Times New Roman" w:hAnsi="Times New Roman" w:cs="Times New Roman"/>
                <w:i/>
                <w:sz w:val="26"/>
                <w:szCs w:val="26"/>
              </w:rPr>
            </w:pPr>
            <w:r w:rsidRPr="00EC44A5">
              <w:rPr>
                <w:rFonts w:ascii="Times New Roman" w:hAnsi="Times New Roman" w:cs="Times New Roman"/>
                <w:sz w:val="26"/>
                <w:szCs w:val="26"/>
              </w:rPr>
              <w:t>Transmission Owner that operate qualified transfer paths</w:t>
            </w:r>
          </w:p>
        </w:tc>
        <w:tc>
          <w:tcPr>
            <w:tcW w:w="1170" w:type="dxa"/>
            <w:vAlign w:val="bottom"/>
          </w:tcPr>
          <w:p w14:paraId="709A3A08"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5</w:t>
            </w:r>
          </w:p>
        </w:tc>
        <w:tc>
          <w:tcPr>
            <w:tcW w:w="1440" w:type="dxa"/>
            <w:vAlign w:val="bottom"/>
          </w:tcPr>
          <w:p w14:paraId="709A3A09"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1</w:t>
            </w:r>
          </w:p>
        </w:tc>
        <w:tc>
          <w:tcPr>
            <w:tcW w:w="1350" w:type="dxa"/>
            <w:vAlign w:val="bottom"/>
          </w:tcPr>
          <w:p w14:paraId="709A3A0A"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5</w:t>
            </w:r>
          </w:p>
        </w:tc>
        <w:tc>
          <w:tcPr>
            <w:tcW w:w="1440" w:type="dxa"/>
            <w:vAlign w:val="bottom"/>
          </w:tcPr>
          <w:p w14:paraId="709A3A0B"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12 hrs.,</w:t>
            </w:r>
          </w:p>
          <w:p w14:paraId="709A3A0C"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hAnsi="Times New Roman" w:cs="Times New Roman"/>
                <w:sz w:val="26"/>
                <w:szCs w:val="26"/>
              </w:rPr>
              <w:t>$374.28</w:t>
            </w:r>
          </w:p>
        </w:tc>
        <w:tc>
          <w:tcPr>
            <w:tcW w:w="1620" w:type="dxa"/>
            <w:vAlign w:val="bottom"/>
          </w:tcPr>
          <w:p w14:paraId="709A3A0D"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60 hrs.,</w:t>
            </w:r>
          </w:p>
          <w:p w14:paraId="709A3A0E"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$1,871.40</w:t>
            </w:r>
          </w:p>
        </w:tc>
        <w:tc>
          <w:tcPr>
            <w:tcW w:w="1170" w:type="dxa"/>
            <w:vAlign w:val="bottom"/>
          </w:tcPr>
          <w:p w14:paraId="709A3A0F"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hAnsi="Times New Roman" w:cs="Times New Roman"/>
                <w:sz w:val="26"/>
                <w:szCs w:val="26"/>
              </w:rPr>
              <w:t>$374.28</w:t>
            </w:r>
          </w:p>
        </w:tc>
      </w:tr>
      <w:tr w:rsidR="00EC44A5" w:rsidRPr="00EC44A5" w14:paraId="709A3A1A" w14:textId="77777777" w:rsidTr="00D176C1">
        <w:tc>
          <w:tcPr>
            <w:tcW w:w="1795" w:type="dxa"/>
            <w:vAlign w:val="bottom"/>
          </w:tcPr>
          <w:p w14:paraId="709A3A11" w14:textId="77777777" w:rsidR="00EC44A5" w:rsidRPr="00EC44A5" w:rsidRDefault="00EC44A5" w:rsidP="00EC44A5">
            <w:pPr>
              <w:rPr>
                <w:rFonts w:ascii="Times New Roman" w:eastAsia="Times New Roman" w:hAnsi="Times New Roman" w:cs="Times New Roman"/>
                <w:i/>
                <w:sz w:val="26"/>
                <w:szCs w:val="26"/>
              </w:rPr>
            </w:pPr>
            <w:r w:rsidRPr="00EC44A5">
              <w:rPr>
                <w:rFonts w:ascii="Times New Roman" w:hAnsi="Times New Roman" w:cs="Times New Roman"/>
                <w:sz w:val="26"/>
                <w:szCs w:val="26"/>
              </w:rPr>
              <w:t>Reliability Coordinator</w:t>
            </w:r>
          </w:p>
        </w:tc>
        <w:tc>
          <w:tcPr>
            <w:tcW w:w="1170" w:type="dxa"/>
            <w:vAlign w:val="bottom"/>
          </w:tcPr>
          <w:p w14:paraId="709A3A12"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1</w:t>
            </w:r>
          </w:p>
        </w:tc>
        <w:tc>
          <w:tcPr>
            <w:tcW w:w="1440" w:type="dxa"/>
            <w:vAlign w:val="bottom"/>
          </w:tcPr>
          <w:p w14:paraId="709A3A13" w14:textId="77777777" w:rsidR="00EC44A5" w:rsidRPr="00EC44A5" w:rsidRDefault="00EC44A5" w:rsidP="00EC44A5">
            <w:pPr>
              <w:jc w:val="right"/>
              <w:rPr>
                <w:rFonts w:ascii="Times New Roman" w:eastAsia="Times New Roman" w:hAnsi="Times New Roman" w:cs="Times New Roman"/>
                <w:i/>
                <w:sz w:val="26"/>
                <w:szCs w:val="26"/>
              </w:rPr>
            </w:pPr>
            <w:r w:rsidRPr="00EC44A5">
              <w:rPr>
                <w:rFonts w:ascii="Times New Roman" w:hAnsi="Times New Roman" w:cs="Times New Roman"/>
                <w:sz w:val="26"/>
                <w:szCs w:val="26"/>
              </w:rPr>
              <w:t>1</w:t>
            </w:r>
          </w:p>
        </w:tc>
        <w:tc>
          <w:tcPr>
            <w:tcW w:w="1350" w:type="dxa"/>
            <w:vAlign w:val="bottom"/>
          </w:tcPr>
          <w:p w14:paraId="709A3A14"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1</w:t>
            </w:r>
          </w:p>
        </w:tc>
        <w:tc>
          <w:tcPr>
            <w:tcW w:w="1440" w:type="dxa"/>
            <w:vAlign w:val="bottom"/>
          </w:tcPr>
          <w:p w14:paraId="709A3A15"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1 hr.;</w:t>
            </w:r>
          </w:p>
          <w:p w14:paraId="709A3A16"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hAnsi="Times New Roman" w:cs="Times New Roman"/>
                <w:sz w:val="26"/>
                <w:szCs w:val="26"/>
              </w:rPr>
              <w:t>$31.19</w:t>
            </w:r>
          </w:p>
        </w:tc>
        <w:tc>
          <w:tcPr>
            <w:tcW w:w="1620" w:type="dxa"/>
            <w:vAlign w:val="bottom"/>
          </w:tcPr>
          <w:p w14:paraId="709A3A17"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1 hr.;</w:t>
            </w:r>
          </w:p>
          <w:p w14:paraId="709A3A18"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$31.19</w:t>
            </w:r>
          </w:p>
        </w:tc>
        <w:tc>
          <w:tcPr>
            <w:tcW w:w="1170" w:type="dxa"/>
            <w:vAlign w:val="bottom"/>
          </w:tcPr>
          <w:p w14:paraId="709A3A19"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Times New Roman" w:hAnsi="Times New Roman" w:cs="Times New Roman"/>
                <w:sz w:val="26"/>
                <w:szCs w:val="26"/>
              </w:rPr>
              <w:t>$31.19</w:t>
            </w:r>
          </w:p>
        </w:tc>
      </w:tr>
      <w:tr w:rsidR="00EC44A5" w:rsidRPr="00EC44A5" w14:paraId="709A3A24" w14:textId="77777777" w:rsidTr="00D176C1">
        <w:tc>
          <w:tcPr>
            <w:tcW w:w="1795" w:type="dxa"/>
          </w:tcPr>
          <w:p w14:paraId="709A3A1B" w14:textId="77777777" w:rsidR="00EC44A5" w:rsidRPr="00EC44A5" w:rsidRDefault="00EC44A5" w:rsidP="00EC44A5">
            <w:pPr>
              <w:rPr>
                <w:rFonts w:ascii="Times New Roman" w:hAnsi="Times New Roman" w:cs="Times New Roman"/>
                <w:sz w:val="26"/>
                <w:szCs w:val="26"/>
              </w:rPr>
            </w:pPr>
            <w:r w:rsidRPr="00EC44A5">
              <w:rPr>
                <w:rFonts w:ascii="Times New Roman" w:hAnsi="Times New Roman" w:cs="Times New Roman"/>
                <w:sz w:val="26"/>
                <w:szCs w:val="26"/>
              </w:rPr>
              <w:t>Generator Owners and/or Operators, in Year 1, per RD17-5</w:t>
            </w:r>
            <w:r w:rsidRPr="00EC44A5">
              <w:t xml:space="preserve"> </w:t>
            </w:r>
            <w:r w:rsidRPr="00EC44A5">
              <w:rPr>
                <w:rFonts w:ascii="Times New Roman" w:hAnsi="Times New Roman" w:cs="Times New Roman"/>
                <w:sz w:val="26"/>
                <w:szCs w:val="26"/>
              </w:rPr>
              <w:t>for  VAR-501-WECC-3</w:t>
            </w:r>
          </w:p>
        </w:tc>
        <w:tc>
          <w:tcPr>
            <w:tcW w:w="1170" w:type="dxa"/>
            <w:vAlign w:val="bottom"/>
          </w:tcPr>
          <w:p w14:paraId="709A3A1C" w14:textId="77777777" w:rsidR="00EC44A5" w:rsidRPr="00EC44A5" w:rsidRDefault="00EC44A5" w:rsidP="00EC44A5">
            <w:pPr>
              <w:jc w:val="right"/>
              <w:rPr>
                <w:rFonts w:ascii="Times New Roman" w:hAnsi="Times New Roman" w:cs="Times New Roman"/>
                <w:sz w:val="26"/>
                <w:szCs w:val="26"/>
              </w:rPr>
            </w:pPr>
            <w:r w:rsidRPr="00EC44A5">
              <w:rPr>
                <w:rFonts w:ascii="Times New Roman" w:eastAsia="Calibri" w:hAnsi="Times New Roman" w:cs="Times New Roman"/>
                <w:sz w:val="26"/>
                <w:szCs w:val="26"/>
              </w:rPr>
              <w:t>291</w:t>
            </w:r>
          </w:p>
        </w:tc>
        <w:tc>
          <w:tcPr>
            <w:tcW w:w="1440" w:type="dxa"/>
            <w:vAlign w:val="bottom"/>
          </w:tcPr>
          <w:p w14:paraId="709A3A1D" w14:textId="77777777" w:rsidR="00EC44A5" w:rsidRPr="00EC44A5" w:rsidRDefault="00EC44A5" w:rsidP="00EC44A5">
            <w:pPr>
              <w:jc w:val="right"/>
              <w:rPr>
                <w:rFonts w:ascii="Times New Roman" w:hAnsi="Times New Roman" w:cs="Times New Roman"/>
                <w:sz w:val="26"/>
                <w:szCs w:val="26"/>
              </w:rPr>
            </w:pPr>
            <w:r w:rsidRPr="00EC44A5">
              <w:rPr>
                <w:rFonts w:ascii="Times New Roman" w:eastAsia="Calibri" w:hAnsi="Times New Roman" w:cs="Times New Roman"/>
                <w:sz w:val="26"/>
                <w:szCs w:val="26"/>
              </w:rPr>
              <w:t>3</w:t>
            </w:r>
          </w:p>
        </w:tc>
        <w:tc>
          <w:tcPr>
            <w:tcW w:w="1350" w:type="dxa"/>
            <w:vAlign w:val="bottom"/>
          </w:tcPr>
          <w:p w14:paraId="709A3A1E" w14:textId="77777777" w:rsidR="00EC44A5" w:rsidRPr="00EC44A5" w:rsidRDefault="00EC44A5" w:rsidP="00EC44A5">
            <w:pPr>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873</w:t>
            </w:r>
          </w:p>
        </w:tc>
        <w:tc>
          <w:tcPr>
            <w:tcW w:w="1440" w:type="dxa"/>
            <w:vAlign w:val="bottom"/>
          </w:tcPr>
          <w:p w14:paraId="709A3A1F" w14:textId="77777777" w:rsidR="00EC44A5" w:rsidRPr="00EC44A5" w:rsidRDefault="00EC44A5" w:rsidP="00EC44A5">
            <w:pPr>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 xml:space="preserve">1 hr.; </w:t>
            </w:r>
          </w:p>
          <w:p w14:paraId="709A3A20" w14:textId="77777777" w:rsidR="00EC44A5" w:rsidRPr="00EC44A5" w:rsidRDefault="00EC44A5" w:rsidP="00EC44A5">
            <w:pPr>
              <w:jc w:val="right"/>
              <w:rPr>
                <w:rFonts w:ascii="Times New Roman" w:hAnsi="Times New Roman" w:cs="Times New Roman"/>
                <w:sz w:val="26"/>
                <w:szCs w:val="26"/>
              </w:rPr>
            </w:pPr>
            <w:r w:rsidRPr="00EC44A5">
              <w:rPr>
                <w:rFonts w:ascii="Times New Roman" w:eastAsia="Calibri" w:hAnsi="Times New Roman" w:cs="Times New Roman"/>
                <w:sz w:val="26"/>
                <w:szCs w:val="26"/>
              </w:rPr>
              <w:t>$31.19</w:t>
            </w:r>
          </w:p>
        </w:tc>
        <w:tc>
          <w:tcPr>
            <w:tcW w:w="1620" w:type="dxa"/>
            <w:vAlign w:val="bottom"/>
          </w:tcPr>
          <w:p w14:paraId="709A3A21" w14:textId="77777777" w:rsidR="00EC44A5" w:rsidRPr="00EC44A5" w:rsidRDefault="00EC44A5" w:rsidP="00EC44A5">
            <w:pPr>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 xml:space="preserve">873 hrs.; </w:t>
            </w:r>
          </w:p>
          <w:p w14:paraId="709A3A22"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Calibri" w:hAnsi="Times New Roman" w:cs="Times New Roman"/>
                <w:sz w:val="26"/>
                <w:szCs w:val="26"/>
              </w:rPr>
              <w:t>$27,228.87</w:t>
            </w:r>
          </w:p>
        </w:tc>
        <w:tc>
          <w:tcPr>
            <w:tcW w:w="1170" w:type="dxa"/>
            <w:vAlign w:val="bottom"/>
          </w:tcPr>
          <w:p w14:paraId="709A3A23"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$93.57</w:t>
            </w:r>
          </w:p>
        </w:tc>
      </w:tr>
      <w:tr w:rsidR="00EC44A5" w:rsidRPr="00EC44A5" w14:paraId="709A3A2E" w14:textId="77777777" w:rsidTr="00D176C1">
        <w:tc>
          <w:tcPr>
            <w:tcW w:w="1795" w:type="dxa"/>
          </w:tcPr>
          <w:p w14:paraId="709A3A25" w14:textId="77777777" w:rsidR="00EC44A5" w:rsidRPr="00EC44A5" w:rsidRDefault="00EC44A5" w:rsidP="00EC44A5">
            <w:pPr>
              <w:rPr>
                <w:rFonts w:ascii="Times New Roman" w:hAnsi="Times New Roman" w:cs="Times New Roman"/>
                <w:sz w:val="26"/>
                <w:szCs w:val="26"/>
              </w:rPr>
            </w:pPr>
            <w:r w:rsidRPr="00EC44A5">
              <w:rPr>
                <w:rFonts w:ascii="Times New Roman" w:hAnsi="Times New Roman" w:cs="Times New Roman"/>
                <w:sz w:val="26"/>
                <w:szCs w:val="26"/>
              </w:rPr>
              <w:t>Generator Owners and/or Operators, in Year 2 and Ongoing, per RD17-5</w:t>
            </w:r>
            <w:r w:rsidRPr="00EC44A5">
              <w:t xml:space="preserve"> </w:t>
            </w:r>
            <w:r w:rsidRPr="00EC44A5">
              <w:rPr>
                <w:rFonts w:ascii="Times New Roman" w:hAnsi="Times New Roman" w:cs="Times New Roman"/>
                <w:sz w:val="26"/>
                <w:szCs w:val="26"/>
              </w:rPr>
              <w:t>for  VAR-501-WECC-3</w:t>
            </w:r>
          </w:p>
        </w:tc>
        <w:tc>
          <w:tcPr>
            <w:tcW w:w="1170" w:type="dxa"/>
            <w:vAlign w:val="bottom"/>
          </w:tcPr>
          <w:p w14:paraId="709A3A26" w14:textId="77777777" w:rsidR="00EC44A5" w:rsidRPr="00EC44A5" w:rsidRDefault="00EC44A5" w:rsidP="00EC44A5">
            <w:pPr>
              <w:jc w:val="right"/>
              <w:rPr>
                <w:rFonts w:ascii="Times New Roman" w:hAnsi="Times New Roman" w:cs="Times New Roman"/>
                <w:sz w:val="26"/>
                <w:szCs w:val="26"/>
              </w:rPr>
            </w:pPr>
            <w:r w:rsidRPr="00EC44A5">
              <w:rPr>
                <w:rFonts w:ascii="Times New Roman" w:eastAsia="Calibri" w:hAnsi="Times New Roman" w:cs="Times New Roman"/>
                <w:sz w:val="26"/>
                <w:szCs w:val="26"/>
              </w:rPr>
              <w:t>291</w:t>
            </w:r>
          </w:p>
        </w:tc>
        <w:tc>
          <w:tcPr>
            <w:tcW w:w="1440" w:type="dxa"/>
            <w:vAlign w:val="bottom"/>
          </w:tcPr>
          <w:p w14:paraId="709A3A27" w14:textId="77777777" w:rsidR="00EC44A5" w:rsidRPr="00EC44A5" w:rsidRDefault="00EC44A5" w:rsidP="00EC44A5">
            <w:pPr>
              <w:jc w:val="right"/>
              <w:rPr>
                <w:rFonts w:ascii="Times New Roman" w:hAnsi="Times New Roman" w:cs="Times New Roman"/>
                <w:sz w:val="26"/>
                <w:szCs w:val="26"/>
              </w:rPr>
            </w:pPr>
            <w:r w:rsidRPr="00EC44A5">
              <w:rPr>
                <w:rFonts w:ascii="Times New Roman" w:eastAsia="Calibri" w:hAnsi="Times New Roman" w:cs="Times New Roman"/>
                <w:sz w:val="26"/>
                <w:szCs w:val="26"/>
              </w:rPr>
              <w:t>2</w:t>
            </w:r>
          </w:p>
        </w:tc>
        <w:tc>
          <w:tcPr>
            <w:tcW w:w="1350" w:type="dxa"/>
            <w:vAlign w:val="bottom"/>
          </w:tcPr>
          <w:p w14:paraId="709A3A28" w14:textId="77777777" w:rsidR="00EC44A5" w:rsidRPr="00EC44A5" w:rsidRDefault="00EC44A5" w:rsidP="00EC44A5">
            <w:pPr>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582</w:t>
            </w:r>
          </w:p>
        </w:tc>
        <w:tc>
          <w:tcPr>
            <w:tcW w:w="1440" w:type="dxa"/>
            <w:vAlign w:val="bottom"/>
          </w:tcPr>
          <w:p w14:paraId="709A3A29" w14:textId="77777777" w:rsidR="00EC44A5" w:rsidRPr="00EC44A5" w:rsidRDefault="00EC44A5" w:rsidP="00EC44A5">
            <w:pPr>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0.5 hrs.;</w:t>
            </w:r>
          </w:p>
          <w:p w14:paraId="709A3A2A" w14:textId="77777777" w:rsidR="00EC44A5" w:rsidRPr="00EC44A5" w:rsidRDefault="00EC44A5" w:rsidP="00EC44A5">
            <w:pPr>
              <w:jc w:val="right"/>
              <w:rPr>
                <w:rFonts w:ascii="Times New Roman" w:hAnsi="Times New Roman" w:cs="Times New Roman"/>
                <w:sz w:val="26"/>
                <w:szCs w:val="26"/>
              </w:rPr>
            </w:pPr>
            <w:r w:rsidRPr="00EC44A5">
              <w:rPr>
                <w:rFonts w:ascii="Times New Roman" w:eastAsia="Calibri" w:hAnsi="Times New Roman" w:cs="Times New Roman"/>
                <w:sz w:val="26"/>
                <w:szCs w:val="26"/>
              </w:rPr>
              <w:t>$15.595</w:t>
            </w:r>
          </w:p>
        </w:tc>
        <w:tc>
          <w:tcPr>
            <w:tcW w:w="1620" w:type="dxa"/>
            <w:vAlign w:val="bottom"/>
          </w:tcPr>
          <w:p w14:paraId="709A3A2B" w14:textId="77777777" w:rsidR="00EC44A5" w:rsidRPr="00EC44A5" w:rsidRDefault="00EC44A5" w:rsidP="00EC44A5">
            <w:pPr>
              <w:jc w:val="right"/>
              <w:rPr>
                <w:rFonts w:ascii="Times New Roman" w:eastAsia="Calibri" w:hAnsi="Times New Roman" w:cs="Times New Roman"/>
                <w:sz w:val="26"/>
                <w:szCs w:val="26"/>
              </w:rPr>
            </w:pPr>
            <w:r w:rsidRPr="00EC44A5">
              <w:rPr>
                <w:rFonts w:ascii="Times New Roman" w:eastAsia="Calibri" w:hAnsi="Times New Roman" w:cs="Times New Roman"/>
                <w:sz w:val="26"/>
                <w:szCs w:val="26"/>
              </w:rPr>
              <w:t>291 hrs.;</w:t>
            </w:r>
          </w:p>
          <w:p w14:paraId="709A3A2C" w14:textId="77777777" w:rsidR="00EC44A5" w:rsidRPr="00EC44A5" w:rsidRDefault="00EC44A5" w:rsidP="00EC44A5">
            <w:pPr>
              <w:jc w:val="right"/>
              <w:rPr>
                <w:rFonts w:ascii="Times New Roman" w:eastAsia="Times New Roman" w:hAnsi="Times New Roman" w:cs="Times New Roman"/>
                <w:sz w:val="26"/>
                <w:szCs w:val="26"/>
              </w:rPr>
            </w:pPr>
            <w:r w:rsidRPr="00EC44A5">
              <w:rPr>
                <w:rFonts w:ascii="Times New Roman" w:eastAsia="Calibri" w:hAnsi="Times New Roman" w:cs="Times New Roman"/>
                <w:sz w:val="26"/>
                <w:szCs w:val="26"/>
              </w:rPr>
              <w:t>$9,076.29</w:t>
            </w:r>
          </w:p>
        </w:tc>
        <w:tc>
          <w:tcPr>
            <w:tcW w:w="1170" w:type="dxa"/>
            <w:vAlign w:val="bottom"/>
          </w:tcPr>
          <w:p w14:paraId="709A3A2D"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sz w:val="26"/>
                <w:szCs w:val="26"/>
              </w:rPr>
              <w:t>$31.19</w:t>
            </w:r>
          </w:p>
        </w:tc>
      </w:tr>
      <w:tr w:rsidR="00EC44A5" w:rsidRPr="00EC44A5" w14:paraId="709A3A35" w14:textId="77777777" w:rsidTr="00D176C1">
        <w:trPr>
          <w:trHeight w:val="683"/>
        </w:trPr>
        <w:tc>
          <w:tcPr>
            <w:tcW w:w="4405" w:type="dxa"/>
            <w:gridSpan w:val="3"/>
            <w:vAlign w:val="bottom"/>
          </w:tcPr>
          <w:p w14:paraId="709A3A2F" w14:textId="77777777" w:rsidR="00EC44A5" w:rsidRPr="00EC44A5" w:rsidRDefault="00EC44A5" w:rsidP="00EC44A5">
            <w:pPr>
              <w:rPr>
                <w:rFonts w:ascii="Times New Roman" w:hAnsi="Times New Roman" w:cs="Times New Roman"/>
                <w:sz w:val="26"/>
                <w:szCs w:val="26"/>
              </w:rPr>
            </w:pPr>
            <w:r w:rsidRPr="00EC44A5">
              <w:rPr>
                <w:rFonts w:ascii="Times New Roman" w:hAnsi="Times New Roman" w:cs="Times New Roman"/>
                <w:b/>
                <w:sz w:val="26"/>
                <w:szCs w:val="26"/>
              </w:rPr>
              <w:t>Total for Recordkeeping Requirements in Yr. 1</w:t>
            </w:r>
          </w:p>
        </w:tc>
        <w:tc>
          <w:tcPr>
            <w:tcW w:w="1350" w:type="dxa"/>
          </w:tcPr>
          <w:p w14:paraId="709A3A30" w14:textId="77777777" w:rsidR="00EC44A5" w:rsidRPr="00EC44A5" w:rsidRDefault="00EC44A5" w:rsidP="00EC44A5">
            <w:pPr>
              <w:jc w:val="right"/>
              <w:rPr>
                <w:rFonts w:ascii="Times New Roman" w:eastAsia="Times New Roman" w:hAnsi="Times New Roman" w:cs="Times New Roman"/>
                <w:i/>
                <w:sz w:val="26"/>
                <w:szCs w:val="26"/>
              </w:rPr>
            </w:pPr>
          </w:p>
        </w:tc>
        <w:tc>
          <w:tcPr>
            <w:tcW w:w="1440" w:type="dxa"/>
            <w:vAlign w:val="bottom"/>
          </w:tcPr>
          <w:p w14:paraId="709A3A31" w14:textId="77777777" w:rsidR="00EC44A5" w:rsidRPr="00EC44A5" w:rsidRDefault="00EC44A5" w:rsidP="00EC44A5">
            <w:pPr>
              <w:jc w:val="right"/>
              <w:rPr>
                <w:rFonts w:ascii="Times New Roman" w:eastAsia="Times New Roman" w:hAnsi="Times New Roman" w:cs="Times New Roman"/>
                <w:i/>
                <w:sz w:val="26"/>
                <w:szCs w:val="26"/>
              </w:rPr>
            </w:pPr>
          </w:p>
        </w:tc>
        <w:tc>
          <w:tcPr>
            <w:tcW w:w="1620" w:type="dxa"/>
            <w:vAlign w:val="bottom"/>
          </w:tcPr>
          <w:p w14:paraId="709A3A32" w14:textId="77777777" w:rsidR="00EC44A5" w:rsidRPr="00EC44A5" w:rsidRDefault="00EC44A5" w:rsidP="00EC44A5">
            <w:pPr>
              <w:jc w:val="right"/>
              <w:rPr>
                <w:rFonts w:ascii="Times New Roman" w:hAnsi="Times New Roman" w:cs="Times New Roman"/>
                <w:b/>
                <w:sz w:val="26"/>
                <w:szCs w:val="26"/>
              </w:rPr>
            </w:pPr>
            <w:r w:rsidRPr="00EC44A5">
              <w:rPr>
                <w:rFonts w:ascii="Times New Roman" w:hAnsi="Times New Roman" w:cs="Times New Roman"/>
                <w:b/>
                <w:sz w:val="26"/>
                <w:szCs w:val="26"/>
              </w:rPr>
              <w:t>1,611.4 hrs.;</w:t>
            </w:r>
          </w:p>
          <w:p w14:paraId="709A3A33"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b/>
                <w:sz w:val="26"/>
                <w:szCs w:val="26"/>
              </w:rPr>
              <w:t>$50,259.57.</w:t>
            </w:r>
          </w:p>
        </w:tc>
        <w:tc>
          <w:tcPr>
            <w:tcW w:w="1170" w:type="dxa"/>
            <w:vAlign w:val="bottom"/>
          </w:tcPr>
          <w:p w14:paraId="709A3A34" w14:textId="77777777" w:rsidR="00EC44A5" w:rsidRPr="00EC44A5" w:rsidRDefault="00EC44A5" w:rsidP="00EC44A5">
            <w:pPr>
              <w:jc w:val="right"/>
              <w:rPr>
                <w:rFonts w:ascii="Times New Roman" w:hAnsi="Times New Roman" w:cs="Times New Roman"/>
                <w:sz w:val="26"/>
                <w:szCs w:val="26"/>
              </w:rPr>
            </w:pPr>
          </w:p>
        </w:tc>
      </w:tr>
      <w:tr w:rsidR="00EC44A5" w:rsidRPr="00EC44A5" w14:paraId="709A3A3C" w14:textId="77777777" w:rsidTr="00D176C1">
        <w:trPr>
          <w:trHeight w:val="683"/>
        </w:trPr>
        <w:tc>
          <w:tcPr>
            <w:tcW w:w="4405" w:type="dxa"/>
            <w:gridSpan w:val="3"/>
            <w:vAlign w:val="bottom"/>
          </w:tcPr>
          <w:p w14:paraId="709A3A36" w14:textId="77777777" w:rsidR="00EC44A5" w:rsidRPr="00EC44A5" w:rsidRDefault="00EC44A5" w:rsidP="00EC44A5">
            <w:pPr>
              <w:rPr>
                <w:rFonts w:ascii="Times New Roman" w:hAnsi="Times New Roman" w:cs="Times New Roman"/>
                <w:b/>
                <w:sz w:val="26"/>
                <w:szCs w:val="26"/>
              </w:rPr>
            </w:pPr>
            <w:r w:rsidRPr="00EC44A5">
              <w:rPr>
                <w:rFonts w:ascii="Times New Roman" w:hAnsi="Times New Roman" w:cs="Times New Roman"/>
                <w:b/>
                <w:sz w:val="26"/>
                <w:szCs w:val="26"/>
              </w:rPr>
              <w:t>Total for Recordkeeping Requirements in Yr. 2 &amp; ongoing</w:t>
            </w:r>
          </w:p>
        </w:tc>
        <w:tc>
          <w:tcPr>
            <w:tcW w:w="1350" w:type="dxa"/>
          </w:tcPr>
          <w:p w14:paraId="709A3A37" w14:textId="77777777" w:rsidR="00EC44A5" w:rsidRPr="00EC44A5" w:rsidRDefault="00EC44A5" w:rsidP="00EC44A5">
            <w:pPr>
              <w:jc w:val="right"/>
              <w:rPr>
                <w:rFonts w:ascii="Times New Roman" w:eastAsia="Times New Roman" w:hAnsi="Times New Roman" w:cs="Times New Roman"/>
                <w:i/>
                <w:sz w:val="26"/>
                <w:szCs w:val="26"/>
              </w:rPr>
            </w:pPr>
          </w:p>
        </w:tc>
        <w:tc>
          <w:tcPr>
            <w:tcW w:w="1440" w:type="dxa"/>
            <w:vAlign w:val="bottom"/>
          </w:tcPr>
          <w:p w14:paraId="709A3A38" w14:textId="77777777" w:rsidR="00EC44A5" w:rsidRPr="00EC44A5" w:rsidRDefault="00EC44A5" w:rsidP="00EC44A5">
            <w:pPr>
              <w:jc w:val="right"/>
              <w:rPr>
                <w:rFonts w:ascii="Times New Roman" w:eastAsia="Times New Roman" w:hAnsi="Times New Roman" w:cs="Times New Roman"/>
                <w:i/>
                <w:sz w:val="26"/>
                <w:szCs w:val="26"/>
              </w:rPr>
            </w:pPr>
          </w:p>
        </w:tc>
        <w:tc>
          <w:tcPr>
            <w:tcW w:w="1620" w:type="dxa"/>
            <w:vAlign w:val="bottom"/>
          </w:tcPr>
          <w:p w14:paraId="709A3A39" w14:textId="77777777" w:rsidR="00EC44A5" w:rsidRPr="00EC44A5" w:rsidRDefault="00EC44A5" w:rsidP="00EC44A5">
            <w:pPr>
              <w:jc w:val="right"/>
              <w:rPr>
                <w:rFonts w:ascii="Times New Roman" w:hAnsi="Times New Roman" w:cs="Times New Roman"/>
                <w:b/>
                <w:sz w:val="26"/>
                <w:szCs w:val="26"/>
              </w:rPr>
            </w:pPr>
            <w:r w:rsidRPr="00EC44A5">
              <w:rPr>
                <w:rFonts w:ascii="Times New Roman" w:hAnsi="Times New Roman" w:cs="Times New Roman"/>
                <w:b/>
                <w:sz w:val="26"/>
                <w:szCs w:val="26"/>
              </w:rPr>
              <w:t xml:space="preserve">1,029.4 hrs.; </w:t>
            </w:r>
          </w:p>
          <w:p w14:paraId="709A3A3A" w14:textId="77777777" w:rsidR="00EC44A5" w:rsidRPr="00EC44A5" w:rsidRDefault="00EC44A5" w:rsidP="00EC44A5">
            <w:pPr>
              <w:jc w:val="right"/>
              <w:rPr>
                <w:rFonts w:ascii="Times New Roman" w:hAnsi="Times New Roman" w:cs="Times New Roman"/>
                <w:b/>
                <w:sz w:val="26"/>
                <w:szCs w:val="26"/>
              </w:rPr>
            </w:pPr>
            <w:r w:rsidRPr="00EC44A5">
              <w:rPr>
                <w:rFonts w:ascii="Times New Roman" w:hAnsi="Times New Roman" w:cs="Times New Roman"/>
                <w:b/>
                <w:sz w:val="26"/>
                <w:szCs w:val="26"/>
              </w:rPr>
              <w:t>$32,106.99</w:t>
            </w:r>
          </w:p>
        </w:tc>
        <w:tc>
          <w:tcPr>
            <w:tcW w:w="1170" w:type="dxa"/>
            <w:vAlign w:val="bottom"/>
          </w:tcPr>
          <w:p w14:paraId="709A3A3B" w14:textId="77777777" w:rsidR="00EC44A5" w:rsidRPr="00EC44A5" w:rsidRDefault="00EC44A5" w:rsidP="00EC44A5">
            <w:pPr>
              <w:jc w:val="right"/>
              <w:rPr>
                <w:rFonts w:ascii="Times New Roman" w:hAnsi="Times New Roman" w:cs="Times New Roman"/>
                <w:sz w:val="26"/>
                <w:szCs w:val="26"/>
              </w:rPr>
            </w:pPr>
          </w:p>
        </w:tc>
      </w:tr>
      <w:tr w:rsidR="00EC44A5" w:rsidRPr="00EC44A5" w14:paraId="709A3A43" w14:textId="77777777" w:rsidTr="00D176C1">
        <w:tc>
          <w:tcPr>
            <w:tcW w:w="4405" w:type="dxa"/>
            <w:gridSpan w:val="3"/>
            <w:vAlign w:val="bottom"/>
          </w:tcPr>
          <w:p w14:paraId="709A3A3D" w14:textId="77777777" w:rsidR="00EC44A5" w:rsidRPr="00EC44A5" w:rsidRDefault="00EC44A5" w:rsidP="00EC44A5">
            <w:pPr>
              <w:rPr>
                <w:rFonts w:ascii="Times New Roman" w:hAnsi="Times New Roman" w:cs="Times New Roman"/>
                <w:sz w:val="26"/>
                <w:szCs w:val="26"/>
              </w:rPr>
            </w:pPr>
            <w:r w:rsidRPr="00EC44A5">
              <w:rPr>
                <w:rFonts w:ascii="Times New Roman" w:hAnsi="Times New Roman" w:cs="Times New Roman"/>
                <w:b/>
                <w:sz w:val="26"/>
                <w:szCs w:val="26"/>
              </w:rPr>
              <w:t>TOTAL FOR FERC-725E, IN YR. 1</w:t>
            </w:r>
          </w:p>
        </w:tc>
        <w:tc>
          <w:tcPr>
            <w:tcW w:w="1350" w:type="dxa"/>
            <w:vAlign w:val="bottom"/>
          </w:tcPr>
          <w:p w14:paraId="709A3A3E" w14:textId="77777777" w:rsidR="00EC44A5" w:rsidRPr="00EC44A5" w:rsidRDefault="00EC44A5" w:rsidP="00EC44A5">
            <w:pPr>
              <w:jc w:val="right"/>
              <w:rPr>
                <w:rFonts w:ascii="Times New Roman" w:eastAsia="Times New Roman" w:hAnsi="Times New Roman" w:cs="Times New Roman"/>
                <w:i/>
                <w:sz w:val="26"/>
                <w:szCs w:val="26"/>
              </w:rPr>
            </w:pPr>
          </w:p>
        </w:tc>
        <w:tc>
          <w:tcPr>
            <w:tcW w:w="1440" w:type="dxa"/>
            <w:vAlign w:val="bottom"/>
          </w:tcPr>
          <w:p w14:paraId="709A3A3F" w14:textId="77777777" w:rsidR="00EC44A5" w:rsidRPr="00EC44A5" w:rsidRDefault="00EC44A5" w:rsidP="00EC44A5">
            <w:pPr>
              <w:jc w:val="right"/>
              <w:rPr>
                <w:rFonts w:ascii="Times New Roman" w:eastAsia="Times New Roman" w:hAnsi="Times New Roman" w:cs="Times New Roman"/>
                <w:i/>
                <w:sz w:val="26"/>
                <w:szCs w:val="26"/>
              </w:rPr>
            </w:pPr>
          </w:p>
        </w:tc>
        <w:tc>
          <w:tcPr>
            <w:tcW w:w="1620" w:type="dxa"/>
            <w:vAlign w:val="bottom"/>
          </w:tcPr>
          <w:p w14:paraId="709A3A40" w14:textId="77777777" w:rsidR="00EC44A5" w:rsidRPr="00EC44A5" w:rsidRDefault="00EC44A5" w:rsidP="00EC44A5">
            <w:pPr>
              <w:jc w:val="right"/>
              <w:rPr>
                <w:rFonts w:ascii="Times New Roman" w:hAnsi="Times New Roman" w:cs="Times New Roman"/>
                <w:b/>
                <w:sz w:val="26"/>
                <w:szCs w:val="26"/>
              </w:rPr>
            </w:pPr>
            <w:r w:rsidRPr="00EC44A5">
              <w:rPr>
                <w:rFonts w:ascii="Times New Roman" w:hAnsi="Times New Roman" w:cs="Times New Roman"/>
                <w:b/>
                <w:sz w:val="26"/>
                <w:szCs w:val="26"/>
              </w:rPr>
              <w:t>9,522.4 hrs.;</w:t>
            </w:r>
          </w:p>
          <w:p w14:paraId="709A3A41" w14:textId="77777777" w:rsidR="00EC44A5" w:rsidRPr="00EC44A5" w:rsidRDefault="00EC44A5" w:rsidP="00EC44A5">
            <w:pPr>
              <w:jc w:val="right"/>
              <w:rPr>
                <w:rFonts w:ascii="Times New Roman" w:hAnsi="Times New Roman" w:cs="Times New Roman"/>
                <w:sz w:val="26"/>
                <w:szCs w:val="26"/>
              </w:rPr>
            </w:pPr>
            <w:r w:rsidRPr="00EC44A5">
              <w:rPr>
                <w:rFonts w:ascii="Times New Roman" w:hAnsi="Times New Roman" w:cs="Times New Roman"/>
                <w:b/>
                <w:sz w:val="26"/>
                <w:szCs w:val="26"/>
              </w:rPr>
              <w:t>$659,327.46</w:t>
            </w:r>
          </w:p>
        </w:tc>
        <w:tc>
          <w:tcPr>
            <w:tcW w:w="1170" w:type="dxa"/>
            <w:vAlign w:val="bottom"/>
          </w:tcPr>
          <w:p w14:paraId="709A3A42" w14:textId="77777777" w:rsidR="00EC44A5" w:rsidRPr="00EC44A5" w:rsidRDefault="00EC44A5" w:rsidP="00EC44A5">
            <w:pPr>
              <w:jc w:val="right"/>
              <w:rPr>
                <w:rFonts w:ascii="Times New Roman" w:hAnsi="Times New Roman" w:cs="Times New Roman"/>
                <w:sz w:val="26"/>
                <w:szCs w:val="26"/>
              </w:rPr>
            </w:pPr>
          </w:p>
        </w:tc>
      </w:tr>
      <w:tr w:rsidR="00EC44A5" w:rsidRPr="00EC44A5" w14:paraId="709A3A4A" w14:textId="77777777" w:rsidTr="00D176C1">
        <w:tc>
          <w:tcPr>
            <w:tcW w:w="4405" w:type="dxa"/>
            <w:gridSpan w:val="3"/>
            <w:vAlign w:val="bottom"/>
          </w:tcPr>
          <w:p w14:paraId="709A3A44" w14:textId="77777777" w:rsidR="00EC44A5" w:rsidRPr="00EC44A5" w:rsidRDefault="00EC44A5" w:rsidP="00EC44A5">
            <w:pPr>
              <w:rPr>
                <w:rFonts w:ascii="Times New Roman" w:hAnsi="Times New Roman" w:cs="Times New Roman"/>
                <w:b/>
                <w:sz w:val="26"/>
                <w:szCs w:val="26"/>
              </w:rPr>
            </w:pPr>
            <w:r w:rsidRPr="00EC44A5">
              <w:rPr>
                <w:rFonts w:ascii="Times New Roman" w:hAnsi="Times New Roman" w:cs="Times New Roman"/>
                <w:b/>
                <w:sz w:val="26"/>
                <w:szCs w:val="26"/>
              </w:rPr>
              <w:t>TOTAL FOR FERC-725E, IN YR. 2 &amp; ONGOING</w:t>
            </w:r>
          </w:p>
        </w:tc>
        <w:tc>
          <w:tcPr>
            <w:tcW w:w="1350" w:type="dxa"/>
            <w:vAlign w:val="bottom"/>
          </w:tcPr>
          <w:p w14:paraId="709A3A45" w14:textId="77777777" w:rsidR="00EC44A5" w:rsidRPr="00EC44A5" w:rsidRDefault="00EC44A5" w:rsidP="00EC44A5">
            <w:pPr>
              <w:jc w:val="right"/>
              <w:rPr>
                <w:rFonts w:ascii="Times New Roman" w:eastAsia="Times New Roman" w:hAnsi="Times New Roman" w:cs="Times New Roman"/>
                <w:i/>
                <w:sz w:val="26"/>
                <w:szCs w:val="26"/>
              </w:rPr>
            </w:pPr>
          </w:p>
        </w:tc>
        <w:tc>
          <w:tcPr>
            <w:tcW w:w="1440" w:type="dxa"/>
            <w:vAlign w:val="bottom"/>
          </w:tcPr>
          <w:p w14:paraId="709A3A46" w14:textId="77777777" w:rsidR="00EC44A5" w:rsidRPr="00EC44A5" w:rsidRDefault="00EC44A5" w:rsidP="00EC44A5">
            <w:pPr>
              <w:jc w:val="right"/>
              <w:rPr>
                <w:rFonts w:ascii="Times New Roman" w:eastAsia="Times New Roman" w:hAnsi="Times New Roman" w:cs="Times New Roman"/>
                <w:i/>
                <w:sz w:val="26"/>
                <w:szCs w:val="26"/>
              </w:rPr>
            </w:pPr>
          </w:p>
        </w:tc>
        <w:tc>
          <w:tcPr>
            <w:tcW w:w="1620" w:type="dxa"/>
            <w:vAlign w:val="bottom"/>
          </w:tcPr>
          <w:p w14:paraId="709A3A47" w14:textId="77777777" w:rsidR="00EC44A5" w:rsidRPr="00EC44A5" w:rsidRDefault="00EC44A5" w:rsidP="00EC44A5">
            <w:pPr>
              <w:jc w:val="right"/>
              <w:rPr>
                <w:rFonts w:ascii="Times New Roman" w:hAnsi="Times New Roman" w:cs="Times New Roman"/>
                <w:b/>
                <w:sz w:val="26"/>
                <w:szCs w:val="26"/>
              </w:rPr>
            </w:pPr>
            <w:r w:rsidRPr="00EC44A5">
              <w:rPr>
                <w:rFonts w:ascii="Times New Roman" w:hAnsi="Times New Roman" w:cs="Times New Roman"/>
                <w:b/>
                <w:sz w:val="26"/>
                <w:szCs w:val="26"/>
              </w:rPr>
              <w:t>8,649.4 hrs.;</w:t>
            </w:r>
          </w:p>
          <w:p w14:paraId="709A3A48" w14:textId="77777777" w:rsidR="00EC44A5" w:rsidRPr="00EC44A5" w:rsidRDefault="00EC44A5" w:rsidP="00EC44A5">
            <w:pPr>
              <w:jc w:val="right"/>
              <w:rPr>
                <w:rFonts w:ascii="Times New Roman" w:hAnsi="Times New Roman" w:cs="Times New Roman"/>
                <w:b/>
                <w:sz w:val="26"/>
                <w:szCs w:val="26"/>
              </w:rPr>
            </w:pPr>
            <w:r w:rsidRPr="00EC44A5">
              <w:rPr>
                <w:rFonts w:ascii="Times New Roman" w:hAnsi="Times New Roman" w:cs="Times New Roman"/>
                <w:b/>
                <w:sz w:val="26"/>
                <w:szCs w:val="26"/>
              </w:rPr>
              <w:t>$618,770.79</w:t>
            </w:r>
          </w:p>
        </w:tc>
        <w:tc>
          <w:tcPr>
            <w:tcW w:w="1170" w:type="dxa"/>
            <w:vAlign w:val="bottom"/>
          </w:tcPr>
          <w:p w14:paraId="709A3A49" w14:textId="77777777" w:rsidR="00EC44A5" w:rsidRPr="00EC44A5" w:rsidRDefault="00EC44A5" w:rsidP="00EC44A5">
            <w:pPr>
              <w:jc w:val="right"/>
              <w:rPr>
                <w:rFonts w:ascii="Times New Roman" w:hAnsi="Times New Roman" w:cs="Times New Roman"/>
                <w:sz w:val="26"/>
                <w:szCs w:val="26"/>
              </w:rPr>
            </w:pPr>
          </w:p>
        </w:tc>
      </w:tr>
    </w:tbl>
    <w:p w14:paraId="709A3A4B" w14:textId="77777777" w:rsidR="00EC44A5" w:rsidRPr="00EC44A5" w:rsidRDefault="00EC44A5" w:rsidP="00EC44A5">
      <w:pPr>
        <w:spacing w:after="0" w:line="240" w:lineRule="auto"/>
        <w:rPr>
          <w:rFonts w:ascii="Times New Roman" w:hAnsi="Times New Roman" w:cs="Times New Roman"/>
          <w:sz w:val="26"/>
          <w:szCs w:val="26"/>
        </w:rPr>
      </w:pPr>
    </w:p>
    <w:p w14:paraId="709A3A4C" w14:textId="77777777" w:rsidR="00EC44A5" w:rsidRPr="00EC44A5" w:rsidRDefault="00EC44A5" w:rsidP="00EC44A5">
      <w:pPr>
        <w:spacing w:after="0" w:line="240" w:lineRule="auto"/>
        <w:rPr>
          <w:rFonts w:ascii="Times New Roman" w:hAnsi="Times New Roman" w:cs="Times New Roman"/>
          <w:sz w:val="26"/>
          <w:szCs w:val="26"/>
        </w:rPr>
      </w:pPr>
    </w:p>
    <w:p w14:paraId="709A3A4D" w14:textId="77777777" w:rsidR="00EC44A5" w:rsidRPr="00EC44A5" w:rsidRDefault="00EC44A5" w:rsidP="00EC44A5">
      <w:pPr>
        <w:spacing w:line="480" w:lineRule="auto"/>
        <w:rPr>
          <w:rFonts w:ascii="Times New Roman" w:hAnsi="Times New Roman" w:cs="Times New Roman"/>
          <w:sz w:val="26"/>
          <w:szCs w:val="26"/>
        </w:rPr>
      </w:pPr>
      <w:r w:rsidRPr="00EC44A5">
        <w:rPr>
          <w:rFonts w:ascii="Times New Roman" w:hAnsi="Times New Roman" w:cs="Times New Roman"/>
          <w:i/>
          <w:sz w:val="26"/>
          <w:szCs w:val="26"/>
        </w:rPr>
        <w:t xml:space="preserve">Comments:  </w:t>
      </w:r>
      <w:r w:rsidRPr="00EC44A5">
        <w:rPr>
          <w:rFonts w:ascii="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709A3A4E" w14:textId="77777777" w:rsidR="00EC44A5" w:rsidRPr="00EC44A5" w:rsidRDefault="00EC44A5" w:rsidP="00EC44A5">
      <w:pPr>
        <w:spacing w:line="480" w:lineRule="auto"/>
        <w:rPr>
          <w:rFonts w:ascii="Times New Roman" w:hAnsi="Times New Roman" w:cs="Times New Roman"/>
          <w:sz w:val="26"/>
          <w:szCs w:val="26"/>
        </w:rPr>
      </w:pPr>
    </w:p>
    <w:p w14:paraId="709A3A4F" w14:textId="77777777" w:rsidR="00EC44A5" w:rsidRPr="00EC44A5" w:rsidRDefault="00EC44A5" w:rsidP="00EC44A5">
      <w:pPr>
        <w:spacing w:after="0" w:line="240" w:lineRule="auto"/>
        <w:ind w:firstLine="2174"/>
        <w:jc w:val="center"/>
        <w:rPr>
          <w:rFonts w:ascii="Times New Roman" w:hAnsi="Times New Roman" w:cs="Times New Roman"/>
          <w:sz w:val="26"/>
          <w:szCs w:val="26"/>
        </w:rPr>
      </w:pPr>
      <w:r w:rsidRPr="00EC44A5">
        <w:rPr>
          <w:rFonts w:ascii="Times New Roman" w:hAnsi="Times New Roman" w:cs="Times New Roman"/>
          <w:sz w:val="26"/>
          <w:szCs w:val="26"/>
        </w:rPr>
        <w:t>Kimberly D. Bose,</w:t>
      </w:r>
    </w:p>
    <w:p w14:paraId="709A3A50" w14:textId="77777777" w:rsidR="00EC44A5" w:rsidRPr="00EC44A5" w:rsidRDefault="00EC44A5" w:rsidP="00EC44A5">
      <w:pPr>
        <w:spacing w:after="0" w:line="240" w:lineRule="auto"/>
        <w:ind w:firstLine="2174"/>
        <w:jc w:val="center"/>
        <w:rPr>
          <w:rFonts w:ascii="Times New Roman" w:hAnsi="Times New Roman" w:cs="Times New Roman"/>
          <w:sz w:val="26"/>
          <w:szCs w:val="26"/>
        </w:rPr>
      </w:pPr>
      <w:r w:rsidRPr="00EC44A5">
        <w:rPr>
          <w:rFonts w:ascii="Times New Roman" w:hAnsi="Times New Roman" w:cs="Times New Roman"/>
          <w:sz w:val="26"/>
          <w:szCs w:val="26"/>
        </w:rPr>
        <w:t>Secretary</w:t>
      </w:r>
    </w:p>
    <w:p w14:paraId="709A3A51" w14:textId="77777777" w:rsidR="00EC44A5" w:rsidRPr="00EC44A5" w:rsidRDefault="00EC44A5" w:rsidP="00EC44A5">
      <w:pPr>
        <w:spacing w:line="480" w:lineRule="auto"/>
        <w:rPr>
          <w:rFonts w:ascii="Times New Roman" w:hAnsi="Times New Roman" w:cs="Times New Roman"/>
          <w:sz w:val="26"/>
          <w:szCs w:val="26"/>
        </w:rPr>
      </w:pPr>
    </w:p>
    <w:p w14:paraId="709A3A52" w14:textId="77777777" w:rsidR="00EC44A5" w:rsidRPr="00EC44A5" w:rsidRDefault="00EC44A5" w:rsidP="00EC44A5">
      <w:pPr>
        <w:spacing w:line="480" w:lineRule="auto"/>
        <w:rPr>
          <w:rFonts w:ascii="Times New Roman" w:hAnsi="Times New Roman" w:cs="Times New Roman"/>
          <w:sz w:val="26"/>
          <w:szCs w:val="26"/>
        </w:rPr>
      </w:pPr>
    </w:p>
    <w:p w14:paraId="709A3A53" w14:textId="77777777" w:rsidR="00EC44A5" w:rsidRDefault="00EC44A5" w:rsidP="00EC44A5">
      <w:pPr>
        <w:spacing w:line="480" w:lineRule="auto"/>
      </w:pPr>
    </w:p>
    <w:sectPr w:rsidR="00EC44A5" w:rsidSect="001F7EA3">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3713" w14:textId="77777777" w:rsidR="00250BBB" w:rsidRDefault="00250BBB" w:rsidP="00EC44A5">
      <w:pPr>
        <w:spacing w:after="0" w:line="240" w:lineRule="auto"/>
      </w:pPr>
      <w:r>
        <w:separator/>
      </w:r>
    </w:p>
  </w:endnote>
  <w:endnote w:type="continuationSeparator" w:id="0">
    <w:p w14:paraId="49A4B80F" w14:textId="77777777" w:rsidR="00250BBB" w:rsidRDefault="00250BBB" w:rsidP="00EC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0BDD0" w14:textId="77777777" w:rsidR="00250BBB" w:rsidRDefault="00250BBB" w:rsidP="00EC44A5">
      <w:pPr>
        <w:spacing w:after="0" w:line="240" w:lineRule="auto"/>
      </w:pPr>
      <w:r>
        <w:separator/>
      </w:r>
    </w:p>
  </w:footnote>
  <w:footnote w:type="continuationSeparator" w:id="0">
    <w:p w14:paraId="4519E2CD" w14:textId="77777777" w:rsidR="00250BBB" w:rsidRDefault="00250BBB" w:rsidP="00EC44A5">
      <w:pPr>
        <w:spacing w:after="0" w:line="240" w:lineRule="auto"/>
      </w:pPr>
      <w:r>
        <w:continuationSeparator/>
      </w:r>
    </w:p>
  </w:footnote>
  <w:footnote w:id="1">
    <w:p w14:paraId="709A3A58" w14:textId="77777777" w:rsidR="00EC44A5" w:rsidRPr="003F7F4B" w:rsidRDefault="00EC44A5" w:rsidP="00EC44A5">
      <w:pPr>
        <w:pStyle w:val="FootnoteText"/>
        <w:rPr>
          <w:rFonts w:ascii="Times New Roman" w:hAnsi="Times New Roman" w:cs="Times New Roman"/>
        </w:rPr>
      </w:pPr>
      <w:r w:rsidRPr="00112756">
        <w:rPr>
          <w:rStyle w:val="FootnoteReference"/>
        </w:rPr>
        <w:footnoteRef/>
      </w:r>
      <w:r w:rsidRPr="00112756">
        <w:rPr>
          <w:sz w:val="26"/>
          <w:szCs w:val="26"/>
        </w:rPr>
        <w:t xml:space="preserve"> </w:t>
      </w:r>
      <w:r w:rsidRPr="003F7F4B">
        <w:rPr>
          <w:rFonts w:ascii="Times New Roman" w:hAnsi="Times New Roman" w:cs="Times New Roman"/>
          <w:sz w:val="26"/>
          <w:szCs w:val="26"/>
        </w:rPr>
        <w:t xml:space="preserve">The burdens related to Order No. </w:t>
      </w:r>
      <w:r w:rsidRPr="00E01816">
        <w:rPr>
          <w:rFonts w:ascii="Times New Roman" w:hAnsi="Times New Roman" w:cs="Times New Roman"/>
          <w:sz w:val="26"/>
          <w:szCs w:val="26"/>
        </w:rPr>
        <w:t>817</w:t>
      </w:r>
      <w:r w:rsidRPr="003F7F4B">
        <w:rPr>
          <w:rFonts w:ascii="Times New Roman" w:hAnsi="Times New Roman" w:cs="Times New Roman"/>
          <w:sz w:val="26"/>
          <w:szCs w:val="26"/>
        </w:rPr>
        <w:t xml:space="preserve"> are included in FERC-725Z (Mandatory Reliability Standards:  IRO Reliability Standards, OMB Control No. 1902-0276), and FERC-725A Mandatory Reliability Standards for the Bulk-Power System, OMB Control No. 1902-0244).</w:t>
      </w:r>
    </w:p>
  </w:footnote>
  <w:footnote w:id="2">
    <w:p w14:paraId="709A3A59" w14:textId="77777777" w:rsidR="00EC44A5" w:rsidRPr="003F7F4B" w:rsidRDefault="00EC44A5" w:rsidP="00EC44A5">
      <w:pPr>
        <w:pStyle w:val="FootnoteText"/>
        <w:rPr>
          <w:rFonts w:ascii="Times New Roman" w:hAnsi="Times New Roman" w:cs="Times New Roman"/>
          <w:sz w:val="26"/>
          <w:szCs w:val="26"/>
        </w:rPr>
      </w:pPr>
      <w:r w:rsidRPr="003F7F4B">
        <w:rPr>
          <w:rStyle w:val="FootnoteReference"/>
          <w:rFonts w:cs="Times New Roman"/>
        </w:rPr>
        <w:footnoteRef/>
      </w:r>
      <w:r w:rsidRPr="003F7F4B">
        <w:rPr>
          <w:rFonts w:ascii="Times New Roman" w:hAnsi="Times New Roman" w:cs="Times New Roman"/>
          <w:sz w:val="26"/>
          <w:szCs w:val="26"/>
        </w:rPr>
        <w:t xml:space="preserve"> The Delegated Letter Order is posted in FERC’s eLibrary at </w:t>
      </w:r>
      <w:hyperlink r:id="rId1" w:history="1">
        <w:r w:rsidRPr="003F7F4B">
          <w:rPr>
            <w:rStyle w:val="Hyperlink"/>
            <w:rFonts w:ascii="Times New Roman" w:hAnsi="Times New Roman" w:cs="Times New Roman"/>
            <w:sz w:val="26"/>
            <w:szCs w:val="26"/>
          </w:rPr>
          <w:t>https://elibrary.ferc.gov/idmws/common/opennat.asp?fileID=14515285</w:t>
        </w:r>
      </w:hyperlink>
      <w:r w:rsidRPr="003F7F4B">
        <w:rPr>
          <w:rFonts w:ascii="Times New Roman" w:hAnsi="Times New Roman" w:cs="Times New Roman"/>
          <w:sz w:val="26"/>
          <w:szCs w:val="26"/>
        </w:rPr>
        <w:t xml:space="preserve">. </w:t>
      </w:r>
    </w:p>
  </w:footnote>
  <w:footnote w:id="3">
    <w:p w14:paraId="709A3A5A" w14:textId="77777777" w:rsidR="00EC44A5" w:rsidRPr="003F7F4B" w:rsidRDefault="00EC44A5" w:rsidP="00EC44A5">
      <w:pPr>
        <w:pStyle w:val="FootnoteText"/>
        <w:rPr>
          <w:rFonts w:ascii="Times New Roman" w:hAnsi="Times New Roman" w:cs="Times New Roman"/>
          <w:sz w:val="26"/>
          <w:szCs w:val="26"/>
        </w:rPr>
      </w:pPr>
      <w:r w:rsidRPr="001507B4">
        <w:rPr>
          <w:rStyle w:val="FootnoteReference"/>
          <w:rFonts w:cs="Times New Roman"/>
        </w:rPr>
        <w:footnoteRef/>
      </w:r>
      <w:r w:rsidRPr="0026143D">
        <w:rPr>
          <w:rFonts w:ascii="Times New Roman" w:hAnsi="Times New Roman" w:cs="Times New Roman"/>
          <w:sz w:val="26"/>
          <w:szCs w:val="26"/>
        </w:rPr>
        <w:t xml:space="preserve"> </w:t>
      </w:r>
      <w:r w:rsidRPr="003F7F4B">
        <w:rPr>
          <w:rFonts w:ascii="Times New Roman" w:hAnsi="Times New Roman" w:cs="Times New Roman"/>
          <w:sz w:val="26"/>
          <w:szCs w:val="26"/>
        </w:rPr>
        <w:t>The joint petition and exhibits are posted in the Commission’s eLibrary system in Docket No. RD17-5-000.</w:t>
      </w:r>
    </w:p>
  </w:footnote>
  <w:footnote w:id="4">
    <w:p w14:paraId="709A3A5B" w14:textId="77777777" w:rsidR="00EC44A5" w:rsidRPr="003F7F4B" w:rsidRDefault="00EC44A5" w:rsidP="00EC44A5">
      <w:pPr>
        <w:pStyle w:val="FootnoteText"/>
        <w:rPr>
          <w:sz w:val="26"/>
          <w:szCs w:val="26"/>
        </w:rPr>
      </w:pPr>
      <w:r w:rsidRPr="00ED5F71">
        <w:rPr>
          <w:rStyle w:val="FootnoteReference"/>
          <w:sz w:val="22"/>
          <w:szCs w:val="22"/>
        </w:rPr>
        <w:footnoteRef/>
      </w:r>
      <w:r w:rsidRPr="00ED5F71">
        <w:rPr>
          <w:szCs w:val="22"/>
        </w:rPr>
        <w:t xml:space="preserve"> </w:t>
      </w:r>
      <w:r w:rsidRPr="003F7F4B">
        <w:rPr>
          <w:rFonts w:ascii="Times New Roman" w:hAnsi="Times New Roman" w:cs="Times New Roman"/>
          <w:sz w:val="26"/>
          <w:szCs w:val="26"/>
        </w:rPr>
        <w:t>16 U.S.C. 824o(e)(4).</w:t>
      </w:r>
      <w:r w:rsidRPr="003F7F4B">
        <w:rPr>
          <w:sz w:val="26"/>
          <w:szCs w:val="26"/>
        </w:rPr>
        <w:t xml:space="preserve"> </w:t>
      </w:r>
    </w:p>
  </w:footnote>
  <w:footnote w:id="5">
    <w:p w14:paraId="709A3A5C" w14:textId="77777777" w:rsidR="00EC44A5" w:rsidRPr="003F7F4B" w:rsidRDefault="00EC44A5" w:rsidP="00EC44A5">
      <w:pPr>
        <w:pStyle w:val="FootnoteText"/>
        <w:rPr>
          <w:sz w:val="26"/>
          <w:szCs w:val="26"/>
        </w:rPr>
      </w:pPr>
      <w:r w:rsidRPr="003F7F4B">
        <w:rPr>
          <w:rStyle w:val="FootnoteReference"/>
        </w:rPr>
        <w:footnoteRef/>
      </w:r>
      <w:r w:rsidRPr="003F7F4B">
        <w:rPr>
          <w:sz w:val="26"/>
          <w:szCs w:val="26"/>
        </w:rPr>
        <w:t xml:space="preserve"> </w:t>
      </w:r>
      <w:r w:rsidRPr="003F7F4B">
        <w:rPr>
          <w:rFonts w:ascii="Times New Roman" w:hAnsi="Times New Roman" w:cs="Times New Roman"/>
          <w:sz w:val="26"/>
          <w:szCs w:val="26"/>
        </w:rPr>
        <w:t>16 U.S.C. 824o(a)(7) and (e)(4).</w:t>
      </w:r>
      <w:r w:rsidRPr="003F7F4B">
        <w:rPr>
          <w:sz w:val="26"/>
          <w:szCs w:val="26"/>
        </w:rPr>
        <w:t xml:space="preserve"> </w:t>
      </w:r>
    </w:p>
  </w:footnote>
  <w:footnote w:id="6">
    <w:p w14:paraId="709A3A5D" w14:textId="77777777" w:rsidR="00EC44A5" w:rsidRPr="003F7F4B" w:rsidRDefault="00EC44A5" w:rsidP="00EC44A5">
      <w:pPr>
        <w:pStyle w:val="FootnoteText"/>
        <w:rPr>
          <w:sz w:val="26"/>
          <w:szCs w:val="26"/>
        </w:rPr>
      </w:pPr>
      <w:r w:rsidRPr="003F7F4B">
        <w:rPr>
          <w:rStyle w:val="FootnoteReference"/>
        </w:rPr>
        <w:footnoteRef/>
      </w:r>
      <w:r w:rsidRPr="003F7F4B">
        <w:rPr>
          <w:sz w:val="26"/>
          <w:szCs w:val="26"/>
        </w:rPr>
        <w:t xml:space="preserve"> </w:t>
      </w:r>
      <w:r w:rsidRPr="003F7F4B">
        <w:rPr>
          <w:rFonts w:ascii="Times New Roman" w:hAnsi="Times New Roman" w:cs="Times New Roman"/>
          <w:i/>
          <w:sz w:val="26"/>
          <w:szCs w:val="26"/>
        </w:rPr>
        <w:t>North American Electric Reliability Corp.</w:t>
      </w:r>
      <w:r w:rsidRPr="003F7F4B">
        <w:rPr>
          <w:rFonts w:ascii="Times New Roman" w:hAnsi="Times New Roman" w:cs="Times New Roman"/>
          <w:sz w:val="26"/>
          <w:szCs w:val="26"/>
        </w:rPr>
        <w:t>, 119 FERC ¶ 61,260 (2007).</w:t>
      </w:r>
    </w:p>
  </w:footnote>
  <w:footnote w:id="7">
    <w:p w14:paraId="709A3A5E" w14:textId="77777777" w:rsidR="00EC44A5" w:rsidRPr="003F7F4B" w:rsidRDefault="00EC44A5" w:rsidP="00EC44A5">
      <w:pPr>
        <w:pStyle w:val="FootnoteText"/>
        <w:rPr>
          <w:rFonts w:ascii="Times New Roman" w:hAnsi="Times New Roman" w:cs="Times New Roman"/>
          <w:sz w:val="26"/>
          <w:szCs w:val="26"/>
        </w:rPr>
      </w:pPr>
      <w:r w:rsidRPr="0050165D">
        <w:rPr>
          <w:rStyle w:val="FootnoteReference"/>
          <w:rFonts w:cs="Times New Roman"/>
        </w:rPr>
        <w:footnoteRef/>
      </w:r>
      <w:r w:rsidRPr="00C63A3A">
        <w:rPr>
          <w:rFonts w:ascii="Times New Roman" w:hAnsi="Times New Roman" w:cs="Times New Roman"/>
          <w:sz w:val="26"/>
          <w:szCs w:val="26"/>
        </w:rPr>
        <w:t xml:space="preserve"> </w:t>
      </w:r>
      <w:r w:rsidRPr="003F7F4B">
        <w:rPr>
          <w:rFonts w:ascii="Times New Roman" w:hAnsi="Times New Roman" w:cs="Times New Roman"/>
          <w:sz w:val="26"/>
          <w:szCs w:val="26"/>
        </w:rPr>
        <w:t>BAL-002-WECC-2 is included in the OMB-approved inventory for FERC-725E.  On November 9, 2016, NERC and WECC submitted a joint petition for approval of an interpretation of BAL-002-WECC-2, to be designated BAL-002-WECC-2a.  BAL-002-WECC-2a was approved by order in Docket No. RD17-3-000 on January 24, 2017.  The Order determined:</w:t>
      </w:r>
      <w:r w:rsidRPr="003F7F4B">
        <w:rPr>
          <w:sz w:val="26"/>
          <w:szCs w:val="26"/>
        </w:rPr>
        <w:t xml:space="preserve">  </w:t>
      </w:r>
      <w:r w:rsidRPr="003F7F4B">
        <w:rPr>
          <w:rFonts w:ascii="Times New Roman" w:hAnsi="Times New Roman" w:cs="Times New Roman"/>
          <w:sz w:val="26"/>
          <w:szCs w:val="26"/>
        </w:rPr>
        <w:t>“The proposed interpretation provides clarification regarding the types of resources that may be used to satisfy Contingency Reserve requirements in regional Reliability Standard BAL-002-WECC-2.”  BAL-002-WECC-2a did not trigger the Paperwork Reduction Act and did not affect the burden estimate.  BAL-002-WECC-2a is being included in this Notice and the Commission’s submittal to OMB as part of the FERC-725E.</w:t>
      </w:r>
    </w:p>
  </w:footnote>
  <w:footnote w:id="8">
    <w:p w14:paraId="709A3A5F" w14:textId="77777777" w:rsidR="00EC44A5" w:rsidRPr="003F7F4B" w:rsidRDefault="00EC44A5" w:rsidP="00EC44A5">
      <w:pPr>
        <w:pStyle w:val="FootnoteText"/>
        <w:rPr>
          <w:rFonts w:ascii="Times New Roman" w:hAnsi="Times New Roman" w:cs="Times New Roman"/>
          <w:sz w:val="26"/>
          <w:szCs w:val="26"/>
        </w:rPr>
      </w:pPr>
      <w:r w:rsidRPr="002844BC">
        <w:rPr>
          <w:rStyle w:val="FootnoteReference"/>
          <w:rFonts w:cs="Times New Roman"/>
        </w:rPr>
        <w:footnoteRef/>
      </w:r>
      <w:r w:rsidRPr="00C63A3A">
        <w:rPr>
          <w:rFonts w:ascii="Times New Roman" w:hAnsi="Times New Roman" w:cs="Times New Roman"/>
          <w:sz w:val="26"/>
          <w:szCs w:val="26"/>
        </w:rPr>
        <w:t xml:space="preserve"> </w:t>
      </w:r>
      <w:r w:rsidRPr="003F7F4B">
        <w:rPr>
          <w:rFonts w:ascii="Times New Roman" w:hAnsi="Times New Roman" w:cs="Times New Roman"/>
          <w:sz w:val="26"/>
          <w:szCs w:val="26"/>
        </w:rPr>
        <w:t>On December 20, 2013, NERC and WECC submitted a joint petition for approval of IRO-006-WECC-2 and retirement of IRO-006-WECC-1.  IRO-006-WECC-2 was approved by order in Docket No. RD14-9-000 on May 13, 2014.  Because the reporting burden for IRO-006-WECC-2 did not increase for entities that operate within the Western Interconnection, FERC submitted the order to OMB for information only.  The burden related to IRO-006-WECC-2 does not differ from the burden of IRO-006-WECC-1, which is included in the OMB-approved inventory.  IRO-006-WECC-2 is being included in this Notice and the Commission’s submittal to OMB as part of FERC-725E.</w:t>
      </w:r>
    </w:p>
  </w:footnote>
  <w:footnote w:id="9">
    <w:p w14:paraId="709A3A60" w14:textId="77777777" w:rsidR="00EC44A5" w:rsidRPr="003F7F4B" w:rsidRDefault="00EC44A5" w:rsidP="00EC44A5">
      <w:pPr>
        <w:pStyle w:val="FootnoteText"/>
        <w:rPr>
          <w:rFonts w:ascii="Times New Roman" w:hAnsi="Times New Roman" w:cs="Times New Roman"/>
          <w:sz w:val="26"/>
          <w:szCs w:val="26"/>
        </w:rPr>
      </w:pPr>
      <w:r w:rsidRPr="003F7F4B">
        <w:rPr>
          <w:rStyle w:val="FootnoteReference"/>
          <w:rFonts w:cs="Times New Roman"/>
        </w:rPr>
        <w:footnoteRef/>
      </w:r>
      <w:r w:rsidRPr="003F7F4B">
        <w:rPr>
          <w:rFonts w:ascii="Times New Roman" w:hAnsi="Times New Roman" w:cs="Times New Roman"/>
          <w:sz w:val="26"/>
          <w:szCs w:val="26"/>
        </w:rPr>
        <w:t xml:space="preserve"> Order No. 818, issued on November 19, 2015 in Docket Nos. RM15-7, RM15-12, and RM15-13, stated in part: “NERC requested approval of the following Reliability Standards to incorporate the proposed definition of Remedial Action Scheme and eliminate use of the term Special Protection System: . . . PRC-004-WECC-2, . . . NERC did not propose any changes to the Violation Risk Factors or Violation Severity Levels for the modified standards.”  </w:t>
      </w:r>
      <w:r w:rsidRPr="003F7F4B">
        <w:rPr>
          <w:rFonts w:ascii="Times New Roman" w:hAnsi="Times New Roman" w:cs="Times New Roman"/>
          <w:i/>
          <w:sz w:val="26"/>
          <w:szCs w:val="26"/>
        </w:rPr>
        <w:t>Revisions to Emergency Operations Reliability Standards; Revisions to Undervoltage Load Shedding Reliability Standards; Revisions to the Definition of “Remedial Action Scheme” and Related Reliability Standards</w:t>
      </w:r>
      <w:r w:rsidRPr="003F7F4B">
        <w:rPr>
          <w:rFonts w:ascii="Times New Roman" w:hAnsi="Times New Roman" w:cs="Times New Roman"/>
          <w:sz w:val="26"/>
          <w:szCs w:val="26"/>
        </w:rPr>
        <w:t xml:space="preserve">, Order No. 818, 153 FERC ¶ 61,228, at P 23 n.31 (2015).  In addition, Order No. 818 stated:  “The Commission approved the definition of Special Protection System (Remedial Action Scheme) in Order No. 693.  We approve a revision to the previously approved definition.  The revisions to the Remedial Action Scheme definition and related Reliability Standards are not expected to result in changes to the scope of systems covered by the Reliability Standards and other Reliability Standards that include the term Remedial Action Scheme.  Therefore, the Commission does not expect the revisions to affect applicable entities’ current reporting burden.”  </w:t>
      </w:r>
      <w:r w:rsidRPr="003F7F4B">
        <w:rPr>
          <w:rFonts w:ascii="Times New Roman" w:hAnsi="Times New Roman" w:cs="Times New Roman"/>
          <w:i/>
          <w:sz w:val="26"/>
          <w:szCs w:val="26"/>
        </w:rPr>
        <w:t>Id.</w:t>
      </w:r>
      <w:r w:rsidRPr="003F7F4B">
        <w:rPr>
          <w:rFonts w:ascii="Times New Roman" w:hAnsi="Times New Roman" w:cs="Times New Roman"/>
          <w:sz w:val="26"/>
          <w:szCs w:val="26"/>
        </w:rPr>
        <w:t xml:space="preserve"> P 67.  The change to the definition did not affect the burden of PRC-004-WECC-1 (which is included in the current OMB-approved inventory).  PRC-004-WECC-2 (the current version of the standard) is being included in this Notice and the Commission’s submittal to OMB as part of the FERC-725E.</w:t>
      </w:r>
    </w:p>
  </w:footnote>
  <w:footnote w:id="10">
    <w:p w14:paraId="709A3A61" w14:textId="77777777" w:rsidR="00EC44A5" w:rsidRPr="003F7F4B" w:rsidRDefault="00EC44A5" w:rsidP="00EC44A5">
      <w:pPr>
        <w:pStyle w:val="FootnoteText"/>
        <w:spacing w:after="240"/>
        <w:rPr>
          <w:rFonts w:ascii="Times New Roman" w:hAnsi="Times New Roman" w:cs="Times New Roman"/>
          <w:sz w:val="26"/>
          <w:szCs w:val="26"/>
        </w:rPr>
      </w:pPr>
      <w:r w:rsidRPr="002844BC">
        <w:rPr>
          <w:rStyle w:val="FootnoteReference"/>
          <w:rFonts w:cs="Times New Roman"/>
        </w:rPr>
        <w:footnoteRef/>
      </w:r>
      <w:r w:rsidRPr="00096E49">
        <w:rPr>
          <w:rFonts w:ascii="Times New Roman" w:hAnsi="Times New Roman" w:cs="Times New Roman"/>
          <w:sz w:val="26"/>
          <w:szCs w:val="26"/>
        </w:rPr>
        <w:t xml:space="preserve"> </w:t>
      </w:r>
      <w:r w:rsidRPr="003F7F4B">
        <w:rPr>
          <w:rFonts w:ascii="Times New Roman" w:hAnsi="Times New Roman" w:cs="Times New Roman"/>
          <w:sz w:val="26"/>
          <w:szCs w:val="26"/>
        </w:rPr>
        <w:t>VAR-002-WECC-2 was approved by order in Docket No. RD15-1 on March 3, 2015.  Regional Reliability Standard VAR-002-WECC-2 made a “non-material or non-substantive change” to the reporting and recordkeeping requirements associated with VAR-002-WECC-1 (currently included in the OMB-approved inventory).  VAR-002-WECC-2 (the current version of the standard) is being included in this Notice and the Commission’s submittal to OMB as part of FERC-725E.</w:t>
      </w:r>
    </w:p>
  </w:footnote>
  <w:footnote w:id="11">
    <w:p w14:paraId="709A3A62" w14:textId="77777777" w:rsidR="00EC44A5" w:rsidRPr="003F7F4B" w:rsidRDefault="00EC44A5" w:rsidP="00EC44A5">
      <w:pPr>
        <w:pStyle w:val="FootnoteText"/>
        <w:rPr>
          <w:rFonts w:ascii="Times New Roman" w:hAnsi="Times New Roman" w:cs="Times New Roman"/>
          <w:sz w:val="26"/>
          <w:szCs w:val="26"/>
        </w:rPr>
      </w:pPr>
      <w:r w:rsidRPr="003F7F4B">
        <w:rPr>
          <w:rStyle w:val="FootnoteReference"/>
          <w:rFonts w:cs="Times New Roman"/>
        </w:rPr>
        <w:footnoteRef/>
      </w:r>
      <w:r w:rsidRPr="003F7F4B">
        <w:rPr>
          <w:rFonts w:ascii="Times New Roman" w:hAnsi="Times New Roman" w:cs="Times New Roman"/>
          <w:sz w:val="26"/>
          <w:szCs w:val="26"/>
        </w:rPr>
        <w:t xml:space="preserve"> The Commission approved the retirement of regional Reliability Standard TOP-007-WECC-1a (System Operating Limits (“SOL”)) by order in Docket No. RD16-10-000 on March 10, 2017.  On March 31, 2017, the Commission issued a 60-day Notice requesting public comment on the effect on burden.  The </w:t>
      </w:r>
      <w:r>
        <w:rPr>
          <w:rFonts w:ascii="Times New Roman" w:hAnsi="Times New Roman" w:cs="Times New Roman"/>
          <w:sz w:val="26"/>
          <w:szCs w:val="26"/>
        </w:rPr>
        <w:t xml:space="preserve">60-day </w:t>
      </w:r>
      <w:r w:rsidRPr="003F7F4B">
        <w:rPr>
          <w:rFonts w:ascii="Times New Roman" w:hAnsi="Times New Roman" w:cs="Times New Roman"/>
          <w:sz w:val="26"/>
          <w:szCs w:val="26"/>
        </w:rPr>
        <w:t xml:space="preserve">Notice is available at 82 FR 16823 (April 6, 2017).  Comments </w:t>
      </w:r>
      <w:r>
        <w:rPr>
          <w:rFonts w:ascii="Times New Roman" w:hAnsi="Times New Roman" w:cs="Times New Roman"/>
          <w:sz w:val="26"/>
          <w:szCs w:val="26"/>
        </w:rPr>
        <w:t>on the 60-day Notice we</w:t>
      </w:r>
      <w:r w:rsidRPr="003F7F4B">
        <w:rPr>
          <w:rFonts w:ascii="Times New Roman" w:hAnsi="Times New Roman" w:cs="Times New Roman"/>
          <w:sz w:val="26"/>
          <w:szCs w:val="26"/>
        </w:rPr>
        <w:t>re due in Docket No. RD16-10-000 by June 5, 2017</w:t>
      </w:r>
      <w:r>
        <w:rPr>
          <w:rFonts w:ascii="Times New Roman" w:hAnsi="Times New Roman" w:cs="Times New Roman"/>
          <w:sz w:val="26"/>
          <w:szCs w:val="26"/>
        </w:rPr>
        <w:t>; no comments were received</w:t>
      </w:r>
      <w:r w:rsidRPr="003F7F4B">
        <w:rPr>
          <w:rFonts w:ascii="Times New Roman" w:hAnsi="Times New Roman" w:cs="Times New Roman"/>
          <w:sz w:val="26"/>
          <w:szCs w:val="26"/>
        </w:rPr>
        <w:t xml:space="preserve">.  </w:t>
      </w:r>
      <w:r w:rsidRPr="003F7F4B">
        <w:rPr>
          <w:rFonts w:ascii="Times New Roman" w:hAnsi="Times New Roman" w:cs="Times New Roman"/>
          <w:i/>
          <w:sz w:val="26"/>
          <w:szCs w:val="26"/>
        </w:rPr>
        <w:t>See</w:t>
      </w:r>
      <w:r w:rsidRPr="003F7F4B">
        <w:rPr>
          <w:rFonts w:ascii="Times New Roman" w:hAnsi="Times New Roman" w:cs="Times New Roman"/>
          <w:sz w:val="26"/>
          <w:szCs w:val="26"/>
        </w:rPr>
        <w:t xml:space="preserve"> Docket No. RD16-10-000 for additional information (including the estimated annual burden reduction of 1,188 hours).  </w:t>
      </w:r>
    </w:p>
  </w:footnote>
  <w:footnote w:id="12">
    <w:p w14:paraId="709A3A63" w14:textId="77777777" w:rsidR="00EC44A5" w:rsidRPr="003F7F4B" w:rsidRDefault="00EC44A5" w:rsidP="00EC44A5">
      <w:pPr>
        <w:pStyle w:val="FootnoteText"/>
        <w:rPr>
          <w:rFonts w:ascii="Times New Roman" w:hAnsi="Times New Roman" w:cs="Times New Roman"/>
          <w:sz w:val="26"/>
          <w:szCs w:val="26"/>
        </w:rPr>
      </w:pPr>
      <w:r w:rsidRPr="003F7F4B">
        <w:rPr>
          <w:rStyle w:val="FootnoteReference"/>
          <w:rFonts w:cs="Times New Roman"/>
        </w:rPr>
        <w:footnoteRef/>
      </w:r>
      <w:r w:rsidRPr="003F7F4B">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13">
    <w:p w14:paraId="709A3A64" w14:textId="77777777" w:rsidR="00EC44A5" w:rsidRPr="003F7F4B" w:rsidRDefault="00EC44A5" w:rsidP="00EC44A5">
      <w:pPr>
        <w:pStyle w:val="FootnoteText"/>
        <w:rPr>
          <w:rFonts w:ascii="Times New Roman" w:hAnsi="Times New Roman" w:cs="Times New Roman"/>
          <w:sz w:val="26"/>
          <w:szCs w:val="26"/>
        </w:rPr>
      </w:pPr>
      <w:r w:rsidRPr="003F7F4B">
        <w:rPr>
          <w:rStyle w:val="FootnoteReference"/>
          <w:rFonts w:cs="Times New Roman"/>
        </w:rPr>
        <w:footnoteRef/>
      </w:r>
      <w:r w:rsidRPr="003F7F4B">
        <w:rPr>
          <w:rFonts w:ascii="Times New Roman" w:hAnsi="Times New Roman" w:cs="Times New Roman"/>
          <w:sz w:val="26"/>
          <w:szCs w:val="26"/>
        </w:rPr>
        <w:t xml:space="preserve"> The reductions in burden and cost shown in the table are the same figures as those in the current OMB-approved inventory for the reporting and recordkeeping requirements, now being retired.</w:t>
      </w:r>
    </w:p>
  </w:footnote>
  <w:footnote w:id="14">
    <w:p w14:paraId="709A3A65" w14:textId="77777777" w:rsidR="00EC44A5" w:rsidRPr="003F7F4B" w:rsidRDefault="00EC44A5" w:rsidP="00EC44A5">
      <w:pPr>
        <w:pStyle w:val="FootnoteText"/>
        <w:rPr>
          <w:rFonts w:ascii="Times New Roman" w:hAnsi="Times New Roman" w:cs="Times New Roman"/>
          <w:sz w:val="26"/>
          <w:szCs w:val="26"/>
        </w:rPr>
      </w:pPr>
      <w:r w:rsidRPr="003F7F4B">
        <w:rPr>
          <w:rStyle w:val="FootnoteReference"/>
          <w:rFonts w:cs="Times New Roman"/>
        </w:rPr>
        <w:footnoteRef/>
      </w:r>
      <w:r w:rsidRPr="003F7F4B">
        <w:rPr>
          <w:rFonts w:ascii="Times New Roman" w:hAnsi="Times New Roman" w:cs="Times New Roman"/>
          <w:sz w:val="26"/>
          <w:szCs w:val="26"/>
        </w:rPr>
        <w:t xml:space="preserve"> This is based on burden estimates taken from the Order in Docket No. RR07-11-000, P. 130.</w:t>
      </w:r>
    </w:p>
  </w:footnote>
  <w:footnote w:id="15">
    <w:p w14:paraId="709A3A66" w14:textId="77777777" w:rsidR="00EC44A5" w:rsidRPr="00677263" w:rsidRDefault="00EC44A5" w:rsidP="00EC44A5">
      <w:pPr>
        <w:pStyle w:val="FootnoteText"/>
        <w:rPr>
          <w:rFonts w:ascii="Times New Roman" w:hAnsi="Times New Roman" w:cs="Times New Roman"/>
        </w:rPr>
      </w:pPr>
      <w:r w:rsidRPr="00EB7065">
        <w:rPr>
          <w:rStyle w:val="FootnoteReference"/>
          <w:rFonts w:cs="Times New Roman"/>
        </w:rPr>
        <w:footnoteRef/>
      </w:r>
      <w:r w:rsidRPr="00677263">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16">
    <w:p w14:paraId="709A3A67" w14:textId="77777777" w:rsidR="009A5BEC" w:rsidRPr="008B1616" w:rsidRDefault="009A5BEC" w:rsidP="009A5BEC">
      <w:pPr>
        <w:pStyle w:val="FootnoteText"/>
        <w:spacing w:after="240"/>
        <w:rPr>
          <w:rFonts w:ascii="Times New Roman" w:hAnsi="Times New Roman" w:cs="Times New Roman"/>
          <w:sz w:val="26"/>
          <w:szCs w:val="26"/>
          <w:highlight w:val="yellow"/>
        </w:rPr>
      </w:pPr>
      <w:r w:rsidRPr="00804E95">
        <w:rPr>
          <w:rStyle w:val="FootnoteReference"/>
          <w:rFonts w:cs="Times New Roman"/>
        </w:rPr>
        <w:footnoteRef/>
      </w:r>
      <w:r w:rsidRPr="00804E95">
        <w:rPr>
          <w:rFonts w:ascii="Times New Roman" w:hAnsi="Times New Roman" w:cs="Times New Roman"/>
          <w:sz w:val="26"/>
          <w:szCs w:val="26"/>
        </w:rPr>
        <w:t xml:space="preserve"> The number of respondents is derived from the NERC Compliance Registry as of March 10, 2017.</w:t>
      </w:r>
    </w:p>
  </w:footnote>
  <w:footnote w:id="17">
    <w:p w14:paraId="709A3A68" w14:textId="77777777" w:rsidR="009A5BEC" w:rsidRPr="00677263" w:rsidRDefault="009A5BEC" w:rsidP="009A5BEC">
      <w:pPr>
        <w:pStyle w:val="FootnoteText"/>
        <w:rPr>
          <w:rFonts w:ascii="Times New Roman" w:hAnsi="Times New Roman" w:cs="Times New Roman"/>
          <w:sz w:val="26"/>
          <w:szCs w:val="26"/>
        </w:rPr>
      </w:pPr>
      <w:r w:rsidRPr="001F7EA3">
        <w:rPr>
          <w:rStyle w:val="Hyperlink"/>
          <w:rFonts w:ascii="Times New Roman" w:hAnsi="Times New Roman" w:cs="Times New Roman"/>
          <w:b/>
          <w:color w:val="auto"/>
          <w:sz w:val="26"/>
          <w:szCs w:val="26"/>
          <w:u w:val="none"/>
          <w:vertAlign w:val="superscript"/>
        </w:rPr>
        <w:footnoteRef/>
      </w:r>
      <w:r w:rsidRPr="001F7EA3">
        <w:rPr>
          <w:rFonts w:ascii="Times New Roman" w:hAnsi="Times New Roman" w:cs="Times New Roman"/>
          <w:b/>
          <w:sz w:val="26"/>
          <w:szCs w:val="26"/>
          <w:vertAlign w:val="superscript"/>
        </w:rPr>
        <w:t xml:space="preserve"> </w:t>
      </w:r>
      <w:r>
        <w:rPr>
          <w:rFonts w:ascii="Times New Roman" w:hAnsi="Times New Roman" w:cs="Times New Roman"/>
          <w:sz w:val="26"/>
          <w:szCs w:val="26"/>
        </w:rPr>
        <w:t xml:space="preserve">For </w:t>
      </w:r>
      <w:r w:rsidRPr="00F81CDD">
        <w:rPr>
          <w:rFonts w:ascii="Times New Roman" w:hAnsi="Times New Roman" w:cs="Times New Roman"/>
          <w:sz w:val="26"/>
          <w:szCs w:val="26"/>
        </w:rPr>
        <w:t>VAR-501-WECC-3, the</w:t>
      </w:r>
      <w:r>
        <w:rPr>
          <w:rFonts w:ascii="Times New Roman" w:hAnsi="Times New Roman" w:cs="Times New Roman"/>
          <w:sz w:val="26"/>
          <w:szCs w:val="26"/>
        </w:rPr>
        <w:t xml:space="preserve"> hourly </w:t>
      </w:r>
      <w:r w:rsidRPr="00677263">
        <w:rPr>
          <w:rFonts w:ascii="Times New Roman" w:hAnsi="Times New Roman" w:cs="Times New Roman"/>
          <w:sz w:val="26"/>
          <w:szCs w:val="26"/>
        </w:rPr>
        <w:t xml:space="preserve">cost (for salary </w:t>
      </w:r>
      <w:r>
        <w:rPr>
          <w:rFonts w:ascii="Times New Roman" w:hAnsi="Times New Roman" w:cs="Times New Roman"/>
          <w:sz w:val="26"/>
          <w:szCs w:val="26"/>
        </w:rPr>
        <w:t>plus</w:t>
      </w:r>
      <w:r w:rsidRPr="00677263">
        <w:rPr>
          <w:rFonts w:ascii="Times New Roman" w:hAnsi="Times New Roman" w:cs="Times New Roman"/>
          <w:sz w:val="26"/>
          <w:szCs w:val="26"/>
        </w:rPr>
        <w:t xml:space="preserve"> benefits) uses the figures from the Bureau of Labor Statistics for three positions involved in the reporting and recordkeeping </w:t>
      </w:r>
      <w:r>
        <w:rPr>
          <w:rFonts w:ascii="Times New Roman" w:hAnsi="Times New Roman" w:cs="Times New Roman"/>
          <w:sz w:val="26"/>
          <w:szCs w:val="26"/>
        </w:rPr>
        <w:t>requirements</w:t>
      </w:r>
      <w:r w:rsidRPr="00677263">
        <w:rPr>
          <w:rFonts w:ascii="Times New Roman" w:hAnsi="Times New Roman" w:cs="Times New Roman"/>
          <w:sz w:val="26"/>
          <w:szCs w:val="26"/>
        </w:rPr>
        <w:t>.  These figures include salary (</w:t>
      </w:r>
      <w:hyperlink r:id="rId2" w:history="1">
        <w:r w:rsidRPr="00677263">
          <w:rPr>
            <w:rStyle w:val="Hyperlink"/>
            <w:rFonts w:ascii="Times New Roman" w:hAnsi="Times New Roman" w:cs="Times New Roman"/>
            <w:sz w:val="26"/>
            <w:szCs w:val="26"/>
          </w:rPr>
          <w:t>http://bls.gov/oes/current/naics2_22.htm</w:t>
        </w:r>
      </w:hyperlink>
      <w:r w:rsidRPr="00677263">
        <w:rPr>
          <w:rFonts w:ascii="Times New Roman" w:hAnsi="Times New Roman" w:cs="Times New Roman"/>
          <w:sz w:val="26"/>
          <w:szCs w:val="26"/>
        </w:rPr>
        <w:t>) and benefits (</w:t>
      </w:r>
      <w:hyperlink r:id="rId3" w:history="1">
        <w:r w:rsidRPr="00677263">
          <w:rPr>
            <w:rStyle w:val="Hyperlink"/>
            <w:rFonts w:ascii="Times New Roman" w:hAnsi="Times New Roman" w:cs="Times New Roman"/>
            <w:sz w:val="26"/>
            <w:szCs w:val="26"/>
          </w:rPr>
          <w:t>http://www.bls.gov/news.release/ecec.nr0.htm</w:t>
        </w:r>
      </w:hyperlink>
      <w:r w:rsidRPr="00677263">
        <w:rPr>
          <w:rFonts w:ascii="Times New Roman" w:hAnsi="Times New Roman" w:cs="Times New Roman"/>
          <w:sz w:val="26"/>
          <w:szCs w:val="26"/>
        </w:rPr>
        <w:t xml:space="preserve">) </w:t>
      </w:r>
      <w:r>
        <w:rPr>
          <w:rFonts w:ascii="Times New Roman" w:hAnsi="Times New Roman" w:cs="Times New Roman"/>
          <w:sz w:val="26"/>
          <w:szCs w:val="26"/>
        </w:rPr>
        <w:t>and are</w:t>
      </w:r>
      <w:r w:rsidRPr="00677263">
        <w:rPr>
          <w:rFonts w:ascii="Times New Roman" w:hAnsi="Times New Roman" w:cs="Times New Roman"/>
          <w:sz w:val="26"/>
          <w:szCs w:val="26"/>
        </w:rPr>
        <w:t>:</w:t>
      </w:r>
    </w:p>
    <w:p w14:paraId="709A3A69" w14:textId="21D4C8A0" w:rsidR="009A5BEC" w:rsidRPr="00677263" w:rsidRDefault="009A5BEC" w:rsidP="006A47A3">
      <w:pPr>
        <w:pStyle w:val="FootnoteText"/>
        <w:numPr>
          <w:ilvl w:val="0"/>
          <w:numId w:val="4"/>
        </w:numPr>
        <w:rPr>
          <w:rFonts w:ascii="Times New Roman" w:hAnsi="Times New Roman" w:cs="Times New Roman"/>
          <w:sz w:val="26"/>
          <w:szCs w:val="26"/>
        </w:rPr>
      </w:pPr>
      <w:r w:rsidRPr="00677263">
        <w:rPr>
          <w:rFonts w:ascii="Times New Roman" w:hAnsi="Times New Roman" w:cs="Times New Roman"/>
          <w:sz w:val="26"/>
          <w:szCs w:val="26"/>
        </w:rPr>
        <w:t>Manager: $89.07/hour</w:t>
      </w:r>
    </w:p>
    <w:p w14:paraId="709A3A6A" w14:textId="770FDEC0" w:rsidR="009A5BEC" w:rsidRPr="00677263" w:rsidRDefault="009A5BEC" w:rsidP="006A47A3">
      <w:pPr>
        <w:pStyle w:val="FootnoteText"/>
        <w:numPr>
          <w:ilvl w:val="0"/>
          <w:numId w:val="4"/>
        </w:numPr>
        <w:rPr>
          <w:rFonts w:ascii="Times New Roman" w:hAnsi="Times New Roman" w:cs="Times New Roman"/>
          <w:sz w:val="26"/>
          <w:szCs w:val="26"/>
        </w:rPr>
      </w:pPr>
      <w:r w:rsidRPr="00677263">
        <w:rPr>
          <w:rFonts w:ascii="Times New Roman" w:hAnsi="Times New Roman" w:cs="Times New Roman"/>
          <w:sz w:val="26"/>
          <w:szCs w:val="26"/>
        </w:rPr>
        <w:t>Engineer: $64.91/hour</w:t>
      </w:r>
    </w:p>
    <w:p w14:paraId="709A3A6B" w14:textId="7D1A6DDF" w:rsidR="009A5BEC" w:rsidRPr="00677263" w:rsidRDefault="009A5BEC" w:rsidP="006A47A3">
      <w:pPr>
        <w:pStyle w:val="FootnoteText"/>
        <w:numPr>
          <w:ilvl w:val="0"/>
          <w:numId w:val="4"/>
        </w:numPr>
        <w:rPr>
          <w:rFonts w:ascii="Times New Roman" w:hAnsi="Times New Roman" w:cs="Times New Roman"/>
          <w:sz w:val="26"/>
          <w:szCs w:val="26"/>
        </w:rPr>
      </w:pPr>
      <w:r w:rsidRPr="00677263">
        <w:rPr>
          <w:rFonts w:ascii="Times New Roman" w:hAnsi="Times New Roman" w:cs="Times New Roman"/>
          <w:sz w:val="26"/>
          <w:szCs w:val="26"/>
        </w:rPr>
        <w:t>File Clerk: $31.19/hour</w:t>
      </w:r>
    </w:p>
    <w:p w14:paraId="709A3A6C" w14:textId="77777777" w:rsidR="009A5BEC" w:rsidRDefault="009A5BEC" w:rsidP="009A5BEC">
      <w:pPr>
        <w:pStyle w:val="FootnoteText"/>
      </w:pPr>
      <w:r w:rsidRPr="00677263">
        <w:rPr>
          <w:rFonts w:ascii="Times New Roman" w:hAnsi="Times New Roman" w:cs="Times New Roman"/>
          <w:sz w:val="26"/>
          <w:szCs w:val="26"/>
        </w:rPr>
        <w:t>The hourly cost for the reporting requirements ($76.99) is an average of the cost of a manager and engineer.  The hourly cost for recordkeeping requirements uses the cost of a file clerk.</w:t>
      </w:r>
    </w:p>
  </w:footnote>
  <w:footnote w:id="18">
    <w:p w14:paraId="709A3A6D" w14:textId="77777777" w:rsidR="00EC44A5" w:rsidRPr="00677263" w:rsidRDefault="00EC44A5" w:rsidP="00EC44A5">
      <w:pPr>
        <w:pStyle w:val="FootnoteText"/>
        <w:spacing w:after="240"/>
        <w:rPr>
          <w:rFonts w:ascii="Times New Roman" w:hAnsi="Times New Roman" w:cs="Times New Roman"/>
          <w:sz w:val="26"/>
          <w:szCs w:val="26"/>
        </w:rPr>
      </w:pPr>
      <w:r w:rsidRPr="00804E95">
        <w:rPr>
          <w:rStyle w:val="FootnoteReference"/>
          <w:rFonts w:cs="Times New Roman"/>
        </w:rPr>
        <w:footnoteRef/>
      </w:r>
      <w:r w:rsidRPr="00804E95">
        <w:rPr>
          <w:rFonts w:ascii="Times New Roman" w:hAnsi="Times New Roman" w:cs="Times New Roman"/>
          <w:sz w:val="26"/>
          <w:szCs w:val="26"/>
        </w:rPr>
        <w:t xml:space="preserve">  The number of respondents is derived from the NERC Compliance Registry as of March 10,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112791"/>
      <w:docPartObj>
        <w:docPartGallery w:val="Page Numbers (Top of Page)"/>
        <w:docPartUnique/>
      </w:docPartObj>
    </w:sdtPr>
    <w:sdtEndPr>
      <w:rPr>
        <w:rFonts w:ascii="Times New Roman" w:hAnsi="Times New Roman" w:cs="Times New Roman"/>
        <w:noProof/>
        <w:sz w:val="26"/>
        <w:szCs w:val="26"/>
      </w:rPr>
    </w:sdtEndPr>
    <w:sdtContent>
      <w:p w14:paraId="5456AFB1" w14:textId="5F188556" w:rsidR="00C71751" w:rsidRPr="00C71751" w:rsidRDefault="00C71751">
        <w:pPr>
          <w:pStyle w:val="Header"/>
          <w:rPr>
            <w:rFonts w:ascii="Times New Roman" w:hAnsi="Times New Roman" w:cs="Times New Roman"/>
            <w:sz w:val="26"/>
            <w:szCs w:val="26"/>
          </w:rPr>
        </w:pPr>
        <w:r w:rsidRPr="00850FCC">
          <w:rPr>
            <w:rFonts w:ascii="Times New Roman" w:hAnsi="Times New Roman" w:cs="Times New Roman"/>
            <w:sz w:val="26"/>
            <w:szCs w:val="26"/>
          </w:rPr>
          <w:t>Docket No. RD16-10-000</w:t>
        </w:r>
        <w:r>
          <w:rPr>
            <w:rFonts w:ascii="Times New Roman" w:hAnsi="Times New Roman" w:cs="Times New Roman"/>
            <w:sz w:val="26"/>
            <w:szCs w:val="26"/>
          </w:rPr>
          <w:t>, et al.</w:t>
        </w:r>
        <w:r>
          <w:rPr>
            <w:rFonts w:ascii="Times New Roman" w:hAnsi="Times New Roman" w:cs="Times New Roman"/>
            <w:sz w:val="26"/>
            <w:szCs w:val="26"/>
          </w:rPr>
          <w:tab/>
        </w:r>
        <w:r w:rsidRPr="00C71751">
          <w:rPr>
            <w:rFonts w:ascii="Times New Roman" w:hAnsi="Times New Roman" w:cs="Times New Roman"/>
            <w:sz w:val="26"/>
            <w:szCs w:val="26"/>
          </w:rPr>
          <w:fldChar w:fldCharType="begin"/>
        </w:r>
        <w:r w:rsidRPr="00C71751">
          <w:rPr>
            <w:rFonts w:ascii="Times New Roman" w:hAnsi="Times New Roman" w:cs="Times New Roman"/>
            <w:sz w:val="26"/>
            <w:szCs w:val="26"/>
          </w:rPr>
          <w:instrText xml:space="preserve"> PAGE   \* MERGEFORMAT </w:instrText>
        </w:r>
        <w:r w:rsidRPr="00C71751">
          <w:rPr>
            <w:rFonts w:ascii="Times New Roman" w:hAnsi="Times New Roman" w:cs="Times New Roman"/>
            <w:sz w:val="26"/>
            <w:szCs w:val="26"/>
          </w:rPr>
          <w:fldChar w:fldCharType="separate"/>
        </w:r>
        <w:r w:rsidR="004A53BF">
          <w:rPr>
            <w:rFonts w:ascii="Times New Roman" w:hAnsi="Times New Roman" w:cs="Times New Roman"/>
            <w:noProof/>
            <w:sz w:val="26"/>
            <w:szCs w:val="26"/>
          </w:rPr>
          <w:t>2</w:t>
        </w:r>
        <w:r w:rsidRPr="00C71751">
          <w:rPr>
            <w:rFonts w:ascii="Times New Roman" w:hAnsi="Times New Roman" w:cs="Times New Roman"/>
            <w:noProof/>
            <w:sz w:val="26"/>
            <w:szCs w:val="26"/>
          </w:rPr>
          <w:fldChar w:fldCharType="end"/>
        </w:r>
      </w:p>
    </w:sdtContent>
  </w:sdt>
  <w:p w14:paraId="2ACE3B28" w14:textId="77777777" w:rsidR="00C71751" w:rsidRDefault="00C7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53C6417"/>
    <w:multiLevelType w:val="hybridMultilevel"/>
    <w:tmpl w:val="F64099A6"/>
    <w:lvl w:ilvl="0" w:tplc="1C6235BE">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A5"/>
    <w:rsid w:val="000058FD"/>
    <w:rsid w:val="00074CEC"/>
    <w:rsid w:val="001B792D"/>
    <w:rsid w:val="001F7EA3"/>
    <w:rsid w:val="00250BBB"/>
    <w:rsid w:val="00335028"/>
    <w:rsid w:val="004A53BF"/>
    <w:rsid w:val="006A47A3"/>
    <w:rsid w:val="00704706"/>
    <w:rsid w:val="008D3C3B"/>
    <w:rsid w:val="009A5BEC"/>
    <w:rsid w:val="00BB3885"/>
    <w:rsid w:val="00C71751"/>
    <w:rsid w:val="00D27BD3"/>
    <w:rsid w:val="00EC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uiPriority w:val="99"/>
    <w:unhideWhenUsed/>
    <w:rsid w:val="00EC44A5"/>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uiPriority w:val="99"/>
    <w:rsid w:val="00EC44A5"/>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EC44A5"/>
    <w:rPr>
      <w:rFonts w:ascii="Times New Roman" w:hAnsi="Times New Roman"/>
      <w:b/>
      <w:sz w:val="26"/>
      <w:szCs w:val="26"/>
      <w:vertAlign w:val="superscript"/>
    </w:rPr>
  </w:style>
  <w:style w:type="paragraph" w:styleId="ListParagraph">
    <w:name w:val="List Paragraph"/>
    <w:basedOn w:val="Normal"/>
    <w:uiPriority w:val="34"/>
    <w:qFormat/>
    <w:rsid w:val="00EC44A5"/>
    <w:pPr>
      <w:ind w:left="720"/>
      <w:contextualSpacing/>
    </w:pPr>
  </w:style>
  <w:style w:type="character" w:styleId="Hyperlink">
    <w:name w:val="Hyperlink"/>
    <w:rsid w:val="00EC44A5"/>
    <w:rPr>
      <w:color w:val="0000FF"/>
      <w:u w:val="single"/>
    </w:rPr>
  </w:style>
  <w:style w:type="table" w:styleId="TableGrid">
    <w:name w:val="Table Grid"/>
    <w:basedOn w:val="TableNormal"/>
    <w:uiPriority w:val="39"/>
    <w:rsid w:val="00EC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751"/>
  </w:style>
  <w:style w:type="paragraph" w:styleId="Footer">
    <w:name w:val="footer"/>
    <w:basedOn w:val="Normal"/>
    <w:link w:val="FooterChar"/>
    <w:uiPriority w:val="99"/>
    <w:unhideWhenUsed/>
    <w:rsid w:val="00C7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uiPriority w:val="99"/>
    <w:unhideWhenUsed/>
    <w:rsid w:val="00EC44A5"/>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uiPriority w:val="99"/>
    <w:rsid w:val="00EC44A5"/>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EC44A5"/>
    <w:rPr>
      <w:rFonts w:ascii="Times New Roman" w:hAnsi="Times New Roman"/>
      <w:b/>
      <w:sz w:val="26"/>
      <w:szCs w:val="26"/>
      <w:vertAlign w:val="superscript"/>
    </w:rPr>
  </w:style>
  <w:style w:type="paragraph" w:styleId="ListParagraph">
    <w:name w:val="List Paragraph"/>
    <w:basedOn w:val="Normal"/>
    <w:uiPriority w:val="34"/>
    <w:qFormat/>
    <w:rsid w:val="00EC44A5"/>
    <w:pPr>
      <w:ind w:left="720"/>
      <w:contextualSpacing/>
    </w:pPr>
  </w:style>
  <w:style w:type="character" w:styleId="Hyperlink">
    <w:name w:val="Hyperlink"/>
    <w:rsid w:val="00EC44A5"/>
    <w:rPr>
      <w:color w:val="0000FF"/>
      <w:u w:val="single"/>
    </w:rPr>
  </w:style>
  <w:style w:type="table" w:styleId="TableGrid">
    <w:name w:val="Table Grid"/>
    <w:basedOn w:val="TableNormal"/>
    <w:uiPriority w:val="39"/>
    <w:rsid w:val="00EC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751"/>
  </w:style>
  <w:style w:type="paragraph" w:styleId="Footer">
    <w:name w:val="footer"/>
    <w:basedOn w:val="Normal"/>
    <w:link w:val="FooterChar"/>
    <w:uiPriority w:val="99"/>
    <w:unhideWhenUsed/>
    <w:rsid w:val="00C7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bls.gov/oes/current/naics2_22.htm" TargetMode="External"/><Relationship Id="rId1" Type="http://schemas.openxmlformats.org/officeDocument/2006/relationships/hyperlink" Target="https://elibrary.ferc.gov/idmws/common/opennat.asp?fileID=14515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4A13B-0029-4414-8C8A-951B1F53B061}">
  <ds:schemaRefs>
    <ds:schemaRef ds:uri="Microsoft.SharePoint.Taxonomy.ContentTypeSync"/>
  </ds:schemaRefs>
</ds:datastoreItem>
</file>

<file path=customXml/itemProps2.xml><?xml version="1.0" encoding="utf-8"?>
<ds:datastoreItem xmlns:ds="http://schemas.openxmlformats.org/officeDocument/2006/customXml" ds:itemID="{E253F157-49CB-48FD-98D7-1EF66CA1838E}">
  <ds:schemaRefs>
    <ds:schemaRef ds:uri="http://schemas.microsoft.com/sharepoint/v3/contenttype/forms"/>
  </ds:schemaRefs>
</ds:datastoreItem>
</file>

<file path=customXml/itemProps3.xml><?xml version="1.0" encoding="utf-8"?>
<ds:datastoreItem xmlns:ds="http://schemas.openxmlformats.org/officeDocument/2006/customXml" ds:itemID="{072607A4-FEEC-4662-8A1E-DF034F6D95C2}">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98C3B688-052A-4AB9-8D76-AFC4C9B1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2017-08-15T13:26:00Z</cp:lastPrinted>
  <dcterms:created xsi:type="dcterms:W3CDTF">2017-08-21T11:04:00Z</dcterms:created>
  <dcterms:modified xsi:type="dcterms:W3CDTF">2017-08-21T11:04:00Z</dcterms:modified>
  <cp:category/>
  <dc:identifier/>
  <cp:contentStatus/>
  <cp:version/>
</cp:coreProperties>
</file>