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54" w:rsidRPr="009E77F1" w:rsidRDefault="002845DC" w:rsidP="004C7A18">
      <w:pPr>
        <w:jc w:val="center"/>
        <w:rPr>
          <w:rFonts w:ascii="Times New (W1)" w:hAnsi="Times New (W1)"/>
          <w:b/>
          <w:bCs/>
          <w:caps/>
        </w:rPr>
      </w:pPr>
      <w:bookmarkStart w:id="0" w:name="_GoBack"/>
      <w:bookmarkEnd w:id="0"/>
      <w:r>
        <w:rPr>
          <w:rFonts w:ascii="Times New (W1)" w:hAnsi="Times New (W1)"/>
          <w:b/>
          <w:bCs/>
        </w:rPr>
        <w:t>Supporting Statement f</w:t>
      </w:r>
      <w:r w:rsidRPr="00B63E83">
        <w:rPr>
          <w:rFonts w:ascii="Times New (W1)" w:hAnsi="Times New (W1)"/>
          <w:b/>
          <w:bCs/>
        </w:rPr>
        <w:t>or</w:t>
      </w:r>
    </w:p>
    <w:p w:rsidR="004C7A18" w:rsidRDefault="0083559C" w:rsidP="004C7A18">
      <w:pPr>
        <w:jc w:val="center"/>
        <w:rPr>
          <w:b/>
          <w:bCs/>
        </w:rPr>
      </w:pPr>
      <w:r>
        <w:rPr>
          <w:b/>
          <w:bCs/>
        </w:rPr>
        <w:t>Redetermination o</w:t>
      </w:r>
      <w:r w:rsidR="00A55591">
        <w:rPr>
          <w:b/>
          <w:bCs/>
        </w:rPr>
        <w:t xml:space="preserve">f Eligibility for Extra Help </w:t>
      </w:r>
    </w:p>
    <w:p w:rsidR="000E62EC" w:rsidRDefault="004C7A18" w:rsidP="004C7A18">
      <w:pPr>
        <w:jc w:val="center"/>
        <w:rPr>
          <w:rFonts w:ascii="Times New (W1)" w:hAnsi="Times New (W1)"/>
          <w:b/>
          <w:bCs/>
        </w:rPr>
      </w:pPr>
      <w:r>
        <w:rPr>
          <w:b/>
          <w:bCs/>
        </w:rPr>
        <w:t>W</w:t>
      </w:r>
      <w:r w:rsidR="002845DC">
        <w:rPr>
          <w:b/>
          <w:bCs/>
        </w:rPr>
        <w:t>ith</w:t>
      </w:r>
      <w:r>
        <w:rPr>
          <w:b/>
          <w:bCs/>
        </w:rPr>
        <w:t xml:space="preserve"> </w:t>
      </w:r>
      <w:r w:rsidR="002845DC">
        <w:rPr>
          <w:b/>
          <w:bCs/>
        </w:rPr>
        <w:t>Medicare Prescription Drug Plan Costs</w:t>
      </w:r>
    </w:p>
    <w:p w:rsidR="009E77F1" w:rsidRDefault="0083559C" w:rsidP="004C7A18">
      <w:pPr>
        <w:jc w:val="center"/>
        <w:rPr>
          <w:rFonts w:ascii="Times New (W1)" w:hAnsi="Times New (W1)"/>
          <w:b/>
          <w:bCs/>
        </w:rPr>
      </w:pPr>
      <w:r>
        <w:rPr>
          <w:rFonts w:ascii="Times New (W1)" w:hAnsi="Times New (W1)"/>
          <w:b/>
          <w:bCs/>
        </w:rPr>
        <w:t>Forms SSA-1026-REDE</w:t>
      </w:r>
    </w:p>
    <w:p w:rsidR="00ED1A54" w:rsidRPr="00F22BAC" w:rsidRDefault="0083559C" w:rsidP="004C7A18">
      <w:pPr>
        <w:jc w:val="center"/>
        <w:rPr>
          <w:rFonts w:ascii="Times New (W1)" w:hAnsi="Times New (W1)"/>
          <w:b/>
          <w:bCs/>
          <w:caps/>
        </w:rPr>
      </w:pPr>
      <w:r w:rsidRPr="00F22BAC">
        <w:rPr>
          <w:rFonts w:ascii="Times New (W1)" w:hAnsi="Times New (W1)"/>
          <w:b/>
          <w:bCs/>
        </w:rPr>
        <w:t>(Social Security Administration Review of</w:t>
      </w:r>
      <w:r w:rsidR="009E77F1" w:rsidRPr="00F22BAC">
        <w:rPr>
          <w:rFonts w:ascii="Times New (W1)" w:hAnsi="Times New (W1)"/>
          <w:b/>
          <w:bCs/>
        </w:rPr>
        <w:t xml:space="preserve"> </w:t>
      </w:r>
      <w:r w:rsidRPr="00F22BAC">
        <w:rPr>
          <w:rFonts w:ascii="Times New (W1)" w:hAnsi="Times New (W1)"/>
          <w:b/>
          <w:bCs/>
        </w:rPr>
        <w:t>Your Eligibility for Extra Help)</w:t>
      </w:r>
    </w:p>
    <w:p w:rsidR="0083559C" w:rsidRDefault="00A55591" w:rsidP="004C7A18">
      <w:pPr>
        <w:jc w:val="center"/>
        <w:rPr>
          <w:rFonts w:ascii="Times New (W1)" w:hAnsi="Times New (W1)"/>
          <w:b/>
          <w:bCs/>
          <w:caps/>
        </w:rPr>
      </w:pPr>
      <w:r>
        <w:rPr>
          <w:rFonts w:ascii="Times New (W1)" w:hAnsi="Times New (W1)"/>
          <w:b/>
          <w:bCs/>
        </w:rPr>
        <w:t>And</w:t>
      </w:r>
    </w:p>
    <w:p w:rsidR="009E77F1" w:rsidRDefault="0083559C" w:rsidP="004C7A18">
      <w:pPr>
        <w:jc w:val="center"/>
        <w:rPr>
          <w:rFonts w:ascii="Times New (W1)" w:hAnsi="Times New (W1)"/>
          <w:b/>
          <w:bCs/>
        </w:rPr>
      </w:pPr>
      <w:r>
        <w:rPr>
          <w:rFonts w:ascii="Times New (W1)" w:hAnsi="Times New (W1)"/>
          <w:b/>
          <w:bCs/>
        </w:rPr>
        <w:t>SSA-1026-SCE</w:t>
      </w:r>
    </w:p>
    <w:p w:rsidR="0083559C" w:rsidRPr="00F22BAC" w:rsidRDefault="0083559C" w:rsidP="004C7A18">
      <w:pPr>
        <w:jc w:val="center"/>
        <w:rPr>
          <w:rFonts w:ascii="Times New (W1)" w:hAnsi="Times New (W1)"/>
          <w:b/>
          <w:bCs/>
          <w:caps/>
        </w:rPr>
      </w:pPr>
      <w:r w:rsidRPr="00F22BAC">
        <w:rPr>
          <w:rFonts w:ascii="Times New (W1)" w:hAnsi="Times New (W1)"/>
          <w:b/>
          <w:bCs/>
        </w:rPr>
        <w:t>(Social Security Administration Reporting a Change That May Affect Your Extra Help)</w:t>
      </w:r>
    </w:p>
    <w:p w:rsidR="00912621" w:rsidRDefault="00912621" w:rsidP="004C7A18">
      <w:pPr>
        <w:jc w:val="center"/>
        <w:rPr>
          <w:b/>
          <w:bCs/>
        </w:rPr>
      </w:pPr>
      <w:r>
        <w:rPr>
          <w:b/>
          <w:bCs/>
        </w:rPr>
        <w:t>20 CFR 418.3125</w:t>
      </w:r>
    </w:p>
    <w:p w:rsidR="00D8322E" w:rsidRDefault="00D8322E" w:rsidP="004C7A18">
      <w:pPr>
        <w:jc w:val="center"/>
        <w:rPr>
          <w:b/>
          <w:bCs/>
        </w:rPr>
      </w:pPr>
      <w:r>
        <w:rPr>
          <w:b/>
          <w:bCs/>
        </w:rPr>
        <w:t>OMB No. 0960</w:t>
      </w:r>
      <w:r w:rsidR="000714D0">
        <w:rPr>
          <w:b/>
          <w:bCs/>
        </w:rPr>
        <w:t>-0723</w:t>
      </w:r>
    </w:p>
    <w:p w:rsidR="00D8322E" w:rsidRDefault="00D8322E" w:rsidP="00D8322E">
      <w:pPr>
        <w:rPr>
          <w:b/>
          <w:bCs/>
        </w:rPr>
      </w:pPr>
    </w:p>
    <w:p w:rsidR="00D8322E" w:rsidRDefault="00D8322E" w:rsidP="008D6B8A">
      <w:pPr>
        <w:numPr>
          <w:ilvl w:val="0"/>
          <w:numId w:val="1"/>
        </w:numPr>
        <w:tabs>
          <w:tab w:val="clear" w:pos="1080"/>
          <w:tab w:val="num" w:pos="720"/>
        </w:tabs>
        <w:ind w:left="720" w:hanging="540"/>
      </w:pPr>
      <w:r>
        <w:rPr>
          <w:b/>
          <w:bCs/>
          <w:u w:val="single"/>
        </w:rPr>
        <w:t>Justification</w:t>
      </w:r>
    </w:p>
    <w:p w:rsidR="00D8322E" w:rsidRDefault="00D8322E" w:rsidP="00D8322E">
      <w:pPr>
        <w:ind w:left="360"/>
      </w:pPr>
    </w:p>
    <w:p w:rsidR="00D8322E" w:rsidRDefault="007D03F2" w:rsidP="008D6B8A">
      <w:pPr>
        <w:numPr>
          <w:ilvl w:val="1"/>
          <w:numId w:val="1"/>
        </w:numPr>
        <w:ind w:hanging="720"/>
      </w:pPr>
      <w:r>
        <w:rPr>
          <w:b/>
          <w:bCs/>
        </w:rPr>
        <w:t>Introduction/Authoring Laws and Regulations</w:t>
      </w:r>
    </w:p>
    <w:p w:rsidR="00E72139" w:rsidRDefault="00D8322E" w:rsidP="008D6B8A">
      <w:pPr>
        <w:ind w:left="1440"/>
      </w:pPr>
      <w:r>
        <w:t xml:space="preserve">Section </w:t>
      </w:r>
      <w:r>
        <w:rPr>
          <w:i/>
          <w:iCs/>
        </w:rPr>
        <w:t>1860D-14(a)(3)(A)(iv)(I)</w:t>
      </w:r>
      <w:r w:rsidR="00ED1A54">
        <w:t xml:space="preserve"> </w:t>
      </w:r>
      <w:r>
        <w:t xml:space="preserve">of the </w:t>
      </w:r>
      <w:r w:rsidRPr="00ED1A54">
        <w:rPr>
          <w:i/>
        </w:rPr>
        <w:t xml:space="preserve">Medicare Modernization Act </w:t>
      </w:r>
      <w:r w:rsidR="0015206E">
        <w:rPr>
          <w:i/>
        </w:rPr>
        <w:t xml:space="preserve">(MMA) </w:t>
      </w:r>
      <w:r w:rsidRPr="00ED1A54">
        <w:rPr>
          <w:i/>
        </w:rPr>
        <w:t>of 2003</w:t>
      </w:r>
      <w:r>
        <w:t xml:space="preserve">, as codified in </w:t>
      </w:r>
      <w:r w:rsidR="00F22BAC">
        <w:t>S</w:t>
      </w:r>
      <w:r>
        <w:t xml:space="preserve">ection </w:t>
      </w:r>
      <w:r w:rsidR="006B33D7" w:rsidRPr="006B33D7">
        <w:rPr>
          <w:i/>
          <w:iCs/>
        </w:rPr>
        <w:t>418.3125</w:t>
      </w:r>
      <w:r w:rsidR="006B33D7">
        <w:t xml:space="preserve"> </w:t>
      </w:r>
      <w:r w:rsidRPr="006B33D7">
        <w:t>of</w:t>
      </w:r>
      <w:r>
        <w:t xml:space="preserve"> the </w:t>
      </w:r>
      <w:r>
        <w:rPr>
          <w:i/>
          <w:iCs/>
        </w:rPr>
        <w:t>Code of Federal Regulations</w:t>
      </w:r>
      <w:r>
        <w:t xml:space="preserve">, requires the Social Security Administration (SSA) to conduct low-income subsidy eligibility redeterminations for </w:t>
      </w:r>
      <w:r w:rsidR="00581F4F">
        <w:t>recipients of the Medicare Prescription Drug Plan (Part D) subsidy</w:t>
      </w:r>
      <w:r>
        <w:t>.</w:t>
      </w:r>
      <w:r w:rsidR="00581F4F">
        <w:t xml:space="preserve">  SSA needs forms to collect information from subsidy recipients </w:t>
      </w:r>
      <w:r w:rsidR="002845DC">
        <w:t>so we</w:t>
      </w:r>
      <w:r w:rsidR="004B74D1">
        <w:t xml:space="preserve"> can</w:t>
      </w:r>
      <w:r w:rsidR="00866B98">
        <w:t>:</w:t>
      </w:r>
      <w:r w:rsidR="00581F4F">
        <w:t xml:space="preserve"> </w:t>
      </w:r>
      <w:r w:rsidR="00866B98">
        <w:t xml:space="preserve"> (</w:t>
      </w:r>
      <w:r w:rsidR="004B74D1">
        <w:t xml:space="preserve">1) </w:t>
      </w:r>
      <w:r w:rsidR="00581F4F">
        <w:t>determine if a subsidy redetermination is ne</w:t>
      </w:r>
      <w:r w:rsidR="00A94860">
        <w:t>cessary</w:t>
      </w:r>
      <w:r w:rsidR="00866B98">
        <w:t>,</w:t>
      </w:r>
      <w:r w:rsidR="00581F4F">
        <w:t xml:space="preserve"> and</w:t>
      </w:r>
      <w:r w:rsidR="004B74D1">
        <w:t xml:space="preserve"> </w:t>
      </w:r>
      <w:r w:rsidR="00866B98">
        <w:t>(</w:t>
      </w:r>
      <w:r w:rsidR="004B74D1">
        <w:t>2)</w:t>
      </w:r>
      <w:r w:rsidR="0015206E">
        <w:t> </w:t>
      </w:r>
      <w:r w:rsidR="00581F4F">
        <w:t>conduct the</w:t>
      </w:r>
      <w:r w:rsidR="00E72139">
        <w:t xml:space="preserve"> actual red</w:t>
      </w:r>
      <w:r w:rsidR="002845DC">
        <w:t>etermination.  The agency uses F</w:t>
      </w:r>
      <w:r w:rsidR="00E72139">
        <w:t xml:space="preserve">orms </w:t>
      </w:r>
      <w:r w:rsidR="00581F4F">
        <w:t>SSA-1026-</w:t>
      </w:r>
      <w:r w:rsidR="00470B2A">
        <w:t>REDE</w:t>
      </w:r>
      <w:r w:rsidR="00E72139">
        <w:t xml:space="preserve"> and </w:t>
      </w:r>
      <w:r w:rsidR="00581F4F">
        <w:t>SSA</w:t>
      </w:r>
      <w:r w:rsidR="007455AB">
        <w:noBreakHyphen/>
      </w:r>
      <w:r w:rsidR="00581F4F">
        <w:t>1026</w:t>
      </w:r>
      <w:r w:rsidR="00F22BAC">
        <w:noBreakHyphen/>
      </w:r>
      <w:r w:rsidR="00581F4F">
        <w:t xml:space="preserve">SCE for </w:t>
      </w:r>
      <w:r w:rsidR="00EA216A">
        <w:t>th</w:t>
      </w:r>
      <w:r w:rsidR="00866B98">
        <w:t>e</w:t>
      </w:r>
      <w:r w:rsidR="00EA216A">
        <w:t>se</w:t>
      </w:r>
      <w:r w:rsidR="00BE2C4F">
        <w:t xml:space="preserve"> purposes.</w:t>
      </w:r>
    </w:p>
    <w:p w:rsidR="00581F4F" w:rsidRDefault="00581F4F" w:rsidP="008D6B8A">
      <w:r>
        <w:tab/>
      </w:r>
    </w:p>
    <w:p w:rsidR="00581F4F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>Description of Collection</w:t>
      </w:r>
    </w:p>
    <w:p w:rsidR="00581F4F" w:rsidRDefault="00EA216A" w:rsidP="008D6B8A">
      <w:pPr>
        <w:ind w:left="1440"/>
      </w:pPr>
      <w:r>
        <w:t xml:space="preserve">Medicare Part D subsidy recipients undergo an eligibility redetermination under two potential circumstances.  </w:t>
      </w:r>
      <w:r w:rsidR="00581F4F">
        <w:t xml:space="preserve">Below is a description of </w:t>
      </w:r>
      <w:r>
        <w:t>these scenarios and the appropriate form</w:t>
      </w:r>
      <w:r w:rsidR="00560B04">
        <w:t>s to use</w:t>
      </w:r>
      <w:r>
        <w:t>.</w:t>
      </w:r>
      <w:r w:rsidR="007A330D">
        <w:t xml:space="preserve">  This collection is mandatory for respondents who wish to continue their Medicare Part D subsidy.</w:t>
      </w:r>
      <w:r w:rsidR="0064568E">
        <w:t xml:space="preserve">  SSA employees collect this information.</w:t>
      </w:r>
      <w:r w:rsidR="008D6B8A">
        <w:t xml:space="preserve">  </w:t>
      </w:r>
    </w:p>
    <w:p w:rsidR="008D6B8A" w:rsidRDefault="008D6B8A" w:rsidP="008D6B8A">
      <w:pPr>
        <w:ind w:left="1440"/>
      </w:pPr>
    </w:p>
    <w:p w:rsidR="000C67B7" w:rsidRPr="000C67B7" w:rsidRDefault="000C67B7" w:rsidP="008D6B8A">
      <w:pPr>
        <w:ind w:left="1440"/>
        <w:rPr>
          <w:b/>
          <w:u w:val="single"/>
        </w:rPr>
      </w:pPr>
      <w:r w:rsidRPr="000C67B7">
        <w:rPr>
          <w:b/>
          <w:u w:val="single"/>
        </w:rPr>
        <w:t>SSA-1026-REDE (Social Security Administration Review of Your Eligibility for Extra Help)</w:t>
      </w:r>
    </w:p>
    <w:p w:rsidR="0083559C" w:rsidRDefault="000C67B7" w:rsidP="008D6B8A">
      <w:pPr>
        <w:ind w:left="1440"/>
        <w:rPr>
          <w:b/>
          <w:bCs/>
          <w:u w:val="single"/>
        </w:rPr>
      </w:pPr>
      <w:r>
        <w:t>Form SSA-1026-REDE is a cyclical redetermination form SSA sends to certain Medicare Part D subsidy recipients whom the system automatically selects based on certain profile</w:t>
      </w:r>
      <w:r w:rsidR="00560B04">
        <w:t xml:space="preserve"> and </w:t>
      </w:r>
      <w:r>
        <w:t>selection criteria.</w:t>
      </w:r>
      <w:r w:rsidR="0009226D">
        <w:t xml:space="preserve">  Specifically, these are individuals who</w:t>
      </w:r>
      <w:r w:rsidR="00560B04">
        <w:t>:  (</w:t>
      </w:r>
      <w:r>
        <w:t>1) became entitled to the Medicare Part D su</w:t>
      </w:r>
      <w:r w:rsidR="002845DC">
        <w:t>bsidy during the past 12 months;</w:t>
      </w:r>
      <w:r>
        <w:t xml:space="preserve"> </w:t>
      </w:r>
      <w:r w:rsidR="00560B04">
        <w:t>(</w:t>
      </w:r>
      <w:r>
        <w:t>2)</w:t>
      </w:r>
      <w:r w:rsidR="0015206E">
        <w:t> </w:t>
      </w:r>
      <w:r>
        <w:t xml:space="preserve">were eligible for the Part D </w:t>
      </w:r>
      <w:r w:rsidR="002845DC">
        <w:t>subsidy for more than 12 months;</w:t>
      </w:r>
      <w:r>
        <w:t xml:space="preserve"> or </w:t>
      </w:r>
      <w:r w:rsidR="00560B04">
        <w:t>(</w:t>
      </w:r>
      <w:r>
        <w:t xml:space="preserve">3) reported a change in income, resources, or household size (all factors which could affect subsidy amounts).   </w:t>
      </w:r>
    </w:p>
    <w:p w:rsidR="002845DC" w:rsidRDefault="002845DC" w:rsidP="008D6B8A">
      <w:pPr>
        <w:ind w:left="1440"/>
        <w:rPr>
          <w:b/>
          <w:bCs/>
          <w:u w:val="single"/>
        </w:rPr>
      </w:pPr>
    </w:p>
    <w:p w:rsidR="00B47A7B" w:rsidRPr="00B47A7B" w:rsidRDefault="00B47A7B" w:rsidP="008D6B8A">
      <w:pPr>
        <w:ind w:left="1440"/>
        <w:rPr>
          <w:b/>
          <w:u w:val="single"/>
        </w:rPr>
      </w:pPr>
      <w:r>
        <w:rPr>
          <w:b/>
          <w:u w:val="single"/>
        </w:rPr>
        <w:t>SSA-1026-SCE (Social Security Administration -- Reporting a Change That May Affect Your Extra Help)</w:t>
      </w:r>
    </w:p>
    <w:p w:rsidR="00B47A7B" w:rsidRDefault="00B47A7B" w:rsidP="008D6B8A">
      <w:pPr>
        <w:ind w:left="1440"/>
      </w:pPr>
      <w:r>
        <w:t xml:space="preserve">SSA uses form SSA-1026-SCE to conduct subsidy eligibility redeterminations for Part D subsidy beneficiaries who report a potentially subsidy-changing event, including the following: </w:t>
      </w:r>
      <w:r w:rsidR="00560B04">
        <w:t xml:space="preserve"> (</w:t>
      </w:r>
      <w:r>
        <w:t>1) marriage</w:t>
      </w:r>
      <w:r w:rsidR="00560B04">
        <w:t>; (</w:t>
      </w:r>
      <w:r>
        <w:t>2) spousal separation</w:t>
      </w:r>
      <w:r w:rsidR="00560B04">
        <w:t>;</w:t>
      </w:r>
      <w:r>
        <w:t xml:space="preserve"> </w:t>
      </w:r>
      <w:r w:rsidR="00560B04">
        <w:t>(</w:t>
      </w:r>
      <w:r>
        <w:t>3) divor</w:t>
      </w:r>
      <w:r w:rsidR="008D6B8A">
        <w:t>ce</w:t>
      </w:r>
      <w:r w:rsidR="00560B04">
        <w:t>;</w:t>
      </w:r>
      <w:r w:rsidR="008D6B8A">
        <w:t xml:space="preserve"> </w:t>
      </w:r>
      <w:r w:rsidR="00560B04">
        <w:t>(</w:t>
      </w:r>
      <w:r w:rsidR="008D6B8A">
        <w:t>4)</w:t>
      </w:r>
      <w:r w:rsidR="00560B04">
        <w:t> </w:t>
      </w:r>
      <w:r w:rsidR="008D6B8A">
        <w:t>annulment of a marriage</w:t>
      </w:r>
      <w:r w:rsidR="00560B04">
        <w:t>;</w:t>
      </w:r>
      <w:r w:rsidR="008D6B8A">
        <w:t xml:space="preserve"> </w:t>
      </w:r>
      <w:r w:rsidR="00560B04">
        <w:t>(</w:t>
      </w:r>
      <w:r>
        <w:t>5) spousal death</w:t>
      </w:r>
      <w:r w:rsidR="00560B04">
        <w:t>;</w:t>
      </w:r>
      <w:r>
        <w:t xml:space="preserve"> or </w:t>
      </w:r>
      <w:r w:rsidR="00560B04">
        <w:t>(</w:t>
      </w:r>
      <w:r>
        <w:t xml:space="preserve">6) moving back in with </w:t>
      </w:r>
      <w:r w:rsidR="00ED1A54">
        <w:t>one’s</w:t>
      </w:r>
      <w:r>
        <w:t xml:space="preserve"> </w:t>
      </w:r>
      <w:r>
        <w:lastRenderedPageBreak/>
        <w:t>spouse following a separation.</w:t>
      </w:r>
      <w:r w:rsidR="004731F4">
        <w:t xml:space="preserve">  SSA sends the form to Medicare Part D subsidy recipients who have contacted SSA to self-report one of these events.</w:t>
      </w:r>
    </w:p>
    <w:p w:rsidR="004731F4" w:rsidRDefault="004731F4" w:rsidP="008D6B8A">
      <w:pPr>
        <w:ind w:left="1440"/>
      </w:pPr>
    </w:p>
    <w:p w:rsidR="00560B04" w:rsidRDefault="002845DC" w:rsidP="008D6B8A">
      <w:pPr>
        <w:ind w:left="1440"/>
      </w:pPr>
      <w:r>
        <w:t xml:space="preserve">When SSA mails </w:t>
      </w:r>
      <w:r w:rsidR="004731F4">
        <w:t>these forms</w:t>
      </w:r>
      <w:r>
        <w:t xml:space="preserve"> to recipients</w:t>
      </w:r>
      <w:r w:rsidR="004731F4">
        <w:t xml:space="preserve">, SSA includes a </w:t>
      </w:r>
      <w:r w:rsidR="004731F4" w:rsidRPr="007A0171">
        <w:rPr>
          <w:i/>
          <w:iCs/>
        </w:rPr>
        <w:t>R</w:t>
      </w:r>
      <w:r w:rsidR="004731F4">
        <w:rPr>
          <w:i/>
          <w:iCs/>
        </w:rPr>
        <w:t xml:space="preserve">esource and Income Summary </w:t>
      </w:r>
      <w:r w:rsidR="004731F4" w:rsidRPr="00A148D9">
        <w:t>form</w:t>
      </w:r>
      <w:r w:rsidR="004731F4">
        <w:rPr>
          <w:i/>
          <w:iCs/>
        </w:rPr>
        <w:t>.</w:t>
      </w:r>
      <w:r w:rsidR="004731F4">
        <w:t xml:space="preserve">  This insert list</w:t>
      </w:r>
      <w:r>
        <w:t>s the subsidy-</w:t>
      </w:r>
      <w:r w:rsidR="004731F4">
        <w:t>eligible individual’s income and res</w:t>
      </w:r>
      <w:r w:rsidR="00ED1A54">
        <w:t>ource types</w:t>
      </w:r>
      <w:r w:rsidR="009E5C12">
        <w:t>;</w:t>
      </w:r>
      <w:r w:rsidR="00ED1A54">
        <w:t xml:space="preserve"> income and resources </w:t>
      </w:r>
      <w:r w:rsidR="004731F4">
        <w:t>amounts</w:t>
      </w:r>
      <w:r w:rsidR="009E5C12">
        <w:t>;</w:t>
      </w:r>
      <w:r w:rsidR="00ED1A54">
        <w:t xml:space="preserve"> </w:t>
      </w:r>
      <w:r w:rsidR="004731F4">
        <w:t>and the household size</w:t>
      </w:r>
      <w:r w:rsidR="00ED1A54">
        <w:t xml:space="preserve"> on record</w:t>
      </w:r>
      <w:r w:rsidR="004731F4">
        <w:t xml:space="preserve">.  This information comes from </w:t>
      </w:r>
      <w:r w:rsidR="00560B04">
        <w:t>(</w:t>
      </w:r>
      <w:r w:rsidR="004731F4">
        <w:t>1) SSA’s records</w:t>
      </w:r>
      <w:r>
        <w:t>,</w:t>
      </w:r>
      <w:r w:rsidR="004731F4">
        <w:t xml:space="preserve"> and </w:t>
      </w:r>
      <w:r w:rsidR="00560B04">
        <w:t>(</w:t>
      </w:r>
      <w:r w:rsidR="004731F4">
        <w:t xml:space="preserve">2) the information subsidy recipients provided on their original applications.  </w:t>
      </w:r>
      <w:r w:rsidR="009E5C12">
        <w:t>SSA asks t</w:t>
      </w:r>
      <w:r w:rsidR="004731F4">
        <w:t xml:space="preserve">he subsidy recipient undergoing a redetermination </w:t>
      </w:r>
      <w:r w:rsidR="009E5C12">
        <w:t>to</w:t>
      </w:r>
      <w:r w:rsidR="004731F4">
        <w:t xml:space="preserve"> refer to the </w:t>
      </w:r>
      <w:r w:rsidR="004731F4" w:rsidRPr="007A0171">
        <w:rPr>
          <w:i/>
          <w:iCs/>
        </w:rPr>
        <w:t>R</w:t>
      </w:r>
      <w:r w:rsidR="004731F4">
        <w:rPr>
          <w:i/>
          <w:iCs/>
        </w:rPr>
        <w:t xml:space="preserve">esource and Income Summary </w:t>
      </w:r>
      <w:r w:rsidR="004731F4">
        <w:t xml:space="preserve">when completing the SSA-1026.  </w:t>
      </w:r>
    </w:p>
    <w:p w:rsidR="00560B04" w:rsidRDefault="00560B04" w:rsidP="008D6B8A">
      <w:pPr>
        <w:ind w:left="1440"/>
      </w:pPr>
    </w:p>
    <w:p w:rsidR="008D6B8A" w:rsidRDefault="008D6B8A" w:rsidP="008D6B8A">
      <w:pPr>
        <w:ind w:left="1440"/>
      </w:pPr>
      <w:r w:rsidRPr="00C3586D">
        <w:t>The</w:t>
      </w:r>
      <w:r>
        <w:t xml:space="preserve"> </w:t>
      </w:r>
      <w:r w:rsidRPr="00C3586D">
        <w:t>respondents are current recipients of the</w:t>
      </w:r>
      <w:r>
        <w:t xml:space="preserve"> </w:t>
      </w:r>
      <w:r w:rsidRPr="00C3586D">
        <w:t>Medicare Part D low-income subsidy</w:t>
      </w:r>
      <w:r>
        <w:t xml:space="preserve"> </w:t>
      </w:r>
      <w:r w:rsidRPr="00C3586D">
        <w:t>who will undergo an eligibility</w:t>
      </w:r>
      <w:r>
        <w:t xml:space="preserve"> </w:t>
      </w:r>
      <w:r w:rsidRPr="00C3586D">
        <w:t>redetermination</w:t>
      </w:r>
      <w:r>
        <w:t>.</w:t>
      </w:r>
    </w:p>
    <w:p w:rsidR="004731F4" w:rsidRDefault="004731F4" w:rsidP="008D6B8A">
      <w:pPr>
        <w:ind w:left="1440"/>
      </w:pPr>
    </w:p>
    <w:p w:rsidR="007C6654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Use of </w:t>
      </w:r>
      <w:r w:rsidR="007C6654">
        <w:rPr>
          <w:b/>
          <w:bCs/>
        </w:rPr>
        <w:t xml:space="preserve">Information Technology </w:t>
      </w:r>
      <w:r w:rsidR="00171F31">
        <w:rPr>
          <w:b/>
          <w:bCs/>
        </w:rPr>
        <w:t>to Collect the</w:t>
      </w:r>
      <w:r w:rsidR="007C6654">
        <w:rPr>
          <w:b/>
          <w:bCs/>
        </w:rPr>
        <w:t xml:space="preserve"> Information</w:t>
      </w:r>
    </w:p>
    <w:p w:rsidR="00A701DC" w:rsidRDefault="00096E35" w:rsidP="008D6B8A">
      <w:pPr>
        <w:ind w:left="1440"/>
      </w:pPr>
      <w:r>
        <w:t>A PDF version of F</w:t>
      </w:r>
      <w:r w:rsidR="00A701DC">
        <w:t>orm SSA-1026 is available on SSA’s website for viewing purposes only.  The respondents can complete the paper form</w:t>
      </w:r>
      <w:r w:rsidR="009E5C12">
        <w:t>,</w:t>
      </w:r>
      <w:r w:rsidR="00A701DC">
        <w:t xml:space="preserve"> or a field office representative completes the form during an in-office or telephone interview</w:t>
      </w:r>
      <w:r w:rsidR="0015206E">
        <w:t>,</w:t>
      </w:r>
      <w:r w:rsidR="00A701DC">
        <w:t xml:space="preserve"> and enters the information in an SSA Intranet application system.</w:t>
      </w:r>
    </w:p>
    <w:p w:rsidR="00A701DC" w:rsidRDefault="00A701DC" w:rsidP="008D6B8A">
      <w:pPr>
        <w:ind w:left="1440"/>
      </w:pPr>
    </w:p>
    <w:p w:rsidR="007C6654" w:rsidRDefault="00A701DC" w:rsidP="008D6B8A">
      <w:pPr>
        <w:ind w:left="1440"/>
      </w:pPr>
      <w:r>
        <w:t>In accordance with the agency’s Government Paperwork Elimination Act plan, SSA created an Intranet version of the SSA-1026 forms.  Based on our da</w:t>
      </w:r>
      <w:r w:rsidR="003D2344">
        <w:t>ta, we estimate approximately 34</w:t>
      </w:r>
      <w:r>
        <w:t xml:space="preserve"> percent of respondents under this OMB number use the electronic version</w:t>
      </w:r>
      <w:r w:rsidR="0015206E">
        <w:t>.</w:t>
      </w:r>
    </w:p>
    <w:p w:rsidR="00F34B30" w:rsidRDefault="00F34B30" w:rsidP="008D6B8A"/>
    <w:p w:rsidR="00F34B30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>Why We Cannot Use Duplicate Information</w:t>
      </w:r>
    </w:p>
    <w:p w:rsidR="00F34B30" w:rsidRDefault="00F34B30" w:rsidP="008D6B8A">
      <w:pPr>
        <w:ind w:left="1440"/>
      </w:pPr>
      <w:r>
        <w:t xml:space="preserve">The nature of the information </w:t>
      </w:r>
      <w:r w:rsidR="00807D94">
        <w:t>we collect</w:t>
      </w:r>
      <w:r w:rsidR="0015206E">
        <w:t xml:space="preserve"> </w:t>
      </w:r>
      <w:r>
        <w:t>and the manner in which</w:t>
      </w:r>
      <w:r w:rsidR="00807D94">
        <w:t xml:space="preserve"> we collect</w:t>
      </w:r>
      <w:r w:rsidR="0015206E">
        <w:t xml:space="preserve"> </w:t>
      </w:r>
      <w:r w:rsidR="00807D94">
        <w:t>it</w:t>
      </w:r>
      <w:r>
        <w:t xml:space="preserve"> preclude duplication.  </w:t>
      </w:r>
      <w:r w:rsidR="00807D94">
        <w:t xml:space="preserve">SSA does not use another collection instrument to obtain similar data.  </w:t>
      </w:r>
    </w:p>
    <w:p w:rsidR="00F34B30" w:rsidRDefault="00F34B30" w:rsidP="008D6B8A"/>
    <w:p w:rsidR="00F34B30" w:rsidRDefault="007A330D" w:rsidP="008D6B8A">
      <w:pPr>
        <w:numPr>
          <w:ilvl w:val="1"/>
          <w:numId w:val="1"/>
        </w:numPr>
        <w:ind w:hanging="720"/>
      </w:pPr>
      <w:r>
        <w:rPr>
          <w:b/>
          <w:bCs/>
        </w:rPr>
        <w:t>Minimizing Burden on Small Respondents</w:t>
      </w:r>
    </w:p>
    <w:p w:rsidR="00F34B30" w:rsidRDefault="00F34B30" w:rsidP="008D6B8A">
      <w:pPr>
        <w:ind w:left="1440"/>
      </w:pPr>
      <w:r>
        <w:t xml:space="preserve">This collection does not </w:t>
      </w:r>
      <w:r w:rsidR="0073742A">
        <w:t>affect</w:t>
      </w:r>
      <w:r>
        <w:t xml:space="preserve"> small businesses or other small entities.</w:t>
      </w:r>
    </w:p>
    <w:p w:rsidR="00F34B30" w:rsidRDefault="00F34B30" w:rsidP="008D6B8A"/>
    <w:p w:rsidR="00F34B30" w:rsidRDefault="00171F31" w:rsidP="008D6B8A">
      <w:pPr>
        <w:numPr>
          <w:ilvl w:val="1"/>
          <w:numId w:val="1"/>
        </w:numPr>
        <w:ind w:hanging="720"/>
      </w:pPr>
      <w:r>
        <w:rPr>
          <w:b/>
          <w:bCs/>
        </w:rPr>
        <w:t>Consequence</w:t>
      </w:r>
      <w:r w:rsidR="00F34B30">
        <w:rPr>
          <w:b/>
          <w:bCs/>
        </w:rPr>
        <w:t xml:space="preserve"> of Not Co</w:t>
      </w:r>
      <w:r w:rsidR="007D03F2">
        <w:rPr>
          <w:b/>
          <w:bCs/>
        </w:rPr>
        <w:t>llecting</w:t>
      </w:r>
      <w:r w:rsidR="00F34B30">
        <w:rPr>
          <w:b/>
          <w:bCs/>
        </w:rPr>
        <w:t xml:space="preserve"> Information</w:t>
      </w:r>
      <w:r>
        <w:rPr>
          <w:b/>
          <w:bCs/>
        </w:rPr>
        <w:t xml:space="preserve"> or </w:t>
      </w:r>
      <w:r w:rsidR="00F34B30">
        <w:rPr>
          <w:b/>
          <w:bCs/>
        </w:rPr>
        <w:t>Collectin</w:t>
      </w:r>
      <w:r>
        <w:rPr>
          <w:b/>
          <w:bCs/>
        </w:rPr>
        <w:t>g it Less Frequently</w:t>
      </w:r>
    </w:p>
    <w:p w:rsidR="00613DAE" w:rsidRDefault="00807D94" w:rsidP="008D6B8A">
      <w:pPr>
        <w:ind w:left="1440"/>
      </w:pPr>
      <w:r>
        <w:t xml:space="preserve">If SSA did not conduct this information collection, we would have </w:t>
      </w:r>
      <w:r w:rsidR="00F34B30">
        <w:t>no means of conducting mandatory annual redeterminations</w:t>
      </w:r>
      <w:r w:rsidR="009E5C12">
        <w:t>;</w:t>
      </w:r>
      <w:r w:rsidR="00912621">
        <w:t xml:space="preserve"> </w:t>
      </w:r>
      <w:r w:rsidR="000571C6">
        <w:t>periodic subsidy eligibility redeterminations</w:t>
      </w:r>
      <w:r w:rsidR="009E5C12">
        <w:t>;</w:t>
      </w:r>
      <w:r w:rsidR="000571C6">
        <w:t xml:space="preserve"> or </w:t>
      </w:r>
      <w:r w:rsidR="00F34B30">
        <w:t>subsidy eligibility redeterminations for those reporting</w:t>
      </w:r>
      <w:r w:rsidR="00652E51">
        <w:t xml:space="preserve"> subsidy</w:t>
      </w:r>
      <w:r w:rsidR="00F34B30">
        <w:t xml:space="preserve">-changing events, which would be in violation of the relevant provisions of the </w:t>
      </w:r>
      <w:r w:rsidR="00F34B30" w:rsidRPr="0015206E">
        <w:rPr>
          <w:i/>
        </w:rPr>
        <w:t>MMA</w:t>
      </w:r>
      <w:r w:rsidR="00F34B30">
        <w:t>.</w:t>
      </w:r>
      <w:r w:rsidR="0015206E">
        <w:t xml:space="preserve">  </w:t>
      </w:r>
      <w:r w:rsidR="0015206E" w:rsidRPr="00035908">
        <w:t>Because we collect th</w:t>
      </w:r>
      <w:r w:rsidR="0015206E">
        <w:t>is</w:t>
      </w:r>
      <w:r w:rsidR="0015206E" w:rsidRPr="00035908">
        <w:t xml:space="preserve"> information </w:t>
      </w:r>
      <w:r w:rsidR="0015206E">
        <w:t>on an as needed basis</w:t>
      </w:r>
      <w:r w:rsidR="0015206E" w:rsidRPr="00035908">
        <w:t>, we cannot collect it less frequently</w:t>
      </w:r>
      <w:r w:rsidR="0015206E">
        <w:t xml:space="preserve">.  </w:t>
      </w:r>
      <w:r w:rsidR="0015206E" w:rsidRPr="000B6C08">
        <w:t>There are no technical or legal obstacles to burden reduction</w:t>
      </w:r>
      <w:r w:rsidR="00613DAE">
        <w:t>.</w:t>
      </w:r>
    </w:p>
    <w:p w:rsidR="00F34B30" w:rsidRDefault="00F34B30" w:rsidP="008D6B8A"/>
    <w:p w:rsidR="00F34B30" w:rsidRDefault="00CC035B" w:rsidP="008D6B8A">
      <w:pPr>
        <w:numPr>
          <w:ilvl w:val="1"/>
          <w:numId w:val="1"/>
        </w:numPr>
        <w:ind w:hanging="720"/>
        <w:rPr>
          <w:b/>
          <w:bCs/>
        </w:rPr>
      </w:pPr>
      <w:r>
        <w:rPr>
          <w:b/>
          <w:bCs/>
        </w:rPr>
        <w:t>Special Circumstances</w:t>
      </w:r>
    </w:p>
    <w:p w:rsidR="00E93285" w:rsidRPr="00A701DC" w:rsidRDefault="00E93285" w:rsidP="008D6B8A">
      <w:pPr>
        <w:ind w:left="1440"/>
        <w:rPr>
          <w:i/>
        </w:rPr>
      </w:pPr>
      <w:r>
        <w:t xml:space="preserve">There are no special circumstances that would cause </w:t>
      </w:r>
      <w:r w:rsidR="00807D94">
        <w:t xml:space="preserve">SSA to conduct </w:t>
      </w:r>
      <w:r>
        <w:t xml:space="preserve">this information collection in a manner inconsistent </w:t>
      </w:r>
      <w:r w:rsidRPr="00A701DC">
        <w:t>with</w:t>
      </w:r>
      <w:r w:rsidRPr="00A701DC">
        <w:rPr>
          <w:i/>
        </w:rPr>
        <w:t xml:space="preserve"> 5 CFR 1320.5.</w:t>
      </w:r>
    </w:p>
    <w:p w:rsidR="00E93285" w:rsidRDefault="00E93285" w:rsidP="008D6B8A"/>
    <w:p w:rsidR="0015206E" w:rsidRPr="0015206E" w:rsidRDefault="005C647F" w:rsidP="008D6B8A">
      <w:pPr>
        <w:numPr>
          <w:ilvl w:val="1"/>
          <w:numId w:val="1"/>
        </w:numPr>
        <w:ind w:hanging="720"/>
      </w:pPr>
      <w:r w:rsidRPr="005C647F">
        <w:rPr>
          <w:rFonts w:eastAsia="Times New Roman"/>
          <w:b/>
          <w:snapToGrid w:val="0"/>
          <w:lang w:eastAsia="en-US"/>
        </w:rPr>
        <w:lastRenderedPageBreak/>
        <w:t>Solicitation of Public Comment and Other Consultations with the Public</w:t>
      </w:r>
    </w:p>
    <w:p w:rsidR="00E93285" w:rsidRDefault="0015206E" w:rsidP="0015206E">
      <w:pPr>
        <w:ind w:left="1440"/>
      </w:pPr>
      <w:r w:rsidRPr="00101B8D">
        <w:t xml:space="preserve">The 60-day advance Federal Register Notice published on </w:t>
      </w:r>
      <w:r>
        <w:t>August</w:t>
      </w:r>
      <w:r w:rsidRPr="00101B8D">
        <w:t xml:space="preserve"> </w:t>
      </w:r>
      <w:r>
        <w:t>16</w:t>
      </w:r>
      <w:r w:rsidRPr="00101B8D">
        <w:t xml:space="preserve">, 2017, at 82 FR </w:t>
      </w:r>
      <w:r>
        <w:t>38982</w:t>
      </w:r>
      <w:r w:rsidRPr="00101B8D">
        <w:t xml:space="preserve">, and we received no public comments.  The 30-day FRN published on </w:t>
      </w:r>
      <w:r w:rsidR="00694A73">
        <w:t>November 9, 2017</w:t>
      </w:r>
      <w:r w:rsidRPr="00101B8D">
        <w:t xml:space="preserve"> at </w:t>
      </w:r>
      <w:r>
        <w:t>82</w:t>
      </w:r>
      <w:r w:rsidRPr="00101B8D">
        <w:t xml:space="preserve"> FR </w:t>
      </w:r>
      <w:r w:rsidR="00694A73">
        <w:t>52088</w:t>
      </w:r>
      <w:r w:rsidRPr="00101B8D">
        <w:t>.  If we receive any comments in response to this Notice, we will forward them to OMB</w:t>
      </w:r>
      <w:r w:rsidR="00E07FE6">
        <w:t xml:space="preserve">.  </w:t>
      </w:r>
      <w:r w:rsidR="00807D94">
        <w:t xml:space="preserve">  </w:t>
      </w:r>
    </w:p>
    <w:p w:rsidR="00E93285" w:rsidRDefault="00E93285" w:rsidP="008D6B8A"/>
    <w:p w:rsidR="00E93285" w:rsidRDefault="0064568E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Payment or Gifts to </w:t>
      </w:r>
      <w:r w:rsidR="00E93285">
        <w:rPr>
          <w:b/>
          <w:bCs/>
        </w:rPr>
        <w:t>Respondents</w:t>
      </w:r>
    </w:p>
    <w:p w:rsidR="00E93285" w:rsidRDefault="00E93285" w:rsidP="008D6B8A">
      <w:pPr>
        <w:ind w:left="1440"/>
      </w:pPr>
      <w:r>
        <w:t>SSA</w:t>
      </w:r>
      <w:r w:rsidR="00CC035B">
        <w:t xml:space="preserve"> does not</w:t>
      </w:r>
      <w:r>
        <w:t xml:space="preserve"> provide payment</w:t>
      </w:r>
      <w:r w:rsidR="00CC035B">
        <w:t>s</w:t>
      </w:r>
      <w:r>
        <w:t xml:space="preserve"> or gifts to the respondents.</w:t>
      </w:r>
    </w:p>
    <w:p w:rsidR="00E93285" w:rsidRDefault="00E93285" w:rsidP="008D6B8A"/>
    <w:p w:rsidR="00E93285" w:rsidRDefault="00E93285" w:rsidP="008D6B8A">
      <w:pPr>
        <w:numPr>
          <w:ilvl w:val="1"/>
          <w:numId w:val="1"/>
        </w:numPr>
        <w:ind w:hanging="720"/>
      </w:pPr>
      <w:r w:rsidRPr="00E93285">
        <w:rPr>
          <w:b/>
          <w:bCs/>
        </w:rPr>
        <w:t>Assurance</w:t>
      </w:r>
      <w:r w:rsidR="00CC035B">
        <w:rPr>
          <w:b/>
          <w:bCs/>
        </w:rPr>
        <w:t>s</w:t>
      </w:r>
      <w:r w:rsidRPr="00E93285">
        <w:rPr>
          <w:b/>
          <w:bCs/>
        </w:rPr>
        <w:t xml:space="preserve"> of Confidentiality</w:t>
      </w:r>
    </w:p>
    <w:p w:rsidR="00E93285" w:rsidRDefault="00807D94" w:rsidP="008D6B8A">
      <w:pPr>
        <w:ind w:left="1440"/>
      </w:pPr>
      <w:r>
        <w:t>SSA protects and holds confidential t</w:t>
      </w:r>
      <w:r w:rsidR="00E93285">
        <w:t xml:space="preserve">he information </w:t>
      </w:r>
      <w:r>
        <w:t xml:space="preserve">it </w:t>
      </w:r>
      <w:r w:rsidR="0015206E">
        <w:t>collects</w:t>
      </w:r>
      <w:r>
        <w:t xml:space="preserve"> in </w:t>
      </w:r>
      <w:r w:rsidR="00E93285">
        <w:t xml:space="preserve">accordance with </w:t>
      </w:r>
      <w:r w:rsidR="00E93285" w:rsidRPr="00A701DC">
        <w:rPr>
          <w:i/>
        </w:rPr>
        <w:t>42 U.S.C. 1306, 20 CFR 401</w:t>
      </w:r>
      <w:r w:rsidR="00E93285">
        <w:t xml:space="preserve"> and </w:t>
      </w:r>
      <w:r w:rsidR="00E93285" w:rsidRPr="00A701DC">
        <w:rPr>
          <w:i/>
        </w:rPr>
        <w:t xml:space="preserve">402, 5 U.S.C. 552 </w:t>
      </w:r>
      <w:r w:rsidR="00E93285" w:rsidRPr="0015206E">
        <w:t>(Freedom of Information Act)</w:t>
      </w:r>
      <w:r w:rsidR="0015206E">
        <w:t xml:space="preserve">, </w:t>
      </w:r>
      <w:r w:rsidR="00E93285" w:rsidRPr="00A701DC">
        <w:rPr>
          <w:i/>
        </w:rPr>
        <w:t xml:space="preserve">5 U.S.C. 552a </w:t>
      </w:r>
      <w:r w:rsidR="00E93285" w:rsidRPr="0015206E">
        <w:t>(Privacy Act of 1974),</w:t>
      </w:r>
      <w:r w:rsidR="00E93285">
        <w:t xml:space="preserve"> and OMB Circular No. A-130.</w:t>
      </w:r>
    </w:p>
    <w:p w:rsidR="00E93285" w:rsidRDefault="00A701DC" w:rsidP="008D6B8A">
      <w:r>
        <w:t xml:space="preserve"> </w:t>
      </w:r>
    </w:p>
    <w:p w:rsidR="00E93285" w:rsidRDefault="00E93285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Justification for </w:t>
      </w:r>
      <w:r w:rsidR="0064568E">
        <w:rPr>
          <w:b/>
          <w:bCs/>
        </w:rPr>
        <w:t xml:space="preserve">Sensitive </w:t>
      </w:r>
      <w:r>
        <w:rPr>
          <w:b/>
          <w:bCs/>
        </w:rPr>
        <w:t>Questions</w:t>
      </w:r>
    </w:p>
    <w:p w:rsidR="00E93285" w:rsidRDefault="00E93285" w:rsidP="008D6B8A">
      <w:pPr>
        <w:ind w:left="1440"/>
      </w:pPr>
      <w:r>
        <w:t>The information collection does not contain any questions of a sensitive nature.</w:t>
      </w:r>
    </w:p>
    <w:p w:rsidR="00E93285" w:rsidRDefault="00E93285" w:rsidP="008D6B8A"/>
    <w:p w:rsidR="00E93285" w:rsidRDefault="00E93285" w:rsidP="000B53B5">
      <w:pPr>
        <w:numPr>
          <w:ilvl w:val="1"/>
          <w:numId w:val="1"/>
        </w:numPr>
        <w:spacing w:after="120"/>
        <w:ind w:hanging="720"/>
      </w:pPr>
      <w:r>
        <w:rPr>
          <w:b/>
          <w:bCs/>
        </w:rPr>
        <w:t xml:space="preserve">Estimates </w:t>
      </w:r>
      <w:r w:rsidR="00CC035B">
        <w:rPr>
          <w:b/>
          <w:bCs/>
        </w:rPr>
        <w:t>of Public Reporting Burden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530"/>
        <w:gridCol w:w="1544"/>
        <w:gridCol w:w="1256"/>
        <w:gridCol w:w="1515"/>
      </w:tblGrid>
      <w:tr w:rsidR="0083559C" w:rsidTr="008D6B8A">
        <w:tc>
          <w:tcPr>
            <w:tcW w:w="2070" w:type="dxa"/>
          </w:tcPr>
          <w:p w:rsidR="0083559C" w:rsidRPr="00E16772" w:rsidRDefault="008D6B8A" w:rsidP="004E1A3F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Modality </w:t>
            </w:r>
            <w:r w:rsidRPr="00335F22">
              <w:rPr>
                <w:b/>
                <w:color w:val="000000"/>
              </w:rPr>
              <w:t xml:space="preserve">of </w:t>
            </w:r>
            <w:r>
              <w:rPr>
                <w:b/>
                <w:color w:val="000000"/>
              </w:rPr>
              <w:t>C</w:t>
            </w:r>
            <w:r w:rsidRPr="00335F22">
              <w:rPr>
                <w:b/>
                <w:color w:val="000000"/>
              </w:rPr>
              <w:t>ollection</w:t>
            </w:r>
          </w:p>
        </w:tc>
        <w:tc>
          <w:tcPr>
            <w:tcW w:w="1530" w:type="dxa"/>
          </w:tcPr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N</w:t>
            </w:r>
            <w:r w:rsidR="008D6B8A">
              <w:rPr>
                <w:b/>
              </w:rPr>
              <w:t xml:space="preserve">umber </w:t>
            </w:r>
            <w:r w:rsidRPr="00E16772">
              <w:rPr>
                <w:b/>
              </w:rPr>
              <w:t>of Respondents</w:t>
            </w:r>
          </w:p>
        </w:tc>
        <w:tc>
          <w:tcPr>
            <w:tcW w:w="1544" w:type="dxa"/>
          </w:tcPr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Frequency of Response</w:t>
            </w:r>
          </w:p>
        </w:tc>
        <w:tc>
          <w:tcPr>
            <w:tcW w:w="1256" w:type="dxa"/>
          </w:tcPr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Average Burden per Response</w:t>
            </w:r>
          </w:p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(minutes)</w:t>
            </w:r>
          </w:p>
        </w:tc>
        <w:tc>
          <w:tcPr>
            <w:tcW w:w="1515" w:type="dxa"/>
          </w:tcPr>
          <w:p w:rsidR="006019CB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Estimated</w:t>
            </w:r>
          </w:p>
          <w:p w:rsidR="006019CB" w:rsidRDefault="006019CB" w:rsidP="004E1A3F">
            <w:pPr>
              <w:rPr>
                <w:b/>
              </w:rPr>
            </w:pPr>
            <w:r>
              <w:rPr>
                <w:b/>
              </w:rPr>
              <w:t>Total</w:t>
            </w:r>
          </w:p>
          <w:p w:rsidR="0083559C" w:rsidRPr="00E16772" w:rsidRDefault="0083559C" w:rsidP="004E1A3F">
            <w:pPr>
              <w:rPr>
                <w:b/>
              </w:rPr>
            </w:pPr>
            <w:r w:rsidRPr="00E16772">
              <w:rPr>
                <w:b/>
              </w:rPr>
              <w:t>Annual Burden (hours)</w:t>
            </w:r>
          </w:p>
        </w:tc>
      </w:tr>
      <w:tr w:rsidR="0083559C" w:rsidTr="008D6B8A">
        <w:tc>
          <w:tcPr>
            <w:tcW w:w="2070" w:type="dxa"/>
          </w:tcPr>
          <w:p w:rsidR="0083559C" w:rsidRDefault="0083559C" w:rsidP="008D6B8A">
            <w:r>
              <w:t>SSA-1026-REDE</w:t>
            </w:r>
          </w:p>
        </w:tc>
        <w:tc>
          <w:tcPr>
            <w:tcW w:w="1530" w:type="dxa"/>
          </w:tcPr>
          <w:p w:rsidR="0083559C" w:rsidRDefault="00F679C6" w:rsidP="008D6B8A">
            <w:pPr>
              <w:jc w:val="right"/>
            </w:pPr>
            <w:r>
              <w:t>98,990</w:t>
            </w:r>
          </w:p>
        </w:tc>
        <w:tc>
          <w:tcPr>
            <w:tcW w:w="1544" w:type="dxa"/>
          </w:tcPr>
          <w:p w:rsidR="0083559C" w:rsidRDefault="008063D8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83559C" w:rsidRDefault="008063D8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83559C" w:rsidRDefault="00BB5AB0" w:rsidP="008D6B8A">
            <w:pPr>
              <w:jc w:val="right"/>
            </w:pPr>
            <w:r>
              <w:t>29,697</w:t>
            </w:r>
          </w:p>
        </w:tc>
      </w:tr>
      <w:tr w:rsidR="0083559C" w:rsidTr="008D6B8A">
        <w:tc>
          <w:tcPr>
            <w:tcW w:w="2070" w:type="dxa"/>
          </w:tcPr>
          <w:p w:rsidR="0083559C" w:rsidRDefault="008063D8" w:rsidP="008D6B8A">
            <w:r>
              <w:t>SSA-1026-SCE</w:t>
            </w:r>
          </w:p>
        </w:tc>
        <w:tc>
          <w:tcPr>
            <w:tcW w:w="1530" w:type="dxa"/>
          </w:tcPr>
          <w:p w:rsidR="0083559C" w:rsidRDefault="00F679C6" w:rsidP="008D6B8A">
            <w:pPr>
              <w:jc w:val="right"/>
            </w:pPr>
            <w:r>
              <w:t>4,267</w:t>
            </w:r>
          </w:p>
        </w:tc>
        <w:tc>
          <w:tcPr>
            <w:tcW w:w="1544" w:type="dxa"/>
          </w:tcPr>
          <w:p w:rsidR="0083559C" w:rsidRDefault="008063D8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83559C" w:rsidRDefault="008063D8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83559C" w:rsidRDefault="00BB5AB0" w:rsidP="008D6B8A">
            <w:pPr>
              <w:jc w:val="right"/>
            </w:pPr>
            <w:r>
              <w:t>1,280</w:t>
            </w:r>
          </w:p>
        </w:tc>
      </w:tr>
      <w:tr w:rsidR="00A701DC" w:rsidTr="008D6B8A">
        <w:tc>
          <w:tcPr>
            <w:tcW w:w="2070" w:type="dxa"/>
          </w:tcPr>
          <w:p w:rsidR="00A701DC" w:rsidRDefault="00A701DC" w:rsidP="008D6B8A">
            <w:r>
              <w:t>REDE Field Office Interview</w:t>
            </w:r>
          </w:p>
        </w:tc>
        <w:tc>
          <w:tcPr>
            <w:tcW w:w="1530" w:type="dxa"/>
          </w:tcPr>
          <w:p w:rsidR="00A701DC" w:rsidRDefault="00F679C6" w:rsidP="008D6B8A">
            <w:pPr>
              <w:jc w:val="right"/>
            </w:pPr>
            <w:r>
              <w:t>50,529</w:t>
            </w:r>
          </w:p>
        </w:tc>
        <w:tc>
          <w:tcPr>
            <w:tcW w:w="1544" w:type="dxa"/>
          </w:tcPr>
          <w:p w:rsidR="00A701DC" w:rsidRDefault="00A701DC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A701DC" w:rsidRDefault="00A701DC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A701DC" w:rsidRDefault="00362E63" w:rsidP="008D6B8A">
            <w:pPr>
              <w:jc w:val="right"/>
            </w:pPr>
            <w:r>
              <w:t>15,159</w:t>
            </w:r>
          </w:p>
        </w:tc>
      </w:tr>
      <w:tr w:rsidR="00A701DC" w:rsidTr="008D6B8A">
        <w:tc>
          <w:tcPr>
            <w:tcW w:w="2070" w:type="dxa"/>
          </w:tcPr>
          <w:p w:rsidR="00A701DC" w:rsidRDefault="00A701DC" w:rsidP="008D6B8A">
            <w:r>
              <w:t>SCE Field Office Interview</w:t>
            </w:r>
          </w:p>
        </w:tc>
        <w:tc>
          <w:tcPr>
            <w:tcW w:w="1530" w:type="dxa"/>
          </w:tcPr>
          <w:p w:rsidR="00A701DC" w:rsidRDefault="00F679C6" w:rsidP="008D6B8A">
            <w:pPr>
              <w:jc w:val="right"/>
            </w:pPr>
            <w:r>
              <w:t>3,468</w:t>
            </w:r>
          </w:p>
        </w:tc>
        <w:tc>
          <w:tcPr>
            <w:tcW w:w="1544" w:type="dxa"/>
          </w:tcPr>
          <w:p w:rsidR="00A701DC" w:rsidRDefault="00A701DC" w:rsidP="008D6B8A">
            <w:pPr>
              <w:jc w:val="right"/>
            </w:pPr>
            <w:r>
              <w:t>1</w:t>
            </w:r>
          </w:p>
        </w:tc>
        <w:tc>
          <w:tcPr>
            <w:tcW w:w="1256" w:type="dxa"/>
          </w:tcPr>
          <w:p w:rsidR="00A701DC" w:rsidRDefault="00A701DC" w:rsidP="008D6B8A">
            <w:pPr>
              <w:jc w:val="right"/>
            </w:pPr>
            <w:r>
              <w:t>18</w:t>
            </w:r>
          </w:p>
        </w:tc>
        <w:tc>
          <w:tcPr>
            <w:tcW w:w="1515" w:type="dxa"/>
          </w:tcPr>
          <w:p w:rsidR="00A701DC" w:rsidRDefault="00362E63" w:rsidP="008D6B8A">
            <w:pPr>
              <w:jc w:val="right"/>
            </w:pPr>
            <w:r>
              <w:t>1,040</w:t>
            </w:r>
          </w:p>
        </w:tc>
      </w:tr>
      <w:tr w:rsidR="0083559C" w:rsidTr="008D6B8A">
        <w:tc>
          <w:tcPr>
            <w:tcW w:w="2070" w:type="dxa"/>
          </w:tcPr>
          <w:p w:rsidR="0083559C" w:rsidRPr="00E16772" w:rsidRDefault="008063D8" w:rsidP="008D6B8A">
            <w:pPr>
              <w:rPr>
                <w:b/>
              </w:rPr>
            </w:pPr>
            <w:r w:rsidRPr="00E16772">
              <w:rPr>
                <w:b/>
              </w:rPr>
              <w:t>Total</w:t>
            </w:r>
            <w:r w:rsidR="008D6B8A">
              <w:rPr>
                <w:b/>
              </w:rPr>
              <w:t>s</w:t>
            </w:r>
          </w:p>
        </w:tc>
        <w:tc>
          <w:tcPr>
            <w:tcW w:w="1530" w:type="dxa"/>
          </w:tcPr>
          <w:p w:rsidR="0083559C" w:rsidRPr="00E16772" w:rsidRDefault="009937E5" w:rsidP="008D6B8A">
            <w:pPr>
              <w:jc w:val="right"/>
              <w:rPr>
                <w:b/>
              </w:rPr>
            </w:pPr>
            <w:r>
              <w:rPr>
                <w:b/>
              </w:rPr>
              <w:t>157,254</w:t>
            </w:r>
          </w:p>
        </w:tc>
        <w:tc>
          <w:tcPr>
            <w:tcW w:w="1544" w:type="dxa"/>
          </w:tcPr>
          <w:p w:rsidR="0083559C" w:rsidRPr="00E16772" w:rsidRDefault="0083559C" w:rsidP="008D6B8A">
            <w:pPr>
              <w:jc w:val="right"/>
              <w:rPr>
                <w:b/>
              </w:rPr>
            </w:pPr>
          </w:p>
        </w:tc>
        <w:tc>
          <w:tcPr>
            <w:tcW w:w="1256" w:type="dxa"/>
          </w:tcPr>
          <w:p w:rsidR="0083559C" w:rsidRPr="00E16772" w:rsidRDefault="0083559C" w:rsidP="008D6B8A">
            <w:pPr>
              <w:jc w:val="right"/>
              <w:rPr>
                <w:b/>
              </w:rPr>
            </w:pPr>
          </w:p>
        </w:tc>
        <w:tc>
          <w:tcPr>
            <w:tcW w:w="1515" w:type="dxa"/>
          </w:tcPr>
          <w:p w:rsidR="0083559C" w:rsidRPr="00E16772" w:rsidRDefault="00886562" w:rsidP="008D6B8A">
            <w:pPr>
              <w:jc w:val="right"/>
              <w:rPr>
                <w:b/>
              </w:rPr>
            </w:pPr>
            <w:r>
              <w:rPr>
                <w:b/>
              </w:rPr>
              <w:t>47,176</w:t>
            </w:r>
          </w:p>
        </w:tc>
      </w:tr>
    </w:tbl>
    <w:p w:rsidR="00307DB4" w:rsidRDefault="004E1A3F" w:rsidP="004E1A3F">
      <w:pPr>
        <w:spacing w:before="120"/>
        <w:ind w:left="1440"/>
      </w:pPr>
      <w:r>
        <w:rPr>
          <w:color w:val="000000"/>
        </w:rPr>
        <w:t xml:space="preserve">The total burden for this ICR is </w:t>
      </w:r>
      <w:r w:rsidRPr="004E1A3F">
        <w:rPr>
          <w:b/>
          <w:color w:val="000000"/>
        </w:rPr>
        <w:t>47,176</w:t>
      </w:r>
      <w:r>
        <w:rPr>
          <w:b/>
          <w:color w:val="000000"/>
        </w:rPr>
        <w:t xml:space="preserve"> </w:t>
      </w:r>
      <w:r>
        <w:rPr>
          <w:color w:val="000000"/>
        </w:rPr>
        <w:t>hours.  We based these figures on current management information data.  We did not calculate a separate cost burden</w:t>
      </w:r>
      <w:r w:rsidR="00307DB4">
        <w:t>.</w:t>
      </w:r>
    </w:p>
    <w:p w:rsidR="00307DB4" w:rsidRDefault="00307DB4" w:rsidP="00307DB4"/>
    <w:p w:rsidR="00307DB4" w:rsidRDefault="00AB24BE" w:rsidP="008D6B8A">
      <w:pPr>
        <w:numPr>
          <w:ilvl w:val="1"/>
          <w:numId w:val="1"/>
        </w:numPr>
        <w:ind w:hanging="720"/>
      </w:pPr>
      <w:r w:rsidRPr="00BC7F42">
        <w:rPr>
          <w:b/>
        </w:rPr>
        <w:t>Annual</w:t>
      </w:r>
      <w:r w:rsidRPr="00BC7F42">
        <w:t xml:space="preserve"> </w:t>
      </w:r>
      <w:r w:rsidRPr="00BC7F42">
        <w:rPr>
          <w:b/>
        </w:rPr>
        <w:t>Cost to the Respondents (Other)</w:t>
      </w:r>
    </w:p>
    <w:p w:rsidR="00307DB4" w:rsidRDefault="00307DB4" w:rsidP="00307DB4">
      <w:pPr>
        <w:ind w:left="1440"/>
      </w:pPr>
      <w:r>
        <w:t>Th</w:t>
      </w:r>
      <w:r w:rsidR="00D357F1">
        <w:t>is collection does not impose a</w:t>
      </w:r>
      <w:r>
        <w:t xml:space="preserve"> known cost burden o</w:t>
      </w:r>
      <w:r w:rsidR="00D357F1">
        <w:t>n</w:t>
      </w:r>
      <w:r>
        <w:t xml:space="preserve"> the respondents.</w:t>
      </w:r>
    </w:p>
    <w:p w:rsidR="00307DB4" w:rsidRDefault="00307DB4" w:rsidP="00307DB4"/>
    <w:p w:rsidR="00307DB4" w:rsidRDefault="00D357F1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Annual Cost to the </w:t>
      </w:r>
      <w:r w:rsidR="00307DB4">
        <w:rPr>
          <w:b/>
          <w:bCs/>
        </w:rPr>
        <w:t>Federal Government</w:t>
      </w:r>
    </w:p>
    <w:p w:rsidR="00307DB4" w:rsidRDefault="00307DB4" w:rsidP="00912621">
      <w:pPr>
        <w:ind w:left="1440"/>
      </w:pPr>
      <w:r>
        <w:t xml:space="preserve">The annual cost to the Federal Government is approximately </w:t>
      </w:r>
      <w:r w:rsidRPr="00912621">
        <w:t>$</w:t>
      </w:r>
      <w:r w:rsidR="009E5A1D">
        <w:t>552,426</w:t>
      </w:r>
      <w:r w:rsidRPr="00912621">
        <w:t>.</w:t>
      </w:r>
      <w:r>
        <w:t xml:space="preserve">  </w:t>
      </w:r>
      <w:r w:rsidR="004E1A3F" w:rsidRPr="00720FC9">
        <w:rPr>
          <w:bCs/>
          <w:iCs/>
          <w:color w:val="000000"/>
        </w:rPr>
        <w:t>This estimate accounts for costs from the following areas</w:t>
      </w:r>
      <w:r w:rsidR="004E1A3F" w:rsidRPr="009A69FD">
        <w:rPr>
          <w:bCs/>
          <w:iCs/>
          <w:color w:val="000000"/>
        </w:rPr>
        <w:t>:</w:t>
      </w:r>
      <w:r w:rsidR="004E1A3F">
        <w:rPr>
          <w:bCs/>
          <w:iCs/>
          <w:color w:val="000000"/>
        </w:rPr>
        <w:t xml:space="preserve"> </w:t>
      </w:r>
      <w:r w:rsidR="004E1A3F" w:rsidRPr="009A69FD">
        <w:rPr>
          <w:bCs/>
          <w:iCs/>
          <w:color w:val="000000"/>
        </w:rPr>
        <w:t xml:space="preserve"> (1) designing, printing, and distributing the form; (2) SSA employee (e.g., field office, 800 number, DDS staff) information collection and processing time; and (3) systems development, updating, and maintenance costs</w:t>
      </w:r>
      <w:r>
        <w:t>.</w:t>
      </w:r>
    </w:p>
    <w:p w:rsidR="000B53B5" w:rsidRDefault="000B53B5" w:rsidP="00912621">
      <w:pPr>
        <w:ind w:left="1440"/>
      </w:pPr>
    </w:p>
    <w:p w:rsidR="000B53B5" w:rsidRDefault="000B53B5" w:rsidP="00912621">
      <w:pPr>
        <w:ind w:left="1440"/>
      </w:pPr>
    </w:p>
    <w:p w:rsidR="00307DB4" w:rsidRDefault="00307DB4" w:rsidP="00307DB4"/>
    <w:p w:rsidR="00307DB4" w:rsidRPr="00D357F1" w:rsidRDefault="00AB24BE" w:rsidP="008D6B8A">
      <w:pPr>
        <w:numPr>
          <w:ilvl w:val="1"/>
          <w:numId w:val="1"/>
        </w:numPr>
        <w:ind w:hanging="720"/>
      </w:pPr>
      <w:r w:rsidRPr="00BC7F42">
        <w:rPr>
          <w:b/>
        </w:rPr>
        <w:t xml:space="preserve">Program Changes or Adjustments to the Information Collection </w:t>
      </w:r>
      <w:r>
        <w:rPr>
          <w:b/>
        </w:rPr>
        <w:t>Request</w:t>
      </w:r>
    </w:p>
    <w:p w:rsidR="008063D8" w:rsidRDefault="00ED1A54" w:rsidP="008063D8">
      <w:pPr>
        <w:ind w:left="1440"/>
        <w:rPr>
          <w:bCs/>
        </w:rPr>
      </w:pPr>
      <w:r>
        <w:rPr>
          <w:bCs/>
        </w:rPr>
        <w:t xml:space="preserve">The </w:t>
      </w:r>
      <w:r w:rsidR="00AB24BE">
        <w:rPr>
          <w:bCs/>
        </w:rPr>
        <w:t xml:space="preserve">decrease in burden hours stems from a decrease in the </w:t>
      </w:r>
      <w:r>
        <w:rPr>
          <w:bCs/>
        </w:rPr>
        <w:t>number of respondents</w:t>
      </w:r>
      <w:r w:rsidR="00AB24BE">
        <w:rPr>
          <w:bCs/>
        </w:rPr>
        <w:t>,</w:t>
      </w:r>
      <w:r>
        <w:rPr>
          <w:bCs/>
        </w:rPr>
        <w:t xml:space="preserve"> </w:t>
      </w:r>
      <w:r w:rsidR="00797F2A">
        <w:rPr>
          <w:bCs/>
        </w:rPr>
        <w:t xml:space="preserve">due to </w:t>
      </w:r>
      <w:r w:rsidR="00686EF6">
        <w:rPr>
          <w:bCs/>
        </w:rPr>
        <w:t xml:space="preserve">SSA conducting </w:t>
      </w:r>
      <w:r w:rsidR="00797F2A">
        <w:rPr>
          <w:bCs/>
        </w:rPr>
        <w:t>f</w:t>
      </w:r>
      <w:r w:rsidR="00686EF6">
        <w:rPr>
          <w:bCs/>
        </w:rPr>
        <w:t>ewer redeterminations.</w:t>
      </w:r>
    </w:p>
    <w:p w:rsidR="00D357F1" w:rsidRPr="00D357F1" w:rsidRDefault="00D357F1" w:rsidP="00D357F1">
      <w:pPr>
        <w:ind w:left="1440"/>
      </w:pPr>
    </w:p>
    <w:p w:rsidR="00307DB4" w:rsidRDefault="00CC5E6C" w:rsidP="008D6B8A">
      <w:pPr>
        <w:numPr>
          <w:ilvl w:val="1"/>
          <w:numId w:val="1"/>
        </w:numPr>
        <w:ind w:hanging="720"/>
      </w:pPr>
      <w:r>
        <w:rPr>
          <w:b/>
          <w:bCs/>
        </w:rPr>
        <w:t xml:space="preserve">Plans for Publication </w:t>
      </w:r>
      <w:r w:rsidR="00307DB4">
        <w:rPr>
          <w:b/>
          <w:bCs/>
        </w:rPr>
        <w:t>Information Collection</w:t>
      </w:r>
      <w:r>
        <w:rPr>
          <w:b/>
          <w:bCs/>
        </w:rPr>
        <w:t xml:space="preserve"> Results</w:t>
      </w:r>
    </w:p>
    <w:p w:rsidR="00307DB4" w:rsidRDefault="0055229E" w:rsidP="00307DB4">
      <w:pPr>
        <w:ind w:left="1440"/>
      </w:pPr>
      <w:r>
        <w:t>SSA will not publish t</w:t>
      </w:r>
      <w:r w:rsidR="00307DB4">
        <w:t xml:space="preserve">he results of </w:t>
      </w:r>
      <w:r>
        <w:t>this</w:t>
      </w:r>
      <w:r w:rsidR="00307DB4">
        <w:t xml:space="preserve"> information c</w:t>
      </w:r>
      <w:r>
        <w:t>ollection.</w:t>
      </w:r>
    </w:p>
    <w:p w:rsidR="00307DB4" w:rsidRDefault="00307DB4" w:rsidP="00307DB4"/>
    <w:p w:rsidR="00307DB4" w:rsidRDefault="00AB24BE" w:rsidP="008D6B8A">
      <w:pPr>
        <w:numPr>
          <w:ilvl w:val="1"/>
          <w:numId w:val="1"/>
        </w:numPr>
        <w:ind w:hanging="720"/>
        <w:rPr>
          <w:bCs/>
        </w:rPr>
      </w:pPr>
      <w:r>
        <w:rPr>
          <w:b/>
        </w:rPr>
        <w:t>Displaying the OMB Approval Expiration Date</w:t>
      </w:r>
    </w:p>
    <w:p w:rsidR="00307DB4" w:rsidRDefault="00307DB4" w:rsidP="00307DB4">
      <w:pPr>
        <w:ind w:left="1440"/>
        <w:rPr>
          <w:bCs/>
        </w:rPr>
      </w:pPr>
      <w:r>
        <w:rPr>
          <w:bCs/>
        </w:rPr>
        <w:t xml:space="preserve">OMB </w:t>
      </w:r>
      <w:r w:rsidR="00CC5E6C">
        <w:rPr>
          <w:bCs/>
        </w:rPr>
        <w:t xml:space="preserve">granted </w:t>
      </w:r>
      <w:r w:rsidR="00874A4A">
        <w:rPr>
          <w:bCs/>
        </w:rPr>
        <w:t>SSA</w:t>
      </w:r>
      <w:r w:rsidR="00CC5E6C">
        <w:rPr>
          <w:bCs/>
        </w:rPr>
        <w:t xml:space="preserve"> an exemption</w:t>
      </w:r>
      <w:r w:rsidR="00874A4A">
        <w:rPr>
          <w:bCs/>
        </w:rPr>
        <w:t xml:space="preserve"> from the </w:t>
      </w:r>
      <w:r>
        <w:rPr>
          <w:bCs/>
        </w:rPr>
        <w:t xml:space="preserve">requirement </w:t>
      </w:r>
      <w:r w:rsidR="00874A4A">
        <w:rPr>
          <w:bCs/>
        </w:rPr>
        <w:t>to print the</w:t>
      </w:r>
      <w:r>
        <w:rPr>
          <w:bCs/>
        </w:rPr>
        <w:t xml:space="preserve"> OMB approval </w:t>
      </w:r>
      <w:r w:rsidR="00874A4A">
        <w:rPr>
          <w:bCs/>
        </w:rPr>
        <w:t>date on its</w:t>
      </w:r>
      <w:r>
        <w:rPr>
          <w:bCs/>
        </w:rPr>
        <w:t xml:space="preserve"> program forms.  SSA produces millions of public-use forms, many of which have a life cycle longer than that of an OMB approval.  </w:t>
      </w:r>
      <w:r w:rsidR="00CC5E6C">
        <w:rPr>
          <w:bCs/>
        </w:rPr>
        <w:t xml:space="preserve">Since </w:t>
      </w:r>
      <w:r>
        <w:rPr>
          <w:bCs/>
        </w:rPr>
        <w:t>SSA does not periodically revise and reprint its public-use forms (e.g. on an annual basis)</w:t>
      </w:r>
      <w:r w:rsidR="00CC5E6C">
        <w:rPr>
          <w:bCs/>
        </w:rPr>
        <w:t>,</w:t>
      </w:r>
      <w:r>
        <w:rPr>
          <w:bCs/>
        </w:rPr>
        <w:t xml:space="preserve"> </w:t>
      </w:r>
      <w:r w:rsidR="00874A4A">
        <w:rPr>
          <w:bCs/>
        </w:rPr>
        <w:t>OMB granted this</w:t>
      </w:r>
      <w:r>
        <w:rPr>
          <w:bCs/>
        </w:rPr>
        <w:t xml:space="preserve"> exemption so that </w:t>
      </w:r>
      <w:r w:rsidR="00874A4A">
        <w:rPr>
          <w:bCs/>
        </w:rPr>
        <w:t>we would not have to destroy</w:t>
      </w:r>
      <w:r w:rsidR="00CC5E6C">
        <w:rPr>
          <w:bCs/>
        </w:rPr>
        <w:t xml:space="preserve"> stocks of</w:t>
      </w:r>
      <w:r w:rsidR="00874A4A">
        <w:rPr>
          <w:bCs/>
        </w:rPr>
        <w:t xml:space="preserve"> </w:t>
      </w:r>
      <w:r>
        <w:rPr>
          <w:bCs/>
        </w:rPr>
        <w:t xml:space="preserve">otherwise useable forms </w:t>
      </w:r>
      <w:r w:rsidR="00CC5E6C">
        <w:rPr>
          <w:bCs/>
        </w:rPr>
        <w:t>with</w:t>
      </w:r>
      <w:r w:rsidR="00874A4A">
        <w:rPr>
          <w:bCs/>
        </w:rPr>
        <w:t xml:space="preserve"> expired OMB approval date</w:t>
      </w:r>
      <w:r w:rsidR="00CC5E6C">
        <w:rPr>
          <w:bCs/>
        </w:rPr>
        <w:t>s</w:t>
      </w:r>
      <w:r w:rsidR="00874A4A">
        <w:rPr>
          <w:bCs/>
        </w:rPr>
        <w:t xml:space="preserve">, </w:t>
      </w:r>
      <w:r w:rsidR="00CC5E6C">
        <w:rPr>
          <w:bCs/>
        </w:rPr>
        <w:t>avoiding</w:t>
      </w:r>
      <w:r w:rsidR="00874A4A">
        <w:rPr>
          <w:bCs/>
        </w:rPr>
        <w:t xml:space="preserve"> Government waste.  </w:t>
      </w:r>
    </w:p>
    <w:p w:rsidR="00307DB4" w:rsidRDefault="00307DB4" w:rsidP="00307DB4">
      <w:pPr>
        <w:rPr>
          <w:bCs/>
        </w:rPr>
      </w:pPr>
    </w:p>
    <w:p w:rsidR="00307DB4" w:rsidRDefault="00610087" w:rsidP="008D6B8A">
      <w:pPr>
        <w:numPr>
          <w:ilvl w:val="1"/>
          <w:numId w:val="1"/>
        </w:numPr>
        <w:ind w:hanging="720"/>
        <w:rPr>
          <w:b/>
          <w:bCs/>
        </w:rPr>
      </w:pPr>
      <w:r>
        <w:rPr>
          <w:b/>
        </w:rPr>
        <w:t>Exceptions to C</w:t>
      </w:r>
      <w:r w:rsidR="00307DB4">
        <w:rPr>
          <w:b/>
        </w:rPr>
        <w:t xml:space="preserve">ertification </w:t>
      </w:r>
      <w:r>
        <w:rPr>
          <w:b/>
        </w:rPr>
        <w:t>Statement</w:t>
      </w:r>
      <w:r w:rsidR="00307DB4">
        <w:t xml:space="preserve"> </w:t>
      </w:r>
    </w:p>
    <w:p w:rsidR="00307DB4" w:rsidRPr="00B3142B" w:rsidRDefault="00307DB4" w:rsidP="00307DB4">
      <w:pPr>
        <w:ind w:left="1440"/>
        <w:rPr>
          <w:i/>
        </w:rPr>
      </w:pPr>
      <w:r>
        <w:t xml:space="preserve">SSA is not requesting an exception to the certification requirements at </w:t>
      </w:r>
      <w:r w:rsidRPr="00B3142B">
        <w:rPr>
          <w:i/>
        </w:rPr>
        <w:t>5 CFR 1320.9</w:t>
      </w:r>
      <w:r>
        <w:t xml:space="preserve"> and related provisions at </w:t>
      </w:r>
      <w:r w:rsidRPr="00B3142B">
        <w:rPr>
          <w:i/>
        </w:rPr>
        <w:t>5 CFR 1320.8(b)(3).</w:t>
      </w:r>
    </w:p>
    <w:p w:rsidR="00307DB4" w:rsidRDefault="00307DB4" w:rsidP="00307DB4"/>
    <w:p w:rsidR="00307DB4" w:rsidRDefault="00307DB4" w:rsidP="008D6B8A">
      <w:pPr>
        <w:numPr>
          <w:ilvl w:val="0"/>
          <w:numId w:val="1"/>
        </w:numPr>
        <w:tabs>
          <w:tab w:val="clear" w:pos="1080"/>
          <w:tab w:val="num" w:pos="720"/>
        </w:tabs>
        <w:ind w:left="720" w:hanging="540"/>
      </w:pPr>
      <w:r>
        <w:rPr>
          <w:b/>
          <w:bCs/>
          <w:u w:val="single"/>
        </w:rPr>
        <w:t>Collections of Information Employing Statistical Methods</w:t>
      </w:r>
    </w:p>
    <w:p w:rsidR="00307DB4" w:rsidRDefault="00307DB4" w:rsidP="00307DB4">
      <w:pPr>
        <w:ind w:left="1440"/>
      </w:pPr>
    </w:p>
    <w:p w:rsidR="009462BD" w:rsidRPr="00307DB4" w:rsidRDefault="00874A4A" w:rsidP="004C7A18">
      <w:pPr>
        <w:ind w:left="1440"/>
      </w:pPr>
      <w:r>
        <w:t>SSA does not use s</w:t>
      </w:r>
      <w:r w:rsidR="00307DB4">
        <w:t xml:space="preserve">tatistical methods </w:t>
      </w:r>
      <w:r>
        <w:t>for this information collection.</w:t>
      </w:r>
    </w:p>
    <w:sectPr w:rsidR="009462BD" w:rsidRPr="00307DB4" w:rsidSect="004C7A1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3B" w:rsidRDefault="0012033B">
      <w:r>
        <w:separator/>
      </w:r>
    </w:p>
  </w:endnote>
  <w:endnote w:type="continuationSeparator" w:id="0">
    <w:p w:rsidR="0012033B" w:rsidRDefault="0012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1B" w:rsidRPr="00D8322E" w:rsidRDefault="0005611B" w:rsidP="00D8322E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3B" w:rsidRDefault="0012033B">
      <w:r>
        <w:separator/>
      </w:r>
    </w:p>
  </w:footnote>
  <w:footnote w:type="continuationSeparator" w:id="0">
    <w:p w:rsidR="0012033B" w:rsidRDefault="0012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5CA"/>
    <w:multiLevelType w:val="hybridMultilevel"/>
    <w:tmpl w:val="CD7CB11E"/>
    <w:lvl w:ilvl="0" w:tplc="B9CAFBD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2E"/>
    <w:rsid w:val="0005611B"/>
    <w:rsid w:val="000571C6"/>
    <w:rsid w:val="0006233A"/>
    <w:rsid w:val="000714D0"/>
    <w:rsid w:val="00082F0A"/>
    <w:rsid w:val="000878FB"/>
    <w:rsid w:val="0009226D"/>
    <w:rsid w:val="00096E35"/>
    <w:rsid w:val="000B53B5"/>
    <w:rsid w:val="000B7792"/>
    <w:rsid w:val="000C67B7"/>
    <w:rsid w:val="000D7B91"/>
    <w:rsid w:val="000E62EC"/>
    <w:rsid w:val="0012033B"/>
    <w:rsid w:val="00126D91"/>
    <w:rsid w:val="001362D3"/>
    <w:rsid w:val="00145BEA"/>
    <w:rsid w:val="0015206E"/>
    <w:rsid w:val="001607F0"/>
    <w:rsid w:val="00161687"/>
    <w:rsid w:val="00171F31"/>
    <w:rsid w:val="001A149F"/>
    <w:rsid w:val="001E7EA8"/>
    <w:rsid w:val="0021614D"/>
    <w:rsid w:val="002519B3"/>
    <w:rsid w:val="00265957"/>
    <w:rsid w:val="00265A64"/>
    <w:rsid w:val="002845DC"/>
    <w:rsid w:val="00291EF7"/>
    <w:rsid w:val="00294A0C"/>
    <w:rsid w:val="002B33EE"/>
    <w:rsid w:val="002D2E89"/>
    <w:rsid w:val="002E5476"/>
    <w:rsid w:val="002E6887"/>
    <w:rsid w:val="002F710F"/>
    <w:rsid w:val="00307DB4"/>
    <w:rsid w:val="00340537"/>
    <w:rsid w:val="00357E8E"/>
    <w:rsid w:val="00362E63"/>
    <w:rsid w:val="00393D64"/>
    <w:rsid w:val="003B3E27"/>
    <w:rsid w:val="003D2344"/>
    <w:rsid w:val="003E4A7A"/>
    <w:rsid w:val="003F4303"/>
    <w:rsid w:val="0040321E"/>
    <w:rsid w:val="00403DE7"/>
    <w:rsid w:val="00470B2A"/>
    <w:rsid w:val="004731F4"/>
    <w:rsid w:val="004B019D"/>
    <w:rsid w:val="004B631A"/>
    <w:rsid w:val="004B74D1"/>
    <w:rsid w:val="004C7A18"/>
    <w:rsid w:val="004D759D"/>
    <w:rsid w:val="004E1A3F"/>
    <w:rsid w:val="004F31B9"/>
    <w:rsid w:val="00514F97"/>
    <w:rsid w:val="0053119C"/>
    <w:rsid w:val="0055229E"/>
    <w:rsid w:val="0055577D"/>
    <w:rsid w:val="00560B04"/>
    <w:rsid w:val="0056317A"/>
    <w:rsid w:val="005636AE"/>
    <w:rsid w:val="0056664D"/>
    <w:rsid w:val="00581F4F"/>
    <w:rsid w:val="005A06D0"/>
    <w:rsid w:val="005C647F"/>
    <w:rsid w:val="005D008A"/>
    <w:rsid w:val="005F0369"/>
    <w:rsid w:val="006019CB"/>
    <w:rsid w:val="006043C6"/>
    <w:rsid w:val="00610087"/>
    <w:rsid w:val="00613DAE"/>
    <w:rsid w:val="00625738"/>
    <w:rsid w:val="0064568E"/>
    <w:rsid w:val="00652E51"/>
    <w:rsid w:val="0067798E"/>
    <w:rsid w:val="00686EF6"/>
    <w:rsid w:val="00694A73"/>
    <w:rsid w:val="006A3FE0"/>
    <w:rsid w:val="006B33D7"/>
    <w:rsid w:val="006F5211"/>
    <w:rsid w:val="00704482"/>
    <w:rsid w:val="00704D96"/>
    <w:rsid w:val="007315ED"/>
    <w:rsid w:val="0073742A"/>
    <w:rsid w:val="007455AB"/>
    <w:rsid w:val="0075586B"/>
    <w:rsid w:val="00756BBD"/>
    <w:rsid w:val="00763209"/>
    <w:rsid w:val="0076476C"/>
    <w:rsid w:val="00792F91"/>
    <w:rsid w:val="00797F2A"/>
    <w:rsid w:val="007A330D"/>
    <w:rsid w:val="007B7D34"/>
    <w:rsid w:val="007C6654"/>
    <w:rsid w:val="007D03F2"/>
    <w:rsid w:val="0080376B"/>
    <w:rsid w:val="008063D8"/>
    <w:rsid w:val="00807625"/>
    <w:rsid w:val="00807D94"/>
    <w:rsid w:val="008113FE"/>
    <w:rsid w:val="00834069"/>
    <w:rsid w:val="0083559C"/>
    <w:rsid w:val="00854806"/>
    <w:rsid w:val="00866B98"/>
    <w:rsid w:val="00874A4A"/>
    <w:rsid w:val="00884068"/>
    <w:rsid w:val="00886562"/>
    <w:rsid w:val="00897051"/>
    <w:rsid w:val="008D3BB2"/>
    <w:rsid w:val="008D6B8A"/>
    <w:rsid w:val="008F5FAD"/>
    <w:rsid w:val="00906FE1"/>
    <w:rsid w:val="00912621"/>
    <w:rsid w:val="0094204B"/>
    <w:rsid w:val="009462BD"/>
    <w:rsid w:val="00950F52"/>
    <w:rsid w:val="009555F6"/>
    <w:rsid w:val="00974369"/>
    <w:rsid w:val="00992CF2"/>
    <w:rsid w:val="009937E5"/>
    <w:rsid w:val="009A51FE"/>
    <w:rsid w:val="009E5A1D"/>
    <w:rsid w:val="009E5C12"/>
    <w:rsid w:val="009E77F1"/>
    <w:rsid w:val="009F24DF"/>
    <w:rsid w:val="009F4299"/>
    <w:rsid w:val="00A06882"/>
    <w:rsid w:val="00A5549B"/>
    <w:rsid w:val="00A55591"/>
    <w:rsid w:val="00A701DC"/>
    <w:rsid w:val="00A81107"/>
    <w:rsid w:val="00A94860"/>
    <w:rsid w:val="00AB24BE"/>
    <w:rsid w:val="00AB2A34"/>
    <w:rsid w:val="00AE416E"/>
    <w:rsid w:val="00AF293E"/>
    <w:rsid w:val="00AF3CFF"/>
    <w:rsid w:val="00B034C8"/>
    <w:rsid w:val="00B3142B"/>
    <w:rsid w:val="00B3378F"/>
    <w:rsid w:val="00B40EC4"/>
    <w:rsid w:val="00B46AF4"/>
    <w:rsid w:val="00B47A7B"/>
    <w:rsid w:val="00B511A6"/>
    <w:rsid w:val="00B63E83"/>
    <w:rsid w:val="00BB5AB0"/>
    <w:rsid w:val="00BE2C4F"/>
    <w:rsid w:val="00C050C2"/>
    <w:rsid w:val="00C27567"/>
    <w:rsid w:val="00C82316"/>
    <w:rsid w:val="00CC035B"/>
    <w:rsid w:val="00CC5E6C"/>
    <w:rsid w:val="00CD7ABB"/>
    <w:rsid w:val="00D10B56"/>
    <w:rsid w:val="00D1116B"/>
    <w:rsid w:val="00D13C6C"/>
    <w:rsid w:val="00D260B4"/>
    <w:rsid w:val="00D312A6"/>
    <w:rsid w:val="00D357F1"/>
    <w:rsid w:val="00D8322E"/>
    <w:rsid w:val="00DA434E"/>
    <w:rsid w:val="00DB2D3C"/>
    <w:rsid w:val="00E07FE6"/>
    <w:rsid w:val="00E10D8B"/>
    <w:rsid w:val="00E16772"/>
    <w:rsid w:val="00E276EB"/>
    <w:rsid w:val="00E331EC"/>
    <w:rsid w:val="00E674E2"/>
    <w:rsid w:val="00E72139"/>
    <w:rsid w:val="00E93285"/>
    <w:rsid w:val="00EA216A"/>
    <w:rsid w:val="00EA5A4F"/>
    <w:rsid w:val="00EB2D0D"/>
    <w:rsid w:val="00EC1F03"/>
    <w:rsid w:val="00ED1A54"/>
    <w:rsid w:val="00ED2948"/>
    <w:rsid w:val="00EF1B00"/>
    <w:rsid w:val="00F05FCC"/>
    <w:rsid w:val="00F1608C"/>
    <w:rsid w:val="00F2089D"/>
    <w:rsid w:val="00F22BAC"/>
    <w:rsid w:val="00F34067"/>
    <w:rsid w:val="00F34B30"/>
    <w:rsid w:val="00F679C6"/>
    <w:rsid w:val="00F77BA2"/>
    <w:rsid w:val="00FC2ED8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1A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2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322E"/>
  </w:style>
  <w:style w:type="table" w:styleId="TableGrid">
    <w:name w:val="Table Grid"/>
    <w:basedOn w:val="TableNormal"/>
    <w:rsid w:val="0030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710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E89"/>
    <w:rPr>
      <w:sz w:val="16"/>
      <w:szCs w:val="16"/>
    </w:rPr>
  </w:style>
  <w:style w:type="paragraph" w:styleId="CommentText">
    <w:name w:val="annotation text"/>
    <w:basedOn w:val="Normal"/>
    <w:semiHidden/>
    <w:rsid w:val="002D2E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2E89"/>
    <w:rPr>
      <w:b/>
      <w:bCs/>
    </w:rPr>
  </w:style>
  <w:style w:type="paragraph" w:styleId="Revision">
    <w:name w:val="Revision"/>
    <w:hidden/>
    <w:uiPriority w:val="99"/>
    <w:semiHidden/>
    <w:rsid w:val="00DB2D3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1A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2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2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322E"/>
  </w:style>
  <w:style w:type="table" w:styleId="TableGrid">
    <w:name w:val="Table Grid"/>
    <w:basedOn w:val="TableNormal"/>
    <w:rsid w:val="0030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F710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E89"/>
    <w:rPr>
      <w:sz w:val="16"/>
      <w:szCs w:val="16"/>
    </w:rPr>
  </w:style>
  <w:style w:type="paragraph" w:styleId="CommentText">
    <w:name w:val="annotation text"/>
    <w:basedOn w:val="Normal"/>
    <w:semiHidden/>
    <w:rsid w:val="002D2E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2E89"/>
    <w:rPr>
      <w:b/>
      <w:bCs/>
    </w:rPr>
  </w:style>
  <w:style w:type="paragraph" w:styleId="Revision">
    <w:name w:val="Revision"/>
    <w:hidden/>
    <w:uiPriority w:val="99"/>
    <w:semiHidden/>
    <w:rsid w:val="00DB2D3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2017-11-09T15:59:00Z</dcterms:created>
  <dcterms:modified xsi:type="dcterms:W3CDTF">2017-11-09T15:59:00Z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-15170230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