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47F6D" w14:textId="2E916169" w:rsidR="00A33F4A" w:rsidRDefault="00D0083A" w:rsidP="00C46CD2">
      <w:pPr>
        <w:pStyle w:val="BodyText"/>
        <w:jc w:val="center"/>
        <w:rPr>
          <w:sz w:val="24"/>
          <w:szCs w:val="24"/>
        </w:rPr>
      </w:pPr>
      <w:bookmarkStart w:id="0" w:name="_GoBack"/>
      <w:bookmarkEnd w:id="0"/>
      <w:r>
        <w:rPr>
          <w:sz w:val="24"/>
          <w:szCs w:val="24"/>
        </w:rPr>
        <w:t xml:space="preserve">CMS 10393 </w:t>
      </w:r>
      <w:r w:rsidR="00C46CD2" w:rsidRPr="00C46CD2">
        <w:rPr>
          <w:sz w:val="24"/>
          <w:szCs w:val="24"/>
        </w:rPr>
        <w:t>Supporting Statement – Part A</w:t>
      </w:r>
    </w:p>
    <w:p w14:paraId="12097AD3" w14:textId="77777777" w:rsidR="00C46CD2" w:rsidRPr="006703DD" w:rsidRDefault="00C46CD2" w:rsidP="00C46CD2">
      <w:pPr>
        <w:pStyle w:val="BodyText"/>
        <w:jc w:val="center"/>
        <w:rPr>
          <w:sz w:val="24"/>
          <w:szCs w:val="24"/>
        </w:rPr>
      </w:pPr>
    </w:p>
    <w:p w14:paraId="10B9BECE" w14:textId="30047C33" w:rsidR="00E65D79" w:rsidRDefault="00E65D79" w:rsidP="00E65D79">
      <w:pPr>
        <w:pStyle w:val="BodyText"/>
        <w:jc w:val="center"/>
        <w:rPr>
          <w:sz w:val="24"/>
          <w:szCs w:val="24"/>
        </w:rPr>
      </w:pPr>
      <w:r w:rsidRPr="006703DD">
        <w:rPr>
          <w:sz w:val="24"/>
          <w:szCs w:val="24"/>
        </w:rPr>
        <w:t>Beneficiary and Family</w:t>
      </w:r>
      <w:r w:rsidR="00F34278" w:rsidRPr="006703DD">
        <w:rPr>
          <w:sz w:val="24"/>
          <w:szCs w:val="24"/>
        </w:rPr>
        <w:t xml:space="preserve"> </w:t>
      </w:r>
      <w:r w:rsidRPr="006703DD">
        <w:rPr>
          <w:sz w:val="24"/>
          <w:szCs w:val="24"/>
        </w:rPr>
        <w:t xml:space="preserve">Centered Data Collection </w:t>
      </w:r>
    </w:p>
    <w:p w14:paraId="371D6D25" w14:textId="02E9553A" w:rsidR="003E65F8" w:rsidRDefault="003E65F8" w:rsidP="00E65D79">
      <w:pPr>
        <w:pStyle w:val="BodyText"/>
        <w:jc w:val="center"/>
        <w:rPr>
          <w:sz w:val="24"/>
          <w:szCs w:val="24"/>
        </w:rPr>
      </w:pPr>
    </w:p>
    <w:p w14:paraId="4C773ECD" w14:textId="3FD93D62" w:rsidR="003E65F8" w:rsidRDefault="003E65F8" w:rsidP="00E65D79">
      <w:pPr>
        <w:pStyle w:val="BodyText"/>
        <w:jc w:val="center"/>
        <w:rPr>
          <w:sz w:val="24"/>
          <w:szCs w:val="24"/>
        </w:rPr>
      </w:pPr>
    </w:p>
    <w:p w14:paraId="0C14AF39" w14:textId="49427864" w:rsidR="003E65F8" w:rsidRDefault="003E65F8" w:rsidP="00E65D79">
      <w:pPr>
        <w:pStyle w:val="BodyText"/>
        <w:jc w:val="center"/>
        <w:rPr>
          <w:sz w:val="24"/>
          <w:szCs w:val="24"/>
        </w:rPr>
      </w:pPr>
    </w:p>
    <w:p w14:paraId="16116AF3" w14:textId="3A849F6F" w:rsidR="003E65F8" w:rsidRDefault="003E65F8" w:rsidP="00E65D79">
      <w:pPr>
        <w:pStyle w:val="BodyText"/>
        <w:jc w:val="center"/>
        <w:rPr>
          <w:sz w:val="24"/>
          <w:szCs w:val="24"/>
        </w:rPr>
      </w:pPr>
    </w:p>
    <w:p w14:paraId="0CE52F95" w14:textId="099D1D40" w:rsidR="003E65F8" w:rsidRDefault="003E65F8" w:rsidP="00E65D79">
      <w:pPr>
        <w:pStyle w:val="BodyText"/>
        <w:jc w:val="center"/>
        <w:rPr>
          <w:sz w:val="24"/>
          <w:szCs w:val="24"/>
        </w:rPr>
      </w:pPr>
    </w:p>
    <w:p w14:paraId="6B77C93C" w14:textId="798591A9" w:rsidR="003E65F8" w:rsidRDefault="003E65F8" w:rsidP="00E65D79">
      <w:pPr>
        <w:pStyle w:val="BodyText"/>
        <w:jc w:val="center"/>
        <w:rPr>
          <w:sz w:val="24"/>
          <w:szCs w:val="24"/>
        </w:rPr>
      </w:pPr>
    </w:p>
    <w:p w14:paraId="1431EB9F" w14:textId="6D91FAF8" w:rsidR="003E65F8" w:rsidRDefault="003E65F8" w:rsidP="00E65D79">
      <w:pPr>
        <w:pStyle w:val="BodyText"/>
        <w:jc w:val="center"/>
        <w:rPr>
          <w:sz w:val="24"/>
          <w:szCs w:val="24"/>
        </w:rPr>
      </w:pPr>
    </w:p>
    <w:p w14:paraId="1455F781" w14:textId="06CCE600" w:rsidR="003E65F8" w:rsidRDefault="003E65F8" w:rsidP="00E65D79">
      <w:pPr>
        <w:pStyle w:val="BodyText"/>
        <w:jc w:val="center"/>
        <w:rPr>
          <w:sz w:val="24"/>
          <w:szCs w:val="24"/>
        </w:rPr>
      </w:pPr>
    </w:p>
    <w:p w14:paraId="7DA05567" w14:textId="045F33B6" w:rsidR="003E65F8" w:rsidRDefault="003E65F8" w:rsidP="00E65D79">
      <w:pPr>
        <w:pStyle w:val="BodyText"/>
        <w:jc w:val="center"/>
        <w:rPr>
          <w:sz w:val="24"/>
          <w:szCs w:val="24"/>
        </w:rPr>
      </w:pPr>
    </w:p>
    <w:p w14:paraId="534F6F82" w14:textId="6AB32424" w:rsidR="003E65F8" w:rsidRDefault="003E65F8" w:rsidP="00E65D79">
      <w:pPr>
        <w:pStyle w:val="BodyText"/>
        <w:jc w:val="center"/>
        <w:rPr>
          <w:sz w:val="24"/>
          <w:szCs w:val="24"/>
        </w:rPr>
      </w:pPr>
    </w:p>
    <w:p w14:paraId="757E71C9" w14:textId="73DE9E81" w:rsidR="003E65F8" w:rsidRDefault="003E65F8" w:rsidP="00E65D79">
      <w:pPr>
        <w:pStyle w:val="BodyText"/>
        <w:jc w:val="center"/>
        <w:rPr>
          <w:sz w:val="24"/>
          <w:szCs w:val="24"/>
        </w:rPr>
      </w:pPr>
    </w:p>
    <w:p w14:paraId="3E73AB42" w14:textId="3BB2104D" w:rsidR="003E65F8" w:rsidRDefault="003E65F8" w:rsidP="00E65D79">
      <w:pPr>
        <w:pStyle w:val="BodyText"/>
        <w:jc w:val="center"/>
        <w:rPr>
          <w:sz w:val="24"/>
          <w:szCs w:val="24"/>
        </w:rPr>
      </w:pPr>
    </w:p>
    <w:p w14:paraId="39281B76" w14:textId="46FB44D3" w:rsidR="003E65F8" w:rsidRDefault="003E65F8" w:rsidP="00E65D79">
      <w:pPr>
        <w:pStyle w:val="BodyText"/>
        <w:jc w:val="center"/>
        <w:rPr>
          <w:sz w:val="24"/>
          <w:szCs w:val="24"/>
        </w:rPr>
      </w:pPr>
    </w:p>
    <w:p w14:paraId="308C23CD" w14:textId="60F2328A" w:rsidR="003E65F8" w:rsidRDefault="003E65F8" w:rsidP="00E65D79">
      <w:pPr>
        <w:pStyle w:val="BodyText"/>
        <w:jc w:val="center"/>
        <w:rPr>
          <w:sz w:val="24"/>
          <w:szCs w:val="24"/>
        </w:rPr>
      </w:pPr>
    </w:p>
    <w:p w14:paraId="4689BCC3" w14:textId="1A0456F2" w:rsidR="003E65F8" w:rsidRDefault="003E65F8" w:rsidP="00E65D79">
      <w:pPr>
        <w:pStyle w:val="BodyText"/>
        <w:jc w:val="center"/>
        <w:rPr>
          <w:sz w:val="24"/>
          <w:szCs w:val="24"/>
        </w:rPr>
      </w:pPr>
    </w:p>
    <w:p w14:paraId="338844AD" w14:textId="530D2161" w:rsidR="003E65F8" w:rsidRDefault="003E65F8" w:rsidP="00E65D79">
      <w:pPr>
        <w:pStyle w:val="BodyText"/>
        <w:jc w:val="center"/>
        <w:rPr>
          <w:sz w:val="24"/>
          <w:szCs w:val="24"/>
        </w:rPr>
      </w:pPr>
    </w:p>
    <w:p w14:paraId="39C65A4F" w14:textId="14A49C61" w:rsidR="003E65F8" w:rsidRDefault="003E65F8" w:rsidP="00E65D79">
      <w:pPr>
        <w:pStyle w:val="BodyText"/>
        <w:jc w:val="center"/>
        <w:rPr>
          <w:sz w:val="24"/>
          <w:szCs w:val="24"/>
        </w:rPr>
      </w:pPr>
    </w:p>
    <w:p w14:paraId="0A10039E" w14:textId="28AA0B72" w:rsidR="003E65F8" w:rsidRDefault="003E65F8" w:rsidP="00E65D79">
      <w:pPr>
        <w:pStyle w:val="BodyText"/>
        <w:jc w:val="center"/>
        <w:rPr>
          <w:sz w:val="24"/>
          <w:szCs w:val="24"/>
        </w:rPr>
      </w:pPr>
    </w:p>
    <w:p w14:paraId="1E85C9FD" w14:textId="35F6AC51" w:rsidR="003E65F8" w:rsidRDefault="003E65F8" w:rsidP="00E65D79">
      <w:pPr>
        <w:pStyle w:val="BodyText"/>
        <w:jc w:val="center"/>
        <w:rPr>
          <w:sz w:val="24"/>
          <w:szCs w:val="24"/>
        </w:rPr>
      </w:pPr>
    </w:p>
    <w:p w14:paraId="533D6F86" w14:textId="7368FFA4" w:rsidR="003E65F8" w:rsidRDefault="003E65F8" w:rsidP="00E65D79">
      <w:pPr>
        <w:pStyle w:val="BodyText"/>
        <w:jc w:val="center"/>
        <w:rPr>
          <w:sz w:val="24"/>
          <w:szCs w:val="24"/>
        </w:rPr>
      </w:pPr>
    </w:p>
    <w:p w14:paraId="1E242D1E" w14:textId="719EF747" w:rsidR="003E65F8" w:rsidRDefault="003E65F8" w:rsidP="00E65D79">
      <w:pPr>
        <w:pStyle w:val="BodyText"/>
        <w:jc w:val="center"/>
        <w:rPr>
          <w:sz w:val="24"/>
          <w:szCs w:val="24"/>
        </w:rPr>
      </w:pPr>
    </w:p>
    <w:p w14:paraId="7A815999" w14:textId="0DEB09BF" w:rsidR="003E65F8" w:rsidRDefault="003E65F8" w:rsidP="00E65D79">
      <w:pPr>
        <w:pStyle w:val="BodyText"/>
        <w:jc w:val="center"/>
        <w:rPr>
          <w:sz w:val="24"/>
          <w:szCs w:val="24"/>
        </w:rPr>
      </w:pPr>
    </w:p>
    <w:p w14:paraId="0CE19D69" w14:textId="009DF4FD" w:rsidR="003E65F8" w:rsidRDefault="003E65F8" w:rsidP="00E65D79">
      <w:pPr>
        <w:pStyle w:val="BodyText"/>
        <w:jc w:val="center"/>
        <w:rPr>
          <w:sz w:val="24"/>
          <w:szCs w:val="24"/>
        </w:rPr>
      </w:pPr>
    </w:p>
    <w:p w14:paraId="46CC44FB" w14:textId="00C599F2" w:rsidR="003E65F8" w:rsidRDefault="003E65F8" w:rsidP="00E65D79">
      <w:pPr>
        <w:pStyle w:val="BodyText"/>
        <w:jc w:val="center"/>
        <w:rPr>
          <w:sz w:val="24"/>
          <w:szCs w:val="24"/>
        </w:rPr>
      </w:pPr>
    </w:p>
    <w:p w14:paraId="37AF86B2" w14:textId="7FC5165A" w:rsidR="003E65F8" w:rsidRDefault="003E65F8" w:rsidP="00E65D79">
      <w:pPr>
        <w:pStyle w:val="BodyText"/>
        <w:jc w:val="center"/>
        <w:rPr>
          <w:sz w:val="24"/>
          <w:szCs w:val="24"/>
        </w:rPr>
      </w:pPr>
    </w:p>
    <w:p w14:paraId="46F78191" w14:textId="4A203423" w:rsidR="003E65F8" w:rsidRDefault="003E65F8" w:rsidP="00E65D79">
      <w:pPr>
        <w:pStyle w:val="BodyText"/>
        <w:jc w:val="center"/>
        <w:rPr>
          <w:sz w:val="24"/>
          <w:szCs w:val="24"/>
        </w:rPr>
      </w:pPr>
    </w:p>
    <w:p w14:paraId="507D0E50" w14:textId="6C9D5A6D" w:rsidR="003E65F8" w:rsidRDefault="003E65F8" w:rsidP="00E65D79">
      <w:pPr>
        <w:pStyle w:val="BodyText"/>
        <w:jc w:val="center"/>
        <w:rPr>
          <w:sz w:val="24"/>
          <w:szCs w:val="24"/>
        </w:rPr>
      </w:pPr>
    </w:p>
    <w:p w14:paraId="6BA30314" w14:textId="55E236BF" w:rsidR="003E65F8" w:rsidRDefault="003E65F8" w:rsidP="00E65D79">
      <w:pPr>
        <w:pStyle w:val="BodyText"/>
        <w:jc w:val="center"/>
        <w:rPr>
          <w:sz w:val="24"/>
          <w:szCs w:val="24"/>
        </w:rPr>
      </w:pPr>
    </w:p>
    <w:p w14:paraId="625B1354" w14:textId="56BB9346" w:rsidR="003E65F8" w:rsidRDefault="003E65F8" w:rsidP="00E65D79">
      <w:pPr>
        <w:pStyle w:val="BodyText"/>
        <w:jc w:val="center"/>
        <w:rPr>
          <w:sz w:val="24"/>
          <w:szCs w:val="24"/>
        </w:rPr>
      </w:pPr>
    </w:p>
    <w:p w14:paraId="750DCB4E" w14:textId="1BE92F17" w:rsidR="003E65F8" w:rsidRDefault="003E65F8" w:rsidP="00E65D79">
      <w:pPr>
        <w:pStyle w:val="BodyText"/>
        <w:jc w:val="center"/>
        <w:rPr>
          <w:sz w:val="24"/>
          <w:szCs w:val="24"/>
        </w:rPr>
      </w:pPr>
    </w:p>
    <w:p w14:paraId="5BC05334" w14:textId="29D20736" w:rsidR="003E65F8" w:rsidRDefault="003E65F8" w:rsidP="00E65D79">
      <w:pPr>
        <w:pStyle w:val="BodyText"/>
        <w:jc w:val="center"/>
        <w:rPr>
          <w:sz w:val="24"/>
          <w:szCs w:val="24"/>
        </w:rPr>
      </w:pPr>
    </w:p>
    <w:p w14:paraId="796B696C" w14:textId="79D2886B" w:rsidR="003E65F8" w:rsidRDefault="003E65F8" w:rsidP="00E65D79">
      <w:pPr>
        <w:pStyle w:val="BodyText"/>
        <w:jc w:val="center"/>
        <w:rPr>
          <w:sz w:val="24"/>
          <w:szCs w:val="24"/>
        </w:rPr>
      </w:pPr>
    </w:p>
    <w:p w14:paraId="1CC8592C" w14:textId="789A577F" w:rsidR="003E65F8" w:rsidRDefault="003E65F8" w:rsidP="00E65D79">
      <w:pPr>
        <w:pStyle w:val="BodyText"/>
        <w:jc w:val="center"/>
        <w:rPr>
          <w:sz w:val="24"/>
          <w:szCs w:val="24"/>
        </w:rPr>
      </w:pPr>
    </w:p>
    <w:p w14:paraId="541BA30A" w14:textId="281D8D61" w:rsidR="003E65F8" w:rsidRDefault="003E65F8" w:rsidP="00E65D79">
      <w:pPr>
        <w:pStyle w:val="BodyText"/>
        <w:jc w:val="center"/>
        <w:rPr>
          <w:sz w:val="24"/>
          <w:szCs w:val="24"/>
        </w:rPr>
      </w:pPr>
    </w:p>
    <w:p w14:paraId="10C59C75" w14:textId="1E6E68D2" w:rsidR="003E65F8" w:rsidRDefault="003E65F8" w:rsidP="00E65D79">
      <w:pPr>
        <w:pStyle w:val="BodyText"/>
        <w:jc w:val="center"/>
        <w:rPr>
          <w:sz w:val="24"/>
          <w:szCs w:val="24"/>
        </w:rPr>
      </w:pPr>
    </w:p>
    <w:p w14:paraId="0CB80813" w14:textId="1BA34103" w:rsidR="003E65F8" w:rsidRDefault="003E65F8" w:rsidP="00E65D79">
      <w:pPr>
        <w:pStyle w:val="BodyText"/>
        <w:jc w:val="center"/>
        <w:rPr>
          <w:sz w:val="24"/>
          <w:szCs w:val="24"/>
        </w:rPr>
      </w:pPr>
    </w:p>
    <w:p w14:paraId="6101D911" w14:textId="09A9623E" w:rsidR="003E65F8" w:rsidRDefault="003E65F8" w:rsidP="00E65D79">
      <w:pPr>
        <w:pStyle w:val="BodyText"/>
        <w:jc w:val="center"/>
        <w:rPr>
          <w:sz w:val="24"/>
          <w:szCs w:val="24"/>
        </w:rPr>
      </w:pPr>
    </w:p>
    <w:p w14:paraId="422A8CE9" w14:textId="7BE0D7DB" w:rsidR="003E65F8" w:rsidRDefault="003E65F8" w:rsidP="00E65D79">
      <w:pPr>
        <w:pStyle w:val="BodyText"/>
        <w:jc w:val="center"/>
        <w:rPr>
          <w:sz w:val="24"/>
          <w:szCs w:val="24"/>
        </w:rPr>
      </w:pPr>
    </w:p>
    <w:p w14:paraId="7BC5F586" w14:textId="0BD08DBC" w:rsidR="003E65F8" w:rsidRDefault="003E65F8" w:rsidP="00E65D79">
      <w:pPr>
        <w:pStyle w:val="BodyText"/>
        <w:jc w:val="center"/>
        <w:rPr>
          <w:sz w:val="24"/>
          <w:szCs w:val="24"/>
        </w:rPr>
      </w:pPr>
    </w:p>
    <w:p w14:paraId="5ADA1D44" w14:textId="2941AECE" w:rsidR="003E65F8" w:rsidRDefault="003E65F8" w:rsidP="00E65D79">
      <w:pPr>
        <w:pStyle w:val="BodyText"/>
        <w:jc w:val="center"/>
        <w:rPr>
          <w:sz w:val="24"/>
          <w:szCs w:val="24"/>
        </w:rPr>
      </w:pPr>
    </w:p>
    <w:p w14:paraId="57DBD247" w14:textId="2E6FE9A0" w:rsidR="003E65F8" w:rsidRDefault="003E65F8" w:rsidP="00E65D79">
      <w:pPr>
        <w:pStyle w:val="BodyText"/>
        <w:jc w:val="center"/>
        <w:rPr>
          <w:sz w:val="24"/>
          <w:szCs w:val="24"/>
        </w:rPr>
      </w:pPr>
    </w:p>
    <w:p w14:paraId="16626CAE" w14:textId="77777777" w:rsidR="003E65F8" w:rsidRPr="006703DD" w:rsidRDefault="003E65F8" w:rsidP="00E65D79">
      <w:pPr>
        <w:pStyle w:val="BodyText"/>
        <w:jc w:val="center"/>
        <w:rPr>
          <w:sz w:val="24"/>
          <w:szCs w:val="24"/>
        </w:rPr>
      </w:pPr>
    </w:p>
    <w:p w14:paraId="40D9A99F" w14:textId="77777777" w:rsidR="00A33F4A" w:rsidRDefault="00A33F4A">
      <w:pPr>
        <w:rPr>
          <w:rFonts w:eastAsia="Calibri"/>
          <w:szCs w:val="24"/>
          <w:lang w:bidi="hi-IN"/>
        </w:rPr>
      </w:pPr>
    </w:p>
    <w:p w14:paraId="5D381400" w14:textId="77777777" w:rsidR="00AD5682" w:rsidRPr="006703DD" w:rsidRDefault="001253BE" w:rsidP="00DC270B">
      <w:pPr>
        <w:pStyle w:val="Heading1"/>
      </w:pPr>
      <w:r w:rsidRPr="00DC270B">
        <w:lastRenderedPageBreak/>
        <w:t>Background</w:t>
      </w:r>
      <w:r w:rsidRPr="006703DD">
        <w:t xml:space="preserve"> </w:t>
      </w:r>
    </w:p>
    <w:p w14:paraId="4B642E3F" w14:textId="77777777" w:rsidR="001253BE" w:rsidRPr="00D45C43" w:rsidRDefault="00BD7D25" w:rsidP="001253BE">
      <w:pPr>
        <w:pStyle w:val="BodyTextIndent"/>
        <w:ind w:left="0"/>
        <w:rPr>
          <w:sz w:val="24"/>
          <w:szCs w:val="24"/>
        </w:rPr>
      </w:pPr>
      <w:r>
        <w:rPr>
          <w:rFonts w:eastAsia="Calibri"/>
          <w:sz w:val="24"/>
          <w:szCs w:val="24"/>
        </w:rPr>
        <w:t xml:space="preserve">The Center for Medicare &amp; Medicaid Services’ (CMS) </w:t>
      </w:r>
      <w:r w:rsidR="001253BE" w:rsidRPr="00BE7242">
        <w:rPr>
          <w:rFonts w:eastAsia="Calibri"/>
          <w:sz w:val="24"/>
          <w:szCs w:val="24"/>
        </w:rPr>
        <w:t>Q</w:t>
      </w:r>
      <w:r w:rsidR="00FD4A40">
        <w:rPr>
          <w:rFonts w:eastAsia="Calibri"/>
          <w:sz w:val="24"/>
          <w:szCs w:val="24"/>
        </w:rPr>
        <w:t xml:space="preserve">uality </w:t>
      </w:r>
      <w:r w:rsidR="001253BE" w:rsidRPr="00BE7242">
        <w:rPr>
          <w:rFonts w:eastAsia="Calibri"/>
          <w:sz w:val="24"/>
          <w:szCs w:val="24"/>
        </w:rPr>
        <w:t>I</w:t>
      </w:r>
      <w:r w:rsidR="00FD4A40">
        <w:rPr>
          <w:rFonts w:eastAsia="Calibri"/>
          <w:sz w:val="24"/>
          <w:szCs w:val="24"/>
        </w:rPr>
        <w:t xml:space="preserve">mprovement </w:t>
      </w:r>
      <w:r w:rsidR="001253BE" w:rsidRPr="00BE7242">
        <w:rPr>
          <w:rFonts w:eastAsia="Calibri"/>
          <w:sz w:val="24"/>
          <w:szCs w:val="24"/>
        </w:rPr>
        <w:t>O</w:t>
      </w:r>
      <w:r w:rsidR="00FD4A40">
        <w:rPr>
          <w:rFonts w:eastAsia="Calibri"/>
          <w:sz w:val="24"/>
          <w:szCs w:val="24"/>
        </w:rPr>
        <w:t>rganization (QIO)</w:t>
      </w:r>
      <w:r w:rsidR="001253BE" w:rsidRPr="00BE7242">
        <w:rPr>
          <w:rFonts w:eastAsia="Calibri"/>
          <w:sz w:val="24"/>
          <w:szCs w:val="24"/>
        </w:rPr>
        <w:t xml:space="preserve"> Program includes Beneficiary and Family Centered Care QIOs (BFCC QIOs) whose functions, as set forth in </w:t>
      </w:r>
      <w:r w:rsidR="001253BE" w:rsidRPr="00BE7242">
        <w:rPr>
          <w:sz w:val="24"/>
          <w:szCs w:val="24"/>
        </w:rPr>
        <w:t>Section 1862(g) of the Social Security Act</w:t>
      </w:r>
      <w:r w:rsidR="00412785">
        <w:rPr>
          <w:sz w:val="24"/>
          <w:szCs w:val="24"/>
        </w:rPr>
        <w:t>,</w:t>
      </w:r>
      <w:r w:rsidR="001253BE" w:rsidRPr="00BE7242">
        <w:rPr>
          <w:sz w:val="24"/>
          <w:szCs w:val="24"/>
        </w:rPr>
        <w:t xml:space="preserve"> </w:t>
      </w:r>
      <w:r w:rsidR="001253BE" w:rsidRPr="00BE7242">
        <w:rPr>
          <w:rFonts w:eastAsia="Calibri"/>
          <w:sz w:val="24"/>
          <w:szCs w:val="24"/>
        </w:rPr>
        <w:t xml:space="preserve">are to </w:t>
      </w:r>
      <w:r w:rsidR="001253BE" w:rsidRPr="00BE7242">
        <w:rPr>
          <w:sz w:val="24"/>
          <w:szCs w:val="24"/>
        </w:rPr>
        <w:t xml:space="preserve">improve the effectiveness, efficiency, economy, and quality of services delivered to Medicare beneficiaries. To accomplish these </w:t>
      </w:r>
      <w:r w:rsidR="001253BE">
        <w:rPr>
          <w:sz w:val="24"/>
          <w:szCs w:val="24"/>
        </w:rPr>
        <w:t>goals</w:t>
      </w:r>
      <w:r w:rsidR="001253BE" w:rsidRPr="00BE7242">
        <w:rPr>
          <w:sz w:val="24"/>
          <w:szCs w:val="24"/>
        </w:rPr>
        <w:t xml:space="preserve">, the QIOs review health care services funded under Medicare to determine whether those services are reasonable, medically necessary, furnished in the appropriate setting, and meet professionally recognized standards of quality. The QIOs also review health care services where the beneficiary or a representative has complained about the </w:t>
      </w:r>
      <w:r w:rsidR="001253BE" w:rsidRPr="00D45C43">
        <w:rPr>
          <w:sz w:val="24"/>
          <w:szCs w:val="24"/>
        </w:rPr>
        <w:t>quality of those services or is appealing alleged premature discharge.</w:t>
      </w:r>
    </w:p>
    <w:p w14:paraId="5D4F1674" w14:textId="77777777" w:rsidR="001253BE" w:rsidRDefault="001253BE" w:rsidP="001253BE">
      <w:pPr>
        <w:pStyle w:val="BodyTextIndent"/>
        <w:ind w:left="0"/>
        <w:rPr>
          <w:sz w:val="24"/>
          <w:szCs w:val="24"/>
        </w:rPr>
      </w:pPr>
    </w:p>
    <w:p w14:paraId="3E1D4BBD" w14:textId="77777777" w:rsidR="001253BE" w:rsidRPr="007C272C" w:rsidRDefault="001253BE" w:rsidP="001253BE">
      <w:pPr>
        <w:pStyle w:val="BodyText2"/>
        <w:rPr>
          <w:sz w:val="24"/>
          <w:szCs w:val="24"/>
        </w:rPr>
      </w:pPr>
      <w:r w:rsidRPr="007C272C">
        <w:rPr>
          <w:sz w:val="24"/>
          <w:szCs w:val="24"/>
        </w:rPr>
        <w:t>Based on statutory language and CMS</w:t>
      </w:r>
      <w:r w:rsidR="00BD7D25">
        <w:rPr>
          <w:sz w:val="24"/>
          <w:szCs w:val="24"/>
        </w:rPr>
        <w:t>’ experience</w:t>
      </w:r>
      <w:r w:rsidRPr="007C272C">
        <w:rPr>
          <w:sz w:val="24"/>
          <w:szCs w:val="24"/>
        </w:rPr>
        <w:t xml:space="preserve"> in administering the </w:t>
      </w:r>
      <w:r w:rsidR="00BD7D25">
        <w:rPr>
          <w:sz w:val="24"/>
          <w:szCs w:val="24"/>
        </w:rPr>
        <w:t xml:space="preserve">QIO </w:t>
      </w:r>
      <w:r w:rsidR="00412785">
        <w:rPr>
          <w:sz w:val="24"/>
          <w:szCs w:val="24"/>
        </w:rPr>
        <w:t>P</w:t>
      </w:r>
      <w:r w:rsidRPr="007C272C">
        <w:rPr>
          <w:sz w:val="24"/>
          <w:szCs w:val="24"/>
        </w:rPr>
        <w:t xml:space="preserve">rogram, CMS has identified the following requirements for the </w:t>
      </w:r>
      <w:r w:rsidR="00412785">
        <w:rPr>
          <w:sz w:val="24"/>
          <w:szCs w:val="24"/>
        </w:rPr>
        <w:t>P</w:t>
      </w:r>
      <w:r w:rsidRPr="007C272C">
        <w:rPr>
          <w:sz w:val="24"/>
          <w:szCs w:val="24"/>
        </w:rPr>
        <w:t>rogram:</w:t>
      </w:r>
    </w:p>
    <w:p w14:paraId="04EF6536" w14:textId="77777777" w:rsidR="001253BE" w:rsidRPr="007C272C" w:rsidRDefault="001253BE" w:rsidP="001253BE">
      <w:pPr>
        <w:pStyle w:val="BodyText2"/>
        <w:rPr>
          <w:sz w:val="24"/>
          <w:szCs w:val="24"/>
        </w:rPr>
      </w:pPr>
    </w:p>
    <w:p w14:paraId="6F0A6A08" w14:textId="77777777" w:rsidR="001253BE" w:rsidRPr="007C272C" w:rsidRDefault="001253BE" w:rsidP="001253BE">
      <w:pPr>
        <w:pStyle w:val="BodyText2"/>
        <w:numPr>
          <w:ilvl w:val="0"/>
          <w:numId w:val="9"/>
        </w:numPr>
        <w:ind w:left="810"/>
        <w:rPr>
          <w:sz w:val="24"/>
          <w:szCs w:val="24"/>
        </w:rPr>
      </w:pPr>
      <w:r w:rsidRPr="007C272C">
        <w:rPr>
          <w:sz w:val="24"/>
          <w:szCs w:val="24"/>
        </w:rPr>
        <w:t>Improve quality of care for beneficiaries;</w:t>
      </w:r>
      <w:r>
        <w:rPr>
          <w:sz w:val="24"/>
          <w:szCs w:val="24"/>
        </w:rPr>
        <w:t xml:space="preserve"> and</w:t>
      </w:r>
    </w:p>
    <w:p w14:paraId="7D92B58E" w14:textId="77777777" w:rsidR="001253BE" w:rsidRPr="00016068" w:rsidRDefault="001253BE" w:rsidP="001253BE">
      <w:pPr>
        <w:pStyle w:val="BodyText2"/>
        <w:numPr>
          <w:ilvl w:val="0"/>
          <w:numId w:val="9"/>
        </w:numPr>
        <w:ind w:left="810"/>
        <w:rPr>
          <w:sz w:val="24"/>
          <w:szCs w:val="24"/>
        </w:rPr>
      </w:pPr>
      <w:r w:rsidRPr="007C272C">
        <w:rPr>
          <w:sz w:val="24"/>
          <w:szCs w:val="24"/>
        </w:rPr>
        <w:t>Protect beneficiaries by expeditiously addressing individual complaints, such as beneficiary complaints; provider-based notice appeals; Emergency Medical Treatment and Labor Act violations; and other related statutory QIO responsibilities.</w:t>
      </w:r>
    </w:p>
    <w:p w14:paraId="004C0426" w14:textId="77777777" w:rsidR="001253BE" w:rsidRDefault="001253BE" w:rsidP="001253BE">
      <w:pPr>
        <w:pStyle w:val="BodyTextIndent"/>
        <w:ind w:left="0"/>
        <w:rPr>
          <w:sz w:val="24"/>
          <w:szCs w:val="24"/>
        </w:rPr>
      </w:pPr>
    </w:p>
    <w:p w14:paraId="7F47C725" w14:textId="77777777" w:rsidR="001253BE" w:rsidRDefault="001253BE" w:rsidP="001253BE">
      <w:pPr>
        <w:pStyle w:val="BodyTextIndent"/>
        <w:ind w:left="0"/>
        <w:rPr>
          <w:sz w:val="24"/>
          <w:szCs w:val="24"/>
        </w:rPr>
      </w:pPr>
      <w:r w:rsidRPr="009E7E6D">
        <w:rPr>
          <w:sz w:val="24"/>
          <w:szCs w:val="24"/>
        </w:rPr>
        <w:t xml:space="preserve">As the QIO Program has evolved, CMS has aligned the </w:t>
      </w:r>
      <w:r>
        <w:rPr>
          <w:sz w:val="24"/>
          <w:szCs w:val="24"/>
        </w:rPr>
        <w:t>QIO</w:t>
      </w:r>
      <w:r w:rsidRPr="009E7E6D">
        <w:rPr>
          <w:sz w:val="24"/>
          <w:szCs w:val="24"/>
        </w:rPr>
        <w:t xml:space="preserve"> Statement of Work (SOW) with the </w:t>
      </w:r>
      <w:r>
        <w:rPr>
          <w:sz w:val="24"/>
          <w:szCs w:val="24"/>
        </w:rPr>
        <w:t>recommendations put forth by the Institute of Medicine</w:t>
      </w:r>
      <w:r>
        <w:rPr>
          <w:rStyle w:val="FootnoteReference"/>
          <w:sz w:val="24"/>
          <w:szCs w:val="24"/>
        </w:rPr>
        <w:footnoteReference w:id="2"/>
      </w:r>
      <w:r>
        <w:rPr>
          <w:sz w:val="24"/>
          <w:szCs w:val="24"/>
        </w:rPr>
        <w:t xml:space="preserve">, </w:t>
      </w:r>
      <w:r w:rsidRPr="009E7E6D">
        <w:rPr>
          <w:sz w:val="24"/>
          <w:szCs w:val="24"/>
        </w:rPr>
        <w:t>principles set forth in the National Quality Strategy</w:t>
      </w:r>
      <w:r>
        <w:rPr>
          <w:sz w:val="24"/>
          <w:szCs w:val="24"/>
        </w:rPr>
        <w:t>,</w:t>
      </w:r>
      <w:r w:rsidRPr="009E7E6D">
        <w:rPr>
          <w:sz w:val="24"/>
          <w:szCs w:val="24"/>
        </w:rPr>
        <w:t xml:space="preserve"> and the CMS Quality Strategy. CMS has restruct</w:t>
      </w:r>
      <w:r w:rsidR="00BD7D25">
        <w:rPr>
          <w:sz w:val="24"/>
          <w:szCs w:val="24"/>
        </w:rPr>
        <w:t>ured the QIO p</w:t>
      </w:r>
      <w:r w:rsidRPr="009E7E6D">
        <w:rPr>
          <w:sz w:val="24"/>
          <w:szCs w:val="24"/>
        </w:rPr>
        <w:t xml:space="preserve">rogram </w:t>
      </w:r>
      <w:r>
        <w:rPr>
          <w:sz w:val="24"/>
          <w:szCs w:val="24"/>
        </w:rPr>
        <w:t xml:space="preserve">such that the BFCC QIO is solely focused on delivering beneficiary and family-centered care in an </w:t>
      </w:r>
      <w:r w:rsidRPr="009E7E6D">
        <w:rPr>
          <w:sz w:val="24"/>
          <w:szCs w:val="24"/>
        </w:rPr>
        <w:t>efficien</w:t>
      </w:r>
      <w:r>
        <w:rPr>
          <w:sz w:val="24"/>
          <w:szCs w:val="24"/>
        </w:rPr>
        <w:t>t</w:t>
      </w:r>
      <w:r w:rsidRPr="009E7E6D">
        <w:rPr>
          <w:sz w:val="24"/>
          <w:szCs w:val="24"/>
        </w:rPr>
        <w:t xml:space="preserve"> and cost-effective</w:t>
      </w:r>
      <w:r>
        <w:rPr>
          <w:sz w:val="24"/>
          <w:szCs w:val="24"/>
        </w:rPr>
        <w:t xml:space="preserve"> manner</w:t>
      </w:r>
      <w:r w:rsidRPr="009E7E6D">
        <w:rPr>
          <w:sz w:val="24"/>
          <w:szCs w:val="24"/>
        </w:rPr>
        <w:t xml:space="preserve">. </w:t>
      </w:r>
    </w:p>
    <w:p w14:paraId="7FAFD01F" w14:textId="77777777" w:rsidR="001253BE" w:rsidRDefault="001253BE" w:rsidP="001253BE">
      <w:pPr>
        <w:pStyle w:val="BodyTextIndent"/>
        <w:ind w:left="0"/>
        <w:rPr>
          <w:sz w:val="24"/>
          <w:szCs w:val="24"/>
        </w:rPr>
      </w:pPr>
    </w:p>
    <w:p w14:paraId="26B8D44B" w14:textId="77777777" w:rsidR="0061329C" w:rsidRDefault="001253BE" w:rsidP="0061329C">
      <w:pPr>
        <w:pStyle w:val="BodyText2"/>
        <w:rPr>
          <w:sz w:val="24"/>
          <w:szCs w:val="24"/>
        </w:rPr>
      </w:pPr>
      <w:r>
        <w:rPr>
          <w:sz w:val="24"/>
          <w:szCs w:val="24"/>
        </w:rPr>
        <w:t xml:space="preserve">To </w:t>
      </w:r>
      <w:r w:rsidRPr="00D45C43">
        <w:rPr>
          <w:sz w:val="24"/>
          <w:szCs w:val="24"/>
        </w:rPr>
        <w:t xml:space="preserve">ensure the QIOs are effectively meeting their </w:t>
      </w:r>
      <w:r>
        <w:rPr>
          <w:sz w:val="24"/>
          <w:szCs w:val="24"/>
        </w:rPr>
        <w:t>goals, CMS has historically</w:t>
      </w:r>
      <w:r w:rsidRPr="00D45C43">
        <w:rPr>
          <w:sz w:val="24"/>
          <w:szCs w:val="24"/>
        </w:rPr>
        <w:t xml:space="preserve"> </w:t>
      </w:r>
      <w:r>
        <w:rPr>
          <w:sz w:val="24"/>
          <w:szCs w:val="24"/>
        </w:rPr>
        <w:t xml:space="preserve">collected patient experience information through </w:t>
      </w:r>
      <w:r w:rsidRPr="00D45C43">
        <w:rPr>
          <w:sz w:val="24"/>
          <w:szCs w:val="24"/>
        </w:rPr>
        <w:t xml:space="preserve">a survey of beneficiaries who have </w:t>
      </w:r>
      <w:r>
        <w:rPr>
          <w:sz w:val="24"/>
          <w:szCs w:val="24"/>
        </w:rPr>
        <w:t xml:space="preserve">interacted directly with a QIO representative. </w:t>
      </w:r>
      <w:r w:rsidR="0061329C">
        <w:rPr>
          <w:sz w:val="24"/>
          <w:szCs w:val="24"/>
        </w:rPr>
        <w:t xml:space="preserve">Through the collection of patient experience data, CMS: </w:t>
      </w:r>
    </w:p>
    <w:p w14:paraId="1BB50EF3" w14:textId="77777777" w:rsidR="0061329C" w:rsidRDefault="0061329C" w:rsidP="0061329C">
      <w:pPr>
        <w:pStyle w:val="BodyText2"/>
        <w:rPr>
          <w:sz w:val="24"/>
          <w:szCs w:val="24"/>
        </w:rPr>
      </w:pPr>
    </w:p>
    <w:p w14:paraId="0C0B419E" w14:textId="77777777" w:rsidR="0061329C" w:rsidRDefault="0061329C" w:rsidP="0061329C">
      <w:pPr>
        <w:pStyle w:val="BodyText2"/>
        <w:numPr>
          <w:ilvl w:val="0"/>
          <w:numId w:val="9"/>
        </w:numPr>
        <w:ind w:left="806"/>
        <w:rPr>
          <w:sz w:val="24"/>
          <w:szCs w:val="24"/>
        </w:rPr>
      </w:pPr>
      <w:r>
        <w:rPr>
          <w:sz w:val="24"/>
          <w:szCs w:val="24"/>
        </w:rPr>
        <w:t xml:space="preserve">Assesses the degree to which the QIOs are achieving the above program requirements; </w:t>
      </w:r>
    </w:p>
    <w:p w14:paraId="26E10CDD" w14:textId="77777777" w:rsidR="0061329C" w:rsidRDefault="0061329C" w:rsidP="0061329C">
      <w:pPr>
        <w:pStyle w:val="BodyText2"/>
        <w:numPr>
          <w:ilvl w:val="0"/>
          <w:numId w:val="9"/>
        </w:numPr>
        <w:ind w:left="806"/>
        <w:rPr>
          <w:sz w:val="24"/>
          <w:szCs w:val="24"/>
        </w:rPr>
      </w:pPr>
      <w:r>
        <w:rPr>
          <w:sz w:val="24"/>
          <w:szCs w:val="24"/>
        </w:rPr>
        <w:t>Provides feedback to the QIOs to support them in improving the services they deliver to Medicare beneficiaries; and</w:t>
      </w:r>
    </w:p>
    <w:p w14:paraId="22B7322F" w14:textId="77777777" w:rsidR="0061329C" w:rsidRDefault="0061329C" w:rsidP="0061329C">
      <w:pPr>
        <w:pStyle w:val="BodyText2"/>
        <w:numPr>
          <w:ilvl w:val="0"/>
          <w:numId w:val="9"/>
        </w:numPr>
        <w:ind w:left="806"/>
        <w:rPr>
          <w:sz w:val="24"/>
          <w:szCs w:val="24"/>
        </w:rPr>
      </w:pPr>
      <w:r>
        <w:rPr>
          <w:sz w:val="24"/>
          <w:szCs w:val="24"/>
        </w:rPr>
        <w:t>Measures the degree to which the QIOs are meeting their contractual obligations as laid out in their SOW.</w:t>
      </w:r>
    </w:p>
    <w:p w14:paraId="40443A47" w14:textId="0837BF8E" w:rsidR="0061329C" w:rsidRDefault="0061329C" w:rsidP="0061329C">
      <w:pPr>
        <w:pStyle w:val="BodyTextIndent"/>
        <w:ind w:left="0"/>
        <w:rPr>
          <w:sz w:val="24"/>
          <w:szCs w:val="24"/>
        </w:rPr>
      </w:pPr>
      <w:r>
        <w:rPr>
          <w:sz w:val="24"/>
          <w:szCs w:val="24"/>
        </w:rPr>
        <w:t xml:space="preserve"> </w:t>
      </w:r>
    </w:p>
    <w:p w14:paraId="7853392F" w14:textId="2E23CE3C" w:rsidR="0071444D" w:rsidRDefault="001253BE" w:rsidP="0061329C">
      <w:pPr>
        <w:pStyle w:val="BodyTextIndent"/>
        <w:ind w:left="0"/>
        <w:rPr>
          <w:sz w:val="24"/>
          <w:szCs w:val="24"/>
        </w:rPr>
      </w:pPr>
      <w:r>
        <w:rPr>
          <w:sz w:val="24"/>
          <w:szCs w:val="24"/>
        </w:rPr>
        <w:t xml:space="preserve">The most recent version of this survey was approved by OMB in </w:t>
      </w:r>
      <w:r w:rsidR="00AD5682">
        <w:rPr>
          <w:sz w:val="24"/>
          <w:szCs w:val="24"/>
        </w:rPr>
        <w:t>2016</w:t>
      </w:r>
      <w:r>
        <w:rPr>
          <w:sz w:val="24"/>
          <w:szCs w:val="24"/>
        </w:rPr>
        <w:t xml:space="preserve"> (control number 0938-1177)</w:t>
      </w:r>
      <w:r w:rsidR="00C3519B">
        <w:rPr>
          <w:sz w:val="24"/>
          <w:szCs w:val="24"/>
        </w:rPr>
        <w:t xml:space="preserve">. With the introduction of the revised instruments discussed below, the current survey is being retired.   </w:t>
      </w:r>
      <w:r w:rsidR="0061329C">
        <w:rPr>
          <w:sz w:val="24"/>
          <w:szCs w:val="24"/>
        </w:rPr>
        <w:t xml:space="preserve"> </w:t>
      </w:r>
    </w:p>
    <w:p w14:paraId="3FD8C2A8" w14:textId="77777777" w:rsidR="0071444D" w:rsidRDefault="0071444D" w:rsidP="0061329C">
      <w:pPr>
        <w:pStyle w:val="BodyTextIndent"/>
        <w:ind w:left="0"/>
        <w:rPr>
          <w:sz w:val="24"/>
          <w:szCs w:val="24"/>
        </w:rPr>
      </w:pPr>
    </w:p>
    <w:p w14:paraId="5F19F206" w14:textId="77777777" w:rsidR="001253BE" w:rsidRDefault="001253BE" w:rsidP="001253BE">
      <w:pPr>
        <w:pStyle w:val="BodyText2"/>
        <w:rPr>
          <w:sz w:val="24"/>
          <w:szCs w:val="24"/>
        </w:rPr>
      </w:pPr>
    </w:p>
    <w:p w14:paraId="487ECD40" w14:textId="77777777" w:rsidR="0071444D" w:rsidRDefault="001253BE" w:rsidP="00583EC6">
      <w:pPr>
        <w:pStyle w:val="BodyTextIndent"/>
        <w:ind w:left="0"/>
        <w:rPr>
          <w:sz w:val="24"/>
          <w:szCs w:val="24"/>
        </w:rPr>
      </w:pPr>
      <w:r>
        <w:rPr>
          <w:sz w:val="24"/>
          <w:szCs w:val="24"/>
        </w:rPr>
        <w:lastRenderedPageBreak/>
        <w:t xml:space="preserve">CMS must continue to collect reliable </w:t>
      </w:r>
      <w:r w:rsidRPr="00020576">
        <w:rPr>
          <w:sz w:val="24"/>
          <w:szCs w:val="24"/>
        </w:rPr>
        <w:t>and rich data</w:t>
      </w:r>
      <w:r>
        <w:rPr>
          <w:sz w:val="24"/>
          <w:szCs w:val="24"/>
        </w:rPr>
        <w:t xml:space="preserve"> on the experiences of Medicare beneficiaries. </w:t>
      </w:r>
      <w:r w:rsidR="00583EC6">
        <w:rPr>
          <w:sz w:val="24"/>
          <w:szCs w:val="24"/>
        </w:rPr>
        <w:t>The nature of the data collected must evolve as QIO SOWs change so that CMS is adequately capturing how, when, and why QIOs are interacting with beneficiaries and beneficiary reports on their related experiences. Under the current 11</w:t>
      </w:r>
      <w:r w:rsidR="00583EC6" w:rsidRPr="00583EC6">
        <w:rPr>
          <w:sz w:val="24"/>
          <w:szCs w:val="24"/>
          <w:vertAlign w:val="superscript"/>
        </w:rPr>
        <w:t>th</w:t>
      </w:r>
      <w:r w:rsidR="00583EC6">
        <w:rPr>
          <w:sz w:val="24"/>
          <w:szCs w:val="24"/>
        </w:rPr>
        <w:t xml:space="preserve"> QIO SOW, two organizations are providing services as BFCC QIOs across all of the United States. The QIO evaluation criteria have been revised to reflect this national regionalization and it is important for CMS to understand the impact on beneficiaries from this reorganization.</w:t>
      </w:r>
    </w:p>
    <w:p w14:paraId="0B797731" w14:textId="77777777" w:rsidR="0071444D" w:rsidRDefault="0071444D" w:rsidP="00583EC6">
      <w:pPr>
        <w:pStyle w:val="BodyTextIndent"/>
        <w:ind w:left="0"/>
        <w:rPr>
          <w:sz w:val="24"/>
          <w:szCs w:val="24"/>
        </w:rPr>
      </w:pPr>
    </w:p>
    <w:p w14:paraId="0166A634" w14:textId="28F8A2C9" w:rsidR="00583EC6" w:rsidRDefault="007346B8" w:rsidP="00583EC6">
      <w:pPr>
        <w:pStyle w:val="BodyTextIndent"/>
        <w:ind w:left="0"/>
        <w:rPr>
          <w:sz w:val="24"/>
          <w:szCs w:val="24"/>
        </w:rPr>
      </w:pPr>
      <w:r>
        <w:rPr>
          <w:sz w:val="24"/>
          <w:szCs w:val="24"/>
        </w:rPr>
        <w:t>In alignment with CMS’ strategic goals to “Put Patients First”, they are committed to improving the CMS Customer Experience.  One way to accomplish this is enhancing the Beneficiary C</w:t>
      </w:r>
      <w:r w:rsidR="001F733C">
        <w:rPr>
          <w:sz w:val="24"/>
          <w:szCs w:val="24"/>
        </w:rPr>
        <w:t xml:space="preserve">are Experience with the BFCC-QIO.  As a result, </w:t>
      </w:r>
      <w:r w:rsidR="001F733C">
        <w:t xml:space="preserve">CMS has incorporated Person and Family Engagement (PFE) activities (Figure 1) into the BFCC QIO 11SOW </w:t>
      </w:r>
      <w:r w:rsidR="001F733C" w:rsidRPr="00B13B09">
        <w:t>in support of the mission of the Department of Health and Human Services (HHS), Centers for Medicare &amp; Medicaid Services (CMS).</w:t>
      </w:r>
      <w:r w:rsidR="001F733C">
        <w:t xml:space="preserve">  </w:t>
      </w:r>
    </w:p>
    <w:p w14:paraId="71A41DA0" w14:textId="4D697E52" w:rsidR="00100AB8" w:rsidRDefault="00100AB8" w:rsidP="00583EC6">
      <w:pPr>
        <w:pStyle w:val="BodyTextIndent"/>
        <w:ind w:left="0"/>
        <w:rPr>
          <w:sz w:val="24"/>
          <w:szCs w:val="24"/>
        </w:rPr>
      </w:pPr>
    </w:p>
    <w:p w14:paraId="631FF10B" w14:textId="2684429C" w:rsidR="00100AB8" w:rsidRDefault="007346B8" w:rsidP="00583EC6">
      <w:pPr>
        <w:pStyle w:val="BodyTextIndent"/>
        <w:ind w:left="0"/>
        <w:rPr>
          <w:b/>
          <w:sz w:val="24"/>
          <w:szCs w:val="24"/>
        </w:rPr>
      </w:pPr>
      <w:r w:rsidRPr="00EC2628">
        <w:rPr>
          <w:b/>
          <w:sz w:val="24"/>
          <w:szCs w:val="24"/>
        </w:rPr>
        <w:t>Figure 1 – BFCC PFE Program Model “Putting Patients First”</w:t>
      </w:r>
    </w:p>
    <w:p w14:paraId="3AFC1C3C" w14:textId="597D9271" w:rsidR="007346B8" w:rsidRPr="00EC2628" w:rsidRDefault="007346B8" w:rsidP="00583EC6">
      <w:pPr>
        <w:pStyle w:val="BodyTextIndent"/>
        <w:ind w:left="0"/>
        <w:rPr>
          <w:b/>
          <w:sz w:val="24"/>
          <w:szCs w:val="24"/>
        </w:rPr>
      </w:pPr>
      <w:r w:rsidRPr="007346B8">
        <w:rPr>
          <w:b/>
          <w:noProof/>
          <w:sz w:val="24"/>
          <w:szCs w:val="24"/>
        </w:rPr>
        <w:drawing>
          <wp:inline distT="0" distB="0" distL="0" distR="0" wp14:anchorId="0F7DE4EF" wp14:editId="1B4C0A50">
            <wp:extent cx="6499860" cy="3467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6212" cy="3470488"/>
                    </a:xfrm>
                    <a:prstGeom prst="rect">
                      <a:avLst/>
                    </a:prstGeom>
                    <a:noFill/>
                    <a:ln>
                      <a:noFill/>
                    </a:ln>
                  </pic:spPr>
                </pic:pic>
              </a:graphicData>
            </a:graphic>
          </wp:inline>
        </w:drawing>
      </w:r>
    </w:p>
    <w:p w14:paraId="5A02BA15" w14:textId="77777777" w:rsidR="00583EC6" w:rsidRDefault="00583EC6" w:rsidP="001253BE">
      <w:pPr>
        <w:pStyle w:val="BodyTextIndent"/>
        <w:ind w:left="0"/>
        <w:rPr>
          <w:sz w:val="24"/>
          <w:szCs w:val="24"/>
        </w:rPr>
      </w:pPr>
    </w:p>
    <w:p w14:paraId="75436BD1" w14:textId="701D152F" w:rsidR="00D37A31" w:rsidRDefault="00D37A31" w:rsidP="00D37A31">
      <w:r>
        <w:t>The existing data collection uses two variations of a survey to collect satisfaction data from two broad groups of beneficiaries who interact with QIOs. The revised data collection will use three variations of a survey to collect more targeted experience data from all beneficiaries who interact with the QIO, paying particular attention to the recent changes in QIO service delivery to “Put Patients First.”</w:t>
      </w:r>
      <w:r w:rsidR="006A6726">
        <w:t xml:space="preserve"> </w:t>
      </w:r>
      <w:r w:rsidRPr="00833A8C">
        <w:rPr>
          <w:rFonts w:eastAsia="Calibri"/>
          <w:szCs w:val="24"/>
        </w:rPr>
        <w:t xml:space="preserve">The </w:t>
      </w:r>
      <w:r>
        <w:rPr>
          <w:rFonts w:eastAsia="Calibri"/>
          <w:szCs w:val="24"/>
        </w:rPr>
        <w:t>revised instruments are</w:t>
      </w:r>
      <w:r w:rsidRPr="00833A8C">
        <w:rPr>
          <w:rFonts w:eastAsia="Calibri"/>
          <w:szCs w:val="24"/>
        </w:rPr>
        <w:t xml:space="preserve"> intended to maximize utility of data, ensure data are valid and reliable, and minimize burden on Medicare beneficiaries, their families, and representatives.</w:t>
      </w:r>
    </w:p>
    <w:p w14:paraId="3C761198" w14:textId="77777777" w:rsidR="00D37A31" w:rsidRDefault="00D37A31" w:rsidP="00D37A31">
      <w:pPr>
        <w:jc w:val="both"/>
        <w:rPr>
          <w:szCs w:val="24"/>
        </w:rPr>
      </w:pPr>
    </w:p>
    <w:p w14:paraId="5808A564" w14:textId="4A6915CC" w:rsidR="00D37A31" w:rsidRDefault="00D37A31" w:rsidP="00D37A31">
      <w:pPr>
        <w:jc w:val="both"/>
        <w:rPr>
          <w:sz w:val="22"/>
          <w:szCs w:val="24"/>
        </w:rPr>
      </w:pPr>
      <w:r>
        <w:rPr>
          <w:szCs w:val="24"/>
        </w:rPr>
        <w:t xml:space="preserve">The concepts from the existing data collection have been revised to ask about specific </w:t>
      </w:r>
      <w:r>
        <w:rPr>
          <w:b/>
          <w:i/>
          <w:szCs w:val="24"/>
        </w:rPr>
        <w:t>experiences</w:t>
      </w:r>
      <w:r>
        <w:rPr>
          <w:szCs w:val="24"/>
        </w:rPr>
        <w:t xml:space="preserve"> while interacting with the QIOs instead of </w:t>
      </w:r>
      <w:r>
        <w:rPr>
          <w:b/>
          <w:i/>
          <w:szCs w:val="24"/>
        </w:rPr>
        <w:t>satisfaction</w:t>
      </w:r>
      <w:r>
        <w:rPr>
          <w:szCs w:val="24"/>
        </w:rPr>
        <w:t xml:space="preserve"> with the QIO. This revision is aimed at collecting data that are more objective. Experience data will provide rigorous data to support QIO evaluation and on-going quality improvement. The included Survey Crosswalk lists the topics covered as well as the specific items addressing each topic in the existing data collection instrument as well as the proposed revised data collection instruments. A summary of overarching changes is as follows:</w:t>
      </w:r>
    </w:p>
    <w:p w14:paraId="5EBDCD4F" w14:textId="77777777" w:rsidR="00D37A31" w:rsidRPr="00D37A31" w:rsidRDefault="00D37A31" w:rsidP="00D37A31">
      <w:pPr>
        <w:pStyle w:val="ListParagraph"/>
        <w:numPr>
          <w:ilvl w:val="0"/>
          <w:numId w:val="50"/>
        </w:numPr>
        <w:spacing w:after="0" w:line="240" w:lineRule="auto"/>
        <w:contextualSpacing w:val="0"/>
        <w:jc w:val="both"/>
        <w:rPr>
          <w:rFonts w:ascii="Times New Roman" w:hAnsi="Times New Roman"/>
          <w:color w:val="FF0000"/>
          <w:sz w:val="24"/>
          <w:szCs w:val="24"/>
        </w:rPr>
      </w:pPr>
      <w:r w:rsidRPr="00D37A31">
        <w:rPr>
          <w:rFonts w:ascii="Times New Roman" w:hAnsi="Times New Roman"/>
          <w:sz w:val="24"/>
          <w:szCs w:val="24"/>
        </w:rPr>
        <w:t xml:space="preserve">Content from eight existing data collection items have been removed entirely. These items are not measuring areas where QIOs have substantial ability to impact change in the beneficiary experience.  Removal of these items will remove all content in four topic areas: satisfaction with result; community coordination; receipt of forms/letters; and clarity of forms/letters. </w:t>
      </w:r>
    </w:p>
    <w:p w14:paraId="327A43B0" w14:textId="77777777" w:rsidR="00D37A31" w:rsidRPr="00D37A31" w:rsidRDefault="00D37A31" w:rsidP="00D37A31">
      <w:pPr>
        <w:pStyle w:val="ListParagraph"/>
        <w:numPr>
          <w:ilvl w:val="0"/>
          <w:numId w:val="50"/>
        </w:numPr>
        <w:spacing w:after="0" w:line="240" w:lineRule="auto"/>
        <w:contextualSpacing w:val="0"/>
        <w:jc w:val="both"/>
        <w:rPr>
          <w:rFonts w:ascii="Times New Roman" w:hAnsi="Times New Roman"/>
          <w:color w:val="FF0000"/>
          <w:sz w:val="24"/>
          <w:szCs w:val="24"/>
        </w:rPr>
      </w:pPr>
      <w:r w:rsidRPr="00D37A31">
        <w:rPr>
          <w:rFonts w:ascii="Times New Roman" w:hAnsi="Times New Roman"/>
          <w:sz w:val="24"/>
          <w:szCs w:val="24"/>
        </w:rPr>
        <w:t xml:space="preserve">New content comprised of four items is being added to the revised data collection instruments. These items allow CMS to assess the efficacy of their increasingly patient-centered approach to supporting beneficiaries. This items specifically address: support completing forms/letters; and follow-up to immediate advocacy complaint resolution. </w:t>
      </w:r>
    </w:p>
    <w:p w14:paraId="178397AC" w14:textId="77777777" w:rsidR="00D37A31" w:rsidRPr="00D37A31" w:rsidRDefault="00D37A31" w:rsidP="00D37A31">
      <w:pPr>
        <w:pStyle w:val="ListParagraph"/>
        <w:numPr>
          <w:ilvl w:val="0"/>
          <w:numId w:val="50"/>
        </w:numPr>
        <w:spacing w:after="0" w:line="240" w:lineRule="auto"/>
        <w:contextualSpacing w:val="0"/>
        <w:jc w:val="both"/>
        <w:rPr>
          <w:rFonts w:ascii="Times New Roman" w:hAnsi="Times New Roman"/>
          <w:color w:val="FF0000"/>
          <w:sz w:val="24"/>
          <w:szCs w:val="24"/>
        </w:rPr>
      </w:pPr>
      <w:r w:rsidRPr="00D37A31">
        <w:rPr>
          <w:rFonts w:ascii="Times New Roman" w:hAnsi="Times New Roman"/>
          <w:sz w:val="24"/>
          <w:szCs w:val="24"/>
        </w:rPr>
        <w:t xml:space="preserve">Content in other topic areas are proposed to be slightly revised to reflect how QIOs deliver services under the most recent SOW. These items include content addressing: sample verification; mode of contact with QIO; responsiveness; communication; process rating; comments/feedback. </w:t>
      </w:r>
    </w:p>
    <w:p w14:paraId="2E5E6811" w14:textId="77777777" w:rsidR="00D37A31" w:rsidRDefault="00D37A31" w:rsidP="00D37A31">
      <w:pPr>
        <w:rPr>
          <w:szCs w:val="22"/>
        </w:rPr>
      </w:pPr>
    </w:p>
    <w:p w14:paraId="7754EF31" w14:textId="77777777" w:rsidR="001253BE" w:rsidRDefault="001253BE" w:rsidP="001253BE">
      <w:pPr>
        <w:pStyle w:val="BodyTextIndent"/>
        <w:ind w:left="0"/>
        <w:rPr>
          <w:sz w:val="24"/>
          <w:szCs w:val="24"/>
        </w:rPr>
      </w:pPr>
    </w:p>
    <w:p w14:paraId="21F29F50" w14:textId="57B2CF21" w:rsidR="002F27A8" w:rsidRDefault="001253BE" w:rsidP="001253BE">
      <w:pPr>
        <w:pStyle w:val="BodyTextIndent"/>
        <w:ind w:left="0"/>
        <w:rPr>
          <w:sz w:val="24"/>
          <w:szCs w:val="24"/>
        </w:rPr>
      </w:pPr>
      <w:r>
        <w:rPr>
          <w:sz w:val="24"/>
          <w:szCs w:val="24"/>
        </w:rPr>
        <w:t xml:space="preserve">The data collection instruments </w:t>
      </w:r>
      <w:r w:rsidR="00583EC6">
        <w:rPr>
          <w:sz w:val="24"/>
          <w:szCs w:val="24"/>
        </w:rPr>
        <w:t>prepared for the 11</w:t>
      </w:r>
      <w:r w:rsidR="00583EC6" w:rsidRPr="00583EC6">
        <w:rPr>
          <w:sz w:val="24"/>
          <w:szCs w:val="24"/>
          <w:vertAlign w:val="superscript"/>
        </w:rPr>
        <w:t>th</w:t>
      </w:r>
      <w:r w:rsidR="00583EC6">
        <w:rPr>
          <w:sz w:val="24"/>
          <w:szCs w:val="24"/>
        </w:rPr>
        <w:t xml:space="preserve"> SOW rely on</w:t>
      </w:r>
      <w:r>
        <w:rPr>
          <w:sz w:val="24"/>
          <w:szCs w:val="24"/>
        </w:rPr>
        <w:t xml:space="preserve"> a combination of qualitative and quantitative strategies</w:t>
      </w:r>
      <w:r w:rsidR="00583EC6">
        <w:rPr>
          <w:sz w:val="24"/>
          <w:szCs w:val="24"/>
        </w:rPr>
        <w:t>. Together, the data collection strategies will</w:t>
      </w:r>
      <w:r>
        <w:rPr>
          <w:sz w:val="24"/>
          <w:szCs w:val="24"/>
        </w:rPr>
        <w:t xml:space="preserve"> help CMS and the QIOs understand beneficiary experiences through all interactions with the QIO including initial contact, interim interactions, and case closure. </w:t>
      </w:r>
      <w:r w:rsidR="00583EC6">
        <w:rPr>
          <w:sz w:val="24"/>
          <w:szCs w:val="24"/>
        </w:rPr>
        <w:t>Data collection i</w:t>
      </w:r>
      <w:r>
        <w:rPr>
          <w:sz w:val="24"/>
          <w:szCs w:val="24"/>
        </w:rPr>
        <w:t xml:space="preserve">nstruments are tailored to reflect the steps in each type of process, as well as the average time it takes to complete each process. Draft data collection instruments are included with this submission. </w:t>
      </w:r>
    </w:p>
    <w:p w14:paraId="207E162A" w14:textId="77777777" w:rsidR="002F27A8" w:rsidRDefault="002F27A8" w:rsidP="001253BE">
      <w:pPr>
        <w:pStyle w:val="BodyTextIndent"/>
        <w:ind w:left="0"/>
        <w:rPr>
          <w:sz w:val="24"/>
          <w:szCs w:val="24"/>
        </w:rPr>
      </w:pPr>
    </w:p>
    <w:p w14:paraId="10691EB8" w14:textId="0D9ECF29" w:rsidR="001253BE" w:rsidRDefault="001253BE" w:rsidP="001253BE">
      <w:pPr>
        <w:pStyle w:val="BodyTextIndent"/>
        <w:ind w:left="0"/>
        <w:rPr>
          <w:sz w:val="24"/>
          <w:szCs w:val="24"/>
        </w:rPr>
      </w:pPr>
      <w:r>
        <w:rPr>
          <w:sz w:val="24"/>
          <w:szCs w:val="24"/>
        </w:rPr>
        <w:t>The purpose and approach for each are summarized below.</w:t>
      </w:r>
    </w:p>
    <w:p w14:paraId="2BCC2C52" w14:textId="77777777" w:rsidR="001253BE" w:rsidRDefault="001253BE" w:rsidP="001253BE">
      <w:pPr>
        <w:pStyle w:val="BodyTextIndent"/>
        <w:ind w:left="0"/>
        <w:rPr>
          <w:sz w:val="24"/>
          <w:szCs w:val="24"/>
        </w:rPr>
      </w:pPr>
    </w:p>
    <w:p w14:paraId="52CD1776" w14:textId="2540B657" w:rsidR="001253BE" w:rsidRPr="009C5B74" w:rsidRDefault="001253BE" w:rsidP="001253BE">
      <w:pPr>
        <w:pStyle w:val="ListParagraph"/>
        <w:numPr>
          <w:ilvl w:val="0"/>
          <w:numId w:val="19"/>
        </w:numPr>
        <w:kinsoku w:val="0"/>
        <w:overflowPunct w:val="0"/>
        <w:autoSpaceDE w:val="0"/>
        <w:autoSpaceDN w:val="0"/>
        <w:adjustRightInd w:val="0"/>
        <w:spacing w:line="245" w:lineRule="exact"/>
        <w:rPr>
          <w:rFonts w:ascii="Times New Roman" w:hAnsi="Times New Roman"/>
          <w:sz w:val="24"/>
          <w:szCs w:val="24"/>
        </w:rPr>
      </w:pPr>
      <w:r w:rsidRPr="009C5B74">
        <w:rPr>
          <w:rFonts w:ascii="Times New Roman" w:hAnsi="Times New Roman"/>
          <w:b/>
          <w:sz w:val="24"/>
          <w:szCs w:val="24"/>
          <w:u w:val="single"/>
        </w:rPr>
        <w:t>Experience Survey:</w:t>
      </w:r>
      <w:r w:rsidRPr="009C5B74">
        <w:rPr>
          <w:rFonts w:ascii="Times New Roman" w:hAnsi="Times New Roman"/>
          <w:sz w:val="24"/>
          <w:szCs w:val="24"/>
        </w:rPr>
        <w:t xml:space="preserve"> The Experience Survey </w:t>
      </w:r>
      <w:r w:rsidR="00B667D1">
        <w:rPr>
          <w:rFonts w:ascii="Times New Roman" w:hAnsi="Times New Roman"/>
          <w:sz w:val="24"/>
          <w:szCs w:val="24"/>
        </w:rPr>
        <w:t xml:space="preserve">(Attachment A) </w:t>
      </w:r>
      <w:r w:rsidRPr="009C5B74">
        <w:rPr>
          <w:rFonts w:ascii="Times New Roman" w:hAnsi="Times New Roman"/>
          <w:sz w:val="24"/>
          <w:szCs w:val="24"/>
        </w:rPr>
        <w:t>will be administered via telephone</w:t>
      </w:r>
      <w:r w:rsidR="00E66C11">
        <w:rPr>
          <w:rFonts w:ascii="Times New Roman" w:hAnsi="Times New Roman"/>
          <w:sz w:val="24"/>
          <w:szCs w:val="24"/>
        </w:rPr>
        <w:t xml:space="preserve"> and mail</w:t>
      </w:r>
      <w:r w:rsidRPr="009C5B74">
        <w:rPr>
          <w:rFonts w:ascii="Times New Roman" w:hAnsi="Times New Roman"/>
          <w:sz w:val="24"/>
          <w:szCs w:val="24"/>
        </w:rPr>
        <w:t xml:space="preserve"> to beneficiaries/representatives after the complaint/appeal case has been closed</w:t>
      </w:r>
      <w:r w:rsidR="00583EC6">
        <w:rPr>
          <w:rFonts w:ascii="Times New Roman" w:hAnsi="Times New Roman"/>
          <w:sz w:val="24"/>
          <w:szCs w:val="24"/>
        </w:rPr>
        <w:t>. The goal of the experience survey is</w:t>
      </w:r>
      <w:r w:rsidRPr="009C5B74">
        <w:rPr>
          <w:rFonts w:ascii="Times New Roman" w:hAnsi="Times New Roman"/>
          <w:sz w:val="24"/>
          <w:szCs w:val="24"/>
        </w:rPr>
        <w:t xml:space="preserve"> to assess </w:t>
      </w:r>
      <w:r w:rsidR="00E66C11">
        <w:rPr>
          <w:rFonts w:ascii="Times New Roman" w:hAnsi="Times New Roman"/>
          <w:sz w:val="24"/>
          <w:szCs w:val="24"/>
        </w:rPr>
        <w:t>beneficiary</w:t>
      </w:r>
      <w:r w:rsidRPr="009C5B74">
        <w:rPr>
          <w:rFonts w:ascii="Times New Roman" w:hAnsi="Times New Roman"/>
          <w:sz w:val="24"/>
          <w:szCs w:val="24"/>
        </w:rPr>
        <w:t xml:space="preserve"> overall and specific experiences with the BFCC QIOs. The survey will take no more than 15 minutes for respondents to complete. </w:t>
      </w:r>
      <w:r w:rsidR="00EB03A8">
        <w:rPr>
          <w:rFonts w:ascii="Times New Roman" w:hAnsi="Times New Roman"/>
          <w:sz w:val="24"/>
          <w:szCs w:val="24"/>
        </w:rPr>
        <w:t>General Survey instructions can be found in Attachment E. Mail-specific instructions can be found in Attachment G.</w:t>
      </w:r>
    </w:p>
    <w:p w14:paraId="2109E342" w14:textId="77777777" w:rsidR="001253BE" w:rsidRDefault="001253BE" w:rsidP="001253BE">
      <w:pPr>
        <w:pStyle w:val="ListParagraph"/>
        <w:numPr>
          <w:ilvl w:val="1"/>
          <w:numId w:val="10"/>
        </w:numPr>
        <w:spacing w:after="0" w:line="240" w:lineRule="auto"/>
        <w:contextualSpacing w:val="0"/>
        <w:rPr>
          <w:rFonts w:ascii="Times New Roman" w:hAnsi="Times New Roman"/>
          <w:sz w:val="24"/>
          <w:szCs w:val="24"/>
        </w:rPr>
      </w:pPr>
      <w:r w:rsidRPr="00020576">
        <w:rPr>
          <w:rFonts w:ascii="Times New Roman" w:hAnsi="Times New Roman"/>
          <w:sz w:val="24"/>
          <w:szCs w:val="24"/>
        </w:rPr>
        <w:t xml:space="preserve">The survey will be administered to all (census) beneficiaries/representatives who file a complaint </w:t>
      </w:r>
      <w:r>
        <w:rPr>
          <w:rFonts w:ascii="Times New Roman" w:hAnsi="Times New Roman"/>
          <w:sz w:val="24"/>
          <w:szCs w:val="24"/>
        </w:rPr>
        <w:t>and have it addressed through medical record review</w:t>
      </w:r>
      <w:r w:rsidRPr="00020576">
        <w:rPr>
          <w:rFonts w:ascii="Times New Roman" w:hAnsi="Times New Roman"/>
          <w:sz w:val="24"/>
          <w:szCs w:val="24"/>
        </w:rPr>
        <w:t xml:space="preserve"> </w:t>
      </w:r>
      <w:r>
        <w:rPr>
          <w:rFonts w:ascii="Times New Roman" w:hAnsi="Times New Roman"/>
          <w:sz w:val="24"/>
          <w:szCs w:val="24"/>
        </w:rPr>
        <w:t>(</w:t>
      </w:r>
      <w:r w:rsidRPr="00020576">
        <w:rPr>
          <w:rFonts w:ascii="Times New Roman" w:hAnsi="Times New Roman"/>
          <w:sz w:val="24"/>
          <w:szCs w:val="24"/>
        </w:rPr>
        <w:t>n=</w:t>
      </w:r>
      <w:r>
        <w:rPr>
          <w:rFonts w:ascii="Times New Roman" w:hAnsi="Times New Roman"/>
          <w:sz w:val="24"/>
          <w:szCs w:val="24"/>
        </w:rPr>
        <w:t>4,900</w:t>
      </w:r>
      <w:r w:rsidRPr="00020576">
        <w:rPr>
          <w:rFonts w:ascii="Times New Roman" w:hAnsi="Times New Roman"/>
          <w:sz w:val="24"/>
          <w:szCs w:val="24"/>
        </w:rPr>
        <w:t>)</w:t>
      </w:r>
      <w:r>
        <w:rPr>
          <w:rFonts w:ascii="Times New Roman" w:hAnsi="Times New Roman"/>
          <w:sz w:val="24"/>
          <w:szCs w:val="24"/>
        </w:rPr>
        <w:t>.</w:t>
      </w:r>
    </w:p>
    <w:p w14:paraId="13602934" w14:textId="77777777" w:rsidR="001253BE" w:rsidRDefault="001253BE" w:rsidP="001253BE">
      <w:pPr>
        <w:pStyle w:val="ListParagraph"/>
        <w:numPr>
          <w:ilvl w:val="1"/>
          <w:numId w:val="10"/>
        </w:numPr>
        <w:spacing w:after="0" w:line="240" w:lineRule="auto"/>
        <w:contextualSpacing w:val="0"/>
        <w:rPr>
          <w:rFonts w:ascii="Times New Roman" w:hAnsi="Times New Roman"/>
          <w:sz w:val="24"/>
          <w:szCs w:val="24"/>
        </w:rPr>
      </w:pPr>
      <w:r>
        <w:rPr>
          <w:rFonts w:ascii="Times New Roman" w:hAnsi="Times New Roman"/>
          <w:sz w:val="24"/>
          <w:szCs w:val="24"/>
        </w:rPr>
        <w:t xml:space="preserve">The survey will be administered </w:t>
      </w:r>
      <w:r w:rsidRPr="00020576">
        <w:rPr>
          <w:rFonts w:ascii="Times New Roman" w:hAnsi="Times New Roman"/>
          <w:sz w:val="24"/>
          <w:szCs w:val="24"/>
        </w:rPr>
        <w:t xml:space="preserve">to all (census) beneficiaries/representatives who file a complaint </w:t>
      </w:r>
      <w:r>
        <w:rPr>
          <w:rFonts w:ascii="Times New Roman" w:hAnsi="Times New Roman"/>
          <w:sz w:val="24"/>
          <w:szCs w:val="24"/>
        </w:rPr>
        <w:t>and have it addressed through immediate advocacy</w:t>
      </w:r>
      <w:r w:rsidRPr="00020576">
        <w:rPr>
          <w:rFonts w:ascii="Times New Roman" w:hAnsi="Times New Roman"/>
          <w:sz w:val="24"/>
          <w:szCs w:val="24"/>
        </w:rPr>
        <w:t xml:space="preserve"> </w:t>
      </w:r>
      <w:r>
        <w:rPr>
          <w:rFonts w:ascii="Times New Roman" w:hAnsi="Times New Roman"/>
          <w:sz w:val="24"/>
          <w:szCs w:val="24"/>
        </w:rPr>
        <w:t>(</w:t>
      </w:r>
      <w:r w:rsidRPr="00020576">
        <w:rPr>
          <w:rFonts w:ascii="Times New Roman" w:hAnsi="Times New Roman"/>
          <w:sz w:val="24"/>
          <w:szCs w:val="24"/>
        </w:rPr>
        <w:t>n=</w:t>
      </w:r>
      <w:r>
        <w:rPr>
          <w:rFonts w:ascii="Times New Roman" w:hAnsi="Times New Roman"/>
          <w:sz w:val="24"/>
          <w:szCs w:val="24"/>
        </w:rPr>
        <w:t>1,300</w:t>
      </w:r>
      <w:r w:rsidRPr="00020576">
        <w:rPr>
          <w:rFonts w:ascii="Times New Roman" w:hAnsi="Times New Roman"/>
          <w:sz w:val="24"/>
          <w:szCs w:val="24"/>
        </w:rPr>
        <w:t>)</w:t>
      </w:r>
      <w:r>
        <w:rPr>
          <w:rFonts w:ascii="Times New Roman" w:hAnsi="Times New Roman"/>
          <w:sz w:val="24"/>
          <w:szCs w:val="24"/>
        </w:rPr>
        <w:t>.</w:t>
      </w:r>
    </w:p>
    <w:p w14:paraId="6B197BA4" w14:textId="77777777" w:rsidR="001253BE" w:rsidRDefault="001253BE" w:rsidP="001253BE">
      <w:pPr>
        <w:pStyle w:val="ListParagraph"/>
        <w:numPr>
          <w:ilvl w:val="1"/>
          <w:numId w:val="10"/>
        </w:numPr>
        <w:spacing w:after="0" w:line="240" w:lineRule="auto"/>
        <w:contextualSpacing w:val="0"/>
        <w:rPr>
          <w:rFonts w:ascii="Times New Roman" w:hAnsi="Times New Roman"/>
          <w:sz w:val="24"/>
          <w:szCs w:val="24"/>
        </w:rPr>
      </w:pPr>
      <w:r>
        <w:rPr>
          <w:rFonts w:ascii="Times New Roman" w:hAnsi="Times New Roman"/>
          <w:sz w:val="24"/>
          <w:szCs w:val="24"/>
        </w:rPr>
        <w:t xml:space="preserve">The survey will be administered </w:t>
      </w:r>
      <w:r w:rsidRPr="00020576">
        <w:rPr>
          <w:rFonts w:ascii="Times New Roman" w:hAnsi="Times New Roman"/>
          <w:sz w:val="24"/>
          <w:szCs w:val="24"/>
        </w:rPr>
        <w:t xml:space="preserve">to </w:t>
      </w:r>
      <w:r>
        <w:rPr>
          <w:rFonts w:ascii="Times New Roman" w:hAnsi="Times New Roman"/>
          <w:sz w:val="24"/>
          <w:szCs w:val="24"/>
        </w:rPr>
        <w:t>a sample of</w:t>
      </w:r>
      <w:r w:rsidRPr="00020576">
        <w:rPr>
          <w:rFonts w:ascii="Times New Roman" w:hAnsi="Times New Roman"/>
          <w:sz w:val="24"/>
          <w:szCs w:val="24"/>
        </w:rPr>
        <w:t xml:space="preserve"> beneficiaries/representatives who file a</w:t>
      </w:r>
      <w:r>
        <w:rPr>
          <w:rFonts w:ascii="Times New Roman" w:hAnsi="Times New Roman"/>
          <w:sz w:val="24"/>
          <w:szCs w:val="24"/>
        </w:rPr>
        <w:t>n</w:t>
      </w:r>
      <w:r w:rsidRPr="00020576">
        <w:rPr>
          <w:rFonts w:ascii="Times New Roman" w:hAnsi="Times New Roman"/>
          <w:sz w:val="24"/>
          <w:szCs w:val="24"/>
        </w:rPr>
        <w:t xml:space="preserve"> </w:t>
      </w:r>
      <w:r>
        <w:rPr>
          <w:rFonts w:ascii="Times New Roman" w:hAnsi="Times New Roman"/>
          <w:sz w:val="24"/>
          <w:szCs w:val="24"/>
        </w:rPr>
        <w:t>appeal</w:t>
      </w:r>
      <w:r w:rsidRPr="00020576">
        <w:rPr>
          <w:rFonts w:ascii="Times New Roman" w:hAnsi="Times New Roman"/>
          <w:sz w:val="24"/>
          <w:szCs w:val="24"/>
        </w:rPr>
        <w:t xml:space="preserve"> </w:t>
      </w:r>
      <w:r>
        <w:rPr>
          <w:rFonts w:ascii="Times New Roman" w:hAnsi="Times New Roman"/>
          <w:sz w:val="24"/>
          <w:szCs w:val="24"/>
        </w:rPr>
        <w:t>(</w:t>
      </w:r>
      <w:r w:rsidRPr="00020576">
        <w:rPr>
          <w:rFonts w:ascii="Times New Roman" w:hAnsi="Times New Roman"/>
          <w:sz w:val="24"/>
          <w:szCs w:val="24"/>
        </w:rPr>
        <w:t>n=</w:t>
      </w:r>
      <w:r>
        <w:rPr>
          <w:rFonts w:ascii="Times New Roman" w:hAnsi="Times New Roman"/>
          <w:sz w:val="24"/>
          <w:szCs w:val="24"/>
        </w:rPr>
        <w:t>8,800</w:t>
      </w:r>
      <w:r w:rsidRPr="00020576">
        <w:rPr>
          <w:rFonts w:ascii="Times New Roman" w:hAnsi="Times New Roman"/>
          <w:sz w:val="24"/>
          <w:szCs w:val="24"/>
        </w:rPr>
        <w:t>)</w:t>
      </w:r>
      <w:r>
        <w:rPr>
          <w:rFonts w:ascii="Times New Roman" w:hAnsi="Times New Roman"/>
          <w:sz w:val="24"/>
          <w:szCs w:val="24"/>
        </w:rPr>
        <w:t>.</w:t>
      </w:r>
    </w:p>
    <w:p w14:paraId="4BA934EB" w14:textId="4FB12654" w:rsidR="001253BE" w:rsidRDefault="001253BE" w:rsidP="001253BE">
      <w:pPr>
        <w:pStyle w:val="ListParagraph"/>
        <w:spacing w:after="0" w:line="240" w:lineRule="auto"/>
        <w:ind w:left="1440"/>
        <w:contextualSpacing w:val="0"/>
        <w:rPr>
          <w:rFonts w:ascii="Times New Roman" w:hAnsi="Times New Roman"/>
          <w:sz w:val="24"/>
          <w:szCs w:val="24"/>
        </w:rPr>
      </w:pPr>
    </w:p>
    <w:p w14:paraId="5A1847DF" w14:textId="124F0406" w:rsidR="00B802FD" w:rsidRDefault="00B802FD" w:rsidP="00B802FD">
      <w:pPr>
        <w:pStyle w:val="ListParagraph"/>
        <w:spacing w:after="0" w:line="240" w:lineRule="auto"/>
        <w:ind w:left="810"/>
        <w:contextualSpacing w:val="0"/>
        <w:rPr>
          <w:rFonts w:ascii="Times New Roman" w:hAnsi="Times New Roman"/>
          <w:sz w:val="24"/>
          <w:szCs w:val="24"/>
        </w:rPr>
      </w:pPr>
      <w:r>
        <w:rPr>
          <w:rFonts w:ascii="Times New Roman" w:hAnsi="Times New Roman"/>
          <w:sz w:val="24"/>
          <w:szCs w:val="24"/>
        </w:rPr>
        <w:t xml:space="preserve">As described in Supporting Statement Part B, CMS intends to maintain a census of complaint cases including medical record review (annual </w:t>
      </w:r>
      <w:r w:rsidR="00DA2237">
        <w:rPr>
          <w:rFonts w:ascii="Times New Roman" w:hAnsi="Times New Roman"/>
          <w:sz w:val="24"/>
          <w:szCs w:val="24"/>
        </w:rPr>
        <w:t>n=</w:t>
      </w:r>
      <w:r>
        <w:rPr>
          <w:rFonts w:ascii="Times New Roman" w:hAnsi="Times New Roman"/>
          <w:sz w:val="24"/>
          <w:szCs w:val="24"/>
        </w:rPr>
        <w:t>4,900) and immediate advocacy (annual n=1,300) to ensure that sufficient data are collected to support analysis and reporting for each of the five Service Areas. A sample of appeals cases (annual n=8,800) will also be maintained to support analysis and reporting for the five Service Areas.</w:t>
      </w:r>
    </w:p>
    <w:p w14:paraId="59318236" w14:textId="77777777" w:rsidR="00B802FD" w:rsidRPr="00020576" w:rsidRDefault="00B802FD" w:rsidP="00B802FD">
      <w:pPr>
        <w:pStyle w:val="ListParagraph"/>
        <w:spacing w:after="0" w:line="240" w:lineRule="auto"/>
        <w:ind w:left="810"/>
        <w:contextualSpacing w:val="0"/>
        <w:rPr>
          <w:rFonts w:ascii="Times New Roman" w:hAnsi="Times New Roman"/>
          <w:sz w:val="24"/>
          <w:szCs w:val="24"/>
        </w:rPr>
      </w:pPr>
    </w:p>
    <w:p w14:paraId="355FFC67" w14:textId="2C083996" w:rsidR="001253BE" w:rsidRDefault="001253BE" w:rsidP="001253BE">
      <w:pPr>
        <w:pStyle w:val="ListParagraph"/>
        <w:numPr>
          <w:ilvl w:val="0"/>
          <w:numId w:val="10"/>
        </w:numPr>
        <w:spacing w:after="0" w:line="240" w:lineRule="auto"/>
        <w:contextualSpacing w:val="0"/>
        <w:rPr>
          <w:rFonts w:ascii="Times New Roman" w:hAnsi="Times New Roman"/>
          <w:sz w:val="24"/>
          <w:szCs w:val="24"/>
        </w:rPr>
      </w:pPr>
      <w:r w:rsidRPr="00392E02">
        <w:rPr>
          <w:rFonts w:ascii="Times New Roman" w:hAnsi="Times New Roman"/>
          <w:b/>
          <w:sz w:val="24"/>
          <w:szCs w:val="24"/>
          <w:u w:val="single"/>
        </w:rPr>
        <w:t>Direct Follow-up:</w:t>
      </w:r>
      <w:r w:rsidRPr="00392E02">
        <w:rPr>
          <w:rFonts w:ascii="Times New Roman" w:hAnsi="Times New Roman"/>
          <w:sz w:val="24"/>
          <w:szCs w:val="24"/>
        </w:rPr>
        <w:t xml:space="preserve"> Direct Follow-up calls </w:t>
      </w:r>
      <w:r w:rsidR="00B667D1">
        <w:rPr>
          <w:rFonts w:ascii="Times New Roman" w:hAnsi="Times New Roman"/>
          <w:sz w:val="24"/>
          <w:szCs w:val="24"/>
        </w:rPr>
        <w:t xml:space="preserve">(Attachment B) </w:t>
      </w:r>
      <w:r w:rsidRPr="00392E02">
        <w:rPr>
          <w:rFonts w:ascii="Times New Roman" w:hAnsi="Times New Roman"/>
          <w:sz w:val="24"/>
          <w:szCs w:val="24"/>
        </w:rPr>
        <w:t xml:space="preserve">will be made to a sample of beneficiaries/representatives who have contacted </w:t>
      </w:r>
      <w:r>
        <w:rPr>
          <w:rFonts w:ascii="Times New Roman" w:hAnsi="Times New Roman"/>
          <w:sz w:val="24"/>
          <w:szCs w:val="24"/>
        </w:rPr>
        <w:t>the</w:t>
      </w:r>
      <w:r w:rsidRPr="00392E02">
        <w:rPr>
          <w:rFonts w:ascii="Times New Roman" w:hAnsi="Times New Roman"/>
          <w:sz w:val="24"/>
          <w:szCs w:val="24"/>
        </w:rPr>
        <w:t xml:space="preserve"> BFCC QIO. This sample includes individuals who </w:t>
      </w:r>
      <w:r>
        <w:rPr>
          <w:rFonts w:ascii="Times New Roman" w:hAnsi="Times New Roman"/>
          <w:sz w:val="24"/>
          <w:szCs w:val="24"/>
        </w:rPr>
        <w:t>contacted the BFCC QIO help desk for any reason including those that did not result in the formal initiation of an appeal or complaint case</w:t>
      </w:r>
      <w:r w:rsidRPr="00392E02">
        <w:rPr>
          <w:rFonts w:ascii="Times New Roman" w:hAnsi="Times New Roman"/>
          <w:sz w:val="24"/>
          <w:szCs w:val="24"/>
        </w:rPr>
        <w:t xml:space="preserve">. This data collection will provide information about beneficiary experiences with the QIOs </w:t>
      </w:r>
      <w:r>
        <w:rPr>
          <w:rFonts w:ascii="Times New Roman" w:hAnsi="Times New Roman"/>
          <w:sz w:val="24"/>
          <w:szCs w:val="24"/>
        </w:rPr>
        <w:t>that extend beyond processing of complaint and appeal cases</w:t>
      </w:r>
      <w:r w:rsidRPr="00392E02">
        <w:rPr>
          <w:rFonts w:ascii="Times New Roman" w:hAnsi="Times New Roman"/>
          <w:sz w:val="24"/>
          <w:szCs w:val="24"/>
        </w:rPr>
        <w:t>. Administration time for Direct Follow-up is expected to last five minutes per respondent.</w:t>
      </w:r>
      <w:r w:rsidR="00EB03A8">
        <w:rPr>
          <w:rFonts w:ascii="Times New Roman" w:hAnsi="Times New Roman"/>
          <w:sz w:val="24"/>
          <w:szCs w:val="24"/>
        </w:rPr>
        <w:t xml:space="preserve">  Survey instructions can be found in Attachment F.</w:t>
      </w:r>
    </w:p>
    <w:p w14:paraId="3E62DDE0" w14:textId="77777777" w:rsidR="001253BE" w:rsidRDefault="001253BE" w:rsidP="001253BE">
      <w:pPr>
        <w:pStyle w:val="ListParagraph"/>
        <w:numPr>
          <w:ilvl w:val="1"/>
          <w:numId w:val="10"/>
        </w:numPr>
        <w:spacing w:after="0" w:line="240" w:lineRule="auto"/>
        <w:contextualSpacing w:val="0"/>
        <w:rPr>
          <w:rFonts w:ascii="Times New Roman" w:hAnsi="Times New Roman"/>
          <w:sz w:val="24"/>
          <w:szCs w:val="24"/>
        </w:rPr>
      </w:pPr>
      <w:r w:rsidRPr="00020576">
        <w:rPr>
          <w:rFonts w:ascii="Times New Roman" w:hAnsi="Times New Roman"/>
          <w:sz w:val="24"/>
          <w:szCs w:val="24"/>
        </w:rPr>
        <w:t xml:space="preserve">The survey will be administered to </w:t>
      </w:r>
      <w:r>
        <w:rPr>
          <w:rFonts w:ascii="Times New Roman" w:hAnsi="Times New Roman"/>
          <w:sz w:val="24"/>
          <w:szCs w:val="24"/>
        </w:rPr>
        <w:t>a sample of</w:t>
      </w:r>
      <w:r w:rsidRPr="00020576">
        <w:rPr>
          <w:rFonts w:ascii="Times New Roman" w:hAnsi="Times New Roman"/>
          <w:sz w:val="24"/>
          <w:szCs w:val="24"/>
        </w:rPr>
        <w:t xml:space="preserve"> beneficiaries/representatives who </w:t>
      </w:r>
      <w:r>
        <w:rPr>
          <w:rFonts w:ascii="Times New Roman" w:hAnsi="Times New Roman"/>
          <w:sz w:val="24"/>
          <w:szCs w:val="24"/>
        </w:rPr>
        <w:t>contact the BFCC QIO help desk for any reason.</w:t>
      </w:r>
      <w:r w:rsidRPr="00020576">
        <w:rPr>
          <w:rFonts w:ascii="Times New Roman" w:hAnsi="Times New Roman"/>
          <w:sz w:val="24"/>
          <w:szCs w:val="24"/>
        </w:rPr>
        <w:t xml:space="preserve"> </w:t>
      </w:r>
      <w:r>
        <w:rPr>
          <w:rFonts w:ascii="Times New Roman" w:hAnsi="Times New Roman"/>
          <w:sz w:val="24"/>
          <w:szCs w:val="24"/>
        </w:rPr>
        <w:t>(</w:t>
      </w:r>
      <w:r w:rsidRPr="00020576">
        <w:rPr>
          <w:rFonts w:ascii="Times New Roman" w:hAnsi="Times New Roman"/>
          <w:sz w:val="24"/>
          <w:szCs w:val="24"/>
        </w:rPr>
        <w:t>n=</w:t>
      </w:r>
      <w:r>
        <w:rPr>
          <w:rFonts w:ascii="Times New Roman" w:hAnsi="Times New Roman"/>
          <w:sz w:val="24"/>
          <w:szCs w:val="24"/>
        </w:rPr>
        <w:t>200</w:t>
      </w:r>
      <w:r w:rsidRPr="00020576">
        <w:rPr>
          <w:rFonts w:ascii="Times New Roman" w:hAnsi="Times New Roman"/>
          <w:sz w:val="24"/>
          <w:szCs w:val="24"/>
        </w:rPr>
        <w:t>)</w:t>
      </w:r>
      <w:r>
        <w:rPr>
          <w:rFonts w:ascii="Times New Roman" w:hAnsi="Times New Roman"/>
          <w:sz w:val="24"/>
          <w:szCs w:val="24"/>
        </w:rPr>
        <w:t>.</w:t>
      </w:r>
    </w:p>
    <w:p w14:paraId="71E6A7C6" w14:textId="77777777" w:rsidR="001253BE" w:rsidRPr="008E43EC" w:rsidRDefault="001253BE" w:rsidP="001253BE">
      <w:pPr>
        <w:pStyle w:val="ListParagraph"/>
        <w:spacing w:after="0" w:line="240" w:lineRule="auto"/>
        <w:rPr>
          <w:rFonts w:ascii="Times New Roman" w:hAnsi="Times New Roman"/>
          <w:sz w:val="24"/>
          <w:szCs w:val="24"/>
        </w:rPr>
      </w:pPr>
    </w:p>
    <w:p w14:paraId="38BF491F" w14:textId="653EACD0" w:rsidR="001253BE" w:rsidRDefault="001253BE" w:rsidP="001253BE">
      <w:pPr>
        <w:pStyle w:val="ListParagraph"/>
        <w:numPr>
          <w:ilvl w:val="0"/>
          <w:numId w:val="10"/>
        </w:numPr>
        <w:spacing w:after="0" w:line="240" w:lineRule="auto"/>
        <w:rPr>
          <w:rFonts w:ascii="Times New Roman" w:hAnsi="Times New Roman"/>
          <w:sz w:val="24"/>
          <w:szCs w:val="24"/>
        </w:rPr>
      </w:pPr>
      <w:r>
        <w:rPr>
          <w:rFonts w:ascii="Times New Roman" w:hAnsi="Times New Roman"/>
          <w:b/>
          <w:sz w:val="24"/>
          <w:szCs w:val="24"/>
          <w:u w:val="single"/>
        </w:rPr>
        <w:t xml:space="preserve">General </w:t>
      </w:r>
      <w:r w:rsidRPr="00392E02">
        <w:rPr>
          <w:rFonts w:ascii="Times New Roman" w:hAnsi="Times New Roman"/>
          <w:b/>
          <w:sz w:val="24"/>
          <w:szCs w:val="24"/>
          <w:u w:val="single"/>
        </w:rPr>
        <w:t xml:space="preserve">Feedback </w:t>
      </w:r>
      <w:r>
        <w:rPr>
          <w:rFonts w:ascii="Times New Roman" w:hAnsi="Times New Roman"/>
          <w:b/>
          <w:sz w:val="24"/>
          <w:szCs w:val="24"/>
          <w:u w:val="single"/>
        </w:rPr>
        <w:t>Web Survey</w:t>
      </w:r>
      <w:r w:rsidRPr="00392E02">
        <w:rPr>
          <w:rFonts w:ascii="Times New Roman" w:hAnsi="Times New Roman"/>
          <w:b/>
          <w:sz w:val="24"/>
          <w:szCs w:val="24"/>
          <w:u w:val="single"/>
        </w:rPr>
        <w:t>:</w:t>
      </w:r>
      <w:r w:rsidRPr="00392E02">
        <w:rPr>
          <w:rFonts w:ascii="Times New Roman" w:hAnsi="Times New Roman"/>
          <w:sz w:val="24"/>
          <w:szCs w:val="24"/>
        </w:rPr>
        <w:t xml:space="preserve"> </w:t>
      </w:r>
      <w:r>
        <w:rPr>
          <w:rFonts w:ascii="Times New Roman" w:hAnsi="Times New Roman"/>
          <w:sz w:val="24"/>
          <w:szCs w:val="24"/>
        </w:rPr>
        <w:t>All B</w:t>
      </w:r>
      <w:r w:rsidRPr="00392E02">
        <w:rPr>
          <w:rFonts w:ascii="Times New Roman" w:hAnsi="Times New Roman"/>
          <w:sz w:val="24"/>
          <w:szCs w:val="24"/>
        </w:rPr>
        <w:t>eneficiar</w:t>
      </w:r>
      <w:r>
        <w:rPr>
          <w:rFonts w:ascii="Times New Roman" w:hAnsi="Times New Roman"/>
          <w:sz w:val="24"/>
          <w:szCs w:val="24"/>
        </w:rPr>
        <w:t>ies</w:t>
      </w:r>
      <w:r w:rsidRPr="00392E02">
        <w:rPr>
          <w:rFonts w:ascii="Times New Roman" w:hAnsi="Times New Roman"/>
          <w:sz w:val="24"/>
          <w:szCs w:val="24"/>
        </w:rPr>
        <w:t>/representative</w:t>
      </w:r>
      <w:r>
        <w:rPr>
          <w:rFonts w:ascii="Times New Roman" w:hAnsi="Times New Roman"/>
          <w:sz w:val="24"/>
          <w:szCs w:val="24"/>
        </w:rPr>
        <w:t>s who file a complaint or appeal</w:t>
      </w:r>
      <w:r w:rsidRPr="00392E02">
        <w:rPr>
          <w:rFonts w:ascii="Times New Roman" w:hAnsi="Times New Roman"/>
          <w:sz w:val="24"/>
          <w:szCs w:val="24"/>
        </w:rPr>
        <w:t xml:space="preserve"> </w:t>
      </w:r>
      <w:r>
        <w:rPr>
          <w:rFonts w:ascii="Times New Roman" w:hAnsi="Times New Roman"/>
          <w:sz w:val="24"/>
          <w:szCs w:val="24"/>
        </w:rPr>
        <w:t xml:space="preserve">will be given </w:t>
      </w:r>
      <w:r w:rsidR="00021E03">
        <w:rPr>
          <w:rFonts w:ascii="Times New Roman" w:hAnsi="Times New Roman"/>
          <w:sz w:val="24"/>
          <w:szCs w:val="24"/>
        </w:rPr>
        <w:t xml:space="preserve">an </w:t>
      </w:r>
      <w:r>
        <w:rPr>
          <w:rFonts w:ascii="Times New Roman" w:hAnsi="Times New Roman"/>
          <w:sz w:val="24"/>
          <w:szCs w:val="24"/>
        </w:rPr>
        <w:t xml:space="preserve">opportunity </w:t>
      </w:r>
      <w:r w:rsidRPr="00392E02">
        <w:rPr>
          <w:rFonts w:ascii="Times New Roman" w:hAnsi="Times New Roman"/>
          <w:sz w:val="24"/>
          <w:szCs w:val="24"/>
        </w:rPr>
        <w:t>to provide feedback about their experiences with the appeal</w:t>
      </w:r>
      <w:r>
        <w:rPr>
          <w:rFonts w:ascii="Times New Roman" w:hAnsi="Times New Roman"/>
          <w:sz w:val="24"/>
          <w:szCs w:val="24"/>
        </w:rPr>
        <w:t>/complaint</w:t>
      </w:r>
      <w:r w:rsidRPr="00392E02">
        <w:rPr>
          <w:rFonts w:ascii="Times New Roman" w:hAnsi="Times New Roman"/>
          <w:sz w:val="24"/>
          <w:szCs w:val="24"/>
        </w:rPr>
        <w:t xml:space="preserve"> process. A </w:t>
      </w:r>
      <w:r>
        <w:rPr>
          <w:rFonts w:ascii="Times New Roman" w:hAnsi="Times New Roman"/>
          <w:sz w:val="24"/>
          <w:szCs w:val="24"/>
        </w:rPr>
        <w:t xml:space="preserve">link to a General Feedback Web Survey </w:t>
      </w:r>
      <w:r w:rsidR="00B667D1">
        <w:rPr>
          <w:rFonts w:ascii="Times New Roman" w:hAnsi="Times New Roman"/>
          <w:sz w:val="24"/>
          <w:szCs w:val="24"/>
        </w:rPr>
        <w:t xml:space="preserve">(Attachment C) </w:t>
      </w:r>
      <w:r w:rsidRPr="00392E02">
        <w:rPr>
          <w:rFonts w:ascii="Times New Roman" w:hAnsi="Times New Roman"/>
          <w:sz w:val="24"/>
          <w:szCs w:val="24"/>
        </w:rPr>
        <w:t>will be included with each case closure letter sent by the QIOs</w:t>
      </w:r>
      <w:r>
        <w:rPr>
          <w:rFonts w:ascii="Times New Roman" w:hAnsi="Times New Roman"/>
          <w:sz w:val="24"/>
          <w:szCs w:val="24"/>
        </w:rPr>
        <w:t>.</w:t>
      </w:r>
      <w:r w:rsidRPr="00392E02">
        <w:rPr>
          <w:rFonts w:ascii="Times New Roman" w:hAnsi="Times New Roman"/>
          <w:sz w:val="24"/>
          <w:szCs w:val="24"/>
        </w:rPr>
        <w:t xml:space="preserve"> We estimate that it will take no more than two minutes for respondents to complete the </w:t>
      </w:r>
      <w:r>
        <w:rPr>
          <w:rFonts w:ascii="Times New Roman" w:hAnsi="Times New Roman"/>
          <w:sz w:val="24"/>
          <w:szCs w:val="24"/>
        </w:rPr>
        <w:t xml:space="preserve">questions on the </w:t>
      </w:r>
      <w:r w:rsidR="00021E03">
        <w:rPr>
          <w:rFonts w:ascii="Times New Roman" w:hAnsi="Times New Roman"/>
          <w:sz w:val="24"/>
          <w:szCs w:val="24"/>
        </w:rPr>
        <w:t xml:space="preserve">General </w:t>
      </w:r>
      <w:r>
        <w:rPr>
          <w:rFonts w:ascii="Times New Roman" w:hAnsi="Times New Roman"/>
          <w:sz w:val="24"/>
          <w:szCs w:val="24"/>
        </w:rPr>
        <w:t>Feedback Web survey</w:t>
      </w:r>
      <w:r w:rsidRPr="00392E02">
        <w:rPr>
          <w:rFonts w:ascii="Times New Roman" w:hAnsi="Times New Roman"/>
          <w:sz w:val="24"/>
          <w:szCs w:val="24"/>
        </w:rPr>
        <w:t>.</w:t>
      </w:r>
      <w:r w:rsidR="00EB03A8">
        <w:rPr>
          <w:rFonts w:ascii="Times New Roman" w:hAnsi="Times New Roman"/>
          <w:sz w:val="24"/>
          <w:szCs w:val="24"/>
        </w:rPr>
        <w:t xml:space="preserve"> Survey instructions can be found in Attachment H.</w:t>
      </w:r>
    </w:p>
    <w:p w14:paraId="1D64FD36" w14:textId="7E87DB9A" w:rsidR="001253BE" w:rsidRDefault="001253BE" w:rsidP="001253BE">
      <w:pPr>
        <w:pStyle w:val="ListParagraph"/>
        <w:numPr>
          <w:ilvl w:val="1"/>
          <w:numId w:val="10"/>
        </w:numPr>
        <w:spacing w:after="0" w:line="240" w:lineRule="auto"/>
        <w:rPr>
          <w:rFonts w:ascii="Times New Roman" w:hAnsi="Times New Roman"/>
          <w:sz w:val="24"/>
          <w:szCs w:val="24"/>
        </w:rPr>
      </w:pPr>
      <w:r w:rsidRPr="00020576">
        <w:rPr>
          <w:rFonts w:ascii="Times New Roman" w:hAnsi="Times New Roman"/>
          <w:sz w:val="24"/>
          <w:szCs w:val="24"/>
        </w:rPr>
        <w:t xml:space="preserve">The </w:t>
      </w:r>
      <w:r>
        <w:rPr>
          <w:rFonts w:ascii="Times New Roman" w:hAnsi="Times New Roman"/>
          <w:sz w:val="24"/>
          <w:szCs w:val="24"/>
        </w:rPr>
        <w:t xml:space="preserve">General Feedback Web Survey link will be sent to all </w:t>
      </w:r>
      <w:r w:rsidRPr="00020576">
        <w:rPr>
          <w:rFonts w:ascii="Times New Roman" w:hAnsi="Times New Roman"/>
          <w:sz w:val="24"/>
          <w:szCs w:val="24"/>
        </w:rPr>
        <w:t>(census) beneficiaries/</w:t>
      </w:r>
      <w:r w:rsidR="00021E03">
        <w:rPr>
          <w:rFonts w:ascii="Times New Roman" w:hAnsi="Times New Roman"/>
          <w:sz w:val="24"/>
          <w:szCs w:val="24"/>
        </w:rPr>
        <w:t xml:space="preserve"> </w:t>
      </w:r>
      <w:r w:rsidRPr="00020576">
        <w:rPr>
          <w:rFonts w:ascii="Times New Roman" w:hAnsi="Times New Roman"/>
          <w:sz w:val="24"/>
          <w:szCs w:val="24"/>
        </w:rPr>
        <w:t>representatives who file a</w:t>
      </w:r>
      <w:r>
        <w:rPr>
          <w:rFonts w:ascii="Times New Roman" w:hAnsi="Times New Roman"/>
          <w:sz w:val="24"/>
          <w:szCs w:val="24"/>
        </w:rPr>
        <w:t xml:space="preserve"> complaint or an appeal (n=150,200).</w:t>
      </w:r>
    </w:p>
    <w:p w14:paraId="7B623DD8" w14:textId="77777777" w:rsidR="00890175" w:rsidRDefault="00890175" w:rsidP="000F5333">
      <w:pPr>
        <w:rPr>
          <w:szCs w:val="24"/>
        </w:rPr>
      </w:pPr>
    </w:p>
    <w:p w14:paraId="0FCBF0A2" w14:textId="77777777" w:rsidR="0079432F" w:rsidRDefault="0079432F" w:rsidP="000F5333">
      <w:pPr>
        <w:rPr>
          <w:szCs w:val="24"/>
        </w:rPr>
      </w:pPr>
    </w:p>
    <w:p w14:paraId="4061DFC5" w14:textId="77777777" w:rsidR="000F5333" w:rsidRPr="00972117" w:rsidRDefault="000F5333" w:rsidP="000F5333">
      <w:pPr>
        <w:pStyle w:val="Heading1"/>
        <w:ind w:left="360"/>
      </w:pPr>
      <w:r w:rsidRPr="00972117">
        <w:t>Justification</w:t>
      </w:r>
    </w:p>
    <w:p w14:paraId="05D26602" w14:textId="77777777" w:rsidR="000F5333" w:rsidRDefault="000F5333" w:rsidP="000F5333">
      <w:pPr>
        <w:pStyle w:val="BodyTextIndent"/>
        <w:ind w:left="720"/>
        <w:rPr>
          <w:sz w:val="24"/>
          <w:szCs w:val="24"/>
        </w:rPr>
      </w:pPr>
    </w:p>
    <w:p w14:paraId="739FFB3E" w14:textId="77777777" w:rsidR="000F5333" w:rsidRDefault="000F5333" w:rsidP="000F5333">
      <w:pPr>
        <w:pStyle w:val="BodyTextIndent"/>
        <w:numPr>
          <w:ilvl w:val="0"/>
          <w:numId w:val="22"/>
        </w:numPr>
        <w:rPr>
          <w:b/>
          <w:sz w:val="24"/>
          <w:szCs w:val="24"/>
        </w:rPr>
      </w:pPr>
      <w:r w:rsidRPr="00745B80">
        <w:rPr>
          <w:b/>
          <w:sz w:val="24"/>
          <w:szCs w:val="24"/>
        </w:rPr>
        <w:t>Need and Legal Basis</w:t>
      </w:r>
    </w:p>
    <w:p w14:paraId="5B767348" w14:textId="77777777" w:rsidR="000F5333" w:rsidRDefault="000F5333" w:rsidP="000F5333">
      <w:pPr>
        <w:pStyle w:val="BodyTextIndent"/>
        <w:ind w:left="720"/>
        <w:rPr>
          <w:b/>
          <w:sz w:val="24"/>
          <w:szCs w:val="24"/>
        </w:rPr>
      </w:pPr>
    </w:p>
    <w:p w14:paraId="6A317170" w14:textId="77777777" w:rsidR="000F5333" w:rsidRDefault="000F5333" w:rsidP="000F5333">
      <w:pPr>
        <w:rPr>
          <w:szCs w:val="24"/>
        </w:rPr>
      </w:pPr>
      <w:r w:rsidRPr="006703DD">
        <w:rPr>
          <w:szCs w:val="24"/>
        </w:rPr>
        <w:t xml:space="preserve">Section 1154 of the Social Security Act sets forth the functions of the Peer Review Organizations, including 1154 (a) (1) (B), determining whether the quality of health care services meets professionally recognized standards of health care. </w:t>
      </w:r>
      <w:r>
        <w:rPr>
          <w:szCs w:val="24"/>
        </w:rPr>
        <w:t xml:space="preserve">Relevant portions of this Act are included as Attachment D. </w:t>
      </w:r>
      <w:r w:rsidRPr="006703DD">
        <w:rPr>
          <w:szCs w:val="24"/>
        </w:rPr>
        <w:t>The statutory authority for the QIO Program</w:t>
      </w:r>
      <w:r w:rsidRPr="006703DD" w:rsidDel="001A7153">
        <w:rPr>
          <w:szCs w:val="24"/>
        </w:rPr>
        <w:t xml:space="preserve"> </w:t>
      </w:r>
      <w:r w:rsidRPr="006703DD">
        <w:rPr>
          <w:szCs w:val="24"/>
        </w:rPr>
        <w:t>is found in Part B of Title XI of the Social Security Act as amended by the Peer Review</w:t>
      </w:r>
      <w:r w:rsidRPr="00BE7242">
        <w:rPr>
          <w:szCs w:val="24"/>
        </w:rPr>
        <w:t xml:space="preserve"> Improvement Act of 1982 (P.L. 97-248, §§ 141-143, 96 Stat. 324)</w:t>
      </w:r>
      <w:r>
        <w:rPr>
          <w:szCs w:val="24"/>
        </w:rPr>
        <w:t>.</w:t>
      </w:r>
      <w:r w:rsidRPr="00BE7242">
        <w:rPr>
          <w:szCs w:val="24"/>
        </w:rPr>
        <w:t xml:space="preserve"> The Social Security Act established the Utilization and Quality Control Peer Review </w:t>
      </w:r>
      <w:r w:rsidRPr="00850D1B">
        <w:rPr>
          <w:szCs w:val="24"/>
        </w:rPr>
        <w:t>Organization Program, now known as the QIO Program. The Trade Adjustment Assistance Extension Act of 2011 (P.L. 112-40, § 261, 125 Stat. 401</w:t>
      </w:r>
      <w:r>
        <w:rPr>
          <w:szCs w:val="24"/>
        </w:rPr>
        <w:t>, included as Attachment D with pertinent sections highlighted</w:t>
      </w:r>
      <w:r w:rsidRPr="00850D1B">
        <w:rPr>
          <w:szCs w:val="24"/>
        </w:rPr>
        <w:t>) has since amended the provisions of the QIO program and requires QIOs to perform, subject to the terms of their contracts, activities that the Secretary of the Department of Health and Human Services (HHS) determines may be necessary for the purposes of improving the quality of care furnished to Medicare beneficiaries.</w:t>
      </w:r>
    </w:p>
    <w:p w14:paraId="05D9BF31" w14:textId="77777777" w:rsidR="000F5333" w:rsidRDefault="000F5333" w:rsidP="000F5333">
      <w:pPr>
        <w:rPr>
          <w:szCs w:val="24"/>
        </w:rPr>
      </w:pPr>
    </w:p>
    <w:p w14:paraId="0D8864B0" w14:textId="27EAEA9A" w:rsidR="000F5333" w:rsidRDefault="000F5333" w:rsidP="000F5333">
      <w:pPr>
        <w:rPr>
          <w:szCs w:val="24"/>
        </w:rPr>
      </w:pPr>
      <w:r w:rsidRPr="006703DD">
        <w:rPr>
          <w:szCs w:val="24"/>
        </w:rPr>
        <w:t>The BFCC ORC is responsible for providing oversight and review of QIO activities.</w:t>
      </w:r>
      <w:r>
        <w:rPr>
          <w:szCs w:val="24"/>
        </w:rPr>
        <w:t xml:space="preserve"> The </w:t>
      </w:r>
      <w:r w:rsidRPr="006703DD">
        <w:rPr>
          <w:szCs w:val="24"/>
        </w:rPr>
        <w:t>Beneficiary and Family Centered Data Collection</w:t>
      </w:r>
      <w:r>
        <w:rPr>
          <w:szCs w:val="24"/>
        </w:rPr>
        <w:t xml:space="preserve"> activities undertaken by the BFCC ORC will be one of the central mechanisms that CMS will use to assess the degree to which the QIOs are successfully performing the functions set forth in the Act and improving the quality of care furnished to Medicare Beneficiaries.</w:t>
      </w:r>
      <w:r w:rsidR="00B06A59">
        <w:rPr>
          <w:szCs w:val="24"/>
        </w:rPr>
        <w:t xml:space="preserve"> De-identified data and summary reports will be shared with CMS and the QIOs to support the </w:t>
      </w:r>
      <w:r w:rsidR="00932B1B">
        <w:rPr>
          <w:szCs w:val="24"/>
        </w:rPr>
        <w:t>program</w:t>
      </w:r>
      <w:r w:rsidR="00B06A59">
        <w:rPr>
          <w:szCs w:val="24"/>
        </w:rPr>
        <w:t xml:space="preserve"> mandate. Data and summary reports will not be made publicly available</w:t>
      </w:r>
      <w:r w:rsidR="00932B1B">
        <w:rPr>
          <w:szCs w:val="24"/>
        </w:rPr>
        <w:t xml:space="preserve"> as their purpose is to support program evaluation and internal quality improvement.</w:t>
      </w:r>
      <w:r w:rsidR="00B06A59">
        <w:rPr>
          <w:szCs w:val="24"/>
        </w:rPr>
        <w:t xml:space="preserve"> </w:t>
      </w:r>
    </w:p>
    <w:p w14:paraId="448B7C05" w14:textId="77777777" w:rsidR="000F5333" w:rsidRPr="00745B80" w:rsidRDefault="000F5333" w:rsidP="000F5333">
      <w:pPr>
        <w:pStyle w:val="BodyTextIndent"/>
        <w:ind w:left="720"/>
        <w:rPr>
          <w:b/>
          <w:sz w:val="24"/>
          <w:szCs w:val="24"/>
        </w:rPr>
      </w:pPr>
    </w:p>
    <w:p w14:paraId="36219B9E" w14:textId="77777777" w:rsidR="000F5333" w:rsidRPr="00745B80" w:rsidRDefault="000F5333" w:rsidP="000F5333">
      <w:pPr>
        <w:pStyle w:val="BodyText2"/>
        <w:numPr>
          <w:ilvl w:val="0"/>
          <w:numId w:val="22"/>
        </w:numPr>
        <w:rPr>
          <w:b/>
          <w:sz w:val="24"/>
          <w:szCs w:val="24"/>
        </w:rPr>
      </w:pPr>
      <w:r w:rsidRPr="00745B80">
        <w:rPr>
          <w:b/>
          <w:sz w:val="24"/>
          <w:szCs w:val="24"/>
        </w:rPr>
        <w:t>Information Users</w:t>
      </w:r>
    </w:p>
    <w:p w14:paraId="425BC108" w14:textId="77777777" w:rsidR="000F5333" w:rsidRPr="007C272C" w:rsidRDefault="000F5333" w:rsidP="000F5333">
      <w:pPr>
        <w:pStyle w:val="BodyText2"/>
        <w:rPr>
          <w:sz w:val="24"/>
          <w:szCs w:val="24"/>
        </w:rPr>
      </w:pPr>
    </w:p>
    <w:p w14:paraId="5509386E" w14:textId="77777777" w:rsidR="000F5333" w:rsidRDefault="000F5333" w:rsidP="000F5333">
      <w:pPr>
        <w:pStyle w:val="BodyText2"/>
        <w:rPr>
          <w:sz w:val="24"/>
          <w:szCs w:val="24"/>
        </w:rPr>
      </w:pPr>
      <w:r w:rsidRPr="007C272C">
        <w:rPr>
          <w:sz w:val="24"/>
          <w:szCs w:val="24"/>
        </w:rPr>
        <w:t xml:space="preserve">The information obtained using </w:t>
      </w:r>
      <w:r>
        <w:rPr>
          <w:sz w:val="24"/>
          <w:szCs w:val="24"/>
        </w:rPr>
        <w:t>the aforementioned data collection methods</w:t>
      </w:r>
      <w:r w:rsidRPr="007C272C">
        <w:rPr>
          <w:sz w:val="24"/>
          <w:szCs w:val="24"/>
        </w:rPr>
        <w:t xml:space="preserve"> will assist CMS in</w:t>
      </w:r>
      <w:r>
        <w:rPr>
          <w:sz w:val="24"/>
          <w:szCs w:val="24"/>
        </w:rPr>
        <w:t>:</w:t>
      </w:r>
    </w:p>
    <w:p w14:paraId="5DC6BCB6" w14:textId="77777777" w:rsidR="000F5333" w:rsidRDefault="000F5333" w:rsidP="000F5333">
      <w:pPr>
        <w:pStyle w:val="BodyText2"/>
        <w:rPr>
          <w:sz w:val="24"/>
          <w:szCs w:val="24"/>
        </w:rPr>
      </w:pPr>
    </w:p>
    <w:p w14:paraId="2C426969" w14:textId="77777777" w:rsidR="000F5333" w:rsidRDefault="000F5333" w:rsidP="000F5333">
      <w:pPr>
        <w:pStyle w:val="BodyText2"/>
        <w:numPr>
          <w:ilvl w:val="0"/>
          <w:numId w:val="25"/>
        </w:numPr>
        <w:rPr>
          <w:sz w:val="24"/>
          <w:szCs w:val="24"/>
        </w:rPr>
      </w:pPr>
      <w:r>
        <w:rPr>
          <w:sz w:val="24"/>
          <w:szCs w:val="24"/>
        </w:rPr>
        <w:t>E</w:t>
      </w:r>
      <w:r w:rsidRPr="007C272C">
        <w:rPr>
          <w:sz w:val="24"/>
          <w:szCs w:val="24"/>
        </w:rPr>
        <w:t>valuating the success of each QIO in meeting its contractual requirements</w:t>
      </w:r>
      <w:r>
        <w:rPr>
          <w:sz w:val="24"/>
          <w:szCs w:val="24"/>
        </w:rPr>
        <w:t>;</w:t>
      </w:r>
      <w:r w:rsidRPr="007C272C">
        <w:rPr>
          <w:sz w:val="24"/>
          <w:szCs w:val="24"/>
        </w:rPr>
        <w:t xml:space="preserve"> and </w:t>
      </w:r>
    </w:p>
    <w:p w14:paraId="0AD2AC14" w14:textId="77777777" w:rsidR="000F5333" w:rsidRDefault="000F5333" w:rsidP="000F5333">
      <w:pPr>
        <w:pStyle w:val="BodyText2"/>
        <w:numPr>
          <w:ilvl w:val="0"/>
          <w:numId w:val="25"/>
        </w:numPr>
        <w:rPr>
          <w:sz w:val="24"/>
          <w:szCs w:val="24"/>
        </w:rPr>
      </w:pPr>
      <w:r>
        <w:rPr>
          <w:sz w:val="24"/>
          <w:szCs w:val="24"/>
        </w:rPr>
        <w:t>Understanding the experience</w:t>
      </w:r>
      <w:r w:rsidRPr="007C272C">
        <w:rPr>
          <w:sz w:val="24"/>
          <w:szCs w:val="24"/>
        </w:rPr>
        <w:t xml:space="preserve"> of Medicare beneficiaries and/or their representative with QIO contract mandated work</w:t>
      </w:r>
      <w:r>
        <w:rPr>
          <w:sz w:val="24"/>
          <w:szCs w:val="24"/>
        </w:rPr>
        <w:t xml:space="preserve">. </w:t>
      </w:r>
    </w:p>
    <w:p w14:paraId="4F2020F4" w14:textId="77777777" w:rsidR="000F5333" w:rsidRDefault="000F5333" w:rsidP="000F5333">
      <w:pPr>
        <w:pStyle w:val="BodyText2"/>
        <w:rPr>
          <w:sz w:val="24"/>
          <w:szCs w:val="24"/>
        </w:rPr>
      </w:pPr>
    </w:p>
    <w:p w14:paraId="1E9D187E" w14:textId="77777777" w:rsidR="000F5333" w:rsidRDefault="000F5333" w:rsidP="000F5333">
      <w:pPr>
        <w:pStyle w:val="BodyText2"/>
        <w:rPr>
          <w:sz w:val="24"/>
          <w:szCs w:val="24"/>
        </w:rPr>
      </w:pPr>
      <w:r>
        <w:rPr>
          <w:sz w:val="24"/>
          <w:szCs w:val="24"/>
        </w:rPr>
        <w:t xml:space="preserve">Data from the existing CMS Medicare Beneficiary and Family Centered Satisfaction Survey are used to support immediate quality improvement initiatives and to refine QIO procedures for interacting with beneficiaries. Beneficiary experience data are also used as one component of QIO contract evaluation. </w:t>
      </w:r>
    </w:p>
    <w:p w14:paraId="0BC16A2D" w14:textId="77777777" w:rsidR="000F5333" w:rsidRDefault="000F5333" w:rsidP="000F5333">
      <w:pPr>
        <w:pStyle w:val="BodyText2"/>
        <w:rPr>
          <w:sz w:val="24"/>
          <w:szCs w:val="24"/>
        </w:rPr>
      </w:pPr>
    </w:p>
    <w:p w14:paraId="1612F001" w14:textId="77777777" w:rsidR="000F5333" w:rsidRDefault="000F5333" w:rsidP="000F5333">
      <w:pPr>
        <w:pStyle w:val="BodyText2"/>
        <w:rPr>
          <w:sz w:val="24"/>
          <w:szCs w:val="24"/>
        </w:rPr>
      </w:pPr>
      <w:r>
        <w:rPr>
          <w:sz w:val="24"/>
          <w:szCs w:val="24"/>
        </w:rPr>
        <w:t xml:space="preserve">The revised data collection approaches will allow CMS to capture beneficiary experience with a greater range of QIO interactions and over a longer period of time. This additional information will help CMS and QIOs refine the approaches to handling beneficiary complaints and appeals and will support revisions to the future QIO scopes of work. Data also will continue to support QIO contract evaluation. </w:t>
      </w:r>
      <w:r w:rsidRPr="007C272C">
        <w:rPr>
          <w:sz w:val="24"/>
          <w:szCs w:val="24"/>
        </w:rPr>
        <w:t xml:space="preserve">  </w:t>
      </w:r>
    </w:p>
    <w:p w14:paraId="6F8E1DEB" w14:textId="77777777" w:rsidR="000F5333" w:rsidRPr="007C272C" w:rsidRDefault="000F5333" w:rsidP="000F5333">
      <w:pPr>
        <w:pStyle w:val="BodyText2"/>
        <w:ind w:left="1080"/>
        <w:rPr>
          <w:sz w:val="24"/>
          <w:szCs w:val="24"/>
        </w:rPr>
      </w:pPr>
    </w:p>
    <w:p w14:paraId="3A1EAC1E" w14:textId="77777777" w:rsidR="000F5333" w:rsidRPr="00745B80" w:rsidRDefault="000F5333" w:rsidP="000F5333">
      <w:pPr>
        <w:pStyle w:val="BodyText2"/>
        <w:numPr>
          <w:ilvl w:val="0"/>
          <w:numId w:val="22"/>
        </w:numPr>
        <w:rPr>
          <w:b/>
          <w:sz w:val="24"/>
          <w:szCs w:val="24"/>
        </w:rPr>
      </w:pPr>
      <w:r w:rsidRPr="00745B80">
        <w:rPr>
          <w:b/>
          <w:sz w:val="24"/>
          <w:szCs w:val="24"/>
        </w:rPr>
        <w:t>Use of Information Technology</w:t>
      </w:r>
    </w:p>
    <w:p w14:paraId="45BDDC88" w14:textId="77777777" w:rsidR="000F5333" w:rsidRPr="007C272C" w:rsidRDefault="000F5333" w:rsidP="000F5333">
      <w:pPr>
        <w:pStyle w:val="BodyText2"/>
        <w:rPr>
          <w:sz w:val="24"/>
          <w:szCs w:val="24"/>
        </w:rPr>
      </w:pPr>
    </w:p>
    <w:p w14:paraId="1FC21AE2" w14:textId="77777777" w:rsidR="000F5333" w:rsidRDefault="000F5333" w:rsidP="000F5333">
      <w:pPr>
        <w:pStyle w:val="BodyText2"/>
        <w:rPr>
          <w:sz w:val="24"/>
          <w:szCs w:val="24"/>
        </w:rPr>
      </w:pPr>
      <w:r>
        <w:rPr>
          <w:sz w:val="24"/>
          <w:szCs w:val="24"/>
        </w:rPr>
        <w:t xml:space="preserve">Given that most Medicare beneficiaries are age 65 or older and the CMS records do not include email addresses for beneficiaries, the Experience Survey (Attachment A) and Direct Follow-up (Attachment B) initiatives will be conducted as telephone data collections. These information collections are not currently available electronically and do not require signatures from the respondents. </w:t>
      </w:r>
    </w:p>
    <w:p w14:paraId="748E22E5" w14:textId="77777777" w:rsidR="000F5333" w:rsidRPr="00020576" w:rsidRDefault="000F5333" w:rsidP="000F5333">
      <w:pPr>
        <w:pStyle w:val="BodyText2"/>
        <w:rPr>
          <w:sz w:val="24"/>
          <w:szCs w:val="24"/>
        </w:rPr>
      </w:pPr>
      <w:r>
        <w:rPr>
          <w:sz w:val="24"/>
          <w:szCs w:val="24"/>
        </w:rPr>
        <w:t xml:space="preserve"> </w:t>
      </w:r>
    </w:p>
    <w:p w14:paraId="0BDDA062" w14:textId="40787C43" w:rsidR="000F5333" w:rsidRDefault="000F5333" w:rsidP="000F5333">
      <w:pPr>
        <w:pStyle w:val="BodyText2"/>
        <w:rPr>
          <w:sz w:val="24"/>
          <w:szCs w:val="24"/>
        </w:rPr>
      </w:pPr>
      <w:r>
        <w:rPr>
          <w:sz w:val="24"/>
          <w:szCs w:val="24"/>
        </w:rPr>
        <w:t>The General Feedback Web Survey will use Website/internet technology to collect information from Medicare beneficiaries electronically. The URL/Web address for the General Feedback Web Survey will be printed on all case closure</w:t>
      </w:r>
      <w:r w:rsidR="00EB03A8">
        <w:rPr>
          <w:sz w:val="24"/>
          <w:szCs w:val="24"/>
        </w:rPr>
        <w:t>/disposition</w:t>
      </w:r>
      <w:r>
        <w:rPr>
          <w:sz w:val="24"/>
          <w:szCs w:val="24"/>
        </w:rPr>
        <w:t xml:space="preserve"> letters mailed to beneficiaries/ representatives. We understand that recent literature suggests it is challenging to “drive” people to a Web site from a hard copy letter; however, CMS sees this initiative as an efficient means to promote patient-centeredness by offering every beneficiary/representative an opportunity to voice their experience. </w:t>
      </w:r>
    </w:p>
    <w:p w14:paraId="505E8660" w14:textId="77777777" w:rsidR="000F5333" w:rsidRDefault="000F5333" w:rsidP="000F5333">
      <w:pPr>
        <w:pStyle w:val="BodyText2"/>
        <w:rPr>
          <w:sz w:val="24"/>
          <w:szCs w:val="24"/>
        </w:rPr>
      </w:pPr>
    </w:p>
    <w:p w14:paraId="5555E23F" w14:textId="77777777" w:rsidR="000F5333" w:rsidRPr="00745B80" w:rsidRDefault="000F5333" w:rsidP="000F5333">
      <w:pPr>
        <w:pStyle w:val="BodyText2"/>
        <w:numPr>
          <w:ilvl w:val="0"/>
          <w:numId w:val="22"/>
        </w:numPr>
        <w:rPr>
          <w:b/>
          <w:sz w:val="24"/>
          <w:szCs w:val="24"/>
        </w:rPr>
      </w:pPr>
      <w:r w:rsidRPr="00745B80">
        <w:rPr>
          <w:b/>
          <w:sz w:val="24"/>
          <w:szCs w:val="24"/>
        </w:rPr>
        <w:t xml:space="preserve">Duplication </w:t>
      </w:r>
      <w:r>
        <w:rPr>
          <w:b/>
          <w:sz w:val="24"/>
          <w:szCs w:val="24"/>
        </w:rPr>
        <w:t>of Efforts</w:t>
      </w:r>
    </w:p>
    <w:p w14:paraId="5AD56EC4" w14:textId="77777777" w:rsidR="000F5333" w:rsidRPr="007C272C" w:rsidRDefault="000F5333" w:rsidP="000F5333">
      <w:pPr>
        <w:pStyle w:val="BodyText2"/>
        <w:rPr>
          <w:sz w:val="24"/>
          <w:szCs w:val="24"/>
        </w:rPr>
      </w:pPr>
    </w:p>
    <w:p w14:paraId="490733EA" w14:textId="77777777" w:rsidR="000F5333" w:rsidRDefault="000F5333" w:rsidP="000F5333">
      <w:pPr>
        <w:pStyle w:val="BodyText2"/>
        <w:rPr>
          <w:sz w:val="24"/>
          <w:szCs w:val="24"/>
        </w:rPr>
      </w:pPr>
      <w:r>
        <w:rPr>
          <w:sz w:val="24"/>
          <w:szCs w:val="24"/>
        </w:rPr>
        <w:t xml:space="preserve">This information collection does not duplicate any other effort and the information cannot be obtained from any other source. </w:t>
      </w:r>
    </w:p>
    <w:p w14:paraId="345F6243" w14:textId="77777777" w:rsidR="000F5333" w:rsidRPr="007C272C" w:rsidRDefault="000F5333" w:rsidP="000F5333">
      <w:pPr>
        <w:pStyle w:val="BodyText2"/>
        <w:ind w:left="1080"/>
        <w:rPr>
          <w:sz w:val="24"/>
          <w:szCs w:val="24"/>
        </w:rPr>
      </w:pPr>
    </w:p>
    <w:p w14:paraId="4A497E67" w14:textId="77777777" w:rsidR="000F5333" w:rsidRPr="00745B80" w:rsidRDefault="000F5333" w:rsidP="000F5333">
      <w:pPr>
        <w:pStyle w:val="BodyText2"/>
        <w:numPr>
          <w:ilvl w:val="0"/>
          <w:numId w:val="22"/>
        </w:numPr>
        <w:rPr>
          <w:b/>
          <w:sz w:val="24"/>
          <w:szCs w:val="24"/>
        </w:rPr>
      </w:pPr>
      <w:r w:rsidRPr="00745B80">
        <w:rPr>
          <w:b/>
          <w:sz w:val="24"/>
          <w:szCs w:val="24"/>
        </w:rPr>
        <w:t>Small Business</w:t>
      </w:r>
      <w:r>
        <w:rPr>
          <w:b/>
          <w:sz w:val="24"/>
          <w:szCs w:val="24"/>
        </w:rPr>
        <w:t>es</w:t>
      </w:r>
    </w:p>
    <w:p w14:paraId="00831C00" w14:textId="77777777" w:rsidR="000F5333" w:rsidRPr="007C272C" w:rsidRDefault="000F5333" w:rsidP="000F5333">
      <w:pPr>
        <w:pStyle w:val="BodyText2"/>
        <w:rPr>
          <w:sz w:val="24"/>
          <w:szCs w:val="24"/>
        </w:rPr>
      </w:pPr>
    </w:p>
    <w:p w14:paraId="40D5D2AA" w14:textId="77777777" w:rsidR="000F5333" w:rsidRPr="007C272C" w:rsidRDefault="000F5333" w:rsidP="000F5333">
      <w:pPr>
        <w:pStyle w:val="BodyText2"/>
        <w:rPr>
          <w:sz w:val="24"/>
          <w:szCs w:val="24"/>
        </w:rPr>
      </w:pPr>
      <w:r w:rsidRPr="007C272C">
        <w:rPr>
          <w:sz w:val="24"/>
          <w:szCs w:val="24"/>
        </w:rPr>
        <w:t>These requirements affect only individuals and households</w:t>
      </w:r>
      <w:r>
        <w:rPr>
          <w:sz w:val="24"/>
          <w:szCs w:val="24"/>
        </w:rPr>
        <w:t xml:space="preserve">. </w:t>
      </w:r>
      <w:r w:rsidRPr="007C272C">
        <w:rPr>
          <w:sz w:val="24"/>
          <w:szCs w:val="24"/>
        </w:rPr>
        <w:t>Therefore, there is no economic impact on small businesses.</w:t>
      </w:r>
    </w:p>
    <w:p w14:paraId="65FF931B" w14:textId="77777777" w:rsidR="000F5333" w:rsidRPr="007C272C" w:rsidRDefault="000F5333" w:rsidP="000F5333">
      <w:pPr>
        <w:pStyle w:val="BodyText2"/>
        <w:ind w:left="1080"/>
        <w:rPr>
          <w:sz w:val="24"/>
          <w:szCs w:val="24"/>
        </w:rPr>
      </w:pPr>
    </w:p>
    <w:p w14:paraId="18BB65D4" w14:textId="77777777" w:rsidR="000F5333" w:rsidRPr="00745B80" w:rsidRDefault="000F5333" w:rsidP="000F5333">
      <w:pPr>
        <w:pStyle w:val="BodyText2"/>
        <w:numPr>
          <w:ilvl w:val="0"/>
          <w:numId w:val="22"/>
        </w:numPr>
        <w:rPr>
          <w:b/>
          <w:sz w:val="24"/>
          <w:szCs w:val="24"/>
        </w:rPr>
      </w:pPr>
      <w:r w:rsidRPr="00745B80">
        <w:rPr>
          <w:b/>
          <w:sz w:val="24"/>
          <w:szCs w:val="24"/>
        </w:rPr>
        <w:t>Less Frequent Collection</w:t>
      </w:r>
    </w:p>
    <w:p w14:paraId="683E2285" w14:textId="77777777" w:rsidR="000F5333" w:rsidRPr="007C272C" w:rsidRDefault="000F5333" w:rsidP="000F5333">
      <w:pPr>
        <w:pStyle w:val="BodyText2"/>
        <w:rPr>
          <w:sz w:val="24"/>
          <w:szCs w:val="24"/>
        </w:rPr>
      </w:pPr>
    </w:p>
    <w:p w14:paraId="32BF4479" w14:textId="77777777" w:rsidR="000F5333" w:rsidRPr="007C272C" w:rsidRDefault="000F5333" w:rsidP="000F5333">
      <w:pPr>
        <w:pStyle w:val="BodyText2"/>
        <w:rPr>
          <w:sz w:val="24"/>
          <w:szCs w:val="24"/>
        </w:rPr>
      </w:pPr>
      <w:r w:rsidRPr="007C272C">
        <w:rPr>
          <w:sz w:val="24"/>
          <w:szCs w:val="24"/>
        </w:rPr>
        <w:t>These information requirements are collected on an as-needed basis</w:t>
      </w:r>
      <w:r>
        <w:rPr>
          <w:sz w:val="24"/>
          <w:szCs w:val="24"/>
        </w:rPr>
        <w:t xml:space="preserve"> to support QIO contract evaluation during the current Scope of Work. Failure to collect this information would hinder quality improvement activities within the QIOs and would inhibit CMS’ ability to measure patient experience for QIO contract evaluation as indicated in the current QIO SOW.</w:t>
      </w:r>
    </w:p>
    <w:p w14:paraId="6EB2AEF8" w14:textId="77777777" w:rsidR="000F5333" w:rsidRPr="007C272C" w:rsidRDefault="000F5333" w:rsidP="000F5333">
      <w:pPr>
        <w:pStyle w:val="BodyText2"/>
        <w:ind w:left="1080"/>
        <w:rPr>
          <w:sz w:val="24"/>
          <w:szCs w:val="24"/>
        </w:rPr>
      </w:pPr>
    </w:p>
    <w:p w14:paraId="57EF5834" w14:textId="77777777" w:rsidR="000F5333" w:rsidRPr="00745B80" w:rsidRDefault="000F5333" w:rsidP="000F5333">
      <w:pPr>
        <w:pStyle w:val="BodyText2"/>
        <w:numPr>
          <w:ilvl w:val="0"/>
          <w:numId w:val="22"/>
        </w:numPr>
        <w:rPr>
          <w:b/>
          <w:sz w:val="24"/>
          <w:szCs w:val="24"/>
        </w:rPr>
      </w:pPr>
      <w:r w:rsidRPr="00745B80">
        <w:rPr>
          <w:b/>
          <w:sz w:val="24"/>
          <w:szCs w:val="24"/>
        </w:rPr>
        <w:t>Special Circumstances</w:t>
      </w:r>
    </w:p>
    <w:p w14:paraId="1417A354" w14:textId="77777777" w:rsidR="000F5333" w:rsidRPr="007C272C" w:rsidRDefault="000F5333" w:rsidP="000F5333">
      <w:pPr>
        <w:pStyle w:val="BodyText2"/>
        <w:rPr>
          <w:sz w:val="24"/>
          <w:szCs w:val="24"/>
        </w:rPr>
      </w:pPr>
    </w:p>
    <w:p w14:paraId="69E17839" w14:textId="77777777" w:rsidR="000F5333" w:rsidRPr="007C272C" w:rsidRDefault="000F5333" w:rsidP="000F5333">
      <w:pPr>
        <w:pStyle w:val="BodyText2"/>
        <w:rPr>
          <w:sz w:val="24"/>
          <w:szCs w:val="24"/>
        </w:rPr>
      </w:pPr>
      <w:r w:rsidRPr="007C272C">
        <w:rPr>
          <w:sz w:val="24"/>
          <w:szCs w:val="24"/>
        </w:rPr>
        <w:t>There are no special circumstances associated with this collection</w:t>
      </w:r>
      <w:r>
        <w:rPr>
          <w:sz w:val="24"/>
          <w:szCs w:val="24"/>
        </w:rPr>
        <w:t xml:space="preserve">. </w:t>
      </w:r>
    </w:p>
    <w:p w14:paraId="09CE1114" w14:textId="77777777" w:rsidR="000F5333" w:rsidRDefault="000F5333" w:rsidP="000F5333">
      <w:pPr>
        <w:pStyle w:val="BodyText2"/>
        <w:rPr>
          <w:sz w:val="24"/>
          <w:szCs w:val="24"/>
        </w:rPr>
      </w:pPr>
    </w:p>
    <w:p w14:paraId="4171F519" w14:textId="77777777" w:rsidR="000F5333" w:rsidRDefault="000F5333" w:rsidP="000F5333">
      <w:pPr>
        <w:pStyle w:val="BodyText2"/>
        <w:rPr>
          <w:sz w:val="24"/>
          <w:szCs w:val="24"/>
        </w:rPr>
      </w:pPr>
    </w:p>
    <w:p w14:paraId="4BD488D6" w14:textId="77777777" w:rsidR="000F5333" w:rsidRPr="00745B80" w:rsidRDefault="000F5333" w:rsidP="000F5333">
      <w:pPr>
        <w:pStyle w:val="BodyText2"/>
        <w:numPr>
          <w:ilvl w:val="0"/>
          <w:numId w:val="22"/>
        </w:numPr>
        <w:rPr>
          <w:b/>
          <w:sz w:val="24"/>
          <w:szCs w:val="24"/>
        </w:rPr>
      </w:pPr>
      <w:r w:rsidRPr="00745B80">
        <w:rPr>
          <w:b/>
          <w:sz w:val="24"/>
          <w:szCs w:val="24"/>
        </w:rPr>
        <w:t>Federal Register</w:t>
      </w:r>
      <w:r>
        <w:rPr>
          <w:b/>
          <w:sz w:val="24"/>
          <w:szCs w:val="24"/>
        </w:rPr>
        <w:t>/</w:t>
      </w:r>
      <w:r w:rsidRPr="00745B80">
        <w:rPr>
          <w:b/>
          <w:sz w:val="24"/>
          <w:szCs w:val="24"/>
        </w:rPr>
        <w:t>Outside Consultation</w:t>
      </w:r>
    </w:p>
    <w:p w14:paraId="339261E5" w14:textId="77777777" w:rsidR="000F5333" w:rsidRPr="007C272C" w:rsidRDefault="000F5333" w:rsidP="000F5333">
      <w:pPr>
        <w:pStyle w:val="BodyText2"/>
        <w:rPr>
          <w:sz w:val="24"/>
          <w:szCs w:val="24"/>
        </w:rPr>
      </w:pPr>
    </w:p>
    <w:p w14:paraId="0498F1C0" w14:textId="54792D11" w:rsidR="00EB03A8" w:rsidRDefault="000F5333" w:rsidP="000F5333">
      <w:pPr>
        <w:pStyle w:val="BodyText2"/>
        <w:rPr>
          <w:sz w:val="24"/>
          <w:szCs w:val="24"/>
        </w:rPr>
      </w:pPr>
      <w:r w:rsidRPr="007C272C">
        <w:rPr>
          <w:sz w:val="24"/>
          <w:szCs w:val="24"/>
        </w:rPr>
        <w:t>The 60-day Federal Register notice was published on</w:t>
      </w:r>
      <w:r>
        <w:rPr>
          <w:sz w:val="24"/>
          <w:szCs w:val="24"/>
        </w:rPr>
        <w:t xml:space="preserve"> </w:t>
      </w:r>
      <w:r w:rsidR="00495D4B">
        <w:rPr>
          <w:sz w:val="24"/>
          <w:szCs w:val="24"/>
        </w:rPr>
        <w:t>April 14, 2017 (82 FR 17997).  There were no comments received.  The 30-day notice published on June 30, 2017 (82 FR 29864)</w:t>
      </w:r>
    </w:p>
    <w:p w14:paraId="67212EFA" w14:textId="77777777" w:rsidR="000F5333" w:rsidRPr="007C272C" w:rsidRDefault="000F5333" w:rsidP="000F5333">
      <w:pPr>
        <w:pStyle w:val="BodyText2"/>
        <w:rPr>
          <w:sz w:val="24"/>
          <w:szCs w:val="24"/>
        </w:rPr>
      </w:pPr>
    </w:p>
    <w:p w14:paraId="418C2DD2" w14:textId="77777777" w:rsidR="000F5333" w:rsidRPr="007C272C" w:rsidRDefault="000F5333" w:rsidP="000F5333">
      <w:pPr>
        <w:pStyle w:val="SL-FlLftSgl"/>
        <w:rPr>
          <w:szCs w:val="24"/>
        </w:rPr>
      </w:pPr>
      <w:r>
        <w:rPr>
          <w:szCs w:val="24"/>
        </w:rPr>
        <w:t>To ensure that the data collected would be of greatest value to the organizations who are primarily tasked with using the information, CMS sought input from the BFCC QIOs, and the BFCC National Coordinating Center (NCC) who represent the QIOs as well as the Beneficiary and Family Advisory Council</w:t>
      </w:r>
      <w:r w:rsidRPr="007C272C">
        <w:rPr>
          <w:szCs w:val="24"/>
        </w:rPr>
        <w:t xml:space="preserve">. </w:t>
      </w:r>
    </w:p>
    <w:p w14:paraId="39C6AD3A" w14:textId="77777777" w:rsidR="000F5333" w:rsidRPr="007C272C" w:rsidRDefault="000F5333" w:rsidP="000F5333">
      <w:pPr>
        <w:pStyle w:val="SL-FlLftSgl"/>
        <w:rPr>
          <w:szCs w:val="24"/>
        </w:rPr>
      </w:pPr>
    </w:p>
    <w:p w14:paraId="15F05F0B" w14:textId="77777777" w:rsidR="000F5333" w:rsidRPr="001D7890" w:rsidRDefault="000F5333" w:rsidP="000F5333">
      <w:pPr>
        <w:pStyle w:val="SL-FlLftSgl"/>
        <w:rPr>
          <w:b/>
          <w:szCs w:val="24"/>
        </w:rPr>
      </w:pPr>
      <w:r w:rsidRPr="008633C0">
        <w:rPr>
          <w:b/>
        </w:rPr>
        <w:t>Exhibit 1</w:t>
      </w:r>
      <w:r w:rsidRPr="001D7890">
        <w:rPr>
          <w:b/>
          <w:szCs w:val="24"/>
        </w:rPr>
        <w:t>: Survey development consultants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2003"/>
        <w:gridCol w:w="4161"/>
      </w:tblGrid>
      <w:tr w:rsidR="000F5333" w:rsidRPr="007C272C" w14:paraId="5C91EFEF" w14:textId="77777777" w:rsidTr="001F733C">
        <w:trPr>
          <w:tblHeader/>
        </w:trPr>
        <w:tc>
          <w:tcPr>
            <w:tcW w:w="2767" w:type="dxa"/>
            <w:shd w:val="clear" w:color="auto" w:fill="auto"/>
            <w:vAlign w:val="bottom"/>
          </w:tcPr>
          <w:p w14:paraId="417ADBB9" w14:textId="77777777" w:rsidR="000F5333" w:rsidRPr="007C272C" w:rsidRDefault="000F5333" w:rsidP="001F733C">
            <w:pPr>
              <w:pStyle w:val="SL-FlLftSgl"/>
              <w:spacing w:line="240" w:lineRule="auto"/>
              <w:jc w:val="center"/>
              <w:rPr>
                <w:b/>
                <w:szCs w:val="24"/>
              </w:rPr>
            </w:pPr>
            <w:r w:rsidRPr="007C272C">
              <w:rPr>
                <w:b/>
                <w:szCs w:val="24"/>
              </w:rPr>
              <w:t>Organization</w:t>
            </w:r>
          </w:p>
        </w:tc>
        <w:tc>
          <w:tcPr>
            <w:tcW w:w="2003" w:type="dxa"/>
            <w:shd w:val="clear" w:color="auto" w:fill="auto"/>
            <w:vAlign w:val="bottom"/>
          </w:tcPr>
          <w:p w14:paraId="214C20ED" w14:textId="77777777" w:rsidR="000F5333" w:rsidRPr="007C272C" w:rsidRDefault="000F5333" w:rsidP="001F733C">
            <w:pPr>
              <w:pStyle w:val="SL-FlLftSgl"/>
              <w:spacing w:line="240" w:lineRule="auto"/>
              <w:jc w:val="center"/>
              <w:rPr>
                <w:b/>
                <w:szCs w:val="24"/>
              </w:rPr>
            </w:pPr>
            <w:r w:rsidRPr="007C272C">
              <w:rPr>
                <w:b/>
                <w:szCs w:val="24"/>
              </w:rPr>
              <w:t>Name</w:t>
            </w:r>
          </w:p>
        </w:tc>
        <w:tc>
          <w:tcPr>
            <w:tcW w:w="4161" w:type="dxa"/>
            <w:shd w:val="clear" w:color="auto" w:fill="auto"/>
            <w:vAlign w:val="bottom"/>
          </w:tcPr>
          <w:p w14:paraId="0097D9FA" w14:textId="77777777" w:rsidR="000F5333" w:rsidRPr="007C272C" w:rsidRDefault="000F5333" w:rsidP="001F733C">
            <w:pPr>
              <w:pStyle w:val="SL-FlLftSgl"/>
              <w:spacing w:line="240" w:lineRule="auto"/>
              <w:jc w:val="center"/>
              <w:rPr>
                <w:b/>
                <w:szCs w:val="24"/>
              </w:rPr>
            </w:pPr>
            <w:r w:rsidRPr="007C272C">
              <w:rPr>
                <w:b/>
                <w:szCs w:val="24"/>
              </w:rPr>
              <w:t>Contact Information</w:t>
            </w:r>
          </w:p>
        </w:tc>
      </w:tr>
      <w:tr w:rsidR="000F5333" w:rsidRPr="007C272C" w14:paraId="18617992" w14:textId="77777777" w:rsidTr="001F733C">
        <w:tc>
          <w:tcPr>
            <w:tcW w:w="2767" w:type="dxa"/>
            <w:shd w:val="clear" w:color="auto" w:fill="auto"/>
          </w:tcPr>
          <w:p w14:paraId="65AE92CB" w14:textId="77777777" w:rsidR="000F5333" w:rsidRPr="007C272C" w:rsidRDefault="000F5333" w:rsidP="001F733C">
            <w:pPr>
              <w:pStyle w:val="SL-FlLftSgl"/>
              <w:spacing w:line="240" w:lineRule="auto"/>
              <w:rPr>
                <w:szCs w:val="24"/>
                <w:highlight w:val="yellow"/>
              </w:rPr>
            </w:pPr>
            <w:r>
              <w:rPr>
                <w:szCs w:val="24"/>
              </w:rPr>
              <w:t>Livanta (BFCC-QIO Areas 1 and 5)</w:t>
            </w:r>
          </w:p>
        </w:tc>
        <w:tc>
          <w:tcPr>
            <w:tcW w:w="2003" w:type="dxa"/>
            <w:shd w:val="clear" w:color="auto" w:fill="auto"/>
          </w:tcPr>
          <w:p w14:paraId="75425B6C" w14:textId="77777777" w:rsidR="000F5333" w:rsidRPr="007C272C" w:rsidRDefault="000F5333" w:rsidP="001F733C">
            <w:pPr>
              <w:pStyle w:val="SL-FlLftSgl"/>
              <w:spacing w:line="240" w:lineRule="auto"/>
              <w:rPr>
                <w:szCs w:val="24"/>
              </w:rPr>
            </w:pPr>
            <w:r>
              <w:rPr>
                <w:szCs w:val="24"/>
              </w:rPr>
              <w:t>Lance Coss</w:t>
            </w:r>
          </w:p>
        </w:tc>
        <w:tc>
          <w:tcPr>
            <w:tcW w:w="4161" w:type="dxa"/>
            <w:shd w:val="clear" w:color="auto" w:fill="auto"/>
          </w:tcPr>
          <w:p w14:paraId="0DBA2ABC" w14:textId="77777777" w:rsidR="000F5333" w:rsidRDefault="000F5333" w:rsidP="001F733C">
            <w:pPr>
              <w:pStyle w:val="SL-FlLftSgl"/>
              <w:spacing w:line="240" w:lineRule="auto"/>
              <w:rPr>
                <w:szCs w:val="24"/>
              </w:rPr>
            </w:pPr>
            <w:r>
              <w:rPr>
                <w:szCs w:val="24"/>
              </w:rPr>
              <w:t>702-749-0601</w:t>
            </w:r>
          </w:p>
          <w:p w14:paraId="3A06225F" w14:textId="77777777" w:rsidR="000F5333" w:rsidRPr="007C272C" w:rsidRDefault="00D67DDE" w:rsidP="001F733C">
            <w:pPr>
              <w:pStyle w:val="SL-FlLftSgl"/>
              <w:spacing w:line="240" w:lineRule="auto"/>
              <w:rPr>
                <w:szCs w:val="24"/>
              </w:rPr>
            </w:pPr>
            <w:hyperlink r:id="rId10" w:history="1">
              <w:r w:rsidR="000F5333" w:rsidRPr="003976B3">
                <w:rPr>
                  <w:rStyle w:val="Hyperlink"/>
                  <w:szCs w:val="24"/>
                </w:rPr>
                <w:t>lcoss@livanta.com</w:t>
              </w:r>
            </w:hyperlink>
            <w:r w:rsidR="000F5333">
              <w:rPr>
                <w:szCs w:val="24"/>
              </w:rPr>
              <w:t xml:space="preserve"> </w:t>
            </w:r>
          </w:p>
        </w:tc>
      </w:tr>
      <w:tr w:rsidR="000F5333" w:rsidRPr="007C272C" w14:paraId="7E6415AF" w14:textId="77777777" w:rsidTr="001F733C">
        <w:tc>
          <w:tcPr>
            <w:tcW w:w="2767" w:type="dxa"/>
            <w:vMerge w:val="restart"/>
            <w:shd w:val="clear" w:color="auto" w:fill="auto"/>
          </w:tcPr>
          <w:p w14:paraId="6E818E75" w14:textId="77777777" w:rsidR="000F5333" w:rsidRPr="00DC270B" w:rsidRDefault="000F5333" w:rsidP="001F733C">
            <w:pPr>
              <w:pStyle w:val="SL-FlLftSgl"/>
              <w:spacing w:line="240" w:lineRule="auto"/>
              <w:rPr>
                <w:szCs w:val="24"/>
              </w:rPr>
            </w:pPr>
            <w:r w:rsidRPr="00DC270B">
              <w:rPr>
                <w:szCs w:val="24"/>
              </w:rPr>
              <w:t>KEPRO (BFCC-QIO Areas 2,3 &amp; 4)</w:t>
            </w:r>
          </w:p>
        </w:tc>
        <w:tc>
          <w:tcPr>
            <w:tcW w:w="2003" w:type="dxa"/>
            <w:shd w:val="clear" w:color="auto" w:fill="auto"/>
          </w:tcPr>
          <w:p w14:paraId="7B431616" w14:textId="77777777" w:rsidR="000F5333" w:rsidRDefault="000F5333" w:rsidP="001F733C">
            <w:pPr>
              <w:pStyle w:val="SL-FlLftSgl"/>
              <w:spacing w:line="240" w:lineRule="auto"/>
              <w:rPr>
                <w:szCs w:val="24"/>
              </w:rPr>
            </w:pPr>
            <w:r>
              <w:rPr>
                <w:szCs w:val="24"/>
              </w:rPr>
              <w:t>Gayle Smith</w:t>
            </w:r>
          </w:p>
        </w:tc>
        <w:tc>
          <w:tcPr>
            <w:tcW w:w="4161" w:type="dxa"/>
            <w:shd w:val="clear" w:color="auto" w:fill="auto"/>
          </w:tcPr>
          <w:p w14:paraId="57B3464C" w14:textId="77777777" w:rsidR="000F5333" w:rsidRDefault="000F5333" w:rsidP="001F733C">
            <w:pPr>
              <w:pStyle w:val="SL-FlLftSgl"/>
              <w:spacing w:line="240" w:lineRule="auto"/>
              <w:rPr>
                <w:szCs w:val="24"/>
              </w:rPr>
            </w:pPr>
            <w:r>
              <w:rPr>
                <w:szCs w:val="24"/>
              </w:rPr>
              <w:t>330-323-2188</w:t>
            </w:r>
          </w:p>
          <w:p w14:paraId="139CB8A4" w14:textId="77777777" w:rsidR="000F5333" w:rsidRDefault="00D67DDE" w:rsidP="001F733C">
            <w:pPr>
              <w:pStyle w:val="SL-FlLftSgl"/>
              <w:spacing w:line="240" w:lineRule="auto"/>
              <w:rPr>
                <w:szCs w:val="24"/>
              </w:rPr>
            </w:pPr>
            <w:hyperlink r:id="rId11" w:history="1">
              <w:r w:rsidR="000F5333" w:rsidRPr="003976B3">
                <w:rPr>
                  <w:rStyle w:val="Hyperlink"/>
                  <w:szCs w:val="24"/>
                </w:rPr>
                <w:t>gsmith@kepro.com</w:t>
              </w:r>
            </w:hyperlink>
            <w:r w:rsidR="000F5333">
              <w:rPr>
                <w:szCs w:val="24"/>
              </w:rPr>
              <w:t xml:space="preserve">  </w:t>
            </w:r>
          </w:p>
        </w:tc>
      </w:tr>
      <w:tr w:rsidR="000F5333" w:rsidRPr="007C272C" w14:paraId="39BCA1DD" w14:textId="77777777" w:rsidTr="001F733C">
        <w:tc>
          <w:tcPr>
            <w:tcW w:w="2767" w:type="dxa"/>
            <w:vMerge/>
            <w:shd w:val="clear" w:color="auto" w:fill="auto"/>
          </w:tcPr>
          <w:p w14:paraId="60A0DDEC" w14:textId="77777777" w:rsidR="000F5333" w:rsidRDefault="000F5333" w:rsidP="001F733C">
            <w:pPr>
              <w:pStyle w:val="SL-FlLftSgl"/>
              <w:spacing w:line="240" w:lineRule="auto"/>
              <w:rPr>
                <w:szCs w:val="24"/>
              </w:rPr>
            </w:pPr>
          </w:p>
        </w:tc>
        <w:tc>
          <w:tcPr>
            <w:tcW w:w="2003" w:type="dxa"/>
            <w:shd w:val="clear" w:color="auto" w:fill="auto"/>
          </w:tcPr>
          <w:p w14:paraId="166E909C" w14:textId="77777777" w:rsidR="000F5333" w:rsidRDefault="000F5333" w:rsidP="001F733C">
            <w:pPr>
              <w:pStyle w:val="SL-FlLftSgl"/>
              <w:spacing w:line="240" w:lineRule="auto"/>
              <w:rPr>
                <w:szCs w:val="24"/>
              </w:rPr>
            </w:pPr>
            <w:r>
              <w:rPr>
                <w:szCs w:val="24"/>
              </w:rPr>
              <w:t>Rita Bowling</w:t>
            </w:r>
          </w:p>
        </w:tc>
        <w:tc>
          <w:tcPr>
            <w:tcW w:w="4161" w:type="dxa"/>
            <w:shd w:val="clear" w:color="auto" w:fill="auto"/>
          </w:tcPr>
          <w:p w14:paraId="2AAE7D66" w14:textId="77777777" w:rsidR="000F5333" w:rsidRDefault="000F5333" w:rsidP="001F733C">
            <w:pPr>
              <w:pStyle w:val="SL-FlLftSgl"/>
              <w:spacing w:line="240" w:lineRule="auto"/>
              <w:rPr>
                <w:szCs w:val="24"/>
              </w:rPr>
            </w:pPr>
            <w:r>
              <w:rPr>
                <w:szCs w:val="24"/>
              </w:rPr>
              <w:t>330-990-6865</w:t>
            </w:r>
          </w:p>
          <w:p w14:paraId="030D8BE6" w14:textId="77777777" w:rsidR="000F5333" w:rsidRDefault="00D67DDE" w:rsidP="001F733C">
            <w:pPr>
              <w:pStyle w:val="SL-FlLftSgl"/>
              <w:spacing w:line="240" w:lineRule="auto"/>
              <w:rPr>
                <w:szCs w:val="24"/>
              </w:rPr>
            </w:pPr>
            <w:hyperlink r:id="rId12" w:history="1">
              <w:r w:rsidR="000F5333" w:rsidRPr="003976B3">
                <w:rPr>
                  <w:rStyle w:val="Hyperlink"/>
                  <w:szCs w:val="24"/>
                </w:rPr>
                <w:t>Rita.Bowling@bfcc3.hcqis.org</w:t>
              </w:r>
            </w:hyperlink>
            <w:r w:rsidR="000F5333">
              <w:rPr>
                <w:szCs w:val="24"/>
              </w:rPr>
              <w:t xml:space="preserve"> </w:t>
            </w:r>
          </w:p>
        </w:tc>
      </w:tr>
      <w:tr w:rsidR="000F5333" w:rsidRPr="007C272C" w14:paraId="184CEFF0" w14:textId="77777777" w:rsidTr="001F733C">
        <w:tc>
          <w:tcPr>
            <w:tcW w:w="2767" w:type="dxa"/>
            <w:vMerge/>
            <w:shd w:val="clear" w:color="auto" w:fill="auto"/>
          </w:tcPr>
          <w:p w14:paraId="149A74AE" w14:textId="77777777" w:rsidR="000F5333" w:rsidRDefault="000F5333" w:rsidP="001F733C">
            <w:pPr>
              <w:pStyle w:val="SL-FlLftSgl"/>
              <w:spacing w:line="240" w:lineRule="auto"/>
              <w:rPr>
                <w:szCs w:val="24"/>
              </w:rPr>
            </w:pPr>
          </w:p>
        </w:tc>
        <w:tc>
          <w:tcPr>
            <w:tcW w:w="2003" w:type="dxa"/>
            <w:shd w:val="clear" w:color="auto" w:fill="auto"/>
          </w:tcPr>
          <w:p w14:paraId="047AF614" w14:textId="77777777" w:rsidR="000F5333" w:rsidRDefault="000F5333" w:rsidP="001F733C">
            <w:pPr>
              <w:pStyle w:val="SL-FlLftSgl"/>
              <w:spacing w:line="240" w:lineRule="auto"/>
              <w:rPr>
                <w:szCs w:val="24"/>
              </w:rPr>
            </w:pPr>
            <w:r>
              <w:rPr>
                <w:szCs w:val="24"/>
              </w:rPr>
              <w:t>Cheryl Cook</w:t>
            </w:r>
          </w:p>
        </w:tc>
        <w:tc>
          <w:tcPr>
            <w:tcW w:w="4161" w:type="dxa"/>
            <w:shd w:val="clear" w:color="auto" w:fill="auto"/>
          </w:tcPr>
          <w:p w14:paraId="7C3F1FF3" w14:textId="77777777" w:rsidR="000F5333" w:rsidRDefault="000F5333" w:rsidP="001F733C">
            <w:pPr>
              <w:pStyle w:val="SL-FlLftSgl"/>
              <w:spacing w:line="240" w:lineRule="auto"/>
              <w:rPr>
                <w:szCs w:val="24"/>
              </w:rPr>
            </w:pPr>
            <w:r>
              <w:rPr>
                <w:szCs w:val="24"/>
              </w:rPr>
              <w:t>844-455-8708 x 7201</w:t>
            </w:r>
          </w:p>
          <w:p w14:paraId="1CB9A072" w14:textId="77777777" w:rsidR="000F5333" w:rsidRPr="005B3554" w:rsidRDefault="00D67DDE" w:rsidP="001F733C">
            <w:pPr>
              <w:pStyle w:val="SL-FlLftSgl"/>
              <w:spacing w:line="240" w:lineRule="auto"/>
              <w:rPr>
                <w:szCs w:val="24"/>
              </w:rPr>
            </w:pPr>
            <w:hyperlink r:id="rId13" w:history="1">
              <w:r w:rsidR="000F5333" w:rsidRPr="003976B3">
                <w:rPr>
                  <w:rStyle w:val="Hyperlink"/>
                  <w:szCs w:val="24"/>
                </w:rPr>
                <w:t>Cheryl.cook@bfcc2.hcqis.org</w:t>
              </w:r>
            </w:hyperlink>
            <w:r w:rsidR="000F5333">
              <w:rPr>
                <w:szCs w:val="24"/>
              </w:rPr>
              <w:t xml:space="preserve"> </w:t>
            </w:r>
          </w:p>
        </w:tc>
      </w:tr>
      <w:tr w:rsidR="000F5333" w:rsidRPr="007C272C" w14:paraId="1C1B914A" w14:textId="77777777" w:rsidTr="001F733C">
        <w:tc>
          <w:tcPr>
            <w:tcW w:w="2767" w:type="dxa"/>
            <w:shd w:val="clear" w:color="auto" w:fill="auto"/>
          </w:tcPr>
          <w:p w14:paraId="5A9D7858" w14:textId="77777777" w:rsidR="000F5333" w:rsidRPr="007C272C" w:rsidRDefault="000F5333" w:rsidP="001F733C">
            <w:pPr>
              <w:pStyle w:val="SL-FlLftSgl"/>
              <w:spacing w:line="240" w:lineRule="auto"/>
              <w:rPr>
                <w:szCs w:val="24"/>
              </w:rPr>
            </w:pPr>
            <w:r>
              <w:rPr>
                <w:szCs w:val="24"/>
              </w:rPr>
              <w:t>KEPRO (BFCC-NCC )</w:t>
            </w:r>
          </w:p>
        </w:tc>
        <w:tc>
          <w:tcPr>
            <w:tcW w:w="2003" w:type="dxa"/>
            <w:shd w:val="clear" w:color="auto" w:fill="auto"/>
          </w:tcPr>
          <w:p w14:paraId="661E9D9C" w14:textId="77777777" w:rsidR="000F5333" w:rsidRDefault="000F5333" w:rsidP="001F733C">
            <w:pPr>
              <w:pStyle w:val="SL-FlLftSgl"/>
              <w:spacing w:line="240" w:lineRule="auto"/>
              <w:rPr>
                <w:szCs w:val="24"/>
              </w:rPr>
            </w:pPr>
            <w:r>
              <w:rPr>
                <w:szCs w:val="24"/>
              </w:rPr>
              <w:t>Denise Mikin</w:t>
            </w:r>
          </w:p>
        </w:tc>
        <w:tc>
          <w:tcPr>
            <w:tcW w:w="4161" w:type="dxa"/>
            <w:shd w:val="clear" w:color="auto" w:fill="auto"/>
          </w:tcPr>
          <w:p w14:paraId="3F915B1D" w14:textId="77777777" w:rsidR="000F5333" w:rsidRDefault="000F5333" w:rsidP="001F733C">
            <w:pPr>
              <w:pStyle w:val="SL-FlLftSgl"/>
              <w:spacing w:line="240" w:lineRule="auto"/>
              <w:rPr>
                <w:szCs w:val="24"/>
              </w:rPr>
            </w:pPr>
            <w:r>
              <w:rPr>
                <w:szCs w:val="24"/>
              </w:rPr>
              <w:t>216-503-5814</w:t>
            </w:r>
          </w:p>
          <w:p w14:paraId="46614186" w14:textId="77777777" w:rsidR="000F5333" w:rsidRDefault="00D67DDE" w:rsidP="001F733C">
            <w:pPr>
              <w:pStyle w:val="SL-FlLftSgl"/>
              <w:spacing w:line="240" w:lineRule="auto"/>
              <w:rPr>
                <w:szCs w:val="24"/>
              </w:rPr>
            </w:pPr>
            <w:hyperlink r:id="rId14" w:history="1">
              <w:r w:rsidR="000F5333" w:rsidRPr="003976B3">
                <w:rPr>
                  <w:rStyle w:val="Hyperlink"/>
                  <w:szCs w:val="24"/>
                </w:rPr>
                <w:t>Denise.Mikin@bfcc3.hcqis.org</w:t>
              </w:r>
            </w:hyperlink>
            <w:r w:rsidR="000F5333">
              <w:rPr>
                <w:szCs w:val="24"/>
              </w:rPr>
              <w:t xml:space="preserve"> </w:t>
            </w:r>
          </w:p>
        </w:tc>
      </w:tr>
    </w:tbl>
    <w:p w14:paraId="68A19507" w14:textId="77777777" w:rsidR="000F5333" w:rsidRPr="007C272C" w:rsidRDefault="000F5333" w:rsidP="000F5333">
      <w:pPr>
        <w:pStyle w:val="BodyText2"/>
        <w:rPr>
          <w:sz w:val="24"/>
          <w:szCs w:val="24"/>
        </w:rPr>
      </w:pPr>
    </w:p>
    <w:p w14:paraId="19DF22E2" w14:textId="77777777" w:rsidR="000F5333" w:rsidRPr="00016068" w:rsidRDefault="000F5333" w:rsidP="000F5333">
      <w:pPr>
        <w:pStyle w:val="BodyText2"/>
        <w:numPr>
          <w:ilvl w:val="0"/>
          <w:numId w:val="22"/>
        </w:numPr>
        <w:rPr>
          <w:b/>
          <w:sz w:val="24"/>
          <w:szCs w:val="24"/>
        </w:rPr>
      </w:pPr>
      <w:r w:rsidRPr="00016068">
        <w:rPr>
          <w:b/>
          <w:sz w:val="24"/>
          <w:szCs w:val="24"/>
        </w:rPr>
        <w:t>Payments</w:t>
      </w:r>
      <w:r>
        <w:rPr>
          <w:b/>
          <w:sz w:val="24"/>
          <w:szCs w:val="24"/>
        </w:rPr>
        <w:t>/</w:t>
      </w:r>
      <w:r w:rsidRPr="00016068">
        <w:rPr>
          <w:b/>
          <w:sz w:val="24"/>
          <w:szCs w:val="24"/>
        </w:rPr>
        <w:t>Gifts</w:t>
      </w:r>
      <w:r>
        <w:rPr>
          <w:b/>
          <w:sz w:val="24"/>
          <w:szCs w:val="24"/>
        </w:rPr>
        <w:t xml:space="preserve"> to Respondents</w:t>
      </w:r>
    </w:p>
    <w:p w14:paraId="2049FCD0" w14:textId="77777777" w:rsidR="000F5333" w:rsidRPr="00016068" w:rsidRDefault="000F5333" w:rsidP="000F5333">
      <w:pPr>
        <w:pStyle w:val="BodyText2"/>
        <w:rPr>
          <w:sz w:val="24"/>
          <w:szCs w:val="24"/>
        </w:rPr>
      </w:pPr>
    </w:p>
    <w:p w14:paraId="517480B1" w14:textId="77777777" w:rsidR="000F5333" w:rsidRPr="00016068" w:rsidRDefault="000F5333" w:rsidP="000F5333">
      <w:pPr>
        <w:pStyle w:val="BodyText2"/>
        <w:rPr>
          <w:sz w:val="24"/>
          <w:szCs w:val="24"/>
        </w:rPr>
      </w:pPr>
      <w:r w:rsidRPr="00016068">
        <w:rPr>
          <w:sz w:val="24"/>
          <w:szCs w:val="24"/>
        </w:rPr>
        <w:t>There are no payments or gifts associated with this collection.</w:t>
      </w:r>
    </w:p>
    <w:p w14:paraId="7D79EAED" w14:textId="77777777" w:rsidR="000F5333" w:rsidRPr="00016068" w:rsidRDefault="000F5333" w:rsidP="000F5333">
      <w:pPr>
        <w:pStyle w:val="BodyText2"/>
        <w:rPr>
          <w:sz w:val="24"/>
          <w:szCs w:val="24"/>
        </w:rPr>
      </w:pPr>
    </w:p>
    <w:p w14:paraId="49368420" w14:textId="77777777" w:rsidR="000F5333" w:rsidRPr="00016068" w:rsidRDefault="000F5333" w:rsidP="000F5333">
      <w:pPr>
        <w:pStyle w:val="BodyText2"/>
        <w:numPr>
          <w:ilvl w:val="0"/>
          <w:numId w:val="22"/>
        </w:numPr>
        <w:rPr>
          <w:b/>
          <w:sz w:val="24"/>
          <w:szCs w:val="24"/>
        </w:rPr>
      </w:pPr>
      <w:r w:rsidRPr="00016068">
        <w:rPr>
          <w:b/>
          <w:sz w:val="24"/>
          <w:szCs w:val="24"/>
        </w:rPr>
        <w:t>Confidentiality</w:t>
      </w:r>
    </w:p>
    <w:p w14:paraId="4B77AD8B" w14:textId="77777777" w:rsidR="000F5333" w:rsidRPr="00016068" w:rsidRDefault="000F5333" w:rsidP="000F5333">
      <w:pPr>
        <w:pStyle w:val="BodyText2"/>
        <w:rPr>
          <w:sz w:val="24"/>
          <w:szCs w:val="24"/>
        </w:rPr>
      </w:pPr>
    </w:p>
    <w:p w14:paraId="4949993E" w14:textId="21F0FEA1" w:rsidR="000F5333" w:rsidRPr="00016068" w:rsidRDefault="000F5333" w:rsidP="000F5333">
      <w:pPr>
        <w:pStyle w:val="BodyText2"/>
        <w:rPr>
          <w:sz w:val="24"/>
          <w:szCs w:val="24"/>
        </w:rPr>
      </w:pPr>
      <w:r w:rsidRPr="00016068">
        <w:rPr>
          <w:sz w:val="24"/>
          <w:szCs w:val="24"/>
        </w:rPr>
        <w:t xml:space="preserve">Data collected will be made available to CMS and the QIOs to support quality improvement efforts. While individual identifiers will not be linked to any </w:t>
      </w:r>
      <w:r>
        <w:rPr>
          <w:sz w:val="24"/>
          <w:szCs w:val="24"/>
        </w:rPr>
        <w:t xml:space="preserve">survey </w:t>
      </w:r>
      <w:r w:rsidRPr="00016068">
        <w:rPr>
          <w:sz w:val="24"/>
          <w:szCs w:val="24"/>
        </w:rPr>
        <w:t>data, it may be possible to identify respondents based on open-ended comments the</w:t>
      </w:r>
      <w:r>
        <w:rPr>
          <w:sz w:val="24"/>
          <w:szCs w:val="24"/>
        </w:rPr>
        <w:t xml:space="preserve"> respondents</w:t>
      </w:r>
      <w:r w:rsidRPr="00016068">
        <w:rPr>
          <w:sz w:val="24"/>
          <w:szCs w:val="24"/>
        </w:rPr>
        <w:t xml:space="preserve"> provide. Beneficiaries/</w:t>
      </w:r>
      <w:r>
        <w:rPr>
          <w:sz w:val="24"/>
          <w:szCs w:val="24"/>
        </w:rPr>
        <w:t xml:space="preserve"> </w:t>
      </w:r>
      <w:r w:rsidRPr="00016068">
        <w:rPr>
          <w:sz w:val="24"/>
          <w:szCs w:val="24"/>
        </w:rPr>
        <w:t>representatives will be told the purposes for which the information is collected</w:t>
      </w:r>
      <w:r>
        <w:rPr>
          <w:sz w:val="24"/>
          <w:szCs w:val="24"/>
        </w:rPr>
        <w:t>. They will also be informed</w:t>
      </w:r>
      <w:r w:rsidRPr="00016068">
        <w:rPr>
          <w:sz w:val="24"/>
          <w:szCs w:val="24"/>
        </w:rPr>
        <w:t xml:space="preserve"> that </w:t>
      </w:r>
      <w:r>
        <w:rPr>
          <w:sz w:val="24"/>
          <w:szCs w:val="24"/>
        </w:rPr>
        <w:t>directly</w:t>
      </w:r>
      <w:r w:rsidRPr="00016068">
        <w:rPr>
          <w:sz w:val="24"/>
          <w:szCs w:val="24"/>
        </w:rPr>
        <w:t xml:space="preserve"> identifiable information about them will not be reported</w:t>
      </w:r>
      <w:r>
        <w:rPr>
          <w:sz w:val="24"/>
          <w:szCs w:val="24"/>
        </w:rPr>
        <w:t xml:space="preserve"> or shared publicly</w:t>
      </w:r>
      <w:r w:rsidR="00932B1B">
        <w:rPr>
          <w:sz w:val="24"/>
          <w:szCs w:val="24"/>
        </w:rPr>
        <w:t>, nor will their survey responses be shared with QIOs in any identifiable manner</w:t>
      </w:r>
      <w:r w:rsidRPr="00016068">
        <w:rPr>
          <w:sz w:val="24"/>
          <w:szCs w:val="24"/>
        </w:rPr>
        <w:t xml:space="preserve">. </w:t>
      </w:r>
    </w:p>
    <w:p w14:paraId="2788C102" w14:textId="77777777" w:rsidR="000F5333" w:rsidRPr="00016068" w:rsidRDefault="000F5333" w:rsidP="000F5333">
      <w:pPr>
        <w:pStyle w:val="BodyText2"/>
        <w:ind w:left="1080"/>
        <w:rPr>
          <w:sz w:val="24"/>
          <w:szCs w:val="24"/>
        </w:rPr>
      </w:pPr>
    </w:p>
    <w:p w14:paraId="44612944" w14:textId="77777777" w:rsidR="000F5333" w:rsidRPr="00016068" w:rsidRDefault="000F5333" w:rsidP="000F5333">
      <w:pPr>
        <w:pStyle w:val="BodyText2"/>
        <w:numPr>
          <w:ilvl w:val="0"/>
          <w:numId w:val="22"/>
        </w:numPr>
        <w:rPr>
          <w:b/>
          <w:sz w:val="24"/>
          <w:szCs w:val="24"/>
        </w:rPr>
      </w:pPr>
      <w:r w:rsidRPr="00016068">
        <w:rPr>
          <w:b/>
          <w:sz w:val="24"/>
          <w:szCs w:val="24"/>
        </w:rPr>
        <w:t>Sensitive Questions</w:t>
      </w:r>
    </w:p>
    <w:p w14:paraId="5E78F0BD" w14:textId="77777777" w:rsidR="000F5333" w:rsidRPr="00016068" w:rsidRDefault="000F5333" w:rsidP="000F5333">
      <w:pPr>
        <w:pStyle w:val="BodyText2"/>
        <w:rPr>
          <w:sz w:val="24"/>
          <w:szCs w:val="24"/>
        </w:rPr>
      </w:pPr>
    </w:p>
    <w:p w14:paraId="60B87719" w14:textId="77777777" w:rsidR="000F5333" w:rsidRPr="00016068" w:rsidRDefault="000F5333" w:rsidP="000F5333">
      <w:pPr>
        <w:pStyle w:val="BodyText2"/>
        <w:rPr>
          <w:sz w:val="24"/>
          <w:szCs w:val="24"/>
        </w:rPr>
      </w:pPr>
      <w:r w:rsidRPr="00016068">
        <w:rPr>
          <w:sz w:val="24"/>
          <w:szCs w:val="24"/>
        </w:rPr>
        <w:t>There are no questions of sensitive nature in any of the data collection instruments.</w:t>
      </w:r>
    </w:p>
    <w:p w14:paraId="1FBDDE43" w14:textId="77777777" w:rsidR="000F5333" w:rsidRPr="00016068" w:rsidRDefault="000F5333" w:rsidP="000F5333">
      <w:pPr>
        <w:pStyle w:val="BodyText2"/>
        <w:ind w:left="1080"/>
        <w:rPr>
          <w:sz w:val="24"/>
          <w:szCs w:val="24"/>
        </w:rPr>
      </w:pPr>
    </w:p>
    <w:p w14:paraId="5204848F" w14:textId="77777777" w:rsidR="000F5333" w:rsidRPr="00016068" w:rsidRDefault="000F5333" w:rsidP="000F5333">
      <w:pPr>
        <w:pStyle w:val="BodyText2"/>
        <w:numPr>
          <w:ilvl w:val="0"/>
          <w:numId w:val="22"/>
        </w:numPr>
        <w:rPr>
          <w:b/>
          <w:sz w:val="24"/>
          <w:szCs w:val="24"/>
        </w:rPr>
      </w:pPr>
      <w:r w:rsidRPr="00016068">
        <w:rPr>
          <w:b/>
          <w:sz w:val="24"/>
          <w:szCs w:val="24"/>
        </w:rPr>
        <w:t>Estimate of Annualized Burden Hours and Costs</w:t>
      </w:r>
    </w:p>
    <w:p w14:paraId="125E4216" w14:textId="77777777" w:rsidR="000F5333" w:rsidRPr="00016068" w:rsidRDefault="000F5333" w:rsidP="000F5333">
      <w:pPr>
        <w:pStyle w:val="BodyText2"/>
        <w:rPr>
          <w:sz w:val="24"/>
          <w:szCs w:val="24"/>
        </w:rPr>
      </w:pPr>
    </w:p>
    <w:p w14:paraId="4519FB31" w14:textId="77777777" w:rsidR="000F5333" w:rsidRPr="007C272C" w:rsidRDefault="000F5333" w:rsidP="000F5333">
      <w:pPr>
        <w:pStyle w:val="BodyText2"/>
        <w:rPr>
          <w:sz w:val="24"/>
          <w:szCs w:val="24"/>
        </w:rPr>
      </w:pPr>
      <w:r>
        <w:rPr>
          <w:sz w:val="24"/>
          <w:szCs w:val="24"/>
        </w:rPr>
        <w:t>Exhibit 2 shows the estimated annualized burden hours for respondents’ time to participate in the data collection initiatives. Exhibit 3 shows the estimated annualized cost burden</w:t>
      </w:r>
      <w:r w:rsidRPr="00B54FFF">
        <w:rPr>
          <w:sz w:val="24"/>
          <w:szCs w:val="24"/>
        </w:rPr>
        <w:t xml:space="preserve"> </w:t>
      </w:r>
      <w:r>
        <w:rPr>
          <w:sz w:val="24"/>
          <w:szCs w:val="24"/>
        </w:rPr>
        <w:t>for respondents’ time to participate in the data collection initiatives.</w:t>
      </w:r>
    </w:p>
    <w:p w14:paraId="25428794" w14:textId="77777777" w:rsidR="000F5333" w:rsidRDefault="000F5333" w:rsidP="000F5333">
      <w:pPr>
        <w:rPr>
          <w:b/>
          <w:szCs w:val="24"/>
        </w:rPr>
      </w:pPr>
      <w:r>
        <w:rPr>
          <w:b/>
          <w:szCs w:val="24"/>
        </w:rPr>
        <w:br w:type="page"/>
      </w:r>
    </w:p>
    <w:p w14:paraId="04580F9D" w14:textId="77777777" w:rsidR="000F5333" w:rsidRPr="00173A31" w:rsidRDefault="000F5333" w:rsidP="000F5333">
      <w:pPr>
        <w:pStyle w:val="SL-FlLftSgl"/>
        <w:rPr>
          <w:b/>
          <w:szCs w:val="24"/>
        </w:rPr>
      </w:pPr>
      <w:r w:rsidRPr="00437415">
        <w:rPr>
          <w:b/>
          <w:szCs w:val="24"/>
        </w:rPr>
        <w:t>Exhibit 2:</w:t>
      </w:r>
      <w:r w:rsidRPr="00173A31">
        <w:rPr>
          <w:b/>
          <w:szCs w:val="24"/>
        </w:rPr>
        <w:t xml:space="preserve"> Estimated </w:t>
      </w:r>
      <w:r>
        <w:rPr>
          <w:b/>
          <w:szCs w:val="24"/>
        </w:rPr>
        <w:t xml:space="preserve">annual </w:t>
      </w:r>
      <w:r w:rsidRPr="00173A31">
        <w:rPr>
          <w:b/>
          <w:szCs w:val="24"/>
        </w:rPr>
        <w:t>burden hours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41"/>
        <w:gridCol w:w="1611"/>
        <w:gridCol w:w="1810"/>
        <w:gridCol w:w="1207"/>
        <w:gridCol w:w="1007"/>
      </w:tblGrid>
      <w:tr w:rsidR="000F5333" w:rsidRPr="006B341C" w14:paraId="1AD3C335" w14:textId="77777777" w:rsidTr="001F733C">
        <w:tc>
          <w:tcPr>
            <w:tcW w:w="2058" w:type="pct"/>
            <w:shd w:val="clear" w:color="auto" w:fill="auto"/>
            <w:tcMar>
              <w:top w:w="0" w:type="dxa"/>
              <w:left w:w="108" w:type="dxa"/>
              <w:bottom w:w="0" w:type="dxa"/>
              <w:right w:w="108" w:type="dxa"/>
            </w:tcMar>
            <w:vAlign w:val="bottom"/>
          </w:tcPr>
          <w:p w14:paraId="415B9B27" w14:textId="77777777" w:rsidR="000F5333" w:rsidRPr="006B341C" w:rsidRDefault="000F5333" w:rsidP="001F733C">
            <w:pPr>
              <w:jc w:val="center"/>
              <w:rPr>
                <w:b/>
                <w:szCs w:val="24"/>
              </w:rPr>
            </w:pPr>
            <w:r w:rsidRPr="006B341C">
              <w:rPr>
                <w:b/>
                <w:szCs w:val="24"/>
              </w:rPr>
              <w:t>Data Collection</w:t>
            </w:r>
          </w:p>
        </w:tc>
        <w:tc>
          <w:tcPr>
            <w:tcW w:w="841" w:type="pct"/>
            <w:shd w:val="clear" w:color="auto" w:fill="auto"/>
            <w:tcMar>
              <w:top w:w="0" w:type="dxa"/>
              <w:left w:w="108" w:type="dxa"/>
              <w:bottom w:w="0" w:type="dxa"/>
              <w:right w:w="108" w:type="dxa"/>
            </w:tcMar>
            <w:vAlign w:val="bottom"/>
          </w:tcPr>
          <w:p w14:paraId="725C0BF2" w14:textId="77777777" w:rsidR="000F5333" w:rsidRPr="006B341C" w:rsidRDefault="000F5333" w:rsidP="001F733C">
            <w:pPr>
              <w:jc w:val="center"/>
              <w:rPr>
                <w:b/>
                <w:szCs w:val="24"/>
              </w:rPr>
            </w:pPr>
            <w:r w:rsidRPr="006B341C">
              <w:rPr>
                <w:b/>
                <w:szCs w:val="24"/>
              </w:rPr>
              <w:t>Number of respondents</w:t>
            </w:r>
          </w:p>
        </w:tc>
        <w:tc>
          <w:tcPr>
            <w:tcW w:w="945" w:type="pct"/>
            <w:shd w:val="clear" w:color="auto" w:fill="auto"/>
            <w:tcMar>
              <w:top w:w="0" w:type="dxa"/>
              <w:left w:w="108" w:type="dxa"/>
              <w:bottom w:w="0" w:type="dxa"/>
              <w:right w:w="108" w:type="dxa"/>
            </w:tcMar>
            <w:vAlign w:val="bottom"/>
          </w:tcPr>
          <w:p w14:paraId="50432884" w14:textId="77777777" w:rsidR="000F5333" w:rsidRPr="006B341C" w:rsidRDefault="000F5333" w:rsidP="001F733C">
            <w:pPr>
              <w:jc w:val="center"/>
              <w:rPr>
                <w:b/>
                <w:szCs w:val="24"/>
              </w:rPr>
            </w:pPr>
            <w:r w:rsidRPr="006B341C">
              <w:rPr>
                <w:b/>
                <w:szCs w:val="24"/>
              </w:rPr>
              <w:t>Number of responses per respondent</w:t>
            </w:r>
          </w:p>
        </w:tc>
        <w:tc>
          <w:tcPr>
            <w:tcW w:w="630" w:type="pct"/>
            <w:vAlign w:val="bottom"/>
          </w:tcPr>
          <w:p w14:paraId="3B76357B" w14:textId="77777777" w:rsidR="000F5333" w:rsidRPr="006B341C" w:rsidRDefault="000F5333" w:rsidP="001F733C">
            <w:pPr>
              <w:jc w:val="center"/>
              <w:rPr>
                <w:b/>
                <w:szCs w:val="24"/>
              </w:rPr>
            </w:pPr>
            <w:r w:rsidRPr="006B341C">
              <w:rPr>
                <w:b/>
                <w:szCs w:val="24"/>
              </w:rPr>
              <w:t>Hours per response</w:t>
            </w:r>
          </w:p>
        </w:tc>
        <w:tc>
          <w:tcPr>
            <w:tcW w:w="526" w:type="pct"/>
            <w:shd w:val="clear" w:color="auto" w:fill="auto"/>
            <w:tcMar>
              <w:top w:w="0" w:type="dxa"/>
              <w:left w:w="108" w:type="dxa"/>
              <w:bottom w:w="0" w:type="dxa"/>
              <w:right w:w="108" w:type="dxa"/>
            </w:tcMar>
            <w:vAlign w:val="bottom"/>
          </w:tcPr>
          <w:p w14:paraId="40EE8E3E" w14:textId="77777777" w:rsidR="000F5333" w:rsidRPr="006B341C" w:rsidRDefault="000F5333" w:rsidP="001F733C">
            <w:pPr>
              <w:jc w:val="center"/>
              <w:rPr>
                <w:b/>
                <w:szCs w:val="24"/>
              </w:rPr>
            </w:pPr>
            <w:r w:rsidRPr="006B341C">
              <w:rPr>
                <w:b/>
                <w:szCs w:val="24"/>
              </w:rPr>
              <w:t>Burden hours</w:t>
            </w:r>
          </w:p>
        </w:tc>
      </w:tr>
      <w:tr w:rsidR="000F5333" w:rsidRPr="006B341C" w14:paraId="7BCD5D8D" w14:textId="77777777" w:rsidTr="001F733C">
        <w:tc>
          <w:tcPr>
            <w:tcW w:w="2058" w:type="pct"/>
            <w:shd w:val="clear" w:color="auto" w:fill="auto"/>
            <w:tcMar>
              <w:top w:w="0" w:type="dxa"/>
              <w:left w:w="108" w:type="dxa"/>
              <w:bottom w:w="0" w:type="dxa"/>
              <w:right w:w="108" w:type="dxa"/>
            </w:tcMar>
            <w:vAlign w:val="bottom"/>
          </w:tcPr>
          <w:p w14:paraId="48F48432" w14:textId="77777777" w:rsidR="000F5333" w:rsidRPr="006B341C" w:rsidRDefault="000F5333" w:rsidP="001F733C">
            <w:pPr>
              <w:rPr>
                <w:szCs w:val="24"/>
              </w:rPr>
            </w:pPr>
            <w:r w:rsidRPr="006B341C">
              <w:rPr>
                <w:szCs w:val="24"/>
              </w:rPr>
              <w:t>Experience Survey</w:t>
            </w:r>
          </w:p>
        </w:tc>
        <w:tc>
          <w:tcPr>
            <w:tcW w:w="841" w:type="pct"/>
            <w:shd w:val="clear" w:color="auto" w:fill="auto"/>
            <w:tcMar>
              <w:top w:w="0" w:type="dxa"/>
              <w:left w:w="108" w:type="dxa"/>
              <w:bottom w:w="0" w:type="dxa"/>
              <w:right w:w="108" w:type="dxa"/>
            </w:tcMar>
            <w:vAlign w:val="center"/>
          </w:tcPr>
          <w:p w14:paraId="678057FD" w14:textId="77777777" w:rsidR="000F5333" w:rsidRPr="006B341C" w:rsidRDefault="000F5333" w:rsidP="001F733C">
            <w:pPr>
              <w:jc w:val="right"/>
              <w:rPr>
                <w:szCs w:val="24"/>
              </w:rPr>
            </w:pPr>
            <w:r w:rsidRPr="006B341C">
              <w:rPr>
                <w:szCs w:val="24"/>
              </w:rPr>
              <w:t>9,750</w:t>
            </w:r>
          </w:p>
        </w:tc>
        <w:tc>
          <w:tcPr>
            <w:tcW w:w="945" w:type="pct"/>
            <w:shd w:val="clear" w:color="auto" w:fill="auto"/>
            <w:tcMar>
              <w:top w:w="0" w:type="dxa"/>
              <w:left w:w="108" w:type="dxa"/>
              <w:bottom w:w="0" w:type="dxa"/>
              <w:right w:w="108" w:type="dxa"/>
            </w:tcMar>
            <w:vAlign w:val="center"/>
          </w:tcPr>
          <w:p w14:paraId="41BC7F58" w14:textId="77777777" w:rsidR="000F5333" w:rsidRPr="006B341C" w:rsidRDefault="000F5333" w:rsidP="001F733C">
            <w:pPr>
              <w:jc w:val="right"/>
              <w:rPr>
                <w:szCs w:val="24"/>
              </w:rPr>
            </w:pPr>
            <w:r w:rsidRPr="006B341C">
              <w:rPr>
                <w:szCs w:val="24"/>
              </w:rPr>
              <w:t>1</w:t>
            </w:r>
          </w:p>
        </w:tc>
        <w:tc>
          <w:tcPr>
            <w:tcW w:w="630" w:type="pct"/>
            <w:vAlign w:val="center"/>
          </w:tcPr>
          <w:p w14:paraId="776E2529" w14:textId="77777777" w:rsidR="000F5333" w:rsidRPr="006B341C" w:rsidRDefault="000F5333" w:rsidP="001F733C">
            <w:pPr>
              <w:jc w:val="right"/>
              <w:rPr>
                <w:szCs w:val="24"/>
              </w:rPr>
            </w:pPr>
            <w:r w:rsidRPr="006B341C">
              <w:rPr>
                <w:szCs w:val="24"/>
              </w:rPr>
              <w:t>0.25</w:t>
            </w:r>
          </w:p>
        </w:tc>
        <w:tc>
          <w:tcPr>
            <w:tcW w:w="526" w:type="pct"/>
            <w:shd w:val="clear" w:color="auto" w:fill="auto"/>
            <w:tcMar>
              <w:top w:w="0" w:type="dxa"/>
              <w:left w:w="108" w:type="dxa"/>
              <w:bottom w:w="0" w:type="dxa"/>
              <w:right w:w="108" w:type="dxa"/>
            </w:tcMar>
            <w:vAlign w:val="center"/>
          </w:tcPr>
          <w:p w14:paraId="5794A010" w14:textId="77777777" w:rsidR="000F5333" w:rsidRPr="006B341C" w:rsidRDefault="000F5333" w:rsidP="001F733C">
            <w:pPr>
              <w:jc w:val="right"/>
              <w:rPr>
                <w:szCs w:val="24"/>
              </w:rPr>
            </w:pPr>
            <w:r w:rsidRPr="006B341C">
              <w:rPr>
                <w:szCs w:val="24"/>
              </w:rPr>
              <w:t>2,438</w:t>
            </w:r>
          </w:p>
        </w:tc>
      </w:tr>
      <w:tr w:rsidR="000F5333" w:rsidRPr="006B341C" w14:paraId="7D58D0F8" w14:textId="77777777" w:rsidTr="001F733C">
        <w:tc>
          <w:tcPr>
            <w:tcW w:w="2058" w:type="pct"/>
            <w:shd w:val="clear" w:color="auto" w:fill="auto"/>
            <w:tcMar>
              <w:top w:w="0" w:type="dxa"/>
              <w:left w:w="108" w:type="dxa"/>
              <w:bottom w:w="0" w:type="dxa"/>
              <w:right w:w="108" w:type="dxa"/>
            </w:tcMar>
            <w:vAlign w:val="bottom"/>
          </w:tcPr>
          <w:p w14:paraId="108ADEF7" w14:textId="77777777" w:rsidR="000F5333" w:rsidRPr="006B341C" w:rsidRDefault="000F5333" w:rsidP="001F733C">
            <w:pPr>
              <w:rPr>
                <w:bCs/>
                <w:szCs w:val="24"/>
              </w:rPr>
            </w:pPr>
            <w:r w:rsidRPr="006B341C">
              <w:rPr>
                <w:bCs/>
                <w:szCs w:val="24"/>
              </w:rPr>
              <w:t>Direct Follow-up</w:t>
            </w:r>
          </w:p>
        </w:tc>
        <w:tc>
          <w:tcPr>
            <w:tcW w:w="841" w:type="pct"/>
            <w:shd w:val="clear" w:color="auto" w:fill="auto"/>
            <w:tcMar>
              <w:top w:w="0" w:type="dxa"/>
              <w:left w:w="108" w:type="dxa"/>
              <w:bottom w:w="0" w:type="dxa"/>
              <w:right w:w="108" w:type="dxa"/>
            </w:tcMar>
            <w:vAlign w:val="center"/>
          </w:tcPr>
          <w:p w14:paraId="3A985D35" w14:textId="77777777" w:rsidR="000F5333" w:rsidRPr="006B341C" w:rsidRDefault="000F5333" w:rsidP="001F733C">
            <w:pPr>
              <w:jc w:val="right"/>
              <w:rPr>
                <w:szCs w:val="24"/>
              </w:rPr>
            </w:pPr>
            <w:r w:rsidRPr="006B341C">
              <w:rPr>
                <w:szCs w:val="24"/>
              </w:rPr>
              <w:t>200</w:t>
            </w:r>
          </w:p>
        </w:tc>
        <w:tc>
          <w:tcPr>
            <w:tcW w:w="945" w:type="pct"/>
            <w:shd w:val="clear" w:color="auto" w:fill="auto"/>
            <w:tcMar>
              <w:top w:w="0" w:type="dxa"/>
              <w:left w:w="108" w:type="dxa"/>
              <w:bottom w:w="0" w:type="dxa"/>
              <w:right w:w="108" w:type="dxa"/>
            </w:tcMar>
            <w:vAlign w:val="center"/>
          </w:tcPr>
          <w:p w14:paraId="023C8BEE" w14:textId="77777777" w:rsidR="000F5333" w:rsidRPr="006B341C" w:rsidRDefault="000F5333" w:rsidP="001F733C">
            <w:pPr>
              <w:jc w:val="right"/>
              <w:rPr>
                <w:szCs w:val="24"/>
              </w:rPr>
            </w:pPr>
            <w:r w:rsidRPr="006B341C">
              <w:rPr>
                <w:szCs w:val="24"/>
              </w:rPr>
              <w:t>1</w:t>
            </w:r>
          </w:p>
        </w:tc>
        <w:tc>
          <w:tcPr>
            <w:tcW w:w="630" w:type="pct"/>
            <w:vAlign w:val="center"/>
          </w:tcPr>
          <w:p w14:paraId="67D0DC7C" w14:textId="77777777" w:rsidR="000F5333" w:rsidRPr="006B341C" w:rsidRDefault="000F5333" w:rsidP="001F733C">
            <w:pPr>
              <w:jc w:val="right"/>
              <w:rPr>
                <w:bCs/>
                <w:szCs w:val="24"/>
              </w:rPr>
            </w:pPr>
            <w:r w:rsidRPr="006B341C">
              <w:rPr>
                <w:bCs/>
                <w:szCs w:val="24"/>
              </w:rPr>
              <w:t>0.05</w:t>
            </w:r>
          </w:p>
        </w:tc>
        <w:tc>
          <w:tcPr>
            <w:tcW w:w="526" w:type="pct"/>
            <w:shd w:val="clear" w:color="auto" w:fill="auto"/>
            <w:tcMar>
              <w:top w:w="0" w:type="dxa"/>
              <w:left w:w="108" w:type="dxa"/>
              <w:bottom w:w="0" w:type="dxa"/>
              <w:right w:w="108" w:type="dxa"/>
            </w:tcMar>
            <w:vAlign w:val="center"/>
          </w:tcPr>
          <w:p w14:paraId="52A775A3" w14:textId="77777777" w:rsidR="000F5333" w:rsidRPr="006B341C" w:rsidRDefault="000F5333" w:rsidP="001F733C">
            <w:pPr>
              <w:jc w:val="right"/>
              <w:rPr>
                <w:szCs w:val="24"/>
              </w:rPr>
            </w:pPr>
            <w:r w:rsidRPr="006B341C">
              <w:rPr>
                <w:szCs w:val="24"/>
              </w:rPr>
              <w:t>10</w:t>
            </w:r>
          </w:p>
        </w:tc>
      </w:tr>
      <w:tr w:rsidR="000F5333" w:rsidRPr="006B341C" w14:paraId="60961B5C" w14:textId="77777777" w:rsidTr="001F733C">
        <w:tc>
          <w:tcPr>
            <w:tcW w:w="2058" w:type="pct"/>
            <w:shd w:val="clear" w:color="auto" w:fill="auto"/>
            <w:tcMar>
              <w:top w:w="0" w:type="dxa"/>
              <w:left w:w="108" w:type="dxa"/>
              <w:bottom w:w="0" w:type="dxa"/>
              <w:right w:w="108" w:type="dxa"/>
            </w:tcMar>
            <w:vAlign w:val="bottom"/>
          </w:tcPr>
          <w:p w14:paraId="5355A35E" w14:textId="77777777" w:rsidR="000F5333" w:rsidRPr="006B341C" w:rsidRDefault="000F5333" w:rsidP="001F733C">
            <w:pPr>
              <w:rPr>
                <w:bCs/>
                <w:szCs w:val="24"/>
              </w:rPr>
            </w:pPr>
            <w:r w:rsidRPr="006B341C">
              <w:rPr>
                <w:bCs/>
                <w:szCs w:val="24"/>
              </w:rPr>
              <w:t>General Feedback Web Survey</w:t>
            </w:r>
          </w:p>
        </w:tc>
        <w:tc>
          <w:tcPr>
            <w:tcW w:w="841" w:type="pct"/>
            <w:shd w:val="clear" w:color="auto" w:fill="auto"/>
            <w:tcMar>
              <w:top w:w="0" w:type="dxa"/>
              <w:left w:w="108" w:type="dxa"/>
              <w:bottom w:w="0" w:type="dxa"/>
              <w:right w:w="108" w:type="dxa"/>
            </w:tcMar>
            <w:vAlign w:val="center"/>
          </w:tcPr>
          <w:p w14:paraId="17692EEF" w14:textId="77777777" w:rsidR="000F5333" w:rsidRPr="006B341C" w:rsidRDefault="000F5333" w:rsidP="001F733C">
            <w:pPr>
              <w:jc w:val="right"/>
              <w:rPr>
                <w:szCs w:val="24"/>
              </w:rPr>
            </w:pPr>
            <w:r w:rsidRPr="006B341C">
              <w:rPr>
                <w:szCs w:val="24"/>
              </w:rPr>
              <w:t>15,020</w:t>
            </w:r>
          </w:p>
        </w:tc>
        <w:tc>
          <w:tcPr>
            <w:tcW w:w="945" w:type="pct"/>
            <w:shd w:val="clear" w:color="auto" w:fill="auto"/>
            <w:tcMar>
              <w:top w:w="0" w:type="dxa"/>
              <w:left w:w="108" w:type="dxa"/>
              <w:bottom w:w="0" w:type="dxa"/>
              <w:right w:w="108" w:type="dxa"/>
            </w:tcMar>
            <w:vAlign w:val="center"/>
          </w:tcPr>
          <w:p w14:paraId="393A3BE0" w14:textId="77777777" w:rsidR="000F5333" w:rsidRPr="006B341C" w:rsidRDefault="000F5333" w:rsidP="001F733C">
            <w:pPr>
              <w:jc w:val="right"/>
              <w:rPr>
                <w:szCs w:val="24"/>
              </w:rPr>
            </w:pPr>
            <w:r w:rsidRPr="006B341C">
              <w:rPr>
                <w:szCs w:val="24"/>
              </w:rPr>
              <w:t>1</w:t>
            </w:r>
          </w:p>
        </w:tc>
        <w:tc>
          <w:tcPr>
            <w:tcW w:w="630" w:type="pct"/>
            <w:vAlign w:val="center"/>
          </w:tcPr>
          <w:p w14:paraId="0A17CAEF" w14:textId="77777777" w:rsidR="000F5333" w:rsidRPr="006B341C" w:rsidRDefault="000F5333" w:rsidP="001F733C">
            <w:pPr>
              <w:jc w:val="right"/>
              <w:rPr>
                <w:bCs/>
                <w:szCs w:val="24"/>
              </w:rPr>
            </w:pPr>
            <w:r w:rsidRPr="006B341C">
              <w:rPr>
                <w:bCs/>
                <w:szCs w:val="24"/>
              </w:rPr>
              <w:t>0.03</w:t>
            </w:r>
          </w:p>
        </w:tc>
        <w:tc>
          <w:tcPr>
            <w:tcW w:w="526" w:type="pct"/>
            <w:shd w:val="clear" w:color="auto" w:fill="auto"/>
            <w:tcMar>
              <w:top w:w="0" w:type="dxa"/>
              <w:left w:w="108" w:type="dxa"/>
              <w:bottom w:w="0" w:type="dxa"/>
              <w:right w:w="108" w:type="dxa"/>
            </w:tcMar>
            <w:vAlign w:val="center"/>
          </w:tcPr>
          <w:p w14:paraId="4DD0DC09" w14:textId="77777777" w:rsidR="000F5333" w:rsidRPr="006B341C" w:rsidRDefault="000F5333" w:rsidP="001F733C">
            <w:pPr>
              <w:jc w:val="right"/>
              <w:rPr>
                <w:szCs w:val="24"/>
              </w:rPr>
            </w:pPr>
            <w:r w:rsidRPr="006B341C">
              <w:rPr>
                <w:szCs w:val="24"/>
              </w:rPr>
              <w:t>451</w:t>
            </w:r>
          </w:p>
        </w:tc>
      </w:tr>
      <w:tr w:rsidR="000F5333" w:rsidRPr="006B341C" w14:paraId="068D9A77" w14:textId="77777777" w:rsidTr="001F733C">
        <w:tc>
          <w:tcPr>
            <w:tcW w:w="2058" w:type="pct"/>
            <w:shd w:val="clear" w:color="auto" w:fill="auto"/>
            <w:tcMar>
              <w:top w:w="0" w:type="dxa"/>
              <w:left w:w="108" w:type="dxa"/>
              <w:bottom w:w="0" w:type="dxa"/>
              <w:right w:w="108" w:type="dxa"/>
            </w:tcMar>
            <w:vAlign w:val="bottom"/>
          </w:tcPr>
          <w:p w14:paraId="79A48D4F" w14:textId="77777777" w:rsidR="000F5333" w:rsidRPr="006B341C" w:rsidRDefault="000F5333" w:rsidP="001F733C">
            <w:pPr>
              <w:jc w:val="right"/>
              <w:rPr>
                <w:b/>
                <w:bCs/>
                <w:szCs w:val="24"/>
              </w:rPr>
            </w:pPr>
            <w:r w:rsidRPr="006B341C">
              <w:rPr>
                <w:bCs/>
                <w:szCs w:val="24"/>
              </w:rPr>
              <w:t xml:space="preserve">             </w:t>
            </w:r>
            <w:r w:rsidRPr="006B341C">
              <w:rPr>
                <w:b/>
                <w:bCs/>
                <w:szCs w:val="24"/>
              </w:rPr>
              <w:t>Total burden hours</w:t>
            </w:r>
          </w:p>
        </w:tc>
        <w:tc>
          <w:tcPr>
            <w:tcW w:w="841" w:type="pct"/>
            <w:shd w:val="clear" w:color="auto" w:fill="auto"/>
            <w:tcMar>
              <w:top w:w="0" w:type="dxa"/>
              <w:left w:w="108" w:type="dxa"/>
              <w:bottom w:w="0" w:type="dxa"/>
              <w:right w:w="108" w:type="dxa"/>
            </w:tcMar>
            <w:vAlign w:val="center"/>
          </w:tcPr>
          <w:p w14:paraId="38CDF753" w14:textId="77777777" w:rsidR="000F5333" w:rsidRPr="006B341C" w:rsidRDefault="000F5333" w:rsidP="001F733C">
            <w:pPr>
              <w:jc w:val="right"/>
              <w:rPr>
                <w:szCs w:val="24"/>
              </w:rPr>
            </w:pPr>
          </w:p>
        </w:tc>
        <w:tc>
          <w:tcPr>
            <w:tcW w:w="945" w:type="pct"/>
            <w:shd w:val="clear" w:color="auto" w:fill="auto"/>
            <w:tcMar>
              <w:top w:w="0" w:type="dxa"/>
              <w:left w:w="108" w:type="dxa"/>
              <w:bottom w:w="0" w:type="dxa"/>
              <w:right w:w="108" w:type="dxa"/>
            </w:tcMar>
            <w:vAlign w:val="center"/>
          </w:tcPr>
          <w:p w14:paraId="50960D15" w14:textId="77777777" w:rsidR="000F5333" w:rsidRPr="006B341C" w:rsidRDefault="000F5333" w:rsidP="001F733C">
            <w:pPr>
              <w:jc w:val="right"/>
              <w:rPr>
                <w:szCs w:val="24"/>
              </w:rPr>
            </w:pPr>
          </w:p>
        </w:tc>
        <w:tc>
          <w:tcPr>
            <w:tcW w:w="630" w:type="pct"/>
            <w:vAlign w:val="center"/>
          </w:tcPr>
          <w:p w14:paraId="2780C7FB" w14:textId="77777777" w:rsidR="000F5333" w:rsidRPr="006B341C" w:rsidRDefault="000F5333" w:rsidP="001F733C">
            <w:pPr>
              <w:jc w:val="right"/>
              <w:rPr>
                <w:bCs/>
                <w:szCs w:val="24"/>
              </w:rPr>
            </w:pPr>
          </w:p>
        </w:tc>
        <w:tc>
          <w:tcPr>
            <w:tcW w:w="526" w:type="pct"/>
            <w:shd w:val="clear" w:color="auto" w:fill="auto"/>
            <w:tcMar>
              <w:top w:w="0" w:type="dxa"/>
              <w:left w:w="108" w:type="dxa"/>
              <w:bottom w:w="0" w:type="dxa"/>
              <w:right w:w="108" w:type="dxa"/>
            </w:tcMar>
            <w:vAlign w:val="center"/>
          </w:tcPr>
          <w:p w14:paraId="1284AA80" w14:textId="77777777" w:rsidR="000F5333" w:rsidRPr="006B341C" w:rsidRDefault="000F5333" w:rsidP="001F733C">
            <w:pPr>
              <w:jc w:val="right"/>
              <w:rPr>
                <w:b/>
                <w:szCs w:val="24"/>
              </w:rPr>
            </w:pPr>
            <w:r w:rsidRPr="006B341C">
              <w:rPr>
                <w:b/>
                <w:szCs w:val="24"/>
              </w:rPr>
              <w:t>2,899</w:t>
            </w:r>
          </w:p>
        </w:tc>
      </w:tr>
    </w:tbl>
    <w:p w14:paraId="016B6FEC" w14:textId="77777777" w:rsidR="000F5333" w:rsidRDefault="000F5333" w:rsidP="000F5333">
      <w:pPr>
        <w:pStyle w:val="TT-TableTitle"/>
        <w:jc w:val="center"/>
        <w:rPr>
          <w:szCs w:val="24"/>
        </w:rPr>
      </w:pPr>
    </w:p>
    <w:p w14:paraId="11B1560D" w14:textId="77777777" w:rsidR="000F5333" w:rsidRPr="00F461E4" w:rsidRDefault="000F5333" w:rsidP="000F5333">
      <w:pPr>
        <w:rPr>
          <w:b/>
          <w:szCs w:val="24"/>
        </w:rPr>
      </w:pPr>
      <w:r w:rsidRPr="00437415">
        <w:rPr>
          <w:b/>
          <w:szCs w:val="24"/>
        </w:rPr>
        <w:t>Exhibit 3:</w:t>
      </w:r>
      <w:r>
        <w:rPr>
          <w:b/>
          <w:szCs w:val="24"/>
        </w:rPr>
        <w:t xml:space="preserve"> </w:t>
      </w:r>
      <w:r w:rsidRPr="00F461E4">
        <w:rPr>
          <w:b/>
          <w:szCs w:val="24"/>
        </w:rPr>
        <w:t>Estimated annualized cost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55"/>
        <w:gridCol w:w="1573"/>
        <w:gridCol w:w="984"/>
        <w:gridCol w:w="1593"/>
        <w:gridCol w:w="1371"/>
      </w:tblGrid>
      <w:tr w:rsidR="000F5333" w:rsidRPr="006B341C" w14:paraId="791BAF3C" w14:textId="77777777" w:rsidTr="001F733C">
        <w:tc>
          <w:tcPr>
            <w:tcW w:w="2117" w:type="pct"/>
            <w:shd w:val="clear" w:color="auto" w:fill="auto"/>
            <w:tcMar>
              <w:top w:w="0" w:type="dxa"/>
              <w:left w:w="108" w:type="dxa"/>
              <w:bottom w:w="0" w:type="dxa"/>
              <w:right w:w="108" w:type="dxa"/>
            </w:tcMar>
            <w:vAlign w:val="bottom"/>
          </w:tcPr>
          <w:p w14:paraId="5B3EF5BB" w14:textId="77777777" w:rsidR="000F5333" w:rsidRPr="006B341C" w:rsidRDefault="000F5333" w:rsidP="001F733C">
            <w:pPr>
              <w:jc w:val="center"/>
              <w:rPr>
                <w:b/>
                <w:szCs w:val="24"/>
              </w:rPr>
            </w:pPr>
            <w:r w:rsidRPr="006B341C">
              <w:rPr>
                <w:b/>
                <w:szCs w:val="24"/>
              </w:rPr>
              <w:t>Data Collection</w:t>
            </w:r>
          </w:p>
        </w:tc>
        <w:tc>
          <w:tcPr>
            <w:tcW w:w="821" w:type="pct"/>
            <w:shd w:val="clear" w:color="auto" w:fill="auto"/>
            <w:tcMar>
              <w:top w:w="0" w:type="dxa"/>
              <w:left w:w="108" w:type="dxa"/>
              <w:bottom w:w="0" w:type="dxa"/>
              <w:right w:w="108" w:type="dxa"/>
            </w:tcMar>
            <w:vAlign w:val="bottom"/>
          </w:tcPr>
          <w:p w14:paraId="1965F771" w14:textId="77777777" w:rsidR="000F5333" w:rsidRPr="006B341C" w:rsidRDefault="000F5333" w:rsidP="001F733C">
            <w:pPr>
              <w:jc w:val="center"/>
              <w:rPr>
                <w:b/>
                <w:szCs w:val="24"/>
              </w:rPr>
            </w:pPr>
            <w:r w:rsidRPr="006B341C">
              <w:rPr>
                <w:b/>
                <w:szCs w:val="24"/>
              </w:rPr>
              <w:t>Number of respondents</w:t>
            </w:r>
          </w:p>
        </w:tc>
        <w:tc>
          <w:tcPr>
            <w:tcW w:w="514" w:type="pct"/>
            <w:shd w:val="clear" w:color="auto" w:fill="auto"/>
            <w:tcMar>
              <w:top w:w="0" w:type="dxa"/>
              <w:left w:w="108" w:type="dxa"/>
              <w:bottom w:w="0" w:type="dxa"/>
              <w:right w:w="108" w:type="dxa"/>
            </w:tcMar>
            <w:vAlign w:val="bottom"/>
          </w:tcPr>
          <w:p w14:paraId="77D26671" w14:textId="77777777" w:rsidR="000F5333" w:rsidRPr="006B341C" w:rsidRDefault="000F5333" w:rsidP="001F733C">
            <w:pPr>
              <w:jc w:val="center"/>
              <w:rPr>
                <w:b/>
                <w:szCs w:val="24"/>
              </w:rPr>
            </w:pPr>
            <w:r w:rsidRPr="006B341C">
              <w:rPr>
                <w:b/>
                <w:szCs w:val="24"/>
              </w:rPr>
              <w:t>Total burden hours</w:t>
            </w:r>
          </w:p>
        </w:tc>
        <w:tc>
          <w:tcPr>
            <w:tcW w:w="832" w:type="pct"/>
            <w:shd w:val="clear" w:color="auto" w:fill="auto"/>
            <w:tcMar>
              <w:top w:w="0" w:type="dxa"/>
              <w:left w:w="108" w:type="dxa"/>
              <w:bottom w:w="0" w:type="dxa"/>
              <w:right w:w="108" w:type="dxa"/>
            </w:tcMar>
            <w:vAlign w:val="bottom"/>
          </w:tcPr>
          <w:p w14:paraId="5DB0E653" w14:textId="77777777" w:rsidR="000F5333" w:rsidRPr="006B341C" w:rsidRDefault="000F5333" w:rsidP="001F733C">
            <w:pPr>
              <w:jc w:val="center"/>
              <w:rPr>
                <w:b/>
                <w:szCs w:val="24"/>
              </w:rPr>
            </w:pPr>
            <w:r w:rsidRPr="006B341C">
              <w:rPr>
                <w:b/>
                <w:szCs w:val="24"/>
              </w:rPr>
              <w:t>Average hourly wage rate</w:t>
            </w:r>
            <w:r w:rsidRPr="006B341C">
              <w:rPr>
                <w:rStyle w:val="FootnoteReference"/>
                <w:b/>
                <w:szCs w:val="24"/>
              </w:rPr>
              <w:footnoteReference w:id="3"/>
            </w:r>
          </w:p>
        </w:tc>
        <w:tc>
          <w:tcPr>
            <w:tcW w:w="716" w:type="pct"/>
            <w:shd w:val="clear" w:color="auto" w:fill="auto"/>
            <w:tcMar>
              <w:top w:w="0" w:type="dxa"/>
              <w:left w:w="108" w:type="dxa"/>
              <w:bottom w:w="0" w:type="dxa"/>
              <w:right w:w="108" w:type="dxa"/>
            </w:tcMar>
            <w:vAlign w:val="bottom"/>
          </w:tcPr>
          <w:p w14:paraId="6680DFEF" w14:textId="77777777" w:rsidR="000F5333" w:rsidRPr="006B341C" w:rsidRDefault="000F5333" w:rsidP="001F733C">
            <w:pPr>
              <w:jc w:val="center"/>
              <w:rPr>
                <w:b/>
                <w:szCs w:val="24"/>
              </w:rPr>
            </w:pPr>
            <w:r w:rsidRPr="006B341C">
              <w:rPr>
                <w:b/>
                <w:szCs w:val="24"/>
              </w:rPr>
              <w:t>Burden Cost</w:t>
            </w:r>
          </w:p>
        </w:tc>
      </w:tr>
      <w:tr w:rsidR="000F5333" w:rsidRPr="006B341C" w14:paraId="4D47B876" w14:textId="77777777" w:rsidTr="001F733C">
        <w:tc>
          <w:tcPr>
            <w:tcW w:w="2117" w:type="pct"/>
            <w:shd w:val="clear" w:color="auto" w:fill="auto"/>
            <w:tcMar>
              <w:top w:w="0" w:type="dxa"/>
              <w:left w:w="108" w:type="dxa"/>
              <w:bottom w:w="0" w:type="dxa"/>
              <w:right w:w="108" w:type="dxa"/>
            </w:tcMar>
            <w:vAlign w:val="bottom"/>
          </w:tcPr>
          <w:p w14:paraId="361E81B7" w14:textId="77777777" w:rsidR="000F5333" w:rsidRPr="006B341C" w:rsidRDefault="000F5333" w:rsidP="001F733C">
            <w:pPr>
              <w:rPr>
                <w:szCs w:val="24"/>
              </w:rPr>
            </w:pPr>
            <w:r w:rsidRPr="006B341C">
              <w:rPr>
                <w:szCs w:val="24"/>
              </w:rPr>
              <w:t>Experience Survey</w:t>
            </w:r>
          </w:p>
        </w:tc>
        <w:tc>
          <w:tcPr>
            <w:tcW w:w="821" w:type="pct"/>
            <w:shd w:val="clear" w:color="auto" w:fill="auto"/>
            <w:tcMar>
              <w:top w:w="0" w:type="dxa"/>
              <w:left w:w="108" w:type="dxa"/>
              <w:bottom w:w="0" w:type="dxa"/>
              <w:right w:w="108" w:type="dxa"/>
            </w:tcMar>
            <w:vAlign w:val="center"/>
          </w:tcPr>
          <w:p w14:paraId="4B631921" w14:textId="77777777" w:rsidR="000F5333" w:rsidRPr="006B341C" w:rsidRDefault="000F5333" w:rsidP="001F733C">
            <w:pPr>
              <w:jc w:val="right"/>
              <w:rPr>
                <w:szCs w:val="24"/>
              </w:rPr>
            </w:pPr>
            <w:r w:rsidRPr="006B341C">
              <w:rPr>
                <w:szCs w:val="24"/>
              </w:rPr>
              <w:t>9,750</w:t>
            </w:r>
          </w:p>
        </w:tc>
        <w:tc>
          <w:tcPr>
            <w:tcW w:w="514" w:type="pct"/>
            <w:shd w:val="clear" w:color="auto" w:fill="auto"/>
            <w:tcMar>
              <w:top w:w="0" w:type="dxa"/>
              <w:left w:w="108" w:type="dxa"/>
              <w:bottom w:w="0" w:type="dxa"/>
              <w:right w:w="108" w:type="dxa"/>
            </w:tcMar>
            <w:vAlign w:val="center"/>
          </w:tcPr>
          <w:p w14:paraId="33C7E40D" w14:textId="77777777" w:rsidR="000F5333" w:rsidRPr="006B341C" w:rsidRDefault="000F5333" w:rsidP="001F733C">
            <w:pPr>
              <w:jc w:val="right"/>
              <w:rPr>
                <w:szCs w:val="24"/>
              </w:rPr>
            </w:pPr>
            <w:r w:rsidRPr="006B341C">
              <w:rPr>
                <w:szCs w:val="24"/>
              </w:rPr>
              <w:t>2,438</w:t>
            </w:r>
          </w:p>
        </w:tc>
        <w:tc>
          <w:tcPr>
            <w:tcW w:w="832" w:type="pct"/>
            <w:shd w:val="clear" w:color="auto" w:fill="auto"/>
            <w:tcMar>
              <w:top w:w="0" w:type="dxa"/>
              <w:left w:w="108" w:type="dxa"/>
              <w:bottom w:w="0" w:type="dxa"/>
              <w:right w:w="108" w:type="dxa"/>
            </w:tcMar>
            <w:vAlign w:val="center"/>
          </w:tcPr>
          <w:p w14:paraId="16849121" w14:textId="77777777" w:rsidR="000F5333" w:rsidRPr="006B341C" w:rsidRDefault="000F5333" w:rsidP="001F733C">
            <w:pPr>
              <w:jc w:val="right"/>
              <w:rPr>
                <w:szCs w:val="24"/>
              </w:rPr>
            </w:pPr>
            <w:r w:rsidRPr="006B341C">
              <w:rPr>
                <w:szCs w:val="24"/>
              </w:rPr>
              <w:t>$12.85</w:t>
            </w:r>
          </w:p>
        </w:tc>
        <w:tc>
          <w:tcPr>
            <w:tcW w:w="716" w:type="pct"/>
            <w:shd w:val="clear" w:color="auto" w:fill="auto"/>
            <w:tcMar>
              <w:top w:w="0" w:type="dxa"/>
              <w:left w:w="108" w:type="dxa"/>
              <w:bottom w:w="0" w:type="dxa"/>
              <w:right w:w="108" w:type="dxa"/>
            </w:tcMar>
            <w:vAlign w:val="center"/>
          </w:tcPr>
          <w:p w14:paraId="76C0609F" w14:textId="77777777" w:rsidR="000F5333" w:rsidRPr="006B341C" w:rsidRDefault="000F5333" w:rsidP="001F733C">
            <w:pPr>
              <w:jc w:val="right"/>
              <w:rPr>
                <w:color w:val="000000"/>
                <w:szCs w:val="24"/>
              </w:rPr>
            </w:pPr>
            <w:r w:rsidRPr="006B341C">
              <w:rPr>
                <w:color w:val="000000"/>
                <w:szCs w:val="24"/>
              </w:rPr>
              <w:t>$31,328.30</w:t>
            </w:r>
          </w:p>
        </w:tc>
      </w:tr>
      <w:tr w:rsidR="000F5333" w:rsidRPr="006B341C" w14:paraId="6EA2978A" w14:textId="77777777" w:rsidTr="001F733C">
        <w:tc>
          <w:tcPr>
            <w:tcW w:w="2117" w:type="pct"/>
            <w:shd w:val="clear" w:color="auto" w:fill="auto"/>
            <w:tcMar>
              <w:top w:w="0" w:type="dxa"/>
              <w:left w:w="108" w:type="dxa"/>
              <w:bottom w:w="0" w:type="dxa"/>
              <w:right w:w="108" w:type="dxa"/>
            </w:tcMar>
            <w:vAlign w:val="bottom"/>
          </w:tcPr>
          <w:p w14:paraId="537C54B8" w14:textId="77777777" w:rsidR="000F5333" w:rsidRPr="006B341C" w:rsidRDefault="000F5333" w:rsidP="001F733C">
            <w:pPr>
              <w:rPr>
                <w:bCs/>
                <w:szCs w:val="24"/>
              </w:rPr>
            </w:pPr>
            <w:r w:rsidRPr="006B341C">
              <w:rPr>
                <w:bCs/>
                <w:szCs w:val="24"/>
              </w:rPr>
              <w:t>Direct Follow-up</w:t>
            </w:r>
          </w:p>
        </w:tc>
        <w:tc>
          <w:tcPr>
            <w:tcW w:w="821" w:type="pct"/>
            <w:shd w:val="clear" w:color="auto" w:fill="auto"/>
            <w:tcMar>
              <w:top w:w="0" w:type="dxa"/>
              <w:left w:w="108" w:type="dxa"/>
              <w:bottom w:w="0" w:type="dxa"/>
              <w:right w:w="108" w:type="dxa"/>
            </w:tcMar>
            <w:vAlign w:val="center"/>
          </w:tcPr>
          <w:p w14:paraId="63CAE61E" w14:textId="77777777" w:rsidR="000F5333" w:rsidRPr="006B341C" w:rsidRDefault="000F5333" w:rsidP="001F733C">
            <w:pPr>
              <w:jc w:val="right"/>
              <w:rPr>
                <w:szCs w:val="24"/>
              </w:rPr>
            </w:pPr>
            <w:r w:rsidRPr="006B341C">
              <w:rPr>
                <w:szCs w:val="24"/>
              </w:rPr>
              <w:t>200</w:t>
            </w:r>
          </w:p>
        </w:tc>
        <w:tc>
          <w:tcPr>
            <w:tcW w:w="514" w:type="pct"/>
            <w:shd w:val="clear" w:color="auto" w:fill="auto"/>
            <w:tcMar>
              <w:top w:w="0" w:type="dxa"/>
              <w:left w:w="108" w:type="dxa"/>
              <w:bottom w:w="0" w:type="dxa"/>
              <w:right w:w="108" w:type="dxa"/>
            </w:tcMar>
            <w:vAlign w:val="center"/>
          </w:tcPr>
          <w:p w14:paraId="79EAED7A" w14:textId="77777777" w:rsidR="000F5333" w:rsidRPr="006B341C" w:rsidRDefault="000F5333" w:rsidP="001F733C">
            <w:pPr>
              <w:jc w:val="right"/>
              <w:rPr>
                <w:szCs w:val="24"/>
              </w:rPr>
            </w:pPr>
            <w:r w:rsidRPr="006B341C">
              <w:rPr>
                <w:szCs w:val="24"/>
              </w:rPr>
              <w:t>10</w:t>
            </w:r>
          </w:p>
        </w:tc>
        <w:tc>
          <w:tcPr>
            <w:tcW w:w="832" w:type="pct"/>
            <w:shd w:val="clear" w:color="auto" w:fill="auto"/>
            <w:tcMar>
              <w:top w:w="0" w:type="dxa"/>
              <w:left w:w="108" w:type="dxa"/>
              <w:bottom w:w="0" w:type="dxa"/>
              <w:right w:w="108" w:type="dxa"/>
            </w:tcMar>
            <w:vAlign w:val="center"/>
          </w:tcPr>
          <w:p w14:paraId="44A566B1" w14:textId="77777777" w:rsidR="000F5333" w:rsidRPr="006B341C" w:rsidRDefault="000F5333" w:rsidP="001F733C">
            <w:pPr>
              <w:jc w:val="right"/>
              <w:rPr>
                <w:szCs w:val="24"/>
              </w:rPr>
            </w:pPr>
            <w:r w:rsidRPr="006B341C">
              <w:rPr>
                <w:szCs w:val="24"/>
              </w:rPr>
              <w:t>$12.85</w:t>
            </w:r>
          </w:p>
        </w:tc>
        <w:tc>
          <w:tcPr>
            <w:tcW w:w="716" w:type="pct"/>
            <w:shd w:val="clear" w:color="auto" w:fill="auto"/>
            <w:tcMar>
              <w:top w:w="0" w:type="dxa"/>
              <w:left w:w="108" w:type="dxa"/>
              <w:bottom w:w="0" w:type="dxa"/>
              <w:right w:w="108" w:type="dxa"/>
            </w:tcMar>
            <w:vAlign w:val="center"/>
          </w:tcPr>
          <w:p w14:paraId="18617A6E" w14:textId="77777777" w:rsidR="000F5333" w:rsidRPr="006B341C" w:rsidRDefault="000F5333" w:rsidP="001F733C">
            <w:pPr>
              <w:jc w:val="right"/>
              <w:rPr>
                <w:color w:val="000000"/>
                <w:szCs w:val="24"/>
              </w:rPr>
            </w:pPr>
            <w:r w:rsidRPr="006B341C">
              <w:rPr>
                <w:color w:val="000000"/>
                <w:szCs w:val="24"/>
              </w:rPr>
              <w:t>$128.50</w:t>
            </w:r>
          </w:p>
        </w:tc>
      </w:tr>
      <w:tr w:rsidR="000F5333" w:rsidRPr="006B341C" w14:paraId="6455B99D" w14:textId="77777777" w:rsidTr="001F733C">
        <w:tc>
          <w:tcPr>
            <w:tcW w:w="2117" w:type="pct"/>
            <w:shd w:val="clear" w:color="auto" w:fill="auto"/>
            <w:tcMar>
              <w:top w:w="0" w:type="dxa"/>
              <w:left w:w="108" w:type="dxa"/>
              <w:bottom w:w="0" w:type="dxa"/>
              <w:right w:w="108" w:type="dxa"/>
            </w:tcMar>
            <w:vAlign w:val="bottom"/>
          </w:tcPr>
          <w:p w14:paraId="6E9C7135" w14:textId="77777777" w:rsidR="000F5333" w:rsidRPr="006B341C" w:rsidRDefault="000F5333" w:rsidP="001F733C">
            <w:pPr>
              <w:rPr>
                <w:bCs/>
                <w:szCs w:val="24"/>
              </w:rPr>
            </w:pPr>
            <w:r w:rsidRPr="006B341C">
              <w:rPr>
                <w:bCs/>
                <w:szCs w:val="24"/>
              </w:rPr>
              <w:t>General Feedback Web Survey</w:t>
            </w:r>
          </w:p>
        </w:tc>
        <w:tc>
          <w:tcPr>
            <w:tcW w:w="821" w:type="pct"/>
            <w:shd w:val="clear" w:color="auto" w:fill="auto"/>
            <w:tcMar>
              <w:top w:w="0" w:type="dxa"/>
              <w:left w:w="108" w:type="dxa"/>
              <w:bottom w:w="0" w:type="dxa"/>
              <w:right w:w="108" w:type="dxa"/>
            </w:tcMar>
            <w:vAlign w:val="center"/>
          </w:tcPr>
          <w:p w14:paraId="02AFE3A3" w14:textId="77777777" w:rsidR="000F5333" w:rsidRPr="006B341C" w:rsidRDefault="000F5333" w:rsidP="001F733C">
            <w:pPr>
              <w:jc w:val="right"/>
              <w:rPr>
                <w:szCs w:val="24"/>
              </w:rPr>
            </w:pPr>
            <w:r w:rsidRPr="006B341C">
              <w:rPr>
                <w:szCs w:val="24"/>
              </w:rPr>
              <w:t>15,020</w:t>
            </w:r>
          </w:p>
        </w:tc>
        <w:tc>
          <w:tcPr>
            <w:tcW w:w="514" w:type="pct"/>
            <w:shd w:val="clear" w:color="auto" w:fill="auto"/>
            <w:tcMar>
              <w:top w:w="0" w:type="dxa"/>
              <w:left w:w="108" w:type="dxa"/>
              <w:bottom w:w="0" w:type="dxa"/>
              <w:right w:w="108" w:type="dxa"/>
            </w:tcMar>
            <w:vAlign w:val="center"/>
          </w:tcPr>
          <w:p w14:paraId="30BC8E8D" w14:textId="77777777" w:rsidR="000F5333" w:rsidRPr="006B341C" w:rsidRDefault="000F5333" w:rsidP="001F733C">
            <w:pPr>
              <w:jc w:val="right"/>
              <w:rPr>
                <w:szCs w:val="24"/>
              </w:rPr>
            </w:pPr>
            <w:r w:rsidRPr="006B341C">
              <w:rPr>
                <w:szCs w:val="24"/>
              </w:rPr>
              <w:t>451</w:t>
            </w:r>
          </w:p>
        </w:tc>
        <w:tc>
          <w:tcPr>
            <w:tcW w:w="832" w:type="pct"/>
            <w:shd w:val="clear" w:color="auto" w:fill="auto"/>
            <w:tcMar>
              <w:top w:w="0" w:type="dxa"/>
              <w:left w:w="108" w:type="dxa"/>
              <w:bottom w:w="0" w:type="dxa"/>
              <w:right w:w="108" w:type="dxa"/>
            </w:tcMar>
            <w:vAlign w:val="center"/>
          </w:tcPr>
          <w:p w14:paraId="4CB582C1" w14:textId="77777777" w:rsidR="000F5333" w:rsidRPr="006B341C" w:rsidRDefault="000F5333" w:rsidP="001F733C">
            <w:pPr>
              <w:jc w:val="right"/>
              <w:rPr>
                <w:szCs w:val="24"/>
              </w:rPr>
            </w:pPr>
            <w:r w:rsidRPr="006B341C">
              <w:rPr>
                <w:szCs w:val="24"/>
              </w:rPr>
              <w:t>$12.85</w:t>
            </w:r>
          </w:p>
        </w:tc>
        <w:tc>
          <w:tcPr>
            <w:tcW w:w="716" w:type="pct"/>
            <w:shd w:val="clear" w:color="auto" w:fill="auto"/>
            <w:tcMar>
              <w:top w:w="0" w:type="dxa"/>
              <w:left w:w="108" w:type="dxa"/>
              <w:bottom w:w="0" w:type="dxa"/>
              <w:right w:w="108" w:type="dxa"/>
            </w:tcMar>
            <w:vAlign w:val="center"/>
          </w:tcPr>
          <w:p w14:paraId="6A65F430" w14:textId="77777777" w:rsidR="000F5333" w:rsidRPr="006B341C" w:rsidRDefault="000F5333" w:rsidP="001F733C">
            <w:pPr>
              <w:jc w:val="right"/>
              <w:rPr>
                <w:color w:val="000000"/>
                <w:szCs w:val="24"/>
              </w:rPr>
            </w:pPr>
            <w:r w:rsidRPr="006B341C">
              <w:rPr>
                <w:color w:val="000000"/>
                <w:szCs w:val="24"/>
              </w:rPr>
              <w:t>$5,795.35</w:t>
            </w:r>
          </w:p>
        </w:tc>
      </w:tr>
      <w:tr w:rsidR="000F5333" w:rsidRPr="006B341C" w14:paraId="703A3F46" w14:textId="77777777" w:rsidTr="001F733C">
        <w:tc>
          <w:tcPr>
            <w:tcW w:w="2117" w:type="pct"/>
            <w:shd w:val="clear" w:color="auto" w:fill="auto"/>
            <w:tcMar>
              <w:top w:w="0" w:type="dxa"/>
              <w:left w:w="108" w:type="dxa"/>
              <w:bottom w:w="0" w:type="dxa"/>
              <w:right w:w="108" w:type="dxa"/>
            </w:tcMar>
            <w:vAlign w:val="bottom"/>
          </w:tcPr>
          <w:p w14:paraId="47BEB69E" w14:textId="77777777" w:rsidR="000F5333" w:rsidRPr="006B341C" w:rsidRDefault="000F5333" w:rsidP="001F733C">
            <w:pPr>
              <w:jc w:val="right"/>
              <w:rPr>
                <w:b/>
                <w:bCs/>
                <w:szCs w:val="24"/>
              </w:rPr>
            </w:pPr>
            <w:r w:rsidRPr="006B341C">
              <w:rPr>
                <w:b/>
                <w:bCs/>
                <w:szCs w:val="24"/>
              </w:rPr>
              <w:t xml:space="preserve">                 Total</w:t>
            </w:r>
          </w:p>
        </w:tc>
        <w:tc>
          <w:tcPr>
            <w:tcW w:w="821" w:type="pct"/>
            <w:shd w:val="clear" w:color="auto" w:fill="auto"/>
            <w:tcMar>
              <w:top w:w="0" w:type="dxa"/>
              <w:left w:w="108" w:type="dxa"/>
              <w:bottom w:w="0" w:type="dxa"/>
              <w:right w:w="108" w:type="dxa"/>
            </w:tcMar>
            <w:vAlign w:val="center"/>
          </w:tcPr>
          <w:p w14:paraId="7A70AB87" w14:textId="77777777" w:rsidR="000F5333" w:rsidRPr="006B341C" w:rsidRDefault="000F5333" w:rsidP="001F733C">
            <w:pPr>
              <w:jc w:val="right"/>
              <w:rPr>
                <w:b/>
                <w:szCs w:val="24"/>
              </w:rPr>
            </w:pPr>
            <w:r w:rsidRPr="006B341C">
              <w:rPr>
                <w:b/>
                <w:szCs w:val="24"/>
              </w:rPr>
              <w:t>24,970</w:t>
            </w:r>
          </w:p>
        </w:tc>
        <w:tc>
          <w:tcPr>
            <w:tcW w:w="514" w:type="pct"/>
            <w:shd w:val="clear" w:color="auto" w:fill="auto"/>
            <w:tcMar>
              <w:top w:w="0" w:type="dxa"/>
              <w:left w:w="108" w:type="dxa"/>
              <w:bottom w:w="0" w:type="dxa"/>
              <w:right w:w="108" w:type="dxa"/>
            </w:tcMar>
            <w:vAlign w:val="center"/>
          </w:tcPr>
          <w:p w14:paraId="4F715BF8" w14:textId="77777777" w:rsidR="000F5333" w:rsidRPr="006B341C" w:rsidRDefault="000F5333" w:rsidP="001F733C">
            <w:pPr>
              <w:jc w:val="right"/>
              <w:rPr>
                <w:b/>
                <w:szCs w:val="24"/>
              </w:rPr>
            </w:pPr>
            <w:r w:rsidRPr="006B341C">
              <w:rPr>
                <w:b/>
                <w:szCs w:val="24"/>
              </w:rPr>
              <w:t>2,899</w:t>
            </w:r>
          </w:p>
        </w:tc>
        <w:tc>
          <w:tcPr>
            <w:tcW w:w="832" w:type="pct"/>
            <w:shd w:val="clear" w:color="auto" w:fill="auto"/>
            <w:tcMar>
              <w:top w:w="0" w:type="dxa"/>
              <w:left w:w="108" w:type="dxa"/>
              <w:bottom w:w="0" w:type="dxa"/>
              <w:right w:w="108" w:type="dxa"/>
            </w:tcMar>
            <w:vAlign w:val="center"/>
          </w:tcPr>
          <w:p w14:paraId="4AE211BC" w14:textId="77777777" w:rsidR="000F5333" w:rsidRPr="006B341C" w:rsidRDefault="000F5333" w:rsidP="001F733C">
            <w:pPr>
              <w:jc w:val="right"/>
              <w:rPr>
                <w:b/>
                <w:szCs w:val="24"/>
              </w:rPr>
            </w:pPr>
          </w:p>
        </w:tc>
        <w:tc>
          <w:tcPr>
            <w:tcW w:w="716" w:type="pct"/>
            <w:shd w:val="clear" w:color="auto" w:fill="auto"/>
            <w:tcMar>
              <w:top w:w="0" w:type="dxa"/>
              <w:left w:w="108" w:type="dxa"/>
              <w:bottom w:w="0" w:type="dxa"/>
              <w:right w:w="108" w:type="dxa"/>
            </w:tcMar>
            <w:vAlign w:val="center"/>
          </w:tcPr>
          <w:p w14:paraId="5DCF2E90" w14:textId="77777777" w:rsidR="000F5333" w:rsidRPr="006B341C" w:rsidRDefault="000F5333" w:rsidP="001F733C">
            <w:pPr>
              <w:jc w:val="right"/>
              <w:rPr>
                <w:b/>
                <w:color w:val="000000"/>
                <w:szCs w:val="24"/>
              </w:rPr>
            </w:pPr>
            <w:r w:rsidRPr="006B341C">
              <w:rPr>
                <w:b/>
                <w:color w:val="000000"/>
                <w:szCs w:val="24"/>
              </w:rPr>
              <w:t>$37,252.15</w:t>
            </w:r>
          </w:p>
        </w:tc>
      </w:tr>
    </w:tbl>
    <w:p w14:paraId="059A4F07" w14:textId="77777777" w:rsidR="000F5333" w:rsidRDefault="000F5333" w:rsidP="000F5333">
      <w:pPr>
        <w:pStyle w:val="BodyText2"/>
        <w:ind w:left="360"/>
        <w:rPr>
          <w:b/>
          <w:sz w:val="24"/>
          <w:szCs w:val="24"/>
        </w:rPr>
      </w:pPr>
    </w:p>
    <w:p w14:paraId="0BD676EB" w14:textId="77777777" w:rsidR="000F5333" w:rsidRPr="00A35957" w:rsidRDefault="000F5333" w:rsidP="000F5333">
      <w:pPr>
        <w:pStyle w:val="BodyText2"/>
        <w:numPr>
          <w:ilvl w:val="0"/>
          <w:numId w:val="22"/>
        </w:numPr>
        <w:rPr>
          <w:b/>
          <w:sz w:val="24"/>
          <w:szCs w:val="24"/>
        </w:rPr>
      </w:pPr>
      <w:r w:rsidRPr="00A35957">
        <w:rPr>
          <w:b/>
          <w:sz w:val="24"/>
          <w:szCs w:val="24"/>
        </w:rPr>
        <w:t>Estimate of Annualized Capital and Maintenance Costs</w:t>
      </w:r>
    </w:p>
    <w:p w14:paraId="3D9CD1C4" w14:textId="77777777" w:rsidR="000F5333" w:rsidRPr="00986CBD" w:rsidRDefault="000F5333" w:rsidP="000F5333">
      <w:pPr>
        <w:pStyle w:val="BodyText2"/>
        <w:rPr>
          <w:sz w:val="24"/>
          <w:szCs w:val="24"/>
          <w:highlight w:val="yellow"/>
        </w:rPr>
      </w:pPr>
    </w:p>
    <w:p w14:paraId="44280F1D" w14:textId="77777777" w:rsidR="000F5333" w:rsidRPr="00173FA7" w:rsidRDefault="000F5333" w:rsidP="000F5333">
      <w:pPr>
        <w:pStyle w:val="BodyText2"/>
        <w:rPr>
          <w:sz w:val="24"/>
          <w:szCs w:val="24"/>
        </w:rPr>
      </w:pPr>
      <w:r w:rsidRPr="00173FA7">
        <w:rPr>
          <w:sz w:val="24"/>
          <w:szCs w:val="24"/>
        </w:rPr>
        <w:t xml:space="preserve">There are no </w:t>
      </w:r>
      <w:r>
        <w:rPr>
          <w:sz w:val="24"/>
          <w:szCs w:val="24"/>
        </w:rPr>
        <w:t>capital</w:t>
      </w:r>
      <w:r w:rsidRPr="00173FA7">
        <w:rPr>
          <w:sz w:val="24"/>
          <w:szCs w:val="24"/>
        </w:rPr>
        <w:t xml:space="preserve"> costs.</w:t>
      </w:r>
    </w:p>
    <w:p w14:paraId="4FD8AD3E" w14:textId="77777777" w:rsidR="000F5333" w:rsidRPr="00173FA7" w:rsidRDefault="000F5333" w:rsidP="000F5333">
      <w:pPr>
        <w:pStyle w:val="BodyText2"/>
        <w:rPr>
          <w:sz w:val="24"/>
          <w:szCs w:val="24"/>
          <w:highlight w:val="yellow"/>
        </w:rPr>
      </w:pPr>
    </w:p>
    <w:p w14:paraId="467AF7F8" w14:textId="77777777" w:rsidR="000F5333" w:rsidRPr="00173FA7" w:rsidRDefault="000F5333" w:rsidP="000F5333">
      <w:pPr>
        <w:pStyle w:val="BodyText2"/>
        <w:numPr>
          <w:ilvl w:val="0"/>
          <w:numId w:val="22"/>
        </w:numPr>
        <w:rPr>
          <w:b/>
          <w:sz w:val="24"/>
          <w:szCs w:val="24"/>
        </w:rPr>
      </w:pPr>
      <w:r w:rsidRPr="00173FA7">
        <w:rPr>
          <w:b/>
          <w:sz w:val="24"/>
          <w:szCs w:val="24"/>
        </w:rPr>
        <w:t>Estimate of Annualized Cost to the Government</w:t>
      </w:r>
    </w:p>
    <w:p w14:paraId="7687B3C4" w14:textId="77777777" w:rsidR="000F5333" w:rsidRPr="00173FA7" w:rsidRDefault="000F5333" w:rsidP="000F5333">
      <w:pPr>
        <w:pStyle w:val="BodyText2"/>
        <w:rPr>
          <w:b/>
          <w:sz w:val="24"/>
          <w:szCs w:val="24"/>
        </w:rPr>
      </w:pPr>
    </w:p>
    <w:p w14:paraId="4F085BC4" w14:textId="77777777" w:rsidR="000F5333" w:rsidRPr="00173FA7" w:rsidRDefault="000F5333" w:rsidP="000F5333">
      <w:pPr>
        <w:pStyle w:val="BodyText2"/>
        <w:rPr>
          <w:sz w:val="24"/>
          <w:szCs w:val="24"/>
        </w:rPr>
      </w:pPr>
      <w:r w:rsidRPr="00173FA7">
        <w:rPr>
          <w:sz w:val="24"/>
          <w:szCs w:val="24"/>
        </w:rPr>
        <w:t>The cost estimates for administering the Beneficiary and Family Centered Care, Oversight &amp; Review Center, Beneficiary and Family Centered Data Collection are shown below. Annual cost estimates are presented in Exhibit 4 for each of the data collection initiatives.</w:t>
      </w:r>
    </w:p>
    <w:p w14:paraId="0EB547E5" w14:textId="77777777" w:rsidR="000F5333" w:rsidRPr="00173FA7" w:rsidRDefault="000F5333" w:rsidP="000F5333">
      <w:pPr>
        <w:pStyle w:val="BodyText2"/>
        <w:rPr>
          <w:sz w:val="24"/>
          <w:szCs w:val="24"/>
        </w:rPr>
      </w:pPr>
    </w:p>
    <w:p w14:paraId="5B93DFED" w14:textId="5B6BECD8" w:rsidR="000F5333" w:rsidRPr="00173FA7" w:rsidRDefault="000F5333" w:rsidP="000F5333">
      <w:pPr>
        <w:pStyle w:val="BodyText2"/>
        <w:rPr>
          <w:b/>
          <w:sz w:val="24"/>
          <w:szCs w:val="24"/>
        </w:rPr>
      </w:pPr>
      <w:r w:rsidRPr="00173FA7">
        <w:rPr>
          <w:b/>
          <w:sz w:val="24"/>
          <w:szCs w:val="24"/>
        </w:rPr>
        <w:t>Exhibit 4</w:t>
      </w:r>
      <w:r>
        <w:rPr>
          <w:b/>
          <w:sz w:val="24"/>
          <w:szCs w:val="24"/>
        </w:rPr>
        <w:t>: Estimated annualized cost to the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000" w:firstRow="0" w:lastRow="0" w:firstColumn="0" w:lastColumn="0" w:noHBand="0" w:noVBand="0"/>
      </w:tblPr>
      <w:tblGrid>
        <w:gridCol w:w="2707"/>
        <w:gridCol w:w="1757"/>
        <w:gridCol w:w="1758"/>
        <w:gridCol w:w="1758"/>
        <w:gridCol w:w="1596"/>
      </w:tblGrid>
      <w:tr w:rsidR="000F5333" w:rsidRPr="006B341C" w14:paraId="4D819656" w14:textId="77777777" w:rsidTr="001F733C">
        <w:tc>
          <w:tcPr>
            <w:tcW w:w="1419" w:type="pct"/>
            <w:shd w:val="clear" w:color="auto" w:fill="auto"/>
            <w:tcMar>
              <w:top w:w="0" w:type="dxa"/>
              <w:left w:w="108" w:type="dxa"/>
              <w:bottom w:w="0" w:type="dxa"/>
              <w:right w:w="108" w:type="dxa"/>
            </w:tcMar>
            <w:vAlign w:val="bottom"/>
          </w:tcPr>
          <w:p w14:paraId="530268BA" w14:textId="77777777" w:rsidR="000F5333" w:rsidRPr="006B341C" w:rsidRDefault="000F5333" w:rsidP="001F733C">
            <w:pPr>
              <w:rPr>
                <w:b/>
                <w:szCs w:val="24"/>
              </w:rPr>
            </w:pPr>
            <w:r w:rsidRPr="006B341C">
              <w:rPr>
                <w:b/>
                <w:szCs w:val="24"/>
              </w:rPr>
              <w:t>Data Collection</w:t>
            </w:r>
          </w:p>
        </w:tc>
        <w:tc>
          <w:tcPr>
            <w:tcW w:w="923" w:type="pct"/>
            <w:shd w:val="clear" w:color="auto" w:fill="auto"/>
            <w:tcMar>
              <w:top w:w="0" w:type="dxa"/>
              <w:left w:w="108" w:type="dxa"/>
              <w:bottom w:w="0" w:type="dxa"/>
              <w:right w:w="108" w:type="dxa"/>
            </w:tcMar>
            <w:vAlign w:val="center"/>
          </w:tcPr>
          <w:p w14:paraId="1E789B69" w14:textId="77777777" w:rsidR="000F5333" w:rsidRPr="006B341C" w:rsidRDefault="000F5333" w:rsidP="001F733C">
            <w:pPr>
              <w:jc w:val="center"/>
              <w:rPr>
                <w:b/>
                <w:szCs w:val="24"/>
              </w:rPr>
            </w:pPr>
            <w:r w:rsidRPr="006B341C">
              <w:rPr>
                <w:b/>
                <w:szCs w:val="24"/>
              </w:rPr>
              <w:t xml:space="preserve">Year 1 </w:t>
            </w:r>
          </w:p>
          <w:p w14:paraId="13EEDDF1" w14:textId="77777777" w:rsidR="000F5333" w:rsidRPr="006B341C" w:rsidRDefault="000F5333" w:rsidP="001F733C">
            <w:pPr>
              <w:jc w:val="center"/>
              <w:rPr>
                <w:b/>
                <w:szCs w:val="24"/>
              </w:rPr>
            </w:pPr>
            <w:r w:rsidRPr="006B341C">
              <w:rPr>
                <w:b/>
                <w:szCs w:val="24"/>
              </w:rPr>
              <w:t>(Option Year 2)</w:t>
            </w:r>
          </w:p>
        </w:tc>
        <w:tc>
          <w:tcPr>
            <w:tcW w:w="923" w:type="pct"/>
            <w:vAlign w:val="center"/>
          </w:tcPr>
          <w:p w14:paraId="4DC53560" w14:textId="77777777" w:rsidR="000F5333" w:rsidRPr="006B341C" w:rsidRDefault="000F5333" w:rsidP="001F733C">
            <w:pPr>
              <w:jc w:val="center"/>
              <w:rPr>
                <w:b/>
                <w:szCs w:val="24"/>
              </w:rPr>
            </w:pPr>
            <w:r w:rsidRPr="006B341C">
              <w:rPr>
                <w:b/>
                <w:szCs w:val="24"/>
              </w:rPr>
              <w:t xml:space="preserve">Year 2 </w:t>
            </w:r>
          </w:p>
          <w:p w14:paraId="219D8103" w14:textId="77777777" w:rsidR="000F5333" w:rsidRPr="006B341C" w:rsidRDefault="000F5333" w:rsidP="001F733C">
            <w:pPr>
              <w:jc w:val="center"/>
              <w:rPr>
                <w:b/>
                <w:szCs w:val="24"/>
              </w:rPr>
            </w:pPr>
            <w:r w:rsidRPr="006B341C">
              <w:rPr>
                <w:b/>
                <w:szCs w:val="24"/>
              </w:rPr>
              <w:t>(Option Year 3</w:t>
            </w:r>
          </w:p>
        </w:tc>
        <w:tc>
          <w:tcPr>
            <w:tcW w:w="923" w:type="pct"/>
            <w:vAlign w:val="center"/>
          </w:tcPr>
          <w:p w14:paraId="326B2177" w14:textId="77777777" w:rsidR="000F5333" w:rsidRPr="006B341C" w:rsidRDefault="000F5333" w:rsidP="001F733C">
            <w:pPr>
              <w:jc w:val="center"/>
              <w:rPr>
                <w:b/>
                <w:szCs w:val="24"/>
              </w:rPr>
            </w:pPr>
            <w:r w:rsidRPr="006B341C">
              <w:rPr>
                <w:b/>
                <w:szCs w:val="24"/>
              </w:rPr>
              <w:t>Year 3</w:t>
            </w:r>
          </w:p>
          <w:p w14:paraId="52EF8FBF" w14:textId="77777777" w:rsidR="000F5333" w:rsidRPr="006B341C" w:rsidRDefault="000F5333" w:rsidP="001F733C">
            <w:pPr>
              <w:jc w:val="center"/>
              <w:rPr>
                <w:b/>
                <w:szCs w:val="24"/>
              </w:rPr>
            </w:pPr>
            <w:r w:rsidRPr="006B341C">
              <w:rPr>
                <w:b/>
                <w:szCs w:val="24"/>
              </w:rPr>
              <w:t>(Option Year 4)</w:t>
            </w:r>
          </w:p>
        </w:tc>
        <w:tc>
          <w:tcPr>
            <w:tcW w:w="813" w:type="pct"/>
            <w:shd w:val="clear" w:color="auto" w:fill="auto"/>
            <w:tcMar>
              <w:top w:w="0" w:type="dxa"/>
              <w:left w:w="108" w:type="dxa"/>
              <w:bottom w:w="0" w:type="dxa"/>
              <w:right w:w="108" w:type="dxa"/>
            </w:tcMar>
            <w:vAlign w:val="center"/>
          </w:tcPr>
          <w:p w14:paraId="4B6A7119" w14:textId="77777777" w:rsidR="000F5333" w:rsidRPr="006B341C" w:rsidRDefault="000F5333" w:rsidP="001F733C">
            <w:pPr>
              <w:jc w:val="center"/>
              <w:rPr>
                <w:b/>
                <w:szCs w:val="24"/>
              </w:rPr>
            </w:pPr>
            <w:r w:rsidRPr="006B341C">
              <w:rPr>
                <w:b/>
                <w:szCs w:val="24"/>
              </w:rPr>
              <w:t>Total</w:t>
            </w:r>
          </w:p>
        </w:tc>
      </w:tr>
      <w:tr w:rsidR="000F5333" w:rsidRPr="006B341C" w14:paraId="5A582C5F" w14:textId="77777777" w:rsidTr="001F733C">
        <w:tc>
          <w:tcPr>
            <w:tcW w:w="1419" w:type="pct"/>
            <w:shd w:val="clear" w:color="auto" w:fill="auto"/>
            <w:tcMar>
              <w:top w:w="0" w:type="dxa"/>
              <w:left w:w="108" w:type="dxa"/>
              <w:bottom w:w="0" w:type="dxa"/>
              <w:right w:w="108" w:type="dxa"/>
            </w:tcMar>
            <w:vAlign w:val="bottom"/>
          </w:tcPr>
          <w:p w14:paraId="7F713B4D" w14:textId="77777777" w:rsidR="000F5333" w:rsidRPr="006B341C" w:rsidRDefault="000F5333" w:rsidP="001F733C">
            <w:pPr>
              <w:rPr>
                <w:szCs w:val="24"/>
              </w:rPr>
            </w:pPr>
            <w:r w:rsidRPr="006B341C">
              <w:rPr>
                <w:szCs w:val="24"/>
              </w:rPr>
              <w:t>Experience Survey</w:t>
            </w:r>
          </w:p>
        </w:tc>
        <w:tc>
          <w:tcPr>
            <w:tcW w:w="923" w:type="pct"/>
            <w:shd w:val="clear" w:color="auto" w:fill="auto"/>
            <w:tcMar>
              <w:top w:w="0" w:type="dxa"/>
              <w:left w:w="108" w:type="dxa"/>
              <w:bottom w:w="0" w:type="dxa"/>
              <w:right w:w="108" w:type="dxa"/>
            </w:tcMar>
            <w:vAlign w:val="center"/>
          </w:tcPr>
          <w:p w14:paraId="35FD05EA" w14:textId="77777777" w:rsidR="000F5333" w:rsidRPr="006B341C" w:rsidRDefault="000F5333" w:rsidP="001F733C">
            <w:pPr>
              <w:jc w:val="right"/>
              <w:rPr>
                <w:szCs w:val="24"/>
              </w:rPr>
            </w:pPr>
            <w:r w:rsidRPr="006B341C">
              <w:rPr>
                <w:color w:val="000000"/>
                <w:szCs w:val="24"/>
              </w:rPr>
              <w:t>$1,363,312.97</w:t>
            </w:r>
          </w:p>
        </w:tc>
        <w:tc>
          <w:tcPr>
            <w:tcW w:w="923" w:type="pct"/>
            <w:vAlign w:val="center"/>
          </w:tcPr>
          <w:p w14:paraId="46D8AF1C" w14:textId="77777777" w:rsidR="000F5333" w:rsidRPr="006B341C" w:rsidRDefault="000F5333" w:rsidP="001F733C">
            <w:pPr>
              <w:jc w:val="right"/>
              <w:rPr>
                <w:szCs w:val="24"/>
              </w:rPr>
            </w:pPr>
            <w:r w:rsidRPr="006B341C">
              <w:rPr>
                <w:color w:val="000000"/>
                <w:szCs w:val="24"/>
              </w:rPr>
              <w:t>$1,411,028.92</w:t>
            </w:r>
          </w:p>
        </w:tc>
        <w:tc>
          <w:tcPr>
            <w:tcW w:w="923" w:type="pct"/>
            <w:vAlign w:val="center"/>
          </w:tcPr>
          <w:p w14:paraId="01C29B7E" w14:textId="77777777" w:rsidR="000F5333" w:rsidRPr="006B341C" w:rsidRDefault="000F5333" w:rsidP="001F733C">
            <w:pPr>
              <w:jc w:val="right"/>
              <w:rPr>
                <w:szCs w:val="24"/>
              </w:rPr>
            </w:pPr>
            <w:r w:rsidRPr="006B341C">
              <w:rPr>
                <w:color w:val="000000"/>
                <w:szCs w:val="24"/>
              </w:rPr>
              <w:t>$1,460,414.93</w:t>
            </w:r>
          </w:p>
        </w:tc>
        <w:tc>
          <w:tcPr>
            <w:tcW w:w="813" w:type="pct"/>
            <w:shd w:val="clear" w:color="auto" w:fill="auto"/>
            <w:tcMar>
              <w:top w:w="0" w:type="dxa"/>
              <w:left w:w="108" w:type="dxa"/>
              <w:bottom w:w="0" w:type="dxa"/>
              <w:right w:w="108" w:type="dxa"/>
            </w:tcMar>
            <w:vAlign w:val="center"/>
          </w:tcPr>
          <w:p w14:paraId="21D3EDD8" w14:textId="77777777" w:rsidR="000F5333" w:rsidRPr="006B341C" w:rsidRDefault="000F5333" w:rsidP="001F733C">
            <w:pPr>
              <w:jc w:val="right"/>
              <w:rPr>
                <w:szCs w:val="24"/>
              </w:rPr>
            </w:pPr>
            <w:r w:rsidRPr="006B341C">
              <w:rPr>
                <w:color w:val="000000"/>
                <w:szCs w:val="24"/>
              </w:rPr>
              <w:t>$4,234,756.82</w:t>
            </w:r>
          </w:p>
        </w:tc>
      </w:tr>
      <w:tr w:rsidR="000F5333" w:rsidRPr="006B341C" w14:paraId="3E3A5917" w14:textId="77777777" w:rsidTr="001F733C">
        <w:tc>
          <w:tcPr>
            <w:tcW w:w="1419" w:type="pct"/>
            <w:shd w:val="clear" w:color="auto" w:fill="auto"/>
            <w:tcMar>
              <w:top w:w="0" w:type="dxa"/>
              <w:left w:w="108" w:type="dxa"/>
              <w:bottom w:w="0" w:type="dxa"/>
              <w:right w:w="108" w:type="dxa"/>
            </w:tcMar>
            <w:vAlign w:val="bottom"/>
          </w:tcPr>
          <w:p w14:paraId="03AB0C23" w14:textId="77777777" w:rsidR="000F5333" w:rsidRPr="006B341C" w:rsidRDefault="000F5333" w:rsidP="001F733C">
            <w:pPr>
              <w:rPr>
                <w:bCs/>
                <w:szCs w:val="24"/>
              </w:rPr>
            </w:pPr>
            <w:r w:rsidRPr="006B341C">
              <w:rPr>
                <w:bCs/>
                <w:szCs w:val="24"/>
              </w:rPr>
              <w:t>Direct Follow-up</w:t>
            </w:r>
          </w:p>
        </w:tc>
        <w:tc>
          <w:tcPr>
            <w:tcW w:w="923" w:type="pct"/>
            <w:shd w:val="clear" w:color="auto" w:fill="auto"/>
            <w:tcMar>
              <w:top w:w="0" w:type="dxa"/>
              <w:left w:w="108" w:type="dxa"/>
              <w:bottom w:w="0" w:type="dxa"/>
              <w:right w:w="108" w:type="dxa"/>
            </w:tcMar>
            <w:vAlign w:val="center"/>
          </w:tcPr>
          <w:p w14:paraId="53FD431A" w14:textId="77777777" w:rsidR="000F5333" w:rsidRPr="006B341C" w:rsidRDefault="000F5333" w:rsidP="001F733C">
            <w:pPr>
              <w:jc w:val="right"/>
              <w:rPr>
                <w:szCs w:val="24"/>
              </w:rPr>
            </w:pPr>
            <w:r w:rsidRPr="006B341C">
              <w:rPr>
                <w:color w:val="000000"/>
                <w:szCs w:val="24"/>
              </w:rPr>
              <w:t>$83,729.70</w:t>
            </w:r>
          </w:p>
        </w:tc>
        <w:tc>
          <w:tcPr>
            <w:tcW w:w="923" w:type="pct"/>
            <w:vAlign w:val="center"/>
          </w:tcPr>
          <w:p w14:paraId="3604129D" w14:textId="77777777" w:rsidR="000F5333" w:rsidRPr="006B341C" w:rsidRDefault="000F5333" w:rsidP="001F733C">
            <w:pPr>
              <w:jc w:val="right"/>
              <w:rPr>
                <w:szCs w:val="24"/>
              </w:rPr>
            </w:pPr>
            <w:r w:rsidRPr="006B341C">
              <w:rPr>
                <w:color w:val="000000"/>
                <w:szCs w:val="24"/>
              </w:rPr>
              <w:t>$85,655.48</w:t>
            </w:r>
          </w:p>
        </w:tc>
        <w:tc>
          <w:tcPr>
            <w:tcW w:w="923" w:type="pct"/>
            <w:vAlign w:val="center"/>
          </w:tcPr>
          <w:p w14:paraId="554AE687" w14:textId="77777777" w:rsidR="000F5333" w:rsidRPr="006B341C" w:rsidRDefault="000F5333" w:rsidP="001F733C">
            <w:pPr>
              <w:jc w:val="right"/>
              <w:rPr>
                <w:szCs w:val="24"/>
              </w:rPr>
            </w:pPr>
            <w:r w:rsidRPr="006B341C">
              <w:rPr>
                <w:color w:val="000000"/>
                <w:szCs w:val="24"/>
              </w:rPr>
              <w:t>$87,625.56</w:t>
            </w:r>
          </w:p>
        </w:tc>
        <w:tc>
          <w:tcPr>
            <w:tcW w:w="813" w:type="pct"/>
            <w:shd w:val="clear" w:color="auto" w:fill="auto"/>
            <w:tcMar>
              <w:top w:w="0" w:type="dxa"/>
              <w:left w:w="108" w:type="dxa"/>
              <w:bottom w:w="0" w:type="dxa"/>
              <w:right w:w="108" w:type="dxa"/>
            </w:tcMar>
            <w:vAlign w:val="bottom"/>
          </w:tcPr>
          <w:p w14:paraId="357AAC8C" w14:textId="77777777" w:rsidR="000F5333" w:rsidRPr="006B341C" w:rsidRDefault="000F5333" w:rsidP="001F733C">
            <w:pPr>
              <w:jc w:val="right"/>
              <w:rPr>
                <w:szCs w:val="24"/>
              </w:rPr>
            </w:pPr>
            <w:r w:rsidRPr="006B341C">
              <w:rPr>
                <w:color w:val="000000"/>
                <w:szCs w:val="24"/>
              </w:rPr>
              <w:t>$257,010.73</w:t>
            </w:r>
          </w:p>
        </w:tc>
      </w:tr>
      <w:tr w:rsidR="000F5333" w:rsidRPr="006B341C" w14:paraId="0B2C4AE7" w14:textId="77777777" w:rsidTr="001F733C">
        <w:tc>
          <w:tcPr>
            <w:tcW w:w="1419" w:type="pct"/>
            <w:shd w:val="clear" w:color="auto" w:fill="auto"/>
            <w:tcMar>
              <w:top w:w="0" w:type="dxa"/>
              <w:left w:w="108" w:type="dxa"/>
              <w:bottom w:w="0" w:type="dxa"/>
              <w:right w:w="108" w:type="dxa"/>
            </w:tcMar>
            <w:vAlign w:val="bottom"/>
          </w:tcPr>
          <w:p w14:paraId="5F78A637" w14:textId="77777777" w:rsidR="000F5333" w:rsidRPr="006B341C" w:rsidRDefault="000F5333" w:rsidP="001F733C">
            <w:pPr>
              <w:rPr>
                <w:bCs/>
                <w:szCs w:val="24"/>
              </w:rPr>
            </w:pPr>
            <w:r w:rsidRPr="006B341C">
              <w:rPr>
                <w:bCs/>
                <w:szCs w:val="24"/>
              </w:rPr>
              <w:t>General Feedback Web Survey</w:t>
            </w:r>
          </w:p>
        </w:tc>
        <w:tc>
          <w:tcPr>
            <w:tcW w:w="923" w:type="pct"/>
            <w:shd w:val="clear" w:color="auto" w:fill="auto"/>
            <w:tcMar>
              <w:top w:w="0" w:type="dxa"/>
              <w:left w:w="108" w:type="dxa"/>
              <w:bottom w:w="0" w:type="dxa"/>
              <w:right w:w="108" w:type="dxa"/>
            </w:tcMar>
            <w:vAlign w:val="center"/>
          </w:tcPr>
          <w:p w14:paraId="328D642C" w14:textId="77777777" w:rsidR="000F5333" w:rsidRPr="006B341C" w:rsidRDefault="000F5333" w:rsidP="001F733C">
            <w:pPr>
              <w:jc w:val="right"/>
              <w:rPr>
                <w:szCs w:val="24"/>
              </w:rPr>
            </w:pPr>
            <w:r w:rsidRPr="006B341C">
              <w:rPr>
                <w:color w:val="000000"/>
                <w:szCs w:val="24"/>
              </w:rPr>
              <w:t>$88,879.29</w:t>
            </w:r>
          </w:p>
        </w:tc>
        <w:tc>
          <w:tcPr>
            <w:tcW w:w="923" w:type="pct"/>
            <w:vAlign w:val="center"/>
          </w:tcPr>
          <w:p w14:paraId="7548BDCE" w14:textId="77777777" w:rsidR="000F5333" w:rsidRPr="006B341C" w:rsidRDefault="000F5333" w:rsidP="001F733C">
            <w:pPr>
              <w:jc w:val="right"/>
              <w:rPr>
                <w:szCs w:val="24"/>
              </w:rPr>
            </w:pPr>
            <w:r w:rsidRPr="006B341C">
              <w:rPr>
                <w:color w:val="000000"/>
                <w:szCs w:val="24"/>
              </w:rPr>
              <w:t>$90,923.51</w:t>
            </w:r>
          </w:p>
        </w:tc>
        <w:tc>
          <w:tcPr>
            <w:tcW w:w="923" w:type="pct"/>
            <w:vAlign w:val="center"/>
          </w:tcPr>
          <w:p w14:paraId="02A66F2B" w14:textId="77777777" w:rsidR="000F5333" w:rsidRPr="006B341C" w:rsidRDefault="000F5333" w:rsidP="001F733C">
            <w:pPr>
              <w:jc w:val="right"/>
              <w:rPr>
                <w:szCs w:val="24"/>
              </w:rPr>
            </w:pPr>
            <w:r w:rsidRPr="006B341C">
              <w:rPr>
                <w:color w:val="000000"/>
                <w:szCs w:val="24"/>
              </w:rPr>
              <w:t>$93,014.75</w:t>
            </w:r>
          </w:p>
        </w:tc>
        <w:tc>
          <w:tcPr>
            <w:tcW w:w="813" w:type="pct"/>
            <w:shd w:val="clear" w:color="auto" w:fill="auto"/>
            <w:tcMar>
              <w:top w:w="0" w:type="dxa"/>
              <w:left w:w="108" w:type="dxa"/>
              <w:bottom w:w="0" w:type="dxa"/>
              <w:right w:w="108" w:type="dxa"/>
            </w:tcMar>
            <w:vAlign w:val="bottom"/>
          </w:tcPr>
          <w:p w14:paraId="46036451" w14:textId="77777777" w:rsidR="000F5333" w:rsidRPr="006B341C" w:rsidRDefault="000F5333" w:rsidP="001F733C">
            <w:pPr>
              <w:jc w:val="right"/>
              <w:rPr>
                <w:szCs w:val="24"/>
              </w:rPr>
            </w:pPr>
            <w:r w:rsidRPr="006B341C">
              <w:rPr>
                <w:color w:val="000000"/>
                <w:szCs w:val="24"/>
              </w:rPr>
              <w:t>$272,817.56</w:t>
            </w:r>
          </w:p>
        </w:tc>
      </w:tr>
      <w:tr w:rsidR="000F5333" w:rsidRPr="006B341C" w14:paraId="224386FB" w14:textId="77777777" w:rsidTr="001F733C">
        <w:tc>
          <w:tcPr>
            <w:tcW w:w="1419" w:type="pct"/>
            <w:shd w:val="clear" w:color="auto" w:fill="auto"/>
            <w:tcMar>
              <w:top w:w="0" w:type="dxa"/>
              <w:left w:w="108" w:type="dxa"/>
              <w:bottom w:w="0" w:type="dxa"/>
              <w:right w:w="108" w:type="dxa"/>
            </w:tcMar>
            <w:vAlign w:val="bottom"/>
          </w:tcPr>
          <w:p w14:paraId="3D42315F" w14:textId="77777777" w:rsidR="000F5333" w:rsidRPr="006B341C" w:rsidRDefault="000F5333" w:rsidP="001F733C">
            <w:pPr>
              <w:jc w:val="right"/>
              <w:rPr>
                <w:b/>
                <w:bCs/>
                <w:szCs w:val="24"/>
              </w:rPr>
            </w:pPr>
            <w:r w:rsidRPr="006B341C">
              <w:rPr>
                <w:b/>
                <w:bCs/>
                <w:szCs w:val="24"/>
              </w:rPr>
              <w:t>Total</w:t>
            </w:r>
          </w:p>
        </w:tc>
        <w:tc>
          <w:tcPr>
            <w:tcW w:w="923" w:type="pct"/>
            <w:shd w:val="clear" w:color="auto" w:fill="auto"/>
            <w:tcMar>
              <w:top w:w="0" w:type="dxa"/>
              <w:left w:w="108" w:type="dxa"/>
              <w:bottom w:w="0" w:type="dxa"/>
              <w:right w:w="108" w:type="dxa"/>
            </w:tcMar>
            <w:vAlign w:val="center"/>
          </w:tcPr>
          <w:p w14:paraId="2F6CDEDB" w14:textId="77777777" w:rsidR="000F5333" w:rsidRPr="006B341C" w:rsidRDefault="000F5333" w:rsidP="001F733C">
            <w:pPr>
              <w:jc w:val="right"/>
              <w:rPr>
                <w:szCs w:val="24"/>
              </w:rPr>
            </w:pPr>
            <w:r w:rsidRPr="006B341C">
              <w:rPr>
                <w:color w:val="000000"/>
                <w:szCs w:val="24"/>
              </w:rPr>
              <w:t>$1,535,921.96</w:t>
            </w:r>
          </w:p>
        </w:tc>
        <w:tc>
          <w:tcPr>
            <w:tcW w:w="923" w:type="pct"/>
            <w:vAlign w:val="center"/>
          </w:tcPr>
          <w:p w14:paraId="7EAE4D20" w14:textId="77777777" w:rsidR="000F5333" w:rsidRPr="006B341C" w:rsidRDefault="000F5333" w:rsidP="001F733C">
            <w:pPr>
              <w:jc w:val="right"/>
              <w:rPr>
                <w:szCs w:val="24"/>
              </w:rPr>
            </w:pPr>
            <w:r w:rsidRPr="006B341C">
              <w:rPr>
                <w:color w:val="000000"/>
                <w:szCs w:val="24"/>
              </w:rPr>
              <w:t>$1,589,607.91</w:t>
            </w:r>
          </w:p>
        </w:tc>
        <w:tc>
          <w:tcPr>
            <w:tcW w:w="923" w:type="pct"/>
            <w:vAlign w:val="center"/>
          </w:tcPr>
          <w:p w14:paraId="7FD1AF18" w14:textId="77777777" w:rsidR="000F5333" w:rsidRPr="006B341C" w:rsidRDefault="000F5333" w:rsidP="001F733C">
            <w:pPr>
              <w:jc w:val="right"/>
              <w:rPr>
                <w:szCs w:val="24"/>
              </w:rPr>
            </w:pPr>
            <w:r w:rsidRPr="006B341C">
              <w:rPr>
                <w:color w:val="000000"/>
                <w:szCs w:val="24"/>
              </w:rPr>
              <w:t>$1,641,055.24</w:t>
            </w:r>
          </w:p>
        </w:tc>
        <w:tc>
          <w:tcPr>
            <w:tcW w:w="813" w:type="pct"/>
            <w:shd w:val="clear" w:color="auto" w:fill="auto"/>
            <w:tcMar>
              <w:top w:w="0" w:type="dxa"/>
              <w:left w:w="108" w:type="dxa"/>
              <w:bottom w:w="0" w:type="dxa"/>
              <w:right w:w="108" w:type="dxa"/>
            </w:tcMar>
            <w:vAlign w:val="center"/>
          </w:tcPr>
          <w:p w14:paraId="2A373045" w14:textId="77777777" w:rsidR="000F5333" w:rsidRPr="006B341C" w:rsidRDefault="000F5333" w:rsidP="001F733C">
            <w:pPr>
              <w:jc w:val="right"/>
              <w:rPr>
                <w:szCs w:val="24"/>
              </w:rPr>
            </w:pPr>
            <w:r w:rsidRPr="006B341C">
              <w:rPr>
                <w:color w:val="000000"/>
                <w:szCs w:val="24"/>
              </w:rPr>
              <w:t>$4,766,585.11</w:t>
            </w:r>
          </w:p>
        </w:tc>
      </w:tr>
    </w:tbl>
    <w:p w14:paraId="139E22B4" w14:textId="77777777" w:rsidR="000F5333" w:rsidRPr="003E419E" w:rsidRDefault="000F5333" w:rsidP="000F5333">
      <w:pPr>
        <w:pStyle w:val="BodyText2"/>
        <w:rPr>
          <w:b/>
          <w:sz w:val="24"/>
          <w:szCs w:val="24"/>
        </w:rPr>
      </w:pPr>
    </w:p>
    <w:p w14:paraId="34A60CDD" w14:textId="77777777" w:rsidR="000F5333" w:rsidRDefault="000F5333" w:rsidP="000F5333">
      <w:pPr>
        <w:rPr>
          <w:szCs w:val="24"/>
        </w:rPr>
      </w:pPr>
      <w:r w:rsidRPr="00B06B0D">
        <w:rPr>
          <w:szCs w:val="24"/>
        </w:rPr>
        <w:t>The annual cost is $1,588,862 ($4,766,585.11/3 years).</w:t>
      </w:r>
    </w:p>
    <w:p w14:paraId="614839F9" w14:textId="77777777" w:rsidR="000F5333" w:rsidRPr="00B06B0D" w:rsidRDefault="000F5333" w:rsidP="000F5333">
      <w:pPr>
        <w:rPr>
          <w:szCs w:val="24"/>
        </w:rPr>
      </w:pPr>
    </w:p>
    <w:p w14:paraId="2AE4EE6F" w14:textId="77777777" w:rsidR="000F5333" w:rsidRDefault="000F5333" w:rsidP="000F5333">
      <w:pPr>
        <w:rPr>
          <w:b/>
          <w:szCs w:val="24"/>
        </w:rPr>
      </w:pPr>
      <w:r>
        <w:rPr>
          <w:b/>
          <w:szCs w:val="24"/>
        </w:rPr>
        <w:br w:type="page"/>
      </w:r>
    </w:p>
    <w:p w14:paraId="2B9BDE29" w14:textId="77777777" w:rsidR="000F5333" w:rsidRPr="00173A31" w:rsidRDefault="000F5333" w:rsidP="000F5333">
      <w:pPr>
        <w:pStyle w:val="BodyText2"/>
        <w:numPr>
          <w:ilvl w:val="0"/>
          <w:numId w:val="22"/>
        </w:numPr>
        <w:rPr>
          <w:b/>
          <w:sz w:val="24"/>
          <w:szCs w:val="24"/>
        </w:rPr>
      </w:pPr>
      <w:r w:rsidRPr="00173A31">
        <w:rPr>
          <w:b/>
          <w:sz w:val="24"/>
          <w:szCs w:val="24"/>
        </w:rPr>
        <w:t>Changes in Burden</w:t>
      </w:r>
    </w:p>
    <w:p w14:paraId="15A68976" w14:textId="77777777" w:rsidR="000F5333" w:rsidRPr="007C272C" w:rsidRDefault="000F5333" w:rsidP="000F5333">
      <w:pPr>
        <w:pStyle w:val="BodyText2"/>
        <w:rPr>
          <w:sz w:val="24"/>
          <w:szCs w:val="24"/>
        </w:rPr>
      </w:pPr>
    </w:p>
    <w:p w14:paraId="30F4410B" w14:textId="77777777" w:rsidR="000F5333" w:rsidRDefault="000F5333" w:rsidP="000F5333">
      <w:pPr>
        <w:pStyle w:val="BodyText2"/>
        <w:rPr>
          <w:sz w:val="24"/>
          <w:szCs w:val="24"/>
        </w:rPr>
      </w:pPr>
      <w:r>
        <w:rPr>
          <w:sz w:val="24"/>
          <w:szCs w:val="24"/>
        </w:rPr>
        <w:t>Given the significant restructuring of the QIO program in the most recent 11</w:t>
      </w:r>
      <w:r w:rsidRPr="008E43EC">
        <w:rPr>
          <w:sz w:val="24"/>
          <w:szCs w:val="24"/>
          <w:vertAlign w:val="superscript"/>
        </w:rPr>
        <w:t>th</w:t>
      </w:r>
      <w:r>
        <w:rPr>
          <w:sz w:val="24"/>
          <w:szCs w:val="24"/>
        </w:rPr>
        <w:t xml:space="preserve"> SOW, new instruments and methodologies are required to adequately collect the beneficiary experience data needed for QIO on-going improvement and contract evaluation. Specifically, the QIO structure has been changed from a state-based service model to a region-based service model where one QIO implements services across multiple states in a region with five regions comprising the entire nation. In the 10</w:t>
      </w:r>
      <w:r w:rsidRPr="002D3B6B">
        <w:rPr>
          <w:sz w:val="24"/>
          <w:szCs w:val="24"/>
          <w:vertAlign w:val="superscript"/>
        </w:rPr>
        <w:t>th</w:t>
      </w:r>
      <w:r>
        <w:rPr>
          <w:sz w:val="24"/>
          <w:szCs w:val="24"/>
        </w:rPr>
        <w:t xml:space="preserve"> SOW 53 QIOs provided beneficiary protection services to Medicare beneficiaries across the nation whereas there are only two organizations providing services as BFCC QIOs across all five regions in the current 11</w:t>
      </w:r>
      <w:r w:rsidRPr="002D3B6B">
        <w:rPr>
          <w:sz w:val="24"/>
          <w:szCs w:val="24"/>
          <w:vertAlign w:val="superscript"/>
        </w:rPr>
        <w:t>th</w:t>
      </w:r>
      <w:r>
        <w:rPr>
          <w:sz w:val="24"/>
          <w:szCs w:val="24"/>
        </w:rPr>
        <w:t xml:space="preserve"> SOW. The QIO evaluation criteria have been revised for the 11</w:t>
      </w:r>
      <w:r w:rsidRPr="00986CBD">
        <w:rPr>
          <w:sz w:val="24"/>
          <w:szCs w:val="24"/>
          <w:vertAlign w:val="superscript"/>
        </w:rPr>
        <w:t>th</w:t>
      </w:r>
      <w:r>
        <w:rPr>
          <w:sz w:val="24"/>
          <w:szCs w:val="24"/>
        </w:rPr>
        <w:t xml:space="preserve"> SOW to reflect this national regionalization and it is important for CMS to understand the impact on beneficiaries from this reorganization. </w:t>
      </w:r>
    </w:p>
    <w:p w14:paraId="25702049" w14:textId="77777777" w:rsidR="000F5333" w:rsidRDefault="000F5333" w:rsidP="000F5333">
      <w:pPr>
        <w:pStyle w:val="BodyText2"/>
        <w:rPr>
          <w:sz w:val="24"/>
          <w:szCs w:val="24"/>
        </w:rPr>
      </w:pPr>
    </w:p>
    <w:p w14:paraId="59934977" w14:textId="6CEEFCD1" w:rsidR="000F5333" w:rsidRDefault="000F5333" w:rsidP="000F5333">
      <w:pPr>
        <w:pStyle w:val="BodyText2"/>
        <w:rPr>
          <w:sz w:val="24"/>
          <w:szCs w:val="24"/>
        </w:rPr>
      </w:pPr>
      <w:r>
        <w:rPr>
          <w:sz w:val="24"/>
          <w:szCs w:val="24"/>
        </w:rPr>
        <w:t xml:space="preserve">The revised data collection approach will increase the burden hours from </w:t>
      </w:r>
      <w:r w:rsidR="009B2ADE">
        <w:rPr>
          <w:sz w:val="24"/>
          <w:szCs w:val="24"/>
        </w:rPr>
        <w:t>1,601</w:t>
      </w:r>
      <w:r w:rsidR="00534100">
        <w:rPr>
          <w:sz w:val="24"/>
          <w:szCs w:val="24"/>
        </w:rPr>
        <w:t xml:space="preserve"> </w:t>
      </w:r>
      <w:r>
        <w:rPr>
          <w:sz w:val="24"/>
          <w:szCs w:val="24"/>
        </w:rPr>
        <w:t xml:space="preserve">to 2,899. </w:t>
      </w:r>
      <w:r w:rsidR="009B2ADE">
        <w:rPr>
          <w:sz w:val="24"/>
          <w:szCs w:val="24"/>
        </w:rPr>
        <w:t>The burden from the previous package was not revised in ROCIS when the Supporting Statement was revised so ROCIS has 4,00</w:t>
      </w:r>
      <w:r w:rsidR="00D065E1">
        <w:rPr>
          <w:sz w:val="24"/>
          <w:szCs w:val="24"/>
        </w:rPr>
        <w:t>3</w:t>
      </w:r>
      <w:r w:rsidR="009B2ADE">
        <w:rPr>
          <w:sz w:val="24"/>
          <w:szCs w:val="24"/>
        </w:rPr>
        <w:t xml:space="preserve"> instead of 1,601.</w:t>
      </w:r>
    </w:p>
    <w:p w14:paraId="027635DF" w14:textId="77777777" w:rsidR="000F5333" w:rsidRDefault="000F5333" w:rsidP="000F5333">
      <w:pPr>
        <w:pStyle w:val="BodyText2"/>
        <w:rPr>
          <w:sz w:val="24"/>
          <w:szCs w:val="24"/>
        </w:rPr>
      </w:pPr>
    </w:p>
    <w:p w14:paraId="0BFD651C" w14:textId="77777777" w:rsidR="000F5333" w:rsidRPr="006565DC" w:rsidRDefault="000F5333" w:rsidP="000F5333">
      <w:pPr>
        <w:pStyle w:val="BodyText2"/>
        <w:numPr>
          <w:ilvl w:val="0"/>
          <w:numId w:val="22"/>
        </w:numPr>
        <w:rPr>
          <w:b/>
          <w:sz w:val="24"/>
          <w:szCs w:val="24"/>
        </w:rPr>
      </w:pPr>
      <w:r w:rsidRPr="006565DC">
        <w:rPr>
          <w:b/>
          <w:sz w:val="24"/>
          <w:szCs w:val="24"/>
        </w:rPr>
        <w:t>Time Schedule, Publication and Analysis Plans</w:t>
      </w:r>
    </w:p>
    <w:p w14:paraId="131CA663" w14:textId="77777777" w:rsidR="000F5333" w:rsidRDefault="000F5333" w:rsidP="000F5333">
      <w:pPr>
        <w:pStyle w:val="BodyText2"/>
        <w:rPr>
          <w:sz w:val="24"/>
          <w:szCs w:val="24"/>
        </w:rPr>
      </w:pPr>
    </w:p>
    <w:p w14:paraId="4D27EBD0" w14:textId="77777777" w:rsidR="000F5333" w:rsidRDefault="000F5333" w:rsidP="000F5333">
      <w:pPr>
        <w:rPr>
          <w:color w:val="000000" w:themeColor="text1"/>
          <w:szCs w:val="24"/>
        </w:rPr>
      </w:pPr>
      <w:r w:rsidRPr="007C272C">
        <w:rPr>
          <w:szCs w:val="24"/>
        </w:rPr>
        <w:t xml:space="preserve">We anticipate that we would need </w:t>
      </w:r>
      <w:r>
        <w:rPr>
          <w:szCs w:val="24"/>
        </w:rPr>
        <w:t xml:space="preserve">four to eight </w:t>
      </w:r>
      <w:r w:rsidRPr="007C272C">
        <w:rPr>
          <w:szCs w:val="24"/>
        </w:rPr>
        <w:t xml:space="preserve">weeks after receipt of OMB approval to prepare and begin the first round of data collection for </w:t>
      </w:r>
      <w:r>
        <w:rPr>
          <w:szCs w:val="24"/>
        </w:rPr>
        <w:t xml:space="preserve">the Experience Survey, the General Feedback Web Survey, and the </w:t>
      </w:r>
      <w:r w:rsidRPr="00E17F57">
        <w:rPr>
          <w:color w:val="000000" w:themeColor="text1"/>
          <w:szCs w:val="24"/>
        </w:rPr>
        <w:t xml:space="preserve">Direct Follow-up. </w:t>
      </w:r>
    </w:p>
    <w:p w14:paraId="0F8E5C93" w14:textId="77777777" w:rsidR="000F5333" w:rsidRDefault="000F5333" w:rsidP="000F5333">
      <w:pPr>
        <w:rPr>
          <w:color w:val="000000" w:themeColor="text1"/>
          <w:szCs w:val="24"/>
        </w:rPr>
      </w:pPr>
    </w:p>
    <w:p w14:paraId="638232A4" w14:textId="77777777" w:rsidR="000F5333" w:rsidRDefault="000F5333" w:rsidP="000F5333">
      <w:pPr>
        <w:rPr>
          <w:color w:val="000000" w:themeColor="text1"/>
          <w:szCs w:val="24"/>
        </w:rPr>
      </w:pPr>
      <w:r>
        <w:rPr>
          <w:color w:val="000000" w:themeColor="text1"/>
          <w:szCs w:val="24"/>
        </w:rPr>
        <w:t>Once data collection has been initiated, the BFCC ORC plans to conduct</w:t>
      </w:r>
      <w:r w:rsidRPr="008E5470">
        <w:rPr>
          <w:szCs w:val="24"/>
        </w:rPr>
        <w:t xml:space="preserve"> sampling, </w:t>
      </w:r>
      <w:r>
        <w:rPr>
          <w:szCs w:val="24"/>
        </w:rPr>
        <w:t xml:space="preserve">initial </w:t>
      </w:r>
      <w:r w:rsidRPr="008E5470">
        <w:rPr>
          <w:szCs w:val="24"/>
        </w:rPr>
        <w:t>data collection</w:t>
      </w:r>
      <w:r>
        <w:rPr>
          <w:szCs w:val="24"/>
        </w:rPr>
        <w:t>, data cleaning, and delivery</w:t>
      </w:r>
      <w:r w:rsidRPr="008E5470">
        <w:rPr>
          <w:szCs w:val="24"/>
        </w:rPr>
        <w:t xml:space="preserve"> within a </w:t>
      </w:r>
      <w:r>
        <w:rPr>
          <w:szCs w:val="24"/>
        </w:rPr>
        <w:t>four to six-</w:t>
      </w:r>
      <w:r w:rsidRPr="008E5470">
        <w:rPr>
          <w:szCs w:val="24"/>
        </w:rPr>
        <w:t>week period.</w:t>
      </w:r>
      <w:r>
        <w:rPr>
          <w:szCs w:val="24"/>
        </w:rPr>
        <w:t xml:space="preserve"> This rapid cycle is important to provide CMS and QIOs with close to real time feedback from beneficiaries/ representatives. CMS and the QIOs will use on-line reporting dashboards to track progress and improvements to systems and processes over time. </w:t>
      </w:r>
    </w:p>
    <w:p w14:paraId="14DDA31C" w14:textId="77777777" w:rsidR="000F5333" w:rsidRPr="00E17F57" w:rsidRDefault="000F5333" w:rsidP="000F5333">
      <w:pPr>
        <w:rPr>
          <w:color w:val="000000" w:themeColor="text1"/>
          <w:szCs w:val="24"/>
        </w:rPr>
      </w:pPr>
    </w:p>
    <w:p w14:paraId="15C7215F" w14:textId="77777777" w:rsidR="000F5333" w:rsidRPr="00E17F57" w:rsidRDefault="000F5333" w:rsidP="000F5333">
      <w:pPr>
        <w:pStyle w:val="BodyText2"/>
        <w:numPr>
          <w:ilvl w:val="0"/>
          <w:numId w:val="22"/>
        </w:numPr>
        <w:rPr>
          <w:b/>
          <w:color w:val="000000" w:themeColor="text1"/>
          <w:sz w:val="24"/>
          <w:szCs w:val="24"/>
        </w:rPr>
      </w:pPr>
      <w:r w:rsidRPr="00E17F57">
        <w:rPr>
          <w:b/>
          <w:color w:val="000000" w:themeColor="text1"/>
          <w:sz w:val="24"/>
          <w:szCs w:val="24"/>
        </w:rPr>
        <w:t>OMB Expiration Date</w:t>
      </w:r>
    </w:p>
    <w:p w14:paraId="1357F5D5" w14:textId="77777777" w:rsidR="000F5333" w:rsidRPr="00E17F57" w:rsidRDefault="000F5333" w:rsidP="000F5333">
      <w:pPr>
        <w:pStyle w:val="BodyText2"/>
        <w:rPr>
          <w:color w:val="000000" w:themeColor="text1"/>
          <w:sz w:val="24"/>
          <w:szCs w:val="24"/>
        </w:rPr>
      </w:pPr>
    </w:p>
    <w:p w14:paraId="307EA853" w14:textId="2F3CE86E" w:rsidR="000F5333" w:rsidRDefault="000F5333" w:rsidP="000F5333">
      <w:pPr>
        <w:pStyle w:val="BodyText2"/>
        <w:rPr>
          <w:color w:val="000000" w:themeColor="text1"/>
          <w:sz w:val="24"/>
          <w:szCs w:val="24"/>
        </w:rPr>
      </w:pPr>
      <w:r w:rsidRPr="00745B80">
        <w:rPr>
          <w:color w:val="000000" w:themeColor="text1"/>
          <w:sz w:val="24"/>
          <w:szCs w:val="24"/>
        </w:rPr>
        <w:t xml:space="preserve">CMS will display the expiration date on the </w:t>
      </w:r>
      <w:r>
        <w:rPr>
          <w:color w:val="000000" w:themeColor="text1"/>
          <w:sz w:val="24"/>
          <w:szCs w:val="24"/>
        </w:rPr>
        <w:t xml:space="preserve">web </w:t>
      </w:r>
      <w:r w:rsidRPr="00745B80">
        <w:rPr>
          <w:color w:val="000000" w:themeColor="text1"/>
          <w:sz w:val="24"/>
          <w:szCs w:val="24"/>
        </w:rPr>
        <w:t xml:space="preserve">survey home page as well as </w:t>
      </w:r>
      <w:r>
        <w:rPr>
          <w:color w:val="000000" w:themeColor="text1"/>
          <w:sz w:val="24"/>
          <w:szCs w:val="24"/>
        </w:rPr>
        <w:t>any</w:t>
      </w:r>
      <w:r w:rsidRPr="00745B80">
        <w:rPr>
          <w:color w:val="000000" w:themeColor="text1"/>
          <w:sz w:val="24"/>
          <w:szCs w:val="24"/>
        </w:rPr>
        <w:t xml:space="preserve"> survey instruments</w:t>
      </w:r>
      <w:r>
        <w:rPr>
          <w:color w:val="000000" w:themeColor="text1"/>
          <w:sz w:val="24"/>
          <w:szCs w:val="24"/>
        </w:rPr>
        <w:t xml:space="preserve"> mailed to beneficiaries. In keeping with the most recent OMB guidance, the statement below will be used. Estimated average time per response will be included for each of the three survey instruments. The PRA disclosure statement including average times are shown with the survey instruments </w:t>
      </w:r>
      <w:r w:rsidR="003E32B0">
        <w:rPr>
          <w:color w:val="000000" w:themeColor="text1"/>
          <w:sz w:val="24"/>
          <w:szCs w:val="24"/>
        </w:rPr>
        <w:t>in Attachments</w:t>
      </w:r>
      <w:r>
        <w:rPr>
          <w:color w:val="000000" w:themeColor="text1"/>
          <w:sz w:val="24"/>
          <w:szCs w:val="24"/>
        </w:rPr>
        <w:t xml:space="preserve"> A, B, and C.</w:t>
      </w:r>
    </w:p>
    <w:p w14:paraId="060C379F" w14:textId="77777777" w:rsidR="000F5333" w:rsidRDefault="000F5333" w:rsidP="000F5333">
      <w:pPr>
        <w:pStyle w:val="BodyText2"/>
        <w:rPr>
          <w:b/>
          <w:szCs w:val="24"/>
          <w:u w:val="single"/>
        </w:rPr>
      </w:pPr>
    </w:p>
    <w:p w14:paraId="2FB9D9CB" w14:textId="77777777" w:rsidR="000F5333" w:rsidRDefault="000F5333" w:rsidP="000F5333">
      <w:pPr>
        <w:suppressAutoHyphens/>
        <w:spacing w:line="240" w:lineRule="atLeast"/>
        <w:jc w:val="center"/>
        <w:rPr>
          <w:b/>
          <w:szCs w:val="24"/>
          <w:u w:val="single"/>
        </w:rPr>
      </w:pPr>
    </w:p>
    <w:p w14:paraId="1DB8440E" w14:textId="77777777" w:rsidR="000F5333" w:rsidRPr="00E17F57" w:rsidRDefault="000F5333" w:rsidP="000F5333">
      <w:pPr>
        <w:pStyle w:val="BodyText2"/>
        <w:numPr>
          <w:ilvl w:val="0"/>
          <w:numId w:val="22"/>
        </w:numPr>
        <w:rPr>
          <w:b/>
          <w:color w:val="000000" w:themeColor="text1"/>
          <w:sz w:val="24"/>
          <w:szCs w:val="24"/>
        </w:rPr>
      </w:pPr>
      <w:r w:rsidRPr="00E17F57">
        <w:rPr>
          <w:b/>
          <w:color w:val="000000" w:themeColor="text1"/>
          <w:sz w:val="24"/>
          <w:szCs w:val="24"/>
        </w:rPr>
        <w:t>Certification Statement</w:t>
      </w:r>
    </w:p>
    <w:p w14:paraId="4117801D" w14:textId="77777777" w:rsidR="000F5333" w:rsidRPr="00E17F57" w:rsidRDefault="000F5333" w:rsidP="000F5333">
      <w:pPr>
        <w:pStyle w:val="BodyText2"/>
        <w:rPr>
          <w:color w:val="000000" w:themeColor="text1"/>
          <w:sz w:val="24"/>
          <w:szCs w:val="24"/>
        </w:rPr>
      </w:pPr>
    </w:p>
    <w:p w14:paraId="3D9AA6C3" w14:textId="77777777" w:rsidR="000F5333" w:rsidRDefault="000F5333" w:rsidP="000F5333">
      <w:pPr>
        <w:pStyle w:val="BodyText2"/>
        <w:rPr>
          <w:color w:val="000000" w:themeColor="text1"/>
          <w:sz w:val="24"/>
          <w:szCs w:val="24"/>
        </w:rPr>
      </w:pPr>
      <w:r w:rsidRPr="00E17F57">
        <w:rPr>
          <w:color w:val="000000" w:themeColor="text1"/>
          <w:sz w:val="24"/>
          <w:szCs w:val="24"/>
        </w:rPr>
        <w:t>There are no exceptions to the certification statement.</w:t>
      </w:r>
    </w:p>
    <w:p w14:paraId="6D11F27E" w14:textId="461228D7" w:rsidR="0079432F" w:rsidRPr="000F5333" w:rsidRDefault="0079432F" w:rsidP="000F5333">
      <w:pPr>
        <w:rPr>
          <w:color w:val="000000" w:themeColor="text1"/>
          <w:szCs w:val="24"/>
        </w:rPr>
      </w:pPr>
    </w:p>
    <w:sectPr w:rsidR="0079432F" w:rsidRPr="000F5333" w:rsidSect="00737CB0">
      <w:footerReference w:type="default" r:id="rId15"/>
      <w:pgSz w:w="12240" w:h="15840"/>
      <w:pgMar w:top="1440" w:right="1440" w:bottom="1440" w:left="1440" w:header="720" w:footer="576"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BD3B21" w16cid:durableId="1DE603DC"/>
  <w16cid:commentId w16cid:paraId="22526BE1" w16cid:durableId="1E15A708"/>
  <w16cid:commentId w16cid:paraId="488E994D" w16cid:durableId="1E15A709"/>
  <w16cid:commentId w16cid:paraId="1F0BC9D0" w16cid:durableId="1DE603DD"/>
  <w16cid:commentId w16cid:paraId="097740C2" w16cid:durableId="1E15A70B"/>
  <w16cid:commentId w16cid:paraId="7E9AD573" w16cid:durableId="1E15A70C"/>
  <w16cid:commentId w16cid:paraId="47B708F7" w16cid:durableId="1E15A70D"/>
  <w16cid:commentId w16cid:paraId="006009CF" w16cid:durableId="1E15A70E"/>
  <w16cid:commentId w16cid:paraId="3D5ED8CA" w16cid:durableId="1DE603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C9822" w14:textId="77777777" w:rsidR="00401D84" w:rsidRDefault="00401D84" w:rsidP="00AC557C">
      <w:r>
        <w:separator/>
      </w:r>
    </w:p>
  </w:endnote>
  <w:endnote w:type="continuationSeparator" w:id="0">
    <w:p w14:paraId="646237A1" w14:textId="77777777" w:rsidR="00401D84" w:rsidRDefault="00401D84" w:rsidP="00AC557C">
      <w:r>
        <w:continuationSeparator/>
      </w:r>
    </w:p>
  </w:endnote>
  <w:endnote w:type="continuationNotice" w:id="1">
    <w:p w14:paraId="51DAE37F" w14:textId="77777777" w:rsidR="00401D84" w:rsidRDefault="00401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C2687" w14:textId="77777777" w:rsidR="001F733C" w:rsidRPr="00D0083A" w:rsidRDefault="001F733C" w:rsidP="00D0083A">
    <w:pPr>
      <w:pStyle w:val="Footer"/>
      <w:rPr>
        <w:sz w:val="16"/>
        <w:szCs w:val="16"/>
      </w:rPr>
    </w:pPr>
    <w:r w:rsidRPr="00D0083A">
      <w:rPr>
        <w:sz w:val="16"/>
        <w:szCs w:val="16"/>
      </w:rPr>
      <w:t>CMS 10393 11</w:t>
    </w:r>
    <w:r w:rsidRPr="00D0083A">
      <w:rPr>
        <w:sz w:val="16"/>
        <w:szCs w:val="16"/>
        <w:vertAlign w:val="superscript"/>
      </w:rPr>
      <w:t>th</w:t>
    </w:r>
    <w:r w:rsidRPr="00D0083A">
      <w:rPr>
        <w:sz w:val="16"/>
        <w:szCs w:val="16"/>
      </w:rPr>
      <w:t xml:space="preserve"> SOW Supporting Statement Part A</w:t>
    </w:r>
  </w:p>
  <w:p w14:paraId="6745ED42" w14:textId="6A9B9807" w:rsidR="001F733C" w:rsidRDefault="001F733C" w:rsidP="00D0083A">
    <w:pPr>
      <w:pStyle w:val="Footer"/>
    </w:pPr>
    <w:r w:rsidRPr="00D0083A">
      <w:rPr>
        <w:sz w:val="16"/>
        <w:szCs w:val="16"/>
      </w:rPr>
      <w:t>4/</w:t>
    </w:r>
    <w:r>
      <w:rPr>
        <w:sz w:val="16"/>
        <w:szCs w:val="16"/>
      </w:rPr>
      <w:t>4</w:t>
    </w:r>
    <w:r w:rsidRPr="00D0083A">
      <w:rPr>
        <w:sz w:val="16"/>
        <w:szCs w:val="16"/>
      </w:rPr>
      <w:t>/2017</w:t>
    </w:r>
    <w:r>
      <w:tab/>
    </w:r>
    <w:r>
      <w:tab/>
    </w:r>
    <w:sdt>
      <w:sdtPr>
        <w:id w:val="-4086119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67DDE">
          <w:rPr>
            <w:noProof/>
          </w:rPr>
          <w:t>1</w:t>
        </w:r>
        <w:r>
          <w:rPr>
            <w:noProof/>
          </w:rPr>
          <w:fldChar w:fldCharType="end"/>
        </w:r>
      </w:sdtContent>
    </w:sdt>
  </w:p>
  <w:p w14:paraId="43710C3D" w14:textId="24478855" w:rsidR="001F733C" w:rsidRDefault="001F7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B78CA" w14:textId="77777777" w:rsidR="00401D84" w:rsidRDefault="00401D84" w:rsidP="00AC557C">
      <w:r>
        <w:separator/>
      </w:r>
    </w:p>
  </w:footnote>
  <w:footnote w:type="continuationSeparator" w:id="0">
    <w:p w14:paraId="5F4CC284" w14:textId="77777777" w:rsidR="00401D84" w:rsidRDefault="00401D84" w:rsidP="00AC557C">
      <w:r>
        <w:continuationSeparator/>
      </w:r>
    </w:p>
  </w:footnote>
  <w:footnote w:type="continuationNotice" w:id="1">
    <w:p w14:paraId="0CB751E9" w14:textId="77777777" w:rsidR="00401D84" w:rsidRDefault="00401D84"/>
  </w:footnote>
  <w:footnote w:id="2">
    <w:p w14:paraId="2F7E291A" w14:textId="77777777" w:rsidR="001F733C" w:rsidRPr="00016068" w:rsidRDefault="001F733C" w:rsidP="001253BE">
      <w:pPr>
        <w:pStyle w:val="FootnoteText"/>
        <w:rPr>
          <w:sz w:val="22"/>
          <w:szCs w:val="22"/>
        </w:rPr>
      </w:pPr>
      <w:r w:rsidRPr="00016068">
        <w:rPr>
          <w:rStyle w:val="FootnoteReference"/>
          <w:color w:val="000000" w:themeColor="text1"/>
          <w:sz w:val="22"/>
          <w:szCs w:val="22"/>
        </w:rPr>
        <w:footnoteRef/>
      </w:r>
      <w:r w:rsidRPr="00016068">
        <w:rPr>
          <w:color w:val="000000" w:themeColor="text1"/>
          <w:sz w:val="22"/>
          <w:szCs w:val="22"/>
        </w:rPr>
        <w:t xml:space="preserve"> </w:t>
      </w:r>
      <w:r w:rsidRPr="00016068">
        <w:rPr>
          <w:color w:val="000000" w:themeColor="text1"/>
          <w:sz w:val="22"/>
          <w:szCs w:val="22"/>
          <w:lang w:val="en"/>
        </w:rPr>
        <w:t xml:space="preserve">Medicare's Quality Improvement Organization Program: </w:t>
      </w:r>
      <w:r w:rsidRPr="00016068">
        <w:rPr>
          <w:rStyle w:val="catalog-subtitle1"/>
          <w:color w:val="000000" w:themeColor="text1"/>
          <w:sz w:val="22"/>
          <w:szCs w:val="22"/>
          <w:lang w:val="en"/>
        </w:rPr>
        <w:t>Maximizing Potential (Series: Pathways to Quality Health Care)</w:t>
      </w:r>
      <w:r w:rsidRPr="00016068">
        <w:rPr>
          <w:color w:val="000000" w:themeColor="text1"/>
          <w:sz w:val="22"/>
          <w:szCs w:val="22"/>
          <w:lang w:val="en"/>
        </w:rPr>
        <w:t xml:space="preserve"> </w:t>
      </w:r>
      <w:r w:rsidRPr="00016068">
        <w:rPr>
          <w:rStyle w:val="bookyear1"/>
          <w:color w:val="000000" w:themeColor="text1"/>
          <w:sz w:val="22"/>
          <w:szCs w:val="22"/>
          <w:lang w:val="en"/>
        </w:rPr>
        <w:t>(2006).</w:t>
      </w:r>
    </w:p>
  </w:footnote>
  <w:footnote w:id="3">
    <w:p w14:paraId="1AF95D33" w14:textId="77777777" w:rsidR="001F733C" w:rsidRPr="0077353F" w:rsidRDefault="001F733C" w:rsidP="000F5333">
      <w:pPr>
        <w:pStyle w:val="BodyText2"/>
      </w:pPr>
      <w:r>
        <w:rPr>
          <w:rStyle w:val="FootnoteReference"/>
        </w:rPr>
        <w:footnoteRef/>
      </w:r>
      <w:r>
        <w:t xml:space="preserve"> </w:t>
      </w:r>
      <w:r w:rsidRPr="0077353F">
        <w:t xml:space="preserve">Based on </w:t>
      </w:r>
      <w:r>
        <w:rPr>
          <w:i/>
        </w:rPr>
        <w:t xml:space="preserve">Income and Assets of Medicare Beneficiaries, 2014 – 2030, </w:t>
      </w:r>
      <w:r w:rsidRPr="0077353F">
        <w:t>published by the Kaiser Family Foundation Median annual income of $2</w:t>
      </w:r>
      <w:r>
        <w:t>4</w:t>
      </w:r>
      <w:r w:rsidRPr="0077353F">
        <w:t>,</w:t>
      </w:r>
      <w:r>
        <w:t>150</w:t>
      </w:r>
      <w:r w:rsidRPr="0077353F">
        <w:t xml:space="preserve">. </w:t>
      </w:r>
      <w:r w:rsidRPr="00A42753">
        <w:t>http://kff.org/medicare/issue-brief/income-and-assets-of-m</w:t>
      </w:r>
      <w:r>
        <w:t>edicare-beneficiaries-2014-2030</w:t>
      </w:r>
    </w:p>
    <w:p w14:paraId="6B792832" w14:textId="77777777" w:rsidR="001F733C" w:rsidRDefault="001F733C" w:rsidP="000F53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4175"/>
    <w:multiLevelType w:val="hybridMultilevel"/>
    <w:tmpl w:val="B6A69244"/>
    <w:lvl w:ilvl="0" w:tplc="04090015">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63DA1"/>
    <w:multiLevelType w:val="hybridMultilevel"/>
    <w:tmpl w:val="E37E100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C7F35"/>
    <w:multiLevelType w:val="hybridMultilevel"/>
    <w:tmpl w:val="46245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26E0C"/>
    <w:multiLevelType w:val="hybridMultilevel"/>
    <w:tmpl w:val="41A610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9F46071"/>
    <w:multiLevelType w:val="hybridMultilevel"/>
    <w:tmpl w:val="592A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621B01"/>
    <w:multiLevelType w:val="hybridMultilevel"/>
    <w:tmpl w:val="61A0D06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nsid w:val="228D356F"/>
    <w:multiLevelType w:val="hybridMultilevel"/>
    <w:tmpl w:val="3E28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31124"/>
    <w:multiLevelType w:val="hybridMultilevel"/>
    <w:tmpl w:val="7A408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CC458F"/>
    <w:multiLevelType w:val="hybridMultilevel"/>
    <w:tmpl w:val="09E86CB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7C2A21"/>
    <w:multiLevelType w:val="hybridMultilevel"/>
    <w:tmpl w:val="F1D8A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F17AC"/>
    <w:multiLevelType w:val="hybridMultilevel"/>
    <w:tmpl w:val="D4D6B3B8"/>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B0777DA"/>
    <w:multiLevelType w:val="hybridMultilevel"/>
    <w:tmpl w:val="7FBA6696"/>
    <w:lvl w:ilvl="0" w:tplc="F9F2606A">
      <w:start w:val="1"/>
      <w:numFmt w:val="upperLetter"/>
      <w:pStyle w:val="Heading1"/>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D35524"/>
    <w:multiLevelType w:val="hybridMultilevel"/>
    <w:tmpl w:val="28AC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7D44B7"/>
    <w:multiLevelType w:val="hybridMultilevel"/>
    <w:tmpl w:val="F3DCD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0E1818"/>
    <w:multiLevelType w:val="hybridMultilevel"/>
    <w:tmpl w:val="495A87E2"/>
    <w:lvl w:ilvl="0" w:tplc="81AC129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B81EA0"/>
    <w:multiLevelType w:val="hybridMultilevel"/>
    <w:tmpl w:val="405A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B73624"/>
    <w:multiLevelType w:val="hybridMultilevel"/>
    <w:tmpl w:val="ADC8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C10EC4"/>
    <w:multiLevelType w:val="hybridMultilevel"/>
    <w:tmpl w:val="4A8C6B14"/>
    <w:lvl w:ilvl="0" w:tplc="0409000F">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BE68A9"/>
    <w:multiLevelType w:val="hybridMultilevel"/>
    <w:tmpl w:val="D5FE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9E693B"/>
    <w:multiLevelType w:val="hybridMultilevel"/>
    <w:tmpl w:val="0FA46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AA78FC"/>
    <w:multiLevelType w:val="hybridMultilevel"/>
    <w:tmpl w:val="6C9C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391EA8"/>
    <w:multiLevelType w:val="hybridMultilevel"/>
    <w:tmpl w:val="AC2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C763CA"/>
    <w:multiLevelType w:val="hybridMultilevel"/>
    <w:tmpl w:val="F290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DD02F1"/>
    <w:multiLevelType w:val="hybridMultilevel"/>
    <w:tmpl w:val="0F12A346"/>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02899"/>
    <w:multiLevelType w:val="hybridMultilevel"/>
    <w:tmpl w:val="0AD86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E55061"/>
    <w:multiLevelType w:val="singleLevel"/>
    <w:tmpl w:val="DF22A82E"/>
    <w:lvl w:ilvl="0">
      <w:start w:val="1"/>
      <w:numFmt w:val="decimal"/>
      <w:lvlText w:val="%1."/>
      <w:lvlJc w:val="left"/>
      <w:pPr>
        <w:tabs>
          <w:tab w:val="num" w:pos="1080"/>
        </w:tabs>
        <w:ind w:left="1080" w:hanging="360"/>
      </w:pPr>
      <w:rPr>
        <w:rFonts w:hint="default"/>
        <w:u w:val="none"/>
      </w:rPr>
    </w:lvl>
  </w:abstractNum>
  <w:abstractNum w:abstractNumId="26">
    <w:nsid w:val="459826CD"/>
    <w:multiLevelType w:val="hybridMultilevel"/>
    <w:tmpl w:val="78E4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5A1AEF"/>
    <w:multiLevelType w:val="hybridMultilevel"/>
    <w:tmpl w:val="885477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20389B"/>
    <w:multiLevelType w:val="hybridMultilevel"/>
    <w:tmpl w:val="A434D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ECB0C26"/>
    <w:multiLevelType w:val="hybridMultilevel"/>
    <w:tmpl w:val="B0ECE836"/>
    <w:lvl w:ilvl="0" w:tplc="2216F48C">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14604C"/>
    <w:multiLevelType w:val="hybridMultilevel"/>
    <w:tmpl w:val="6B54ED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1CF4618"/>
    <w:multiLevelType w:val="hybridMultilevel"/>
    <w:tmpl w:val="ADC8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223C4D"/>
    <w:multiLevelType w:val="hybridMultilevel"/>
    <w:tmpl w:val="20CEF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3DD01D4"/>
    <w:multiLevelType w:val="hybridMultilevel"/>
    <w:tmpl w:val="9484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2074C8"/>
    <w:multiLevelType w:val="hybridMultilevel"/>
    <w:tmpl w:val="CA1E61DE"/>
    <w:lvl w:ilvl="0" w:tplc="30860E0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nsid w:val="59F83BC4"/>
    <w:multiLevelType w:val="hybridMultilevel"/>
    <w:tmpl w:val="27C2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132591"/>
    <w:multiLevelType w:val="hybridMultilevel"/>
    <w:tmpl w:val="B2D8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FD46B5"/>
    <w:multiLevelType w:val="hybridMultilevel"/>
    <w:tmpl w:val="F7E0FFA6"/>
    <w:lvl w:ilvl="0" w:tplc="B0A4FD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7614FF8"/>
    <w:multiLevelType w:val="hybridMultilevel"/>
    <w:tmpl w:val="7270B336"/>
    <w:lvl w:ilvl="0" w:tplc="F3DCC104">
      <w:start w:val="1"/>
      <w:numFmt w:val="lowerLetter"/>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025993"/>
    <w:multiLevelType w:val="singleLevel"/>
    <w:tmpl w:val="7D90668A"/>
    <w:lvl w:ilvl="0">
      <w:start w:val="1"/>
      <w:numFmt w:val="upperLetter"/>
      <w:lvlText w:val="%1."/>
      <w:lvlJc w:val="left"/>
      <w:pPr>
        <w:tabs>
          <w:tab w:val="num" w:pos="390"/>
        </w:tabs>
        <w:ind w:left="390" w:hanging="390"/>
      </w:pPr>
      <w:rPr>
        <w:rFonts w:hint="default"/>
        <w:b/>
        <w:sz w:val="24"/>
        <w:szCs w:val="24"/>
        <w:u w:val="single"/>
      </w:rPr>
    </w:lvl>
  </w:abstractNum>
  <w:abstractNum w:abstractNumId="40">
    <w:nsid w:val="6FC81624"/>
    <w:multiLevelType w:val="hybridMultilevel"/>
    <w:tmpl w:val="1998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0F001C"/>
    <w:multiLevelType w:val="hybridMultilevel"/>
    <w:tmpl w:val="A52C39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2">
    <w:nsid w:val="791D21E4"/>
    <w:multiLevelType w:val="hybridMultilevel"/>
    <w:tmpl w:val="D15A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013D52"/>
    <w:multiLevelType w:val="hybridMultilevel"/>
    <w:tmpl w:val="5DC4B3B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A6E2BEA"/>
    <w:multiLevelType w:val="hybridMultilevel"/>
    <w:tmpl w:val="E10AC8F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777F42"/>
    <w:multiLevelType w:val="hybridMultilevel"/>
    <w:tmpl w:val="331AE1A6"/>
    <w:lvl w:ilvl="0" w:tplc="15DE36EA">
      <w:start w:val="41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6">
    <w:nsid w:val="7AC24A91"/>
    <w:multiLevelType w:val="hybridMultilevel"/>
    <w:tmpl w:val="FB2A21D2"/>
    <w:lvl w:ilvl="0" w:tplc="5332315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9E7D4D"/>
    <w:multiLevelType w:val="hybridMultilevel"/>
    <w:tmpl w:val="A2341E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067D61"/>
    <w:multiLevelType w:val="hybridMultilevel"/>
    <w:tmpl w:val="7C06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5"/>
  </w:num>
  <w:num w:numId="3">
    <w:abstractNumId w:val="8"/>
  </w:num>
  <w:num w:numId="4">
    <w:abstractNumId w:val="41"/>
  </w:num>
  <w:num w:numId="5">
    <w:abstractNumId w:val="17"/>
  </w:num>
  <w:num w:numId="6">
    <w:abstractNumId w:val="15"/>
  </w:num>
  <w:num w:numId="7">
    <w:abstractNumId w:val="42"/>
  </w:num>
  <w:num w:numId="8">
    <w:abstractNumId w:val="45"/>
  </w:num>
  <w:num w:numId="9">
    <w:abstractNumId w:val="23"/>
  </w:num>
  <w:num w:numId="10">
    <w:abstractNumId w:val="9"/>
  </w:num>
  <w:num w:numId="11">
    <w:abstractNumId w:val="34"/>
  </w:num>
  <w:num w:numId="12">
    <w:abstractNumId w:val="14"/>
  </w:num>
  <w:num w:numId="13">
    <w:abstractNumId w:val="44"/>
  </w:num>
  <w:num w:numId="14">
    <w:abstractNumId w:val="1"/>
  </w:num>
  <w:num w:numId="15">
    <w:abstractNumId w:val="46"/>
  </w:num>
  <w:num w:numId="16">
    <w:abstractNumId w:val="0"/>
  </w:num>
  <w:num w:numId="17">
    <w:abstractNumId w:val="38"/>
  </w:num>
  <w:num w:numId="18">
    <w:abstractNumId w:val="10"/>
  </w:num>
  <w:num w:numId="19">
    <w:abstractNumId w:val="5"/>
  </w:num>
  <w:num w:numId="20">
    <w:abstractNumId w:val="37"/>
  </w:num>
  <w:num w:numId="21">
    <w:abstractNumId w:val="11"/>
  </w:num>
  <w:num w:numId="22">
    <w:abstractNumId w:val="29"/>
  </w:num>
  <w:num w:numId="23">
    <w:abstractNumId w:val="12"/>
  </w:num>
  <w:num w:numId="24">
    <w:abstractNumId w:val="24"/>
  </w:num>
  <w:num w:numId="25">
    <w:abstractNumId w:val="13"/>
  </w:num>
  <w:num w:numId="26">
    <w:abstractNumId w:val="19"/>
  </w:num>
  <w:num w:numId="27">
    <w:abstractNumId w:val="2"/>
  </w:num>
  <w:num w:numId="28">
    <w:abstractNumId w:val="7"/>
  </w:num>
  <w:num w:numId="29">
    <w:abstractNumId w:val="43"/>
  </w:num>
  <w:num w:numId="30">
    <w:abstractNumId w:val="47"/>
  </w:num>
  <w:num w:numId="31">
    <w:abstractNumId w:val="30"/>
  </w:num>
  <w:num w:numId="32">
    <w:abstractNumId w:val="27"/>
  </w:num>
  <w:num w:numId="33">
    <w:abstractNumId w:val="32"/>
  </w:num>
  <w:num w:numId="34">
    <w:abstractNumId w:val="40"/>
  </w:num>
  <w:num w:numId="35">
    <w:abstractNumId w:val="26"/>
  </w:num>
  <w:num w:numId="36">
    <w:abstractNumId w:val="4"/>
  </w:num>
  <w:num w:numId="37">
    <w:abstractNumId w:val="21"/>
  </w:num>
  <w:num w:numId="38">
    <w:abstractNumId w:val="48"/>
  </w:num>
  <w:num w:numId="39">
    <w:abstractNumId w:val="22"/>
  </w:num>
  <w:num w:numId="40">
    <w:abstractNumId w:val="18"/>
  </w:num>
  <w:num w:numId="41">
    <w:abstractNumId w:val="36"/>
  </w:num>
  <w:num w:numId="42">
    <w:abstractNumId w:val="33"/>
  </w:num>
  <w:num w:numId="43">
    <w:abstractNumId w:val="20"/>
  </w:num>
  <w:num w:numId="44">
    <w:abstractNumId w:val="35"/>
  </w:num>
  <w:num w:numId="45">
    <w:abstractNumId w:val="6"/>
  </w:num>
  <w:num w:numId="46">
    <w:abstractNumId w:val="3"/>
  </w:num>
  <w:num w:numId="47">
    <w:abstractNumId w:val="31"/>
  </w:num>
  <w:num w:numId="48">
    <w:abstractNumId w:val="16"/>
  </w:num>
  <w:num w:numId="49">
    <w:abstractNumId w:val="11"/>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E83"/>
    <w:rsid w:val="00015DA4"/>
    <w:rsid w:val="00016068"/>
    <w:rsid w:val="00020576"/>
    <w:rsid w:val="00020869"/>
    <w:rsid w:val="00021E03"/>
    <w:rsid w:val="000500F5"/>
    <w:rsid w:val="00051B2C"/>
    <w:rsid w:val="00056500"/>
    <w:rsid w:val="00057D8C"/>
    <w:rsid w:val="00066CAE"/>
    <w:rsid w:val="000715AE"/>
    <w:rsid w:val="000720EA"/>
    <w:rsid w:val="000738C3"/>
    <w:rsid w:val="00074C58"/>
    <w:rsid w:val="00074DB4"/>
    <w:rsid w:val="00082702"/>
    <w:rsid w:val="00084E6F"/>
    <w:rsid w:val="000931DF"/>
    <w:rsid w:val="00096B75"/>
    <w:rsid w:val="000B16E4"/>
    <w:rsid w:val="000B273E"/>
    <w:rsid w:val="000E30C7"/>
    <w:rsid w:val="000E439F"/>
    <w:rsid w:val="000F1AD3"/>
    <w:rsid w:val="000F4566"/>
    <w:rsid w:val="000F5333"/>
    <w:rsid w:val="00100AB8"/>
    <w:rsid w:val="00115424"/>
    <w:rsid w:val="001253BE"/>
    <w:rsid w:val="00135C4C"/>
    <w:rsid w:val="0013659E"/>
    <w:rsid w:val="00137351"/>
    <w:rsid w:val="0014026C"/>
    <w:rsid w:val="00145134"/>
    <w:rsid w:val="001621B4"/>
    <w:rsid w:val="00167B38"/>
    <w:rsid w:val="00173A31"/>
    <w:rsid w:val="00173FA7"/>
    <w:rsid w:val="00187AED"/>
    <w:rsid w:val="001A3F22"/>
    <w:rsid w:val="001A7153"/>
    <w:rsid w:val="001B0B29"/>
    <w:rsid w:val="001B1F93"/>
    <w:rsid w:val="001B29C9"/>
    <w:rsid w:val="001B77F5"/>
    <w:rsid w:val="001D7890"/>
    <w:rsid w:val="001D7DC9"/>
    <w:rsid w:val="001E0A9B"/>
    <w:rsid w:val="001E4EBB"/>
    <w:rsid w:val="001E7560"/>
    <w:rsid w:val="001F65CE"/>
    <w:rsid w:val="001F6CE8"/>
    <w:rsid w:val="001F733C"/>
    <w:rsid w:val="00201EE5"/>
    <w:rsid w:val="00206755"/>
    <w:rsid w:val="00214C61"/>
    <w:rsid w:val="0021697B"/>
    <w:rsid w:val="00220139"/>
    <w:rsid w:val="0024024B"/>
    <w:rsid w:val="00242CF5"/>
    <w:rsid w:val="00264930"/>
    <w:rsid w:val="00271D03"/>
    <w:rsid w:val="00280FE0"/>
    <w:rsid w:val="00283668"/>
    <w:rsid w:val="002938AD"/>
    <w:rsid w:val="002948B6"/>
    <w:rsid w:val="0029578C"/>
    <w:rsid w:val="002A761E"/>
    <w:rsid w:val="002C55DB"/>
    <w:rsid w:val="002D3B6B"/>
    <w:rsid w:val="002D3E0C"/>
    <w:rsid w:val="002E425A"/>
    <w:rsid w:val="002E657E"/>
    <w:rsid w:val="002E6B82"/>
    <w:rsid w:val="002E77B4"/>
    <w:rsid w:val="002E78E7"/>
    <w:rsid w:val="002F0023"/>
    <w:rsid w:val="002F27A8"/>
    <w:rsid w:val="003012FF"/>
    <w:rsid w:val="00306921"/>
    <w:rsid w:val="00307124"/>
    <w:rsid w:val="00315EE4"/>
    <w:rsid w:val="00316D2E"/>
    <w:rsid w:val="00323567"/>
    <w:rsid w:val="003257A3"/>
    <w:rsid w:val="00334271"/>
    <w:rsid w:val="003449B8"/>
    <w:rsid w:val="003672C3"/>
    <w:rsid w:val="003738ED"/>
    <w:rsid w:val="0038064C"/>
    <w:rsid w:val="003908FD"/>
    <w:rsid w:val="00392E02"/>
    <w:rsid w:val="00395020"/>
    <w:rsid w:val="003A587B"/>
    <w:rsid w:val="003A6BA5"/>
    <w:rsid w:val="003B351B"/>
    <w:rsid w:val="003B4802"/>
    <w:rsid w:val="003C0617"/>
    <w:rsid w:val="003D1A9F"/>
    <w:rsid w:val="003E32B0"/>
    <w:rsid w:val="003E419E"/>
    <w:rsid w:val="003E65F8"/>
    <w:rsid w:val="00401690"/>
    <w:rsid w:val="00401D84"/>
    <w:rsid w:val="00412785"/>
    <w:rsid w:val="0041347B"/>
    <w:rsid w:val="00415233"/>
    <w:rsid w:val="004157F5"/>
    <w:rsid w:val="00426FAD"/>
    <w:rsid w:val="00427294"/>
    <w:rsid w:val="00437415"/>
    <w:rsid w:val="00467C00"/>
    <w:rsid w:val="00467CF2"/>
    <w:rsid w:val="0047561F"/>
    <w:rsid w:val="00484A26"/>
    <w:rsid w:val="004955C6"/>
    <w:rsid w:val="00495D4B"/>
    <w:rsid w:val="004A7B3B"/>
    <w:rsid w:val="004B1628"/>
    <w:rsid w:val="004C06A1"/>
    <w:rsid w:val="004E2225"/>
    <w:rsid w:val="004E24D6"/>
    <w:rsid w:val="004E6722"/>
    <w:rsid w:val="004F7BC0"/>
    <w:rsid w:val="00502FF2"/>
    <w:rsid w:val="00524EFC"/>
    <w:rsid w:val="00530522"/>
    <w:rsid w:val="00534100"/>
    <w:rsid w:val="005359CC"/>
    <w:rsid w:val="00537783"/>
    <w:rsid w:val="005400E0"/>
    <w:rsid w:val="00552201"/>
    <w:rsid w:val="00554389"/>
    <w:rsid w:val="00572001"/>
    <w:rsid w:val="005745F9"/>
    <w:rsid w:val="00583EC6"/>
    <w:rsid w:val="00586EF6"/>
    <w:rsid w:val="0059458F"/>
    <w:rsid w:val="005B3554"/>
    <w:rsid w:val="005B3FF6"/>
    <w:rsid w:val="005C064A"/>
    <w:rsid w:val="005C52BD"/>
    <w:rsid w:val="005D00D1"/>
    <w:rsid w:val="005D00D7"/>
    <w:rsid w:val="005D45EA"/>
    <w:rsid w:val="005F0F13"/>
    <w:rsid w:val="005F6791"/>
    <w:rsid w:val="006037CC"/>
    <w:rsid w:val="0060482A"/>
    <w:rsid w:val="0061329C"/>
    <w:rsid w:val="006338AD"/>
    <w:rsid w:val="00633D45"/>
    <w:rsid w:val="00640EE9"/>
    <w:rsid w:val="006437C4"/>
    <w:rsid w:val="00652965"/>
    <w:rsid w:val="00655871"/>
    <w:rsid w:val="006565DC"/>
    <w:rsid w:val="006625BB"/>
    <w:rsid w:val="006703DD"/>
    <w:rsid w:val="006819B3"/>
    <w:rsid w:val="006914C1"/>
    <w:rsid w:val="006926D5"/>
    <w:rsid w:val="006A124F"/>
    <w:rsid w:val="006A2BA5"/>
    <w:rsid w:val="006A3596"/>
    <w:rsid w:val="006A6726"/>
    <w:rsid w:val="006A73CA"/>
    <w:rsid w:val="006B341C"/>
    <w:rsid w:val="006B3B98"/>
    <w:rsid w:val="006C42C4"/>
    <w:rsid w:val="006C5FB8"/>
    <w:rsid w:val="006C7CF5"/>
    <w:rsid w:val="006E6BF5"/>
    <w:rsid w:val="006F1B7E"/>
    <w:rsid w:val="006F65D7"/>
    <w:rsid w:val="00710CEB"/>
    <w:rsid w:val="0071444D"/>
    <w:rsid w:val="0071517B"/>
    <w:rsid w:val="007302F5"/>
    <w:rsid w:val="00731AB9"/>
    <w:rsid w:val="007346B8"/>
    <w:rsid w:val="00735B8B"/>
    <w:rsid w:val="00735E75"/>
    <w:rsid w:val="00736039"/>
    <w:rsid w:val="00737CB0"/>
    <w:rsid w:val="0074074C"/>
    <w:rsid w:val="00745B80"/>
    <w:rsid w:val="00757C56"/>
    <w:rsid w:val="00765D15"/>
    <w:rsid w:val="007670EC"/>
    <w:rsid w:val="0077353F"/>
    <w:rsid w:val="00774959"/>
    <w:rsid w:val="00775D52"/>
    <w:rsid w:val="00784F28"/>
    <w:rsid w:val="0079432F"/>
    <w:rsid w:val="007A10D2"/>
    <w:rsid w:val="007A219B"/>
    <w:rsid w:val="007A7CAB"/>
    <w:rsid w:val="007B713E"/>
    <w:rsid w:val="007C06A5"/>
    <w:rsid w:val="007C272C"/>
    <w:rsid w:val="007C595B"/>
    <w:rsid w:val="007C5E5A"/>
    <w:rsid w:val="007D2C97"/>
    <w:rsid w:val="007D5760"/>
    <w:rsid w:val="007E4CE5"/>
    <w:rsid w:val="00802A0F"/>
    <w:rsid w:val="008114EA"/>
    <w:rsid w:val="0081435B"/>
    <w:rsid w:val="0083242A"/>
    <w:rsid w:val="00836741"/>
    <w:rsid w:val="00841BF1"/>
    <w:rsid w:val="00844DF2"/>
    <w:rsid w:val="00850D1B"/>
    <w:rsid w:val="008624CC"/>
    <w:rsid w:val="008633C0"/>
    <w:rsid w:val="00883396"/>
    <w:rsid w:val="00883FFB"/>
    <w:rsid w:val="00885157"/>
    <w:rsid w:val="00887087"/>
    <w:rsid w:val="00890175"/>
    <w:rsid w:val="008A1506"/>
    <w:rsid w:val="008A169A"/>
    <w:rsid w:val="008A37B1"/>
    <w:rsid w:val="008B07BE"/>
    <w:rsid w:val="008D7253"/>
    <w:rsid w:val="008E43EC"/>
    <w:rsid w:val="008E4879"/>
    <w:rsid w:val="009051ED"/>
    <w:rsid w:val="009052EC"/>
    <w:rsid w:val="00906C21"/>
    <w:rsid w:val="009077EE"/>
    <w:rsid w:val="0091082B"/>
    <w:rsid w:val="0092765F"/>
    <w:rsid w:val="00927AED"/>
    <w:rsid w:val="009301C7"/>
    <w:rsid w:val="00932B1B"/>
    <w:rsid w:val="009416F7"/>
    <w:rsid w:val="0095306E"/>
    <w:rsid w:val="00965FCD"/>
    <w:rsid w:val="00972117"/>
    <w:rsid w:val="00975C65"/>
    <w:rsid w:val="00975F6A"/>
    <w:rsid w:val="00980C91"/>
    <w:rsid w:val="00986AF6"/>
    <w:rsid w:val="00986CBD"/>
    <w:rsid w:val="00991817"/>
    <w:rsid w:val="00995230"/>
    <w:rsid w:val="00997087"/>
    <w:rsid w:val="009A6F7D"/>
    <w:rsid w:val="009B2ADE"/>
    <w:rsid w:val="009C186A"/>
    <w:rsid w:val="009C5B74"/>
    <w:rsid w:val="009D02DE"/>
    <w:rsid w:val="009D586C"/>
    <w:rsid w:val="009E0D95"/>
    <w:rsid w:val="009E4095"/>
    <w:rsid w:val="009E7E6D"/>
    <w:rsid w:val="009F1F30"/>
    <w:rsid w:val="009F7D61"/>
    <w:rsid w:val="00A06BC6"/>
    <w:rsid w:val="00A16B99"/>
    <w:rsid w:val="00A21955"/>
    <w:rsid w:val="00A33F4A"/>
    <w:rsid w:val="00A35281"/>
    <w:rsid w:val="00A35957"/>
    <w:rsid w:val="00A37DE0"/>
    <w:rsid w:val="00A42753"/>
    <w:rsid w:val="00A429A1"/>
    <w:rsid w:val="00A56111"/>
    <w:rsid w:val="00A66652"/>
    <w:rsid w:val="00A71FC3"/>
    <w:rsid w:val="00A723E1"/>
    <w:rsid w:val="00AA677B"/>
    <w:rsid w:val="00AC0857"/>
    <w:rsid w:val="00AC381E"/>
    <w:rsid w:val="00AC557C"/>
    <w:rsid w:val="00AC5AF5"/>
    <w:rsid w:val="00AD5682"/>
    <w:rsid w:val="00AE26DA"/>
    <w:rsid w:val="00AE28A2"/>
    <w:rsid w:val="00AF2322"/>
    <w:rsid w:val="00AF6A8A"/>
    <w:rsid w:val="00B0202B"/>
    <w:rsid w:val="00B06A59"/>
    <w:rsid w:val="00B06B0D"/>
    <w:rsid w:val="00B074A8"/>
    <w:rsid w:val="00B21465"/>
    <w:rsid w:val="00B24202"/>
    <w:rsid w:val="00B35B99"/>
    <w:rsid w:val="00B52BA5"/>
    <w:rsid w:val="00B54594"/>
    <w:rsid w:val="00B54FFF"/>
    <w:rsid w:val="00B55D02"/>
    <w:rsid w:val="00B667D1"/>
    <w:rsid w:val="00B679E3"/>
    <w:rsid w:val="00B73848"/>
    <w:rsid w:val="00B77339"/>
    <w:rsid w:val="00B802FD"/>
    <w:rsid w:val="00B816DB"/>
    <w:rsid w:val="00B81793"/>
    <w:rsid w:val="00B81F04"/>
    <w:rsid w:val="00B83242"/>
    <w:rsid w:val="00B94510"/>
    <w:rsid w:val="00BA3C18"/>
    <w:rsid w:val="00BA4731"/>
    <w:rsid w:val="00BA74F4"/>
    <w:rsid w:val="00BB0BEB"/>
    <w:rsid w:val="00BB1926"/>
    <w:rsid w:val="00BB4756"/>
    <w:rsid w:val="00BB75CF"/>
    <w:rsid w:val="00BC0DC0"/>
    <w:rsid w:val="00BC2A85"/>
    <w:rsid w:val="00BC30EE"/>
    <w:rsid w:val="00BC41FF"/>
    <w:rsid w:val="00BC4237"/>
    <w:rsid w:val="00BC425B"/>
    <w:rsid w:val="00BD0078"/>
    <w:rsid w:val="00BD6C63"/>
    <w:rsid w:val="00BD7382"/>
    <w:rsid w:val="00BD7D25"/>
    <w:rsid w:val="00BE7242"/>
    <w:rsid w:val="00BE75B1"/>
    <w:rsid w:val="00BF5750"/>
    <w:rsid w:val="00C0247E"/>
    <w:rsid w:val="00C06EB3"/>
    <w:rsid w:val="00C06FB1"/>
    <w:rsid w:val="00C0708C"/>
    <w:rsid w:val="00C20CAE"/>
    <w:rsid w:val="00C3195B"/>
    <w:rsid w:val="00C324FF"/>
    <w:rsid w:val="00C3519B"/>
    <w:rsid w:val="00C46CD2"/>
    <w:rsid w:val="00C50139"/>
    <w:rsid w:val="00C50BE4"/>
    <w:rsid w:val="00C52DB7"/>
    <w:rsid w:val="00C54849"/>
    <w:rsid w:val="00C73172"/>
    <w:rsid w:val="00C95057"/>
    <w:rsid w:val="00C968C4"/>
    <w:rsid w:val="00CA62C0"/>
    <w:rsid w:val="00CA77B0"/>
    <w:rsid w:val="00CC4FF6"/>
    <w:rsid w:val="00CC558C"/>
    <w:rsid w:val="00CD3F54"/>
    <w:rsid w:val="00CE12EF"/>
    <w:rsid w:val="00CE2ED3"/>
    <w:rsid w:val="00CE5718"/>
    <w:rsid w:val="00CF4F29"/>
    <w:rsid w:val="00CF5A3F"/>
    <w:rsid w:val="00CF713D"/>
    <w:rsid w:val="00D0083A"/>
    <w:rsid w:val="00D065E1"/>
    <w:rsid w:val="00D11734"/>
    <w:rsid w:val="00D1494E"/>
    <w:rsid w:val="00D15AFD"/>
    <w:rsid w:val="00D23670"/>
    <w:rsid w:val="00D23AEC"/>
    <w:rsid w:val="00D319E0"/>
    <w:rsid w:val="00D32851"/>
    <w:rsid w:val="00D358A1"/>
    <w:rsid w:val="00D36740"/>
    <w:rsid w:val="00D37A31"/>
    <w:rsid w:val="00D44348"/>
    <w:rsid w:val="00D45C43"/>
    <w:rsid w:val="00D4722A"/>
    <w:rsid w:val="00D54C01"/>
    <w:rsid w:val="00D54CBD"/>
    <w:rsid w:val="00D67DDE"/>
    <w:rsid w:val="00D82190"/>
    <w:rsid w:val="00D85709"/>
    <w:rsid w:val="00DA2237"/>
    <w:rsid w:val="00DA33D5"/>
    <w:rsid w:val="00DA50A5"/>
    <w:rsid w:val="00DB7AEE"/>
    <w:rsid w:val="00DC270B"/>
    <w:rsid w:val="00DC4D25"/>
    <w:rsid w:val="00DD3A73"/>
    <w:rsid w:val="00DE7AE2"/>
    <w:rsid w:val="00DF24AE"/>
    <w:rsid w:val="00DF5ABC"/>
    <w:rsid w:val="00E10A12"/>
    <w:rsid w:val="00E14B14"/>
    <w:rsid w:val="00E14CB4"/>
    <w:rsid w:val="00E17F57"/>
    <w:rsid w:val="00E203D7"/>
    <w:rsid w:val="00E21C1B"/>
    <w:rsid w:val="00E30B49"/>
    <w:rsid w:val="00E33491"/>
    <w:rsid w:val="00E34C89"/>
    <w:rsid w:val="00E3744E"/>
    <w:rsid w:val="00E441EE"/>
    <w:rsid w:val="00E44244"/>
    <w:rsid w:val="00E54552"/>
    <w:rsid w:val="00E60C9E"/>
    <w:rsid w:val="00E65D79"/>
    <w:rsid w:val="00E66C11"/>
    <w:rsid w:val="00E77C53"/>
    <w:rsid w:val="00E77E83"/>
    <w:rsid w:val="00E93433"/>
    <w:rsid w:val="00E96ECD"/>
    <w:rsid w:val="00EA0F4D"/>
    <w:rsid w:val="00EA1BE4"/>
    <w:rsid w:val="00EA444C"/>
    <w:rsid w:val="00EA6237"/>
    <w:rsid w:val="00EA6466"/>
    <w:rsid w:val="00EA6D08"/>
    <w:rsid w:val="00EA758D"/>
    <w:rsid w:val="00EA764F"/>
    <w:rsid w:val="00EB03A8"/>
    <w:rsid w:val="00EC2628"/>
    <w:rsid w:val="00EC577D"/>
    <w:rsid w:val="00ED22D2"/>
    <w:rsid w:val="00EE71D0"/>
    <w:rsid w:val="00F001F9"/>
    <w:rsid w:val="00F035F6"/>
    <w:rsid w:val="00F047E2"/>
    <w:rsid w:val="00F319A2"/>
    <w:rsid w:val="00F34278"/>
    <w:rsid w:val="00F40F34"/>
    <w:rsid w:val="00F40FC3"/>
    <w:rsid w:val="00F441D0"/>
    <w:rsid w:val="00F461E4"/>
    <w:rsid w:val="00F4683C"/>
    <w:rsid w:val="00F511C5"/>
    <w:rsid w:val="00F73CE4"/>
    <w:rsid w:val="00F74CDE"/>
    <w:rsid w:val="00F817D3"/>
    <w:rsid w:val="00F86787"/>
    <w:rsid w:val="00F91C52"/>
    <w:rsid w:val="00F937C9"/>
    <w:rsid w:val="00FA3C79"/>
    <w:rsid w:val="00FA5213"/>
    <w:rsid w:val="00FB26DD"/>
    <w:rsid w:val="00FB5E54"/>
    <w:rsid w:val="00FC25FF"/>
    <w:rsid w:val="00FC5666"/>
    <w:rsid w:val="00FD4856"/>
    <w:rsid w:val="00FD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A5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567"/>
    <w:rPr>
      <w:sz w:val="24"/>
      <w:lang w:bidi="ar-SA"/>
    </w:rPr>
  </w:style>
  <w:style w:type="paragraph" w:styleId="Heading1">
    <w:name w:val="heading 1"/>
    <w:basedOn w:val="ListParagraph"/>
    <w:next w:val="Normal"/>
    <w:qFormat/>
    <w:rsid w:val="003E419E"/>
    <w:pPr>
      <w:numPr>
        <w:numId w:val="21"/>
      </w:numPr>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3567"/>
    <w:rPr>
      <w:b/>
      <w:sz w:val="22"/>
    </w:rPr>
  </w:style>
  <w:style w:type="paragraph" w:styleId="BodyTextIndent">
    <w:name w:val="Body Text Indent"/>
    <w:basedOn w:val="Normal"/>
    <w:rsid w:val="00323567"/>
    <w:pPr>
      <w:ind w:left="450"/>
    </w:pPr>
    <w:rPr>
      <w:sz w:val="22"/>
    </w:rPr>
  </w:style>
  <w:style w:type="paragraph" w:customStyle="1" w:styleId="DefinitionList">
    <w:name w:val="Definition List"/>
    <w:basedOn w:val="Normal"/>
    <w:next w:val="Normal"/>
    <w:rsid w:val="00323567"/>
    <w:pPr>
      <w:ind w:left="360"/>
    </w:pPr>
    <w:rPr>
      <w:snapToGrid w:val="0"/>
    </w:rPr>
  </w:style>
  <w:style w:type="paragraph" w:styleId="BodyText2">
    <w:name w:val="Body Text 2"/>
    <w:basedOn w:val="Normal"/>
    <w:rsid w:val="00323567"/>
    <w:rPr>
      <w:sz w:val="22"/>
    </w:rPr>
  </w:style>
  <w:style w:type="paragraph" w:styleId="ListParagraph">
    <w:name w:val="List Paragraph"/>
    <w:basedOn w:val="Normal"/>
    <w:uiPriority w:val="34"/>
    <w:qFormat/>
    <w:rsid w:val="00E77C53"/>
    <w:pPr>
      <w:spacing w:after="200" w:line="276" w:lineRule="auto"/>
      <w:ind w:left="720"/>
      <w:contextualSpacing/>
    </w:pPr>
    <w:rPr>
      <w:rFonts w:ascii="Calibri" w:eastAsia="Calibri" w:hAnsi="Calibri"/>
      <w:sz w:val="22"/>
      <w:lang w:bidi="hi-IN"/>
    </w:rPr>
  </w:style>
  <w:style w:type="paragraph" w:styleId="BalloonText">
    <w:name w:val="Balloon Text"/>
    <w:basedOn w:val="Normal"/>
    <w:link w:val="BalloonTextChar"/>
    <w:rsid w:val="009F1F30"/>
    <w:rPr>
      <w:rFonts w:ascii="Tahoma" w:hAnsi="Tahoma" w:cs="Tahoma"/>
      <w:sz w:val="16"/>
      <w:szCs w:val="16"/>
    </w:rPr>
  </w:style>
  <w:style w:type="character" w:customStyle="1" w:styleId="BalloonTextChar">
    <w:name w:val="Balloon Text Char"/>
    <w:basedOn w:val="DefaultParagraphFont"/>
    <w:link w:val="BalloonText"/>
    <w:rsid w:val="009F1F30"/>
    <w:rPr>
      <w:rFonts w:ascii="Tahoma" w:hAnsi="Tahoma" w:cs="Tahoma"/>
      <w:sz w:val="16"/>
      <w:szCs w:val="16"/>
    </w:rPr>
  </w:style>
  <w:style w:type="character" w:styleId="Hyperlink">
    <w:name w:val="Hyperlink"/>
    <w:basedOn w:val="DefaultParagraphFont"/>
    <w:uiPriority w:val="99"/>
    <w:rsid w:val="00B679E3"/>
    <w:rPr>
      <w:color w:val="0000FF"/>
      <w:u w:val="single"/>
    </w:rPr>
  </w:style>
  <w:style w:type="paragraph" w:customStyle="1" w:styleId="SL-FlLftSgl">
    <w:name w:val="SL-Fl Lft Sgl"/>
    <w:rsid w:val="00B679E3"/>
    <w:pPr>
      <w:spacing w:line="240" w:lineRule="atLeast"/>
    </w:pPr>
    <w:rPr>
      <w:sz w:val="24"/>
      <w:lang w:bidi="ar-SA"/>
    </w:rPr>
  </w:style>
  <w:style w:type="character" w:styleId="FootnoteReference">
    <w:name w:val="footnote reference"/>
    <w:basedOn w:val="DefaultParagraphFont"/>
    <w:rsid w:val="00AC557C"/>
    <w:rPr>
      <w:vertAlign w:val="superscript"/>
    </w:rPr>
  </w:style>
  <w:style w:type="paragraph" w:customStyle="1" w:styleId="TT-TableTitle">
    <w:name w:val="TT-Table Title"/>
    <w:rsid w:val="00AC557C"/>
    <w:pPr>
      <w:tabs>
        <w:tab w:val="left" w:pos="1152"/>
      </w:tabs>
      <w:spacing w:line="240" w:lineRule="atLeast"/>
      <w:ind w:left="1152" w:hanging="1152"/>
    </w:pPr>
    <w:rPr>
      <w:sz w:val="24"/>
      <w:lang w:bidi="ar-SA"/>
    </w:rPr>
  </w:style>
  <w:style w:type="paragraph" w:styleId="Header">
    <w:name w:val="header"/>
    <w:basedOn w:val="Normal"/>
    <w:link w:val="HeaderChar"/>
    <w:rsid w:val="00426FAD"/>
    <w:pPr>
      <w:tabs>
        <w:tab w:val="center" w:pos="4513"/>
        <w:tab w:val="right" w:pos="9026"/>
      </w:tabs>
    </w:pPr>
  </w:style>
  <w:style w:type="character" w:customStyle="1" w:styleId="HeaderChar">
    <w:name w:val="Header Char"/>
    <w:basedOn w:val="DefaultParagraphFont"/>
    <w:link w:val="Header"/>
    <w:rsid w:val="00426FAD"/>
    <w:rPr>
      <w:sz w:val="24"/>
    </w:rPr>
  </w:style>
  <w:style w:type="paragraph" w:styleId="Footer">
    <w:name w:val="footer"/>
    <w:basedOn w:val="Normal"/>
    <w:link w:val="FooterChar"/>
    <w:uiPriority w:val="99"/>
    <w:rsid w:val="00426FAD"/>
    <w:pPr>
      <w:tabs>
        <w:tab w:val="center" w:pos="4513"/>
        <w:tab w:val="right" w:pos="9026"/>
      </w:tabs>
    </w:pPr>
  </w:style>
  <w:style w:type="character" w:customStyle="1" w:styleId="FooterChar">
    <w:name w:val="Footer Char"/>
    <w:basedOn w:val="DefaultParagraphFont"/>
    <w:link w:val="Footer"/>
    <w:uiPriority w:val="99"/>
    <w:rsid w:val="00426FAD"/>
    <w:rPr>
      <w:sz w:val="24"/>
    </w:rPr>
  </w:style>
  <w:style w:type="table" w:styleId="TableGrid">
    <w:name w:val="Table Grid"/>
    <w:basedOn w:val="TableNormal"/>
    <w:uiPriority w:val="39"/>
    <w:rsid w:val="00B9451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203D7"/>
    <w:rPr>
      <w:sz w:val="16"/>
      <w:szCs w:val="16"/>
    </w:rPr>
  </w:style>
  <w:style w:type="paragraph" w:styleId="CommentText">
    <w:name w:val="annotation text"/>
    <w:basedOn w:val="Normal"/>
    <w:link w:val="CommentTextChar"/>
    <w:rsid w:val="00E203D7"/>
    <w:rPr>
      <w:sz w:val="20"/>
    </w:rPr>
  </w:style>
  <w:style w:type="character" w:customStyle="1" w:styleId="CommentTextChar">
    <w:name w:val="Comment Text Char"/>
    <w:basedOn w:val="DefaultParagraphFont"/>
    <w:link w:val="CommentText"/>
    <w:rsid w:val="00E203D7"/>
    <w:rPr>
      <w:lang w:bidi="ar-SA"/>
    </w:rPr>
  </w:style>
  <w:style w:type="paragraph" w:styleId="CommentSubject">
    <w:name w:val="annotation subject"/>
    <w:basedOn w:val="CommentText"/>
    <w:next w:val="CommentText"/>
    <w:link w:val="CommentSubjectChar"/>
    <w:rsid w:val="00E203D7"/>
    <w:rPr>
      <w:b/>
      <w:bCs/>
    </w:rPr>
  </w:style>
  <w:style w:type="character" w:customStyle="1" w:styleId="CommentSubjectChar">
    <w:name w:val="Comment Subject Char"/>
    <w:basedOn w:val="CommentTextChar"/>
    <w:link w:val="CommentSubject"/>
    <w:rsid w:val="00E203D7"/>
    <w:rPr>
      <w:b/>
      <w:bCs/>
      <w:lang w:bidi="ar-SA"/>
    </w:rPr>
  </w:style>
  <w:style w:type="character" w:customStyle="1" w:styleId="il">
    <w:name w:val="il"/>
    <w:basedOn w:val="DefaultParagraphFont"/>
    <w:rsid w:val="005B3554"/>
  </w:style>
  <w:style w:type="paragraph" w:styleId="FootnoteText">
    <w:name w:val="footnote text"/>
    <w:basedOn w:val="Normal"/>
    <w:link w:val="FootnoteTextChar"/>
    <w:rsid w:val="00020576"/>
    <w:rPr>
      <w:sz w:val="20"/>
    </w:rPr>
  </w:style>
  <w:style w:type="character" w:customStyle="1" w:styleId="FootnoteTextChar">
    <w:name w:val="Footnote Text Char"/>
    <w:basedOn w:val="DefaultParagraphFont"/>
    <w:link w:val="FootnoteText"/>
    <w:rsid w:val="00020576"/>
    <w:rPr>
      <w:lang w:bidi="ar-SA"/>
    </w:rPr>
  </w:style>
  <w:style w:type="character" w:customStyle="1" w:styleId="catalog-subtitle1">
    <w:name w:val="catalog-subtitle1"/>
    <w:basedOn w:val="DefaultParagraphFont"/>
    <w:rsid w:val="00020576"/>
    <w:rPr>
      <w:sz w:val="29"/>
      <w:szCs w:val="29"/>
    </w:rPr>
  </w:style>
  <w:style w:type="character" w:customStyle="1" w:styleId="bookyear1">
    <w:name w:val="bookyear1"/>
    <w:basedOn w:val="DefaultParagraphFont"/>
    <w:rsid w:val="00020576"/>
    <w:rPr>
      <w:sz w:val="27"/>
      <w:szCs w:val="27"/>
    </w:rPr>
  </w:style>
  <w:style w:type="paragraph" w:styleId="NormalWeb">
    <w:name w:val="Normal (Web)"/>
    <w:basedOn w:val="Normal"/>
    <w:rsid w:val="00020576"/>
    <w:pPr>
      <w:spacing w:before="100" w:beforeAutospacing="1" w:after="100" w:afterAutospacing="1"/>
    </w:pPr>
    <w:rPr>
      <w:szCs w:val="24"/>
    </w:rPr>
  </w:style>
  <w:style w:type="paragraph" w:customStyle="1" w:styleId="Default">
    <w:name w:val="Default"/>
    <w:rsid w:val="00B54594"/>
    <w:pPr>
      <w:autoSpaceDE w:val="0"/>
      <w:autoSpaceDN w:val="0"/>
      <w:adjustRightInd w:val="0"/>
    </w:pPr>
    <w:rPr>
      <w:color w:val="000000"/>
      <w:sz w:val="24"/>
      <w:szCs w:val="24"/>
      <w:lang w:bidi="ar-SA"/>
    </w:rPr>
  </w:style>
  <w:style w:type="character" w:customStyle="1" w:styleId="BodyTextChar">
    <w:name w:val="Body Text Char"/>
    <w:basedOn w:val="DefaultParagraphFont"/>
    <w:link w:val="BodyText"/>
    <w:rsid w:val="001D7DC9"/>
    <w:rPr>
      <w:b/>
      <w:sz w:val="22"/>
      <w:lang w:bidi="ar-SA"/>
    </w:rPr>
  </w:style>
  <w:style w:type="paragraph" w:customStyle="1" w:styleId="Q1-Survey-Question">
    <w:name w:val="Q1-Survey-Question"/>
    <w:basedOn w:val="Normal"/>
    <w:uiPriority w:val="99"/>
    <w:rsid w:val="001D7DC9"/>
    <w:pPr>
      <w:keepNext/>
      <w:keepLines/>
      <w:tabs>
        <w:tab w:val="left" w:pos="432"/>
      </w:tabs>
      <w:spacing w:after="180"/>
      <w:ind w:left="432" w:hanging="432"/>
    </w:pPr>
  </w:style>
  <w:style w:type="character" w:customStyle="1" w:styleId="Mention1">
    <w:name w:val="Mention1"/>
    <w:basedOn w:val="DefaultParagraphFont"/>
    <w:uiPriority w:val="99"/>
    <w:semiHidden/>
    <w:unhideWhenUsed/>
    <w:rsid w:val="00B77339"/>
    <w:rPr>
      <w:color w:val="2B579A"/>
      <w:shd w:val="clear" w:color="auto" w:fill="E6E6E6"/>
    </w:rPr>
  </w:style>
  <w:style w:type="character" w:styleId="Emphasis">
    <w:name w:val="Emphasis"/>
    <w:basedOn w:val="DefaultParagraphFont"/>
    <w:qFormat/>
    <w:rsid w:val="00DC27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567"/>
    <w:rPr>
      <w:sz w:val="24"/>
      <w:lang w:bidi="ar-SA"/>
    </w:rPr>
  </w:style>
  <w:style w:type="paragraph" w:styleId="Heading1">
    <w:name w:val="heading 1"/>
    <w:basedOn w:val="ListParagraph"/>
    <w:next w:val="Normal"/>
    <w:qFormat/>
    <w:rsid w:val="003E419E"/>
    <w:pPr>
      <w:numPr>
        <w:numId w:val="21"/>
      </w:numPr>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3567"/>
    <w:rPr>
      <w:b/>
      <w:sz w:val="22"/>
    </w:rPr>
  </w:style>
  <w:style w:type="paragraph" w:styleId="BodyTextIndent">
    <w:name w:val="Body Text Indent"/>
    <w:basedOn w:val="Normal"/>
    <w:rsid w:val="00323567"/>
    <w:pPr>
      <w:ind w:left="450"/>
    </w:pPr>
    <w:rPr>
      <w:sz w:val="22"/>
    </w:rPr>
  </w:style>
  <w:style w:type="paragraph" w:customStyle="1" w:styleId="DefinitionList">
    <w:name w:val="Definition List"/>
    <w:basedOn w:val="Normal"/>
    <w:next w:val="Normal"/>
    <w:rsid w:val="00323567"/>
    <w:pPr>
      <w:ind w:left="360"/>
    </w:pPr>
    <w:rPr>
      <w:snapToGrid w:val="0"/>
    </w:rPr>
  </w:style>
  <w:style w:type="paragraph" w:styleId="BodyText2">
    <w:name w:val="Body Text 2"/>
    <w:basedOn w:val="Normal"/>
    <w:rsid w:val="00323567"/>
    <w:rPr>
      <w:sz w:val="22"/>
    </w:rPr>
  </w:style>
  <w:style w:type="paragraph" w:styleId="ListParagraph">
    <w:name w:val="List Paragraph"/>
    <w:basedOn w:val="Normal"/>
    <w:uiPriority w:val="34"/>
    <w:qFormat/>
    <w:rsid w:val="00E77C53"/>
    <w:pPr>
      <w:spacing w:after="200" w:line="276" w:lineRule="auto"/>
      <w:ind w:left="720"/>
      <w:contextualSpacing/>
    </w:pPr>
    <w:rPr>
      <w:rFonts w:ascii="Calibri" w:eastAsia="Calibri" w:hAnsi="Calibri"/>
      <w:sz w:val="22"/>
      <w:lang w:bidi="hi-IN"/>
    </w:rPr>
  </w:style>
  <w:style w:type="paragraph" w:styleId="BalloonText">
    <w:name w:val="Balloon Text"/>
    <w:basedOn w:val="Normal"/>
    <w:link w:val="BalloonTextChar"/>
    <w:rsid w:val="009F1F30"/>
    <w:rPr>
      <w:rFonts w:ascii="Tahoma" w:hAnsi="Tahoma" w:cs="Tahoma"/>
      <w:sz w:val="16"/>
      <w:szCs w:val="16"/>
    </w:rPr>
  </w:style>
  <w:style w:type="character" w:customStyle="1" w:styleId="BalloonTextChar">
    <w:name w:val="Balloon Text Char"/>
    <w:basedOn w:val="DefaultParagraphFont"/>
    <w:link w:val="BalloonText"/>
    <w:rsid w:val="009F1F30"/>
    <w:rPr>
      <w:rFonts w:ascii="Tahoma" w:hAnsi="Tahoma" w:cs="Tahoma"/>
      <w:sz w:val="16"/>
      <w:szCs w:val="16"/>
    </w:rPr>
  </w:style>
  <w:style w:type="character" w:styleId="Hyperlink">
    <w:name w:val="Hyperlink"/>
    <w:basedOn w:val="DefaultParagraphFont"/>
    <w:uiPriority w:val="99"/>
    <w:rsid w:val="00B679E3"/>
    <w:rPr>
      <w:color w:val="0000FF"/>
      <w:u w:val="single"/>
    </w:rPr>
  </w:style>
  <w:style w:type="paragraph" w:customStyle="1" w:styleId="SL-FlLftSgl">
    <w:name w:val="SL-Fl Lft Sgl"/>
    <w:rsid w:val="00B679E3"/>
    <w:pPr>
      <w:spacing w:line="240" w:lineRule="atLeast"/>
    </w:pPr>
    <w:rPr>
      <w:sz w:val="24"/>
      <w:lang w:bidi="ar-SA"/>
    </w:rPr>
  </w:style>
  <w:style w:type="character" w:styleId="FootnoteReference">
    <w:name w:val="footnote reference"/>
    <w:basedOn w:val="DefaultParagraphFont"/>
    <w:rsid w:val="00AC557C"/>
    <w:rPr>
      <w:vertAlign w:val="superscript"/>
    </w:rPr>
  </w:style>
  <w:style w:type="paragraph" w:customStyle="1" w:styleId="TT-TableTitle">
    <w:name w:val="TT-Table Title"/>
    <w:rsid w:val="00AC557C"/>
    <w:pPr>
      <w:tabs>
        <w:tab w:val="left" w:pos="1152"/>
      </w:tabs>
      <w:spacing w:line="240" w:lineRule="atLeast"/>
      <w:ind w:left="1152" w:hanging="1152"/>
    </w:pPr>
    <w:rPr>
      <w:sz w:val="24"/>
      <w:lang w:bidi="ar-SA"/>
    </w:rPr>
  </w:style>
  <w:style w:type="paragraph" w:styleId="Header">
    <w:name w:val="header"/>
    <w:basedOn w:val="Normal"/>
    <w:link w:val="HeaderChar"/>
    <w:rsid w:val="00426FAD"/>
    <w:pPr>
      <w:tabs>
        <w:tab w:val="center" w:pos="4513"/>
        <w:tab w:val="right" w:pos="9026"/>
      </w:tabs>
    </w:pPr>
  </w:style>
  <w:style w:type="character" w:customStyle="1" w:styleId="HeaderChar">
    <w:name w:val="Header Char"/>
    <w:basedOn w:val="DefaultParagraphFont"/>
    <w:link w:val="Header"/>
    <w:rsid w:val="00426FAD"/>
    <w:rPr>
      <w:sz w:val="24"/>
    </w:rPr>
  </w:style>
  <w:style w:type="paragraph" w:styleId="Footer">
    <w:name w:val="footer"/>
    <w:basedOn w:val="Normal"/>
    <w:link w:val="FooterChar"/>
    <w:uiPriority w:val="99"/>
    <w:rsid w:val="00426FAD"/>
    <w:pPr>
      <w:tabs>
        <w:tab w:val="center" w:pos="4513"/>
        <w:tab w:val="right" w:pos="9026"/>
      </w:tabs>
    </w:pPr>
  </w:style>
  <w:style w:type="character" w:customStyle="1" w:styleId="FooterChar">
    <w:name w:val="Footer Char"/>
    <w:basedOn w:val="DefaultParagraphFont"/>
    <w:link w:val="Footer"/>
    <w:uiPriority w:val="99"/>
    <w:rsid w:val="00426FAD"/>
    <w:rPr>
      <w:sz w:val="24"/>
    </w:rPr>
  </w:style>
  <w:style w:type="table" w:styleId="TableGrid">
    <w:name w:val="Table Grid"/>
    <w:basedOn w:val="TableNormal"/>
    <w:uiPriority w:val="39"/>
    <w:rsid w:val="00B9451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203D7"/>
    <w:rPr>
      <w:sz w:val="16"/>
      <w:szCs w:val="16"/>
    </w:rPr>
  </w:style>
  <w:style w:type="paragraph" w:styleId="CommentText">
    <w:name w:val="annotation text"/>
    <w:basedOn w:val="Normal"/>
    <w:link w:val="CommentTextChar"/>
    <w:rsid w:val="00E203D7"/>
    <w:rPr>
      <w:sz w:val="20"/>
    </w:rPr>
  </w:style>
  <w:style w:type="character" w:customStyle="1" w:styleId="CommentTextChar">
    <w:name w:val="Comment Text Char"/>
    <w:basedOn w:val="DefaultParagraphFont"/>
    <w:link w:val="CommentText"/>
    <w:rsid w:val="00E203D7"/>
    <w:rPr>
      <w:lang w:bidi="ar-SA"/>
    </w:rPr>
  </w:style>
  <w:style w:type="paragraph" w:styleId="CommentSubject">
    <w:name w:val="annotation subject"/>
    <w:basedOn w:val="CommentText"/>
    <w:next w:val="CommentText"/>
    <w:link w:val="CommentSubjectChar"/>
    <w:rsid w:val="00E203D7"/>
    <w:rPr>
      <w:b/>
      <w:bCs/>
    </w:rPr>
  </w:style>
  <w:style w:type="character" w:customStyle="1" w:styleId="CommentSubjectChar">
    <w:name w:val="Comment Subject Char"/>
    <w:basedOn w:val="CommentTextChar"/>
    <w:link w:val="CommentSubject"/>
    <w:rsid w:val="00E203D7"/>
    <w:rPr>
      <w:b/>
      <w:bCs/>
      <w:lang w:bidi="ar-SA"/>
    </w:rPr>
  </w:style>
  <w:style w:type="character" w:customStyle="1" w:styleId="il">
    <w:name w:val="il"/>
    <w:basedOn w:val="DefaultParagraphFont"/>
    <w:rsid w:val="005B3554"/>
  </w:style>
  <w:style w:type="paragraph" w:styleId="FootnoteText">
    <w:name w:val="footnote text"/>
    <w:basedOn w:val="Normal"/>
    <w:link w:val="FootnoteTextChar"/>
    <w:rsid w:val="00020576"/>
    <w:rPr>
      <w:sz w:val="20"/>
    </w:rPr>
  </w:style>
  <w:style w:type="character" w:customStyle="1" w:styleId="FootnoteTextChar">
    <w:name w:val="Footnote Text Char"/>
    <w:basedOn w:val="DefaultParagraphFont"/>
    <w:link w:val="FootnoteText"/>
    <w:rsid w:val="00020576"/>
    <w:rPr>
      <w:lang w:bidi="ar-SA"/>
    </w:rPr>
  </w:style>
  <w:style w:type="character" w:customStyle="1" w:styleId="catalog-subtitle1">
    <w:name w:val="catalog-subtitle1"/>
    <w:basedOn w:val="DefaultParagraphFont"/>
    <w:rsid w:val="00020576"/>
    <w:rPr>
      <w:sz w:val="29"/>
      <w:szCs w:val="29"/>
    </w:rPr>
  </w:style>
  <w:style w:type="character" w:customStyle="1" w:styleId="bookyear1">
    <w:name w:val="bookyear1"/>
    <w:basedOn w:val="DefaultParagraphFont"/>
    <w:rsid w:val="00020576"/>
    <w:rPr>
      <w:sz w:val="27"/>
      <w:szCs w:val="27"/>
    </w:rPr>
  </w:style>
  <w:style w:type="paragraph" w:styleId="NormalWeb">
    <w:name w:val="Normal (Web)"/>
    <w:basedOn w:val="Normal"/>
    <w:rsid w:val="00020576"/>
    <w:pPr>
      <w:spacing w:before="100" w:beforeAutospacing="1" w:after="100" w:afterAutospacing="1"/>
    </w:pPr>
    <w:rPr>
      <w:szCs w:val="24"/>
    </w:rPr>
  </w:style>
  <w:style w:type="paragraph" w:customStyle="1" w:styleId="Default">
    <w:name w:val="Default"/>
    <w:rsid w:val="00B54594"/>
    <w:pPr>
      <w:autoSpaceDE w:val="0"/>
      <w:autoSpaceDN w:val="0"/>
      <w:adjustRightInd w:val="0"/>
    </w:pPr>
    <w:rPr>
      <w:color w:val="000000"/>
      <w:sz w:val="24"/>
      <w:szCs w:val="24"/>
      <w:lang w:bidi="ar-SA"/>
    </w:rPr>
  </w:style>
  <w:style w:type="character" w:customStyle="1" w:styleId="BodyTextChar">
    <w:name w:val="Body Text Char"/>
    <w:basedOn w:val="DefaultParagraphFont"/>
    <w:link w:val="BodyText"/>
    <w:rsid w:val="001D7DC9"/>
    <w:rPr>
      <w:b/>
      <w:sz w:val="22"/>
      <w:lang w:bidi="ar-SA"/>
    </w:rPr>
  </w:style>
  <w:style w:type="paragraph" w:customStyle="1" w:styleId="Q1-Survey-Question">
    <w:name w:val="Q1-Survey-Question"/>
    <w:basedOn w:val="Normal"/>
    <w:uiPriority w:val="99"/>
    <w:rsid w:val="001D7DC9"/>
    <w:pPr>
      <w:keepNext/>
      <w:keepLines/>
      <w:tabs>
        <w:tab w:val="left" w:pos="432"/>
      </w:tabs>
      <w:spacing w:after="180"/>
      <w:ind w:left="432" w:hanging="432"/>
    </w:pPr>
  </w:style>
  <w:style w:type="character" w:customStyle="1" w:styleId="Mention1">
    <w:name w:val="Mention1"/>
    <w:basedOn w:val="DefaultParagraphFont"/>
    <w:uiPriority w:val="99"/>
    <w:semiHidden/>
    <w:unhideWhenUsed/>
    <w:rsid w:val="00B77339"/>
    <w:rPr>
      <w:color w:val="2B579A"/>
      <w:shd w:val="clear" w:color="auto" w:fill="E6E6E6"/>
    </w:rPr>
  </w:style>
  <w:style w:type="character" w:styleId="Emphasis">
    <w:name w:val="Emphasis"/>
    <w:basedOn w:val="DefaultParagraphFont"/>
    <w:qFormat/>
    <w:rsid w:val="00DC27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90014">
      <w:bodyDiv w:val="1"/>
      <w:marLeft w:val="0"/>
      <w:marRight w:val="0"/>
      <w:marTop w:val="0"/>
      <w:marBottom w:val="0"/>
      <w:divBdr>
        <w:top w:val="none" w:sz="0" w:space="0" w:color="auto"/>
        <w:left w:val="none" w:sz="0" w:space="0" w:color="auto"/>
        <w:bottom w:val="none" w:sz="0" w:space="0" w:color="auto"/>
        <w:right w:val="none" w:sz="0" w:space="0" w:color="auto"/>
      </w:divBdr>
    </w:div>
    <w:div w:id="1318848003">
      <w:bodyDiv w:val="1"/>
      <w:marLeft w:val="0"/>
      <w:marRight w:val="0"/>
      <w:marTop w:val="0"/>
      <w:marBottom w:val="0"/>
      <w:divBdr>
        <w:top w:val="none" w:sz="0" w:space="0" w:color="auto"/>
        <w:left w:val="none" w:sz="0" w:space="0" w:color="auto"/>
        <w:bottom w:val="none" w:sz="0" w:space="0" w:color="auto"/>
        <w:right w:val="none" w:sz="0" w:space="0" w:color="auto"/>
      </w:divBdr>
    </w:div>
    <w:div w:id="1400708621">
      <w:bodyDiv w:val="1"/>
      <w:marLeft w:val="0"/>
      <w:marRight w:val="0"/>
      <w:marTop w:val="0"/>
      <w:marBottom w:val="0"/>
      <w:divBdr>
        <w:top w:val="none" w:sz="0" w:space="0" w:color="auto"/>
        <w:left w:val="none" w:sz="0" w:space="0" w:color="auto"/>
        <w:bottom w:val="none" w:sz="0" w:space="0" w:color="auto"/>
        <w:right w:val="none" w:sz="0" w:space="0" w:color="auto"/>
      </w:divBdr>
    </w:div>
    <w:div w:id="1712918291">
      <w:bodyDiv w:val="1"/>
      <w:marLeft w:val="0"/>
      <w:marRight w:val="0"/>
      <w:marTop w:val="0"/>
      <w:marBottom w:val="0"/>
      <w:divBdr>
        <w:top w:val="none" w:sz="0" w:space="0" w:color="auto"/>
        <w:left w:val="none" w:sz="0" w:space="0" w:color="auto"/>
        <w:bottom w:val="none" w:sz="0" w:space="0" w:color="auto"/>
        <w:right w:val="none" w:sz="0" w:space="0" w:color="auto"/>
      </w:divBdr>
    </w:div>
    <w:div w:id="1821579407">
      <w:bodyDiv w:val="1"/>
      <w:marLeft w:val="0"/>
      <w:marRight w:val="0"/>
      <w:marTop w:val="0"/>
      <w:marBottom w:val="0"/>
      <w:divBdr>
        <w:top w:val="none" w:sz="0" w:space="0" w:color="auto"/>
        <w:left w:val="none" w:sz="0" w:space="0" w:color="auto"/>
        <w:bottom w:val="none" w:sz="0" w:space="0" w:color="auto"/>
        <w:right w:val="none" w:sz="0" w:space="0" w:color="auto"/>
      </w:divBdr>
    </w:div>
    <w:div w:id="20501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eryl.cook@bfcc2.hcqis.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ita.Bowling@bfcc3.hcqi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smith@kepro.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coss@livanta.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Denise.Mikin@bfcc3.hcq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13378-79B9-4CDA-80FD-AC2AD73B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for the form</vt:lpstr>
    </vt:vector>
  </TitlesOfParts>
  <Company>HCFA</Company>
  <LinksUpToDate>false</LinksUpToDate>
  <CharactersWithSpaces>19978</CharactersWithSpaces>
  <SharedDoc>false</SharedDoc>
  <HLinks>
    <vt:vector size="12" baseType="variant">
      <vt:variant>
        <vt:i4>4784247</vt:i4>
      </vt:variant>
      <vt:variant>
        <vt:i4>3</vt:i4>
      </vt:variant>
      <vt:variant>
        <vt:i4>0</vt:i4>
      </vt:variant>
      <vt:variant>
        <vt:i4>5</vt:i4>
      </vt:variant>
      <vt:variant>
        <vt:lpwstr>mailto:VasudhaNarayanan@westat.com</vt:lpwstr>
      </vt:variant>
      <vt:variant>
        <vt:lpwstr/>
      </vt:variant>
      <vt:variant>
        <vt:i4>5439591</vt:i4>
      </vt:variant>
      <vt:variant>
        <vt:i4>0</vt:i4>
      </vt:variant>
      <vt:variant>
        <vt:i4>0</vt:i4>
      </vt:variant>
      <vt:variant>
        <vt:i4>5</vt:i4>
      </vt:variant>
      <vt:variant>
        <vt:lpwstr>mailto:ShermEdwards@westat.com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for the form</dc:title>
  <dc:creator>Rachel  Nelson</dc:creator>
  <cp:lastModifiedBy>SYSTEM</cp:lastModifiedBy>
  <cp:revision>2</cp:revision>
  <cp:lastPrinted>2011-06-06T15:35:00Z</cp:lastPrinted>
  <dcterms:created xsi:type="dcterms:W3CDTF">2018-02-15T13:49:00Z</dcterms:created>
  <dcterms:modified xsi:type="dcterms:W3CDTF">2018-02-15T13:49:00Z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501208726</vt:i4>
  </property>
  <property fmtid="{D5CDD505-2E9C-101B-9397-08002B2CF9AE}" pid="4" name="_EmailSubject">
    <vt:lpwstr>CMS-10393 OMB passback </vt:lpwstr>
  </property>
  <property fmtid="{D5CDD505-2E9C-101B-9397-08002B2CF9AE}" pid="5" name="_AuthorEmail">
    <vt:lpwstr>David.Russo@cms.hhs.gov</vt:lpwstr>
  </property>
  <property fmtid="{D5CDD505-2E9C-101B-9397-08002B2CF9AE}" pid="6" name="_AuthorEmailDisplayName">
    <vt:lpwstr>Russo, David J. (CMS/CQISCO)</vt:lpwstr>
  </property>
  <property fmtid="{D5CDD505-2E9C-101B-9397-08002B2CF9AE}" pid="7" name="_ReviewingToolsShownOnce">
    <vt:lpwstr/>
  </property>
</Properties>
</file>