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CA6" w:rsidRPr="00207991" w:rsidRDefault="00873CA6" w:rsidP="00873CA6">
      <w:pPr>
        <w:pStyle w:val="Heading2"/>
        <w:jc w:val="center"/>
        <w:rPr>
          <w:rFonts w:ascii="Times New Roman" w:hAnsi="Times New Roman"/>
          <w:color w:val="auto"/>
          <w:sz w:val="24"/>
          <w:szCs w:val="24"/>
        </w:rPr>
      </w:pPr>
      <w:r w:rsidRPr="00207991">
        <w:rPr>
          <w:rFonts w:ascii="Times New Roman" w:hAnsi="Times New Roman"/>
          <w:color w:val="auto"/>
          <w:sz w:val="24"/>
          <w:szCs w:val="24"/>
        </w:rPr>
        <w:t xml:space="preserve">STATE TARGETED RESPONSE TO THE OPIOID CRISIS </w:t>
      </w:r>
      <w:r w:rsidR="00D13379">
        <w:rPr>
          <w:rFonts w:ascii="Times New Roman" w:hAnsi="Times New Roman"/>
          <w:color w:val="auto"/>
          <w:sz w:val="24"/>
          <w:szCs w:val="24"/>
        </w:rPr>
        <w:t xml:space="preserve">(OPIOID STR) </w:t>
      </w:r>
      <w:r w:rsidR="00207991" w:rsidRPr="00207991">
        <w:rPr>
          <w:rFonts w:ascii="Times New Roman" w:hAnsi="Times New Roman"/>
          <w:color w:val="auto"/>
          <w:sz w:val="24"/>
          <w:szCs w:val="24"/>
        </w:rPr>
        <w:t>PROGRAM DATA COLLECTION AND PERFORMANCE MEASUREMENT</w:t>
      </w:r>
    </w:p>
    <w:p w:rsidR="00873CA6" w:rsidRPr="00207991" w:rsidRDefault="00873CA6" w:rsidP="00873CA6">
      <w:pPr>
        <w:pStyle w:val="Heading2"/>
        <w:jc w:val="center"/>
        <w:rPr>
          <w:rFonts w:ascii="Times New Roman" w:hAnsi="Times New Roman"/>
          <w:color w:val="auto"/>
          <w:sz w:val="24"/>
          <w:szCs w:val="24"/>
        </w:rPr>
      </w:pPr>
      <w:r w:rsidRPr="00207991">
        <w:rPr>
          <w:rFonts w:ascii="Times New Roman" w:hAnsi="Times New Roman"/>
          <w:color w:val="auto"/>
          <w:sz w:val="24"/>
          <w:szCs w:val="24"/>
        </w:rPr>
        <w:t>SUPPORTING STATEMENT</w:t>
      </w:r>
    </w:p>
    <w:p w:rsidR="004E0C17" w:rsidRPr="00207991" w:rsidRDefault="004E0C17" w:rsidP="004E0C17">
      <w:pPr>
        <w:autoSpaceDE w:val="0"/>
        <w:autoSpaceDN w:val="0"/>
        <w:adjustRightInd w:val="0"/>
        <w:ind w:right="-900"/>
        <w:jc w:val="center"/>
        <w:outlineLvl w:val="0"/>
      </w:pPr>
    </w:p>
    <w:p w:rsidR="00D14F75" w:rsidRDefault="00D14F75" w:rsidP="00D14F75">
      <w:pPr>
        <w:pStyle w:val="Heading2"/>
        <w:rPr>
          <w:rFonts w:ascii="Times New Roman" w:hAnsi="Times New Roman"/>
          <w:color w:val="auto"/>
          <w:sz w:val="24"/>
          <w:szCs w:val="24"/>
        </w:rPr>
      </w:pPr>
      <w:r>
        <w:rPr>
          <w:rFonts w:ascii="Times New Roman" w:hAnsi="Times New Roman"/>
          <w:color w:val="auto"/>
          <w:sz w:val="24"/>
          <w:szCs w:val="24"/>
        </w:rPr>
        <w:t xml:space="preserve">A. </w:t>
      </w:r>
      <w:r>
        <w:rPr>
          <w:rFonts w:ascii="Times New Roman" w:hAnsi="Times New Roman"/>
          <w:color w:val="auto"/>
          <w:sz w:val="24"/>
          <w:szCs w:val="24"/>
        </w:rPr>
        <w:tab/>
        <w:t>Justification</w:t>
      </w:r>
    </w:p>
    <w:p w:rsidR="00D14F75" w:rsidRPr="00CD604A" w:rsidRDefault="00D14F75" w:rsidP="00D14F75">
      <w:pPr>
        <w:pStyle w:val="Heading2"/>
        <w:rPr>
          <w:rFonts w:ascii="Times New Roman" w:hAnsi="Times New Roman"/>
          <w:color w:val="auto"/>
          <w:sz w:val="24"/>
          <w:szCs w:val="24"/>
        </w:rPr>
      </w:pPr>
      <w:r w:rsidRPr="00CD604A">
        <w:rPr>
          <w:rFonts w:ascii="Times New Roman" w:hAnsi="Times New Roman"/>
          <w:color w:val="auto"/>
          <w:sz w:val="24"/>
          <w:szCs w:val="24"/>
        </w:rPr>
        <w:t>A.1</w:t>
      </w:r>
      <w:r w:rsidRPr="00CD604A">
        <w:rPr>
          <w:rFonts w:ascii="Times New Roman" w:hAnsi="Times New Roman"/>
          <w:color w:val="auto"/>
          <w:sz w:val="24"/>
          <w:szCs w:val="24"/>
        </w:rPr>
        <w:tab/>
      </w:r>
      <w:r>
        <w:rPr>
          <w:rFonts w:ascii="Times New Roman" w:hAnsi="Times New Roman"/>
          <w:color w:val="auto"/>
          <w:sz w:val="24"/>
          <w:szCs w:val="24"/>
        </w:rPr>
        <w:t>Circumstances of</w:t>
      </w:r>
      <w:r w:rsidRPr="00CD604A">
        <w:rPr>
          <w:rFonts w:ascii="Times New Roman" w:hAnsi="Times New Roman"/>
          <w:color w:val="auto"/>
          <w:sz w:val="24"/>
          <w:szCs w:val="24"/>
        </w:rPr>
        <w:t xml:space="preserve"> Information</w:t>
      </w:r>
      <w:r>
        <w:rPr>
          <w:rFonts w:ascii="Times New Roman" w:hAnsi="Times New Roman"/>
          <w:color w:val="auto"/>
          <w:sz w:val="24"/>
          <w:szCs w:val="24"/>
        </w:rPr>
        <w:t xml:space="preserve"> Collection</w:t>
      </w:r>
    </w:p>
    <w:p w:rsidR="00324FF8" w:rsidRPr="00207991" w:rsidRDefault="00324FF8" w:rsidP="00324FF8">
      <w:pPr>
        <w:autoSpaceDE w:val="0"/>
        <w:autoSpaceDN w:val="0"/>
        <w:adjustRightInd w:val="0"/>
        <w:ind w:right="-900"/>
        <w:outlineLvl w:val="0"/>
      </w:pPr>
    </w:p>
    <w:p w:rsidR="00967A87" w:rsidRPr="00207991" w:rsidRDefault="00967A87" w:rsidP="00D14F75">
      <w:pPr>
        <w:autoSpaceDE w:val="0"/>
        <w:autoSpaceDN w:val="0"/>
        <w:adjustRightInd w:val="0"/>
        <w:ind w:right="-900"/>
        <w:outlineLvl w:val="0"/>
      </w:pPr>
      <w:r w:rsidRPr="00207991">
        <w:t xml:space="preserve">The </w:t>
      </w:r>
      <w:r w:rsidR="00324FF8" w:rsidRPr="00207991">
        <w:t xml:space="preserve">federal fiscal year (FY) Justification of Estimates for the Appropriations Committees </w:t>
      </w:r>
      <w:hyperlink r:id="rId8" w:history="1">
        <w:r w:rsidR="00324FF8" w:rsidRPr="00207991">
          <w:rPr>
            <w:rStyle w:val="Hyperlink"/>
          </w:rPr>
          <w:t>https://www.samhsa.gov/sites/default/files/samhsa-fy-2017-congressional-justification.pdf</w:t>
        </w:r>
      </w:hyperlink>
      <w:r w:rsidR="00324FF8" w:rsidRPr="00207991">
        <w:t xml:space="preserve"> included a State Targeted Response proposal</w:t>
      </w:r>
      <w:r w:rsidR="003F5621" w:rsidRPr="00207991">
        <w:t xml:space="preserve"> and the </w:t>
      </w:r>
      <w:r w:rsidRPr="00207991">
        <w:t>21</w:t>
      </w:r>
      <w:r w:rsidRPr="00207991">
        <w:rPr>
          <w:vertAlign w:val="superscript"/>
        </w:rPr>
        <w:t>st</w:t>
      </w:r>
      <w:r w:rsidRPr="00207991">
        <w:t xml:space="preserve"> Century </w:t>
      </w:r>
      <w:r w:rsidR="003F5621" w:rsidRPr="00207991">
        <w:t>Cures Act (P.L. 114-255</w:t>
      </w:r>
      <w:r w:rsidRPr="00207991">
        <w:t xml:space="preserve">) </w:t>
      </w:r>
      <w:r w:rsidR="00324FF8" w:rsidRPr="00207991">
        <w:t>enacted December 13, 2016, authorized a grant program for the states in response to the illicit and prescription opioid cr</w:t>
      </w:r>
      <w:r w:rsidR="003F5621" w:rsidRPr="00207991">
        <w:t>isis.  The statute authorized $</w:t>
      </w:r>
      <w:r w:rsidR="006A3BEB" w:rsidRPr="00207991">
        <w:t>1</w:t>
      </w:r>
      <w:r w:rsidR="000B2923" w:rsidRPr="00207991">
        <w:t xml:space="preserve"> </w:t>
      </w:r>
      <w:r w:rsidR="00324FF8" w:rsidRPr="00207991">
        <w:t xml:space="preserve">billion to </w:t>
      </w:r>
      <w:r w:rsidR="003F5621" w:rsidRPr="00207991">
        <w:t xml:space="preserve">be made available </w:t>
      </w:r>
      <w:r w:rsidR="006A3BEB" w:rsidRPr="00207991">
        <w:t xml:space="preserve">over the course of </w:t>
      </w:r>
      <w:r w:rsidR="003F5621" w:rsidRPr="00207991">
        <w:t xml:space="preserve">FY 2017 and FY 2018.  </w:t>
      </w:r>
    </w:p>
    <w:p w:rsidR="00324FF8" w:rsidRPr="00207991" w:rsidRDefault="00324FF8" w:rsidP="00324FF8">
      <w:pPr>
        <w:pStyle w:val="ListParagraph"/>
        <w:autoSpaceDE w:val="0"/>
        <w:autoSpaceDN w:val="0"/>
        <w:adjustRightInd w:val="0"/>
        <w:ind w:right="-900"/>
        <w:outlineLvl w:val="0"/>
      </w:pPr>
    </w:p>
    <w:p w:rsidR="00E34D9E" w:rsidRPr="00207991" w:rsidRDefault="00E34D9E" w:rsidP="00D14F75">
      <w:r w:rsidRPr="00207991">
        <w:t xml:space="preserve">The Substance Abuse and Mental Health Services Administration (SAMHSA) is supporting a grant program, for up to 2 years, that addresses the supplemental activities pertaining to opioids currently undertaken by state agencies and territories, and will support a comprehensive response to the opioid epidemic. The primary purpose of the grant program is to address the opioid crisis by increasing access to treatment, reducing unmet treatment need, and reducing opioid overdose related deaths through the provision of prevention, treatment and recovery activities for opioid use disorder (OUD) (including prescription opioids as well as illicit drugs such as heroin). Performance data collection for Opioid STR is required, per the authorizing legislation.  </w:t>
      </w:r>
    </w:p>
    <w:p w:rsidR="0029680A" w:rsidRDefault="0029680A" w:rsidP="00D14F75">
      <w:pPr>
        <w:pStyle w:val="Heading2"/>
        <w:rPr>
          <w:rFonts w:ascii="Times New Roman" w:hAnsi="Times New Roman"/>
          <w:color w:val="auto"/>
          <w:sz w:val="24"/>
          <w:szCs w:val="24"/>
        </w:rPr>
      </w:pPr>
      <w:bookmarkStart w:id="0" w:name="_Toc391970689"/>
    </w:p>
    <w:p w:rsidR="00D14F75" w:rsidRPr="002266FA" w:rsidRDefault="00D14F75" w:rsidP="00D14F75">
      <w:pPr>
        <w:pStyle w:val="Heading2"/>
        <w:rPr>
          <w:rFonts w:ascii="Times New Roman" w:hAnsi="Times New Roman"/>
          <w:color w:val="auto"/>
          <w:sz w:val="24"/>
          <w:szCs w:val="24"/>
        </w:rPr>
      </w:pPr>
      <w:r w:rsidRPr="002266FA">
        <w:rPr>
          <w:rFonts w:ascii="Times New Roman" w:hAnsi="Times New Roman"/>
          <w:color w:val="auto"/>
          <w:sz w:val="24"/>
          <w:szCs w:val="24"/>
        </w:rPr>
        <w:t>A.2</w:t>
      </w:r>
      <w:r w:rsidRPr="002266FA">
        <w:rPr>
          <w:rFonts w:ascii="Times New Roman" w:hAnsi="Times New Roman"/>
          <w:color w:val="auto"/>
          <w:sz w:val="24"/>
          <w:szCs w:val="24"/>
        </w:rPr>
        <w:tab/>
        <w:t xml:space="preserve">Purpose </w:t>
      </w:r>
      <w:r>
        <w:rPr>
          <w:rFonts w:ascii="Times New Roman" w:hAnsi="Times New Roman"/>
          <w:color w:val="auto"/>
          <w:sz w:val="24"/>
          <w:szCs w:val="24"/>
        </w:rPr>
        <w:t xml:space="preserve">and Use of </w:t>
      </w:r>
      <w:r w:rsidRPr="002266FA">
        <w:rPr>
          <w:rFonts w:ascii="Times New Roman" w:hAnsi="Times New Roman"/>
          <w:color w:val="auto"/>
          <w:sz w:val="24"/>
          <w:szCs w:val="24"/>
        </w:rPr>
        <w:t xml:space="preserve">Information </w:t>
      </w:r>
      <w:bookmarkEnd w:id="0"/>
    </w:p>
    <w:p w:rsidR="00D14F75" w:rsidRPr="00207991" w:rsidRDefault="00D14F75" w:rsidP="00D14F75">
      <w:pPr>
        <w:pStyle w:val="ListParagraph"/>
        <w:autoSpaceDE w:val="0"/>
        <w:autoSpaceDN w:val="0"/>
        <w:adjustRightInd w:val="0"/>
        <w:ind w:right="-900"/>
        <w:outlineLvl w:val="0"/>
        <w:rPr>
          <w:b/>
        </w:rPr>
      </w:pPr>
    </w:p>
    <w:p w:rsidR="003F5621" w:rsidRPr="00207991" w:rsidRDefault="00967A87" w:rsidP="00D14F75">
      <w:pPr>
        <w:autoSpaceDE w:val="0"/>
        <w:autoSpaceDN w:val="0"/>
        <w:adjustRightInd w:val="0"/>
        <w:ind w:right="-900"/>
        <w:outlineLvl w:val="0"/>
      </w:pPr>
      <w:r w:rsidRPr="00207991">
        <w:t>The authorizing legislation</w:t>
      </w:r>
      <w:r w:rsidR="003F5621" w:rsidRPr="00207991">
        <w:t xml:space="preserve"> requires the Opioid STR grant recipient to prepare and submit mid- and end-year reports on a schedule to be determined by the awarding agency.  As described in section 2.2, Data Collection and Performance Measurement, grant recipients progress in addressing the opioid epidemic will be partially addressed through the submission of data in compliance with the Substance Abuse Prevention and Treatment Block Grant </w:t>
      </w:r>
      <w:r w:rsidR="00264E67" w:rsidRPr="00207991">
        <w:t xml:space="preserve">(SABG) </w:t>
      </w:r>
      <w:r w:rsidR="003F5621" w:rsidRPr="00207991">
        <w:t xml:space="preserve">standard reporting requirements.  </w:t>
      </w:r>
      <w:r w:rsidR="00E34D9E" w:rsidRPr="00207991">
        <w:t>Award</w:t>
      </w:r>
      <w:r w:rsidR="003F5621" w:rsidRPr="00207991">
        <w:t xml:space="preserve"> recipients will be required to report performance on the following performance measures specific to the Opioid STR program: (1) number of persons who receive opioid use disorder (OUD) treatment; (2) number of persons who receive OUD recovery services; (3) number of providers implementing medication assisted treatment (MAT); and (4) number of OUD prevention and treatment providers trained. </w:t>
      </w:r>
    </w:p>
    <w:p w:rsidR="0029680A" w:rsidRDefault="0029680A" w:rsidP="00D14F75">
      <w:pPr>
        <w:pStyle w:val="Heading2"/>
        <w:rPr>
          <w:rFonts w:ascii="Times New Roman" w:hAnsi="Times New Roman"/>
          <w:color w:val="auto"/>
          <w:sz w:val="24"/>
          <w:szCs w:val="24"/>
        </w:rPr>
      </w:pPr>
      <w:bookmarkStart w:id="1" w:name="_Toc391970690"/>
    </w:p>
    <w:p w:rsidR="00D14F75" w:rsidRPr="002266FA" w:rsidRDefault="00D14F75" w:rsidP="00D14F75">
      <w:pPr>
        <w:pStyle w:val="Heading2"/>
        <w:rPr>
          <w:rFonts w:ascii="Times New Roman" w:hAnsi="Times New Roman"/>
          <w:color w:val="auto"/>
          <w:sz w:val="24"/>
          <w:szCs w:val="24"/>
        </w:rPr>
      </w:pPr>
      <w:r w:rsidRPr="002266FA">
        <w:rPr>
          <w:rFonts w:ascii="Times New Roman" w:hAnsi="Times New Roman"/>
          <w:color w:val="auto"/>
          <w:sz w:val="24"/>
          <w:szCs w:val="24"/>
        </w:rPr>
        <w:t>A.3</w:t>
      </w:r>
      <w:r w:rsidRPr="002266FA">
        <w:rPr>
          <w:rFonts w:ascii="Times New Roman" w:hAnsi="Times New Roman"/>
          <w:color w:val="auto"/>
          <w:sz w:val="24"/>
          <w:szCs w:val="24"/>
        </w:rPr>
        <w:tab/>
        <w:t>Use of Improved Information Technology</w:t>
      </w:r>
      <w:bookmarkEnd w:id="1"/>
    </w:p>
    <w:p w:rsidR="003F5621" w:rsidRPr="00207991" w:rsidRDefault="003F5621" w:rsidP="003F5621">
      <w:pPr>
        <w:autoSpaceDE w:val="0"/>
        <w:autoSpaceDN w:val="0"/>
        <w:adjustRightInd w:val="0"/>
        <w:ind w:left="360" w:right="-900"/>
        <w:outlineLvl w:val="0"/>
        <w:rPr>
          <w:b/>
        </w:rPr>
      </w:pPr>
    </w:p>
    <w:p w:rsidR="003F5621" w:rsidRPr="00207991" w:rsidRDefault="003F5621" w:rsidP="00D14F75">
      <w:pPr>
        <w:autoSpaceDE w:val="0"/>
        <w:autoSpaceDN w:val="0"/>
        <w:adjustRightInd w:val="0"/>
        <w:ind w:right="-900"/>
        <w:outlineLvl w:val="0"/>
      </w:pPr>
      <w:r w:rsidRPr="00207991">
        <w:t>The SABG recipients, i.e., state</w:t>
      </w:r>
      <w:r w:rsidR="00E34D9E" w:rsidRPr="00207991">
        <w:t>s</w:t>
      </w:r>
      <w:r w:rsidRPr="00207991">
        <w:t xml:space="preserve"> and jurisdictions, prepare biennial plans and annual reports to SAMHSA in accordance with section 1932(b) of Title XIX, Part B, Subpart II of the Public Health Service Act (42 U.S.C. 300x-32(b)) and 45 CFR 96.122(g) and section 1942(a) of Title XIX, Part B, Subpart III of the Public Health Service Act (42 U.S.C. 300x-52(a)) and 45 CFR 96.122(f), respectively.  To fulfill the requirements described in the authorizing legislation and implementing regulation, the states and </w:t>
      </w:r>
      <w:r w:rsidRPr="00207991">
        <w:lastRenderedPageBreak/>
        <w:t>jurisdictions submit their respective plans and reports through SAMHSA’s Web Block Grant Application System (BGAS).  SAMHSA will amend the block grant application (0930-</w:t>
      </w:r>
      <w:r w:rsidR="006A3BEB" w:rsidRPr="00207991">
        <w:t>0168</w:t>
      </w:r>
      <w:r w:rsidRPr="00207991">
        <w:t xml:space="preserve">) to </w:t>
      </w:r>
      <w:r w:rsidR="001D5397" w:rsidRPr="00207991">
        <w:t>include data collection tables that correspond to the performance measures described in section 2.2 of the Funding Opportunity Announcement (TI-17-014)</w:t>
      </w:r>
      <w:r w:rsidR="000B2923" w:rsidRPr="00207991">
        <w:t>.</w:t>
      </w:r>
      <w:r w:rsidR="001D5397" w:rsidRPr="00207991">
        <w:t xml:space="preserve"> </w:t>
      </w:r>
      <w:r w:rsidRPr="00207991">
        <w:t xml:space="preserve">  </w:t>
      </w:r>
    </w:p>
    <w:p w:rsidR="00D14F75" w:rsidRPr="002266FA" w:rsidRDefault="00D14F75" w:rsidP="00D14F75">
      <w:pPr>
        <w:pStyle w:val="Heading2"/>
        <w:rPr>
          <w:rFonts w:ascii="Times New Roman" w:hAnsi="Times New Roman"/>
          <w:color w:val="auto"/>
          <w:sz w:val="24"/>
          <w:szCs w:val="24"/>
        </w:rPr>
      </w:pPr>
      <w:bookmarkStart w:id="2" w:name="_Toc391970691"/>
      <w:r w:rsidRPr="002266FA">
        <w:rPr>
          <w:rFonts w:ascii="Times New Roman" w:hAnsi="Times New Roman"/>
          <w:color w:val="auto"/>
          <w:sz w:val="24"/>
          <w:szCs w:val="24"/>
        </w:rPr>
        <w:t>A.4</w:t>
      </w:r>
      <w:r w:rsidRPr="002266FA">
        <w:rPr>
          <w:rFonts w:ascii="Times New Roman" w:hAnsi="Times New Roman"/>
          <w:color w:val="auto"/>
          <w:sz w:val="24"/>
          <w:szCs w:val="24"/>
        </w:rPr>
        <w:tab/>
        <w:t>Efforts to Avoid Duplication</w:t>
      </w:r>
      <w:bookmarkEnd w:id="2"/>
    </w:p>
    <w:p w:rsidR="00D14F75" w:rsidRPr="00207991" w:rsidRDefault="00D14F75" w:rsidP="00324FF8">
      <w:pPr>
        <w:pStyle w:val="ListParagraph"/>
        <w:autoSpaceDE w:val="0"/>
        <w:autoSpaceDN w:val="0"/>
        <w:adjustRightInd w:val="0"/>
        <w:ind w:right="-900"/>
        <w:outlineLvl w:val="0"/>
        <w:rPr>
          <w:b/>
        </w:rPr>
      </w:pPr>
    </w:p>
    <w:p w:rsidR="00324FF8" w:rsidRPr="00207991" w:rsidRDefault="00D14F75" w:rsidP="00D14F75">
      <w:r>
        <w:t>A review was conducted of opioid use disorder data collected by SAMHSA and other federal agencies; t</w:t>
      </w:r>
      <w:r w:rsidR="001D5397" w:rsidRPr="00207991">
        <w:t>here is not a duplication of this information.  It is specific to the applications for the use of SAMHSA.</w:t>
      </w:r>
    </w:p>
    <w:p w:rsidR="0029680A" w:rsidRDefault="0029680A" w:rsidP="00D14F75">
      <w:pPr>
        <w:pStyle w:val="Heading2"/>
        <w:rPr>
          <w:rFonts w:ascii="Times New Roman" w:hAnsi="Times New Roman"/>
          <w:color w:val="auto"/>
          <w:sz w:val="24"/>
          <w:szCs w:val="24"/>
        </w:rPr>
      </w:pPr>
      <w:bookmarkStart w:id="3" w:name="_Toc391970692"/>
    </w:p>
    <w:p w:rsidR="00D14F75" w:rsidRPr="002266FA" w:rsidRDefault="00D14F75" w:rsidP="00D14F75">
      <w:pPr>
        <w:pStyle w:val="Heading2"/>
        <w:rPr>
          <w:rFonts w:ascii="Times New Roman" w:hAnsi="Times New Roman"/>
          <w:color w:val="auto"/>
          <w:sz w:val="24"/>
          <w:szCs w:val="24"/>
        </w:rPr>
      </w:pPr>
      <w:r w:rsidRPr="002266FA">
        <w:rPr>
          <w:rFonts w:ascii="Times New Roman" w:hAnsi="Times New Roman"/>
          <w:color w:val="auto"/>
          <w:sz w:val="24"/>
          <w:szCs w:val="24"/>
        </w:rPr>
        <w:t>A.5</w:t>
      </w:r>
      <w:r w:rsidRPr="002266FA">
        <w:rPr>
          <w:rFonts w:ascii="Times New Roman" w:hAnsi="Times New Roman"/>
          <w:color w:val="auto"/>
          <w:sz w:val="24"/>
          <w:szCs w:val="24"/>
        </w:rPr>
        <w:tab/>
        <w:t>Involvement of Small Businesses</w:t>
      </w:r>
      <w:bookmarkEnd w:id="3"/>
    </w:p>
    <w:p w:rsidR="00D14F75" w:rsidRPr="00207991" w:rsidRDefault="00D14F75" w:rsidP="00324FF8">
      <w:pPr>
        <w:pStyle w:val="ListParagraph"/>
        <w:rPr>
          <w:b/>
        </w:rPr>
      </w:pPr>
    </w:p>
    <w:p w:rsidR="001D5397" w:rsidRPr="00207991" w:rsidRDefault="001D5397" w:rsidP="00D14F75">
      <w:pPr>
        <w:autoSpaceDE w:val="0"/>
        <w:autoSpaceDN w:val="0"/>
        <w:adjustRightInd w:val="0"/>
        <w:ind w:right="-900"/>
        <w:outlineLvl w:val="0"/>
        <w:rPr>
          <w:b/>
        </w:rPr>
      </w:pPr>
      <w:r w:rsidRPr="00207991">
        <w:t>This does</w:t>
      </w:r>
      <w:r w:rsidRPr="00207991">
        <w:rPr>
          <w:color w:val="FF0000"/>
        </w:rPr>
        <w:t xml:space="preserve"> </w:t>
      </w:r>
      <w:r w:rsidRPr="00207991">
        <w:t xml:space="preserve">not directly affect small entities.  The states </w:t>
      </w:r>
      <w:r w:rsidR="00D14F75">
        <w:t xml:space="preserve">and jurisdictions </w:t>
      </w:r>
      <w:r w:rsidRPr="00207991">
        <w:t xml:space="preserve">will prepare and submit their responses to the information request on a voluntary basis.  </w:t>
      </w:r>
    </w:p>
    <w:p w:rsidR="001D5397" w:rsidRPr="00207991" w:rsidRDefault="001D5397" w:rsidP="003F5621">
      <w:pPr>
        <w:pStyle w:val="ListParagraph"/>
        <w:autoSpaceDE w:val="0"/>
        <w:autoSpaceDN w:val="0"/>
        <w:adjustRightInd w:val="0"/>
        <w:ind w:right="-900"/>
        <w:outlineLvl w:val="0"/>
        <w:rPr>
          <w:b/>
        </w:rPr>
      </w:pPr>
    </w:p>
    <w:p w:rsidR="00D14F75" w:rsidRPr="002266FA" w:rsidRDefault="00D14F75" w:rsidP="00D14F75">
      <w:pPr>
        <w:pStyle w:val="Heading2"/>
        <w:rPr>
          <w:rFonts w:ascii="Times New Roman" w:hAnsi="Times New Roman"/>
          <w:color w:val="auto"/>
          <w:sz w:val="24"/>
          <w:szCs w:val="24"/>
        </w:rPr>
      </w:pPr>
      <w:bookmarkStart w:id="4" w:name="_Toc391970693"/>
      <w:r w:rsidRPr="002266FA">
        <w:rPr>
          <w:rFonts w:ascii="Times New Roman" w:hAnsi="Times New Roman"/>
          <w:color w:val="auto"/>
          <w:sz w:val="24"/>
          <w:szCs w:val="24"/>
        </w:rPr>
        <w:t>A.6</w:t>
      </w:r>
      <w:r w:rsidRPr="002266FA">
        <w:rPr>
          <w:rFonts w:ascii="Times New Roman" w:hAnsi="Times New Roman"/>
          <w:color w:val="auto"/>
          <w:sz w:val="24"/>
          <w:szCs w:val="24"/>
        </w:rPr>
        <w:tab/>
        <w:t>Consequences if Information Collected Less Frequently</w:t>
      </w:r>
      <w:bookmarkEnd w:id="4"/>
    </w:p>
    <w:p w:rsidR="003F5621" w:rsidRDefault="003F5621" w:rsidP="003F5621">
      <w:pPr>
        <w:pStyle w:val="ListParagraph"/>
        <w:autoSpaceDE w:val="0"/>
        <w:autoSpaceDN w:val="0"/>
        <w:adjustRightInd w:val="0"/>
        <w:ind w:right="-900"/>
        <w:outlineLvl w:val="0"/>
        <w:rPr>
          <w:b/>
        </w:rPr>
      </w:pPr>
    </w:p>
    <w:p w:rsidR="00264E67" w:rsidRPr="00207991" w:rsidRDefault="00264E67" w:rsidP="00D14F75">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7991">
        <w:t>This is a two (2) year data collection. However, if the language contained in Section 1004 of the 21</w:t>
      </w:r>
      <w:r w:rsidRPr="00207991">
        <w:rPr>
          <w:vertAlign w:val="superscript"/>
        </w:rPr>
        <w:t>st</w:t>
      </w:r>
      <w:r w:rsidRPr="00207991">
        <w:t xml:space="preserve"> Century Cures Act is included in a subsequent Labor-HHS-ED and Related Agencies appropriation bill or an omnibus bill, the data collection will be applicable to a subsequent fiscal year’s funds. </w:t>
      </w:r>
      <w:r w:rsidR="003B4FFF" w:rsidRPr="00207991">
        <w:t xml:space="preserve">If data is collected less frequently, government project officers may be unable to adequately monitor state and jurisdiction performance as each responds to the existing opioid crisis. </w:t>
      </w:r>
    </w:p>
    <w:p w:rsidR="001D5397" w:rsidRDefault="001D5397" w:rsidP="001D5397">
      <w:pPr>
        <w:pStyle w:val="ListParagraph"/>
        <w:autoSpaceDE w:val="0"/>
        <w:autoSpaceDN w:val="0"/>
        <w:adjustRightInd w:val="0"/>
        <w:ind w:left="360" w:right="-900"/>
        <w:outlineLvl w:val="0"/>
        <w:rPr>
          <w:b/>
        </w:rPr>
      </w:pPr>
    </w:p>
    <w:p w:rsidR="00D14F75" w:rsidRPr="002266FA" w:rsidRDefault="00D14F75" w:rsidP="00D14F75">
      <w:pPr>
        <w:pStyle w:val="Heading2"/>
        <w:rPr>
          <w:rFonts w:ascii="Times New Roman" w:hAnsi="Times New Roman"/>
          <w:color w:val="auto"/>
          <w:sz w:val="24"/>
          <w:szCs w:val="24"/>
        </w:rPr>
      </w:pPr>
      <w:bookmarkStart w:id="5" w:name="_Toc391970694"/>
      <w:r w:rsidRPr="002266FA">
        <w:rPr>
          <w:rFonts w:ascii="Times New Roman" w:hAnsi="Times New Roman"/>
          <w:color w:val="auto"/>
          <w:sz w:val="24"/>
          <w:szCs w:val="24"/>
        </w:rPr>
        <w:t>A.7</w:t>
      </w:r>
      <w:r w:rsidRPr="002266FA">
        <w:rPr>
          <w:rFonts w:ascii="Times New Roman" w:hAnsi="Times New Roman"/>
          <w:color w:val="auto"/>
          <w:sz w:val="24"/>
          <w:szCs w:val="24"/>
        </w:rPr>
        <w:tab/>
      </w:r>
      <w:r>
        <w:rPr>
          <w:rFonts w:ascii="Times New Roman" w:hAnsi="Times New Roman"/>
          <w:color w:val="auto"/>
          <w:sz w:val="24"/>
          <w:szCs w:val="24"/>
        </w:rPr>
        <w:t xml:space="preserve">Consistency with the Guidelines in </w:t>
      </w:r>
      <w:r w:rsidRPr="00F06CFC">
        <w:rPr>
          <w:rFonts w:ascii="Times New Roman" w:hAnsi="Times New Roman"/>
          <w:color w:val="auto"/>
          <w:sz w:val="24"/>
          <w:szCs w:val="24"/>
        </w:rPr>
        <w:t>5 CFR 1320.5(d)(2)</w:t>
      </w:r>
      <w:bookmarkEnd w:id="5"/>
    </w:p>
    <w:p w:rsidR="003F5621" w:rsidRPr="00207991" w:rsidRDefault="003F5621" w:rsidP="003F5621"/>
    <w:p w:rsidR="00D14F75" w:rsidRPr="002266FA" w:rsidRDefault="00D14F75" w:rsidP="00D14F75">
      <w:pPr>
        <w:pStyle w:val="L1-FlLSp12"/>
        <w:spacing w:line="240" w:lineRule="auto"/>
        <w:rPr>
          <w:rFonts w:ascii="Times New Roman" w:hAnsi="Times New Roman"/>
          <w:szCs w:val="24"/>
        </w:rPr>
      </w:pPr>
      <w:r w:rsidRPr="002266FA">
        <w:rPr>
          <w:rFonts w:ascii="Times New Roman" w:hAnsi="Times New Roman"/>
          <w:szCs w:val="24"/>
        </w:rPr>
        <w:t>The data collection efforts will be consistent with the guidelines at 5 CFR 1320.5(d)(2).</w:t>
      </w:r>
    </w:p>
    <w:p w:rsidR="003F5621" w:rsidRDefault="003F5621" w:rsidP="003F5621">
      <w:pPr>
        <w:pStyle w:val="ListParagraph"/>
        <w:autoSpaceDE w:val="0"/>
        <w:autoSpaceDN w:val="0"/>
        <w:adjustRightInd w:val="0"/>
        <w:ind w:right="-900"/>
        <w:outlineLvl w:val="0"/>
        <w:rPr>
          <w:b/>
        </w:rPr>
      </w:pPr>
    </w:p>
    <w:p w:rsidR="005D2EB0" w:rsidRPr="002266FA" w:rsidRDefault="005D2EB0" w:rsidP="005D2EB0">
      <w:pPr>
        <w:pStyle w:val="Heading2"/>
        <w:spacing w:after="100" w:afterAutospacing="1"/>
        <w:rPr>
          <w:rFonts w:ascii="Times New Roman" w:hAnsi="Times New Roman"/>
          <w:color w:val="auto"/>
          <w:sz w:val="24"/>
          <w:szCs w:val="24"/>
        </w:rPr>
      </w:pPr>
      <w:bookmarkStart w:id="6" w:name="_Toc391970695"/>
      <w:r w:rsidRPr="002266FA">
        <w:rPr>
          <w:rFonts w:ascii="Times New Roman" w:hAnsi="Times New Roman"/>
          <w:color w:val="auto"/>
          <w:sz w:val="24"/>
          <w:szCs w:val="24"/>
        </w:rPr>
        <w:t>A.8</w:t>
      </w:r>
      <w:r w:rsidRPr="002266FA">
        <w:rPr>
          <w:rFonts w:ascii="Times New Roman" w:hAnsi="Times New Roman"/>
          <w:color w:val="auto"/>
          <w:sz w:val="24"/>
          <w:szCs w:val="24"/>
        </w:rPr>
        <w:tab/>
        <w:t>Federal Register Notice and Consultations</w:t>
      </w:r>
      <w:bookmarkEnd w:id="6"/>
      <w:r>
        <w:rPr>
          <w:rFonts w:ascii="Times New Roman" w:hAnsi="Times New Roman"/>
          <w:color w:val="auto"/>
          <w:sz w:val="24"/>
          <w:szCs w:val="24"/>
        </w:rPr>
        <w:t xml:space="preserve"> Outside the Agency</w:t>
      </w:r>
    </w:p>
    <w:p w:rsidR="005D2EB0" w:rsidRPr="002266FA" w:rsidRDefault="005D2EB0" w:rsidP="005D2EB0">
      <w:pPr>
        <w:pStyle w:val="Heading3"/>
        <w:rPr>
          <w:rFonts w:ascii="Times New Roman" w:hAnsi="Times New Roman"/>
          <w:color w:val="auto"/>
        </w:rPr>
      </w:pPr>
      <w:r w:rsidRPr="002266FA">
        <w:rPr>
          <w:rFonts w:ascii="Times New Roman" w:hAnsi="Times New Roman"/>
          <w:color w:val="auto"/>
        </w:rPr>
        <w:t>A.8.1</w:t>
      </w:r>
      <w:r w:rsidRPr="002266FA">
        <w:rPr>
          <w:rFonts w:ascii="Times New Roman" w:hAnsi="Times New Roman"/>
          <w:color w:val="auto"/>
        </w:rPr>
        <w:tab/>
        <w:t>Federal Register Notice</w:t>
      </w:r>
    </w:p>
    <w:p w:rsidR="005D2EB0" w:rsidRDefault="005D2EB0" w:rsidP="005D2EB0">
      <w:pPr>
        <w:pStyle w:val="L1-FlLSp12"/>
        <w:spacing w:line="240" w:lineRule="auto"/>
        <w:rPr>
          <w:rFonts w:ascii="Times New Roman" w:hAnsi="Times New Roman"/>
          <w:szCs w:val="24"/>
        </w:rPr>
      </w:pPr>
    </w:p>
    <w:p w:rsidR="005D2EB0" w:rsidRPr="002266FA" w:rsidRDefault="005D2EB0" w:rsidP="005D2EB0">
      <w:pPr>
        <w:pStyle w:val="L1-FlLSp12"/>
        <w:spacing w:line="240" w:lineRule="auto"/>
        <w:rPr>
          <w:rFonts w:ascii="Times New Roman" w:hAnsi="Times New Roman"/>
          <w:szCs w:val="24"/>
        </w:rPr>
      </w:pPr>
      <w:r w:rsidRPr="002266FA">
        <w:rPr>
          <w:rFonts w:ascii="Times New Roman" w:hAnsi="Times New Roman"/>
          <w:szCs w:val="24"/>
        </w:rPr>
        <w:t xml:space="preserve">As required by 5 CFR 1320.8(d), the 60-day FRN was published in the Federal Register on </w:t>
      </w:r>
      <w:r>
        <w:rPr>
          <w:rFonts w:ascii="Times New Roman" w:hAnsi="Times New Roman"/>
          <w:szCs w:val="24"/>
        </w:rPr>
        <w:t>April</w:t>
      </w:r>
      <w:r w:rsidR="00F61D66">
        <w:rPr>
          <w:rFonts w:ascii="Times New Roman" w:hAnsi="Times New Roman"/>
          <w:szCs w:val="24"/>
        </w:rPr>
        <w:t xml:space="preserve"> 20</w:t>
      </w:r>
      <w:r>
        <w:rPr>
          <w:rFonts w:ascii="Times New Roman" w:hAnsi="Times New Roman"/>
          <w:szCs w:val="24"/>
        </w:rPr>
        <w:t xml:space="preserve">, </w:t>
      </w:r>
      <w:r w:rsidR="00F61D66">
        <w:rPr>
          <w:rFonts w:ascii="Times New Roman" w:hAnsi="Times New Roman"/>
          <w:szCs w:val="24"/>
        </w:rPr>
        <w:t>2</w:t>
      </w:r>
      <w:r>
        <w:rPr>
          <w:rFonts w:ascii="Times New Roman" w:hAnsi="Times New Roman"/>
          <w:szCs w:val="24"/>
        </w:rPr>
        <w:t xml:space="preserve">017 (82 FR </w:t>
      </w:r>
      <w:r w:rsidR="00F61D66">
        <w:rPr>
          <w:rFonts w:ascii="Times New Roman" w:hAnsi="Times New Roman"/>
          <w:szCs w:val="24"/>
        </w:rPr>
        <w:t>18660</w:t>
      </w:r>
      <w:r w:rsidR="003E244D">
        <w:rPr>
          <w:rFonts w:ascii="Times New Roman" w:hAnsi="Times New Roman"/>
          <w:szCs w:val="24"/>
        </w:rPr>
        <w:t xml:space="preserve">).  SAMHSA received </w:t>
      </w:r>
      <w:r>
        <w:rPr>
          <w:rFonts w:ascii="Times New Roman" w:hAnsi="Times New Roman"/>
          <w:szCs w:val="24"/>
        </w:rPr>
        <w:t xml:space="preserve">comments </w:t>
      </w:r>
      <w:r w:rsidR="003E244D">
        <w:rPr>
          <w:rFonts w:ascii="Times New Roman" w:hAnsi="Times New Roman"/>
          <w:szCs w:val="24"/>
        </w:rPr>
        <w:t>from one Opioid STR recipient: Texas Health and Human Services (</w:t>
      </w:r>
      <w:r w:rsidR="003E244D" w:rsidRPr="003E244D">
        <w:rPr>
          <w:rFonts w:ascii="Times New Roman" w:hAnsi="Times New Roman"/>
          <w:szCs w:val="24"/>
          <w:u w:val="single"/>
        </w:rPr>
        <w:t>See</w:t>
      </w:r>
      <w:r w:rsidR="003E244D">
        <w:rPr>
          <w:rFonts w:ascii="Times New Roman" w:hAnsi="Times New Roman"/>
          <w:szCs w:val="24"/>
        </w:rPr>
        <w:t xml:space="preserve"> Attachment B).  SAMHSA reviewed and provided</w:t>
      </w:r>
      <w:r>
        <w:rPr>
          <w:rFonts w:ascii="Times New Roman" w:hAnsi="Times New Roman"/>
          <w:szCs w:val="24"/>
        </w:rPr>
        <w:t xml:space="preserve"> </w:t>
      </w:r>
      <w:r w:rsidR="003E244D">
        <w:rPr>
          <w:rFonts w:ascii="Times New Roman" w:hAnsi="Times New Roman"/>
          <w:szCs w:val="24"/>
        </w:rPr>
        <w:t>comments, as appropriate and amended Tables D2 and D3 based on the comments received (</w:t>
      </w:r>
      <w:r w:rsidR="003E244D" w:rsidRPr="003E244D">
        <w:rPr>
          <w:rFonts w:ascii="Times New Roman" w:hAnsi="Times New Roman"/>
          <w:szCs w:val="24"/>
          <w:u w:val="single"/>
        </w:rPr>
        <w:t>See</w:t>
      </w:r>
      <w:r w:rsidR="003E244D">
        <w:rPr>
          <w:rFonts w:ascii="Times New Roman" w:hAnsi="Times New Roman"/>
          <w:szCs w:val="24"/>
        </w:rPr>
        <w:t xml:space="preserve"> Attachment C).</w:t>
      </w:r>
    </w:p>
    <w:p w:rsidR="00D14F75" w:rsidRDefault="00D14F75" w:rsidP="003F5621">
      <w:pPr>
        <w:pStyle w:val="ListParagraph"/>
        <w:autoSpaceDE w:val="0"/>
        <w:autoSpaceDN w:val="0"/>
        <w:adjustRightInd w:val="0"/>
        <w:ind w:right="-900"/>
        <w:outlineLvl w:val="0"/>
        <w:rPr>
          <w:b/>
        </w:rPr>
      </w:pPr>
    </w:p>
    <w:p w:rsidR="005D2EB0" w:rsidRPr="002266FA" w:rsidRDefault="005D2EB0" w:rsidP="005D2EB0">
      <w:pPr>
        <w:pStyle w:val="Heading3"/>
        <w:rPr>
          <w:rFonts w:ascii="Times New Roman" w:hAnsi="Times New Roman"/>
          <w:color w:val="auto"/>
        </w:rPr>
      </w:pPr>
      <w:r w:rsidRPr="002266FA">
        <w:rPr>
          <w:rFonts w:ascii="Times New Roman" w:hAnsi="Times New Roman"/>
          <w:color w:val="auto"/>
        </w:rPr>
        <w:t>A.8.2</w:t>
      </w:r>
      <w:r w:rsidRPr="002266FA">
        <w:rPr>
          <w:rFonts w:ascii="Times New Roman" w:hAnsi="Times New Roman"/>
          <w:color w:val="auto"/>
        </w:rPr>
        <w:tab/>
        <w:t>Consultations</w:t>
      </w:r>
      <w:r>
        <w:rPr>
          <w:rFonts w:ascii="Times New Roman" w:hAnsi="Times New Roman"/>
          <w:color w:val="auto"/>
        </w:rPr>
        <w:t xml:space="preserve"> Outside the Agency</w:t>
      </w:r>
    </w:p>
    <w:p w:rsidR="001D5397" w:rsidRPr="00207991" w:rsidRDefault="001D5397" w:rsidP="001D5397">
      <w:pPr>
        <w:autoSpaceDE w:val="0"/>
        <w:autoSpaceDN w:val="0"/>
        <w:adjustRightInd w:val="0"/>
        <w:ind w:right="-900"/>
        <w:outlineLvl w:val="0"/>
        <w:rPr>
          <w:b/>
        </w:rPr>
      </w:pPr>
    </w:p>
    <w:p w:rsidR="00264E67" w:rsidRPr="00207991" w:rsidRDefault="005D2EB0" w:rsidP="005D2EB0">
      <w:pPr>
        <w:autoSpaceDE w:val="0"/>
        <w:autoSpaceDN w:val="0"/>
        <w:adjustRightInd w:val="0"/>
        <w:ind w:right="-900"/>
        <w:outlineLvl w:val="0"/>
        <w:rPr>
          <w:b/>
        </w:rPr>
      </w:pPr>
      <w:r>
        <w:rPr>
          <w:iCs/>
        </w:rPr>
        <w:lastRenderedPageBreak/>
        <w:t>SAMHSA</w:t>
      </w:r>
      <w:r w:rsidR="00264E67" w:rsidRPr="00207991">
        <w:rPr>
          <w:iCs/>
        </w:rPr>
        <w:t xml:space="preserve"> conducted two (2) pre-application technical assistance conference calls with the eligible applicants and other interested stakeholders on December 21, 2016, and January 18, 2017</w:t>
      </w:r>
      <w:r w:rsidR="000B2923" w:rsidRPr="00207991">
        <w:rPr>
          <w:iCs/>
        </w:rPr>
        <w:t>.</w:t>
      </w:r>
      <w:r w:rsidR="009C076B" w:rsidRPr="00207991">
        <w:rPr>
          <w:iCs/>
        </w:rPr>
        <w:t xml:space="preserve"> Information shared and gathered from these calls assisted with the finalization of appropriate measures to assess performance for this program.</w:t>
      </w:r>
      <w:r w:rsidR="003E244D">
        <w:rPr>
          <w:iCs/>
        </w:rPr>
        <w:t xml:space="preserve">  SAMHSA subsequently conducted two (2) post-award conference calls with the Opioid STR recipients on May 31 and June 1.  During these calls SAMHSA’s expectations regarding the states’ and jurisdictions performance during the 2-year grant period.  The states and jurisdictions were also instructed to prepare and submit their respective needs assessments and strategis plans on or before July 31 and August 30, respectively. </w:t>
      </w:r>
    </w:p>
    <w:p w:rsidR="001D5397" w:rsidRDefault="001D5397" w:rsidP="003F5621">
      <w:pPr>
        <w:pStyle w:val="ListParagraph"/>
        <w:autoSpaceDE w:val="0"/>
        <w:autoSpaceDN w:val="0"/>
        <w:adjustRightInd w:val="0"/>
        <w:ind w:right="-900"/>
        <w:outlineLvl w:val="0"/>
        <w:rPr>
          <w:b/>
        </w:rPr>
      </w:pPr>
    </w:p>
    <w:p w:rsidR="005D2EB0" w:rsidRPr="002266FA" w:rsidRDefault="005D2EB0" w:rsidP="005D2EB0">
      <w:pPr>
        <w:pStyle w:val="Heading2"/>
        <w:rPr>
          <w:rFonts w:ascii="Times New Roman" w:hAnsi="Times New Roman"/>
          <w:color w:val="auto"/>
          <w:sz w:val="24"/>
          <w:szCs w:val="24"/>
        </w:rPr>
      </w:pPr>
      <w:r w:rsidRPr="002266FA">
        <w:rPr>
          <w:rFonts w:ascii="Times New Roman" w:hAnsi="Times New Roman"/>
          <w:color w:val="auto"/>
          <w:sz w:val="24"/>
          <w:szCs w:val="24"/>
        </w:rPr>
        <w:t>A.9</w:t>
      </w:r>
      <w:r w:rsidRPr="002266FA">
        <w:rPr>
          <w:rFonts w:ascii="Times New Roman" w:hAnsi="Times New Roman"/>
          <w:color w:val="auto"/>
          <w:sz w:val="24"/>
          <w:szCs w:val="24"/>
        </w:rPr>
        <w:tab/>
        <w:t>Payments/Gifts to Respondents</w:t>
      </w:r>
    </w:p>
    <w:p w:rsidR="005D2EB0" w:rsidRPr="00207991" w:rsidRDefault="005D2EB0" w:rsidP="003F5621">
      <w:pPr>
        <w:pStyle w:val="ListParagraph"/>
        <w:autoSpaceDE w:val="0"/>
        <w:autoSpaceDN w:val="0"/>
        <w:adjustRightInd w:val="0"/>
        <w:ind w:right="-900"/>
        <w:outlineLvl w:val="0"/>
        <w:rPr>
          <w:b/>
        </w:rPr>
      </w:pPr>
    </w:p>
    <w:p w:rsidR="00264E67" w:rsidRPr="00207991" w:rsidRDefault="00264E67" w:rsidP="005D2EB0">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7991">
        <w:t>The respondents do not receive payments.</w:t>
      </w:r>
    </w:p>
    <w:p w:rsidR="00264E67" w:rsidRDefault="00264E67" w:rsidP="003F5621">
      <w:pPr>
        <w:pStyle w:val="ListParagraph"/>
        <w:autoSpaceDE w:val="0"/>
        <w:autoSpaceDN w:val="0"/>
        <w:adjustRightInd w:val="0"/>
        <w:ind w:right="-900"/>
        <w:outlineLvl w:val="0"/>
        <w:rPr>
          <w:b/>
        </w:rPr>
      </w:pPr>
    </w:p>
    <w:p w:rsidR="005D2EB0" w:rsidRPr="002266FA" w:rsidRDefault="005D2EB0" w:rsidP="005D2EB0">
      <w:pPr>
        <w:pStyle w:val="Heading2"/>
        <w:rPr>
          <w:rFonts w:ascii="Times New Roman" w:hAnsi="Times New Roman"/>
          <w:color w:val="auto"/>
          <w:sz w:val="24"/>
          <w:szCs w:val="24"/>
        </w:rPr>
      </w:pPr>
      <w:r w:rsidRPr="002266FA">
        <w:rPr>
          <w:rFonts w:ascii="Times New Roman" w:hAnsi="Times New Roman"/>
          <w:color w:val="auto"/>
          <w:sz w:val="24"/>
          <w:szCs w:val="24"/>
        </w:rPr>
        <w:t>A.10</w:t>
      </w:r>
      <w:r w:rsidRPr="002266FA">
        <w:rPr>
          <w:rFonts w:ascii="Times New Roman" w:hAnsi="Times New Roman"/>
          <w:color w:val="auto"/>
          <w:sz w:val="24"/>
          <w:szCs w:val="24"/>
        </w:rPr>
        <w:tab/>
        <w:t>Assurance of Confidentiality</w:t>
      </w:r>
    </w:p>
    <w:p w:rsidR="003F5621" w:rsidRPr="00207991" w:rsidRDefault="003F5621" w:rsidP="003F5621">
      <w:pPr>
        <w:pStyle w:val="ListParagraph"/>
        <w:autoSpaceDE w:val="0"/>
        <w:autoSpaceDN w:val="0"/>
        <w:adjustRightInd w:val="0"/>
        <w:ind w:right="-900"/>
        <w:outlineLvl w:val="0"/>
        <w:rPr>
          <w:b/>
        </w:rPr>
      </w:pPr>
    </w:p>
    <w:p w:rsidR="00264E67" w:rsidRPr="00207991" w:rsidRDefault="000B2923" w:rsidP="005D2EB0">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7991">
        <w:t xml:space="preserve">Health information data </w:t>
      </w:r>
      <w:r w:rsidR="005D2EB0">
        <w:t xml:space="preserve">protection </w:t>
      </w:r>
      <w:r w:rsidRPr="00207991">
        <w:t>s</w:t>
      </w:r>
      <w:r w:rsidR="006D0A9C" w:rsidRPr="00207991">
        <w:t xml:space="preserve">tandards are taken to protect the information shared. </w:t>
      </w:r>
      <w:r w:rsidRPr="00207991">
        <w:t>A</w:t>
      </w:r>
      <w:r w:rsidR="00264E67" w:rsidRPr="00207991">
        <w:t xml:space="preserve">ssurance of confidentiality will </w:t>
      </w:r>
      <w:r w:rsidR="005D2EB0">
        <w:t xml:space="preserve">not </w:t>
      </w:r>
      <w:r w:rsidR="00264E67" w:rsidRPr="00207991">
        <w:t>be provided to respondents</w:t>
      </w:r>
      <w:r w:rsidRPr="00207991">
        <w:t>, as t</w:t>
      </w:r>
      <w:r w:rsidR="00264E67" w:rsidRPr="00207991">
        <w:t xml:space="preserve">here is no </w:t>
      </w:r>
      <w:r w:rsidR="005D2EB0">
        <w:t>personally identifiable client-level</w:t>
      </w:r>
      <w:r w:rsidR="00264E67" w:rsidRPr="00207991">
        <w:t xml:space="preserve"> information being reported to SAMHSA</w:t>
      </w:r>
      <w:r w:rsidR="006D0A9C" w:rsidRPr="00207991">
        <w:t xml:space="preserve"> for this program</w:t>
      </w:r>
      <w:r w:rsidR="00264E67" w:rsidRPr="00207991">
        <w:t xml:space="preserve">.  Once </w:t>
      </w:r>
      <w:r w:rsidR="006D0A9C" w:rsidRPr="00207991">
        <w:t xml:space="preserve">the data is </w:t>
      </w:r>
      <w:r w:rsidRPr="00207991">
        <w:t>collected</w:t>
      </w:r>
      <w:r w:rsidR="00264E67" w:rsidRPr="00207991">
        <w:t>, the data is protected in a file server that is password protected.</w:t>
      </w:r>
    </w:p>
    <w:p w:rsidR="00264E67" w:rsidRDefault="00264E67" w:rsidP="003F5621">
      <w:pPr>
        <w:pStyle w:val="ListParagraph"/>
        <w:autoSpaceDE w:val="0"/>
        <w:autoSpaceDN w:val="0"/>
        <w:adjustRightInd w:val="0"/>
        <w:ind w:right="-900"/>
        <w:outlineLvl w:val="0"/>
        <w:rPr>
          <w:b/>
        </w:rPr>
      </w:pPr>
    </w:p>
    <w:p w:rsidR="005D2EB0" w:rsidRPr="002266FA" w:rsidRDefault="005D2EB0" w:rsidP="005D2EB0">
      <w:pPr>
        <w:pStyle w:val="Heading2"/>
        <w:rPr>
          <w:rFonts w:ascii="Times New Roman" w:hAnsi="Times New Roman"/>
          <w:color w:val="auto"/>
          <w:sz w:val="24"/>
          <w:szCs w:val="24"/>
        </w:rPr>
      </w:pPr>
      <w:r w:rsidRPr="002266FA">
        <w:rPr>
          <w:rFonts w:ascii="Times New Roman" w:hAnsi="Times New Roman"/>
          <w:color w:val="auto"/>
          <w:sz w:val="24"/>
          <w:szCs w:val="24"/>
        </w:rPr>
        <w:t>A.11</w:t>
      </w:r>
      <w:r w:rsidRPr="002266FA">
        <w:rPr>
          <w:rFonts w:ascii="Times New Roman" w:hAnsi="Times New Roman"/>
          <w:color w:val="auto"/>
          <w:sz w:val="24"/>
          <w:szCs w:val="24"/>
        </w:rPr>
        <w:tab/>
        <w:t>Questions of a Sensitive Nature</w:t>
      </w:r>
    </w:p>
    <w:p w:rsidR="005D2EB0" w:rsidRDefault="005D2EB0" w:rsidP="005D2EB0">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64E67" w:rsidRPr="00207991" w:rsidRDefault="00264E67" w:rsidP="005D2EB0">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7991">
        <w:t>The SABG and Opioid STR reporting requirements do not solicit information of a sensitive nature.</w:t>
      </w:r>
    </w:p>
    <w:p w:rsidR="00264E67" w:rsidRDefault="00264E67" w:rsidP="003F5621">
      <w:pPr>
        <w:pStyle w:val="ListParagraph"/>
        <w:autoSpaceDE w:val="0"/>
        <w:autoSpaceDN w:val="0"/>
        <w:adjustRightInd w:val="0"/>
        <w:ind w:right="-900"/>
        <w:outlineLvl w:val="0"/>
        <w:rPr>
          <w:b/>
        </w:rPr>
      </w:pPr>
    </w:p>
    <w:p w:rsidR="005D2EB0" w:rsidRPr="002266FA" w:rsidRDefault="005D2EB0" w:rsidP="005D2EB0">
      <w:pPr>
        <w:pStyle w:val="Heading2"/>
        <w:rPr>
          <w:rFonts w:ascii="Times New Roman" w:hAnsi="Times New Roman"/>
          <w:color w:val="auto"/>
          <w:sz w:val="24"/>
          <w:szCs w:val="24"/>
        </w:rPr>
      </w:pPr>
      <w:r w:rsidRPr="002266FA">
        <w:rPr>
          <w:rFonts w:ascii="Times New Roman" w:hAnsi="Times New Roman"/>
          <w:color w:val="auto"/>
          <w:sz w:val="24"/>
          <w:szCs w:val="24"/>
        </w:rPr>
        <w:t>A.12</w:t>
      </w:r>
      <w:r w:rsidRPr="002266FA">
        <w:rPr>
          <w:rFonts w:ascii="Times New Roman" w:hAnsi="Times New Roman"/>
          <w:color w:val="auto"/>
          <w:sz w:val="24"/>
          <w:szCs w:val="24"/>
        </w:rPr>
        <w:tab/>
        <w:t>Estimates of Burden Hours</w:t>
      </w:r>
    </w:p>
    <w:p w:rsidR="00AE7970" w:rsidRDefault="00AE7970" w:rsidP="005D2EB0">
      <w:pPr>
        <w:pStyle w:val="L1-FlLSp12"/>
        <w:spacing w:line="240" w:lineRule="auto"/>
        <w:rPr>
          <w:rFonts w:ascii="Times New Roman" w:hAnsi="Times New Roman"/>
          <w:szCs w:val="24"/>
        </w:rPr>
      </w:pPr>
    </w:p>
    <w:p w:rsidR="005D2EB0" w:rsidRPr="002266FA" w:rsidRDefault="005D2EB0" w:rsidP="005D2EB0">
      <w:pPr>
        <w:pStyle w:val="L1-FlLSp12"/>
        <w:spacing w:line="240" w:lineRule="auto"/>
        <w:rPr>
          <w:rFonts w:ascii="Times New Roman" w:hAnsi="Times New Roman"/>
          <w:szCs w:val="24"/>
        </w:rPr>
      </w:pPr>
      <w:r w:rsidRPr="002266FA">
        <w:rPr>
          <w:rFonts w:ascii="Times New Roman" w:hAnsi="Times New Roman"/>
          <w:szCs w:val="24"/>
        </w:rPr>
        <w:t xml:space="preserve">Table </w:t>
      </w:r>
      <w:r>
        <w:rPr>
          <w:rFonts w:ascii="Times New Roman" w:hAnsi="Times New Roman"/>
          <w:szCs w:val="24"/>
        </w:rPr>
        <w:t>1</w:t>
      </w:r>
      <w:r w:rsidRPr="002266FA">
        <w:rPr>
          <w:rFonts w:ascii="Times New Roman" w:hAnsi="Times New Roman"/>
          <w:szCs w:val="24"/>
        </w:rPr>
        <w:t xml:space="preserve"> shows the estimated annualized burden hours for the respondents’ time to participate in each data collection activity. Across the instruments, the total burden is estimated to be </w:t>
      </w:r>
      <w:r w:rsidR="00A00FCF">
        <w:rPr>
          <w:rFonts w:ascii="Times New Roman" w:hAnsi="Times New Roman"/>
          <w:szCs w:val="24"/>
        </w:rPr>
        <w:t>912</w:t>
      </w:r>
      <w:r w:rsidRPr="002266FA">
        <w:rPr>
          <w:rFonts w:ascii="Times New Roman" w:hAnsi="Times New Roman"/>
          <w:szCs w:val="24"/>
        </w:rPr>
        <w:t xml:space="preserve"> hours. The total cost b</w:t>
      </w:r>
      <w:r>
        <w:rPr>
          <w:rFonts w:ascii="Times New Roman" w:hAnsi="Times New Roman"/>
          <w:szCs w:val="24"/>
        </w:rPr>
        <w:t>urden is estimated to be $</w:t>
      </w:r>
      <w:r w:rsidR="00A00FCF">
        <w:rPr>
          <w:rFonts w:ascii="Times New Roman" w:hAnsi="Times New Roman"/>
          <w:szCs w:val="24"/>
        </w:rPr>
        <w:t>41,040</w:t>
      </w:r>
      <w:r w:rsidRPr="002266FA">
        <w:rPr>
          <w:rFonts w:ascii="Times New Roman" w:hAnsi="Times New Roman"/>
          <w:szCs w:val="24"/>
        </w:rPr>
        <w:t>.</w:t>
      </w:r>
    </w:p>
    <w:p w:rsidR="005D2EB0" w:rsidRPr="00207991" w:rsidRDefault="005D2EB0" w:rsidP="003F5621">
      <w:pPr>
        <w:pStyle w:val="ListParagraph"/>
        <w:autoSpaceDE w:val="0"/>
        <w:autoSpaceDN w:val="0"/>
        <w:adjustRightInd w:val="0"/>
        <w:ind w:right="-900"/>
        <w:outlineLvl w:val="0"/>
        <w:rPr>
          <w:b/>
        </w:rPr>
      </w:pPr>
    </w:p>
    <w:p w:rsidR="005D2EB0" w:rsidRPr="005D2EB0" w:rsidRDefault="005D2EB0" w:rsidP="005D2EB0">
      <w:pPr>
        <w:autoSpaceDE w:val="0"/>
        <w:autoSpaceDN w:val="0"/>
        <w:adjustRightInd w:val="0"/>
        <w:ind w:right="-900"/>
        <w:outlineLvl w:val="0"/>
        <w:rPr>
          <w:b/>
        </w:rPr>
      </w:pPr>
    </w:p>
    <w:p w:rsidR="00967A87" w:rsidRPr="00AE7970" w:rsidRDefault="005D2EB0" w:rsidP="005D2EB0">
      <w:pPr>
        <w:autoSpaceDE w:val="0"/>
        <w:autoSpaceDN w:val="0"/>
        <w:adjustRightInd w:val="0"/>
        <w:ind w:left="360" w:right="-900"/>
        <w:outlineLvl w:val="0"/>
      </w:pPr>
      <w:r w:rsidRPr="00AE7970">
        <w:t xml:space="preserve">Table 1. </w:t>
      </w:r>
      <w:r w:rsidR="00967A87" w:rsidRPr="00AE7970">
        <w:t>Estimate of Annualized Hour Burden</w:t>
      </w:r>
    </w:p>
    <w:p w:rsidR="007A75FE" w:rsidRDefault="007A75FE" w:rsidP="000B2923">
      <w:pPr>
        <w:autoSpaceDE w:val="0"/>
        <w:autoSpaceDN w:val="0"/>
        <w:adjustRightInd w:val="0"/>
        <w:ind w:right="-900"/>
        <w:outlineLvl w:val="0"/>
        <w:rPr>
          <w:b/>
        </w:rPr>
      </w:pPr>
    </w:p>
    <w:tbl>
      <w:tblPr>
        <w:tblStyle w:val="TableWestatStandardFormat"/>
        <w:tblW w:w="9630"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260"/>
        <w:gridCol w:w="1138"/>
        <w:gridCol w:w="964"/>
        <w:gridCol w:w="964"/>
        <w:gridCol w:w="894"/>
        <w:gridCol w:w="900"/>
        <w:gridCol w:w="1260"/>
      </w:tblGrid>
      <w:tr w:rsidR="00AE7970" w:rsidRPr="00AA5F2A" w:rsidTr="001151FE">
        <w:trPr>
          <w:cnfStyle w:val="100000000000" w:firstRow="1" w:lastRow="0" w:firstColumn="0" w:lastColumn="0" w:oddVBand="0" w:evenVBand="0" w:oddHBand="0" w:evenHBand="0" w:firstRowFirstColumn="0" w:firstRowLastColumn="0" w:lastRowFirstColumn="0" w:lastRowLastColumn="0"/>
          <w:trHeight w:val="98"/>
        </w:trPr>
        <w:tc>
          <w:tcPr>
            <w:tcW w:w="2250" w:type="dxa"/>
            <w:tcBorders>
              <w:left w:val="single" w:sz="4" w:space="0" w:color="auto"/>
              <w:right w:val="single" w:sz="4" w:space="0" w:color="auto"/>
            </w:tcBorders>
            <w:shd w:val="clear" w:color="auto" w:fill="auto"/>
            <w:noWrap/>
            <w:vAlign w:val="bottom"/>
            <w:hideMark/>
          </w:tcPr>
          <w:p w:rsidR="00AE7970" w:rsidRPr="002266FA" w:rsidRDefault="00AE7970" w:rsidP="001151FE">
            <w:pPr>
              <w:pStyle w:val="TH-TableHeading"/>
              <w:spacing w:line="240" w:lineRule="auto"/>
              <w:contextualSpacing/>
              <w:rPr>
                <w:rFonts w:ascii="Times New Roman" w:hAnsi="Times New Roman"/>
                <w:sz w:val="23"/>
                <w:szCs w:val="23"/>
              </w:rPr>
            </w:pPr>
            <w:r>
              <w:rPr>
                <w:rFonts w:ascii="Times New Roman" w:hAnsi="Times New Roman"/>
                <w:sz w:val="23"/>
                <w:szCs w:val="23"/>
              </w:rPr>
              <w:t>Data Collection Tool</w:t>
            </w:r>
          </w:p>
        </w:tc>
        <w:tc>
          <w:tcPr>
            <w:tcW w:w="1260" w:type="dxa"/>
            <w:tcBorders>
              <w:left w:val="single" w:sz="4" w:space="0" w:color="auto"/>
              <w:right w:val="single" w:sz="4" w:space="0" w:color="auto"/>
            </w:tcBorders>
            <w:shd w:val="clear" w:color="auto" w:fill="auto"/>
            <w:hideMark/>
          </w:tcPr>
          <w:p w:rsidR="00AE7970" w:rsidRPr="00AA5F2A" w:rsidRDefault="00AE7970" w:rsidP="001151FE">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Number of respondents</w:t>
            </w:r>
          </w:p>
        </w:tc>
        <w:tc>
          <w:tcPr>
            <w:tcW w:w="1138" w:type="dxa"/>
            <w:tcBorders>
              <w:left w:val="single" w:sz="4" w:space="0" w:color="auto"/>
              <w:right w:val="single" w:sz="4" w:space="0" w:color="auto"/>
            </w:tcBorders>
            <w:shd w:val="clear" w:color="auto" w:fill="auto"/>
            <w:hideMark/>
          </w:tcPr>
          <w:p w:rsidR="00AE7970" w:rsidRPr="00AA5F2A" w:rsidRDefault="00AE7970" w:rsidP="001151FE">
            <w:pPr>
              <w:pStyle w:val="TH-TableHeading"/>
              <w:spacing w:line="240" w:lineRule="auto"/>
              <w:ind w:left="-106" w:right="-82"/>
              <w:contextualSpacing/>
              <w:rPr>
                <w:rFonts w:ascii="Times New Roman" w:hAnsi="Times New Roman"/>
                <w:sz w:val="22"/>
                <w:szCs w:val="23"/>
              </w:rPr>
            </w:pPr>
            <w:r>
              <w:rPr>
                <w:rFonts w:ascii="Times New Roman" w:hAnsi="Times New Roman"/>
                <w:sz w:val="22"/>
                <w:szCs w:val="23"/>
              </w:rPr>
              <w:t>R</w:t>
            </w:r>
            <w:r w:rsidRPr="00AA5F2A">
              <w:rPr>
                <w:rFonts w:ascii="Times New Roman" w:hAnsi="Times New Roman"/>
                <w:sz w:val="22"/>
                <w:szCs w:val="23"/>
              </w:rPr>
              <w:t>esponses per respondent</w:t>
            </w:r>
          </w:p>
        </w:tc>
        <w:tc>
          <w:tcPr>
            <w:tcW w:w="964" w:type="dxa"/>
            <w:tcBorders>
              <w:left w:val="single" w:sz="4" w:space="0" w:color="auto"/>
              <w:right w:val="single" w:sz="4" w:space="0" w:color="auto"/>
            </w:tcBorders>
            <w:shd w:val="clear" w:color="auto" w:fill="auto"/>
            <w:hideMark/>
          </w:tcPr>
          <w:p w:rsidR="00AE7970" w:rsidRPr="00AA5F2A" w:rsidRDefault="00AE7970" w:rsidP="001151FE">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Total responses</w:t>
            </w:r>
          </w:p>
        </w:tc>
        <w:tc>
          <w:tcPr>
            <w:tcW w:w="964" w:type="dxa"/>
            <w:tcBorders>
              <w:left w:val="single" w:sz="4" w:space="0" w:color="auto"/>
              <w:right w:val="single" w:sz="4" w:space="0" w:color="auto"/>
            </w:tcBorders>
            <w:shd w:val="clear" w:color="auto" w:fill="auto"/>
            <w:hideMark/>
          </w:tcPr>
          <w:p w:rsidR="00AE7970" w:rsidRPr="00AA5F2A" w:rsidRDefault="00AE7970" w:rsidP="001151FE">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Average burden per response</w:t>
            </w:r>
            <w:r w:rsidRPr="00AA5F2A">
              <w:rPr>
                <w:rFonts w:ascii="Times New Roman" w:hAnsi="Times New Roman"/>
                <w:sz w:val="22"/>
                <w:szCs w:val="23"/>
              </w:rPr>
              <w:br/>
              <w:t>(in hours)</w:t>
            </w:r>
          </w:p>
        </w:tc>
        <w:tc>
          <w:tcPr>
            <w:tcW w:w="894" w:type="dxa"/>
            <w:tcBorders>
              <w:left w:val="single" w:sz="4" w:space="0" w:color="auto"/>
              <w:right w:val="single" w:sz="4" w:space="0" w:color="auto"/>
            </w:tcBorders>
            <w:shd w:val="clear" w:color="auto" w:fill="auto"/>
            <w:hideMark/>
          </w:tcPr>
          <w:p w:rsidR="00AE7970" w:rsidRPr="00AA5F2A" w:rsidRDefault="00AE7970" w:rsidP="001151FE">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 xml:space="preserve">Total </w:t>
            </w:r>
            <w:r w:rsidRPr="00AA5F2A">
              <w:rPr>
                <w:rFonts w:ascii="Times New Roman" w:hAnsi="Times New Roman"/>
                <w:sz w:val="22"/>
                <w:szCs w:val="23"/>
              </w:rPr>
              <w:br/>
              <w:t>burden</w:t>
            </w:r>
            <w:r w:rsidRPr="00AA5F2A">
              <w:rPr>
                <w:rFonts w:ascii="Times New Roman" w:hAnsi="Times New Roman"/>
                <w:sz w:val="22"/>
                <w:szCs w:val="23"/>
              </w:rPr>
              <w:br/>
              <w:t>(in hours)</w:t>
            </w:r>
          </w:p>
        </w:tc>
        <w:tc>
          <w:tcPr>
            <w:tcW w:w="900" w:type="dxa"/>
            <w:tcBorders>
              <w:left w:val="single" w:sz="4" w:space="0" w:color="auto"/>
              <w:right w:val="single" w:sz="4" w:space="0" w:color="auto"/>
            </w:tcBorders>
            <w:shd w:val="clear" w:color="auto" w:fill="auto"/>
          </w:tcPr>
          <w:p w:rsidR="00AE7970" w:rsidRDefault="00AE7970" w:rsidP="001151FE">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Hour</w:t>
            </w:r>
            <w:r>
              <w:rPr>
                <w:rFonts w:ascii="Times New Roman" w:hAnsi="Times New Roman"/>
                <w:sz w:val="22"/>
                <w:szCs w:val="23"/>
              </w:rPr>
              <w:t>ly</w:t>
            </w:r>
            <w:r w:rsidRPr="00AA5F2A">
              <w:rPr>
                <w:rFonts w:ascii="Times New Roman" w:hAnsi="Times New Roman"/>
                <w:sz w:val="22"/>
                <w:szCs w:val="23"/>
              </w:rPr>
              <w:t xml:space="preserve"> Wage</w:t>
            </w:r>
          </w:p>
          <w:p w:rsidR="00AE7970" w:rsidRPr="00AA5F2A" w:rsidRDefault="00AE7970" w:rsidP="001151FE">
            <w:pPr>
              <w:pStyle w:val="TH-TableHeading"/>
              <w:spacing w:line="240" w:lineRule="auto"/>
              <w:ind w:left="-106" w:right="-82"/>
              <w:contextualSpacing/>
              <w:rPr>
                <w:rFonts w:ascii="Times New Roman" w:hAnsi="Times New Roman"/>
                <w:sz w:val="22"/>
                <w:szCs w:val="23"/>
              </w:rPr>
            </w:pPr>
            <w:r>
              <w:rPr>
                <w:rFonts w:ascii="Times New Roman" w:hAnsi="Times New Roman"/>
                <w:sz w:val="22"/>
                <w:szCs w:val="23"/>
              </w:rPr>
              <w:t>Cost</w:t>
            </w:r>
            <w:r w:rsidRPr="00AA5F2A">
              <w:rPr>
                <w:rFonts w:ascii="Times New Roman" w:hAnsi="Times New Roman"/>
                <w:sz w:val="22"/>
                <w:szCs w:val="23"/>
              </w:rPr>
              <w:t xml:space="preserve"> </w:t>
            </w:r>
          </w:p>
        </w:tc>
        <w:tc>
          <w:tcPr>
            <w:tcW w:w="1260" w:type="dxa"/>
            <w:tcBorders>
              <w:left w:val="single" w:sz="4" w:space="0" w:color="auto"/>
              <w:right w:val="single" w:sz="4" w:space="0" w:color="auto"/>
            </w:tcBorders>
            <w:shd w:val="clear" w:color="auto" w:fill="auto"/>
          </w:tcPr>
          <w:p w:rsidR="00AE7970" w:rsidRPr="00AA5F2A" w:rsidRDefault="00AE7970" w:rsidP="001151FE">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Total Wage Cost</w:t>
            </w:r>
          </w:p>
        </w:tc>
      </w:tr>
      <w:tr w:rsidR="00AE7970" w:rsidRPr="00AA5F2A" w:rsidTr="00A14D97">
        <w:trPr>
          <w:trHeight w:val="98"/>
        </w:trPr>
        <w:tc>
          <w:tcPr>
            <w:tcW w:w="2250" w:type="dxa"/>
            <w:tcBorders>
              <w:left w:val="single" w:sz="4" w:space="0" w:color="auto"/>
              <w:right w:val="single" w:sz="4" w:space="0" w:color="auto"/>
            </w:tcBorders>
            <w:shd w:val="clear" w:color="auto" w:fill="auto"/>
            <w:noWrap/>
            <w:vAlign w:val="bottom"/>
          </w:tcPr>
          <w:p w:rsidR="00AE7970" w:rsidRPr="00AE7970" w:rsidRDefault="00AE7970" w:rsidP="001151FE">
            <w:pPr>
              <w:pStyle w:val="TH-TableHeading"/>
              <w:spacing w:line="240" w:lineRule="auto"/>
              <w:contextualSpacing/>
              <w:rPr>
                <w:rFonts w:ascii="Times New Roman" w:hAnsi="Times New Roman"/>
                <w:b w:val="0"/>
                <w:sz w:val="23"/>
                <w:szCs w:val="23"/>
              </w:rPr>
            </w:pPr>
            <w:r w:rsidRPr="00AE7970">
              <w:rPr>
                <w:rFonts w:ascii="Times New Roman" w:hAnsi="Times New Roman"/>
                <w:b w:val="0"/>
                <w:sz w:val="23"/>
                <w:szCs w:val="23"/>
              </w:rPr>
              <w:t>Performance reporting</w:t>
            </w:r>
          </w:p>
        </w:tc>
        <w:tc>
          <w:tcPr>
            <w:tcW w:w="1260" w:type="dxa"/>
            <w:tcBorders>
              <w:left w:val="single" w:sz="4" w:space="0" w:color="auto"/>
              <w:right w:val="single" w:sz="4" w:space="0" w:color="auto"/>
            </w:tcBorders>
            <w:shd w:val="clear" w:color="auto" w:fill="auto"/>
          </w:tcPr>
          <w:p w:rsidR="00AE7970" w:rsidRPr="00AE7970" w:rsidRDefault="00AE7970" w:rsidP="001151FE">
            <w:pPr>
              <w:pStyle w:val="TH-TableHeading"/>
              <w:spacing w:line="240" w:lineRule="auto"/>
              <w:ind w:left="-106" w:right="-82"/>
              <w:contextualSpacing/>
              <w:rPr>
                <w:rFonts w:ascii="Times New Roman" w:hAnsi="Times New Roman"/>
                <w:b w:val="0"/>
                <w:sz w:val="22"/>
                <w:szCs w:val="23"/>
              </w:rPr>
            </w:pPr>
            <w:r w:rsidRPr="00AE7970">
              <w:rPr>
                <w:rFonts w:ascii="Times New Roman" w:hAnsi="Times New Roman"/>
                <w:b w:val="0"/>
                <w:sz w:val="22"/>
                <w:szCs w:val="23"/>
              </w:rPr>
              <w:t>57</w:t>
            </w:r>
          </w:p>
        </w:tc>
        <w:tc>
          <w:tcPr>
            <w:tcW w:w="1138" w:type="dxa"/>
            <w:tcBorders>
              <w:left w:val="single" w:sz="4" w:space="0" w:color="auto"/>
              <w:right w:val="single" w:sz="4" w:space="0" w:color="auto"/>
            </w:tcBorders>
            <w:shd w:val="clear" w:color="auto" w:fill="auto"/>
          </w:tcPr>
          <w:p w:rsidR="00AE7970" w:rsidRPr="00AE7970" w:rsidRDefault="00AE7970" w:rsidP="001151FE">
            <w:pPr>
              <w:pStyle w:val="TH-TableHeading"/>
              <w:spacing w:line="240" w:lineRule="auto"/>
              <w:ind w:left="-106" w:right="-82"/>
              <w:contextualSpacing/>
              <w:rPr>
                <w:rFonts w:ascii="Times New Roman" w:hAnsi="Times New Roman"/>
                <w:b w:val="0"/>
                <w:sz w:val="22"/>
                <w:szCs w:val="23"/>
              </w:rPr>
            </w:pPr>
            <w:r w:rsidRPr="00AE7970">
              <w:rPr>
                <w:rFonts w:ascii="Times New Roman" w:hAnsi="Times New Roman"/>
                <w:b w:val="0"/>
                <w:sz w:val="22"/>
                <w:szCs w:val="23"/>
              </w:rPr>
              <w:t>2</w:t>
            </w:r>
          </w:p>
        </w:tc>
        <w:tc>
          <w:tcPr>
            <w:tcW w:w="964" w:type="dxa"/>
            <w:tcBorders>
              <w:left w:val="single" w:sz="4" w:space="0" w:color="auto"/>
              <w:right w:val="single" w:sz="4" w:space="0" w:color="auto"/>
            </w:tcBorders>
            <w:shd w:val="clear" w:color="auto" w:fill="auto"/>
          </w:tcPr>
          <w:p w:rsidR="00AE7970" w:rsidRPr="00AE7970" w:rsidRDefault="00AE7970" w:rsidP="001151FE">
            <w:pPr>
              <w:pStyle w:val="TH-TableHeading"/>
              <w:spacing w:line="240" w:lineRule="auto"/>
              <w:ind w:left="-106" w:right="-82"/>
              <w:contextualSpacing/>
              <w:rPr>
                <w:rFonts w:ascii="Times New Roman" w:hAnsi="Times New Roman"/>
                <w:b w:val="0"/>
                <w:sz w:val="22"/>
                <w:szCs w:val="23"/>
              </w:rPr>
            </w:pPr>
            <w:r w:rsidRPr="00AE7970">
              <w:rPr>
                <w:rFonts w:ascii="Times New Roman" w:hAnsi="Times New Roman"/>
                <w:b w:val="0"/>
                <w:sz w:val="22"/>
                <w:szCs w:val="23"/>
              </w:rPr>
              <w:t>114</w:t>
            </w:r>
          </w:p>
        </w:tc>
        <w:tc>
          <w:tcPr>
            <w:tcW w:w="964" w:type="dxa"/>
            <w:tcBorders>
              <w:left w:val="single" w:sz="4" w:space="0" w:color="auto"/>
              <w:right w:val="single" w:sz="4" w:space="0" w:color="auto"/>
            </w:tcBorders>
            <w:shd w:val="clear" w:color="auto" w:fill="auto"/>
          </w:tcPr>
          <w:p w:rsidR="00AE7970" w:rsidRPr="00AE7970" w:rsidRDefault="00AE7970" w:rsidP="001151FE">
            <w:pPr>
              <w:pStyle w:val="TH-TableHeading"/>
              <w:spacing w:line="240" w:lineRule="auto"/>
              <w:ind w:left="-106" w:right="-82"/>
              <w:contextualSpacing/>
              <w:rPr>
                <w:rFonts w:ascii="Times New Roman" w:hAnsi="Times New Roman"/>
                <w:b w:val="0"/>
                <w:sz w:val="22"/>
                <w:szCs w:val="23"/>
              </w:rPr>
            </w:pPr>
            <w:r w:rsidRPr="00AE7970">
              <w:rPr>
                <w:rFonts w:ascii="Times New Roman" w:hAnsi="Times New Roman"/>
                <w:b w:val="0"/>
                <w:sz w:val="22"/>
                <w:szCs w:val="23"/>
              </w:rPr>
              <w:t>8.0</w:t>
            </w:r>
          </w:p>
        </w:tc>
        <w:tc>
          <w:tcPr>
            <w:tcW w:w="894" w:type="dxa"/>
            <w:tcBorders>
              <w:left w:val="single" w:sz="4" w:space="0" w:color="auto"/>
              <w:right w:val="single" w:sz="4" w:space="0" w:color="auto"/>
            </w:tcBorders>
            <w:shd w:val="clear" w:color="auto" w:fill="auto"/>
          </w:tcPr>
          <w:p w:rsidR="00AE7970" w:rsidRPr="00AE7970" w:rsidRDefault="00AE7970" w:rsidP="001151FE">
            <w:pPr>
              <w:pStyle w:val="TH-TableHeading"/>
              <w:spacing w:line="240" w:lineRule="auto"/>
              <w:ind w:left="-106" w:right="-82"/>
              <w:contextualSpacing/>
              <w:rPr>
                <w:rFonts w:ascii="Times New Roman" w:hAnsi="Times New Roman"/>
                <w:b w:val="0"/>
                <w:sz w:val="22"/>
                <w:szCs w:val="23"/>
              </w:rPr>
            </w:pPr>
            <w:r w:rsidRPr="00AE7970">
              <w:rPr>
                <w:rFonts w:ascii="Times New Roman" w:hAnsi="Times New Roman"/>
                <w:b w:val="0"/>
                <w:sz w:val="22"/>
                <w:szCs w:val="23"/>
              </w:rPr>
              <w:t>912</w:t>
            </w:r>
          </w:p>
        </w:tc>
        <w:tc>
          <w:tcPr>
            <w:tcW w:w="900" w:type="dxa"/>
            <w:tcBorders>
              <w:left w:val="single" w:sz="4" w:space="0" w:color="auto"/>
              <w:right w:val="single" w:sz="4" w:space="0" w:color="auto"/>
            </w:tcBorders>
            <w:shd w:val="clear" w:color="auto" w:fill="auto"/>
          </w:tcPr>
          <w:p w:rsidR="00AE7970" w:rsidRPr="00AE7970" w:rsidRDefault="00AE7970" w:rsidP="001151FE">
            <w:pPr>
              <w:pStyle w:val="TH-TableHeading"/>
              <w:spacing w:line="240" w:lineRule="auto"/>
              <w:ind w:left="-106" w:right="-82"/>
              <w:contextualSpacing/>
              <w:rPr>
                <w:rFonts w:ascii="Times New Roman" w:hAnsi="Times New Roman"/>
                <w:b w:val="0"/>
                <w:sz w:val="22"/>
                <w:szCs w:val="23"/>
              </w:rPr>
            </w:pPr>
            <w:r w:rsidRPr="00AE7970">
              <w:rPr>
                <w:rFonts w:ascii="Times New Roman" w:hAnsi="Times New Roman"/>
                <w:b w:val="0"/>
                <w:sz w:val="22"/>
                <w:szCs w:val="23"/>
              </w:rPr>
              <w:t>$45</w:t>
            </w:r>
          </w:p>
        </w:tc>
        <w:tc>
          <w:tcPr>
            <w:tcW w:w="1260" w:type="dxa"/>
            <w:tcBorders>
              <w:left w:val="single" w:sz="4" w:space="0" w:color="auto"/>
              <w:right w:val="single" w:sz="4" w:space="0" w:color="auto"/>
            </w:tcBorders>
            <w:shd w:val="clear" w:color="auto" w:fill="auto"/>
            <w:vAlign w:val="center"/>
          </w:tcPr>
          <w:p w:rsidR="00AE7970" w:rsidRPr="00A00FCF" w:rsidRDefault="00AE7970" w:rsidP="001151FE">
            <w:pPr>
              <w:jc w:val="right"/>
              <w:rPr>
                <w:color w:val="000000"/>
              </w:rPr>
            </w:pPr>
            <w:r w:rsidRPr="00A00FCF">
              <w:rPr>
                <w:color w:val="000000"/>
              </w:rPr>
              <w:t xml:space="preserve">$41,040 </w:t>
            </w:r>
          </w:p>
        </w:tc>
      </w:tr>
    </w:tbl>
    <w:p w:rsidR="00AE7970" w:rsidRPr="00207991" w:rsidRDefault="00AE7970" w:rsidP="000B2923">
      <w:pPr>
        <w:autoSpaceDE w:val="0"/>
        <w:autoSpaceDN w:val="0"/>
        <w:adjustRightInd w:val="0"/>
        <w:ind w:right="-900"/>
        <w:outlineLvl w:val="0"/>
        <w:rPr>
          <w:b/>
        </w:rPr>
      </w:pPr>
    </w:p>
    <w:p w:rsidR="00264E67" w:rsidRPr="00207991" w:rsidRDefault="00264E67" w:rsidP="00264E67">
      <w:pPr>
        <w:pStyle w:val="ListParagraph"/>
        <w:autoSpaceDE w:val="0"/>
        <w:autoSpaceDN w:val="0"/>
        <w:adjustRightInd w:val="0"/>
        <w:ind w:right="-900"/>
        <w:outlineLvl w:val="0"/>
        <w:rPr>
          <w:b/>
        </w:rPr>
      </w:pPr>
    </w:p>
    <w:p w:rsidR="00AE7970" w:rsidRPr="002266FA" w:rsidRDefault="00AE7970" w:rsidP="00AE7970">
      <w:pPr>
        <w:pStyle w:val="Heading2"/>
        <w:rPr>
          <w:rFonts w:ascii="Times New Roman" w:hAnsi="Times New Roman"/>
          <w:color w:val="auto"/>
          <w:sz w:val="24"/>
          <w:szCs w:val="24"/>
        </w:rPr>
      </w:pPr>
      <w:bookmarkStart w:id="7" w:name="_Toc391970700"/>
      <w:r w:rsidRPr="002266FA">
        <w:rPr>
          <w:rFonts w:ascii="Times New Roman" w:hAnsi="Times New Roman"/>
          <w:color w:val="auto"/>
          <w:sz w:val="24"/>
          <w:szCs w:val="24"/>
        </w:rPr>
        <w:lastRenderedPageBreak/>
        <w:t>A.13</w:t>
      </w:r>
      <w:r w:rsidRPr="002266FA">
        <w:rPr>
          <w:rFonts w:ascii="Times New Roman" w:hAnsi="Times New Roman"/>
          <w:color w:val="auto"/>
          <w:sz w:val="24"/>
          <w:szCs w:val="24"/>
        </w:rPr>
        <w:tab/>
        <w:t>Estimates of Annualized Respondent Capital and Maintenance Costs</w:t>
      </w:r>
      <w:bookmarkEnd w:id="7"/>
    </w:p>
    <w:p w:rsidR="00AE7970" w:rsidRDefault="00AE7970" w:rsidP="00AE7970">
      <w:pPr>
        <w:pStyle w:val="L1-FlLSp12"/>
        <w:spacing w:line="240" w:lineRule="auto"/>
        <w:rPr>
          <w:rFonts w:ascii="Times New Roman" w:hAnsi="Times New Roman"/>
          <w:szCs w:val="24"/>
        </w:rPr>
      </w:pPr>
    </w:p>
    <w:p w:rsidR="00AE7970" w:rsidRPr="002266FA" w:rsidRDefault="00AE7970" w:rsidP="00AE7970">
      <w:pPr>
        <w:pStyle w:val="L1-FlLSp12"/>
        <w:spacing w:line="240" w:lineRule="auto"/>
        <w:rPr>
          <w:rFonts w:ascii="Times New Roman" w:hAnsi="Times New Roman"/>
          <w:szCs w:val="24"/>
        </w:rPr>
      </w:pPr>
      <w:r w:rsidRPr="002266FA">
        <w:rPr>
          <w:rFonts w:ascii="Times New Roman" w:hAnsi="Times New Roman"/>
          <w:szCs w:val="24"/>
        </w:rPr>
        <w:t>There are neither capital nor startup costs, nor are there any operations or maintenance costs.</w:t>
      </w:r>
    </w:p>
    <w:p w:rsidR="00D37021" w:rsidRPr="00207991" w:rsidRDefault="00D37021" w:rsidP="00264E67">
      <w:pPr>
        <w:pStyle w:val="ListParagraph"/>
        <w:autoSpaceDE w:val="0"/>
        <w:autoSpaceDN w:val="0"/>
        <w:adjustRightInd w:val="0"/>
        <w:ind w:right="-900"/>
        <w:outlineLvl w:val="0"/>
        <w:rPr>
          <w:b/>
        </w:rPr>
      </w:pPr>
    </w:p>
    <w:p w:rsidR="003F5621" w:rsidRPr="00207991" w:rsidRDefault="003F5621" w:rsidP="003F5621">
      <w:pPr>
        <w:pStyle w:val="ListParagraph"/>
        <w:autoSpaceDE w:val="0"/>
        <w:autoSpaceDN w:val="0"/>
        <w:adjustRightInd w:val="0"/>
        <w:ind w:right="-900"/>
        <w:outlineLvl w:val="0"/>
        <w:rPr>
          <w:b/>
        </w:rPr>
      </w:pPr>
    </w:p>
    <w:p w:rsidR="00AE7970" w:rsidRPr="002266FA" w:rsidRDefault="00AE7970" w:rsidP="00AE7970">
      <w:pPr>
        <w:pStyle w:val="Heading2"/>
        <w:rPr>
          <w:rFonts w:ascii="Times New Roman" w:hAnsi="Times New Roman"/>
          <w:color w:val="auto"/>
          <w:sz w:val="24"/>
          <w:szCs w:val="24"/>
        </w:rPr>
      </w:pPr>
      <w:r w:rsidRPr="002266FA">
        <w:rPr>
          <w:rFonts w:ascii="Times New Roman" w:hAnsi="Times New Roman"/>
          <w:color w:val="auto"/>
          <w:sz w:val="24"/>
          <w:szCs w:val="24"/>
        </w:rPr>
        <w:t>A.14</w:t>
      </w:r>
      <w:r w:rsidRPr="002266FA">
        <w:rPr>
          <w:rFonts w:ascii="Times New Roman" w:hAnsi="Times New Roman"/>
          <w:color w:val="auto"/>
          <w:sz w:val="24"/>
          <w:szCs w:val="24"/>
        </w:rPr>
        <w:tab/>
        <w:t>Estimates of Annualized Cost to the Federal Government</w:t>
      </w:r>
    </w:p>
    <w:p w:rsidR="003F5621" w:rsidRPr="00207991" w:rsidRDefault="003F5621" w:rsidP="003F5621">
      <w:pPr>
        <w:pStyle w:val="ListParagraph"/>
        <w:autoSpaceDE w:val="0"/>
        <w:autoSpaceDN w:val="0"/>
        <w:adjustRightInd w:val="0"/>
        <w:ind w:right="-900"/>
        <w:outlineLvl w:val="0"/>
        <w:rPr>
          <w:b/>
        </w:rPr>
      </w:pPr>
    </w:p>
    <w:p w:rsidR="007A75FE" w:rsidRDefault="007A75FE" w:rsidP="00AE7970">
      <w:pPr>
        <w:pStyle w:val="L1-FlLSp12"/>
        <w:spacing w:line="240" w:lineRule="auto"/>
        <w:rPr>
          <w:rFonts w:ascii="Times New Roman" w:hAnsi="Times New Roman"/>
          <w:szCs w:val="24"/>
        </w:rPr>
      </w:pPr>
      <w:r w:rsidRPr="00207991">
        <w:rPr>
          <w:rFonts w:ascii="Times New Roman" w:hAnsi="Times New Roman"/>
          <w:szCs w:val="24"/>
        </w:rPr>
        <w:t xml:space="preserve">SAMHSA has planned and allocated resources for the management, processing, and use of the collected information in a manner that will enhance its utility to </w:t>
      </w:r>
      <w:r w:rsidR="00AE7970">
        <w:rPr>
          <w:rFonts w:ascii="Times New Roman" w:hAnsi="Times New Roman"/>
          <w:szCs w:val="24"/>
        </w:rPr>
        <w:t>the federal government, as well as award recipients.</w:t>
      </w:r>
      <w:r w:rsidRPr="00207991">
        <w:rPr>
          <w:rFonts w:ascii="Times New Roman" w:hAnsi="Times New Roman"/>
          <w:szCs w:val="24"/>
        </w:rPr>
        <w:t xml:space="preserve"> The Web BGAS contract modification to cover the task order expansion of the current data collection system </w:t>
      </w:r>
      <w:r w:rsidR="00AE7970">
        <w:rPr>
          <w:rFonts w:ascii="Times New Roman" w:hAnsi="Times New Roman"/>
          <w:szCs w:val="24"/>
        </w:rPr>
        <w:t xml:space="preserve">accommodating </w:t>
      </w:r>
      <w:r w:rsidRPr="00207991">
        <w:rPr>
          <w:rFonts w:ascii="Times New Roman" w:hAnsi="Times New Roman"/>
          <w:szCs w:val="24"/>
        </w:rPr>
        <w:t>this data collection is $</w:t>
      </w:r>
      <w:r w:rsidR="000B2923" w:rsidRPr="00207991">
        <w:rPr>
          <w:rFonts w:ascii="Times New Roman" w:hAnsi="Times New Roman"/>
          <w:szCs w:val="24"/>
        </w:rPr>
        <w:t>636,439</w:t>
      </w:r>
      <w:r w:rsidR="00873CA6" w:rsidRPr="00207991">
        <w:rPr>
          <w:rFonts w:ascii="Times New Roman" w:hAnsi="Times New Roman"/>
          <w:szCs w:val="24"/>
        </w:rPr>
        <w:t xml:space="preserve"> </w:t>
      </w:r>
      <w:r w:rsidRPr="00207991">
        <w:rPr>
          <w:rFonts w:ascii="Times New Roman" w:hAnsi="Times New Roman"/>
          <w:szCs w:val="24"/>
        </w:rPr>
        <w:t>over a 24-month period</w:t>
      </w:r>
      <w:r w:rsidR="000B2923" w:rsidRPr="00207991">
        <w:rPr>
          <w:rFonts w:ascii="Times New Roman" w:hAnsi="Times New Roman"/>
          <w:szCs w:val="24"/>
        </w:rPr>
        <w:t>, where the contract modification cost for year one is $289,944 and the cost for year two is $346,495.</w:t>
      </w:r>
      <w:r w:rsidR="00AE7970">
        <w:rPr>
          <w:rFonts w:ascii="Times New Roman" w:hAnsi="Times New Roman"/>
          <w:szCs w:val="24"/>
        </w:rPr>
        <w:t xml:space="preserve"> </w:t>
      </w:r>
      <w:r w:rsidRPr="00207991">
        <w:rPr>
          <w:rFonts w:ascii="Times New Roman" w:hAnsi="Times New Roman"/>
          <w:szCs w:val="24"/>
        </w:rPr>
        <w:t>It is estimated that one SAMHSA employee will be involved for 5% of their time, at an estimated annualized cost of $4</w:t>
      </w:r>
      <w:r w:rsidR="00AE7970">
        <w:rPr>
          <w:rFonts w:ascii="Times New Roman" w:hAnsi="Times New Roman"/>
          <w:szCs w:val="24"/>
        </w:rPr>
        <w:t>,</w:t>
      </w:r>
      <w:r w:rsidRPr="00207991">
        <w:rPr>
          <w:rFonts w:ascii="Times New Roman" w:hAnsi="Times New Roman"/>
          <w:szCs w:val="24"/>
        </w:rPr>
        <w:t xml:space="preserve">407 to the government.  The total estimated average cost to the government </w:t>
      </w:r>
      <w:r w:rsidR="000B2923" w:rsidRPr="00207991">
        <w:rPr>
          <w:rFonts w:ascii="Times New Roman" w:hAnsi="Times New Roman"/>
          <w:szCs w:val="24"/>
        </w:rPr>
        <w:t>for year one is $294,351, and $350,902 for year two.</w:t>
      </w:r>
    </w:p>
    <w:p w:rsidR="0029680A" w:rsidRDefault="0029680A" w:rsidP="00AE7970">
      <w:pPr>
        <w:pStyle w:val="L1-FlLSp12"/>
        <w:spacing w:line="240" w:lineRule="auto"/>
        <w:rPr>
          <w:rFonts w:ascii="Times New Roman" w:hAnsi="Times New Roman"/>
          <w:szCs w:val="24"/>
        </w:rPr>
      </w:pPr>
    </w:p>
    <w:p w:rsidR="0029680A" w:rsidRPr="00207991" w:rsidRDefault="0029680A" w:rsidP="00AE7970">
      <w:pPr>
        <w:pStyle w:val="L1-FlLSp12"/>
        <w:spacing w:line="240" w:lineRule="auto"/>
        <w:rPr>
          <w:rFonts w:ascii="Times New Roman" w:hAnsi="Times New Roman"/>
          <w:szCs w:val="24"/>
        </w:rPr>
      </w:pPr>
      <w:r>
        <w:rPr>
          <w:rFonts w:ascii="Times New Roman" w:hAnsi="Times New Roman"/>
          <w:szCs w:val="24"/>
        </w:rPr>
        <w:t>The annualized cost to the government is $322,626.50</w:t>
      </w:r>
    </w:p>
    <w:p w:rsidR="007A75FE" w:rsidRDefault="007A75FE" w:rsidP="003F5621">
      <w:pPr>
        <w:pStyle w:val="ListParagraph"/>
        <w:autoSpaceDE w:val="0"/>
        <w:autoSpaceDN w:val="0"/>
        <w:adjustRightInd w:val="0"/>
        <w:ind w:right="-900"/>
        <w:outlineLvl w:val="0"/>
        <w:rPr>
          <w:b/>
        </w:rPr>
      </w:pPr>
    </w:p>
    <w:p w:rsidR="00AE7970" w:rsidRPr="002266FA" w:rsidRDefault="00AE7970" w:rsidP="00AE7970">
      <w:pPr>
        <w:pStyle w:val="Heading2"/>
        <w:rPr>
          <w:rFonts w:ascii="Times New Roman" w:hAnsi="Times New Roman"/>
          <w:color w:val="auto"/>
          <w:sz w:val="24"/>
          <w:szCs w:val="24"/>
        </w:rPr>
      </w:pPr>
      <w:bookmarkStart w:id="8" w:name="_Toc391970702"/>
      <w:r w:rsidRPr="002266FA">
        <w:rPr>
          <w:rFonts w:ascii="Times New Roman" w:hAnsi="Times New Roman"/>
          <w:color w:val="auto"/>
          <w:sz w:val="24"/>
          <w:szCs w:val="24"/>
        </w:rPr>
        <w:t>A.15</w:t>
      </w:r>
      <w:r w:rsidRPr="002266FA">
        <w:rPr>
          <w:rFonts w:ascii="Times New Roman" w:hAnsi="Times New Roman"/>
          <w:color w:val="auto"/>
          <w:sz w:val="24"/>
          <w:szCs w:val="24"/>
        </w:rPr>
        <w:tab/>
        <w:t>Change in Burden</w:t>
      </w:r>
      <w:bookmarkEnd w:id="8"/>
    </w:p>
    <w:p w:rsidR="001103FA" w:rsidRPr="00AE7970" w:rsidRDefault="001103FA" w:rsidP="00AE7970">
      <w:pPr>
        <w:rPr>
          <w:b/>
        </w:rPr>
      </w:pPr>
    </w:p>
    <w:p w:rsidR="001103FA" w:rsidRPr="00207991" w:rsidRDefault="009C076B" w:rsidP="00AE7970">
      <w:pPr>
        <w:autoSpaceDE w:val="0"/>
        <w:autoSpaceDN w:val="0"/>
        <w:adjustRightInd w:val="0"/>
        <w:ind w:right="-900"/>
        <w:outlineLvl w:val="0"/>
      </w:pPr>
      <w:r w:rsidRPr="00207991">
        <w:t>This is a new data collection activity.</w:t>
      </w:r>
    </w:p>
    <w:p w:rsidR="003F5621" w:rsidRDefault="003F5621" w:rsidP="003F5621">
      <w:pPr>
        <w:pStyle w:val="ListParagraph"/>
        <w:autoSpaceDE w:val="0"/>
        <w:autoSpaceDN w:val="0"/>
        <w:adjustRightInd w:val="0"/>
        <w:ind w:right="-900"/>
        <w:outlineLvl w:val="0"/>
        <w:rPr>
          <w:b/>
        </w:rPr>
      </w:pPr>
    </w:p>
    <w:p w:rsidR="0029680A" w:rsidRDefault="0029680A" w:rsidP="00AE7970">
      <w:pPr>
        <w:pStyle w:val="L1-FlLSp12"/>
        <w:spacing w:line="240" w:lineRule="auto"/>
        <w:rPr>
          <w:rFonts w:ascii="Times New Roman" w:hAnsi="Times New Roman"/>
          <w:b/>
          <w:szCs w:val="24"/>
        </w:rPr>
      </w:pPr>
    </w:p>
    <w:p w:rsidR="00AE7970" w:rsidRPr="00525AD9" w:rsidRDefault="00AE7970" w:rsidP="00AE7970">
      <w:pPr>
        <w:pStyle w:val="L1-FlLSp12"/>
        <w:spacing w:line="240" w:lineRule="auto"/>
        <w:rPr>
          <w:rFonts w:ascii="Times New Roman" w:hAnsi="Times New Roman"/>
          <w:b/>
          <w:szCs w:val="24"/>
        </w:rPr>
      </w:pPr>
      <w:r w:rsidRPr="00525AD9">
        <w:rPr>
          <w:rFonts w:ascii="Times New Roman" w:hAnsi="Times New Roman"/>
          <w:b/>
          <w:szCs w:val="24"/>
        </w:rPr>
        <w:t>A.16</w:t>
      </w:r>
      <w:r w:rsidRPr="00525AD9">
        <w:rPr>
          <w:rFonts w:ascii="Times New Roman" w:hAnsi="Times New Roman"/>
          <w:b/>
          <w:szCs w:val="24"/>
        </w:rPr>
        <w:tab/>
        <w:t>Time Schedule, Publication and Analysis Plan</w:t>
      </w:r>
    </w:p>
    <w:p w:rsidR="00264E67" w:rsidRPr="00207991" w:rsidRDefault="00264E67" w:rsidP="00264E67">
      <w:pPr>
        <w:pStyle w:val="ListParagraph"/>
        <w:rPr>
          <w:b/>
        </w:rPr>
      </w:pPr>
    </w:p>
    <w:p w:rsidR="00264E67" w:rsidRPr="00207991" w:rsidRDefault="00264E67" w:rsidP="00AE7970">
      <w:r w:rsidRPr="00207991">
        <w:t xml:space="preserve">The Web Block Grant Application System (BGAS) will be revised to include this addendum for states and jurisdictions to submit </w:t>
      </w:r>
      <w:r w:rsidR="00C842ED">
        <w:t xml:space="preserve">data </w:t>
      </w:r>
      <w:r w:rsidRPr="00207991">
        <w:t xml:space="preserve">electronically. The amendment will be due not later than 45 days after the date of the Notification of Action received by SAMHSA. </w:t>
      </w:r>
      <w:r w:rsidR="00AE7970">
        <w:t xml:space="preserve">  A</w:t>
      </w:r>
      <w:r w:rsidRPr="00207991">
        <w:t xml:space="preserve"> new section </w:t>
      </w:r>
      <w:r w:rsidR="00C842ED">
        <w:t>developed specifically</w:t>
      </w:r>
      <w:r w:rsidR="00AE7970">
        <w:t xml:space="preserve"> to accept performance data </w:t>
      </w:r>
      <w:r w:rsidR="00C842ED">
        <w:t xml:space="preserve">related to Opioid STR </w:t>
      </w:r>
      <w:r w:rsidRPr="00207991">
        <w:t>will be open for submissions until the November 1 deadline. Grant awards will not be affected by this new data request.  The following activities and timelines are anticipated:</w:t>
      </w:r>
    </w:p>
    <w:p w:rsidR="00264E67" w:rsidRPr="00207991" w:rsidRDefault="00264E67" w:rsidP="00264E67">
      <w:pPr>
        <w:jc w:val="both"/>
        <w:rPr>
          <w:b/>
        </w:rPr>
      </w:pPr>
    </w:p>
    <w:p w:rsidR="00264E67" w:rsidRPr="00207991" w:rsidRDefault="00264E67" w:rsidP="00D3702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207991">
        <w:tab/>
      </w:r>
      <w:r w:rsidRPr="00207991">
        <w:tab/>
      </w:r>
    </w:p>
    <w:tbl>
      <w:tblPr>
        <w:tblStyle w:val="TableWestatStandardFormat"/>
        <w:tblW w:w="4887" w:type="pct"/>
        <w:tblInd w:w="108" w:type="dxa"/>
        <w:tblLook w:val="04A0" w:firstRow="1" w:lastRow="0" w:firstColumn="1" w:lastColumn="0" w:noHBand="0" w:noVBand="1"/>
      </w:tblPr>
      <w:tblGrid>
        <w:gridCol w:w="4680"/>
        <w:gridCol w:w="4680"/>
      </w:tblGrid>
      <w:tr w:rsidR="006D0A9C" w:rsidRPr="00207991" w:rsidTr="006D0A9C">
        <w:trPr>
          <w:cnfStyle w:val="100000000000" w:firstRow="1" w:lastRow="0" w:firstColumn="0" w:lastColumn="0" w:oddVBand="0" w:evenVBand="0" w:oddHBand="0" w:evenHBand="0" w:firstRowFirstColumn="0" w:firstRowLastColumn="0" w:lastRowFirstColumn="0" w:lastRowLastColumn="0"/>
        </w:trPr>
        <w:tc>
          <w:tcPr>
            <w:tcW w:w="2500" w:type="pct"/>
            <w:hideMark/>
          </w:tcPr>
          <w:p w:rsidR="006D0A9C" w:rsidRPr="00207991" w:rsidRDefault="006D0A9C">
            <w:pPr>
              <w:pStyle w:val="TH-TableHeading"/>
              <w:spacing w:before="40" w:after="40" w:line="240" w:lineRule="auto"/>
              <w:rPr>
                <w:rFonts w:ascii="Times New Roman" w:hAnsi="Times New Roman"/>
                <w:sz w:val="24"/>
                <w:szCs w:val="24"/>
              </w:rPr>
            </w:pPr>
            <w:r w:rsidRPr="00207991">
              <w:rPr>
                <w:rFonts w:ascii="Times New Roman" w:hAnsi="Times New Roman"/>
                <w:sz w:val="24"/>
                <w:szCs w:val="24"/>
              </w:rPr>
              <w:t>Activity</w:t>
            </w:r>
          </w:p>
        </w:tc>
        <w:tc>
          <w:tcPr>
            <w:tcW w:w="2500" w:type="pct"/>
            <w:hideMark/>
          </w:tcPr>
          <w:p w:rsidR="006D0A9C" w:rsidRPr="00207991" w:rsidRDefault="000D44AF" w:rsidP="000D44AF">
            <w:pPr>
              <w:pStyle w:val="TH-TableHeading"/>
              <w:spacing w:before="40" w:after="40" w:line="240" w:lineRule="auto"/>
              <w:rPr>
                <w:rFonts w:ascii="Times New Roman" w:hAnsi="Times New Roman"/>
                <w:sz w:val="24"/>
                <w:szCs w:val="24"/>
              </w:rPr>
            </w:pPr>
            <w:r w:rsidRPr="00207991">
              <w:rPr>
                <w:rFonts w:ascii="Times New Roman" w:hAnsi="Times New Roman"/>
                <w:sz w:val="24"/>
                <w:szCs w:val="24"/>
              </w:rPr>
              <w:t>Tentative Timeline</w:t>
            </w:r>
          </w:p>
        </w:tc>
      </w:tr>
      <w:tr w:rsidR="006D0A9C" w:rsidRPr="00207991" w:rsidTr="006D0A9C">
        <w:tc>
          <w:tcPr>
            <w:tcW w:w="2500" w:type="pct"/>
            <w:tcBorders>
              <w:top w:val="nil"/>
              <w:left w:val="nil"/>
              <w:bottom w:val="nil"/>
              <w:right w:val="nil"/>
            </w:tcBorders>
            <w:hideMark/>
          </w:tcPr>
          <w:p w:rsidR="006D0A9C" w:rsidRPr="00207991" w:rsidRDefault="006D0A9C">
            <w:pPr>
              <w:pStyle w:val="TX-TableText"/>
              <w:spacing w:before="40" w:after="40" w:line="240" w:lineRule="auto"/>
              <w:rPr>
                <w:rFonts w:ascii="Times New Roman" w:hAnsi="Times New Roman"/>
                <w:sz w:val="24"/>
                <w:szCs w:val="24"/>
              </w:rPr>
            </w:pPr>
            <w:r w:rsidRPr="00207991">
              <w:rPr>
                <w:rFonts w:ascii="Times New Roman" w:hAnsi="Times New Roman"/>
                <w:sz w:val="24"/>
                <w:szCs w:val="24"/>
              </w:rPr>
              <w:t>Receive OMB clearance Notice of Action (NOA) for data collection</w:t>
            </w:r>
          </w:p>
        </w:tc>
        <w:tc>
          <w:tcPr>
            <w:tcW w:w="2500" w:type="pct"/>
            <w:tcBorders>
              <w:top w:val="nil"/>
              <w:left w:val="nil"/>
              <w:bottom w:val="nil"/>
              <w:right w:val="nil"/>
            </w:tcBorders>
            <w:hideMark/>
          </w:tcPr>
          <w:p w:rsidR="006D0A9C" w:rsidRPr="00207991" w:rsidRDefault="006D0A9C" w:rsidP="006D0A9C">
            <w:pPr>
              <w:pStyle w:val="TX-TableText"/>
              <w:spacing w:before="40" w:after="40" w:line="240" w:lineRule="auto"/>
              <w:jc w:val="center"/>
              <w:rPr>
                <w:rFonts w:ascii="Times New Roman" w:hAnsi="Times New Roman"/>
                <w:sz w:val="24"/>
                <w:szCs w:val="24"/>
              </w:rPr>
            </w:pPr>
            <w:r w:rsidRPr="00207991">
              <w:rPr>
                <w:rFonts w:ascii="Times New Roman" w:hAnsi="Times New Roman"/>
                <w:sz w:val="24"/>
                <w:szCs w:val="24"/>
              </w:rPr>
              <w:t>October 2017</w:t>
            </w:r>
          </w:p>
        </w:tc>
      </w:tr>
      <w:tr w:rsidR="006D0A9C" w:rsidRPr="00207991" w:rsidTr="006D0A9C">
        <w:tc>
          <w:tcPr>
            <w:tcW w:w="2500" w:type="pct"/>
            <w:tcBorders>
              <w:top w:val="nil"/>
              <w:left w:val="nil"/>
              <w:bottom w:val="nil"/>
              <w:right w:val="nil"/>
            </w:tcBorders>
            <w:hideMark/>
          </w:tcPr>
          <w:p w:rsidR="006D0A9C" w:rsidRPr="00207991" w:rsidRDefault="006D0A9C" w:rsidP="006D0A9C">
            <w:pPr>
              <w:pStyle w:val="TX-TableText"/>
              <w:spacing w:before="40" w:after="40" w:line="240" w:lineRule="auto"/>
              <w:rPr>
                <w:rFonts w:ascii="Times New Roman" w:hAnsi="Times New Roman"/>
                <w:sz w:val="24"/>
                <w:szCs w:val="24"/>
              </w:rPr>
            </w:pPr>
            <w:r w:rsidRPr="00207991">
              <w:rPr>
                <w:rFonts w:ascii="Times New Roman" w:hAnsi="Times New Roman"/>
                <w:sz w:val="24"/>
                <w:szCs w:val="24"/>
              </w:rPr>
              <w:t>Notification letter to states and jurisdictions regarding NOA, Provide access to amendment via Web BGAS</w:t>
            </w:r>
          </w:p>
        </w:tc>
        <w:tc>
          <w:tcPr>
            <w:tcW w:w="2500" w:type="pct"/>
            <w:tcBorders>
              <w:top w:val="nil"/>
              <w:left w:val="nil"/>
              <w:bottom w:val="nil"/>
              <w:right w:val="nil"/>
            </w:tcBorders>
            <w:hideMark/>
          </w:tcPr>
          <w:p w:rsidR="006D0A9C" w:rsidRPr="00207991" w:rsidRDefault="006D0A9C">
            <w:pPr>
              <w:pStyle w:val="TX-TableText"/>
              <w:spacing w:before="40" w:after="40" w:line="240" w:lineRule="auto"/>
              <w:jc w:val="center"/>
              <w:rPr>
                <w:rFonts w:ascii="Times New Roman" w:hAnsi="Times New Roman"/>
                <w:sz w:val="24"/>
                <w:szCs w:val="24"/>
              </w:rPr>
            </w:pPr>
            <w:r w:rsidRPr="00207991">
              <w:rPr>
                <w:rFonts w:ascii="Times New Roman" w:hAnsi="Times New Roman"/>
                <w:sz w:val="24"/>
                <w:szCs w:val="24"/>
              </w:rPr>
              <w:t>October 2017</w:t>
            </w:r>
          </w:p>
        </w:tc>
      </w:tr>
      <w:tr w:rsidR="000D44AF" w:rsidRPr="00207991" w:rsidTr="006D0A9C">
        <w:tc>
          <w:tcPr>
            <w:tcW w:w="2500" w:type="pct"/>
            <w:tcBorders>
              <w:top w:val="nil"/>
              <w:left w:val="nil"/>
              <w:bottom w:val="nil"/>
              <w:right w:val="nil"/>
            </w:tcBorders>
          </w:tcPr>
          <w:p w:rsidR="000D44AF" w:rsidRPr="00207991" w:rsidRDefault="000D44AF" w:rsidP="006D0A9C">
            <w:pPr>
              <w:pStyle w:val="TX-TableText"/>
              <w:spacing w:before="40" w:after="40" w:line="240" w:lineRule="auto"/>
              <w:rPr>
                <w:rFonts w:ascii="Times New Roman" w:hAnsi="Times New Roman"/>
                <w:sz w:val="24"/>
                <w:szCs w:val="24"/>
              </w:rPr>
            </w:pPr>
            <w:r w:rsidRPr="00207991">
              <w:rPr>
                <w:rFonts w:ascii="Times New Roman" w:hAnsi="Times New Roman"/>
                <w:sz w:val="24"/>
                <w:szCs w:val="24"/>
              </w:rPr>
              <w:t>Data collection via mid-year progress reporting</w:t>
            </w:r>
          </w:p>
        </w:tc>
        <w:tc>
          <w:tcPr>
            <w:tcW w:w="2500" w:type="pct"/>
            <w:tcBorders>
              <w:top w:val="nil"/>
              <w:left w:val="nil"/>
              <w:bottom w:val="nil"/>
              <w:right w:val="nil"/>
            </w:tcBorders>
          </w:tcPr>
          <w:p w:rsidR="000D44AF" w:rsidRPr="00207991" w:rsidRDefault="000D44AF">
            <w:pPr>
              <w:pStyle w:val="TX-TableText"/>
              <w:spacing w:before="40" w:after="40" w:line="240" w:lineRule="auto"/>
              <w:jc w:val="center"/>
              <w:rPr>
                <w:rFonts w:ascii="Times New Roman" w:hAnsi="Times New Roman"/>
                <w:sz w:val="24"/>
                <w:szCs w:val="24"/>
              </w:rPr>
            </w:pPr>
            <w:r w:rsidRPr="00207991">
              <w:rPr>
                <w:rFonts w:ascii="Times New Roman" w:hAnsi="Times New Roman"/>
                <w:sz w:val="24"/>
                <w:szCs w:val="24"/>
              </w:rPr>
              <w:t>April 2018 and 2019</w:t>
            </w:r>
          </w:p>
        </w:tc>
      </w:tr>
      <w:tr w:rsidR="000D44AF" w:rsidRPr="00207991" w:rsidTr="006D0A9C">
        <w:tc>
          <w:tcPr>
            <w:tcW w:w="2500" w:type="pct"/>
            <w:tcBorders>
              <w:top w:val="nil"/>
              <w:left w:val="nil"/>
              <w:bottom w:val="nil"/>
              <w:right w:val="nil"/>
            </w:tcBorders>
            <w:hideMark/>
          </w:tcPr>
          <w:p w:rsidR="000D44AF" w:rsidRPr="00207991" w:rsidRDefault="000D44AF">
            <w:pPr>
              <w:pStyle w:val="TX-TableText"/>
              <w:spacing w:before="40" w:after="40" w:line="240" w:lineRule="auto"/>
              <w:rPr>
                <w:rFonts w:ascii="Times New Roman" w:hAnsi="Times New Roman"/>
                <w:sz w:val="24"/>
                <w:szCs w:val="24"/>
              </w:rPr>
            </w:pPr>
            <w:r w:rsidRPr="00207991">
              <w:rPr>
                <w:rFonts w:ascii="Times New Roman" w:hAnsi="Times New Roman"/>
                <w:sz w:val="24"/>
                <w:szCs w:val="24"/>
              </w:rPr>
              <w:t>Begin processing and analyzing data</w:t>
            </w:r>
          </w:p>
        </w:tc>
        <w:tc>
          <w:tcPr>
            <w:tcW w:w="2500" w:type="pct"/>
            <w:tcBorders>
              <w:top w:val="nil"/>
              <w:left w:val="nil"/>
              <w:bottom w:val="nil"/>
              <w:right w:val="nil"/>
            </w:tcBorders>
            <w:hideMark/>
          </w:tcPr>
          <w:p w:rsidR="000D44AF" w:rsidRPr="00207991" w:rsidRDefault="000D44AF">
            <w:pPr>
              <w:pStyle w:val="TX-TableText"/>
              <w:spacing w:before="40" w:after="40" w:line="240" w:lineRule="auto"/>
              <w:jc w:val="center"/>
              <w:rPr>
                <w:rFonts w:ascii="Times New Roman" w:hAnsi="Times New Roman"/>
                <w:sz w:val="24"/>
                <w:szCs w:val="24"/>
              </w:rPr>
            </w:pPr>
            <w:r w:rsidRPr="00207991">
              <w:rPr>
                <w:rFonts w:ascii="Times New Roman" w:hAnsi="Times New Roman"/>
                <w:sz w:val="24"/>
                <w:szCs w:val="24"/>
              </w:rPr>
              <w:t>May 2018</w:t>
            </w:r>
          </w:p>
        </w:tc>
      </w:tr>
      <w:tr w:rsidR="000D44AF" w:rsidRPr="00207991" w:rsidTr="006D0A9C">
        <w:tc>
          <w:tcPr>
            <w:tcW w:w="2500" w:type="pct"/>
            <w:tcBorders>
              <w:top w:val="nil"/>
              <w:left w:val="nil"/>
              <w:bottom w:val="single" w:sz="4" w:space="0" w:color="auto"/>
              <w:right w:val="nil"/>
            </w:tcBorders>
            <w:hideMark/>
          </w:tcPr>
          <w:p w:rsidR="000D44AF" w:rsidRPr="00207991" w:rsidRDefault="000D44AF" w:rsidP="006D0A9C">
            <w:pPr>
              <w:pStyle w:val="TX-TableText"/>
              <w:spacing w:before="40" w:after="40" w:line="240" w:lineRule="auto"/>
              <w:rPr>
                <w:rFonts w:ascii="Times New Roman" w:hAnsi="Times New Roman"/>
                <w:sz w:val="24"/>
                <w:szCs w:val="24"/>
              </w:rPr>
            </w:pPr>
            <w:r w:rsidRPr="00207991">
              <w:rPr>
                <w:rFonts w:ascii="Times New Roman" w:hAnsi="Times New Roman"/>
                <w:sz w:val="24"/>
                <w:szCs w:val="24"/>
              </w:rPr>
              <w:t>Data collection via annual progress reporting</w:t>
            </w:r>
          </w:p>
        </w:tc>
        <w:tc>
          <w:tcPr>
            <w:tcW w:w="2500" w:type="pct"/>
            <w:tcBorders>
              <w:top w:val="nil"/>
              <w:left w:val="nil"/>
              <w:bottom w:val="single" w:sz="4" w:space="0" w:color="auto"/>
              <w:right w:val="nil"/>
            </w:tcBorders>
            <w:hideMark/>
          </w:tcPr>
          <w:p w:rsidR="000D44AF" w:rsidRPr="00207991" w:rsidRDefault="000D44AF" w:rsidP="006D0A9C">
            <w:pPr>
              <w:pStyle w:val="TX-TableText"/>
              <w:spacing w:before="40" w:after="40" w:line="240" w:lineRule="auto"/>
              <w:jc w:val="center"/>
              <w:rPr>
                <w:rFonts w:ascii="Times New Roman" w:hAnsi="Times New Roman"/>
                <w:sz w:val="24"/>
                <w:szCs w:val="24"/>
              </w:rPr>
            </w:pPr>
            <w:r w:rsidRPr="00207991">
              <w:rPr>
                <w:rFonts w:ascii="Times New Roman" w:hAnsi="Times New Roman"/>
                <w:sz w:val="24"/>
                <w:szCs w:val="24"/>
              </w:rPr>
              <w:t>September 2018 and 2019</w:t>
            </w:r>
          </w:p>
        </w:tc>
      </w:tr>
    </w:tbl>
    <w:p w:rsidR="006D0A9C" w:rsidRPr="00207991" w:rsidRDefault="006D0A9C" w:rsidP="00D3702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264E67" w:rsidRPr="00207991" w:rsidRDefault="00D37021" w:rsidP="00AE7970">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7991">
        <w:t>D</w:t>
      </w:r>
      <w:r w:rsidR="00264E67" w:rsidRPr="00207991">
        <w:t>ata from</w:t>
      </w:r>
      <w:r w:rsidRPr="00207991">
        <w:t xml:space="preserve"> the Opioid STR recipients’ responses, i.e., mid- and end-year reports, </w:t>
      </w:r>
      <w:r w:rsidR="00264E67" w:rsidRPr="00207991">
        <w:t>will be accessed by</w:t>
      </w:r>
      <w:r w:rsidRPr="00207991">
        <w:t xml:space="preserve"> the federal g</w:t>
      </w:r>
      <w:r w:rsidR="00264E67" w:rsidRPr="00207991">
        <w:t xml:space="preserve">overnment to generate routine and ad hoc administrative reports to describe </w:t>
      </w:r>
      <w:r w:rsidR="00C842ED">
        <w:t>award recipients’</w:t>
      </w:r>
      <w:r w:rsidRPr="00207991">
        <w:t xml:space="preserve"> </w:t>
      </w:r>
      <w:r w:rsidR="00264E67" w:rsidRPr="00207991">
        <w:t xml:space="preserve">efforts to </w:t>
      </w:r>
      <w:r w:rsidRPr="00207991">
        <w:t>address the illicit</w:t>
      </w:r>
      <w:r w:rsidR="00C842ED">
        <w:t xml:space="preserve"> and prescription opioid crisis</w:t>
      </w:r>
      <w:r w:rsidR="00264E67" w:rsidRPr="00207991">
        <w:t xml:space="preserve">.  Further, </w:t>
      </w:r>
      <w:r w:rsidRPr="00207991">
        <w:t xml:space="preserve">Opioid STR recipients’ </w:t>
      </w:r>
      <w:r w:rsidR="00264E67" w:rsidRPr="00207991">
        <w:t>data may be used for a wide variety of other oversight, administrative, and stati</w:t>
      </w:r>
      <w:r w:rsidRPr="00207991">
        <w:t>stical purposes of the federal government, s</w:t>
      </w:r>
      <w:r w:rsidR="00264E67" w:rsidRPr="00207991">
        <w:t xml:space="preserve">tate governments, and Congress (e.g., budget preparation, performance analysis).  Data will be tabulated and analyzed using standard descriptive and statistical analytic techniques and may be published through the mechanisms noted above, as well as through the publication of special analytic studies. </w:t>
      </w:r>
    </w:p>
    <w:p w:rsidR="0029680A" w:rsidRDefault="0029680A" w:rsidP="00C842ED">
      <w:pPr>
        <w:pStyle w:val="Heading2"/>
        <w:rPr>
          <w:rFonts w:ascii="Times New Roman" w:hAnsi="Times New Roman"/>
          <w:color w:val="auto"/>
          <w:sz w:val="24"/>
          <w:szCs w:val="24"/>
        </w:rPr>
      </w:pPr>
      <w:bookmarkStart w:id="9" w:name="_Toc391970704"/>
    </w:p>
    <w:p w:rsidR="00C842ED" w:rsidRPr="002266FA" w:rsidRDefault="00C842ED" w:rsidP="00C842ED">
      <w:pPr>
        <w:pStyle w:val="Heading2"/>
        <w:rPr>
          <w:rFonts w:ascii="Times New Roman" w:hAnsi="Times New Roman"/>
          <w:color w:val="auto"/>
          <w:sz w:val="24"/>
          <w:szCs w:val="24"/>
        </w:rPr>
      </w:pPr>
      <w:r w:rsidRPr="002266FA">
        <w:rPr>
          <w:rFonts w:ascii="Times New Roman" w:hAnsi="Times New Roman"/>
          <w:color w:val="auto"/>
          <w:sz w:val="24"/>
          <w:szCs w:val="24"/>
        </w:rPr>
        <w:t>A.17</w:t>
      </w:r>
      <w:r w:rsidRPr="002266FA">
        <w:rPr>
          <w:rFonts w:ascii="Times New Roman" w:hAnsi="Times New Roman"/>
          <w:color w:val="auto"/>
          <w:sz w:val="24"/>
          <w:szCs w:val="24"/>
        </w:rPr>
        <w:tab/>
        <w:t>Exemption for Display of Expiration Date</w:t>
      </w:r>
      <w:bookmarkEnd w:id="9"/>
    </w:p>
    <w:p w:rsidR="00C842ED" w:rsidRDefault="00C842ED" w:rsidP="00C842ED">
      <w:pPr>
        <w:pStyle w:val="L1-FlLSp12"/>
        <w:spacing w:line="240" w:lineRule="auto"/>
        <w:rPr>
          <w:rFonts w:ascii="Times New Roman" w:hAnsi="Times New Roman"/>
          <w:szCs w:val="24"/>
        </w:rPr>
      </w:pPr>
    </w:p>
    <w:p w:rsidR="00C842ED" w:rsidRPr="002266FA" w:rsidRDefault="00C842ED" w:rsidP="00C842ED">
      <w:pPr>
        <w:pStyle w:val="L1-FlLSp12"/>
        <w:spacing w:line="240" w:lineRule="auto"/>
        <w:rPr>
          <w:rFonts w:ascii="Times New Roman" w:hAnsi="Times New Roman"/>
          <w:szCs w:val="24"/>
        </w:rPr>
      </w:pPr>
      <w:r w:rsidRPr="002266FA">
        <w:rPr>
          <w:rFonts w:ascii="Times New Roman" w:hAnsi="Times New Roman"/>
          <w:szCs w:val="24"/>
        </w:rPr>
        <w:t>No exemption is being requested.</w:t>
      </w:r>
    </w:p>
    <w:p w:rsidR="003F5621" w:rsidRDefault="003F5621" w:rsidP="003F5621">
      <w:pPr>
        <w:pStyle w:val="ListParagraph"/>
        <w:autoSpaceDE w:val="0"/>
        <w:autoSpaceDN w:val="0"/>
        <w:adjustRightInd w:val="0"/>
        <w:ind w:right="-900"/>
        <w:outlineLvl w:val="0"/>
        <w:rPr>
          <w:b/>
        </w:rPr>
      </w:pPr>
    </w:p>
    <w:p w:rsidR="0029680A" w:rsidRDefault="0029680A" w:rsidP="00C842ED">
      <w:pPr>
        <w:tabs>
          <w:tab w:val="left" w:pos="-1080"/>
          <w:tab w:val="left" w:pos="-720"/>
          <w:tab w:val="left" w:pos="117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rPr>
          <w:rFonts w:eastAsiaTheme="majorEastAsia"/>
          <w:b/>
        </w:rPr>
      </w:pPr>
    </w:p>
    <w:p w:rsidR="00C842ED" w:rsidRPr="002266FA" w:rsidRDefault="00C842ED" w:rsidP="00C842ED">
      <w:pPr>
        <w:tabs>
          <w:tab w:val="left" w:pos="-1080"/>
          <w:tab w:val="left" w:pos="-720"/>
          <w:tab w:val="left" w:pos="117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rPr>
          <w:b/>
        </w:rPr>
      </w:pPr>
      <w:r w:rsidRPr="002266FA">
        <w:rPr>
          <w:rFonts w:eastAsiaTheme="majorEastAsia"/>
          <w:b/>
        </w:rPr>
        <w:t>A.18</w:t>
      </w:r>
      <w:r w:rsidRPr="002266FA">
        <w:rPr>
          <w:rFonts w:eastAsiaTheme="majorEastAsia"/>
          <w:b/>
        </w:rPr>
        <w:tab/>
      </w:r>
      <w:r w:rsidRPr="00AF7E1B">
        <w:rPr>
          <w:b/>
        </w:rPr>
        <w:t>Exceptions to Certification Statement</w:t>
      </w:r>
    </w:p>
    <w:p w:rsidR="00C842ED" w:rsidRPr="002266FA" w:rsidRDefault="00C842ED" w:rsidP="00C842ED">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C842ED" w:rsidRPr="002266FA" w:rsidRDefault="00C842ED" w:rsidP="00C842ED">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rsidRPr="002266FA">
        <w:t>This collection of information involves no exceptions to the Certification for Paperwork Reduction Act Submissions.</w:t>
      </w:r>
    </w:p>
    <w:p w:rsidR="00C842ED" w:rsidRPr="00207991" w:rsidRDefault="00C842ED" w:rsidP="003F5621">
      <w:pPr>
        <w:pStyle w:val="ListParagraph"/>
        <w:autoSpaceDE w:val="0"/>
        <w:autoSpaceDN w:val="0"/>
        <w:adjustRightInd w:val="0"/>
        <w:ind w:right="-900"/>
        <w:outlineLvl w:val="0"/>
        <w:rPr>
          <w:b/>
        </w:rPr>
      </w:pPr>
      <w:bookmarkStart w:id="10" w:name="_GoBack"/>
      <w:bookmarkEnd w:id="10"/>
    </w:p>
    <w:sectPr w:rsidR="00C842ED" w:rsidRPr="0020799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E5D" w:rsidRDefault="00981E5D" w:rsidP="00981E5D">
      <w:r>
        <w:separator/>
      </w:r>
    </w:p>
  </w:endnote>
  <w:endnote w:type="continuationSeparator" w:id="0">
    <w:p w:rsidR="00981E5D" w:rsidRDefault="00981E5D" w:rsidP="0098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571597"/>
      <w:docPartObj>
        <w:docPartGallery w:val="Page Numbers (Bottom of Page)"/>
        <w:docPartUnique/>
      </w:docPartObj>
    </w:sdtPr>
    <w:sdtEndPr>
      <w:rPr>
        <w:noProof/>
      </w:rPr>
    </w:sdtEndPr>
    <w:sdtContent>
      <w:p w:rsidR="00981E5D" w:rsidRDefault="00981E5D">
        <w:pPr>
          <w:pStyle w:val="Footer"/>
          <w:jc w:val="center"/>
        </w:pPr>
        <w:r>
          <w:fldChar w:fldCharType="begin"/>
        </w:r>
        <w:r>
          <w:instrText xml:space="preserve"> PAGE   \* MERGEFORMAT </w:instrText>
        </w:r>
        <w:r>
          <w:fldChar w:fldCharType="separate"/>
        </w:r>
        <w:r w:rsidR="003E244D">
          <w:rPr>
            <w:noProof/>
          </w:rPr>
          <w:t>3</w:t>
        </w:r>
        <w:r>
          <w:rPr>
            <w:noProof/>
          </w:rPr>
          <w:fldChar w:fldCharType="end"/>
        </w:r>
      </w:p>
    </w:sdtContent>
  </w:sdt>
  <w:p w:rsidR="00981E5D" w:rsidRDefault="00981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E5D" w:rsidRDefault="00981E5D" w:rsidP="00981E5D">
      <w:r>
        <w:separator/>
      </w:r>
    </w:p>
  </w:footnote>
  <w:footnote w:type="continuationSeparator" w:id="0">
    <w:p w:rsidR="00981E5D" w:rsidRDefault="00981E5D" w:rsidP="00981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329B"/>
    <w:multiLevelType w:val="hybridMultilevel"/>
    <w:tmpl w:val="75800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625FD"/>
    <w:multiLevelType w:val="hybridMultilevel"/>
    <w:tmpl w:val="109A34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27426B"/>
    <w:multiLevelType w:val="hybridMultilevel"/>
    <w:tmpl w:val="8004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E6"/>
    <w:rsid w:val="0005751D"/>
    <w:rsid w:val="000B2923"/>
    <w:rsid w:val="000D44AF"/>
    <w:rsid w:val="001103FA"/>
    <w:rsid w:val="0016186A"/>
    <w:rsid w:val="001D5397"/>
    <w:rsid w:val="001F532C"/>
    <w:rsid w:val="00207991"/>
    <w:rsid w:val="00264E67"/>
    <w:rsid w:val="0029680A"/>
    <w:rsid w:val="00324FF8"/>
    <w:rsid w:val="0039779B"/>
    <w:rsid w:val="003B4FFF"/>
    <w:rsid w:val="003E244D"/>
    <w:rsid w:val="003F5621"/>
    <w:rsid w:val="00466D1C"/>
    <w:rsid w:val="004E0C17"/>
    <w:rsid w:val="005D2EB0"/>
    <w:rsid w:val="00607BC3"/>
    <w:rsid w:val="00661E26"/>
    <w:rsid w:val="006A3BEB"/>
    <w:rsid w:val="006D0A9C"/>
    <w:rsid w:val="006D64FB"/>
    <w:rsid w:val="007A75FE"/>
    <w:rsid w:val="007B7459"/>
    <w:rsid w:val="00837CEA"/>
    <w:rsid w:val="00860F1F"/>
    <w:rsid w:val="00873CA6"/>
    <w:rsid w:val="008E38E6"/>
    <w:rsid w:val="00967A87"/>
    <w:rsid w:val="009752A9"/>
    <w:rsid w:val="00981E5D"/>
    <w:rsid w:val="009C076B"/>
    <w:rsid w:val="00A00FCF"/>
    <w:rsid w:val="00A4750A"/>
    <w:rsid w:val="00A51AFC"/>
    <w:rsid w:val="00A90250"/>
    <w:rsid w:val="00AE7970"/>
    <w:rsid w:val="00B62C14"/>
    <w:rsid w:val="00C842ED"/>
    <w:rsid w:val="00D13379"/>
    <w:rsid w:val="00D14F75"/>
    <w:rsid w:val="00D37021"/>
    <w:rsid w:val="00DE5CD7"/>
    <w:rsid w:val="00DF6900"/>
    <w:rsid w:val="00E34D9E"/>
    <w:rsid w:val="00E35898"/>
    <w:rsid w:val="00E96748"/>
    <w:rsid w:val="00F6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75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873C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D2E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C17"/>
    <w:pPr>
      <w:ind w:left="720"/>
      <w:contextualSpacing/>
    </w:pPr>
  </w:style>
  <w:style w:type="character" w:styleId="Hyperlink">
    <w:name w:val="Hyperlink"/>
    <w:basedOn w:val="DefaultParagraphFont"/>
    <w:uiPriority w:val="99"/>
    <w:unhideWhenUsed/>
    <w:rsid w:val="00324FF8"/>
    <w:rPr>
      <w:color w:val="0000FF" w:themeColor="hyperlink"/>
      <w:u w:val="single"/>
    </w:rPr>
  </w:style>
  <w:style w:type="character" w:styleId="CommentReference">
    <w:name w:val="annotation reference"/>
    <w:basedOn w:val="DefaultParagraphFont"/>
    <w:uiPriority w:val="99"/>
    <w:semiHidden/>
    <w:unhideWhenUsed/>
    <w:rsid w:val="00E34D9E"/>
    <w:rPr>
      <w:sz w:val="16"/>
      <w:szCs w:val="16"/>
    </w:rPr>
  </w:style>
  <w:style w:type="paragraph" w:styleId="CommentText">
    <w:name w:val="annotation text"/>
    <w:basedOn w:val="Normal"/>
    <w:link w:val="CommentTextChar"/>
    <w:uiPriority w:val="99"/>
    <w:semiHidden/>
    <w:unhideWhenUsed/>
    <w:rsid w:val="00E34D9E"/>
    <w:rPr>
      <w:sz w:val="20"/>
      <w:szCs w:val="20"/>
    </w:rPr>
  </w:style>
  <w:style w:type="character" w:customStyle="1" w:styleId="CommentTextChar">
    <w:name w:val="Comment Text Char"/>
    <w:basedOn w:val="DefaultParagraphFont"/>
    <w:link w:val="CommentText"/>
    <w:uiPriority w:val="99"/>
    <w:semiHidden/>
    <w:rsid w:val="00E34D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D9E"/>
    <w:rPr>
      <w:b/>
      <w:bCs/>
    </w:rPr>
  </w:style>
  <w:style w:type="character" w:customStyle="1" w:styleId="CommentSubjectChar">
    <w:name w:val="Comment Subject Char"/>
    <w:basedOn w:val="CommentTextChar"/>
    <w:link w:val="CommentSubject"/>
    <w:uiPriority w:val="99"/>
    <w:semiHidden/>
    <w:rsid w:val="00E34D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4D9E"/>
    <w:rPr>
      <w:rFonts w:ascii="Tahoma" w:hAnsi="Tahoma" w:cs="Tahoma"/>
      <w:sz w:val="16"/>
      <w:szCs w:val="16"/>
    </w:rPr>
  </w:style>
  <w:style w:type="character" w:customStyle="1" w:styleId="BalloonTextChar">
    <w:name w:val="Balloon Text Char"/>
    <w:basedOn w:val="DefaultParagraphFont"/>
    <w:link w:val="BalloonText"/>
    <w:uiPriority w:val="99"/>
    <w:semiHidden/>
    <w:rsid w:val="00E34D9E"/>
    <w:rPr>
      <w:rFonts w:ascii="Tahoma" w:eastAsia="Times New Roman" w:hAnsi="Tahoma" w:cs="Tahoma"/>
      <w:sz w:val="16"/>
      <w:szCs w:val="16"/>
    </w:rPr>
  </w:style>
  <w:style w:type="paragraph" w:customStyle="1" w:styleId="TH-TableHeading">
    <w:name w:val="TH-Table Heading"/>
    <w:rsid w:val="009C076B"/>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9C076B"/>
    <w:pPr>
      <w:spacing w:line="240" w:lineRule="atLeast"/>
    </w:pPr>
    <w:rPr>
      <w:rFonts w:ascii="Franklin Gothic Medium" w:hAnsi="Franklin Gothic Medium"/>
      <w:sz w:val="20"/>
      <w:szCs w:val="20"/>
    </w:rPr>
  </w:style>
  <w:style w:type="character" w:customStyle="1" w:styleId="L1-FlLSp12Char">
    <w:name w:val="L1-FlL Sp&amp;1/2 Char"/>
    <w:link w:val="L1-FlLSp12"/>
    <w:uiPriority w:val="99"/>
    <w:locked/>
    <w:rsid w:val="007A75FE"/>
    <w:rPr>
      <w:rFonts w:ascii="Garamond" w:hAnsi="Garamond"/>
      <w:sz w:val="24"/>
    </w:rPr>
  </w:style>
  <w:style w:type="paragraph" w:customStyle="1" w:styleId="L1-FlLSp12">
    <w:name w:val="L1-FlL Sp&amp;1/2"/>
    <w:basedOn w:val="Normal"/>
    <w:link w:val="L1-FlLSp12Char"/>
    <w:uiPriority w:val="99"/>
    <w:rsid w:val="007A75FE"/>
    <w:pPr>
      <w:tabs>
        <w:tab w:val="left" w:pos="1152"/>
      </w:tabs>
      <w:spacing w:line="360" w:lineRule="atLeast"/>
    </w:pPr>
    <w:rPr>
      <w:rFonts w:ascii="Garamond" w:eastAsiaTheme="minorHAnsi" w:hAnsi="Garamond" w:cstheme="minorBidi"/>
      <w:szCs w:val="22"/>
    </w:rPr>
  </w:style>
  <w:style w:type="table" w:customStyle="1" w:styleId="TableWestatStandardFormat">
    <w:name w:val="Table Westat Standard Format"/>
    <w:basedOn w:val="TableNormal"/>
    <w:rsid w:val="006D0A9C"/>
    <w:pPr>
      <w:spacing w:after="0" w:line="240" w:lineRule="auto"/>
    </w:pPr>
    <w:rPr>
      <w:rFonts w:ascii="Franklin Gothic Medium" w:eastAsia="Times New Roman" w:hAnsi="Franklin Gothic Medium" w:cs="Times New Roman"/>
      <w:sz w:val="20"/>
      <w:szCs w:val="20"/>
    </w:rPr>
    <w:tblPr>
      <w:tblInd w:w="0" w:type="nil"/>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Heading1Char">
    <w:name w:val="Heading 1 Char"/>
    <w:basedOn w:val="DefaultParagraphFont"/>
    <w:link w:val="Heading1"/>
    <w:rsid w:val="0005751D"/>
    <w:rPr>
      <w:rFonts w:ascii="Arial" w:eastAsia="Times New Roman" w:hAnsi="Arial" w:cs="Arial"/>
      <w:b/>
      <w:bCs/>
      <w:kern w:val="32"/>
      <w:sz w:val="32"/>
      <w:szCs w:val="32"/>
    </w:rPr>
  </w:style>
  <w:style w:type="paragraph" w:styleId="NormalWeb">
    <w:name w:val="Normal (Web)"/>
    <w:basedOn w:val="Normal"/>
    <w:semiHidden/>
    <w:unhideWhenUsed/>
    <w:rsid w:val="0005751D"/>
    <w:pPr>
      <w:spacing w:before="100" w:beforeAutospacing="1" w:after="100" w:afterAutospacing="1"/>
    </w:pPr>
  </w:style>
  <w:style w:type="character" w:styleId="Strong">
    <w:name w:val="Strong"/>
    <w:basedOn w:val="DefaultParagraphFont"/>
    <w:qFormat/>
    <w:rsid w:val="0005751D"/>
    <w:rPr>
      <w:b/>
      <w:bCs/>
    </w:rPr>
  </w:style>
  <w:style w:type="character" w:customStyle="1" w:styleId="Heading2Char">
    <w:name w:val="Heading 2 Char"/>
    <w:basedOn w:val="DefaultParagraphFont"/>
    <w:link w:val="Heading2"/>
    <w:uiPriority w:val="9"/>
    <w:semiHidden/>
    <w:rsid w:val="00873C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D2EB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5D2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trBoldHd">
    <w:name w:val="C1-Ctr BoldHd"/>
    <w:rsid w:val="00AE7970"/>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Header">
    <w:name w:val="header"/>
    <w:basedOn w:val="Normal"/>
    <w:link w:val="HeaderChar"/>
    <w:uiPriority w:val="99"/>
    <w:unhideWhenUsed/>
    <w:rsid w:val="00981E5D"/>
    <w:pPr>
      <w:tabs>
        <w:tab w:val="center" w:pos="4680"/>
        <w:tab w:val="right" w:pos="9360"/>
      </w:tabs>
    </w:pPr>
  </w:style>
  <w:style w:type="character" w:customStyle="1" w:styleId="HeaderChar">
    <w:name w:val="Header Char"/>
    <w:basedOn w:val="DefaultParagraphFont"/>
    <w:link w:val="Header"/>
    <w:uiPriority w:val="99"/>
    <w:rsid w:val="00981E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1E5D"/>
    <w:pPr>
      <w:tabs>
        <w:tab w:val="center" w:pos="4680"/>
        <w:tab w:val="right" w:pos="9360"/>
      </w:tabs>
    </w:pPr>
  </w:style>
  <w:style w:type="character" w:customStyle="1" w:styleId="FooterChar">
    <w:name w:val="Footer Char"/>
    <w:basedOn w:val="DefaultParagraphFont"/>
    <w:link w:val="Footer"/>
    <w:uiPriority w:val="99"/>
    <w:rsid w:val="00981E5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75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873C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D2E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C17"/>
    <w:pPr>
      <w:ind w:left="720"/>
      <w:contextualSpacing/>
    </w:pPr>
  </w:style>
  <w:style w:type="character" w:styleId="Hyperlink">
    <w:name w:val="Hyperlink"/>
    <w:basedOn w:val="DefaultParagraphFont"/>
    <w:uiPriority w:val="99"/>
    <w:unhideWhenUsed/>
    <w:rsid w:val="00324FF8"/>
    <w:rPr>
      <w:color w:val="0000FF" w:themeColor="hyperlink"/>
      <w:u w:val="single"/>
    </w:rPr>
  </w:style>
  <w:style w:type="character" w:styleId="CommentReference">
    <w:name w:val="annotation reference"/>
    <w:basedOn w:val="DefaultParagraphFont"/>
    <w:uiPriority w:val="99"/>
    <w:semiHidden/>
    <w:unhideWhenUsed/>
    <w:rsid w:val="00E34D9E"/>
    <w:rPr>
      <w:sz w:val="16"/>
      <w:szCs w:val="16"/>
    </w:rPr>
  </w:style>
  <w:style w:type="paragraph" w:styleId="CommentText">
    <w:name w:val="annotation text"/>
    <w:basedOn w:val="Normal"/>
    <w:link w:val="CommentTextChar"/>
    <w:uiPriority w:val="99"/>
    <w:semiHidden/>
    <w:unhideWhenUsed/>
    <w:rsid w:val="00E34D9E"/>
    <w:rPr>
      <w:sz w:val="20"/>
      <w:szCs w:val="20"/>
    </w:rPr>
  </w:style>
  <w:style w:type="character" w:customStyle="1" w:styleId="CommentTextChar">
    <w:name w:val="Comment Text Char"/>
    <w:basedOn w:val="DefaultParagraphFont"/>
    <w:link w:val="CommentText"/>
    <w:uiPriority w:val="99"/>
    <w:semiHidden/>
    <w:rsid w:val="00E34D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D9E"/>
    <w:rPr>
      <w:b/>
      <w:bCs/>
    </w:rPr>
  </w:style>
  <w:style w:type="character" w:customStyle="1" w:styleId="CommentSubjectChar">
    <w:name w:val="Comment Subject Char"/>
    <w:basedOn w:val="CommentTextChar"/>
    <w:link w:val="CommentSubject"/>
    <w:uiPriority w:val="99"/>
    <w:semiHidden/>
    <w:rsid w:val="00E34D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4D9E"/>
    <w:rPr>
      <w:rFonts w:ascii="Tahoma" w:hAnsi="Tahoma" w:cs="Tahoma"/>
      <w:sz w:val="16"/>
      <w:szCs w:val="16"/>
    </w:rPr>
  </w:style>
  <w:style w:type="character" w:customStyle="1" w:styleId="BalloonTextChar">
    <w:name w:val="Balloon Text Char"/>
    <w:basedOn w:val="DefaultParagraphFont"/>
    <w:link w:val="BalloonText"/>
    <w:uiPriority w:val="99"/>
    <w:semiHidden/>
    <w:rsid w:val="00E34D9E"/>
    <w:rPr>
      <w:rFonts w:ascii="Tahoma" w:eastAsia="Times New Roman" w:hAnsi="Tahoma" w:cs="Tahoma"/>
      <w:sz w:val="16"/>
      <w:szCs w:val="16"/>
    </w:rPr>
  </w:style>
  <w:style w:type="paragraph" w:customStyle="1" w:styleId="TH-TableHeading">
    <w:name w:val="TH-Table Heading"/>
    <w:rsid w:val="009C076B"/>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9C076B"/>
    <w:pPr>
      <w:spacing w:line="240" w:lineRule="atLeast"/>
    </w:pPr>
    <w:rPr>
      <w:rFonts w:ascii="Franklin Gothic Medium" w:hAnsi="Franklin Gothic Medium"/>
      <w:sz w:val="20"/>
      <w:szCs w:val="20"/>
    </w:rPr>
  </w:style>
  <w:style w:type="character" w:customStyle="1" w:styleId="L1-FlLSp12Char">
    <w:name w:val="L1-FlL Sp&amp;1/2 Char"/>
    <w:link w:val="L1-FlLSp12"/>
    <w:uiPriority w:val="99"/>
    <w:locked/>
    <w:rsid w:val="007A75FE"/>
    <w:rPr>
      <w:rFonts w:ascii="Garamond" w:hAnsi="Garamond"/>
      <w:sz w:val="24"/>
    </w:rPr>
  </w:style>
  <w:style w:type="paragraph" w:customStyle="1" w:styleId="L1-FlLSp12">
    <w:name w:val="L1-FlL Sp&amp;1/2"/>
    <w:basedOn w:val="Normal"/>
    <w:link w:val="L1-FlLSp12Char"/>
    <w:uiPriority w:val="99"/>
    <w:rsid w:val="007A75FE"/>
    <w:pPr>
      <w:tabs>
        <w:tab w:val="left" w:pos="1152"/>
      </w:tabs>
      <w:spacing w:line="360" w:lineRule="atLeast"/>
    </w:pPr>
    <w:rPr>
      <w:rFonts w:ascii="Garamond" w:eastAsiaTheme="minorHAnsi" w:hAnsi="Garamond" w:cstheme="minorBidi"/>
      <w:szCs w:val="22"/>
    </w:rPr>
  </w:style>
  <w:style w:type="table" w:customStyle="1" w:styleId="TableWestatStandardFormat">
    <w:name w:val="Table Westat Standard Format"/>
    <w:basedOn w:val="TableNormal"/>
    <w:rsid w:val="006D0A9C"/>
    <w:pPr>
      <w:spacing w:after="0" w:line="240" w:lineRule="auto"/>
    </w:pPr>
    <w:rPr>
      <w:rFonts w:ascii="Franklin Gothic Medium" w:eastAsia="Times New Roman" w:hAnsi="Franklin Gothic Medium" w:cs="Times New Roman"/>
      <w:sz w:val="20"/>
      <w:szCs w:val="20"/>
    </w:rPr>
    <w:tblPr>
      <w:tblInd w:w="0" w:type="nil"/>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Heading1Char">
    <w:name w:val="Heading 1 Char"/>
    <w:basedOn w:val="DefaultParagraphFont"/>
    <w:link w:val="Heading1"/>
    <w:rsid w:val="0005751D"/>
    <w:rPr>
      <w:rFonts w:ascii="Arial" w:eastAsia="Times New Roman" w:hAnsi="Arial" w:cs="Arial"/>
      <w:b/>
      <w:bCs/>
      <w:kern w:val="32"/>
      <w:sz w:val="32"/>
      <w:szCs w:val="32"/>
    </w:rPr>
  </w:style>
  <w:style w:type="paragraph" w:styleId="NormalWeb">
    <w:name w:val="Normal (Web)"/>
    <w:basedOn w:val="Normal"/>
    <w:semiHidden/>
    <w:unhideWhenUsed/>
    <w:rsid w:val="0005751D"/>
    <w:pPr>
      <w:spacing w:before="100" w:beforeAutospacing="1" w:after="100" w:afterAutospacing="1"/>
    </w:pPr>
  </w:style>
  <w:style w:type="character" w:styleId="Strong">
    <w:name w:val="Strong"/>
    <w:basedOn w:val="DefaultParagraphFont"/>
    <w:qFormat/>
    <w:rsid w:val="0005751D"/>
    <w:rPr>
      <w:b/>
      <w:bCs/>
    </w:rPr>
  </w:style>
  <w:style w:type="character" w:customStyle="1" w:styleId="Heading2Char">
    <w:name w:val="Heading 2 Char"/>
    <w:basedOn w:val="DefaultParagraphFont"/>
    <w:link w:val="Heading2"/>
    <w:uiPriority w:val="9"/>
    <w:semiHidden/>
    <w:rsid w:val="00873C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D2EB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5D2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trBoldHd">
    <w:name w:val="C1-Ctr BoldHd"/>
    <w:rsid w:val="00AE7970"/>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Header">
    <w:name w:val="header"/>
    <w:basedOn w:val="Normal"/>
    <w:link w:val="HeaderChar"/>
    <w:uiPriority w:val="99"/>
    <w:unhideWhenUsed/>
    <w:rsid w:val="00981E5D"/>
    <w:pPr>
      <w:tabs>
        <w:tab w:val="center" w:pos="4680"/>
        <w:tab w:val="right" w:pos="9360"/>
      </w:tabs>
    </w:pPr>
  </w:style>
  <w:style w:type="character" w:customStyle="1" w:styleId="HeaderChar">
    <w:name w:val="Header Char"/>
    <w:basedOn w:val="DefaultParagraphFont"/>
    <w:link w:val="Header"/>
    <w:uiPriority w:val="99"/>
    <w:rsid w:val="00981E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1E5D"/>
    <w:pPr>
      <w:tabs>
        <w:tab w:val="center" w:pos="4680"/>
        <w:tab w:val="right" w:pos="9360"/>
      </w:tabs>
    </w:pPr>
  </w:style>
  <w:style w:type="character" w:customStyle="1" w:styleId="FooterChar">
    <w:name w:val="Footer Char"/>
    <w:basedOn w:val="DefaultParagraphFont"/>
    <w:link w:val="Footer"/>
    <w:uiPriority w:val="99"/>
    <w:rsid w:val="00981E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464">
      <w:bodyDiv w:val="1"/>
      <w:marLeft w:val="0"/>
      <w:marRight w:val="0"/>
      <w:marTop w:val="0"/>
      <w:marBottom w:val="0"/>
      <w:divBdr>
        <w:top w:val="none" w:sz="0" w:space="0" w:color="auto"/>
        <w:left w:val="none" w:sz="0" w:space="0" w:color="auto"/>
        <w:bottom w:val="none" w:sz="0" w:space="0" w:color="auto"/>
        <w:right w:val="none" w:sz="0" w:space="0" w:color="auto"/>
      </w:divBdr>
    </w:div>
    <w:div w:id="258487418">
      <w:bodyDiv w:val="1"/>
      <w:marLeft w:val="0"/>
      <w:marRight w:val="0"/>
      <w:marTop w:val="0"/>
      <w:marBottom w:val="0"/>
      <w:divBdr>
        <w:top w:val="none" w:sz="0" w:space="0" w:color="auto"/>
        <w:left w:val="none" w:sz="0" w:space="0" w:color="auto"/>
        <w:bottom w:val="none" w:sz="0" w:space="0" w:color="auto"/>
        <w:right w:val="none" w:sz="0" w:space="0" w:color="auto"/>
      </w:divBdr>
    </w:div>
    <w:div w:id="722561581">
      <w:bodyDiv w:val="1"/>
      <w:marLeft w:val="0"/>
      <w:marRight w:val="0"/>
      <w:marTop w:val="0"/>
      <w:marBottom w:val="0"/>
      <w:divBdr>
        <w:top w:val="none" w:sz="0" w:space="0" w:color="auto"/>
        <w:left w:val="none" w:sz="0" w:space="0" w:color="auto"/>
        <w:bottom w:val="none" w:sz="0" w:space="0" w:color="auto"/>
        <w:right w:val="none" w:sz="0" w:space="0" w:color="auto"/>
      </w:divBdr>
    </w:div>
    <w:div w:id="1024818286">
      <w:bodyDiv w:val="1"/>
      <w:marLeft w:val="0"/>
      <w:marRight w:val="0"/>
      <w:marTop w:val="0"/>
      <w:marBottom w:val="0"/>
      <w:divBdr>
        <w:top w:val="none" w:sz="0" w:space="0" w:color="auto"/>
        <w:left w:val="none" w:sz="0" w:space="0" w:color="auto"/>
        <w:bottom w:val="none" w:sz="0" w:space="0" w:color="auto"/>
        <w:right w:val="none" w:sz="0" w:space="0" w:color="auto"/>
      </w:divBdr>
    </w:div>
    <w:div w:id="1243291431">
      <w:bodyDiv w:val="1"/>
      <w:marLeft w:val="0"/>
      <w:marRight w:val="0"/>
      <w:marTop w:val="0"/>
      <w:marBottom w:val="0"/>
      <w:divBdr>
        <w:top w:val="none" w:sz="0" w:space="0" w:color="auto"/>
        <w:left w:val="none" w:sz="0" w:space="0" w:color="auto"/>
        <w:bottom w:val="none" w:sz="0" w:space="0" w:color="auto"/>
        <w:right w:val="none" w:sz="0" w:space="0" w:color="auto"/>
      </w:divBdr>
    </w:div>
    <w:div w:id="1958487608">
      <w:bodyDiv w:val="1"/>
      <w:marLeft w:val="0"/>
      <w:marRight w:val="0"/>
      <w:marTop w:val="0"/>
      <w:marBottom w:val="0"/>
      <w:divBdr>
        <w:top w:val="none" w:sz="0" w:space="0" w:color="auto"/>
        <w:left w:val="none" w:sz="0" w:space="0" w:color="auto"/>
        <w:bottom w:val="none" w:sz="0" w:space="0" w:color="auto"/>
        <w:right w:val="none" w:sz="0" w:space="0" w:color="auto"/>
      </w:divBdr>
    </w:div>
    <w:div w:id="2004771479">
      <w:bodyDiv w:val="1"/>
      <w:marLeft w:val="0"/>
      <w:marRight w:val="0"/>
      <w:marTop w:val="0"/>
      <w:marBottom w:val="0"/>
      <w:divBdr>
        <w:top w:val="none" w:sz="0" w:space="0" w:color="auto"/>
        <w:left w:val="none" w:sz="0" w:space="0" w:color="auto"/>
        <w:bottom w:val="none" w:sz="0" w:space="0" w:color="auto"/>
        <w:right w:val="none" w:sz="0" w:space="0" w:color="auto"/>
      </w:divBdr>
    </w:div>
    <w:div w:id="21123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sites/default/files/samhsa-fy-2017-congressional-justification.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John.Campbell</dc:creator>
  <cp:lastModifiedBy>John.Campbell</cp:lastModifiedBy>
  <cp:revision>2</cp:revision>
  <dcterms:created xsi:type="dcterms:W3CDTF">2017-07-05T20:25:00Z</dcterms:created>
  <dcterms:modified xsi:type="dcterms:W3CDTF">2017-07-05T20:25:00Z</dcterms:modified>
</cp:coreProperties>
</file>