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54" w:rsidRDefault="00EE7D54" w:rsidP="00EE7D54">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w:t>
      </w:r>
      <w:r w:rsidR="00B545EF">
        <w:rPr>
          <w:rFonts w:ascii="Times New Roman" w:hAnsi="Times New Roman" w:cs="Times New Roman"/>
          <w:b/>
          <w:sz w:val="24"/>
          <w:szCs w:val="24"/>
        </w:rPr>
        <w:t>TTACHMENT</w:t>
      </w:r>
      <w:r>
        <w:rPr>
          <w:rFonts w:ascii="Times New Roman" w:hAnsi="Times New Roman" w:cs="Times New Roman"/>
          <w:b/>
          <w:sz w:val="24"/>
          <w:szCs w:val="24"/>
        </w:rPr>
        <w:t xml:space="preserve"> </w:t>
      </w:r>
      <w:r w:rsidR="00193D6A">
        <w:rPr>
          <w:rFonts w:ascii="Times New Roman" w:hAnsi="Times New Roman" w:cs="Times New Roman"/>
          <w:b/>
          <w:sz w:val="24"/>
          <w:szCs w:val="24"/>
        </w:rPr>
        <w:t>1</w:t>
      </w:r>
    </w:p>
    <w:p w:rsidR="00B545EF" w:rsidRPr="00EE7D54" w:rsidRDefault="00B545EF" w:rsidP="00EE7D54">
      <w:pPr>
        <w:autoSpaceDE w:val="0"/>
        <w:autoSpaceDN w:val="0"/>
        <w:adjustRightInd w:val="0"/>
        <w:spacing w:after="0" w:line="240" w:lineRule="auto"/>
        <w:jc w:val="center"/>
        <w:rPr>
          <w:rFonts w:ascii="Times New Roman" w:hAnsi="Times New Roman" w:cs="Times New Roman"/>
          <w:b/>
          <w:sz w:val="24"/>
          <w:szCs w:val="24"/>
        </w:rPr>
      </w:pPr>
      <w:r w:rsidRPr="00B545EF">
        <w:rPr>
          <w:rFonts w:ascii="Times New Roman" w:hAnsi="Times New Roman" w:cs="Times New Roman"/>
          <w:b/>
          <w:sz w:val="24"/>
          <w:szCs w:val="24"/>
        </w:rPr>
        <w:t>Public Health Service Act (42 USC 241)</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TITLE III—GENERAL POWERS AND DUTIES OF PUBLIC</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HEALTH SERVICE</w:t>
      </w:r>
    </w:p>
    <w:p w:rsidR="00EE7D54" w:rsidRDefault="00EE7D54" w:rsidP="00EE7D54">
      <w:pPr>
        <w:autoSpaceDE w:val="0"/>
        <w:autoSpaceDN w:val="0"/>
        <w:adjustRightInd w:val="0"/>
        <w:spacing w:after="0" w:line="240" w:lineRule="auto"/>
        <w:rPr>
          <w:rFonts w:ascii="NewCenturySchlbk-Roman" w:hAnsi="NewCenturySchlbk-Roman" w:cs="NewCenturySchlbk-Roman"/>
          <w:sz w:val="15"/>
          <w:szCs w:val="15"/>
        </w:rPr>
      </w:pPr>
      <w:r>
        <w:rPr>
          <w:rFonts w:ascii="NewCenturySchlbk-Roman" w:hAnsi="NewCenturySchlbk-Roman" w:cs="NewCenturySchlbk-Roman"/>
          <w:sz w:val="20"/>
          <w:szCs w:val="20"/>
        </w:rPr>
        <w:t>P</w:t>
      </w:r>
      <w:r>
        <w:rPr>
          <w:rFonts w:ascii="NewCenturySchlbk-Roman" w:hAnsi="NewCenturySchlbk-Roman" w:cs="NewCenturySchlbk-Roman"/>
          <w:sz w:val="15"/>
          <w:szCs w:val="15"/>
        </w:rPr>
        <w:t xml:space="preserve">ART </w:t>
      </w:r>
      <w:r>
        <w:rPr>
          <w:rFonts w:ascii="NewCenturySchlbk-Roman" w:hAnsi="NewCenturySchlbk-Roman" w:cs="NewCenturySchlbk-Roman"/>
          <w:sz w:val="20"/>
          <w:szCs w:val="20"/>
        </w:rPr>
        <w:t>A—R</w:t>
      </w:r>
      <w:r>
        <w:rPr>
          <w:rFonts w:ascii="NewCenturySchlbk-Roman" w:hAnsi="NewCenturySchlbk-Roman" w:cs="NewCenturySchlbk-Roman"/>
          <w:sz w:val="15"/>
          <w:szCs w:val="15"/>
        </w:rPr>
        <w:t xml:space="preserve">ESEARCH AND </w:t>
      </w:r>
      <w:r>
        <w:rPr>
          <w:rFonts w:ascii="NewCenturySchlbk-Roman" w:hAnsi="NewCenturySchlbk-Roman" w:cs="NewCenturySchlbk-Roman"/>
          <w:sz w:val="20"/>
          <w:szCs w:val="20"/>
        </w:rPr>
        <w:t>I</w:t>
      </w:r>
      <w:r>
        <w:rPr>
          <w:rFonts w:ascii="NewCenturySchlbk-Roman" w:hAnsi="NewCenturySchlbk-Roman" w:cs="NewCenturySchlbk-Roman"/>
          <w:sz w:val="15"/>
          <w:szCs w:val="15"/>
        </w:rPr>
        <w:t>NVESTIGATION</w:t>
      </w:r>
    </w:p>
    <w:p w:rsidR="00EE7D54" w:rsidRDefault="00EE7D54" w:rsidP="00EE7D54">
      <w:pPr>
        <w:autoSpaceDE w:val="0"/>
        <w:autoSpaceDN w:val="0"/>
        <w:adjustRightInd w:val="0"/>
        <w:spacing w:after="0" w:line="240" w:lineRule="auto"/>
        <w:rPr>
          <w:rFonts w:ascii="NewCenturySchlbk-Roman" w:hAnsi="NewCenturySchlbk-Roman" w:cs="NewCenturySchlbk-Roman"/>
          <w:sz w:val="15"/>
          <w:szCs w:val="15"/>
        </w:rPr>
      </w:pPr>
      <w:r>
        <w:rPr>
          <w:rFonts w:ascii="NewCenturySchlbk-Roman" w:hAnsi="NewCenturySchlbk-Roman" w:cs="NewCenturySchlbk-Roman"/>
          <w:sz w:val="15"/>
          <w:szCs w:val="15"/>
        </w:rPr>
        <w:t>IN GENERAL</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S</w:t>
      </w:r>
      <w:r>
        <w:rPr>
          <w:rFonts w:ascii="NewCenturySchlbk-Roman" w:hAnsi="NewCenturySchlbk-Roman" w:cs="NewCenturySchlbk-Roman"/>
          <w:sz w:val="15"/>
          <w:szCs w:val="15"/>
        </w:rPr>
        <w:t>EC</w:t>
      </w:r>
      <w:r>
        <w:rPr>
          <w:rFonts w:ascii="NewCenturySchlbk-Roman" w:hAnsi="NewCenturySchlbk-Roman" w:cs="NewCenturySchlbk-Roman"/>
          <w:sz w:val="20"/>
          <w:szCs w:val="20"/>
        </w:rPr>
        <w:t xml:space="preserve">. 301. </w:t>
      </w:r>
      <w:r>
        <w:rPr>
          <w:rFonts w:ascii="BGsddV01" w:eastAsia="BGsddV01" w:hAnsi="NewCenturySchlbk-Roman" w:cs="BGsddV01"/>
          <w:sz w:val="20"/>
          <w:szCs w:val="20"/>
        </w:rPr>
        <w:t>o</w:t>
      </w:r>
      <w:r>
        <w:rPr>
          <w:rFonts w:ascii="NewCenturySchlbk-Roman" w:hAnsi="NewCenturySchlbk-Roman" w:cs="NewCenturySchlbk-Roman"/>
          <w:sz w:val="20"/>
          <w:szCs w:val="20"/>
        </w:rPr>
        <w:t>241</w:t>
      </w:r>
      <w:r>
        <w:rPr>
          <w:rFonts w:ascii="BGsddV01" w:eastAsia="BGsddV01" w:hAnsi="NewCenturySchlbk-Roman" w:cs="BGsddV01"/>
          <w:sz w:val="20"/>
          <w:szCs w:val="20"/>
        </w:rPr>
        <w:t xml:space="preserve">. </w:t>
      </w:r>
      <w:r>
        <w:rPr>
          <w:rFonts w:ascii="NewCenturySchlbk-Roman" w:hAnsi="NewCenturySchlbk-Roman" w:cs="NewCenturySchlbk-Roman"/>
          <w:sz w:val="20"/>
          <w:szCs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 xml:space="preserve">causes, diagnosis, treatment, control, and prevention of physical and mental diseases and impairments of man, including water purification, sewage treatment, and pollution of lakes and streams. In carrying out the foregoing the </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Secretary is authorized to—</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(1) collect and make available through publications and other appropriate means, information as to, and the practical</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application of, such research and other activities;</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(2) make available research facilities of the Service to appropriate public authorities, and to health officials and scientists engaged in special study;</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(4) secure from time to time and for such periods as he deems advisable, the assistance and advice of experts, scholars, and consultants from the United States or abroad;</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(5) for purposes of study, admit and treat at institutions, hospitals, and stations of the Service, persons not otherwise eligible for such treatment;</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(6) make available, to health officials, scientists, and appropriate public and other nonprofit institutions and organizations, technical advice and assistance on the application of statistical methods to experiments, studies, and surveys in health and medical fields;</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(7) 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Education, and Welfare; and</w:t>
      </w:r>
    </w:p>
    <w:p w:rsidR="00EE7D54" w:rsidRDefault="00EE7D54" w:rsidP="00EE7D54">
      <w:pPr>
        <w:autoSpaceDE w:val="0"/>
        <w:autoSpaceDN w:val="0"/>
        <w:adjustRightInd w:val="0"/>
        <w:spacing w:after="0" w:line="240" w:lineRule="auto"/>
        <w:rPr>
          <w:rFonts w:ascii="TradeGothic-BoldCondTwenty" w:hAnsi="TradeGothic-BoldCondTwenty" w:cs="TradeGothic-BoldCondTwenty"/>
          <w:b/>
          <w:bCs/>
          <w:sz w:val="20"/>
          <w:szCs w:val="20"/>
        </w:rPr>
      </w:pPr>
    </w:p>
    <w:p w:rsidR="00EE7D54" w:rsidRDefault="00EE7D54" w:rsidP="00EE7D54">
      <w:pPr>
        <w:autoSpaceDE w:val="0"/>
        <w:autoSpaceDN w:val="0"/>
        <w:adjustRightInd w:val="0"/>
        <w:spacing w:after="0" w:line="240" w:lineRule="auto"/>
        <w:rPr>
          <w:rFonts w:ascii="TradeGothic-BoldCondTwenty" w:hAnsi="TradeGothic-BoldCondTwenty" w:cs="TradeGothic-BoldCondTwenty"/>
          <w:b/>
          <w:bCs/>
          <w:sz w:val="20"/>
          <w:szCs w:val="20"/>
        </w:rPr>
      </w:pPr>
      <w:r>
        <w:rPr>
          <w:rFonts w:ascii="TradeGothic-BoldCondTwenty" w:hAnsi="TradeGothic-BoldCondTwenty" w:cs="TradeGothic-BoldCondTwenty"/>
          <w:b/>
          <w:bCs/>
          <w:sz w:val="20"/>
          <w:szCs w:val="20"/>
        </w:rPr>
        <w:t>Sec. 301 PUBLIC HEALTH SERVICE ACT 2</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the Secretary determines appropriate.</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(b)(1)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Education, and Welfare, engaged in comparable activities. The Secretary, upon request of such an entity and under appropriate</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arrangements for the payment of expenses, may conduct for such entity studies and testing of substances for carcinogenicity, teratogenicity, mutagenicity, and other harmful biological effects.</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(2)(A) The Secretary shall establish a comprehensive program of research into the biological effects of low-level ionizing radiation under which program the Secretary shall conduct such research and may support such research by others through grants and contracts.</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(B) The Secretary shall conduct a comprehensive review of Federal programs of research on the biological effects of ionizing radiation.</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w:t>
      </w:r>
      <w:r>
        <w:rPr>
          <w:rFonts w:ascii="NewCenturySchlbk-Roman" w:hAnsi="NewCenturySchlbk-Roman" w:cs="NewCenturySchlbk-Roman"/>
          <w:sz w:val="20"/>
          <w:szCs w:val="20"/>
        </w:rPr>
        <w:lastRenderedPageBreak/>
        <w:t>to health professionals and the public. In carrying out activities under this paragraph, the Secretary shall provide for the coordination of such of these activities as are performed by the different divisions within the Department of Health, Education, and Welfare and shall consult with entities of the Federal Government, outside of the Department of Health, Education, and Welfare, engaged in comparable activities. The Secretary, upon request of such an entity and under appropriate arrangements for the payment of expenses, may conduct and support such activities</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for such entity.</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(4) The Secretary shall publish a biennial report which contains—</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(A) a list of all substances (i) which either are known to be carcinogens or may reasonably be anticipated to be carcinogens and (ii) to which a significant number of persons residing in the United States are exposed;</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(B) information concerning the nature of such exposure and the estimated number of persons exposed to such substances;</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(C) a statement identifying (i) each substance contained in the list under subparagraph (A) for which no effluent, ambient,</w:t>
      </w:r>
    </w:p>
    <w:p w:rsidR="00EE7D54" w:rsidRDefault="00EE7D54" w:rsidP="00EE7D54">
      <w:pPr>
        <w:autoSpaceDE w:val="0"/>
        <w:autoSpaceDN w:val="0"/>
        <w:adjustRightInd w:val="0"/>
        <w:spacing w:after="0" w:line="240" w:lineRule="auto"/>
        <w:rPr>
          <w:rFonts w:ascii="TradeGothic-BoldCondTwenty" w:hAnsi="TradeGothic-BoldCondTwenty" w:cs="TradeGothic-BoldCondTwenty"/>
          <w:b/>
          <w:bCs/>
          <w:sz w:val="20"/>
          <w:szCs w:val="20"/>
        </w:rPr>
      </w:pPr>
      <w:r>
        <w:rPr>
          <w:rFonts w:ascii="TradeGothic-BoldCondTwenty" w:hAnsi="TradeGothic-BoldCondTwenty" w:cs="TradeGothic-BoldCondTwenty"/>
          <w:b/>
          <w:bCs/>
          <w:sz w:val="20"/>
          <w:szCs w:val="20"/>
        </w:rPr>
        <w:t>3 PUBLIC HEALTH SERVICE ACT Sec. 302</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the substance; and</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(D) a description of (i) each request received during the</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year involved—</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(I) from a Federal agency outside the Department of Health, Education, and Welfare for the Secretary, or</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(II) from an entity within the Department of Health, Education, and Welfare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(c) The Secretary may conduct biomedical research, directly or through grants or contracts, for the identification, control, treatment, and prevention of diseases (including tropical diseases) which do not occur to a significant extent in the United States.</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(d)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EE7D54" w:rsidRDefault="00EE7D54" w:rsidP="00EE7D54">
      <w:pPr>
        <w:autoSpaceDE w:val="0"/>
        <w:autoSpaceDN w:val="0"/>
        <w:adjustRightInd w:val="0"/>
        <w:spacing w:after="0" w:line="240" w:lineRule="auto"/>
        <w:rPr>
          <w:rFonts w:ascii="NewCenturySchlbk-Roman" w:hAnsi="NewCenturySchlbk-Roman" w:cs="NewCenturySchlbk-Roman"/>
          <w:sz w:val="20"/>
          <w:szCs w:val="20"/>
        </w:rPr>
      </w:pPr>
      <w:r>
        <w:rPr>
          <w:rFonts w:ascii="NewCenturySchlbk-Roman" w:hAnsi="NewCenturySchlbk-Roman" w:cs="NewCenturySchlbk-Roman"/>
          <w:sz w:val="20"/>
          <w:szCs w:val="20"/>
        </w:rPr>
        <w:t>(e) The Secretary, acting through the Director of the Centers for Disease Control and Prevention, shall expand, intensify, and coordinate the activities of the Centers for Disease Control and Prevention with respect to preterm labor and delivery and infant mortality.</w:t>
      </w:r>
    </w:p>
    <w:sectPr w:rsidR="00EE7D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041" w:rsidRDefault="00AA7041" w:rsidP="00AA7041">
      <w:pPr>
        <w:spacing w:after="0" w:line="240" w:lineRule="auto"/>
      </w:pPr>
      <w:r>
        <w:separator/>
      </w:r>
    </w:p>
  </w:endnote>
  <w:endnote w:type="continuationSeparator" w:id="0">
    <w:p w:rsidR="00AA7041" w:rsidRDefault="00AA7041" w:rsidP="00AA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Gothic"/>
    <w:panose1 w:val="00000000000000000000"/>
    <w:charset w:val="80"/>
    <w:family w:val="auto"/>
    <w:notTrueType/>
    <w:pitch w:val="default"/>
    <w:sig w:usb0="00000000" w:usb1="08070000" w:usb2="00000010" w:usb3="00000000" w:csb0="00020000" w:csb1="00000000"/>
  </w:font>
  <w:font w:name="TradeGothic-BoldCondTwent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244077"/>
      <w:docPartObj>
        <w:docPartGallery w:val="Page Numbers (Bottom of Page)"/>
        <w:docPartUnique/>
      </w:docPartObj>
    </w:sdtPr>
    <w:sdtEndPr>
      <w:rPr>
        <w:noProof/>
      </w:rPr>
    </w:sdtEndPr>
    <w:sdtContent>
      <w:p w:rsidR="00AA7041" w:rsidRDefault="00AA7041">
        <w:pPr>
          <w:pStyle w:val="Footer"/>
          <w:jc w:val="right"/>
        </w:pPr>
        <w:r>
          <w:fldChar w:fldCharType="begin"/>
        </w:r>
        <w:r>
          <w:instrText xml:space="preserve"> PAGE   \* MERGEFORMAT </w:instrText>
        </w:r>
        <w:r>
          <w:fldChar w:fldCharType="separate"/>
        </w:r>
        <w:r w:rsidR="003F3617">
          <w:rPr>
            <w:noProof/>
          </w:rPr>
          <w:t>1</w:t>
        </w:r>
        <w:r>
          <w:rPr>
            <w:noProof/>
          </w:rPr>
          <w:fldChar w:fldCharType="end"/>
        </w:r>
      </w:p>
    </w:sdtContent>
  </w:sdt>
  <w:p w:rsidR="00AA7041" w:rsidRDefault="00AA7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041" w:rsidRDefault="00AA7041" w:rsidP="00AA7041">
      <w:pPr>
        <w:spacing w:after="0" w:line="240" w:lineRule="auto"/>
      </w:pPr>
      <w:r>
        <w:separator/>
      </w:r>
    </w:p>
  </w:footnote>
  <w:footnote w:type="continuationSeparator" w:id="0">
    <w:p w:rsidR="00AA7041" w:rsidRDefault="00AA7041" w:rsidP="00AA70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54"/>
    <w:rsid w:val="00193D6A"/>
    <w:rsid w:val="00364E0B"/>
    <w:rsid w:val="003F3617"/>
    <w:rsid w:val="00596895"/>
    <w:rsid w:val="005F4882"/>
    <w:rsid w:val="007F5346"/>
    <w:rsid w:val="00AA7041"/>
    <w:rsid w:val="00B545EF"/>
    <w:rsid w:val="00BD43A9"/>
    <w:rsid w:val="00EE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041"/>
  </w:style>
  <w:style w:type="paragraph" w:styleId="Footer">
    <w:name w:val="footer"/>
    <w:basedOn w:val="Normal"/>
    <w:link w:val="FooterChar"/>
    <w:uiPriority w:val="99"/>
    <w:unhideWhenUsed/>
    <w:rsid w:val="00AA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0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041"/>
  </w:style>
  <w:style w:type="paragraph" w:styleId="Footer">
    <w:name w:val="footer"/>
    <w:basedOn w:val="Normal"/>
    <w:link w:val="FooterChar"/>
    <w:uiPriority w:val="99"/>
    <w:unhideWhenUsed/>
    <w:rsid w:val="00AA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Michael H. (CDC/ONDIEH/NCBDDD)</dc:creator>
  <cp:keywords/>
  <dc:description/>
  <cp:lastModifiedBy>SYSTEM</cp:lastModifiedBy>
  <cp:revision>2</cp:revision>
  <dcterms:created xsi:type="dcterms:W3CDTF">2017-07-17T14:47:00Z</dcterms:created>
  <dcterms:modified xsi:type="dcterms:W3CDTF">2017-07-17T14:47:00Z</dcterms:modified>
</cp:coreProperties>
</file>