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E9DF"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01DBED14"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6D22BC4E"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26841BDC" wp14:editId="352D7FD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13519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689EE456" w14:textId="69B34F9E" w:rsidR="003F1C7A" w:rsidRPr="00463B4D" w:rsidRDefault="009404FA">
      <w:pPr>
        <w:rPr>
          <w:sz w:val="20"/>
          <w:szCs w:val="20"/>
        </w:rPr>
      </w:pPr>
      <w:r w:rsidRPr="00463B4D">
        <w:rPr>
          <w:sz w:val="20"/>
          <w:szCs w:val="20"/>
        </w:rPr>
        <w:t xml:space="preserve">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w:t>
      </w:r>
      <w:r w:rsidR="00282871" w:rsidRPr="00463B4D">
        <w:rPr>
          <w:sz w:val="20"/>
          <w:szCs w:val="20"/>
        </w:rPr>
        <w:t>ideas but</w:t>
      </w:r>
      <w:r w:rsidRPr="00463B4D">
        <w:rPr>
          <w:sz w:val="20"/>
          <w:szCs w:val="20"/>
        </w:rPr>
        <w:t xml:space="preserve"> should then conduct further research before making important decisions such as adopting new policies and allocating or redirecting significant resources to support these policies.</w:t>
      </w:r>
    </w:p>
    <w:p w14:paraId="32AAACA8" w14:textId="64709D35" w:rsidR="003F1C7A" w:rsidRDefault="003F1C7A" w:rsidP="005E23BA">
      <w:pPr>
        <w:spacing w:before="120"/>
      </w:pPr>
      <w:r>
        <w:rPr>
          <w:b/>
        </w:rPr>
        <w:t>TITLE OF INFORMATION COLLECTION:</w:t>
      </w:r>
      <w:r>
        <w:t xml:space="preserve">  </w:t>
      </w:r>
      <w:r w:rsidR="00E62E33">
        <w:t>Healthy Icon Focus Groups</w:t>
      </w:r>
      <w:r w:rsidR="004A1115">
        <w:t xml:space="preserve"> – Phase I</w:t>
      </w:r>
    </w:p>
    <w:p w14:paraId="3FDF10F9" w14:textId="77777777" w:rsidR="00290BA3" w:rsidRDefault="00290BA3" w:rsidP="00290BA3">
      <w:pPr>
        <w:jc w:val="center"/>
      </w:pPr>
    </w:p>
    <w:p w14:paraId="37C02F21" w14:textId="77777777" w:rsidR="003F1C7A" w:rsidRDefault="003F1C7A">
      <w:pPr>
        <w:spacing w:after="120"/>
      </w:pPr>
      <w:r>
        <w:rPr>
          <w:b/>
        </w:rPr>
        <w:t>DESCRIPTION OF THIS SPECIFIC COLLECTION</w:t>
      </w:r>
      <w:r>
        <w:t xml:space="preserve"> </w:t>
      </w:r>
    </w:p>
    <w:p w14:paraId="62DCC3A0"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495C8DAB" w14:textId="77777777" w:rsidR="00860BFD" w:rsidRDefault="00860BFD" w:rsidP="001F4357">
      <w:pPr>
        <w:ind w:left="720"/>
      </w:pPr>
    </w:p>
    <w:p w14:paraId="7A22FC97" w14:textId="1B1D2D38" w:rsidR="001F4357" w:rsidRDefault="00787E77" w:rsidP="001F4357">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E62E33">
        <w:t>Healthy Icon Focus Groups</w:t>
      </w:r>
      <w:r w:rsidR="004A1115">
        <w:t xml:space="preserve"> - Phase 1</w:t>
      </w:r>
      <w:r w:rsidR="00E62E33">
        <w:t>.</w:t>
      </w:r>
      <w:r>
        <w:t xml:space="preserve">” </w:t>
      </w:r>
    </w:p>
    <w:p w14:paraId="7CC3F435" w14:textId="77777777" w:rsidR="001F4357" w:rsidRDefault="001F4357" w:rsidP="001F4357">
      <w:pPr>
        <w:ind w:left="720"/>
      </w:pPr>
    </w:p>
    <w:p w14:paraId="5D82737A" w14:textId="22B1BB51" w:rsidR="001F4357" w:rsidRDefault="001F4357" w:rsidP="00040ADC">
      <w:pPr>
        <w:ind w:left="720"/>
      </w:pPr>
      <w:r w:rsidRPr="001F4357">
        <w:t>In January 2018, the FDA issued a Strategic Policy Roadmap</w:t>
      </w:r>
      <w:r w:rsidR="00361F80">
        <w:rPr>
          <w:rStyle w:val="FootnoteReference"/>
        </w:rPr>
        <w:footnoteReference w:id="1"/>
      </w:r>
      <w:r w:rsidRPr="001F4357">
        <w:t xml:space="preserve"> outlining key priorities the agency intended to pursue to advance its public health mission. </w:t>
      </w:r>
      <w:r w:rsidR="000F6D02">
        <w:t xml:space="preserve"> </w:t>
      </w:r>
      <w:r w:rsidRPr="001F4357">
        <w:t>As part of the Roadmap, the FDA outlined a Nutrition Action Plan aimed at reducing preventable death and disease caused by poor nutrition by ensuring that consumers have access to accurate, useful information to make healthy food choices.</w:t>
      </w:r>
      <w:r w:rsidR="000F6D02">
        <w:t xml:space="preserve"> </w:t>
      </w:r>
      <w:r w:rsidRPr="001F4357">
        <w:t xml:space="preserve"> One of the steps under this Action Plan involves leveraging dietary information to reduce the burden of disease through nutrition and encouraging the development of more healthful food options. </w:t>
      </w:r>
      <w:r w:rsidR="00040ADC">
        <w:t xml:space="preserve"> As one of the methods for achieving this step of the </w:t>
      </w:r>
      <w:r w:rsidRPr="001F4357">
        <w:t xml:space="preserve">Action Plan, the FDA is developing a graphic symbol to help consumers identify packaged food products that would meet an FDA definition for “healthy.” </w:t>
      </w:r>
      <w:r w:rsidR="000F6D02">
        <w:t xml:space="preserve"> </w:t>
      </w:r>
      <w:r w:rsidRPr="001F4357">
        <w:t xml:space="preserve">The symbol would be voluntary, allowing packaged food companies to place it on their products if the products meet the FDA definition of “healthy.” </w:t>
      </w:r>
    </w:p>
    <w:p w14:paraId="1F64F1AB" w14:textId="1AB390D1" w:rsidR="001F4357" w:rsidRDefault="001F4357" w:rsidP="001F4357">
      <w:pPr>
        <w:ind w:left="720"/>
      </w:pPr>
    </w:p>
    <w:p w14:paraId="75C75267" w14:textId="530A453D" w:rsidR="002F043F" w:rsidRDefault="003F0F24" w:rsidP="001F4357">
      <w:pPr>
        <w:ind w:left="720"/>
        <w:rPr>
          <w:u w:val="single"/>
        </w:rPr>
      </w:pPr>
      <w:r>
        <w:rPr>
          <w:u w:val="single"/>
        </w:rPr>
        <w:t>Scientific Support for a “Healthy” Icon</w:t>
      </w:r>
    </w:p>
    <w:p w14:paraId="323F0988" w14:textId="77777777" w:rsidR="003F0F24" w:rsidRPr="002F043F" w:rsidRDefault="003F0F24" w:rsidP="001F4357">
      <w:pPr>
        <w:ind w:left="720"/>
        <w:rPr>
          <w:u w:val="single"/>
        </w:rPr>
      </w:pPr>
    </w:p>
    <w:p w14:paraId="2758DD25" w14:textId="219606EA" w:rsidR="00854DC4" w:rsidRDefault="00DC0678" w:rsidP="00854DC4">
      <w:pPr>
        <w:ind w:left="720"/>
      </w:pPr>
      <w:r>
        <w:t>In Spring of 2018 (and continuing) FDA conducted a thorough review of the scientific literature on front-of-pack</w:t>
      </w:r>
      <w:r w:rsidR="00040ADC">
        <w:t xml:space="preserve"> (FOP)</w:t>
      </w:r>
      <w:r>
        <w:t xml:space="preserve"> symbols, noting that there had been several such reviews conducted in the recent past. </w:t>
      </w:r>
      <w:r w:rsidR="000F6D02">
        <w:t xml:space="preserve"> </w:t>
      </w:r>
      <w:r>
        <w:t>The seminal pieces include a 2005 literature review on consumer understanding and use of nutrition labeling which summarized more than 1</w:t>
      </w:r>
      <w:r w:rsidR="00361F80">
        <w:t>00 studies</w:t>
      </w:r>
      <w:r w:rsidR="009F79DD">
        <w:rPr>
          <w:rStyle w:val="FootnoteReference"/>
        </w:rPr>
        <w:footnoteReference w:id="2"/>
      </w:r>
      <w:r>
        <w:t xml:space="preserve">. </w:t>
      </w:r>
      <w:r w:rsidR="000F6D02">
        <w:t xml:space="preserve"> </w:t>
      </w:r>
      <w:r w:rsidR="00040ADC">
        <w:t xml:space="preserve">The review concluded that </w:t>
      </w:r>
      <w:r w:rsidR="00854DC4">
        <w:t>that interpretational aids could contribute to consumers making healthy point-of-purchase choices and moreover, that these aids could help consumers interpret the contribution of the food to the overall diet.</w:t>
      </w:r>
    </w:p>
    <w:p w14:paraId="27F70D5A" w14:textId="7EB3A82B" w:rsidR="00DC0678" w:rsidRDefault="00DC0678" w:rsidP="00854DC4">
      <w:pPr>
        <w:ind w:left="720"/>
      </w:pPr>
    </w:p>
    <w:p w14:paraId="4D476BA9" w14:textId="47FA1DEB" w:rsidR="00860BFD" w:rsidRDefault="00860BFD" w:rsidP="00854DC4">
      <w:pPr>
        <w:ind w:left="720"/>
      </w:pPr>
    </w:p>
    <w:p w14:paraId="615A8CF2" w14:textId="77777777" w:rsidR="00860BFD" w:rsidRDefault="00860BFD" w:rsidP="00854DC4">
      <w:pPr>
        <w:ind w:left="720"/>
      </w:pPr>
    </w:p>
    <w:p w14:paraId="560DADC8" w14:textId="71C27C85" w:rsidR="00DC0678" w:rsidRDefault="00DC0678" w:rsidP="00DC0678">
      <w:pPr>
        <w:ind w:left="720"/>
      </w:pPr>
      <w:r w:rsidRPr="00DC0678">
        <w:lastRenderedPageBreak/>
        <w:t>The first large s</w:t>
      </w:r>
      <w:r w:rsidR="00854DC4">
        <w:t>ystematic review of FOP nutrition</w:t>
      </w:r>
      <w:r w:rsidRPr="00DC0678">
        <w:t xml:space="preserve"> indicators was conducted by the National Academies of Science</w:t>
      </w:r>
      <w:r w:rsidR="002A0FC9">
        <w:rPr>
          <w:rStyle w:val="FootnoteReference"/>
        </w:rPr>
        <w:footnoteReference w:id="3"/>
      </w:r>
      <w:r w:rsidRPr="00DC0678">
        <w:t xml:space="preserve">. </w:t>
      </w:r>
      <w:r w:rsidR="000F6D02">
        <w:t xml:space="preserve"> </w:t>
      </w:r>
      <w:r w:rsidRPr="00DC0678">
        <w:t xml:space="preserve">This groundbreaking report, requested by Congress, evaluated the international landscape on FOP </w:t>
      </w:r>
      <w:r w:rsidRPr="00DC0678">
        <w:rPr>
          <w:lang w:val="en"/>
        </w:rPr>
        <w:t>nutrition symbols generated by manufacturers, supermarkets, organizations, and governments.</w:t>
      </w:r>
      <w:r w:rsidR="000F6D02">
        <w:rPr>
          <w:lang w:val="en"/>
        </w:rPr>
        <w:t xml:space="preserve"> </w:t>
      </w:r>
      <w:r w:rsidRPr="00DC0678">
        <w:rPr>
          <w:lang w:val="en"/>
        </w:rPr>
        <w:t xml:space="preserve"> The report discusses three types of FOP symbols: 1) </w:t>
      </w:r>
      <w:r w:rsidRPr="00DC0678">
        <w:t xml:space="preserve">Nutrient-Specific Systems; 2) Summary Indicator Systems; and 3) Food Group Information Systems. </w:t>
      </w:r>
      <w:r w:rsidR="000F6D02">
        <w:t xml:space="preserve"> </w:t>
      </w:r>
      <w:r w:rsidRPr="00DC0678">
        <w:t xml:space="preserve">The overall conclusion was that a FOP rating system or symbol could help consumers identify and select healthy foods, that calories and serving size would be helpful to include in the symbol, and that further testing of consumer use and understanding of “nutrient-specific information” or a “summary indicator” would be necessary. </w:t>
      </w:r>
      <w:r w:rsidR="000F6D02">
        <w:t xml:space="preserve"> </w:t>
      </w:r>
      <w:r w:rsidRPr="00DC0678">
        <w:t>The I</w:t>
      </w:r>
      <w:r w:rsidR="00860BFD">
        <w:t xml:space="preserve">nstitute of </w:t>
      </w:r>
      <w:r w:rsidRPr="00DC0678">
        <w:t>M</w:t>
      </w:r>
      <w:r w:rsidR="00860BFD">
        <w:t>edicine (IOM)</w:t>
      </w:r>
      <w:r w:rsidRPr="00DC0678">
        <w:t xml:space="preserve"> report also concluded that a FOP symbol should be geared toward the general population.</w:t>
      </w:r>
    </w:p>
    <w:p w14:paraId="11309722" w14:textId="77777777" w:rsidR="002F043F" w:rsidRPr="00DC0678" w:rsidRDefault="002F043F" w:rsidP="00DC0678">
      <w:pPr>
        <w:ind w:left="720"/>
      </w:pPr>
    </w:p>
    <w:p w14:paraId="65D0B024" w14:textId="3801D458" w:rsidR="00DC0678" w:rsidRDefault="00DC0678" w:rsidP="00DC0678">
      <w:pPr>
        <w:ind w:left="720"/>
      </w:pPr>
      <w:r w:rsidRPr="00DC0678">
        <w:t>The</w:t>
      </w:r>
      <w:r w:rsidR="00854DC4">
        <w:t xml:space="preserve"> IOM produced</w:t>
      </w:r>
      <w:r w:rsidRPr="00DC0678">
        <w:t xml:space="preserve"> a Phase II report</w:t>
      </w:r>
      <w:r w:rsidR="002A0FC9">
        <w:rPr>
          <w:rStyle w:val="FootnoteReference"/>
        </w:rPr>
        <w:footnoteReference w:id="4"/>
      </w:r>
      <w:r w:rsidRPr="00DC0678">
        <w:t xml:space="preserve">, focused on consumers’ use of FOP symbols. </w:t>
      </w:r>
      <w:r w:rsidR="000F6D02">
        <w:t xml:space="preserve"> </w:t>
      </w:r>
      <w:r w:rsidRPr="00DC0678">
        <w:t>The Phase II report concluded that, for a FOP symbol to encourage healt</w:t>
      </w:r>
      <w:r w:rsidR="00854DC4">
        <w:t xml:space="preserve">hier food choices, a simple </w:t>
      </w:r>
      <w:r w:rsidRPr="00DC0678">
        <w:t>summary symbol “…that serves as a signal or cue…” would be better than detailed information about nutrient content; the Phase II report recommended “…shifting from an informational approach to an interpretive one…,” and asserted that a successful symbol system would encourage product reformulation or development of products that meet the criteria.</w:t>
      </w:r>
    </w:p>
    <w:p w14:paraId="1CA901B7" w14:textId="77777777" w:rsidR="002F043F" w:rsidRPr="00DC0678" w:rsidRDefault="002F043F" w:rsidP="00DC0678">
      <w:pPr>
        <w:ind w:left="720"/>
      </w:pPr>
    </w:p>
    <w:p w14:paraId="120230CB" w14:textId="2AEABB59" w:rsidR="00DC0678" w:rsidRDefault="00DC0678" w:rsidP="00DC0678">
      <w:pPr>
        <w:ind w:left="720"/>
      </w:pPr>
      <w:r w:rsidRPr="00DC0678">
        <w:t xml:space="preserve">Meanwhile, FDA commissioned a literature review to update the </w:t>
      </w:r>
      <w:r w:rsidR="00854DC4">
        <w:t>Cowburn and Stockley (</w:t>
      </w:r>
      <w:r w:rsidRPr="00DC0678">
        <w:t>2005</w:t>
      </w:r>
      <w:r w:rsidR="00854DC4">
        <w:t>)</w:t>
      </w:r>
      <w:r w:rsidRPr="00DC0678">
        <w:t xml:space="preserve"> literature review discussed above. </w:t>
      </w:r>
      <w:r w:rsidR="000F6D02">
        <w:t xml:space="preserve"> </w:t>
      </w:r>
      <w:r w:rsidRPr="00DC0678">
        <w:t>The 2011 FDA review (published by Hersey, et al, 2013)</w:t>
      </w:r>
      <w:r w:rsidR="002A0FC9">
        <w:rPr>
          <w:rStyle w:val="FootnoteReference"/>
        </w:rPr>
        <w:footnoteReference w:id="5"/>
      </w:r>
      <w:r w:rsidRPr="00DC0678">
        <w:t xml:space="preserve"> </w:t>
      </w:r>
      <w:r w:rsidR="00854DC4">
        <w:t>looked at</w:t>
      </w:r>
      <w:r w:rsidRPr="00DC0678">
        <w:t xml:space="preserve"> scientific studies on FOP and Shelf Label Nutrition Systems - to learn which types of FOP systems are most effective for influencing healthy food choices. </w:t>
      </w:r>
      <w:r w:rsidR="000F6D02">
        <w:t xml:space="preserve"> </w:t>
      </w:r>
      <w:r w:rsidRPr="00DC0678">
        <w:t>This literature review found that summary systems incorporating text and color worked better than those using only numeric information in attracting consumer attention and getting them to make healthier food choices</w:t>
      </w:r>
      <w:r w:rsidR="00854DC4">
        <w:t>.</w:t>
      </w:r>
      <w:r w:rsidRPr="00DC0678">
        <w:t xml:space="preserve"> </w:t>
      </w:r>
    </w:p>
    <w:p w14:paraId="0CEF62E9" w14:textId="77777777" w:rsidR="002F043F" w:rsidRPr="00DC0678" w:rsidRDefault="002F043F" w:rsidP="00DC0678">
      <w:pPr>
        <w:ind w:left="720"/>
      </w:pPr>
    </w:p>
    <w:p w14:paraId="79169BCE" w14:textId="0A2205B3" w:rsidR="00DC0678" w:rsidRPr="00DC0678" w:rsidRDefault="00DC0678" w:rsidP="00DC0678">
      <w:pPr>
        <w:ind w:left="720"/>
      </w:pPr>
      <w:r w:rsidRPr="00DC0678">
        <w:t xml:space="preserve">In 2016, FDA commissioned an update to the 2011 literature review discussed in the previous paragraph. </w:t>
      </w:r>
      <w:r w:rsidR="000F6D02">
        <w:t xml:space="preserve"> </w:t>
      </w:r>
      <w:r w:rsidRPr="00DC0678">
        <w:t>This update captured the scientific literature on FOP from</w:t>
      </w:r>
      <w:r w:rsidR="002A0FC9">
        <w:t xml:space="preserve"> 2010 to August 2016</w:t>
      </w:r>
      <w:r w:rsidR="002A0FC9">
        <w:rPr>
          <w:rStyle w:val="FootnoteReference"/>
        </w:rPr>
        <w:footnoteReference w:id="6"/>
      </w:r>
      <w:r w:rsidRPr="00DC0678">
        <w:t>. Similar to previous reviews, the Addendum reported that 1) the literature suggests that graphic elements help consumers with food purchase decisions; 2) consumers – especially diverse subpopulations - prefer simple labels over those that have numerical information; 3) color coding with some text leads to better understanding of the nutrition information; 4) there is not enough evidence to indicate exactly which type of FOP label most influences consumers behavior; and 5) there is some evidence that FOP labels influence sales but no evidence on whether they lead to decreasing consumption of nutrients to limit or increasing consumption of nutrients to get enough of.</w:t>
      </w:r>
    </w:p>
    <w:p w14:paraId="736439A6" w14:textId="6B951B03" w:rsidR="00DC0678" w:rsidRDefault="00DC0678" w:rsidP="00DC0678"/>
    <w:p w14:paraId="523A3A20" w14:textId="23F1DF99" w:rsidR="002F043F" w:rsidRDefault="002F043F" w:rsidP="002F043F">
      <w:pPr>
        <w:ind w:left="720"/>
      </w:pPr>
      <w:r>
        <w:lastRenderedPageBreak/>
        <w:t xml:space="preserve">FDA reviewed the scientific literature from August 2016 to present, using the same targeted database search algorithm and the analytical categories </w:t>
      </w:r>
      <w:r w:rsidR="00BF4E4F">
        <w:t>use</w:t>
      </w:r>
      <w:r>
        <w:t>d</w:t>
      </w:r>
      <w:r w:rsidR="00BF4E4F">
        <w:t xml:space="preserve"> </w:t>
      </w:r>
      <w:r>
        <w:t xml:space="preserve">in earlier reviews. </w:t>
      </w:r>
      <w:r w:rsidR="000F6D02">
        <w:t xml:space="preserve"> </w:t>
      </w:r>
      <w:r>
        <w:t>Currently, 44 scientific articles on FOP have been analyzed.</w:t>
      </w:r>
      <w:r w:rsidR="000F6D02">
        <w:t xml:space="preserve"> </w:t>
      </w:r>
      <w:r>
        <w:t xml:space="preserve"> In a nutshell, the findings from the scientific literature are robust; the updated </w:t>
      </w:r>
      <w:r w:rsidR="00C41CA0">
        <w:t xml:space="preserve">FDA </w:t>
      </w:r>
      <w:r>
        <w:t xml:space="preserve">review did not yield </w:t>
      </w:r>
      <w:r w:rsidR="00C41CA0">
        <w:t xml:space="preserve">results </w:t>
      </w:r>
      <w:r w:rsidR="00BF4E4F">
        <w:t xml:space="preserve">different from what </w:t>
      </w:r>
      <w:r w:rsidR="00854DC4">
        <w:t>the literature has already</w:t>
      </w:r>
      <w:r w:rsidR="00C41CA0">
        <w:t xml:space="preserve"> revealed. </w:t>
      </w:r>
    </w:p>
    <w:p w14:paraId="1F11334C" w14:textId="71E9A2F4" w:rsidR="00C41CA0" w:rsidRDefault="00C41CA0" w:rsidP="002F043F">
      <w:pPr>
        <w:ind w:left="720"/>
      </w:pPr>
    </w:p>
    <w:p w14:paraId="2042CD1E" w14:textId="50EEE4CB" w:rsidR="00C41CA0" w:rsidRPr="00C41CA0" w:rsidRDefault="00854DC4" w:rsidP="00C41CA0">
      <w:pPr>
        <w:ind w:firstLine="720"/>
      </w:pPr>
      <w:r>
        <w:t>Although the</w:t>
      </w:r>
      <w:r w:rsidR="00C41CA0" w:rsidRPr="00C41CA0">
        <w:t xml:space="preserve"> scientific literature </w:t>
      </w:r>
      <w:r>
        <w:t>on FOP is nuanced, there are some</w:t>
      </w:r>
      <w:r w:rsidR="00C41CA0" w:rsidRPr="00C41CA0">
        <w:t xml:space="preserve"> global take-aways:</w:t>
      </w:r>
    </w:p>
    <w:p w14:paraId="3DC3BF15" w14:textId="77777777" w:rsidR="00C41CA0" w:rsidRPr="00C41CA0" w:rsidRDefault="00C41CA0" w:rsidP="00C41CA0">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sz w:val="24"/>
          <w:szCs w:val="24"/>
        </w:rPr>
        <w:t>A FOP rating system or symbol can help consumers identify and select healthy foods;</w:t>
      </w:r>
    </w:p>
    <w:p w14:paraId="19865189" w14:textId="77777777" w:rsidR="00C41CA0" w:rsidRPr="00C41CA0" w:rsidRDefault="00C41CA0" w:rsidP="00C41CA0">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Consumers generally prefer simple labels (such as the ones using a summary system);</w:t>
      </w:r>
    </w:p>
    <w:p w14:paraId="50F2C47E" w14:textId="77777777" w:rsidR="00C41CA0" w:rsidRPr="00C41CA0" w:rsidRDefault="00C41CA0" w:rsidP="00C41CA0">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There is limited research on 1) which type of summary system works best and 2) whether consumers’ use of summary systems result in healthier diets.</w:t>
      </w:r>
    </w:p>
    <w:p w14:paraId="0C68F9CE" w14:textId="77777777" w:rsidR="00C41CA0" w:rsidRPr="00C41CA0" w:rsidRDefault="00C41CA0" w:rsidP="00C41CA0">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sz w:val="24"/>
          <w:szCs w:val="24"/>
        </w:rPr>
        <w:t>Some manufacturers have reformulated products following the implementation of FOP nutrition symbols; there is some evidence of increased sales of products bearing a FOP symbol.</w:t>
      </w:r>
    </w:p>
    <w:p w14:paraId="577631AD" w14:textId="455894C6" w:rsidR="00D275BE" w:rsidRPr="00AF337C" w:rsidRDefault="00C41CA0" w:rsidP="00C41CA0">
      <w:pPr>
        <w:pStyle w:val="CommentText"/>
        <w:numPr>
          <w:ilvl w:val="0"/>
          <w:numId w:val="22"/>
        </w:numPr>
        <w:spacing w:after="0" w:line="240" w:lineRule="auto"/>
        <w:ind w:left="1440"/>
        <w:rPr>
          <w:rFonts w:ascii="Times New Roman" w:hAnsi="Times New Roman"/>
          <w:sz w:val="24"/>
          <w:szCs w:val="24"/>
        </w:rPr>
      </w:pPr>
      <w:r w:rsidRPr="00C41CA0">
        <w:rPr>
          <w:rFonts w:ascii="Times New Roman" w:hAnsi="Times New Roman"/>
          <w:bCs/>
          <w:sz w:val="24"/>
          <w:szCs w:val="24"/>
        </w:rPr>
        <w:t>Institutional endorsement of logos may be related to greater confidence in the label.</w:t>
      </w:r>
    </w:p>
    <w:p w14:paraId="6FB32ACA" w14:textId="725037DC" w:rsidR="00E62E33" w:rsidRDefault="00E62E33" w:rsidP="001E15AA">
      <w:pPr>
        <w:jc w:val="both"/>
      </w:pPr>
    </w:p>
    <w:p w14:paraId="0A7BDB27" w14:textId="406B45E9" w:rsidR="00AF337C" w:rsidRDefault="00641796" w:rsidP="00AF337C">
      <w:pPr>
        <w:ind w:left="720"/>
        <w:jc w:val="both"/>
        <w:rPr>
          <w:u w:val="single"/>
        </w:rPr>
      </w:pPr>
      <w:r>
        <w:rPr>
          <w:u w:val="single"/>
        </w:rPr>
        <w:t>Prototype</w:t>
      </w:r>
      <w:r w:rsidRPr="00AF337C">
        <w:rPr>
          <w:u w:val="single"/>
        </w:rPr>
        <w:t xml:space="preserve"> </w:t>
      </w:r>
      <w:r w:rsidR="00AF337C" w:rsidRPr="00AF337C">
        <w:rPr>
          <w:u w:val="single"/>
        </w:rPr>
        <w:t>Icons</w:t>
      </w:r>
      <w:r>
        <w:rPr>
          <w:u w:val="single"/>
        </w:rPr>
        <w:t xml:space="preserve"> for Eliciting Information from Consumers</w:t>
      </w:r>
    </w:p>
    <w:p w14:paraId="32DDD536" w14:textId="77777777" w:rsidR="00641796" w:rsidRPr="00AF337C" w:rsidRDefault="00641796" w:rsidP="00AF337C">
      <w:pPr>
        <w:ind w:left="720"/>
        <w:jc w:val="both"/>
        <w:rPr>
          <w:u w:val="single"/>
        </w:rPr>
      </w:pPr>
    </w:p>
    <w:p w14:paraId="328E5C48" w14:textId="785A600D" w:rsidR="00E62E33" w:rsidRDefault="00641796" w:rsidP="00B27552">
      <w:pPr>
        <w:ind w:left="720"/>
      </w:pPr>
      <w:r>
        <w:t xml:space="preserve">For the purposes of initial consumer testing, </w:t>
      </w:r>
      <w:r w:rsidR="00B27552">
        <w:t xml:space="preserve">FDA </w:t>
      </w:r>
      <w:r w:rsidR="008A0CCC">
        <w:t xml:space="preserve">graphic designers developed a set of FOP “healthy” </w:t>
      </w:r>
      <w:r w:rsidR="00B27552">
        <w:t>i</w:t>
      </w:r>
      <w:r w:rsidR="008A0CCC">
        <w:t xml:space="preserve">cons </w:t>
      </w:r>
      <w:r>
        <w:t>varying in style and text</w:t>
      </w:r>
      <w:r w:rsidR="00B27552">
        <w:t xml:space="preserve"> (See </w:t>
      </w:r>
      <w:r w:rsidR="008A0CCC">
        <w:t xml:space="preserve">draft icons in </w:t>
      </w:r>
      <w:r w:rsidR="00B27552">
        <w:t xml:space="preserve">Appendix I). </w:t>
      </w:r>
      <w:r w:rsidR="000F6D02">
        <w:t xml:space="preserve"> </w:t>
      </w:r>
      <w:r w:rsidR="001A38D6">
        <w:t xml:space="preserve">These </w:t>
      </w:r>
      <w:r>
        <w:t xml:space="preserve">prototype </w:t>
      </w:r>
      <w:r w:rsidR="001A38D6">
        <w:t xml:space="preserve">icons will be </w:t>
      </w:r>
      <w:r>
        <w:t xml:space="preserve">used to elicit information from consumers about the various elements of the icons (e.g., imagery, text, color).  The information will be used to develop a refined set of icons for additional consumer </w:t>
      </w:r>
      <w:r w:rsidR="001A38D6">
        <w:t>test</w:t>
      </w:r>
      <w:r>
        <w:t xml:space="preserve">ing.  FDA has contracted the services of a professional communications firm to design the refined set of icons. </w:t>
      </w:r>
      <w:r w:rsidR="000F6D02">
        <w:t xml:space="preserve"> </w:t>
      </w:r>
      <w:r>
        <w:t xml:space="preserve">The prototypes fall into </w:t>
      </w:r>
      <w:r w:rsidR="00B27552">
        <w:t xml:space="preserve">six </w:t>
      </w:r>
      <w:r>
        <w:t xml:space="preserve">themes: </w:t>
      </w:r>
    </w:p>
    <w:p w14:paraId="1E85F390" w14:textId="77777777" w:rsidR="002C4C50" w:rsidRDefault="002C4C50" w:rsidP="00B27552">
      <w:pPr>
        <w:ind w:left="720"/>
      </w:pPr>
    </w:p>
    <w:p w14:paraId="10DD5D67" w14:textId="60A7FE0E" w:rsidR="00B27552" w:rsidRDefault="00B27552" w:rsidP="00B27552">
      <w:pPr>
        <w:tabs>
          <w:tab w:val="left" w:pos="-1440"/>
        </w:tabs>
        <w:ind w:left="720"/>
      </w:pPr>
      <w:r w:rsidRPr="00B27552">
        <w:t>1. NFL check</w:t>
      </w:r>
    </w:p>
    <w:p w14:paraId="27CA47B0" w14:textId="3C3EE664" w:rsidR="00B27552" w:rsidRPr="00B27552" w:rsidRDefault="00DD0744" w:rsidP="002C4C50">
      <w:pPr>
        <w:tabs>
          <w:tab w:val="left" w:pos="-1440"/>
        </w:tabs>
        <w:ind w:left="1440"/>
      </w:pPr>
      <w:r>
        <w:t>These</w:t>
      </w:r>
      <w:r w:rsidR="00B27552">
        <w:t xml:space="preserve"> icon</w:t>
      </w:r>
      <w:r>
        <w:t>s are</w:t>
      </w:r>
      <w:r w:rsidR="00B27552">
        <w:t xml:space="preserve"> designed to </w:t>
      </w:r>
      <w:r w:rsidR="00641796">
        <w:t xml:space="preserve">resemble the </w:t>
      </w:r>
      <w:r w:rsidR="00B27552">
        <w:t xml:space="preserve">format of the Nutrition Facts Label. </w:t>
      </w:r>
    </w:p>
    <w:p w14:paraId="5B659E29" w14:textId="77777777" w:rsidR="00DD0744" w:rsidRDefault="00DD0744" w:rsidP="00B27552">
      <w:pPr>
        <w:tabs>
          <w:tab w:val="left" w:pos="-1440"/>
        </w:tabs>
        <w:ind w:left="720"/>
      </w:pPr>
    </w:p>
    <w:p w14:paraId="1754F497" w14:textId="78D9ECFD" w:rsidR="00B27552" w:rsidRDefault="00B27552" w:rsidP="00B27552">
      <w:pPr>
        <w:tabs>
          <w:tab w:val="left" w:pos="-1440"/>
        </w:tabs>
        <w:ind w:left="720"/>
      </w:pPr>
      <w:r w:rsidRPr="00B27552">
        <w:t>2. Postage Stamp</w:t>
      </w:r>
    </w:p>
    <w:p w14:paraId="5B974F82" w14:textId="77777777" w:rsidR="00B27552" w:rsidRPr="00B27552" w:rsidRDefault="00B27552" w:rsidP="00B27552">
      <w:pPr>
        <w:tabs>
          <w:tab w:val="left" w:pos="-1440"/>
        </w:tabs>
        <w:ind w:left="720"/>
      </w:pPr>
    </w:p>
    <w:p w14:paraId="3137F2DD" w14:textId="2887CFE2" w:rsidR="00B27552" w:rsidRDefault="00B27552" w:rsidP="00B27552">
      <w:pPr>
        <w:tabs>
          <w:tab w:val="left" w:pos="-1440"/>
        </w:tabs>
        <w:ind w:left="720"/>
      </w:pPr>
      <w:r w:rsidRPr="00B27552">
        <w:t>3. Stylized text</w:t>
      </w:r>
    </w:p>
    <w:p w14:paraId="523BC978" w14:textId="77777777" w:rsidR="00B27552" w:rsidRPr="00B27552" w:rsidRDefault="00B27552" w:rsidP="00B27552">
      <w:pPr>
        <w:tabs>
          <w:tab w:val="left" w:pos="-1440"/>
        </w:tabs>
        <w:ind w:left="720"/>
      </w:pPr>
    </w:p>
    <w:p w14:paraId="4A6CCFFE" w14:textId="74FD14FA" w:rsidR="00B27552" w:rsidRDefault="00B27552" w:rsidP="00B27552">
      <w:pPr>
        <w:tabs>
          <w:tab w:val="left" w:pos="-1440"/>
        </w:tabs>
        <w:ind w:left="720"/>
      </w:pPr>
      <w:r w:rsidRPr="00B27552">
        <w:t xml:space="preserve">4. </w:t>
      </w:r>
      <w:r w:rsidR="00641796">
        <w:t xml:space="preserve">USDA </w:t>
      </w:r>
      <w:r w:rsidRPr="00B27552">
        <w:t>Organic-inspired</w:t>
      </w:r>
    </w:p>
    <w:p w14:paraId="25ECF3E2" w14:textId="6A806715" w:rsidR="00DD0744" w:rsidRDefault="00DD0744" w:rsidP="00B27552">
      <w:pPr>
        <w:tabs>
          <w:tab w:val="left" w:pos="-1440"/>
        </w:tabs>
        <w:ind w:left="720"/>
      </w:pPr>
      <w:r>
        <w:tab/>
        <w:t>These</w:t>
      </w:r>
      <w:r w:rsidR="00685782">
        <w:t xml:space="preserve"> icon</w:t>
      </w:r>
      <w:r>
        <w:t>s are</w:t>
      </w:r>
      <w:r w:rsidR="00685782">
        <w:t xml:space="preserve"> designed to resemble the USDA Organic icon. </w:t>
      </w:r>
    </w:p>
    <w:p w14:paraId="6D63799E" w14:textId="77777777" w:rsidR="00DD0744" w:rsidRDefault="00DD0744" w:rsidP="00B27552">
      <w:pPr>
        <w:tabs>
          <w:tab w:val="left" w:pos="-1440"/>
        </w:tabs>
        <w:ind w:left="720"/>
      </w:pPr>
    </w:p>
    <w:p w14:paraId="4B741698" w14:textId="0E54FC65" w:rsidR="00B27552" w:rsidRDefault="0081042C" w:rsidP="00B27552">
      <w:pPr>
        <w:tabs>
          <w:tab w:val="left" w:pos="-1440"/>
        </w:tabs>
        <w:ind w:left="720"/>
      </w:pPr>
      <w:r>
        <w:t>5</w:t>
      </w:r>
      <w:r w:rsidR="00B27552" w:rsidRPr="00B27552">
        <w:t>. Circle icons</w:t>
      </w:r>
    </w:p>
    <w:p w14:paraId="5D18975C" w14:textId="6937EF2A" w:rsidR="00B27552" w:rsidRPr="00B27552" w:rsidRDefault="00795D9D" w:rsidP="00B27552">
      <w:pPr>
        <w:tabs>
          <w:tab w:val="left" w:pos="-1440"/>
        </w:tabs>
        <w:ind w:left="720"/>
      </w:pPr>
      <w:r>
        <w:tab/>
      </w:r>
    </w:p>
    <w:p w14:paraId="3F939E75" w14:textId="13739DBC" w:rsidR="00B27552" w:rsidRDefault="00B27552" w:rsidP="00B27552">
      <w:pPr>
        <w:tabs>
          <w:tab w:val="left" w:pos="-1440"/>
        </w:tabs>
        <w:ind w:left="720"/>
      </w:pPr>
      <w:r w:rsidRPr="00B27552">
        <w:t>6. MyPlate-inspired</w:t>
      </w:r>
    </w:p>
    <w:p w14:paraId="0217A451" w14:textId="2E3F5749" w:rsidR="0081042C" w:rsidRDefault="00DD0744" w:rsidP="0078172C">
      <w:pPr>
        <w:tabs>
          <w:tab w:val="left" w:pos="-1440"/>
        </w:tabs>
        <w:ind w:left="1440"/>
      </w:pPr>
      <w:r>
        <w:t>The</w:t>
      </w:r>
      <w:r w:rsidR="00A91991">
        <w:t>s</w:t>
      </w:r>
      <w:r>
        <w:t>e</w:t>
      </w:r>
      <w:r w:rsidR="00A91991">
        <w:t xml:space="preserve"> icon</w:t>
      </w:r>
      <w:r>
        <w:t>s</w:t>
      </w:r>
      <w:r w:rsidR="00A91991">
        <w:t xml:space="preserve"> </w:t>
      </w:r>
      <w:r>
        <w:t>incorporate</w:t>
      </w:r>
      <w:r w:rsidR="00685782">
        <w:t xml:space="preserve"> elements of </w:t>
      </w:r>
      <w:r w:rsidR="00A91991">
        <w:t>the USDA</w:t>
      </w:r>
      <w:r w:rsidR="00685782">
        <w:t>/</w:t>
      </w:r>
      <w:r w:rsidR="00D647BF">
        <w:t>FSIS</w:t>
      </w:r>
      <w:r w:rsidR="00A91991">
        <w:t xml:space="preserve"> MyPlate logo</w:t>
      </w:r>
      <w:r w:rsidR="00685782">
        <w:t>.</w:t>
      </w:r>
      <w:r w:rsidR="00A91991">
        <w:t xml:space="preserve"> </w:t>
      </w:r>
    </w:p>
    <w:p w14:paraId="56333E41" w14:textId="77777777" w:rsidR="00641796" w:rsidRDefault="00641796" w:rsidP="00AF337C">
      <w:pPr>
        <w:tabs>
          <w:tab w:val="left" w:pos="-1440"/>
        </w:tabs>
        <w:ind w:left="720"/>
      </w:pPr>
    </w:p>
    <w:p w14:paraId="6C5568FF" w14:textId="366CE718" w:rsidR="00641796" w:rsidRDefault="00641796" w:rsidP="00AF337C">
      <w:pPr>
        <w:tabs>
          <w:tab w:val="left" w:pos="-1440"/>
        </w:tabs>
        <w:ind w:left="720"/>
      </w:pPr>
      <w:r>
        <w:t>These themes were selected to elicit responses from consumers about a variety of elements in the icons, such as shape</w:t>
      </w:r>
      <w:r w:rsidR="00685782">
        <w:t xml:space="preserve"> or style</w:t>
      </w:r>
      <w:r>
        <w:t xml:space="preserve"> (postage stamp, circle</w:t>
      </w:r>
      <w:r w:rsidR="00685782">
        <w:t>, stylized text</w:t>
      </w:r>
      <w:r>
        <w:t xml:space="preserve">), resemblance to other food related </w:t>
      </w:r>
      <w:r w:rsidR="00685782">
        <w:t xml:space="preserve">icons </w:t>
      </w:r>
      <w:r>
        <w:t>(USDA Organic</w:t>
      </w:r>
      <w:r w:rsidR="00685782">
        <w:t>, MyPlate</w:t>
      </w:r>
      <w:r>
        <w:t>)</w:t>
      </w:r>
      <w:r w:rsidR="00685782">
        <w:t xml:space="preserve">, </w:t>
      </w:r>
      <w:r w:rsidR="00DD0744">
        <w:t xml:space="preserve">and the </w:t>
      </w:r>
      <w:r w:rsidR="00685782">
        <w:t>potential for implied government endorsement (NFL check, MyPlate).</w:t>
      </w:r>
    </w:p>
    <w:p w14:paraId="4C040B74" w14:textId="77777777" w:rsidR="00641796" w:rsidRDefault="00641796" w:rsidP="00AF337C">
      <w:pPr>
        <w:tabs>
          <w:tab w:val="left" w:pos="-1440"/>
        </w:tabs>
        <w:ind w:left="720"/>
      </w:pPr>
    </w:p>
    <w:p w14:paraId="02D1B743" w14:textId="01EE448E" w:rsidR="0081042C" w:rsidRPr="0081042C" w:rsidRDefault="00795D9D" w:rsidP="00AF337C">
      <w:pPr>
        <w:tabs>
          <w:tab w:val="left" w:pos="-1440"/>
        </w:tabs>
        <w:ind w:left="720"/>
      </w:pPr>
      <w:r>
        <w:t>Within each theme</w:t>
      </w:r>
      <w:r w:rsidR="00685782">
        <w:t xml:space="preserve">, the icons are characterized by subthemes related to the use </w:t>
      </w:r>
      <w:r w:rsidR="00DD0744">
        <w:t xml:space="preserve">of </w:t>
      </w:r>
      <w:r w:rsidR="00685782">
        <w:t>language or explicit references to FDA</w:t>
      </w:r>
      <w:r>
        <w:t xml:space="preserve">. </w:t>
      </w:r>
      <w:r w:rsidR="000F6D02">
        <w:t xml:space="preserve"> </w:t>
      </w:r>
      <w:r>
        <w:t>The subthemes represent</w:t>
      </w:r>
      <w:r w:rsidR="0081042C">
        <w:t xml:space="preserve"> icons </w:t>
      </w:r>
      <w:r w:rsidR="0081042C" w:rsidRPr="0081042C">
        <w:t xml:space="preserve">1) </w:t>
      </w:r>
      <w:r w:rsidR="0081042C">
        <w:t>w</w:t>
      </w:r>
      <w:r w:rsidR="0081042C" w:rsidRPr="0081042C">
        <w:t>ithout reference to FDA</w:t>
      </w:r>
      <w:r w:rsidR="0081042C">
        <w:t>; 2) with “FDA”</w:t>
      </w:r>
      <w:r>
        <w:t xml:space="preserve"> explicitly listed</w:t>
      </w:r>
      <w:r w:rsidR="0081042C">
        <w:t>; 3) w</w:t>
      </w:r>
      <w:r w:rsidR="0081042C" w:rsidRPr="0081042C">
        <w:t xml:space="preserve">ith </w:t>
      </w:r>
      <w:r>
        <w:t xml:space="preserve">the explanatory text </w:t>
      </w:r>
      <w:r w:rsidR="00DD0744">
        <w:t>“</w:t>
      </w:r>
      <w:r w:rsidR="0081042C">
        <w:t>Meets FDA criteria for Health</w:t>
      </w:r>
      <w:r w:rsidR="009C3BA0">
        <w:t>y”; and 4</w:t>
      </w:r>
      <w:r>
        <w:t>) references to the</w:t>
      </w:r>
      <w:r w:rsidR="0081042C">
        <w:t xml:space="preserve"> food g</w:t>
      </w:r>
      <w:r w:rsidR="0081042C" w:rsidRPr="0081042C">
        <w:t>roups</w:t>
      </w:r>
      <w:r>
        <w:t xml:space="preserve"> that make the product meet the FDA definition for “healthy</w:t>
      </w:r>
      <w:r w:rsidR="0081042C">
        <w:t>.</w:t>
      </w:r>
      <w:r>
        <w:t>”</w:t>
      </w:r>
    </w:p>
    <w:p w14:paraId="0A435BDF" w14:textId="6BC1F313" w:rsidR="0081042C" w:rsidRDefault="0081042C" w:rsidP="0081042C">
      <w:pPr>
        <w:tabs>
          <w:tab w:val="left" w:pos="-1440"/>
        </w:tabs>
      </w:pPr>
    </w:p>
    <w:p w14:paraId="5E2B5201" w14:textId="2FA09C52" w:rsidR="00AF337C" w:rsidRPr="001F4357" w:rsidRDefault="00AF337C" w:rsidP="00AF337C">
      <w:pPr>
        <w:ind w:left="720"/>
      </w:pPr>
      <w:r>
        <w:t xml:space="preserve">The </w:t>
      </w:r>
      <w:r w:rsidRPr="001F4357">
        <w:t xml:space="preserve">focus group results will help FDA gain a better understanding of </w:t>
      </w:r>
      <w:r w:rsidR="000021AC">
        <w:t xml:space="preserve">the </w:t>
      </w:r>
      <w:r w:rsidR="007E7325">
        <w:t xml:space="preserve">icon </w:t>
      </w:r>
      <w:r w:rsidR="00685782">
        <w:t xml:space="preserve">elements </w:t>
      </w:r>
      <w:r w:rsidR="007E7325">
        <w:t>that are</w:t>
      </w:r>
      <w:r w:rsidR="00685782">
        <w:t xml:space="preserve"> most useful to </w:t>
      </w:r>
      <w:r w:rsidRPr="001F4357">
        <w:t>consumers</w:t>
      </w:r>
      <w:r w:rsidR="000021AC">
        <w:t xml:space="preserve">, </w:t>
      </w:r>
      <w:r w:rsidR="007E7325">
        <w:t>work best</w:t>
      </w:r>
      <w:r w:rsidRPr="001F4357">
        <w:t xml:space="preserve"> </w:t>
      </w:r>
      <w:r w:rsidR="00685782">
        <w:t xml:space="preserve">for </w:t>
      </w:r>
      <w:r w:rsidR="007E7325">
        <w:t xml:space="preserve">gaining </w:t>
      </w:r>
      <w:r w:rsidR="00685782">
        <w:t>consumers</w:t>
      </w:r>
      <w:r w:rsidR="007E7325">
        <w:t>’ attention</w:t>
      </w:r>
      <w:r w:rsidR="000021AC">
        <w:t>,</w:t>
      </w:r>
      <w:r w:rsidR="00685782">
        <w:t xml:space="preserve"> and </w:t>
      </w:r>
      <w:r w:rsidR="000021AC">
        <w:t xml:space="preserve">that will </w:t>
      </w:r>
      <w:r w:rsidR="00685782">
        <w:t xml:space="preserve">potentially </w:t>
      </w:r>
      <w:r w:rsidR="00685782" w:rsidRPr="001F4357">
        <w:t>influenc</w:t>
      </w:r>
      <w:r w:rsidR="000021AC">
        <w:t>e</w:t>
      </w:r>
      <w:r w:rsidR="00685782" w:rsidRPr="001F4357">
        <w:t xml:space="preserve"> </w:t>
      </w:r>
      <w:r w:rsidRPr="001F4357">
        <w:t xml:space="preserve">purchasing decisions. </w:t>
      </w:r>
    </w:p>
    <w:p w14:paraId="0A9701C3" w14:textId="4F044E81" w:rsidR="00AF337C" w:rsidRDefault="00AF337C" w:rsidP="0081042C">
      <w:pPr>
        <w:tabs>
          <w:tab w:val="left" w:pos="-1440"/>
        </w:tabs>
      </w:pPr>
    </w:p>
    <w:p w14:paraId="3D5B888E" w14:textId="2CC89F07" w:rsidR="0078172C" w:rsidRDefault="0078172C" w:rsidP="0078172C">
      <w:pPr>
        <w:tabs>
          <w:tab w:val="left" w:pos="-1440"/>
        </w:tabs>
        <w:ind w:left="720"/>
      </w:pPr>
      <w:r>
        <w:t xml:space="preserve">FDA is developing the “healthy” icons in consultation with the USDA Center for Nutrition Policy and Promotion </w:t>
      </w:r>
      <w:r w:rsidR="00477E1E">
        <w:t>(CNPP).</w:t>
      </w:r>
      <w:r w:rsidR="000F6D02">
        <w:t xml:space="preserve"> </w:t>
      </w:r>
      <w:r w:rsidR="00477E1E">
        <w:t xml:space="preserve"> CNPP is the USDA center responsible for the MyPlate initiative.</w:t>
      </w:r>
    </w:p>
    <w:p w14:paraId="63A22756" w14:textId="0C4A4601" w:rsidR="00E62E33" w:rsidRPr="007A4331" w:rsidRDefault="00E62E33" w:rsidP="00D647BF"/>
    <w:p w14:paraId="0D9A8D96" w14:textId="647A0459" w:rsidR="003F1C7A" w:rsidRDefault="0049419A" w:rsidP="001A072A">
      <w:pPr>
        <w:numPr>
          <w:ilvl w:val="0"/>
          <w:numId w:val="15"/>
        </w:numPr>
        <w:tabs>
          <w:tab w:val="clear" w:pos="1296"/>
        </w:tabs>
        <w:ind w:left="720"/>
      </w:pPr>
      <w:r>
        <w:rPr>
          <w:b/>
        </w:rPr>
        <w:t>Intended u</w:t>
      </w:r>
      <w:r w:rsidR="00F12AEE">
        <w:rPr>
          <w:b/>
        </w:rPr>
        <w:t>se</w:t>
      </w:r>
      <w:r>
        <w:rPr>
          <w:b/>
        </w:rPr>
        <w:t xml:space="preserve"> of information</w:t>
      </w:r>
      <w:r w:rsidR="003F1C7A">
        <w:rPr>
          <w:b/>
        </w:rPr>
        <w:t>:</w:t>
      </w:r>
      <w:r w:rsidR="003F1C7A">
        <w:t xml:space="preserve">  </w:t>
      </w:r>
    </w:p>
    <w:p w14:paraId="5C994435" w14:textId="77777777" w:rsidR="00860BFD" w:rsidRDefault="00860BFD" w:rsidP="00A802BA">
      <w:pPr>
        <w:ind w:left="720"/>
      </w:pPr>
    </w:p>
    <w:p w14:paraId="100D428B" w14:textId="7891021E" w:rsidR="00FB79C4" w:rsidRDefault="001835D3" w:rsidP="00A802BA">
      <w:pPr>
        <w:ind w:left="720"/>
      </w:pPr>
      <w:r>
        <w:t>The</w:t>
      </w:r>
      <w:r w:rsidR="00FB79C4" w:rsidRPr="00AB3513">
        <w:t xml:space="preserve"> </w:t>
      </w:r>
      <w:r w:rsidR="00945015">
        <w:t xml:space="preserve">eight (8) </w:t>
      </w:r>
      <w:r w:rsidR="005120FE">
        <w:t xml:space="preserve">focus groups </w:t>
      </w:r>
      <w:r w:rsidR="00945015">
        <w:t xml:space="preserve">requested in this package </w:t>
      </w:r>
      <w:r w:rsidR="005120FE">
        <w:t xml:space="preserve">will be the first </w:t>
      </w:r>
      <w:r w:rsidR="00945015">
        <w:t xml:space="preserve">set </w:t>
      </w:r>
      <w:r w:rsidR="005120FE">
        <w:t xml:space="preserve">of </w:t>
      </w:r>
      <w:r w:rsidR="004F62DF">
        <w:t xml:space="preserve">a planned </w:t>
      </w:r>
      <w:r w:rsidR="00DD0744">
        <w:t>two (2) phases</w:t>
      </w:r>
      <w:r w:rsidR="00945015">
        <w:t xml:space="preserve"> of focus groups (a separate </w:t>
      </w:r>
      <w:r w:rsidR="007C69C6">
        <w:t xml:space="preserve">data collection </w:t>
      </w:r>
      <w:r w:rsidR="00945015">
        <w:t xml:space="preserve">request will </w:t>
      </w:r>
      <w:r w:rsidR="00DD0744">
        <w:t>be submitted for the second phase</w:t>
      </w:r>
      <w:r w:rsidR="00945015">
        <w:t>)</w:t>
      </w:r>
      <w:r w:rsidR="004F62DF">
        <w:t xml:space="preserve">. </w:t>
      </w:r>
      <w:r w:rsidR="000F6D02">
        <w:t xml:space="preserve"> </w:t>
      </w:r>
      <w:r w:rsidR="003A6102">
        <w:t xml:space="preserve">A </w:t>
      </w:r>
      <w:r w:rsidR="00DD0744">
        <w:t xml:space="preserve">professional communications firm </w:t>
      </w:r>
      <w:r w:rsidR="003A6102">
        <w:t>with experience in developing logos and icons will be consulting with FDA on the first set of focus groups and will use the findings to refine FDA’s prototype icon designs.</w:t>
      </w:r>
      <w:r w:rsidR="00945015">
        <w:t xml:space="preserve"> </w:t>
      </w:r>
      <w:r w:rsidR="000F6D02">
        <w:t xml:space="preserve"> </w:t>
      </w:r>
      <w:r w:rsidR="00945015">
        <w:t>The</w:t>
      </w:r>
      <w:r w:rsidR="003A6102">
        <w:t xml:space="preserve"> refined designs will be </w:t>
      </w:r>
      <w:r w:rsidR="00DD0744">
        <w:t>evaluated in the second phase of the focus groups</w:t>
      </w:r>
      <w:r w:rsidR="00945015">
        <w:t>.</w:t>
      </w:r>
      <w:r w:rsidR="003A6102">
        <w:t xml:space="preserve"> </w:t>
      </w:r>
      <w:r w:rsidR="000F6D02">
        <w:t xml:space="preserve"> </w:t>
      </w:r>
      <w:r w:rsidR="007C69C6">
        <w:t>Ultimately, results from the</w:t>
      </w:r>
      <w:r w:rsidR="00945015">
        <w:t xml:space="preserve"> </w:t>
      </w:r>
      <w:r w:rsidR="007C69C6">
        <w:t xml:space="preserve">two sets of </w:t>
      </w:r>
      <w:r w:rsidR="00945015">
        <w:t>f</w:t>
      </w:r>
      <w:r w:rsidR="007C69C6">
        <w:t xml:space="preserve">ocus group </w:t>
      </w:r>
      <w:r w:rsidR="00A802BA" w:rsidRPr="001F4357">
        <w:t xml:space="preserve">will </w:t>
      </w:r>
      <w:r w:rsidR="00A802BA">
        <w:t>inform studies</w:t>
      </w:r>
      <w:r w:rsidR="005556BA">
        <w:t xml:space="preserve"> </w:t>
      </w:r>
      <w:r w:rsidR="00AD0BB4">
        <w:t xml:space="preserve">to </w:t>
      </w:r>
      <w:r w:rsidR="007C69C6">
        <w:t xml:space="preserve">more </w:t>
      </w:r>
      <w:r w:rsidR="00AD0BB4">
        <w:t>systematically</w:t>
      </w:r>
      <w:r w:rsidR="007C69C6">
        <w:t xml:space="preserve"> </w:t>
      </w:r>
      <w:r w:rsidR="00AD0BB4">
        <w:t>test icon</w:t>
      </w:r>
      <w:r w:rsidR="007C69C6">
        <w:t xml:space="preserve"> effects.</w:t>
      </w:r>
      <w:r w:rsidR="00A802BA">
        <w:t xml:space="preserve"> </w:t>
      </w:r>
      <w:r w:rsidR="000F6D02">
        <w:t xml:space="preserve"> </w:t>
      </w:r>
      <w:r w:rsidR="007C69C6">
        <w:t xml:space="preserve">The information </w:t>
      </w:r>
      <w:r w:rsidR="00AD0BB4">
        <w:t>gathered</w:t>
      </w:r>
      <w:r w:rsidR="007C69C6">
        <w:t xml:space="preserve"> from the </w:t>
      </w:r>
      <w:r w:rsidR="005556BA">
        <w:t xml:space="preserve">overall </w:t>
      </w:r>
      <w:r w:rsidR="007C69C6">
        <w:t xml:space="preserve">research </w:t>
      </w:r>
      <w:r w:rsidR="005556BA">
        <w:t xml:space="preserve">plan </w:t>
      </w:r>
      <w:r w:rsidR="007C69C6">
        <w:t xml:space="preserve">will help FDA </w:t>
      </w:r>
      <w:r w:rsidR="00A802BA">
        <w:t>assess the potential for a “healthy” icon to help consumers make healthier food choices.</w:t>
      </w:r>
      <w:r w:rsidR="000F6D02">
        <w:t xml:space="preserve"> </w:t>
      </w:r>
      <w:r w:rsidR="00A802BA">
        <w:t xml:space="preserve"> </w:t>
      </w:r>
      <w:r w:rsidR="005556BA">
        <w:t xml:space="preserve">Separate information collection requests </w:t>
      </w:r>
      <w:r w:rsidR="00AD0BB4">
        <w:t>will be submitted for each part of the research</w:t>
      </w:r>
      <w:r w:rsidR="005556BA">
        <w:t>.</w:t>
      </w:r>
    </w:p>
    <w:p w14:paraId="29082190" w14:textId="77777777" w:rsidR="003F1C7A" w:rsidRDefault="003F1C7A" w:rsidP="001B392C">
      <w:pPr>
        <w:ind w:left="360"/>
      </w:pPr>
    </w:p>
    <w:p w14:paraId="37FC61DC" w14:textId="77777777" w:rsidR="003F1C7A" w:rsidRDefault="0049419A" w:rsidP="001B392C">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263099F7" w14:textId="77777777" w:rsidR="00860BFD" w:rsidRDefault="00860BFD" w:rsidP="001B392C">
      <w:pPr>
        <w:ind w:left="720"/>
      </w:pPr>
    </w:p>
    <w:p w14:paraId="72316B37" w14:textId="51904194" w:rsidR="00B26010" w:rsidRDefault="00C52DAD" w:rsidP="001B392C">
      <w:pPr>
        <w:ind w:left="720"/>
      </w:pPr>
      <w:r>
        <w:t>Groups will include only adults (18+)</w:t>
      </w:r>
      <w:r w:rsidR="00ED7C61">
        <w:t xml:space="preserve"> and</w:t>
      </w:r>
      <w:r w:rsidR="0093362F">
        <w:t xml:space="preserve"> will be segmented by level of nutrition motivation, assessed using two questions that will gauge participants engagement with - and commitment to good dietary practices.</w:t>
      </w:r>
      <w:r w:rsidR="000F6D02">
        <w:t xml:space="preserve"> </w:t>
      </w:r>
      <w:r w:rsidR="0093362F">
        <w:t xml:space="preserve"> </w:t>
      </w:r>
      <w:r w:rsidR="00B26010">
        <w:t>Segmenting by nutrition motivation will help FDA clarify di</w:t>
      </w:r>
      <w:r w:rsidR="001B392C">
        <w:t xml:space="preserve">fferences between </w:t>
      </w:r>
      <w:r w:rsidR="00B26010">
        <w:t xml:space="preserve">levels of motivation and learn how best to convey “healthy” in a way that appeals to individuals not already motivated to making healthy food choices. </w:t>
      </w:r>
    </w:p>
    <w:p w14:paraId="103083D4" w14:textId="77777777" w:rsidR="00B26010" w:rsidRDefault="00B26010" w:rsidP="001B392C">
      <w:pPr>
        <w:ind w:left="720"/>
      </w:pPr>
    </w:p>
    <w:p w14:paraId="684318E0" w14:textId="7F2638B4" w:rsidR="00576639" w:rsidRPr="00336FCF" w:rsidRDefault="00E62E33" w:rsidP="001B392C">
      <w:pPr>
        <w:ind w:left="720"/>
      </w:pPr>
      <w:r>
        <w:t xml:space="preserve">Groups will </w:t>
      </w:r>
      <w:r w:rsidR="0093362F">
        <w:t xml:space="preserve">also </w:t>
      </w:r>
      <w:r>
        <w:t xml:space="preserve">be segmented by education level with half the groups </w:t>
      </w:r>
      <w:r w:rsidR="002E5CC6">
        <w:t xml:space="preserve">being comprised of individuals with some university level courses and higher and </w:t>
      </w:r>
      <w:r w:rsidR="00B00D27">
        <w:t xml:space="preserve">half with a </w:t>
      </w:r>
      <w:r w:rsidR="002E5CC6">
        <w:t xml:space="preserve">community college degree and lower. </w:t>
      </w:r>
      <w:r w:rsidR="000F6D02">
        <w:t xml:space="preserve"> </w:t>
      </w:r>
      <w:r w:rsidR="002E5CC6">
        <w:t xml:space="preserve">The groups will have a mix of ages, race/ethnicities, and genders. </w:t>
      </w:r>
      <w:r w:rsidR="000F6D02">
        <w:t xml:space="preserve"> </w:t>
      </w:r>
      <w:r w:rsidR="00576639" w:rsidRPr="001C3D56">
        <w:t>No more than 10 participants will participate in a group (see Appendix I</w:t>
      </w:r>
      <w:r w:rsidR="00760CBA">
        <w:t>I</w:t>
      </w:r>
      <w:r w:rsidR="006A2D27" w:rsidRPr="001C3D56">
        <w:t>, Participant Screener</w:t>
      </w:r>
      <w:r w:rsidR="00576639" w:rsidRPr="001C3D56">
        <w:t xml:space="preserve">). </w:t>
      </w:r>
    </w:p>
    <w:p w14:paraId="711E2F0D" w14:textId="77777777" w:rsidR="00E215FA" w:rsidRDefault="00E215FA" w:rsidP="001B392C">
      <w:pPr>
        <w:ind w:left="720"/>
      </w:pPr>
    </w:p>
    <w:p w14:paraId="2DFFF238" w14:textId="77777777" w:rsidR="003F1C7A" w:rsidRPr="00E215FA" w:rsidRDefault="003F1C7A" w:rsidP="001B392C">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67227D19" w14:textId="77777777" w:rsidR="00860BFD" w:rsidRDefault="00860BFD" w:rsidP="001B392C">
      <w:pPr>
        <w:ind w:left="720"/>
      </w:pPr>
    </w:p>
    <w:p w14:paraId="4EFC28C8" w14:textId="318F7259" w:rsidR="00D14201" w:rsidRDefault="00D14201" w:rsidP="001B392C">
      <w:pPr>
        <w:ind w:left="720"/>
      </w:pPr>
      <w:r w:rsidRPr="003D1766">
        <w:t xml:space="preserve">Focus groups will be conducted approximately one month from the date of OMB approval. </w:t>
      </w:r>
      <w:r w:rsidR="000F6D02">
        <w:t xml:space="preserve"> </w:t>
      </w:r>
      <w:r w:rsidR="001470C1" w:rsidRPr="000C1DC4">
        <w:t xml:space="preserve">The study will enroll participants who reside in </w:t>
      </w:r>
      <w:r w:rsidR="001470C1">
        <w:t>t</w:t>
      </w:r>
      <w:r w:rsidR="001470C1" w:rsidRPr="000C1DC4">
        <w:t>he Washington, DC metro area</w:t>
      </w:r>
      <w:r w:rsidR="001470C1">
        <w:t>,</w:t>
      </w:r>
      <w:r w:rsidR="001470C1" w:rsidRPr="000C1DC4">
        <w:t xml:space="preserve"> </w:t>
      </w:r>
      <w:r w:rsidR="001470C1">
        <w:t xml:space="preserve">the Midwest, and the Southwest US. </w:t>
      </w:r>
      <w:r w:rsidR="000F6D02">
        <w:t xml:space="preserve"> </w:t>
      </w:r>
      <w:r w:rsidR="006A2D27">
        <w:t>T</w:t>
      </w:r>
      <w:r>
        <w:t>he</w:t>
      </w:r>
      <w:r w:rsidR="006A2D27">
        <w:t xml:space="preserve"> selected</w:t>
      </w:r>
      <w:r>
        <w:t xml:space="preserve"> location</w:t>
      </w:r>
      <w:r w:rsidR="002F51BE">
        <w:t>s</w:t>
      </w:r>
      <w:r>
        <w:t xml:space="preserve"> offer suitable focus group facilities and recruitment capabilities that will enable us to recruit groups participants</w:t>
      </w:r>
      <w:r w:rsidR="000477CE">
        <w:t xml:space="preserve"> who meet the criteria described in section 3 above</w:t>
      </w:r>
      <w:r w:rsidR="006A305F">
        <w:t>.</w:t>
      </w:r>
    </w:p>
    <w:p w14:paraId="4D9E3E24" w14:textId="77777777" w:rsidR="00190AA2" w:rsidRDefault="00190AA2" w:rsidP="001B392C">
      <w:pPr>
        <w:ind w:left="360"/>
      </w:pPr>
    </w:p>
    <w:p w14:paraId="4AC2C105" w14:textId="77777777" w:rsidR="00E26798" w:rsidRPr="00E96045" w:rsidRDefault="00140A0D" w:rsidP="001B392C">
      <w:pPr>
        <w:numPr>
          <w:ilvl w:val="0"/>
          <w:numId w:val="15"/>
        </w:numPr>
        <w:tabs>
          <w:tab w:val="clear" w:pos="1296"/>
          <w:tab w:val="num" w:pos="720"/>
        </w:tabs>
        <w:ind w:left="720"/>
      </w:pPr>
      <w:r>
        <w:rPr>
          <w:b/>
        </w:rPr>
        <w:t>How the Information is being collected</w:t>
      </w:r>
      <w:r w:rsidR="0049419A">
        <w:rPr>
          <w:b/>
        </w:rPr>
        <w:t>:</w:t>
      </w:r>
    </w:p>
    <w:p w14:paraId="1BED97D9" w14:textId="77777777" w:rsidR="00860BFD" w:rsidRDefault="00860BFD" w:rsidP="001B392C">
      <w:pPr>
        <w:ind w:left="720"/>
        <w:rPr>
          <w:u w:val="single"/>
        </w:rPr>
      </w:pPr>
    </w:p>
    <w:p w14:paraId="2C73C3C5" w14:textId="31260DD6" w:rsidR="00EE231A" w:rsidRPr="00EE231A" w:rsidRDefault="00EE231A" w:rsidP="001B392C">
      <w:pPr>
        <w:ind w:left="720"/>
        <w:rPr>
          <w:u w:val="single"/>
        </w:rPr>
      </w:pPr>
      <w:r w:rsidRPr="00EE231A">
        <w:rPr>
          <w:u w:val="single"/>
        </w:rPr>
        <w:t>Recruitment Information</w:t>
      </w:r>
    </w:p>
    <w:p w14:paraId="2F557573" w14:textId="77777777" w:rsidR="00860BFD" w:rsidRDefault="00860BFD" w:rsidP="001B392C">
      <w:pPr>
        <w:ind w:left="720"/>
      </w:pPr>
    </w:p>
    <w:p w14:paraId="702A2612" w14:textId="04E70FCA" w:rsidR="00EE231A" w:rsidRPr="00336FCF" w:rsidRDefault="00EE231A" w:rsidP="001B392C">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00760CBA">
        <w:t>I</w:t>
      </w:r>
      <w:r w:rsidRPr="00336FCF">
        <w:t xml:space="preserve">). </w:t>
      </w:r>
      <w:r w:rsidR="000F6D02">
        <w:t xml:space="preserve"> </w:t>
      </w:r>
      <w:r w:rsidRPr="00336FCF">
        <w:t xml:space="preserve">The facilities’ staff will provide all necessary information and instructions to ensure participants arrive at the proper location on the agreed upon date and time. </w:t>
      </w:r>
      <w:r w:rsidR="000F6D02">
        <w:t xml:space="preserve"> </w:t>
      </w:r>
      <w:r w:rsidRPr="00336FCF">
        <w:t xml:space="preserve">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w:t>
      </w:r>
      <w:r w:rsidR="000F6D02">
        <w:t xml:space="preserve"> </w:t>
      </w:r>
      <w:r w:rsidRPr="00336FCF">
        <w:t>The facilities will send confirmation and reminder correspondences to recruited participants to help ensure attendance.</w:t>
      </w:r>
    </w:p>
    <w:p w14:paraId="3C61EB30" w14:textId="153E68B8" w:rsidR="008A4D10" w:rsidRPr="00EE231A" w:rsidRDefault="008A4D10" w:rsidP="001B392C"/>
    <w:p w14:paraId="48C5E05E" w14:textId="77777777" w:rsidR="00EE231A" w:rsidRPr="00EE231A" w:rsidRDefault="00EE231A" w:rsidP="001B392C">
      <w:pPr>
        <w:ind w:left="720"/>
        <w:rPr>
          <w:u w:val="single"/>
        </w:rPr>
      </w:pPr>
      <w:r w:rsidRPr="00EE231A">
        <w:rPr>
          <w:u w:val="single"/>
        </w:rPr>
        <w:t>Focus Group Discussions</w:t>
      </w:r>
    </w:p>
    <w:p w14:paraId="78E09A9C" w14:textId="77777777" w:rsidR="00860BFD" w:rsidRDefault="00860BFD" w:rsidP="001B392C">
      <w:pPr>
        <w:ind w:left="720"/>
      </w:pPr>
    </w:p>
    <w:p w14:paraId="6FFFB9AE" w14:textId="7C879809" w:rsidR="00EE231A" w:rsidRPr="00336FCF" w:rsidRDefault="00EE231A" w:rsidP="001B392C">
      <w:pPr>
        <w:ind w:left="720"/>
      </w:pPr>
      <w:r w:rsidRPr="00336FCF">
        <w:t>The moderator will use the attached moderator guide</w:t>
      </w:r>
      <w:r w:rsidR="00102CB9">
        <w:t xml:space="preserve"> </w:t>
      </w:r>
      <w:r>
        <w:t>(</w:t>
      </w:r>
      <w:r w:rsidR="00102CB9">
        <w:t>Appendi</w:t>
      </w:r>
      <w:r w:rsidR="00F2502B">
        <w:t>x II</w:t>
      </w:r>
      <w:r w:rsidR="00760CBA">
        <w:t>I</w:t>
      </w:r>
      <w:r>
        <w:t>)</w:t>
      </w:r>
      <w:r w:rsidRPr="00336FCF">
        <w:t xml:space="preserve"> to ensure that all relevant topic areas</w:t>
      </w:r>
      <w:r w:rsidR="00F2502B">
        <w:t xml:space="preserve"> </w:t>
      </w:r>
      <w:r w:rsidRPr="00336FCF">
        <w:t>are addressed.  The focus group facilities will make audio</w:t>
      </w:r>
      <w:r>
        <w:t xml:space="preserve"> and video</w:t>
      </w:r>
      <w:r w:rsidRPr="00336FCF">
        <w:t xml:space="preserve"> recordings to ensure a verbatim record o</w:t>
      </w:r>
      <w:r>
        <w:t>f the proceedings is captured.</w:t>
      </w:r>
    </w:p>
    <w:p w14:paraId="408336BB" w14:textId="77777777" w:rsidR="00EE231A" w:rsidRPr="00EE231A" w:rsidRDefault="00EE231A" w:rsidP="001B392C">
      <w:pPr>
        <w:ind w:left="720"/>
      </w:pPr>
    </w:p>
    <w:p w14:paraId="04D77AC8" w14:textId="203492A7" w:rsidR="00EE231A" w:rsidRPr="00336FCF" w:rsidRDefault="00EE231A" w:rsidP="001B392C">
      <w:pPr>
        <w:ind w:left="720"/>
      </w:pPr>
      <w:r w:rsidRPr="00336FCF">
        <w:t xml:space="preserve">The Contractor will comply with safeguards for ensuring participant information is kept </w:t>
      </w:r>
      <w:r w:rsidR="004524FF">
        <w:t>secure</w:t>
      </w:r>
      <w:r w:rsidR="004524FF" w:rsidRPr="00336FCF">
        <w:t xml:space="preserve"> </w:t>
      </w:r>
      <w:r w:rsidRPr="00336FCF">
        <w:t xml:space="preserve">to the extent permitted by law. </w:t>
      </w:r>
      <w:r w:rsidR="000F6D02">
        <w:t xml:space="preserve"> </w:t>
      </w:r>
      <w:r w:rsidRPr="00336FCF">
        <w:t xml:space="preserve">The last names of the participants will </w:t>
      </w:r>
      <w:r>
        <w:t xml:space="preserve">not appear on any focus group </w:t>
      </w:r>
      <w:r w:rsidRPr="00336FCF">
        <w:t xml:space="preserve">materials. </w:t>
      </w:r>
      <w:r w:rsidR="000F6D02">
        <w:t xml:space="preserve"> </w:t>
      </w:r>
      <w:r w:rsidRPr="00336FCF">
        <w:t>Verbatim quotes included in the final report will not be attributed to any individual.</w:t>
      </w:r>
    </w:p>
    <w:p w14:paraId="598DEBC6" w14:textId="77777777" w:rsidR="00F12AEE" w:rsidRDefault="00F12AEE" w:rsidP="001B392C">
      <w:pPr>
        <w:ind w:left="720"/>
      </w:pPr>
    </w:p>
    <w:p w14:paraId="349AEFB6" w14:textId="77777777" w:rsidR="003F1C7A" w:rsidRPr="00E215FA" w:rsidRDefault="003F1C7A" w:rsidP="001B392C">
      <w:pPr>
        <w:keepNext/>
        <w:numPr>
          <w:ilvl w:val="0"/>
          <w:numId w:val="15"/>
        </w:numPr>
        <w:tabs>
          <w:tab w:val="clear" w:pos="1296"/>
          <w:tab w:val="num" w:pos="720"/>
        </w:tabs>
        <w:ind w:left="720"/>
      </w:pPr>
      <w:r w:rsidRPr="00E26798">
        <w:rPr>
          <w:b/>
        </w:rPr>
        <w:t>Number of focus groups</w:t>
      </w:r>
      <w:r w:rsidR="0049419A">
        <w:rPr>
          <w:b/>
        </w:rPr>
        <w:t>:</w:t>
      </w:r>
    </w:p>
    <w:p w14:paraId="7D65707B" w14:textId="77777777" w:rsidR="00860BFD" w:rsidRDefault="00860BFD" w:rsidP="001B392C">
      <w:pPr>
        <w:ind w:left="720"/>
      </w:pPr>
    </w:p>
    <w:p w14:paraId="36EAD85C" w14:textId="5B9850ED" w:rsidR="00205677" w:rsidRPr="003D1766" w:rsidRDefault="00205677" w:rsidP="001B392C">
      <w:pPr>
        <w:ind w:left="720"/>
      </w:pPr>
      <w:r>
        <w:t xml:space="preserve">A total of </w:t>
      </w:r>
      <w:r w:rsidR="000021AC">
        <w:t>8</w:t>
      </w:r>
      <w:r w:rsidRPr="00CA5223">
        <w:t xml:space="preserve"> focus groups </w:t>
      </w:r>
      <w:r w:rsidR="00C52DAD">
        <w:t>of 8 to 10 participants will be conducted</w:t>
      </w:r>
      <w:r w:rsidRPr="00CA5223">
        <w:t>.</w:t>
      </w:r>
      <w:r>
        <w:t xml:space="preserve"> </w:t>
      </w:r>
    </w:p>
    <w:p w14:paraId="6A7B0096" w14:textId="77777777" w:rsidR="0049419A" w:rsidRDefault="0049419A" w:rsidP="001B392C">
      <w:pPr>
        <w:ind w:left="720"/>
      </w:pPr>
    </w:p>
    <w:p w14:paraId="0BD2590E" w14:textId="77777777" w:rsidR="00E26798" w:rsidRPr="00E96045" w:rsidRDefault="0049419A" w:rsidP="001B392C">
      <w:pPr>
        <w:numPr>
          <w:ilvl w:val="0"/>
          <w:numId w:val="15"/>
        </w:numPr>
        <w:tabs>
          <w:tab w:val="clear" w:pos="1296"/>
          <w:tab w:val="num" w:pos="720"/>
        </w:tabs>
        <w:ind w:left="720"/>
      </w:pPr>
      <w:r>
        <w:rPr>
          <w:b/>
        </w:rPr>
        <w:t>Amount and justification for any proposed incentive:</w:t>
      </w:r>
      <w:r w:rsidR="003F1C7A">
        <w:t xml:space="preserve"> </w:t>
      </w:r>
    </w:p>
    <w:p w14:paraId="080C1E99" w14:textId="77777777" w:rsidR="00860BFD" w:rsidRDefault="00860BFD" w:rsidP="001B392C">
      <w:pPr>
        <w:ind w:left="720"/>
      </w:pPr>
    </w:p>
    <w:p w14:paraId="1FAF2A68" w14:textId="37991D77" w:rsidR="00C73D7F" w:rsidRPr="000C1DC4" w:rsidRDefault="007C76AB" w:rsidP="001B392C">
      <w:pPr>
        <w:ind w:left="720"/>
      </w:pPr>
      <w:r>
        <w:t>F</w:t>
      </w:r>
      <w:r w:rsidR="00C52DAD" w:rsidRPr="000C1DC4">
        <w:t xml:space="preserve">acilities that recruit and host focus groups </w:t>
      </w:r>
      <w:r>
        <w:t>have shared with us the amounts for</w:t>
      </w:r>
      <w:r w:rsidR="00C52DAD" w:rsidRPr="000C1DC4">
        <w:t xml:space="preserve"> tokens of appreciation for participants’ time</w:t>
      </w:r>
      <w:r>
        <w:t xml:space="preserve">. </w:t>
      </w:r>
      <w:r w:rsidR="000F6D02">
        <w:t xml:space="preserve"> </w:t>
      </w:r>
      <w:r>
        <w:t>W</w:t>
      </w:r>
      <w:r w:rsidR="00C52DAD" w:rsidRPr="000C1DC4">
        <w:t xml:space="preserve">e </w:t>
      </w:r>
      <w:r w:rsidR="00C73D7F" w:rsidRPr="000C1DC4">
        <w:t xml:space="preserve">propose $75 for 90 minutes to ensure that we </w:t>
      </w:r>
      <w:r w:rsidRPr="000C1DC4">
        <w:t>can</w:t>
      </w:r>
      <w:r w:rsidR="00C73D7F" w:rsidRPr="000C1DC4">
        <w:t xml:space="preserve"> attract a reasonable cros</w:t>
      </w:r>
      <w:r>
        <w:t>s-</w:t>
      </w:r>
      <w:r w:rsidR="00C73D7F" w:rsidRPr="000C1DC4">
        <w:t>section of participants</w:t>
      </w:r>
      <w:r>
        <w:t>.</w:t>
      </w:r>
      <w:r w:rsidR="00E45491" w:rsidRPr="000C1DC4">
        <w:t xml:space="preserve"> </w:t>
      </w:r>
    </w:p>
    <w:p w14:paraId="1DFA93BA" w14:textId="77777777" w:rsidR="00EB0699" w:rsidRPr="000C1DC4" w:rsidRDefault="00EB0699" w:rsidP="001B392C">
      <w:pPr>
        <w:ind w:left="720"/>
      </w:pPr>
    </w:p>
    <w:p w14:paraId="31020609" w14:textId="2C8A32D9" w:rsidR="00C73D7F" w:rsidRPr="000C1DC4" w:rsidRDefault="00C73D7F" w:rsidP="001B392C">
      <w:pPr>
        <w:ind w:left="720"/>
      </w:pPr>
      <w:r w:rsidRPr="000C1DC4">
        <w:t xml:space="preserve">Our experience in conducting focus group research indicates that offering </w:t>
      </w:r>
      <w:r w:rsidR="008408E6" w:rsidRPr="000C1DC4">
        <w:t xml:space="preserve">nonmonetary incentives or </w:t>
      </w:r>
      <w:r w:rsidRPr="000C1DC4">
        <w:t xml:space="preserve">an incentive that is below the </w:t>
      </w:r>
      <w:r w:rsidR="00C52DAD" w:rsidRPr="000C1DC4">
        <w:t xml:space="preserve">commonly </w:t>
      </w:r>
      <w:r w:rsidRPr="000C1DC4">
        <w:t xml:space="preserve">accepted rate will result in increased costs that exceed the amount saved on a reduced incentive. </w:t>
      </w:r>
      <w:r w:rsidR="000F6D02">
        <w:t xml:space="preserve"> </w:t>
      </w:r>
      <w:r w:rsidRPr="000C1DC4">
        <w:t>The consequences of an insufficient incentive include the following:</w:t>
      </w:r>
    </w:p>
    <w:p w14:paraId="35AE5B57" w14:textId="77777777" w:rsidR="00C73D7F" w:rsidRPr="000C1DC4" w:rsidRDefault="00C73D7F" w:rsidP="001B392C">
      <w:pPr>
        <w:ind w:left="720"/>
      </w:pPr>
    </w:p>
    <w:p w14:paraId="7CF2EACC" w14:textId="77777777" w:rsidR="00C73D7F" w:rsidRPr="000C1DC4" w:rsidRDefault="00C73D7F" w:rsidP="001B392C">
      <w:pPr>
        <w:numPr>
          <w:ilvl w:val="0"/>
          <w:numId w:val="20"/>
        </w:numPr>
        <w:tabs>
          <w:tab w:val="num" w:pos="1080"/>
        </w:tabs>
        <w:ind w:left="1080"/>
        <w:contextualSpacing/>
      </w:pPr>
      <w:r w:rsidRPr="000C1DC4">
        <w:t>Increased time and cost of recruitment</w:t>
      </w:r>
    </w:p>
    <w:p w14:paraId="0E269E48" w14:textId="77777777" w:rsidR="00C73D7F" w:rsidRPr="000C1DC4" w:rsidRDefault="00C73D7F" w:rsidP="001B392C">
      <w:pPr>
        <w:numPr>
          <w:ilvl w:val="0"/>
          <w:numId w:val="20"/>
        </w:numPr>
        <w:tabs>
          <w:tab w:val="num" w:pos="1080"/>
        </w:tabs>
        <w:ind w:left="1080"/>
        <w:contextualSpacing/>
      </w:pPr>
      <w:r w:rsidRPr="000C1DC4">
        <w:t>Increased likelihood of “no-shows” (which may result in methodologically unsound focus groups with small numbers of participants)</w:t>
      </w:r>
    </w:p>
    <w:p w14:paraId="7A92E188" w14:textId="369C3F09" w:rsidR="00C73D7F" w:rsidRPr="000C1DC4" w:rsidRDefault="00C73D7F" w:rsidP="001B392C">
      <w:pPr>
        <w:numPr>
          <w:ilvl w:val="0"/>
          <w:numId w:val="20"/>
        </w:numPr>
        <w:tabs>
          <w:tab w:val="num" w:pos="1080"/>
        </w:tabs>
        <w:ind w:left="1080"/>
        <w:contextualSpacing/>
      </w:pPr>
      <w:r w:rsidRPr="000C1DC4">
        <w:t xml:space="preserve">Increased probability that a focus group may need to be cancelled or postponed due to insufficient numbers recruited by the scheduled date of the focus group, which not only incurs additional costs, but also puts additional burden on the recruited participants who </w:t>
      </w:r>
      <w:r w:rsidR="00265358" w:rsidRPr="000C1DC4">
        <w:t>must</w:t>
      </w:r>
      <w:r w:rsidRPr="000C1DC4">
        <w:t xml:space="preserve"> reschedule their participation in the focus group.</w:t>
      </w:r>
    </w:p>
    <w:p w14:paraId="6FE31324" w14:textId="77777777" w:rsidR="007853F0" w:rsidRPr="000C1DC4" w:rsidRDefault="007853F0" w:rsidP="001B392C">
      <w:pPr>
        <w:pStyle w:val="ListParagraph"/>
      </w:pPr>
    </w:p>
    <w:p w14:paraId="75624C47" w14:textId="2D4C9252" w:rsidR="007837CA" w:rsidRPr="000C1DC4" w:rsidRDefault="007F5F99" w:rsidP="001B392C">
      <w:pPr>
        <w:pStyle w:val="ListParagraph"/>
      </w:pPr>
      <w:r w:rsidRPr="000C1DC4">
        <w:t>Our proposed incentive amount will help ensure that respondents honor their commitment of participating in the focus group</w:t>
      </w:r>
      <w:r w:rsidR="007853F0" w:rsidRPr="000C1DC4">
        <w:t xml:space="preserve"> focus groups.  </w:t>
      </w:r>
      <w:r w:rsidR="00DE6944" w:rsidRPr="000C1DC4">
        <w:t xml:space="preserve">Our </w:t>
      </w:r>
      <w:r w:rsidR="0017544C" w:rsidRPr="000C1DC4">
        <w:t xml:space="preserve">incentive was chosen based on 1) an </w:t>
      </w:r>
      <w:r w:rsidR="00DE6944" w:rsidRPr="000C1DC4">
        <w:t>estimated cost related to childcare for 3 hours (</w:t>
      </w:r>
      <w:r w:rsidR="0017544C" w:rsidRPr="000C1DC4">
        <w:t>e.g.,</w:t>
      </w:r>
      <w:r w:rsidR="00DE6944" w:rsidRPr="000C1DC4">
        <w:t xml:space="preserve"> approximate travel time to and from facility, time to park </w:t>
      </w:r>
      <w:r w:rsidR="00B46254" w:rsidRPr="000C1DC4">
        <w:t xml:space="preserve">a </w:t>
      </w:r>
      <w:r w:rsidR="00DE6944" w:rsidRPr="000C1DC4">
        <w:t xml:space="preserve">vehicle, check-in and check-out procedures, and </w:t>
      </w:r>
      <w:r w:rsidR="00B46254" w:rsidRPr="000C1DC4">
        <w:t xml:space="preserve">the </w:t>
      </w:r>
      <w:r w:rsidR="00DE6944" w:rsidRPr="000C1DC4">
        <w:t>90-minute focus group discussion)</w:t>
      </w:r>
      <w:r w:rsidR="0017544C" w:rsidRPr="000C1DC4">
        <w:t>, which</w:t>
      </w:r>
      <w:r w:rsidR="00DE6944" w:rsidRPr="000C1DC4">
        <w:t xml:space="preserve"> </w:t>
      </w:r>
      <w:r w:rsidR="0017544C" w:rsidRPr="000C1DC4">
        <w:t>is</w:t>
      </w:r>
      <w:r w:rsidR="00DE6944" w:rsidRPr="000C1DC4">
        <w:t xml:space="preserve"> approximately $48</w:t>
      </w:r>
      <w:r w:rsidR="00DE6944" w:rsidRPr="000C1DC4">
        <w:rPr>
          <w:rStyle w:val="FootnoteReference"/>
        </w:rPr>
        <w:footnoteReference w:id="7"/>
      </w:r>
      <w:r w:rsidR="00B46254" w:rsidRPr="000C1DC4">
        <w:t>;</w:t>
      </w:r>
      <w:r w:rsidR="0017544C" w:rsidRPr="000C1DC4">
        <w:t xml:space="preserve"> 2)</w:t>
      </w:r>
      <w:r w:rsidR="00DE6944" w:rsidRPr="000C1DC4">
        <w:t xml:space="preserve"> </w:t>
      </w:r>
      <w:r w:rsidR="0017544C" w:rsidRPr="000C1DC4">
        <w:t xml:space="preserve">an </w:t>
      </w:r>
      <w:r w:rsidR="00DE6944" w:rsidRPr="000C1DC4">
        <w:t xml:space="preserve">estimated cost for </w:t>
      </w:r>
      <w:r w:rsidR="00B46254" w:rsidRPr="000C1DC4">
        <w:t>an average driving commute</w:t>
      </w:r>
      <w:r w:rsidR="00DE6944" w:rsidRPr="000C1DC4">
        <w:t xml:space="preserve"> to and from the facility </w:t>
      </w:r>
      <w:r w:rsidR="0017544C" w:rsidRPr="000C1DC4">
        <w:t>of</w:t>
      </w:r>
      <w:r w:rsidR="00DE6944" w:rsidRPr="000C1DC4">
        <w:t xml:space="preserve"> approximately $18</w:t>
      </w:r>
      <w:r w:rsidR="00DE6944" w:rsidRPr="000C1DC4">
        <w:rPr>
          <w:rStyle w:val="FootnoteReference"/>
        </w:rPr>
        <w:footnoteReference w:id="8"/>
      </w:r>
      <w:r w:rsidR="008408E6" w:rsidRPr="000C1DC4">
        <w:t>; and 3) our contractor’s</w:t>
      </w:r>
      <w:r w:rsidR="00DE6944" w:rsidRPr="000C1DC4">
        <w:t xml:space="preserve"> </w:t>
      </w:r>
      <w:r w:rsidR="008408E6" w:rsidRPr="000C1DC4">
        <w:t>and other researchers’ experiences with using nonmonetary incentives, which generally produce participation rates no better than the complete absence of any incentives.</w:t>
      </w:r>
      <w:r w:rsidR="008408E6" w:rsidRPr="000C1DC4">
        <w:rPr>
          <w:rStyle w:val="FootnoteReference"/>
        </w:rPr>
        <w:footnoteReference w:id="9"/>
      </w:r>
      <w:r w:rsidR="008408E6" w:rsidRPr="000C1DC4">
        <w:t xml:space="preserve"> </w:t>
      </w:r>
      <w:r w:rsidR="00DE6944" w:rsidRPr="000C1DC4">
        <w:t xml:space="preserve"> </w:t>
      </w:r>
      <w:r w:rsidR="007853F0" w:rsidRPr="000C1DC4">
        <w:t>Th</w:t>
      </w:r>
      <w:r w:rsidR="00B46254" w:rsidRPr="000C1DC4">
        <w:t>e proposed</w:t>
      </w:r>
      <w:r w:rsidR="007853F0" w:rsidRPr="000C1DC4">
        <w:t xml:space="preserve"> amount</w:t>
      </w:r>
      <w:r w:rsidR="00B46254" w:rsidRPr="000C1DC4">
        <w:t xml:space="preserve"> </w:t>
      </w:r>
      <w:r w:rsidR="007853F0" w:rsidRPr="000C1DC4">
        <w:t xml:space="preserve">is comparable to what has been the level of reimbursement for the target audiences in similar </w:t>
      </w:r>
      <w:r w:rsidR="00C52DAD" w:rsidRPr="000C1DC4">
        <w:t>government-</w:t>
      </w:r>
      <w:r w:rsidR="007853F0" w:rsidRPr="000C1DC4">
        <w:t xml:space="preserve">funded activities.  </w:t>
      </w:r>
      <w:r w:rsidR="00275ACB" w:rsidRPr="000C1DC4">
        <w:t>Parents</w:t>
      </w:r>
      <w:r w:rsidR="007853F0" w:rsidRPr="000C1DC4">
        <w:t xml:space="preserve"> of young children are often more difficult to recruit than more general audiences</w:t>
      </w:r>
      <w:r w:rsidR="00B46254" w:rsidRPr="000C1DC4">
        <w:t xml:space="preserve"> and t</w:t>
      </w:r>
      <w:r w:rsidR="007853F0" w:rsidRPr="000C1DC4">
        <w:t>he incentive needs to be enough to help the participants cover ou</w:t>
      </w:r>
      <w:r w:rsidRPr="000C1DC4">
        <w:t>tside childcare costs if needed</w:t>
      </w:r>
      <w:r w:rsidR="007837CA" w:rsidRPr="000C1DC4">
        <w:t xml:space="preserve">.  </w:t>
      </w:r>
      <w:r w:rsidR="008408E6" w:rsidRPr="000C1DC4">
        <w:t>As noted above, we expect that lower or nonmonetary</w:t>
      </w:r>
      <w:r w:rsidR="007837CA" w:rsidRPr="000C1DC4">
        <w:t xml:space="preserve"> incentives </w:t>
      </w:r>
      <w:r w:rsidR="008408E6" w:rsidRPr="000C1DC4">
        <w:t>will necessitate</w:t>
      </w:r>
      <w:r w:rsidR="007837CA" w:rsidRPr="000C1DC4">
        <w:t xml:space="preserve"> </w:t>
      </w:r>
      <w:r w:rsidR="008408E6" w:rsidRPr="000C1DC4">
        <w:t>over-</w:t>
      </w:r>
      <w:r w:rsidR="007837CA" w:rsidRPr="000C1DC4">
        <w:t>recruit</w:t>
      </w:r>
      <w:r w:rsidR="008408E6" w:rsidRPr="000C1DC4">
        <w:t>ment</w:t>
      </w:r>
      <w:r w:rsidR="007837CA" w:rsidRPr="000C1DC4">
        <w:t xml:space="preserve"> by higher percentages</w:t>
      </w:r>
      <w:r w:rsidR="008408E6" w:rsidRPr="000C1DC4">
        <w:t xml:space="preserve"> and result in </w:t>
      </w:r>
      <w:r w:rsidR="007C6E1E" w:rsidRPr="000C1DC4">
        <w:t xml:space="preserve">longer </w:t>
      </w:r>
      <w:r w:rsidR="008408E6" w:rsidRPr="000C1DC4">
        <w:t>recruiting</w:t>
      </w:r>
      <w:r w:rsidR="0098121D" w:rsidRPr="000C1DC4">
        <w:t xml:space="preserve"> time </w:t>
      </w:r>
      <w:r w:rsidR="00324DC3" w:rsidRPr="000C1DC4">
        <w:t>as well as</w:t>
      </w:r>
      <w:r w:rsidR="0098121D" w:rsidRPr="000C1DC4">
        <w:t xml:space="preserve"> </w:t>
      </w:r>
      <w:r w:rsidR="007C6E1E" w:rsidRPr="000C1DC4">
        <w:t xml:space="preserve">higher </w:t>
      </w:r>
      <w:r w:rsidR="0098121D" w:rsidRPr="000C1DC4">
        <w:t>overall</w:t>
      </w:r>
      <w:r w:rsidR="008408E6" w:rsidRPr="000C1DC4">
        <w:t xml:space="preserve"> </w:t>
      </w:r>
      <w:r w:rsidR="00F26B2B" w:rsidRPr="000C1DC4">
        <w:t xml:space="preserve">project </w:t>
      </w:r>
      <w:r w:rsidR="008408E6" w:rsidRPr="000C1DC4">
        <w:t>costs</w:t>
      </w:r>
      <w:r w:rsidR="007837CA" w:rsidRPr="000C1DC4">
        <w:t>.</w:t>
      </w:r>
    </w:p>
    <w:p w14:paraId="571537E7" w14:textId="77777777" w:rsidR="00DE6944" w:rsidRPr="000C1DC4" w:rsidRDefault="00DE6944" w:rsidP="001B392C">
      <w:pPr>
        <w:ind w:left="720"/>
      </w:pPr>
    </w:p>
    <w:p w14:paraId="640E7959" w14:textId="01661E2A" w:rsidR="007853F0" w:rsidRDefault="00B46254" w:rsidP="001B392C">
      <w:pPr>
        <w:pStyle w:val="ListParagraph"/>
      </w:pPr>
      <w:r w:rsidRPr="000C1DC4">
        <w:t>T</w:t>
      </w:r>
      <w:r w:rsidR="007853F0" w:rsidRPr="000C1DC4">
        <w:t>he importance of monetary compensation for focus group participation</w:t>
      </w:r>
      <w:r w:rsidRPr="000C1DC4">
        <w:t xml:space="preserve"> has been discussed by</w:t>
      </w:r>
      <w:r w:rsidR="007853F0" w:rsidRPr="000C1DC4">
        <w:t xml:space="preserve"> </w:t>
      </w:r>
      <w:r w:rsidR="002A0451" w:rsidRPr="000C1DC4">
        <w:t>Krueger and Casey (2014)</w:t>
      </w:r>
      <w:r w:rsidRPr="000C1DC4">
        <w:t>, who</w:t>
      </w:r>
      <w:r w:rsidR="007853F0" w:rsidRPr="000C1DC4">
        <w:t xml:space="preserve"> indicate that offering minimal levels of monetary compensation can help ensure that sufficient numbers of participants will attend</w:t>
      </w:r>
      <w:r w:rsidR="0017544C" w:rsidRPr="000C1DC4">
        <w:t>,</w:t>
      </w:r>
      <w:r w:rsidR="007853F0" w:rsidRPr="000C1DC4">
        <w:t xml:space="preserve"> thereby yielding </w:t>
      </w:r>
      <w:r w:rsidR="0017544C" w:rsidRPr="000C1DC4">
        <w:t xml:space="preserve">more </w:t>
      </w:r>
      <w:r w:rsidR="007853F0" w:rsidRPr="000C1DC4">
        <w:t xml:space="preserve">useful </w:t>
      </w:r>
      <w:r w:rsidR="0017544C" w:rsidRPr="000C1DC4">
        <w:t xml:space="preserve">research </w:t>
      </w:r>
      <w:r w:rsidR="007853F0" w:rsidRPr="000C1DC4">
        <w:t>results.</w:t>
      </w:r>
      <w:r w:rsidR="002A0451" w:rsidRPr="000C1DC4">
        <w:rPr>
          <w:rStyle w:val="FootnoteReference"/>
        </w:rPr>
        <w:footnoteReference w:id="10"/>
      </w:r>
      <w:r w:rsidR="007853F0" w:rsidRPr="000C1DC4">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w:t>
      </w:r>
      <w:r w:rsidR="00071751" w:rsidRPr="000C1DC4">
        <w:t xml:space="preserve"> points over comparison groups.</w:t>
      </w:r>
      <w:r w:rsidR="00071751" w:rsidRPr="000C1DC4">
        <w:rPr>
          <w:rStyle w:val="FootnoteReference"/>
        </w:rPr>
        <w:footnoteReference w:id="11"/>
      </w:r>
      <w:r w:rsidR="00071751" w:rsidRPr="000C1DC4">
        <w:t xml:space="preserve"> </w:t>
      </w:r>
      <w:r w:rsidR="000F6D02">
        <w:t xml:space="preserve"> </w:t>
      </w:r>
      <w:r w:rsidR="00071751" w:rsidRPr="000C1DC4">
        <w:t>When applied in a reasonable manner, incentives are not an unjust inducement and are an approach that acknowledges respondents for their participation</w:t>
      </w:r>
      <w:r w:rsidR="00DD24A2" w:rsidRPr="000C1DC4">
        <w:t xml:space="preserve"> and treats them justly and with respect by recognizing and acknowledging the effort they expend to participate</w:t>
      </w:r>
      <w:r w:rsidR="00071751" w:rsidRPr="000C1DC4">
        <w:t>.</w:t>
      </w:r>
      <w:r w:rsidR="00071751" w:rsidRPr="000C1DC4">
        <w:rPr>
          <w:rStyle w:val="FootnoteReference"/>
        </w:rPr>
        <w:footnoteReference w:id="12"/>
      </w:r>
      <w:r w:rsidR="00DD24A2" w:rsidRPr="000C1DC4">
        <w:t xml:space="preserve"> </w:t>
      </w:r>
      <w:r w:rsidR="000F6D02">
        <w:t xml:space="preserve"> </w:t>
      </w:r>
      <w:r w:rsidR="007853F0" w:rsidRPr="000C1DC4">
        <w:t xml:space="preserve">Finally, the importance of monetary incentives </w:t>
      </w:r>
      <w:r w:rsidRPr="000C1DC4">
        <w:t>has</w:t>
      </w:r>
      <w:r w:rsidR="007853F0" w:rsidRPr="000C1DC4">
        <w:t xml:space="preserve"> been corroborated in experiences related to the National Adult Literacy Survey by Berlin </w:t>
      </w:r>
      <w:r w:rsidR="005C1579" w:rsidRPr="000C1DC4">
        <w:t xml:space="preserve">and colleagues </w:t>
      </w:r>
      <w:r w:rsidR="007853F0" w:rsidRPr="000C1DC4">
        <w:t>(1992)</w:t>
      </w:r>
      <w:r w:rsidR="007F5F99" w:rsidRPr="000C1DC4">
        <w:rPr>
          <w:rStyle w:val="FootnoteReference"/>
        </w:rPr>
        <w:footnoteReference w:id="13"/>
      </w:r>
      <w:r w:rsidR="007853F0" w:rsidRPr="000C1DC4">
        <w:t xml:space="preserve"> and </w:t>
      </w:r>
      <w:r w:rsidR="007C2C46" w:rsidRPr="000C1DC4">
        <w:t>internal</w:t>
      </w:r>
      <w:r w:rsidR="00AF5DE2" w:rsidRPr="000C1DC4">
        <w:t xml:space="preserve"> </w:t>
      </w:r>
      <w:r w:rsidR="00906986" w:rsidRPr="000C1DC4">
        <w:t xml:space="preserve">proprietary </w:t>
      </w:r>
      <w:r w:rsidR="00AF5DE2" w:rsidRPr="000C1DC4">
        <w:t xml:space="preserve">research </w:t>
      </w:r>
      <w:r w:rsidR="007C2C46" w:rsidRPr="000C1DC4">
        <w:t>conducted by our contractor</w:t>
      </w:r>
      <w:r w:rsidRPr="000C1DC4">
        <w:t xml:space="preserve">, </w:t>
      </w:r>
      <w:r w:rsidR="00275ACB" w:rsidRPr="000C1DC4">
        <w:t>FMG</w:t>
      </w:r>
      <w:r w:rsidR="007853F0" w:rsidRPr="000C1DC4">
        <w:t>.</w:t>
      </w:r>
    </w:p>
    <w:p w14:paraId="1A5242C5" w14:textId="77777777" w:rsidR="008E5BE4" w:rsidRDefault="008E5BE4" w:rsidP="001B392C">
      <w:pPr>
        <w:pStyle w:val="ListParagraph"/>
      </w:pPr>
    </w:p>
    <w:p w14:paraId="60D84792" w14:textId="77777777" w:rsidR="00140A0D" w:rsidRPr="00E96045" w:rsidRDefault="00140A0D" w:rsidP="001B392C">
      <w:pPr>
        <w:numPr>
          <w:ilvl w:val="0"/>
          <w:numId w:val="15"/>
        </w:numPr>
        <w:tabs>
          <w:tab w:val="clear" w:pos="1296"/>
          <w:tab w:val="num" w:pos="720"/>
          <w:tab w:val="num" w:pos="900"/>
        </w:tabs>
        <w:ind w:left="720"/>
      </w:pPr>
      <w:r>
        <w:rPr>
          <w:b/>
        </w:rPr>
        <w:t>Questions of a Sensitive Nature:</w:t>
      </w:r>
    </w:p>
    <w:p w14:paraId="66BB3A2E" w14:textId="77777777" w:rsidR="00860BFD" w:rsidRDefault="00860BFD" w:rsidP="001B392C">
      <w:pPr>
        <w:pStyle w:val="ListParagraph"/>
      </w:pPr>
    </w:p>
    <w:p w14:paraId="643E9B3B" w14:textId="1BEAC8B8" w:rsidR="00140A0D" w:rsidRDefault="00860BFD" w:rsidP="001B392C">
      <w:pPr>
        <w:pStyle w:val="ListParagraph"/>
      </w:pPr>
      <w:r>
        <w:t xml:space="preserve">There will be no questions of a sensitive nature asked of participants. </w:t>
      </w:r>
    </w:p>
    <w:p w14:paraId="50D6158D" w14:textId="77777777" w:rsidR="00140A0D" w:rsidRDefault="00140A0D" w:rsidP="001B392C">
      <w:pPr>
        <w:pStyle w:val="ListParagraph"/>
      </w:pPr>
    </w:p>
    <w:p w14:paraId="4005AA60" w14:textId="77777777" w:rsidR="00140A0D" w:rsidRPr="00E96045" w:rsidRDefault="00140A0D" w:rsidP="001B392C">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3465EAC9" w14:textId="09C5AA62" w:rsidR="00473C32" w:rsidRPr="0050277D" w:rsidRDefault="00473C32" w:rsidP="001B392C">
      <w:pPr>
        <w:ind w:left="720"/>
      </w:pPr>
      <w:r w:rsidRPr="0050277D">
        <w:t>The Contractor will contact prospective participants by telephone and screen them for eligibility to participate (Appendix I</w:t>
      </w:r>
      <w:r w:rsidR="00760CBA">
        <w:t>I</w:t>
      </w:r>
      <w:r w:rsidRPr="0050277D">
        <w:t xml:space="preserve">). </w:t>
      </w:r>
      <w:r w:rsidR="000F6D02">
        <w:t xml:space="preserve"> </w:t>
      </w:r>
      <w:r w:rsidRPr="00336FCF">
        <w:t xml:space="preserve">The facilities’ staff will provide all necessary information and instructions to ensure participants arrive at the proper location on </w:t>
      </w:r>
      <w:r>
        <w:t>the agreed upon date and time.</w:t>
      </w:r>
      <w:r w:rsidR="000F6D02">
        <w:t xml:space="preserve"> </w:t>
      </w:r>
      <w:r>
        <w:t xml:space="preserve"> </w:t>
      </w:r>
      <w:r w:rsidRPr="00336FCF">
        <w:t xml:space="preserve">Facilities will </w:t>
      </w:r>
      <w:r>
        <w:t>conduct recruitment and</w:t>
      </w:r>
      <w:r w:rsidRPr="00336FCF">
        <w:t xml:space="preserve"> ensure </w:t>
      </w:r>
      <w:r>
        <w:t xml:space="preserve">that </w:t>
      </w:r>
      <w:r w:rsidRPr="00336FCF">
        <w:t xml:space="preserve">the </w:t>
      </w:r>
      <w:r>
        <w:t>needed number of participants show up for</w:t>
      </w:r>
      <w:r w:rsidRPr="00336FCF">
        <w:t xml:space="preserve"> their scheduled time slot.</w:t>
      </w:r>
      <w:r>
        <w:t xml:space="preserve"> </w:t>
      </w:r>
      <w:r w:rsidR="000F6D02">
        <w:t xml:space="preserve"> </w:t>
      </w:r>
      <w:r w:rsidRPr="0050277D">
        <w:t>This study</w:t>
      </w:r>
      <w:r>
        <w:t xml:space="preserve"> employs qualitative methods and</w:t>
      </w:r>
      <w:r w:rsidRPr="0050277D">
        <w:t xml:space="preserve"> does not entail the use of any statistical methods.</w:t>
      </w:r>
    </w:p>
    <w:p w14:paraId="44ECE68E" w14:textId="77777777" w:rsidR="00473C32" w:rsidRPr="00473C32" w:rsidRDefault="00473C32" w:rsidP="001B392C">
      <w:pPr>
        <w:ind w:left="720"/>
      </w:pPr>
    </w:p>
    <w:p w14:paraId="4F559EA4" w14:textId="77777777" w:rsidR="00473C32" w:rsidRPr="00336FCF" w:rsidRDefault="00473C32" w:rsidP="001B392C">
      <w:pPr>
        <w:ind w:left="720"/>
      </w:pPr>
      <w:r w:rsidRPr="00336FCF">
        <w:t xml:space="preserve">Table 1 shows the estimated annual reporting burden for the groups, assuming </w:t>
      </w:r>
      <w:r>
        <w:t>10</w:t>
      </w:r>
      <w:r w:rsidRPr="00336FCF">
        <w:t xml:space="preserve"> participants per group.</w:t>
      </w:r>
    </w:p>
    <w:p w14:paraId="22B3D73E" w14:textId="77777777" w:rsidR="00140A0D" w:rsidRDefault="00140A0D" w:rsidP="001B392C">
      <w:pPr>
        <w:pStyle w:val="ListParagraph"/>
      </w:pPr>
    </w:p>
    <w:p w14:paraId="68551AF2" w14:textId="77777777" w:rsidR="00190AA2" w:rsidRDefault="00190AA2" w:rsidP="001B392C">
      <w:pPr>
        <w:pStyle w:val="ListParagraph"/>
      </w:pPr>
    </w:p>
    <w:p w14:paraId="23F7A350" w14:textId="77777777" w:rsidR="003F1C7A" w:rsidRDefault="003F1C7A" w:rsidP="001B392C">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6E40EF07" w14:textId="77777777" w:rsidR="005C6A7F" w:rsidRDefault="005C6A7F" w:rsidP="001B392C">
      <w:pPr>
        <w:rPr>
          <w:i/>
        </w:rPr>
      </w:pPr>
    </w:p>
    <w:p w14:paraId="4C1EDDDF" w14:textId="77777777" w:rsidR="003F1C7A" w:rsidRDefault="00F62F0B" w:rsidP="001B392C">
      <w:pPr>
        <w:keepNext/>
        <w:keepLines/>
        <w:rPr>
          <w:b/>
        </w:rPr>
      </w:pPr>
      <w:r>
        <w:rPr>
          <w:b/>
        </w:rPr>
        <w:t>Table 1.</w:t>
      </w:r>
    </w:p>
    <w:p w14:paraId="57329771" w14:textId="77777777" w:rsidR="00F62F0B" w:rsidRDefault="00F62F0B" w:rsidP="001B392C">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14:paraId="37A6164E" w14:textId="77777777" w:rsidTr="00862F2F">
        <w:trPr>
          <w:cantSplit/>
          <w:trHeight w:val="274"/>
          <w:jc w:val="center"/>
        </w:trPr>
        <w:tc>
          <w:tcPr>
            <w:tcW w:w="2536" w:type="dxa"/>
            <w:shd w:val="clear" w:color="auto" w:fill="E0E0E0"/>
          </w:tcPr>
          <w:p w14:paraId="4AE8A550" w14:textId="77777777" w:rsidR="003F1C7A" w:rsidRDefault="00696B03" w:rsidP="001B392C">
            <w:pPr>
              <w:rPr>
                <w:b/>
              </w:rPr>
            </w:pPr>
            <w:r>
              <w:rPr>
                <w:b/>
              </w:rPr>
              <w:t>Type/</w:t>
            </w:r>
            <w:r w:rsidR="003F1C7A">
              <w:rPr>
                <w:b/>
              </w:rPr>
              <w:t>Category of Respondent</w:t>
            </w:r>
          </w:p>
        </w:tc>
        <w:tc>
          <w:tcPr>
            <w:tcW w:w="1985" w:type="dxa"/>
            <w:shd w:val="clear" w:color="auto" w:fill="E0E0E0"/>
          </w:tcPr>
          <w:p w14:paraId="5A1AD10B" w14:textId="77777777" w:rsidR="003F1C7A" w:rsidRDefault="003F1C7A" w:rsidP="001B392C">
            <w:pPr>
              <w:rPr>
                <w:b/>
              </w:rPr>
            </w:pPr>
            <w:r>
              <w:rPr>
                <w:b/>
              </w:rPr>
              <w:t>No. of Respondent</w:t>
            </w:r>
            <w:r w:rsidR="00696B03">
              <w:rPr>
                <w:b/>
              </w:rPr>
              <w:t>s</w:t>
            </w:r>
          </w:p>
        </w:tc>
        <w:tc>
          <w:tcPr>
            <w:tcW w:w="1985" w:type="dxa"/>
            <w:shd w:val="clear" w:color="auto" w:fill="E0E0E0"/>
          </w:tcPr>
          <w:p w14:paraId="51D26AD0" w14:textId="77777777" w:rsidR="003F1C7A" w:rsidRDefault="003F1C7A" w:rsidP="001B392C">
            <w:pPr>
              <w:rPr>
                <w:b/>
              </w:rPr>
            </w:pPr>
            <w:r>
              <w:rPr>
                <w:b/>
              </w:rPr>
              <w:t>Participation Time</w:t>
            </w:r>
            <w:r w:rsidR="00696B03">
              <w:rPr>
                <w:b/>
              </w:rPr>
              <w:t xml:space="preserve"> (minutes)</w:t>
            </w:r>
          </w:p>
        </w:tc>
        <w:tc>
          <w:tcPr>
            <w:tcW w:w="1986" w:type="dxa"/>
            <w:shd w:val="clear" w:color="auto" w:fill="E0E0E0"/>
          </w:tcPr>
          <w:p w14:paraId="105882E9" w14:textId="77777777" w:rsidR="003F1C7A" w:rsidRDefault="003F1C7A" w:rsidP="001B392C">
            <w:pPr>
              <w:rPr>
                <w:b/>
              </w:rPr>
            </w:pPr>
            <w:r>
              <w:rPr>
                <w:b/>
              </w:rPr>
              <w:t>Burden</w:t>
            </w:r>
          </w:p>
          <w:p w14:paraId="2EA2D3DA" w14:textId="77777777" w:rsidR="00696B03" w:rsidRDefault="00696B03" w:rsidP="001B392C">
            <w:pPr>
              <w:rPr>
                <w:b/>
              </w:rPr>
            </w:pPr>
            <w:r>
              <w:rPr>
                <w:b/>
              </w:rPr>
              <w:t>(hours)</w:t>
            </w:r>
          </w:p>
        </w:tc>
      </w:tr>
      <w:tr w:rsidR="00F62F0B" w14:paraId="0C15F45D" w14:textId="77777777" w:rsidTr="00862F2F">
        <w:trPr>
          <w:trHeight w:val="274"/>
          <w:jc w:val="center"/>
        </w:trPr>
        <w:tc>
          <w:tcPr>
            <w:tcW w:w="2536" w:type="dxa"/>
          </w:tcPr>
          <w:p w14:paraId="79B28C71" w14:textId="77777777" w:rsidR="00F62F0B" w:rsidRPr="00776554" w:rsidRDefault="00F62F0B" w:rsidP="001B392C">
            <w:r>
              <w:t>Screener</w:t>
            </w:r>
          </w:p>
        </w:tc>
        <w:tc>
          <w:tcPr>
            <w:tcW w:w="1985" w:type="dxa"/>
          </w:tcPr>
          <w:p w14:paraId="51C2D0A6" w14:textId="525261EF" w:rsidR="00F62F0B" w:rsidRPr="00776554" w:rsidRDefault="000021AC" w:rsidP="001B392C">
            <w:r>
              <w:t>300</w:t>
            </w:r>
          </w:p>
        </w:tc>
        <w:tc>
          <w:tcPr>
            <w:tcW w:w="1985" w:type="dxa"/>
          </w:tcPr>
          <w:p w14:paraId="39CB450D" w14:textId="77777777" w:rsidR="00F62F0B" w:rsidRPr="00776554" w:rsidRDefault="00F62F0B" w:rsidP="001B392C">
            <w:r>
              <w:t>5</w:t>
            </w:r>
          </w:p>
        </w:tc>
        <w:tc>
          <w:tcPr>
            <w:tcW w:w="1986" w:type="dxa"/>
          </w:tcPr>
          <w:p w14:paraId="4624C7E8" w14:textId="3D83F992" w:rsidR="00F62F0B" w:rsidRPr="00776554" w:rsidRDefault="000021AC" w:rsidP="001B392C">
            <w:r>
              <w:t>25</w:t>
            </w:r>
          </w:p>
        </w:tc>
      </w:tr>
      <w:tr w:rsidR="007E76D6" w14:paraId="62D4BEAB" w14:textId="77777777" w:rsidTr="00862F2F">
        <w:trPr>
          <w:trHeight w:val="274"/>
          <w:jc w:val="center"/>
        </w:trPr>
        <w:tc>
          <w:tcPr>
            <w:tcW w:w="2536" w:type="dxa"/>
          </w:tcPr>
          <w:p w14:paraId="414C4889" w14:textId="77777777" w:rsidR="007E76D6" w:rsidRDefault="007E76D6" w:rsidP="001B392C">
            <w:r>
              <w:t>Focus group discussion</w:t>
            </w:r>
          </w:p>
        </w:tc>
        <w:tc>
          <w:tcPr>
            <w:tcW w:w="1985" w:type="dxa"/>
          </w:tcPr>
          <w:p w14:paraId="268784D1" w14:textId="2200CF39" w:rsidR="007E76D6" w:rsidRDefault="000021AC" w:rsidP="001B392C">
            <w:r>
              <w:t>80</w:t>
            </w:r>
          </w:p>
        </w:tc>
        <w:tc>
          <w:tcPr>
            <w:tcW w:w="1985" w:type="dxa"/>
          </w:tcPr>
          <w:p w14:paraId="37FEFF9F" w14:textId="2AE4FA78" w:rsidR="007E76D6" w:rsidDel="0016369C" w:rsidRDefault="00265BFD" w:rsidP="001B392C">
            <w:r>
              <w:t>120</w:t>
            </w:r>
          </w:p>
        </w:tc>
        <w:tc>
          <w:tcPr>
            <w:tcW w:w="1986" w:type="dxa"/>
          </w:tcPr>
          <w:p w14:paraId="4CA14B5B" w14:textId="5564C814" w:rsidR="007E76D6" w:rsidDel="0016369C" w:rsidRDefault="000021AC" w:rsidP="000F6D02">
            <w:r>
              <w:t>160</w:t>
            </w:r>
          </w:p>
        </w:tc>
      </w:tr>
      <w:tr w:rsidR="001C7B3E" w14:paraId="17BA2E99" w14:textId="77777777" w:rsidTr="00D670C5">
        <w:trPr>
          <w:trHeight w:val="274"/>
          <w:jc w:val="center"/>
        </w:trPr>
        <w:tc>
          <w:tcPr>
            <w:tcW w:w="6506" w:type="dxa"/>
            <w:gridSpan w:val="3"/>
          </w:tcPr>
          <w:p w14:paraId="16A39372" w14:textId="77777777" w:rsidR="001C7B3E" w:rsidRDefault="001C7B3E" w:rsidP="001B392C">
            <w:r>
              <w:t>Total</w:t>
            </w:r>
          </w:p>
        </w:tc>
        <w:tc>
          <w:tcPr>
            <w:tcW w:w="1986" w:type="dxa"/>
          </w:tcPr>
          <w:p w14:paraId="1C5C306B" w14:textId="141A7262" w:rsidR="001C7B3E" w:rsidRDefault="000021AC" w:rsidP="001B392C">
            <w:r>
              <w:t>185</w:t>
            </w:r>
          </w:p>
        </w:tc>
      </w:tr>
    </w:tbl>
    <w:p w14:paraId="5C9A601F" w14:textId="77777777" w:rsidR="003F1C7A" w:rsidRDefault="003F1C7A" w:rsidP="001B392C"/>
    <w:p w14:paraId="29667C79" w14:textId="77777777" w:rsidR="00F62F0B" w:rsidRDefault="00F62F0B" w:rsidP="001B392C"/>
    <w:p w14:paraId="5BC2076C" w14:textId="1922E93A" w:rsidR="00B71082" w:rsidRPr="009238D7" w:rsidRDefault="00DB7E1F" w:rsidP="001B392C">
      <w:r>
        <w:rPr>
          <w:b/>
        </w:rPr>
        <w:t xml:space="preserve">REQUESTED APPROVAL DATE: </w:t>
      </w:r>
      <w:r w:rsidR="00860BFD">
        <w:t>April, 2019</w:t>
      </w:r>
    </w:p>
    <w:p w14:paraId="3DA38F6E" w14:textId="77777777" w:rsidR="003F1C7A" w:rsidRDefault="003F1C7A" w:rsidP="001B392C">
      <w:pPr>
        <w:rPr>
          <w:b/>
        </w:rPr>
      </w:pPr>
    </w:p>
    <w:p w14:paraId="46C23698" w14:textId="77777777" w:rsidR="00D00880" w:rsidRDefault="00140A0D" w:rsidP="001B392C">
      <w:pPr>
        <w:rPr>
          <w:b/>
        </w:rPr>
      </w:pPr>
      <w:r>
        <w:rPr>
          <w:b/>
        </w:rPr>
        <w:t xml:space="preserve">NAME OF PRA ANALYST &amp; PROGRAM CONTACT:  </w:t>
      </w:r>
    </w:p>
    <w:p w14:paraId="75B09869" w14:textId="77777777" w:rsidR="00860BFD" w:rsidRDefault="00860BFD" w:rsidP="001B392C">
      <w:pPr>
        <w:rPr>
          <w:bCs/>
        </w:rPr>
      </w:pPr>
    </w:p>
    <w:p w14:paraId="23B53193" w14:textId="74DDA284" w:rsidR="00D00880" w:rsidRPr="00D00880" w:rsidRDefault="002254D4" w:rsidP="001B392C">
      <w:pPr>
        <w:rPr>
          <w:bCs/>
        </w:rPr>
      </w:pPr>
      <w:r>
        <w:rPr>
          <w:bCs/>
        </w:rPr>
        <w:t xml:space="preserve">Ila S. Mizrachi </w:t>
      </w:r>
      <w:r w:rsidR="00D00880" w:rsidRPr="00D00880">
        <w:rPr>
          <w:bCs/>
        </w:rPr>
        <w:t xml:space="preserve">(PRA Analyst) </w:t>
      </w:r>
    </w:p>
    <w:p w14:paraId="793B8B66" w14:textId="77777777" w:rsidR="002254D4" w:rsidRDefault="009945D9" w:rsidP="001B392C">
      <w:hyperlink r:id="rId9" w:history="1">
        <w:r w:rsidR="002254D4" w:rsidRPr="009B5E5A">
          <w:rPr>
            <w:rStyle w:val="Hyperlink"/>
          </w:rPr>
          <w:t>Ila.Mizrachi@fda.hhs.gov</w:t>
        </w:r>
      </w:hyperlink>
    </w:p>
    <w:p w14:paraId="7C5FAE54" w14:textId="77777777" w:rsidR="00D00880" w:rsidRPr="00D00880" w:rsidRDefault="00D00880" w:rsidP="001B392C">
      <w:pPr>
        <w:rPr>
          <w:bCs/>
        </w:rPr>
      </w:pPr>
      <w:r w:rsidRPr="00D00880">
        <w:rPr>
          <w:bCs/>
        </w:rPr>
        <w:t>301-796-</w:t>
      </w:r>
      <w:r w:rsidR="002254D4">
        <w:rPr>
          <w:bCs/>
        </w:rPr>
        <w:t>7726</w:t>
      </w:r>
    </w:p>
    <w:p w14:paraId="7DAFCA77" w14:textId="77777777" w:rsidR="00D00880" w:rsidRPr="00D00880" w:rsidRDefault="00D00880" w:rsidP="001B392C">
      <w:pPr>
        <w:rPr>
          <w:bCs/>
        </w:rPr>
      </w:pPr>
    </w:p>
    <w:p w14:paraId="5BF74478" w14:textId="3C16BEEE" w:rsidR="00D00880" w:rsidRPr="00D00880" w:rsidRDefault="00E56658" w:rsidP="001B392C">
      <w:pPr>
        <w:rPr>
          <w:bCs/>
        </w:rPr>
      </w:pPr>
      <w:r>
        <w:rPr>
          <w:bCs/>
        </w:rPr>
        <w:t>Linda Verrill, Ph.D.</w:t>
      </w:r>
      <w:r w:rsidR="00D00880" w:rsidRPr="00D00880">
        <w:rPr>
          <w:bCs/>
        </w:rPr>
        <w:t xml:space="preserve"> (Program Contact)</w:t>
      </w:r>
    </w:p>
    <w:p w14:paraId="380A9892" w14:textId="61BD8D62" w:rsidR="00D00880" w:rsidRPr="00D00880" w:rsidRDefault="00E56658" w:rsidP="001B392C">
      <w:pPr>
        <w:rPr>
          <w:bCs/>
        </w:rPr>
      </w:pPr>
      <w:r>
        <w:rPr>
          <w:bCs/>
        </w:rPr>
        <w:t>Linda.Verrill</w:t>
      </w:r>
      <w:r w:rsidR="00D00880" w:rsidRPr="00D00880">
        <w:rPr>
          <w:bCs/>
        </w:rPr>
        <w:t>@fda.hhs.gov</w:t>
      </w:r>
    </w:p>
    <w:p w14:paraId="098BDEE0" w14:textId="1DF06451" w:rsidR="00140A0D" w:rsidRDefault="00D00880" w:rsidP="001B392C">
      <w:pPr>
        <w:tabs>
          <w:tab w:val="left" w:pos="5670"/>
        </w:tabs>
        <w:suppressAutoHyphens/>
        <w:rPr>
          <w:bCs/>
        </w:rPr>
      </w:pPr>
      <w:r w:rsidRPr="00D00880">
        <w:rPr>
          <w:bCs/>
        </w:rPr>
        <w:t>240-402-</w:t>
      </w:r>
      <w:r w:rsidR="00E56658">
        <w:rPr>
          <w:bCs/>
        </w:rPr>
        <w:t>1765</w:t>
      </w:r>
    </w:p>
    <w:p w14:paraId="55F1F5F0" w14:textId="77777777" w:rsidR="00D00880" w:rsidRDefault="00D00880" w:rsidP="001B392C">
      <w:pPr>
        <w:tabs>
          <w:tab w:val="left" w:pos="5670"/>
        </w:tabs>
        <w:suppressAutoHyphens/>
        <w:rPr>
          <w:b/>
        </w:rPr>
      </w:pPr>
    </w:p>
    <w:p w14:paraId="3E74EBBA" w14:textId="7AAE14B0" w:rsidR="003F1C7A" w:rsidRPr="00E215FA" w:rsidRDefault="00140A0D" w:rsidP="001B392C">
      <w:pPr>
        <w:tabs>
          <w:tab w:val="left" w:pos="5670"/>
        </w:tabs>
        <w:suppressAutoHyphens/>
      </w:pPr>
      <w:r>
        <w:rPr>
          <w:b/>
        </w:rPr>
        <w:t xml:space="preserve">FDA CENTER:  </w:t>
      </w:r>
      <w:r w:rsidR="001973CE">
        <w:t>C</w:t>
      </w:r>
      <w:r w:rsidR="002254D4">
        <w:t>enter for Food Safety and Applied Nutrition</w:t>
      </w:r>
    </w:p>
    <w:sectPr w:rsidR="003F1C7A" w:rsidRPr="00E215FA" w:rsidSect="00E9604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7624D" w14:textId="77777777" w:rsidR="00CE43A9" w:rsidRDefault="00CE43A9">
      <w:r>
        <w:separator/>
      </w:r>
    </w:p>
  </w:endnote>
  <w:endnote w:type="continuationSeparator" w:id="0">
    <w:p w14:paraId="2FA10A81" w14:textId="77777777" w:rsidR="00CE43A9" w:rsidRDefault="00CE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B640" w14:textId="0EB34BF9"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945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7694" w14:textId="77777777" w:rsidR="00CE43A9" w:rsidRDefault="00CE43A9">
      <w:r>
        <w:separator/>
      </w:r>
    </w:p>
  </w:footnote>
  <w:footnote w:type="continuationSeparator" w:id="0">
    <w:p w14:paraId="536AC6DD" w14:textId="77777777" w:rsidR="00CE43A9" w:rsidRDefault="00CE43A9">
      <w:r>
        <w:continuationSeparator/>
      </w:r>
    </w:p>
  </w:footnote>
  <w:footnote w:id="1">
    <w:p w14:paraId="61CE80C5" w14:textId="5EB8D011" w:rsidR="00361F80" w:rsidRDefault="00361F80">
      <w:pPr>
        <w:pStyle w:val="FootnoteText"/>
      </w:pPr>
      <w:r>
        <w:rPr>
          <w:rStyle w:val="FootnoteReference"/>
        </w:rPr>
        <w:footnoteRef/>
      </w:r>
      <w:r>
        <w:t xml:space="preserve"> Healthy Innovation, Safer Families: FDA’s 2018 Strategic Policy Roadmap.   </w:t>
      </w:r>
      <w:hyperlink r:id="rId1" w:history="1">
        <w:r w:rsidRPr="009A04EE">
          <w:rPr>
            <w:rStyle w:val="Hyperlink"/>
          </w:rPr>
          <w:t>https://www.fda.gov/AboutFDA/ReportsManualsForms/Reports/ucm591993.htm</w:t>
        </w:r>
      </w:hyperlink>
      <w:r>
        <w:t>. Accessed 11-27-18.</w:t>
      </w:r>
    </w:p>
  </w:footnote>
  <w:footnote w:id="2">
    <w:p w14:paraId="1FE39176" w14:textId="02C8C821" w:rsidR="009F79DD" w:rsidRPr="002A0FC9" w:rsidRDefault="009F79DD" w:rsidP="002A0FC9">
      <w:pPr>
        <w:ind w:left="360" w:hanging="360"/>
        <w:rPr>
          <w:rFonts w:ascii="Garamond" w:hAnsi="Garamond"/>
          <w:sz w:val="20"/>
          <w:szCs w:val="20"/>
        </w:rPr>
      </w:pPr>
      <w:r w:rsidRPr="00361F80">
        <w:rPr>
          <w:rStyle w:val="FootnoteReference"/>
          <w:rFonts w:ascii="Garamond" w:hAnsi="Garamond"/>
          <w:sz w:val="20"/>
          <w:szCs w:val="20"/>
        </w:rPr>
        <w:footnoteRef/>
      </w:r>
      <w:r w:rsidRPr="00361F80">
        <w:rPr>
          <w:rFonts w:ascii="Garamond" w:hAnsi="Garamond"/>
          <w:sz w:val="20"/>
          <w:szCs w:val="20"/>
        </w:rPr>
        <w:t xml:space="preserve"> </w:t>
      </w:r>
      <w:r w:rsidR="00CB6A35">
        <w:rPr>
          <w:rFonts w:ascii="Garamond" w:hAnsi="Garamond"/>
          <w:sz w:val="20"/>
          <w:szCs w:val="20"/>
        </w:rPr>
        <w:t>Cowburn and Stock</w:t>
      </w:r>
      <w:r w:rsidR="00361F80" w:rsidRPr="00361F80">
        <w:rPr>
          <w:rFonts w:ascii="Garamond" w:hAnsi="Garamond"/>
          <w:sz w:val="20"/>
          <w:szCs w:val="20"/>
        </w:rPr>
        <w:t>l</w:t>
      </w:r>
      <w:r w:rsidR="00CB6A35">
        <w:rPr>
          <w:rFonts w:ascii="Garamond" w:hAnsi="Garamond"/>
          <w:sz w:val="20"/>
          <w:szCs w:val="20"/>
        </w:rPr>
        <w:t>e</w:t>
      </w:r>
      <w:r w:rsidR="00361F80" w:rsidRPr="00361F80">
        <w:rPr>
          <w:rFonts w:ascii="Garamond" w:hAnsi="Garamond"/>
          <w:sz w:val="20"/>
          <w:szCs w:val="20"/>
        </w:rPr>
        <w:t xml:space="preserve">y. 2005 Consumer Understanding and Use of nutrition labeling: a systematic review. Public health Nutrition 8(1):21-28. </w:t>
      </w:r>
    </w:p>
  </w:footnote>
  <w:footnote w:id="3">
    <w:p w14:paraId="15B35860" w14:textId="77777777" w:rsidR="002A0FC9" w:rsidRPr="002A0FC9" w:rsidRDefault="002A0FC9" w:rsidP="002A0FC9">
      <w:pPr>
        <w:ind w:left="360" w:hanging="360"/>
        <w:rPr>
          <w:rFonts w:ascii="Garamond" w:hAnsi="Garamond" w:cstheme="minorHAnsi"/>
          <w:sz w:val="20"/>
          <w:szCs w:val="20"/>
        </w:rPr>
      </w:pPr>
      <w:r w:rsidRPr="002A0FC9">
        <w:rPr>
          <w:rStyle w:val="FootnoteReference"/>
          <w:rFonts w:ascii="Garamond" w:hAnsi="Garamond"/>
          <w:sz w:val="20"/>
          <w:szCs w:val="20"/>
        </w:rPr>
        <w:footnoteRef/>
      </w:r>
      <w:r w:rsidRPr="002A0FC9">
        <w:rPr>
          <w:rFonts w:ascii="Garamond" w:hAnsi="Garamond"/>
          <w:sz w:val="20"/>
          <w:szCs w:val="20"/>
        </w:rPr>
        <w:t xml:space="preserve"> </w:t>
      </w:r>
      <w:r w:rsidRPr="002A0FC9">
        <w:rPr>
          <w:rFonts w:ascii="Garamond" w:hAnsi="Garamond" w:cstheme="minorHAnsi"/>
          <w:sz w:val="20"/>
          <w:szCs w:val="20"/>
        </w:rPr>
        <w:t>IOMa (Institute of Medicine). 2010 Examination of Front-of-Package Nutrition Rating Systems and Symbols: Phase I Report. Washington, DC: The National Academies Press.</w:t>
      </w:r>
    </w:p>
    <w:p w14:paraId="64FCB6CA" w14:textId="09DFE5D4" w:rsidR="002A0FC9" w:rsidRPr="002A0FC9" w:rsidRDefault="002A0FC9">
      <w:pPr>
        <w:pStyle w:val="FootnoteText"/>
      </w:pPr>
    </w:p>
  </w:footnote>
  <w:footnote w:id="4">
    <w:p w14:paraId="3F0B751B" w14:textId="19BF78E7" w:rsidR="002A0FC9" w:rsidRPr="002A0FC9" w:rsidRDefault="002A0FC9" w:rsidP="002A0FC9">
      <w:pPr>
        <w:ind w:left="360" w:hanging="360"/>
        <w:rPr>
          <w:rFonts w:ascii="Garamond" w:hAnsi="Garamond" w:cstheme="minorHAnsi"/>
          <w:sz w:val="20"/>
          <w:szCs w:val="20"/>
        </w:rPr>
      </w:pPr>
      <w:r w:rsidRPr="002A0FC9">
        <w:rPr>
          <w:rStyle w:val="FootnoteReference"/>
          <w:rFonts w:ascii="Garamond" w:hAnsi="Garamond"/>
          <w:sz w:val="20"/>
          <w:szCs w:val="20"/>
        </w:rPr>
        <w:footnoteRef/>
      </w:r>
      <w:r w:rsidRPr="002A0FC9">
        <w:rPr>
          <w:rFonts w:ascii="Garamond" w:hAnsi="Garamond"/>
          <w:sz w:val="20"/>
          <w:szCs w:val="20"/>
        </w:rPr>
        <w:t xml:space="preserve"> </w:t>
      </w:r>
      <w:r w:rsidRPr="002A0FC9">
        <w:rPr>
          <w:rFonts w:ascii="Garamond" w:hAnsi="Garamond" w:cstheme="minorHAnsi"/>
          <w:sz w:val="20"/>
          <w:szCs w:val="20"/>
        </w:rPr>
        <w:t>IOMb (Institute of Medicine). 2012. Front-of-Package Nutrition Ratings Systems and Symbols: Promoting Healthier Choices. Washington, DC: The National Academies Press.</w:t>
      </w:r>
    </w:p>
  </w:footnote>
  <w:footnote w:id="5">
    <w:p w14:paraId="2A98B340" w14:textId="55B5AAC0" w:rsidR="002A0FC9" w:rsidRPr="002A0FC9" w:rsidRDefault="002A0FC9" w:rsidP="002A0FC9">
      <w:pPr>
        <w:ind w:left="360" w:hanging="360"/>
        <w:rPr>
          <w:rFonts w:ascii="Garamond" w:hAnsi="Garamond" w:cstheme="minorHAnsi"/>
          <w:sz w:val="20"/>
          <w:szCs w:val="20"/>
        </w:rPr>
      </w:pPr>
      <w:r w:rsidRPr="002A0FC9">
        <w:rPr>
          <w:rStyle w:val="FootnoteReference"/>
          <w:rFonts w:ascii="Garamond" w:hAnsi="Garamond"/>
          <w:sz w:val="20"/>
          <w:szCs w:val="20"/>
        </w:rPr>
        <w:footnoteRef/>
      </w:r>
      <w:r w:rsidRPr="002A0FC9">
        <w:rPr>
          <w:rFonts w:ascii="Garamond" w:hAnsi="Garamond"/>
          <w:sz w:val="20"/>
          <w:szCs w:val="20"/>
        </w:rPr>
        <w:t xml:space="preserve"> </w:t>
      </w:r>
      <w:r w:rsidRPr="002A0FC9">
        <w:rPr>
          <w:rFonts w:ascii="Garamond" w:hAnsi="Garamond" w:cstheme="minorHAnsi"/>
          <w:sz w:val="20"/>
          <w:szCs w:val="20"/>
        </w:rPr>
        <w:t>Hersey, JC, KC Wohlgenant, JE Arsenault, KM Kosa, MK Muth. 2013. Effects of front-of-package and shelf nutrition labeling systems on consumers. Nutrition Reviews. 71(1):1-14.</w:t>
      </w:r>
    </w:p>
  </w:footnote>
  <w:footnote w:id="6">
    <w:p w14:paraId="5375F7A8" w14:textId="77777777" w:rsidR="002A0FC9" w:rsidRPr="002A0FC9" w:rsidRDefault="002A0FC9" w:rsidP="002A0FC9">
      <w:pPr>
        <w:ind w:left="360" w:hanging="360"/>
        <w:rPr>
          <w:rFonts w:ascii="Garamond" w:hAnsi="Garamond" w:cstheme="minorHAnsi"/>
          <w:sz w:val="20"/>
          <w:szCs w:val="20"/>
        </w:rPr>
      </w:pPr>
      <w:r w:rsidRPr="002A0FC9">
        <w:rPr>
          <w:rStyle w:val="FootnoteReference"/>
          <w:rFonts w:ascii="Garamond" w:hAnsi="Garamond"/>
          <w:sz w:val="20"/>
          <w:szCs w:val="20"/>
        </w:rPr>
        <w:footnoteRef/>
      </w:r>
      <w:r w:rsidRPr="002A0FC9">
        <w:rPr>
          <w:rFonts w:ascii="Garamond" w:hAnsi="Garamond"/>
          <w:sz w:val="20"/>
          <w:szCs w:val="20"/>
        </w:rPr>
        <w:t xml:space="preserve"> </w:t>
      </w:r>
      <w:r w:rsidRPr="002A0FC9">
        <w:rPr>
          <w:rFonts w:ascii="Garamond" w:hAnsi="Garamond" w:cstheme="minorHAnsi"/>
          <w:sz w:val="20"/>
          <w:szCs w:val="20"/>
        </w:rPr>
        <w:t xml:space="preserve">Research Triangle Institute (RTI). 2016. Addendum to Policy Research for Front of Package Nutrition Labeling: Environmental Scan and Literature Review. Report prepared for U.S. Food and Drug Administration. </w:t>
      </w:r>
    </w:p>
    <w:p w14:paraId="1CA45914" w14:textId="7E529254" w:rsidR="002A0FC9" w:rsidRDefault="002A0FC9">
      <w:pPr>
        <w:pStyle w:val="FootnoteText"/>
      </w:pPr>
    </w:p>
  </w:footnote>
  <w:footnote w:id="7">
    <w:p w14:paraId="39A7F4FA"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8">
    <w:p w14:paraId="7B6DF57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9">
    <w:p w14:paraId="446F67A5"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10">
    <w:p w14:paraId="00E7F771"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11">
    <w:p w14:paraId="2E3524E2" w14:textId="77777777" w:rsidR="00071751" w:rsidRDefault="00071751" w:rsidP="00071751">
      <w:pPr>
        <w:pStyle w:val="FootnoteText"/>
      </w:pPr>
      <w:r>
        <w:rPr>
          <w:rStyle w:val="FootnoteReference"/>
        </w:rPr>
        <w:footnoteRef/>
      </w:r>
      <w:r>
        <w:t xml:space="preserve"> Church, A.H. (1993). Estimating the effect of incentives on mail survey response rates: A meta-analysis. </w:t>
      </w:r>
      <w:r>
        <w:rPr>
          <w:i/>
          <w:iCs/>
        </w:rPr>
        <w:t>Public Opinion Quarterly,</w:t>
      </w:r>
      <w:r>
        <w:t xml:space="preserve"> 57, 62-79.</w:t>
      </w:r>
    </w:p>
  </w:footnote>
  <w:footnote w:id="12">
    <w:p w14:paraId="5D2E7FD1" w14:textId="4D17E267" w:rsidR="00071751" w:rsidRPr="00DD24A2" w:rsidRDefault="00071751">
      <w:pPr>
        <w:pStyle w:val="FootnoteText"/>
      </w:pPr>
      <w:r w:rsidRPr="00DD24A2">
        <w:rPr>
          <w:rStyle w:val="FootnoteReference"/>
        </w:rPr>
        <w:footnoteRef/>
      </w:r>
      <w:r w:rsidRPr="00DD24A2">
        <w:t xml:space="preserve"> </w:t>
      </w:r>
      <w:r w:rsidRPr="00B41C47">
        <w:t xml:space="preserve">Halpen, S.D., Karlawish, J.H., Casarett, D., Berlin, J.A., &amp; Asch, D.A. (2004). Empirical assessment of whether moderate payments are undue or unjust inducements for participation in clinical trials. </w:t>
      </w:r>
      <w:r w:rsidRPr="00B41C47">
        <w:rPr>
          <w:i/>
        </w:rPr>
        <w:t>Archives of Internal Medicine</w:t>
      </w:r>
      <w:r w:rsidRPr="00B41C47">
        <w:t xml:space="preserve">, </w:t>
      </w:r>
      <w:r w:rsidRPr="00B41C47">
        <w:rPr>
          <w:i/>
        </w:rPr>
        <w:t>164</w:t>
      </w:r>
      <w:r w:rsidRPr="00B41C47">
        <w:t>(</w:t>
      </w:r>
      <w:r w:rsidRPr="00B41C47">
        <w:rPr>
          <w:i/>
        </w:rPr>
        <w:t>7</w:t>
      </w:r>
      <w:r w:rsidRPr="00B41C47">
        <w:t>), 801-803.</w:t>
      </w:r>
    </w:p>
  </w:footnote>
  <w:footnote w:id="13">
    <w:p w14:paraId="1B58B6A0"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5F21273"/>
    <w:multiLevelType w:val="hybridMultilevel"/>
    <w:tmpl w:val="22EA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sDQ1MTcxsTQwNrdU0lEKTi0uzszPAykwrgUAjdVrwywAAAA="/>
  </w:docVars>
  <w:rsids>
    <w:rsidRoot w:val="00744F5B"/>
    <w:rsid w:val="000021AC"/>
    <w:rsid w:val="00005D48"/>
    <w:rsid w:val="000229E4"/>
    <w:rsid w:val="00024852"/>
    <w:rsid w:val="000275F0"/>
    <w:rsid w:val="00027D62"/>
    <w:rsid w:val="00034D7F"/>
    <w:rsid w:val="00035B5C"/>
    <w:rsid w:val="00040ADC"/>
    <w:rsid w:val="000477CE"/>
    <w:rsid w:val="00071751"/>
    <w:rsid w:val="00081B37"/>
    <w:rsid w:val="00096B3F"/>
    <w:rsid w:val="000A525C"/>
    <w:rsid w:val="000A52C2"/>
    <w:rsid w:val="000C1DC4"/>
    <w:rsid w:val="000C386B"/>
    <w:rsid w:val="000F1CDA"/>
    <w:rsid w:val="000F2F28"/>
    <w:rsid w:val="000F6D02"/>
    <w:rsid w:val="00102CB9"/>
    <w:rsid w:val="00103A05"/>
    <w:rsid w:val="00113DB3"/>
    <w:rsid w:val="0012027A"/>
    <w:rsid w:val="0012150E"/>
    <w:rsid w:val="00121C06"/>
    <w:rsid w:val="00126D06"/>
    <w:rsid w:val="00132EF8"/>
    <w:rsid w:val="0013429B"/>
    <w:rsid w:val="00135607"/>
    <w:rsid w:val="00140343"/>
    <w:rsid w:val="00140A0D"/>
    <w:rsid w:val="001470C1"/>
    <w:rsid w:val="001534AD"/>
    <w:rsid w:val="00154467"/>
    <w:rsid w:val="00163E86"/>
    <w:rsid w:val="001673A9"/>
    <w:rsid w:val="00172A6E"/>
    <w:rsid w:val="00173ACB"/>
    <w:rsid w:val="0017544C"/>
    <w:rsid w:val="001835D3"/>
    <w:rsid w:val="00190AA2"/>
    <w:rsid w:val="001973CE"/>
    <w:rsid w:val="001A072A"/>
    <w:rsid w:val="001A38D6"/>
    <w:rsid w:val="001A68F4"/>
    <w:rsid w:val="001B08AE"/>
    <w:rsid w:val="001B392C"/>
    <w:rsid w:val="001C0117"/>
    <w:rsid w:val="001C3D56"/>
    <w:rsid w:val="001C7B3E"/>
    <w:rsid w:val="001D19B4"/>
    <w:rsid w:val="001E15AA"/>
    <w:rsid w:val="001F09C0"/>
    <w:rsid w:val="001F397E"/>
    <w:rsid w:val="001F4032"/>
    <w:rsid w:val="001F4357"/>
    <w:rsid w:val="00205677"/>
    <w:rsid w:val="0020693D"/>
    <w:rsid w:val="00216F24"/>
    <w:rsid w:val="002254D4"/>
    <w:rsid w:val="00230200"/>
    <w:rsid w:val="00243BAE"/>
    <w:rsid w:val="00254EB8"/>
    <w:rsid w:val="00255B16"/>
    <w:rsid w:val="002615BF"/>
    <w:rsid w:val="00263DCB"/>
    <w:rsid w:val="00265358"/>
    <w:rsid w:val="00265BFD"/>
    <w:rsid w:val="00274A8E"/>
    <w:rsid w:val="00275ACB"/>
    <w:rsid w:val="00282871"/>
    <w:rsid w:val="00287B67"/>
    <w:rsid w:val="00290BA3"/>
    <w:rsid w:val="0029232B"/>
    <w:rsid w:val="002A0345"/>
    <w:rsid w:val="002A0451"/>
    <w:rsid w:val="002A0FC9"/>
    <w:rsid w:val="002C4C50"/>
    <w:rsid w:val="002E5CC6"/>
    <w:rsid w:val="002F043F"/>
    <w:rsid w:val="002F5085"/>
    <w:rsid w:val="002F51BE"/>
    <w:rsid w:val="00306E47"/>
    <w:rsid w:val="00314CE8"/>
    <w:rsid w:val="00324DC3"/>
    <w:rsid w:val="00350C25"/>
    <w:rsid w:val="00354FAE"/>
    <w:rsid w:val="00361F80"/>
    <w:rsid w:val="00362661"/>
    <w:rsid w:val="00364051"/>
    <w:rsid w:val="00377E79"/>
    <w:rsid w:val="003A6102"/>
    <w:rsid w:val="003B2DE7"/>
    <w:rsid w:val="003C7EE8"/>
    <w:rsid w:val="003F0F24"/>
    <w:rsid w:val="003F1C7A"/>
    <w:rsid w:val="00411149"/>
    <w:rsid w:val="00412089"/>
    <w:rsid w:val="004312CC"/>
    <w:rsid w:val="0043221D"/>
    <w:rsid w:val="004524FF"/>
    <w:rsid w:val="0045615E"/>
    <w:rsid w:val="00463B4D"/>
    <w:rsid w:val="004722B4"/>
    <w:rsid w:val="00473C32"/>
    <w:rsid w:val="00477E1E"/>
    <w:rsid w:val="0048309C"/>
    <w:rsid w:val="004910F4"/>
    <w:rsid w:val="0049419A"/>
    <w:rsid w:val="004A0140"/>
    <w:rsid w:val="004A1115"/>
    <w:rsid w:val="004B694D"/>
    <w:rsid w:val="004C6ACD"/>
    <w:rsid w:val="004D0416"/>
    <w:rsid w:val="004E1EE9"/>
    <w:rsid w:val="004F62DF"/>
    <w:rsid w:val="00506FE7"/>
    <w:rsid w:val="005120FE"/>
    <w:rsid w:val="00513F6A"/>
    <w:rsid w:val="00517225"/>
    <w:rsid w:val="00540689"/>
    <w:rsid w:val="00540C6D"/>
    <w:rsid w:val="005556BA"/>
    <w:rsid w:val="00576639"/>
    <w:rsid w:val="00582AEC"/>
    <w:rsid w:val="005A1029"/>
    <w:rsid w:val="005A18A4"/>
    <w:rsid w:val="005B3F8D"/>
    <w:rsid w:val="005B4CFB"/>
    <w:rsid w:val="005C1579"/>
    <w:rsid w:val="005C6A7F"/>
    <w:rsid w:val="005D0D89"/>
    <w:rsid w:val="005D6364"/>
    <w:rsid w:val="005E064C"/>
    <w:rsid w:val="005E23BA"/>
    <w:rsid w:val="005E4981"/>
    <w:rsid w:val="00605169"/>
    <w:rsid w:val="006237E4"/>
    <w:rsid w:val="006355C6"/>
    <w:rsid w:val="00641796"/>
    <w:rsid w:val="006470BB"/>
    <w:rsid w:val="0065144D"/>
    <w:rsid w:val="00670BC7"/>
    <w:rsid w:val="00685782"/>
    <w:rsid w:val="00696B03"/>
    <w:rsid w:val="006970B6"/>
    <w:rsid w:val="006A2D27"/>
    <w:rsid w:val="006A305F"/>
    <w:rsid w:val="006D3B31"/>
    <w:rsid w:val="006F3095"/>
    <w:rsid w:val="00702527"/>
    <w:rsid w:val="0074463A"/>
    <w:rsid w:val="00744F5B"/>
    <w:rsid w:val="00760CBA"/>
    <w:rsid w:val="00780A9A"/>
    <w:rsid w:val="0078172C"/>
    <w:rsid w:val="007837CA"/>
    <w:rsid w:val="007853F0"/>
    <w:rsid w:val="00787E77"/>
    <w:rsid w:val="00793F1E"/>
    <w:rsid w:val="007944E7"/>
    <w:rsid w:val="00795B93"/>
    <w:rsid w:val="00795D9D"/>
    <w:rsid w:val="007A305E"/>
    <w:rsid w:val="007A4331"/>
    <w:rsid w:val="007A4CF6"/>
    <w:rsid w:val="007B045B"/>
    <w:rsid w:val="007C2C46"/>
    <w:rsid w:val="007C69C6"/>
    <w:rsid w:val="007C6E1E"/>
    <w:rsid w:val="007C76AB"/>
    <w:rsid w:val="007D7B02"/>
    <w:rsid w:val="007D7BAA"/>
    <w:rsid w:val="007E69D7"/>
    <w:rsid w:val="007E7325"/>
    <w:rsid w:val="007E76D6"/>
    <w:rsid w:val="007F5F99"/>
    <w:rsid w:val="00802398"/>
    <w:rsid w:val="0081042C"/>
    <w:rsid w:val="008408E6"/>
    <w:rsid w:val="00846A5B"/>
    <w:rsid w:val="00854DC4"/>
    <w:rsid w:val="008577D6"/>
    <w:rsid w:val="00860BFD"/>
    <w:rsid w:val="00862F2F"/>
    <w:rsid w:val="00870E3C"/>
    <w:rsid w:val="00871FD9"/>
    <w:rsid w:val="00875770"/>
    <w:rsid w:val="00882AE4"/>
    <w:rsid w:val="00883571"/>
    <w:rsid w:val="008863D0"/>
    <w:rsid w:val="008948B1"/>
    <w:rsid w:val="00894F96"/>
    <w:rsid w:val="00895FDC"/>
    <w:rsid w:val="008A0CCC"/>
    <w:rsid w:val="008A15B1"/>
    <w:rsid w:val="008A4D10"/>
    <w:rsid w:val="008D29D6"/>
    <w:rsid w:val="008E5BE4"/>
    <w:rsid w:val="008E6145"/>
    <w:rsid w:val="008E7B52"/>
    <w:rsid w:val="008F68DF"/>
    <w:rsid w:val="008F6E91"/>
    <w:rsid w:val="009065AB"/>
    <w:rsid w:val="00906986"/>
    <w:rsid w:val="00910694"/>
    <w:rsid w:val="0092248E"/>
    <w:rsid w:val="009238D7"/>
    <w:rsid w:val="0093362F"/>
    <w:rsid w:val="009404FA"/>
    <w:rsid w:val="00945015"/>
    <w:rsid w:val="0097718E"/>
    <w:rsid w:val="0098121D"/>
    <w:rsid w:val="009845CD"/>
    <w:rsid w:val="009867AB"/>
    <w:rsid w:val="0099242D"/>
    <w:rsid w:val="009940CE"/>
    <w:rsid w:val="009945D9"/>
    <w:rsid w:val="009C3BA0"/>
    <w:rsid w:val="009E0F10"/>
    <w:rsid w:val="009E1E12"/>
    <w:rsid w:val="009E555A"/>
    <w:rsid w:val="009E7B22"/>
    <w:rsid w:val="009F79DD"/>
    <w:rsid w:val="00A037AF"/>
    <w:rsid w:val="00A10801"/>
    <w:rsid w:val="00A2089D"/>
    <w:rsid w:val="00A212B8"/>
    <w:rsid w:val="00A2659D"/>
    <w:rsid w:val="00A26BA5"/>
    <w:rsid w:val="00A44BF9"/>
    <w:rsid w:val="00A746A9"/>
    <w:rsid w:val="00A802BA"/>
    <w:rsid w:val="00A82DCC"/>
    <w:rsid w:val="00A84CA0"/>
    <w:rsid w:val="00A91991"/>
    <w:rsid w:val="00A9245B"/>
    <w:rsid w:val="00AA3856"/>
    <w:rsid w:val="00AB2333"/>
    <w:rsid w:val="00AC2461"/>
    <w:rsid w:val="00AC63BA"/>
    <w:rsid w:val="00AD0BB4"/>
    <w:rsid w:val="00AD31D7"/>
    <w:rsid w:val="00AE34BB"/>
    <w:rsid w:val="00AF337C"/>
    <w:rsid w:val="00AF5DE2"/>
    <w:rsid w:val="00B00D27"/>
    <w:rsid w:val="00B021C5"/>
    <w:rsid w:val="00B14F69"/>
    <w:rsid w:val="00B26010"/>
    <w:rsid w:val="00B27552"/>
    <w:rsid w:val="00B31D14"/>
    <w:rsid w:val="00B40D56"/>
    <w:rsid w:val="00B41C47"/>
    <w:rsid w:val="00B45740"/>
    <w:rsid w:val="00B46254"/>
    <w:rsid w:val="00B46E5B"/>
    <w:rsid w:val="00B65597"/>
    <w:rsid w:val="00B71082"/>
    <w:rsid w:val="00B72DD6"/>
    <w:rsid w:val="00B859B1"/>
    <w:rsid w:val="00B87572"/>
    <w:rsid w:val="00B94044"/>
    <w:rsid w:val="00BC3B0E"/>
    <w:rsid w:val="00BC7613"/>
    <w:rsid w:val="00BF3A0E"/>
    <w:rsid w:val="00BF4E4F"/>
    <w:rsid w:val="00BF526E"/>
    <w:rsid w:val="00C168EA"/>
    <w:rsid w:val="00C41CA0"/>
    <w:rsid w:val="00C42C31"/>
    <w:rsid w:val="00C52DAD"/>
    <w:rsid w:val="00C54AE4"/>
    <w:rsid w:val="00C716BF"/>
    <w:rsid w:val="00C73D7F"/>
    <w:rsid w:val="00C808E7"/>
    <w:rsid w:val="00C84FBD"/>
    <w:rsid w:val="00CB6A35"/>
    <w:rsid w:val="00CC096B"/>
    <w:rsid w:val="00CC7869"/>
    <w:rsid w:val="00CE0205"/>
    <w:rsid w:val="00CE43A9"/>
    <w:rsid w:val="00CE54C9"/>
    <w:rsid w:val="00CE57C2"/>
    <w:rsid w:val="00CE660E"/>
    <w:rsid w:val="00CF0774"/>
    <w:rsid w:val="00CF10F4"/>
    <w:rsid w:val="00D00880"/>
    <w:rsid w:val="00D05FCF"/>
    <w:rsid w:val="00D10399"/>
    <w:rsid w:val="00D14201"/>
    <w:rsid w:val="00D275BE"/>
    <w:rsid w:val="00D31111"/>
    <w:rsid w:val="00D340AB"/>
    <w:rsid w:val="00D3689E"/>
    <w:rsid w:val="00D43148"/>
    <w:rsid w:val="00D542D4"/>
    <w:rsid w:val="00D647BF"/>
    <w:rsid w:val="00D7047E"/>
    <w:rsid w:val="00DA4D60"/>
    <w:rsid w:val="00DB7E1F"/>
    <w:rsid w:val="00DC0678"/>
    <w:rsid w:val="00DC30B4"/>
    <w:rsid w:val="00DC76EE"/>
    <w:rsid w:val="00DD0744"/>
    <w:rsid w:val="00DD24A2"/>
    <w:rsid w:val="00DD3323"/>
    <w:rsid w:val="00DD6106"/>
    <w:rsid w:val="00DD7C40"/>
    <w:rsid w:val="00DE6944"/>
    <w:rsid w:val="00DF53C4"/>
    <w:rsid w:val="00E17CC8"/>
    <w:rsid w:val="00E215FA"/>
    <w:rsid w:val="00E26798"/>
    <w:rsid w:val="00E36C1A"/>
    <w:rsid w:val="00E45491"/>
    <w:rsid w:val="00E45BA0"/>
    <w:rsid w:val="00E56658"/>
    <w:rsid w:val="00E629FF"/>
    <w:rsid w:val="00E62E33"/>
    <w:rsid w:val="00E70641"/>
    <w:rsid w:val="00E96045"/>
    <w:rsid w:val="00E971FC"/>
    <w:rsid w:val="00EA0586"/>
    <w:rsid w:val="00EA2382"/>
    <w:rsid w:val="00EB0699"/>
    <w:rsid w:val="00EB5E20"/>
    <w:rsid w:val="00EC1E0E"/>
    <w:rsid w:val="00EC6B0A"/>
    <w:rsid w:val="00ED7C61"/>
    <w:rsid w:val="00EE231A"/>
    <w:rsid w:val="00EE5502"/>
    <w:rsid w:val="00EE7334"/>
    <w:rsid w:val="00F1118C"/>
    <w:rsid w:val="00F12AEE"/>
    <w:rsid w:val="00F15DA1"/>
    <w:rsid w:val="00F2502B"/>
    <w:rsid w:val="00F26B2B"/>
    <w:rsid w:val="00F3704A"/>
    <w:rsid w:val="00F62F0B"/>
    <w:rsid w:val="00F9129B"/>
    <w:rsid w:val="00FB79C4"/>
    <w:rsid w:val="00FD449C"/>
    <w:rsid w:val="00FE13AD"/>
    <w:rsid w:val="00FE3BAE"/>
    <w:rsid w:val="00FF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ReportsManualsForms/Reports/ucm5919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4F78-67DD-4FD2-B96B-E99904CD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2019-04-01T20:34:00Z</dcterms:created>
  <dcterms:modified xsi:type="dcterms:W3CDTF">2019-04-01T20:34:00Z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