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0DF9E" w14:textId="77777777" w:rsidR="003F1C7A" w:rsidRDefault="00364051" w:rsidP="00243BAE">
      <w:pPr>
        <w:pStyle w:val="Heading2"/>
        <w:tabs>
          <w:tab w:val="left" w:pos="900"/>
        </w:tabs>
        <w:ind w:right="-180"/>
        <w:rPr>
          <w:sz w:val="28"/>
        </w:rPr>
      </w:pPr>
      <w:bookmarkStart w:id="0" w:name="_GoBack"/>
      <w:bookmarkEnd w:id="0"/>
      <w:r>
        <w:rPr>
          <w:sz w:val="28"/>
        </w:rPr>
        <w:t>FDA</w:t>
      </w:r>
      <w:r w:rsidR="00243BAE">
        <w:rPr>
          <w:sz w:val="28"/>
        </w:rPr>
        <w:t xml:space="preserve"> </w:t>
      </w:r>
      <w:r w:rsidR="003F1C7A">
        <w:rPr>
          <w:sz w:val="28"/>
        </w:rPr>
        <w:t>DOCUMENTATION FOR THE GENERIC CLEARANCE</w:t>
      </w:r>
    </w:p>
    <w:p w14:paraId="3E8FB313" w14:textId="77777777" w:rsidR="003F1C7A" w:rsidRDefault="003F1C7A">
      <w:pPr>
        <w:jc w:val="center"/>
      </w:pPr>
      <w:r>
        <w:rPr>
          <w:b/>
          <w:sz w:val="28"/>
        </w:rPr>
        <w:t xml:space="preserve">OF </w:t>
      </w:r>
      <w:r w:rsidR="00F12AEE">
        <w:rPr>
          <w:b/>
          <w:sz w:val="28"/>
        </w:rPr>
        <w:t>FOCUS GROUPS</w:t>
      </w:r>
      <w:r w:rsidR="000F2F28">
        <w:rPr>
          <w:b/>
          <w:sz w:val="28"/>
        </w:rPr>
        <w:t xml:space="preserve"> (0910-0497)</w:t>
      </w:r>
    </w:p>
    <w:p w14:paraId="29D5B15A" w14:textId="77777777" w:rsidR="003F1C7A" w:rsidRDefault="004910F4">
      <w:r>
        <w:rPr>
          <w:noProof/>
          <w:sz w:val="18"/>
          <w:szCs w:val="18"/>
        </w:rPr>
        <mc:AlternateContent>
          <mc:Choice Requires="wps">
            <w:drawing>
              <wp:anchor distT="0" distB="0" distL="114300" distR="114300" simplePos="0" relativeHeight="251657728" behindDoc="0" locked="0" layoutInCell="1" allowOverlap="1" wp14:anchorId="4BBBB22A" wp14:editId="7AAECF65">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96122D"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strokeweight="1.5pt"/>
            </w:pict>
          </mc:Fallback>
        </mc:AlternateContent>
      </w:r>
    </w:p>
    <w:p w14:paraId="06018E2F" w14:textId="0B1967AB" w:rsidR="003F1C7A" w:rsidRPr="00463B4D" w:rsidRDefault="009404FA" w:rsidP="0014184D">
      <w:pPr>
        <w:rPr>
          <w:sz w:val="20"/>
          <w:szCs w:val="20"/>
        </w:rPr>
      </w:pPr>
      <w:r w:rsidRPr="00463B4D">
        <w:rPr>
          <w:sz w:val="20"/>
          <w:szCs w:val="20"/>
        </w:rPr>
        <w:t>Focus groups do not yield mea</w:t>
      </w:r>
      <w:r w:rsidR="00AD1328">
        <w:rPr>
          <w:sz w:val="20"/>
          <w:szCs w:val="20"/>
        </w:rPr>
        <w:t xml:space="preserve">ningful quantitative findings. </w:t>
      </w:r>
      <w:r w:rsidRPr="00463B4D">
        <w:rPr>
          <w:sz w:val="20"/>
          <w:szCs w:val="20"/>
        </w:rPr>
        <w:t>They can provide public input, but they do not yield data about public op</w:t>
      </w:r>
      <w:r w:rsidR="00AD1328">
        <w:rPr>
          <w:sz w:val="20"/>
          <w:szCs w:val="20"/>
        </w:rPr>
        <w:t xml:space="preserve">inion that can be generalized. </w:t>
      </w:r>
      <w:r w:rsidRPr="00463B4D">
        <w:rPr>
          <w:sz w:val="20"/>
          <w:szCs w:val="20"/>
        </w:rPr>
        <w:t>As such, they cannot be used to drive the development of policies, programs, and services. Policy makers and educators can use focus group findings to test and refine their ideas, but</w:t>
      </w:r>
      <w:r w:rsidR="003C7CFD">
        <w:rPr>
          <w:sz w:val="20"/>
          <w:szCs w:val="20"/>
        </w:rPr>
        <w:t xml:space="preserve"> they</w:t>
      </w:r>
      <w:r w:rsidRPr="00463B4D">
        <w:rPr>
          <w:sz w:val="20"/>
          <w:szCs w:val="20"/>
        </w:rPr>
        <w:t xml:space="preserve"> should then conduct further research be</w:t>
      </w:r>
      <w:r w:rsidR="00AD1328">
        <w:rPr>
          <w:sz w:val="20"/>
          <w:szCs w:val="20"/>
        </w:rPr>
        <w:t xml:space="preserve">fore making important decisions, </w:t>
      </w:r>
      <w:r w:rsidRPr="00463B4D">
        <w:rPr>
          <w:sz w:val="20"/>
          <w:szCs w:val="20"/>
        </w:rPr>
        <w:t>such as adopting new policies and allocating or redirecting significant resources to support these policies.</w:t>
      </w:r>
    </w:p>
    <w:p w14:paraId="04B8554E" w14:textId="77777777" w:rsidR="003441A9" w:rsidRDefault="003441A9" w:rsidP="0014184D">
      <w:pPr>
        <w:pStyle w:val="Default"/>
        <w:rPr>
          <w:b/>
        </w:rPr>
      </w:pPr>
    </w:p>
    <w:p w14:paraId="2EAD359A" w14:textId="1584917A" w:rsidR="003F1C7A" w:rsidRPr="0062552F" w:rsidRDefault="003F1C7A" w:rsidP="0062552F">
      <w:pPr>
        <w:pStyle w:val="Default"/>
        <w:spacing w:after="160" w:line="300" w:lineRule="exact"/>
        <w:rPr>
          <w:rFonts w:ascii="Times New Roman" w:hAnsi="Times New Roman" w:cs="Times New Roman"/>
        </w:rPr>
      </w:pPr>
      <w:r w:rsidRPr="0062552F">
        <w:rPr>
          <w:rFonts w:ascii="Times New Roman" w:hAnsi="Times New Roman" w:cs="Times New Roman"/>
          <w:b/>
        </w:rPr>
        <w:t>TITLE OF INFORMATION COLLECTION:</w:t>
      </w:r>
      <w:r w:rsidR="003C7CFD">
        <w:rPr>
          <w:rFonts w:ascii="Times New Roman" w:hAnsi="Times New Roman" w:cs="Times New Roman"/>
        </w:rPr>
        <w:t xml:space="preserve"> </w:t>
      </w:r>
      <w:r w:rsidR="003441A9" w:rsidRPr="0062552F">
        <w:rPr>
          <w:rFonts w:ascii="Times New Roman" w:hAnsi="Times New Roman" w:cs="Times New Roman"/>
          <w:bCs/>
        </w:rPr>
        <w:t>An Investigation of Allergy to Cosmetics in the United States</w:t>
      </w:r>
    </w:p>
    <w:p w14:paraId="5D072C61" w14:textId="77777777" w:rsidR="003F1C7A" w:rsidRPr="0062552F" w:rsidRDefault="003F1C7A" w:rsidP="0062552F">
      <w:pPr>
        <w:spacing w:after="160" w:line="300" w:lineRule="exact"/>
      </w:pPr>
      <w:r w:rsidRPr="0062552F">
        <w:rPr>
          <w:b/>
        </w:rPr>
        <w:t>DESCRIPTION OF THIS SPECIFIC COLLECTION</w:t>
      </w:r>
      <w:r w:rsidRPr="0062552F">
        <w:t xml:space="preserve"> </w:t>
      </w:r>
    </w:p>
    <w:p w14:paraId="773E7A7F" w14:textId="022D67A6" w:rsidR="003F1C7A" w:rsidRPr="0062552F" w:rsidRDefault="0049419A" w:rsidP="0062552F">
      <w:pPr>
        <w:numPr>
          <w:ilvl w:val="0"/>
          <w:numId w:val="15"/>
        </w:numPr>
        <w:tabs>
          <w:tab w:val="clear" w:pos="1296"/>
          <w:tab w:val="num" w:pos="720"/>
        </w:tabs>
        <w:spacing w:after="160" w:line="300" w:lineRule="exact"/>
        <w:ind w:left="360" w:firstLine="0"/>
      </w:pPr>
      <w:r w:rsidRPr="0062552F">
        <w:rPr>
          <w:b/>
        </w:rPr>
        <w:t>Statement of n</w:t>
      </w:r>
      <w:r w:rsidR="00F12AEE" w:rsidRPr="0062552F">
        <w:rPr>
          <w:b/>
        </w:rPr>
        <w:t>eed</w:t>
      </w:r>
      <w:r w:rsidR="003F1C7A" w:rsidRPr="0062552F">
        <w:rPr>
          <w:b/>
        </w:rPr>
        <w:t>:</w:t>
      </w:r>
      <w:r w:rsidR="003C7CFD">
        <w:t xml:space="preserve"> </w:t>
      </w:r>
    </w:p>
    <w:p w14:paraId="32EE649B" w14:textId="6C23DC13" w:rsidR="00FB566E" w:rsidRPr="0062552F" w:rsidRDefault="00787E77" w:rsidP="0062552F">
      <w:pPr>
        <w:pStyle w:val="Default"/>
        <w:spacing w:after="160" w:line="300" w:lineRule="exact"/>
        <w:ind w:left="720"/>
        <w:rPr>
          <w:rFonts w:ascii="Times New Roman" w:hAnsi="Times New Roman" w:cs="Times New Roman"/>
        </w:rPr>
      </w:pPr>
      <w:r w:rsidRPr="0062552F">
        <w:rPr>
          <w:rFonts w:ascii="Times New Roman" w:hAnsi="Times New Roman" w:cs="Times New Roman"/>
        </w:rPr>
        <w:t>The Food</w:t>
      </w:r>
      <w:r w:rsidR="003441A9" w:rsidRPr="0062552F">
        <w:rPr>
          <w:rFonts w:ascii="Times New Roman" w:hAnsi="Times New Roman" w:cs="Times New Roman"/>
        </w:rPr>
        <w:t xml:space="preserve"> and Drug Administration</w:t>
      </w:r>
      <w:r w:rsidR="006F35D2" w:rsidRPr="0062552F">
        <w:rPr>
          <w:rFonts w:ascii="Times New Roman" w:hAnsi="Times New Roman" w:cs="Times New Roman"/>
        </w:rPr>
        <w:t>’s Center for Food Safety and Applied Nutrition</w:t>
      </w:r>
      <w:r w:rsidR="003441A9" w:rsidRPr="0062552F">
        <w:rPr>
          <w:rFonts w:ascii="Times New Roman" w:hAnsi="Times New Roman" w:cs="Times New Roman"/>
        </w:rPr>
        <w:t xml:space="preserve"> (FDA</w:t>
      </w:r>
      <w:r w:rsidR="006F35D2" w:rsidRPr="0062552F">
        <w:rPr>
          <w:rFonts w:ascii="Times New Roman" w:hAnsi="Times New Roman" w:cs="Times New Roman"/>
        </w:rPr>
        <w:t>, CFSAN</w:t>
      </w:r>
      <w:r w:rsidR="003441A9" w:rsidRPr="0062552F">
        <w:rPr>
          <w:rFonts w:ascii="Times New Roman" w:hAnsi="Times New Roman" w:cs="Times New Roman"/>
        </w:rPr>
        <w:t xml:space="preserve">) </w:t>
      </w:r>
      <w:r w:rsidRPr="0062552F">
        <w:rPr>
          <w:rFonts w:ascii="Times New Roman" w:hAnsi="Times New Roman" w:cs="Times New Roman"/>
        </w:rPr>
        <w:t xml:space="preserve">is seeking OMB approval under the generic clearance </w:t>
      </w:r>
      <w:r w:rsidR="0036157C">
        <w:rPr>
          <w:rFonts w:ascii="Times New Roman" w:hAnsi="Times New Roman" w:cs="Times New Roman"/>
        </w:rPr>
        <w:t xml:space="preserve">OMB Control Number </w:t>
      </w:r>
      <w:r w:rsidRPr="0062552F">
        <w:rPr>
          <w:rFonts w:ascii="Times New Roman" w:hAnsi="Times New Roman" w:cs="Times New Roman"/>
        </w:rPr>
        <w:t xml:space="preserve">0910-0497 </w:t>
      </w:r>
      <w:r w:rsidR="003441A9" w:rsidRPr="0062552F">
        <w:rPr>
          <w:rFonts w:ascii="Times New Roman" w:hAnsi="Times New Roman" w:cs="Times New Roman"/>
        </w:rPr>
        <w:t xml:space="preserve">to conduct </w:t>
      </w:r>
      <w:r w:rsidRPr="0062552F">
        <w:rPr>
          <w:rFonts w:ascii="Times New Roman" w:hAnsi="Times New Roman" w:cs="Times New Roman"/>
        </w:rPr>
        <w:t>focus group</w:t>
      </w:r>
      <w:r w:rsidR="003C7CFD">
        <w:rPr>
          <w:rFonts w:ascii="Times New Roman" w:hAnsi="Times New Roman" w:cs="Times New Roman"/>
        </w:rPr>
        <w:t>s</w:t>
      </w:r>
      <w:r w:rsidRPr="0062552F">
        <w:rPr>
          <w:rFonts w:ascii="Times New Roman" w:hAnsi="Times New Roman" w:cs="Times New Roman"/>
        </w:rPr>
        <w:t xml:space="preserve"> </w:t>
      </w:r>
      <w:r w:rsidR="003441A9" w:rsidRPr="0062552F">
        <w:rPr>
          <w:rFonts w:ascii="Times New Roman" w:hAnsi="Times New Roman" w:cs="Times New Roman"/>
        </w:rPr>
        <w:t xml:space="preserve">as part of </w:t>
      </w:r>
      <w:r w:rsidR="007B6573" w:rsidRPr="0062552F">
        <w:rPr>
          <w:rFonts w:ascii="Times New Roman" w:hAnsi="Times New Roman" w:cs="Times New Roman"/>
        </w:rPr>
        <w:t xml:space="preserve">the </w:t>
      </w:r>
      <w:r w:rsidRPr="0062552F">
        <w:rPr>
          <w:rFonts w:ascii="Times New Roman" w:hAnsi="Times New Roman" w:cs="Times New Roman"/>
        </w:rPr>
        <w:t>project “</w:t>
      </w:r>
      <w:r w:rsidR="003441A9" w:rsidRPr="0062552F">
        <w:rPr>
          <w:rFonts w:ascii="Times New Roman" w:hAnsi="Times New Roman" w:cs="Times New Roman"/>
          <w:bCs/>
        </w:rPr>
        <w:t>An Investigation of Allergy to Cosmetics in the United States</w:t>
      </w:r>
      <w:r w:rsidRPr="0062552F">
        <w:rPr>
          <w:rFonts w:ascii="Times New Roman" w:hAnsi="Times New Roman" w:cs="Times New Roman"/>
        </w:rPr>
        <w:t xml:space="preserve">.” </w:t>
      </w:r>
    </w:p>
    <w:p w14:paraId="69436133" w14:textId="2618D320" w:rsidR="003441A9" w:rsidRPr="0062552F" w:rsidRDefault="00787E77" w:rsidP="0062552F">
      <w:pPr>
        <w:spacing w:after="160" w:line="300" w:lineRule="exact"/>
        <w:ind w:left="720"/>
      </w:pPr>
      <w:r w:rsidRPr="0062552F">
        <w:t>The purpose of this</w:t>
      </w:r>
      <w:r w:rsidR="00201660">
        <w:t xml:space="preserve"> investigation is to conduct a</w:t>
      </w:r>
      <w:r w:rsidRPr="0062552F">
        <w:t xml:space="preserve"> focus group study to collect qualitative information </w:t>
      </w:r>
      <w:r w:rsidR="003441A9" w:rsidRPr="0062552F">
        <w:t>from consumers about their use of cosmetic products and their awareness of and/or experience with adverse reactions to cosmetic products.</w:t>
      </w:r>
      <w:r w:rsidR="007B6573" w:rsidRPr="0062552F">
        <w:t xml:space="preserve"> </w:t>
      </w:r>
      <w:r w:rsidR="008E22E7">
        <w:t xml:space="preserve">More specifically, the research will help us </w:t>
      </w:r>
      <w:r w:rsidR="008E22E7" w:rsidRPr="00787E77">
        <w:t xml:space="preserve">explore </w:t>
      </w:r>
      <w:r w:rsidR="008E22E7">
        <w:t xml:space="preserve">(1) knowledge of cosmetics, (2) use of cosmetics, (3) use of product labels and expiration dates, (3) effects of labeling information, including ingredient lists, and advertisements on purchasing decisions, (4) experience and response to previous reactions to cosmetic products, and (5) likelihood of reporting adverse events to FDA. </w:t>
      </w:r>
      <w:r w:rsidR="003441A9" w:rsidRPr="0062552F">
        <w:t xml:space="preserve">The focus group study is part of a larger project </w:t>
      </w:r>
      <w:r w:rsidR="007B6573" w:rsidRPr="0062552F">
        <w:t xml:space="preserve">intended </w:t>
      </w:r>
      <w:r w:rsidR="003441A9" w:rsidRPr="0062552F">
        <w:t xml:space="preserve">to evaluate the current state of cosmetic product safety. </w:t>
      </w:r>
    </w:p>
    <w:p w14:paraId="7667004E" w14:textId="1CBEEE14" w:rsidR="003F1C7A" w:rsidRPr="0062552F" w:rsidRDefault="0049419A" w:rsidP="0062552F">
      <w:pPr>
        <w:numPr>
          <w:ilvl w:val="0"/>
          <w:numId w:val="15"/>
        </w:numPr>
        <w:tabs>
          <w:tab w:val="clear" w:pos="1296"/>
          <w:tab w:val="num" w:pos="720"/>
        </w:tabs>
        <w:spacing w:after="160" w:line="300" w:lineRule="exact"/>
        <w:ind w:left="720"/>
      </w:pPr>
      <w:r w:rsidRPr="0062552F">
        <w:rPr>
          <w:b/>
        </w:rPr>
        <w:t>Intended u</w:t>
      </w:r>
      <w:r w:rsidR="00F12AEE" w:rsidRPr="0062552F">
        <w:rPr>
          <w:b/>
        </w:rPr>
        <w:t>se</w:t>
      </w:r>
      <w:r w:rsidRPr="0062552F">
        <w:rPr>
          <w:b/>
        </w:rPr>
        <w:t xml:space="preserve"> of information</w:t>
      </w:r>
      <w:r w:rsidR="003F1C7A" w:rsidRPr="0062552F">
        <w:rPr>
          <w:b/>
        </w:rPr>
        <w:t>:</w:t>
      </w:r>
      <w:r w:rsidR="003C7CFD">
        <w:t xml:space="preserve"> </w:t>
      </w:r>
    </w:p>
    <w:p w14:paraId="6883A8BE" w14:textId="6913B94C" w:rsidR="00576639" w:rsidRDefault="00576639" w:rsidP="00201660">
      <w:pPr>
        <w:spacing w:after="160" w:line="300" w:lineRule="exact"/>
        <w:ind w:left="720"/>
      </w:pPr>
      <w:r w:rsidRPr="0062552F">
        <w:t>This information collection request involves</w:t>
      </w:r>
      <w:r w:rsidR="00246C08" w:rsidRPr="0062552F">
        <w:t xml:space="preserve"> </w:t>
      </w:r>
      <w:r w:rsidRPr="0062552F">
        <w:t>qualitative research that will be used</w:t>
      </w:r>
      <w:r w:rsidR="00A92558" w:rsidRPr="0062552F">
        <w:t xml:space="preserve"> in conjunction with other data collection </w:t>
      </w:r>
      <w:r w:rsidR="00246C08" w:rsidRPr="0062552F">
        <w:t>results</w:t>
      </w:r>
      <w:r w:rsidR="00A92558" w:rsidRPr="0062552F">
        <w:t xml:space="preserve"> </w:t>
      </w:r>
      <w:r w:rsidRPr="0062552F">
        <w:t xml:space="preserve">to </w:t>
      </w:r>
      <w:r w:rsidR="00665564">
        <w:t>develop</w:t>
      </w:r>
      <w:r w:rsidR="00665564" w:rsidRPr="0062552F" w:rsidDel="00665564">
        <w:t xml:space="preserve"> </w:t>
      </w:r>
      <w:r w:rsidR="00246C08" w:rsidRPr="0062552F">
        <w:t>recommendations</w:t>
      </w:r>
      <w:r w:rsidR="00A92558" w:rsidRPr="0062552F">
        <w:t xml:space="preserve"> regarding the impact of </w:t>
      </w:r>
      <w:r w:rsidR="003C7CFD" w:rsidRPr="0062552F">
        <w:t>allerg</w:t>
      </w:r>
      <w:r w:rsidR="003C7CFD">
        <w:t>en</w:t>
      </w:r>
      <w:r w:rsidR="003C7CFD" w:rsidRPr="0062552F">
        <w:t xml:space="preserve">s </w:t>
      </w:r>
      <w:r w:rsidR="00A92558" w:rsidRPr="0062552F">
        <w:t>on the cosmetics industry</w:t>
      </w:r>
      <w:r w:rsidR="004002C4">
        <w:t xml:space="preserve">. </w:t>
      </w:r>
    </w:p>
    <w:p w14:paraId="34B88329" w14:textId="6031034A" w:rsidR="0036157C" w:rsidRPr="0062552F" w:rsidRDefault="0036157C" w:rsidP="00201660">
      <w:pPr>
        <w:spacing w:after="160" w:line="300" w:lineRule="exact"/>
        <w:ind w:left="720"/>
      </w:pPr>
      <w:r w:rsidRPr="0036157C">
        <w:t>The focus group results will be used along with the results of a consumer survey and stakeholder interviews and the analyses of secondary data to gain a more thorough and detailed understanding of the impact of allergens on consumers and the cosmetics industry.</w:t>
      </w:r>
    </w:p>
    <w:p w14:paraId="1DED7D55" w14:textId="5F99DF2A" w:rsidR="003F1C7A" w:rsidRPr="0062552F" w:rsidRDefault="0049419A" w:rsidP="0062552F">
      <w:pPr>
        <w:keepNext/>
        <w:numPr>
          <w:ilvl w:val="0"/>
          <w:numId w:val="15"/>
        </w:numPr>
        <w:tabs>
          <w:tab w:val="clear" w:pos="1296"/>
          <w:tab w:val="num" w:pos="720"/>
        </w:tabs>
        <w:spacing w:after="160" w:line="300" w:lineRule="exact"/>
        <w:ind w:left="720"/>
      </w:pPr>
      <w:r w:rsidRPr="0062552F">
        <w:rPr>
          <w:b/>
        </w:rPr>
        <w:t>Description of r</w:t>
      </w:r>
      <w:r w:rsidR="00F12AEE" w:rsidRPr="0062552F">
        <w:rPr>
          <w:b/>
        </w:rPr>
        <w:t>espondents</w:t>
      </w:r>
      <w:r w:rsidR="003F1C7A" w:rsidRPr="0062552F">
        <w:rPr>
          <w:b/>
        </w:rPr>
        <w:t>:</w:t>
      </w:r>
      <w:r w:rsidR="003C7CFD">
        <w:t xml:space="preserve"> </w:t>
      </w:r>
    </w:p>
    <w:p w14:paraId="3AEDE678" w14:textId="32C0AC1A" w:rsidR="001A6B54" w:rsidRPr="0062552F" w:rsidRDefault="00576639" w:rsidP="0062552F">
      <w:pPr>
        <w:pStyle w:val="BodyText"/>
        <w:spacing w:after="160" w:line="300" w:lineRule="exact"/>
        <w:ind w:left="720"/>
        <w:rPr>
          <w:i w:val="0"/>
          <w:sz w:val="24"/>
          <w:szCs w:val="24"/>
        </w:rPr>
      </w:pPr>
      <w:r w:rsidRPr="0062552F">
        <w:rPr>
          <w:i w:val="0"/>
          <w:sz w:val="24"/>
          <w:szCs w:val="24"/>
        </w:rPr>
        <w:t xml:space="preserve">FDA has contracted with RTI International </w:t>
      </w:r>
      <w:r w:rsidR="00201660">
        <w:rPr>
          <w:i w:val="0"/>
          <w:sz w:val="24"/>
          <w:szCs w:val="24"/>
        </w:rPr>
        <w:t xml:space="preserve">(RTI) </w:t>
      </w:r>
      <w:r w:rsidRPr="0062552F">
        <w:rPr>
          <w:i w:val="0"/>
          <w:sz w:val="24"/>
          <w:szCs w:val="24"/>
        </w:rPr>
        <w:t xml:space="preserve">to conduct </w:t>
      </w:r>
      <w:r w:rsidR="001A6B54" w:rsidRPr="0062552F">
        <w:rPr>
          <w:i w:val="0"/>
          <w:sz w:val="24"/>
          <w:szCs w:val="24"/>
        </w:rPr>
        <w:t>a total of eight</w:t>
      </w:r>
      <w:r w:rsidR="0014184D" w:rsidRPr="0062552F">
        <w:rPr>
          <w:i w:val="0"/>
          <w:sz w:val="24"/>
          <w:szCs w:val="24"/>
        </w:rPr>
        <w:t xml:space="preserve"> </w:t>
      </w:r>
      <w:r w:rsidR="003F2EAE">
        <w:rPr>
          <w:i w:val="0"/>
          <w:sz w:val="24"/>
          <w:szCs w:val="24"/>
        </w:rPr>
        <w:t>105</w:t>
      </w:r>
      <w:r w:rsidR="000262EC" w:rsidRPr="0062552F">
        <w:rPr>
          <w:i w:val="0"/>
          <w:sz w:val="24"/>
          <w:szCs w:val="24"/>
        </w:rPr>
        <w:t xml:space="preserve">-minute </w:t>
      </w:r>
      <w:r w:rsidR="00FE2977">
        <w:rPr>
          <w:i w:val="0"/>
          <w:sz w:val="24"/>
          <w:szCs w:val="24"/>
        </w:rPr>
        <w:t xml:space="preserve">in-person </w:t>
      </w:r>
      <w:r w:rsidR="001A6B54" w:rsidRPr="0062552F">
        <w:rPr>
          <w:i w:val="0"/>
          <w:sz w:val="24"/>
          <w:szCs w:val="24"/>
        </w:rPr>
        <w:t>focus groups, which will include</w:t>
      </w:r>
    </w:p>
    <w:p w14:paraId="53AF5319" w14:textId="7F876900" w:rsidR="001A6B54" w:rsidRPr="0062552F" w:rsidRDefault="001A6B54" w:rsidP="0062552F">
      <w:pPr>
        <w:pStyle w:val="BodyText1"/>
        <w:numPr>
          <w:ilvl w:val="0"/>
          <w:numId w:val="23"/>
        </w:numPr>
        <w:tabs>
          <w:tab w:val="left" w:pos="1440"/>
        </w:tabs>
        <w:ind w:left="1440"/>
        <w:rPr>
          <w:rFonts w:ascii="Times New Roman" w:hAnsi="Times New Roman"/>
          <w:sz w:val="24"/>
          <w:szCs w:val="24"/>
        </w:rPr>
      </w:pPr>
      <w:r w:rsidRPr="0062552F">
        <w:rPr>
          <w:rFonts w:ascii="Times New Roman" w:hAnsi="Times New Roman"/>
          <w:sz w:val="24"/>
          <w:szCs w:val="24"/>
        </w:rPr>
        <w:t>two focus groups with men without allergies</w:t>
      </w:r>
      <w:r w:rsidR="00197AD6">
        <w:rPr>
          <w:rFonts w:ascii="Times New Roman" w:hAnsi="Times New Roman"/>
          <w:sz w:val="24"/>
          <w:szCs w:val="24"/>
        </w:rPr>
        <w:t xml:space="preserve"> to cosmetic products</w:t>
      </w:r>
      <w:r w:rsidRPr="0062552F">
        <w:rPr>
          <w:rFonts w:ascii="Times New Roman" w:hAnsi="Times New Roman"/>
          <w:sz w:val="24"/>
          <w:szCs w:val="24"/>
        </w:rPr>
        <w:t>,</w:t>
      </w:r>
    </w:p>
    <w:p w14:paraId="0813C731" w14:textId="24ADB552" w:rsidR="001A6B54" w:rsidRPr="0062552F" w:rsidRDefault="00BE4C5D" w:rsidP="0062552F">
      <w:pPr>
        <w:pStyle w:val="BodyText1"/>
        <w:numPr>
          <w:ilvl w:val="0"/>
          <w:numId w:val="23"/>
        </w:numPr>
        <w:tabs>
          <w:tab w:val="left" w:pos="1440"/>
        </w:tabs>
        <w:ind w:left="1440"/>
        <w:rPr>
          <w:rFonts w:ascii="Times New Roman" w:hAnsi="Times New Roman"/>
          <w:sz w:val="24"/>
          <w:szCs w:val="24"/>
        </w:rPr>
      </w:pPr>
      <w:r>
        <w:rPr>
          <w:rFonts w:ascii="Times New Roman" w:hAnsi="Times New Roman"/>
          <w:sz w:val="24"/>
          <w:szCs w:val="24"/>
        </w:rPr>
        <w:t>two</w:t>
      </w:r>
      <w:r w:rsidRPr="0062552F">
        <w:rPr>
          <w:rFonts w:ascii="Times New Roman" w:hAnsi="Times New Roman"/>
          <w:sz w:val="24"/>
          <w:szCs w:val="24"/>
        </w:rPr>
        <w:t xml:space="preserve"> </w:t>
      </w:r>
      <w:r w:rsidR="001A6B54" w:rsidRPr="0062552F">
        <w:rPr>
          <w:rFonts w:ascii="Times New Roman" w:hAnsi="Times New Roman"/>
          <w:sz w:val="24"/>
          <w:szCs w:val="24"/>
        </w:rPr>
        <w:t xml:space="preserve">focus group with women without </w:t>
      </w:r>
      <w:r w:rsidR="00197AD6">
        <w:rPr>
          <w:rFonts w:ascii="Times New Roman" w:hAnsi="Times New Roman"/>
          <w:sz w:val="24"/>
          <w:szCs w:val="24"/>
        </w:rPr>
        <w:t>allergies to cosmetic products</w:t>
      </w:r>
      <w:r w:rsidR="001A6B54" w:rsidRPr="0062552F">
        <w:rPr>
          <w:rFonts w:ascii="Times New Roman" w:hAnsi="Times New Roman"/>
          <w:sz w:val="24"/>
          <w:szCs w:val="24"/>
        </w:rPr>
        <w:t>,</w:t>
      </w:r>
    </w:p>
    <w:p w14:paraId="79CD65DC" w14:textId="3F56D0BA" w:rsidR="001A6B54" w:rsidRPr="0062552F" w:rsidRDefault="001A6B54" w:rsidP="0062552F">
      <w:pPr>
        <w:pStyle w:val="BodyText1"/>
        <w:numPr>
          <w:ilvl w:val="0"/>
          <w:numId w:val="23"/>
        </w:numPr>
        <w:tabs>
          <w:tab w:val="left" w:pos="1440"/>
        </w:tabs>
        <w:ind w:left="1440"/>
        <w:rPr>
          <w:rFonts w:ascii="Times New Roman" w:hAnsi="Times New Roman"/>
          <w:sz w:val="24"/>
          <w:szCs w:val="24"/>
        </w:rPr>
      </w:pPr>
      <w:r w:rsidRPr="0062552F">
        <w:rPr>
          <w:rFonts w:ascii="Times New Roman" w:hAnsi="Times New Roman"/>
          <w:sz w:val="24"/>
          <w:szCs w:val="24"/>
        </w:rPr>
        <w:lastRenderedPageBreak/>
        <w:t>one focus group with men</w:t>
      </w:r>
      <w:r w:rsidR="003C7CFD">
        <w:rPr>
          <w:rFonts w:ascii="Times New Roman" w:hAnsi="Times New Roman"/>
          <w:sz w:val="24"/>
          <w:szCs w:val="24"/>
        </w:rPr>
        <w:t xml:space="preserve"> with</w:t>
      </w:r>
      <w:r w:rsidRPr="0062552F">
        <w:rPr>
          <w:rFonts w:ascii="Times New Roman" w:hAnsi="Times New Roman"/>
          <w:sz w:val="24"/>
          <w:szCs w:val="24"/>
        </w:rPr>
        <w:t xml:space="preserve"> </w:t>
      </w:r>
      <w:r w:rsidR="00197AD6">
        <w:rPr>
          <w:rFonts w:ascii="Times New Roman" w:hAnsi="Times New Roman"/>
          <w:sz w:val="24"/>
          <w:szCs w:val="24"/>
        </w:rPr>
        <w:t>allergi</w:t>
      </w:r>
      <w:r w:rsidR="00190F47">
        <w:rPr>
          <w:rFonts w:ascii="Times New Roman" w:hAnsi="Times New Roman"/>
          <w:sz w:val="24"/>
          <w:szCs w:val="24"/>
        </w:rPr>
        <w:t>es</w:t>
      </w:r>
      <w:r w:rsidR="00197AD6">
        <w:rPr>
          <w:rFonts w:ascii="Times New Roman" w:hAnsi="Times New Roman"/>
          <w:sz w:val="24"/>
          <w:szCs w:val="24"/>
        </w:rPr>
        <w:t xml:space="preserve"> to cosmetic products</w:t>
      </w:r>
      <w:r w:rsidRPr="0062552F">
        <w:rPr>
          <w:rFonts w:ascii="Times New Roman" w:hAnsi="Times New Roman"/>
          <w:sz w:val="24"/>
          <w:szCs w:val="24"/>
        </w:rPr>
        <w:t>,</w:t>
      </w:r>
    </w:p>
    <w:p w14:paraId="57C99890" w14:textId="3E4046CE" w:rsidR="001A6B54" w:rsidRPr="0062552F" w:rsidRDefault="001A6B54" w:rsidP="0062552F">
      <w:pPr>
        <w:pStyle w:val="BodyText1"/>
        <w:numPr>
          <w:ilvl w:val="0"/>
          <w:numId w:val="23"/>
        </w:numPr>
        <w:tabs>
          <w:tab w:val="left" w:pos="1440"/>
        </w:tabs>
        <w:ind w:left="1440"/>
        <w:rPr>
          <w:rFonts w:ascii="Times New Roman" w:hAnsi="Times New Roman"/>
          <w:sz w:val="24"/>
          <w:szCs w:val="24"/>
        </w:rPr>
      </w:pPr>
      <w:r w:rsidRPr="0062552F">
        <w:rPr>
          <w:rFonts w:ascii="Times New Roman" w:hAnsi="Times New Roman"/>
          <w:sz w:val="24"/>
          <w:szCs w:val="24"/>
        </w:rPr>
        <w:t>one focus group with women with</w:t>
      </w:r>
      <w:r w:rsidR="00197AD6">
        <w:rPr>
          <w:rFonts w:ascii="Times New Roman" w:hAnsi="Times New Roman"/>
          <w:sz w:val="24"/>
          <w:szCs w:val="24"/>
        </w:rPr>
        <w:t xml:space="preserve"> allergies to cosmetic products</w:t>
      </w:r>
      <w:r w:rsidRPr="0062552F">
        <w:rPr>
          <w:rFonts w:ascii="Times New Roman" w:hAnsi="Times New Roman"/>
          <w:sz w:val="24"/>
          <w:szCs w:val="24"/>
        </w:rPr>
        <w:t>, and</w:t>
      </w:r>
    </w:p>
    <w:p w14:paraId="6BEEBF06" w14:textId="402CF7D2" w:rsidR="001A6B54" w:rsidRPr="0062552F" w:rsidRDefault="00BE4C5D" w:rsidP="0062552F">
      <w:pPr>
        <w:pStyle w:val="BodyText1"/>
        <w:numPr>
          <w:ilvl w:val="0"/>
          <w:numId w:val="23"/>
        </w:numPr>
        <w:tabs>
          <w:tab w:val="left" w:pos="1440"/>
        </w:tabs>
        <w:ind w:left="1440"/>
        <w:rPr>
          <w:rFonts w:ascii="Times New Roman" w:hAnsi="Times New Roman"/>
          <w:sz w:val="24"/>
          <w:szCs w:val="24"/>
        </w:rPr>
      </w:pPr>
      <w:r>
        <w:rPr>
          <w:rFonts w:ascii="Times New Roman" w:hAnsi="Times New Roman"/>
          <w:sz w:val="24"/>
          <w:szCs w:val="24"/>
        </w:rPr>
        <w:t>two</w:t>
      </w:r>
      <w:r w:rsidRPr="0062552F">
        <w:rPr>
          <w:rFonts w:ascii="Times New Roman" w:hAnsi="Times New Roman"/>
          <w:sz w:val="24"/>
          <w:szCs w:val="24"/>
        </w:rPr>
        <w:t xml:space="preserve"> </w:t>
      </w:r>
      <w:r w:rsidR="001A6B54" w:rsidRPr="0062552F">
        <w:rPr>
          <w:rFonts w:ascii="Times New Roman" w:hAnsi="Times New Roman"/>
          <w:sz w:val="24"/>
          <w:szCs w:val="24"/>
        </w:rPr>
        <w:t>focus group</w:t>
      </w:r>
      <w:r>
        <w:rPr>
          <w:rFonts w:ascii="Times New Roman" w:hAnsi="Times New Roman"/>
          <w:sz w:val="24"/>
          <w:szCs w:val="24"/>
        </w:rPr>
        <w:t>s</w:t>
      </w:r>
      <w:r w:rsidR="001A6B54" w:rsidRPr="0062552F">
        <w:rPr>
          <w:rFonts w:ascii="Times New Roman" w:hAnsi="Times New Roman"/>
          <w:sz w:val="24"/>
          <w:szCs w:val="24"/>
        </w:rPr>
        <w:t xml:space="preserve"> with parents of children </w:t>
      </w:r>
      <w:r w:rsidR="003C7CFD" w:rsidRPr="0062552F">
        <w:rPr>
          <w:rFonts w:ascii="Times New Roman" w:hAnsi="Times New Roman"/>
          <w:sz w:val="24"/>
          <w:szCs w:val="24"/>
        </w:rPr>
        <w:t>age</w:t>
      </w:r>
      <w:r w:rsidR="003C7CFD">
        <w:rPr>
          <w:rFonts w:ascii="Times New Roman" w:hAnsi="Times New Roman"/>
          <w:sz w:val="24"/>
          <w:szCs w:val="24"/>
        </w:rPr>
        <w:t>d</w:t>
      </w:r>
      <w:r w:rsidR="003C7CFD" w:rsidRPr="0062552F">
        <w:rPr>
          <w:rFonts w:ascii="Times New Roman" w:hAnsi="Times New Roman"/>
          <w:sz w:val="24"/>
          <w:szCs w:val="24"/>
        </w:rPr>
        <w:t xml:space="preserve"> </w:t>
      </w:r>
      <w:r w:rsidR="001A6B54" w:rsidRPr="0062552F">
        <w:rPr>
          <w:rFonts w:ascii="Times New Roman" w:hAnsi="Times New Roman"/>
          <w:sz w:val="24"/>
          <w:szCs w:val="24"/>
        </w:rPr>
        <w:t xml:space="preserve">5 years or younger </w:t>
      </w:r>
      <w:r w:rsidR="00197AD6">
        <w:rPr>
          <w:rFonts w:ascii="Times New Roman" w:hAnsi="Times New Roman"/>
          <w:sz w:val="24"/>
          <w:szCs w:val="24"/>
        </w:rPr>
        <w:t xml:space="preserve">with allergies to cosmetic products </w:t>
      </w:r>
      <w:r w:rsidR="001A6B54" w:rsidRPr="0062552F">
        <w:rPr>
          <w:rFonts w:ascii="Times New Roman" w:hAnsi="Times New Roman"/>
          <w:sz w:val="24"/>
          <w:szCs w:val="24"/>
        </w:rPr>
        <w:t xml:space="preserve">that have been confirmed by a patch test. </w:t>
      </w:r>
    </w:p>
    <w:p w14:paraId="41234CE7" w14:textId="182C1646" w:rsidR="0014184D" w:rsidRPr="0062552F" w:rsidRDefault="000262EC" w:rsidP="0062552F">
      <w:pPr>
        <w:spacing w:after="160" w:line="300" w:lineRule="exact"/>
        <w:ind w:left="720"/>
      </w:pPr>
      <w:r w:rsidRPr="0062552F">
        <w:t>RTI will work with a focus group facility in each of two locations to recruit potential participants</w:t>
      </w:r>
      <w:r w:rsidR="00665564">
        <w:t>. Five of the eight groups will be conducted at a facility in Raleigh, NC, and three of the eight groups will be conducted at a facility in Las Vegas, NV.</w:t>
      </w:r>
      <w:r w:rsidRPr="0062552F">
        <w:t xml:space="preserve"> </w:t>
      </w:r>
      <w:r w:rsidR="00665564">
        <w:t>U</w:t>
      </w:r>
      <w:r w:rsidRPr="0062552F">
        <w:t>sing their contact databases and the approved study screening questionnaire (see Appendix A)</w:t>
      </w:r>
      <w:r w:rsidR="00665564">
        <w:t>, each facility will recruit eligible participants</w:t>
      </w:r>
      <w:r w:rsidRPr="0062552F">
        <w:t xml:space="preserve">. </w:t>
      </w:r>
      <w:r w:rsidR="00665564">
        <w:t xml:space="preserve">If the prevalence of confirmed allergies by patch test is deemed low, the facility may </w:t>
      </w:r>
      <w:r w:rsidR="00201660">
        <w:t>contact</w:t>
      </w:r>
      <w:r w:rsidR="00665564">
        <w:t xml:space="preserve"> local dermatologists to </w:t>
      </w:r>
      <w:r w:rsidR="00201660">
        <w:t xml:space="preserve">increase enrollment by </w:t>
      </w:r>
      <w:r w:rsidR="00665564">
        <w:t>recruit</w:t>
      </w:r>
      <w:r w:rsidR="00201660">
        <w:t>ing</w:t>
      </w:r>
      <w:r w:rsidR="00665564">
        <w:t xml:space="preserve"> parents of young children</w:t>
      </w:r>
      <w:r w:rsidR="008F5BF2">
        <w:t xml:space="preserve"> whose allergies to cosmetic products has been confirmed by a patch test.</w:t>
      </w:r>
      <w:r w:rsidR="00665564">
        <w:t xml:space="preserve"> </w:t>
      </w:r>
      <w:r w:rsidRPr="0062552F">
        <w:t>In addition to meeting the requirements for inclusion in the specific subpopulations, all</w:t>
      </w:r>
      <w:r w:rsidR="0014184D" w:rsidRPr="0062552F">
        <w:t xml:space="preserve"> individuals must meet the following eligibility criteria:</w:t>
      </w:r>
    </w:p>
    <w:p w14:paraId="024A2059" w14:textId="028DC66D" w:rsidR="0014184D" w:rsidRPr="0062552F" w:rsidRDefault="0014184D" w:rsidP="0062552F">
      <w:pPr>
        <w:pStyle w:val="ListParagraph"/>
        <w:numPr>
          <w:ilvl w:val="0"/>
          <w:numId w:val="25"/>
        </w:numPr>
        <w:spacing w:after="160" w:line="300" w:lineRule="exact"/>
      </w:pPr>
      <w:r w:rsidRPr="0062552F">
        <w:t>are adults (18+</w:t>
      </w:r>
      <w:r w:rsidR="00201660">
        <w:t xml:space="preserve"> years old</w:t>
      </w:r>
      <w:r w:rsidRPr="0062552F">
        <w:t>)</w:t>
      </w:r>
      <w:r w:rsidR="003C7CFD">
        <w:t>;</w:t>
      </w:r>
    </w:p>
    <w:p w14:paraId="70C7B56B" w14:textId="77777777" w:rsidR="0014184D" w:rsidRPr="0062552F" w:rsidRDefault="0014184D" w:rsidP="0062552F">
      <w:pPr>
        <w:pStyle w:val="ListParagraph"/>
        <w:numPr>
          <w:ilvl w:val="0"/>
          <w:numId w:val="25"/>
        </w:numPr>
        <w:spacing w:after="160" w:line="300" w:lineRule="exact"/>
      </w:pPr>
      <w:r w:rsidRPr="0062552F">
        <w:t>have the ability to read and/or understand written English materials;</w:t>
      </w:r>
    </w:p>
    <w:p w14:paraId="3887C7D4" w14:textId="77777777" w:rsidR="0014184D" w:rsidRPr="0062552F" w:rsidRDefault="0014184D" w:rsidP="0062552F">
      <w:pPr>
        <w:pStyle w:val="ListParagraph"/>
        <w:numPr>
          <w:ilvl w:val="0"/>
          <w:numId w:val="25"/>
        </w:numPr>
        <w:spacing w:after="160" w:line="300" w:lineRule="exact"/>
      </w:pPr>
      <w:r w:rsidRPr="0062552F">
        <w:t>have not participated in a focus group in the past 6 months;</w:t>
      </w:r>
    </w:p>
    <w:p w14:paraId="4C09E775" w14:textId="77777777" w:rsidR="0014184D" w:rsidRPr="0062552F" w:rsidRDefault="0014184D" w:rsidP="0062552F">
      <w:pPr>
        <w:pStyle w:val="ListParagraph"/>
        <w:numPr>
          <w:ilvl w:val="0"/>
          <w:numId w:val="25"/>
        </w:numPr>
        <w:spacing w:after="160" w:line="300" w:lineRule="exact"/>
      </w:pPr>
      <w:r w:rsidRPr="0062552F">
        <w:t>consent to be audio- and videotaped; and</w:t>
      </w:r>
    </w:p>
    <w:p w14:paraId="33014C5F" w14:textId="77777777" w:rsidR="0014184D" w:rsidRPr="0062552F" w:rsidRDefault="0014184D" w:rsidP="0062552F">
      <w:pPr>
        <w:pStyle w:val="ListParagraph"/>
        <w:numPr>
          <w:ilvl w:val="0"/>
          <w:numId w:val="25"/>
        </w:numPr>
        <w:spacing w:after="160" w:line="300" w:lineRule="exact"/>
      </w:pPr>
      <w:r w:rsidRPr="0062552F">
        <w:t>have not been employed by the federal government; the cosmetic industry; or a marketing research, advertising, or public relations company (including immediate family members) in the past 5 years.</w:t>
      </w:r>
    </w:p>
    <w:p w14:paraId="53DB9C52" w14:textId="6E5F2CE1" w:rsidR="00576639" w:rsidRPr="0062552F" w:rsidRDefault="000262EC" w:rsidP="0062552F">
      <w:pPr>
        <w:spacing w:after="160" w:line="300" w:lineRule="exact"/>
        <w:ind w:left="720"/>
      </w:pPr>
      <w:r w:rsidRPr="0062552F">
        <w:t xml:space="preserve">Each facility will recruit 12 eligible participants to ensure 8 to 10 participants </w:t>
      </w:r>
      <w:r w:rsidR="00201660">
        <w:t>show for</w:t>
      </w:r>
      <w:r w:rsidRPr="0062552F">
        <w:t xml:space="preserve"> each focus group. Each group </w:t>
      </w:r>
      <w:r w:rsidR="003A5707">
        <w:t xml:space="preserve">will </w:t>
      </w:r>
      <w:r w:rsidRPr="0062552F">
        <w:t>include a mix of ages, education levels, and races/ethnicities that are reflective of the</w:t>
      </w:r>
      <w:r w:rsidR="00201660">
        <w:t xml:space="preserve"> general population in each</w:t>
      </w:r>
      <w:r w:rsidRPr="0062552F">
        <w:t xml:space="preserve"> location. </w:t>
      </w:r>
    </w:p>
    <w:p w14:paraId="0E486BB0" w14:textId="575FC5ED" w:rsidR="003F1C7A" w:rsidRPr="0062552F" w:rsidRDefault="003F1C7A" w:rsidP="0062552F">
      <w:pPr>
        <w:numPr>
          <w:ilvl w:val="0"/>
          <w:numId w:val="15"/>
        </w:numPr>
        <w:tabs>
          <w:tab w:val="clear" w:pos="1296"/>
          <w:tab w:val="num" w:pos="720"/>
        </w:tabs>
        <w:spacing w:after="160" w:line="300" w:lineRule="exact"/>
        <w:ind w:left="720"/>
      </w:pPr>
      <w:r w:rsidRPr="0062552F">
        <w:rPr>
          <w:b/>
        </w:rPr>
        <w:t xml:space="preserve">Date(s) </w:t>
      </w:r>
      <w:r w:rsidR="009404FA" w:rsidRPr="0062552F">
        <w:rPr>
          <w:b/>
        </w:rPr>
        <w:t xml:space="preserve">to be conducted </w:t>
      </w:r>
      <w:r w:rsidRPr="0062552F">
        <w:rPr>
          <w:b/>
        </w:rPr>
        <w:t>and location(s)</w:t>
      </w:r>
      <w:r w:rsidR="0049419A" w:rsidRPr="0062552F">
        <w:rPr>
          <w:b/>
        </w:rPr>
        <w:t>:</w:t>
      </w:r>
      <w:r w:rsidR="003C7CFD">
        <w:rPr>
          <w:b/>
        </w:rPr>
        <w:t xml:space="preserve"> </w:t>
      </w:r>
    </w:p>
    <w:p w14:paraId="0B57EBC0" w14:textId="33B9C9C6" w:rsidR="00277615" w:rsidRPr="0062552F" w:rsidRDefault="00A70FFE" w:rsidP="0062552F">
      <w:pPr>
        <w:spacing w:after="160" w:line="300" w:lineRule="exact"/>
        <w:ind w:left="720"/>
      </w:pPr>
      <w:r w:rsidRPr="0062552F">
        <w:t>The f</w:t>
      </w:r>
      <w:r w:rsidR="00D14201" w:rsidRPr="0062552F">
        <w:t>ocus group</w:t>
      </w:r>
      <w:r w:rsidRPr="0062552F">
        <w:t xml:space="preserve"> </w:t>
      </w:r>
      <w:r w:rsidR="006F35D2" w:rsidRPr="0062552F">
        <w:t>discussions</w:t>
      </w:r>
      <w:r w:rsidRPr="0062552F">
        <w:t xml:space="preserve"> </w:t>
      </w:r>
      <w:r w:rsidR="00D14201" w:rsidRPr="0062552F">
        <w:t xml:space="preserve">will be </w:t>
      </w:r>
      <w:r w:rsidRPr="0062552F">
        <w:t xml:space="preserve">held </w:t>
      </w:r>
      <w:r w:rsidR="00D14201" w:rsidRPr="0062552F">
        <w:t xml:space="preserve">approximately </w:t>
      </w:r>
      <w:r w:rsidR="00277615" w:rsidRPr="0062552F">
        <w:t>6 weeks</w:t>
      </w:r>
      <w:r w:rsidR="00D14201" w:rsidRPr="0062552F">
        <w:t xml:space="preserve"> from the date of OMB approval. The focus groups will be conducted </w:t>
      </w:r>
      <w:r w:rsidR="008C7C40" w:rsidRPr="0062552F">
        <w:t xml:space="preserve">at focus group facilities </w:t>
      </w:r>
      <w:r w:rsidR="00D14201" w:rsidRPr="0062552F">
        <w:t xml:space="preserve">in </w:t>
      </w:r>
      <w:r w:rsidR="00277615" w:rsidRPr="0062552F">
        <w:t>Raleigh, North Carolina, and Las Vegas</w:t>
      </w:r>
      <w:r w:rsidR="006F35D2" w:rsidRPr="0062552F">
        <w:t>,</w:t>
      </w:r>
      <w:r w:rsidR="00277615" w:rsidRPr="0062552F">
        <w:t xml:space="preserve"> Nevada.</w:t>
      </w:r>
    </w:p>
    <w:p w14:paraId="46FBC9B1" w14:textId="4FAE891D" w:rsidR="00D14201" w:rsidRPr="0062552F" w:rsidRDefault="00435A84" w:rsidP="0062552F">
      <w:pPr>
        <w:spacing w:after="160" w:line="300" w:lineRule="exact"/>
        <w:ind w:left="720"/>
      </w:pPr>
      <w:bookmarkStart w:id="1" w:name="_Hlk494107054"/>
      <w:r>
        <w:t xml:space="preserve">We selected these two locations because they provide geographic diversity for the information obtained from the focus groups. These locations also </w:t>
      </w:r>
      <w:r w:rsidR="00D14201" w:rsidRPr="0062552F">
        <w:t xml:space="preserve">offer suitable focus group facilities and recruitment capabilities that will enable us to recruit </w:t>
      </w:r>
      <w:r w:rsidR="008C7C40" w:rsidRPr="0062552F">
        <w:t xml:space="preserve">participants </w:t>
      </w:r>
      <w:r w:rsidR="000477CE" w:rsidRPr="0062552F">
        <w:t xml:space="preserve">who meet the criteria described in </w:t>
      </w:r>
      <w:r w:rsidR="003C7CFD">
        <w:t>S</w:t>
      </w:r>
      <w:r w:rsidR="003C7CFD" w:rsidRPr="0062552F">
        <w:t xml:space="preserve">ection </w:t>
      </w:r>
      <w:r w:rsidR="000477CE" w:rsidRPr="0062552F">
        <w:t>3 above</w:t>
      </w:r>
      <w:r w:rsidR="006A305F" w:rsidRPr="0062552F">
        <w:t>.</w:t>
      </w:r>
    </w:p>
    <w:p w14:paraId="641DE59F" w14:textId="534687C0" w:rsidR="008C7C40" w:rsidRDefault="008C7C40" w:rsidP="0062552F">
      <w:pPr>
        <w:spacing w:after="160" w:line="300" w:lineRule="exact"/>
        <w:ind w:left="720"/>
      </w:pPr>
      <w:bookmarkStart w:id="2" w:name="_Hlk494106921"/>
      <w:r w:rsidRPr="0062552F">
        <w:t>The facilities chosen in each location were selected because they have a proven track record for recruiting individuals who meet study requirements and have a reputation for providing well-equipped and easily accessible facilities with state-of-the-art amenities.</w:t>
      </w:r>
      <w:bookmarkEnd w:id="1"/>
    </w:p>
    <w:p w14:paraId="53D2A03F" w14:textId="56ED2822" w:rsidR="00301E66" w:rsidRDefault="00301E66" w:rsidP="0062552F">
      <w:pPr>
        <w:spacing w:after="160" w:line="300" w:lineRule="exact"/>
        <w:ind w:left="720"/>
      </w:pPr>
    </w:p>
    <w:p w14:paraId="6329965D" w14:textId="77777777" w:rsidR="00301E66" w:rsidRPr="0062552F" w:rsidRDefault="00301E66" w:rsidP="0062552F">
      <w:pPr>
        <w:spacing w:after="160" w:line="300" w:lineRule="exact"/>
        <w:ind w:left="720"/>
      </w:pPr>
    </w:p>
    <w:bookmarkEnd w:id="2"/>
    <w:p w14:paraId="69FEFD65" w14:textId="320C1D9F" w:rsidR="00E26798" w:rsidRPr="0062552F" w:rsidRDefault="00140A0D" w:rsidP="0062552F">
      <w:pPr>
        <w:pStyle w:val="ListParagraph"/>
        <w:numPr>
          <w:ilvl w:val="0"/>
          <w:numId w:val="15"/>
        </w:numPr>
        <w:tabs>
          <w:tab w:val="clear" w:pos="1296"/>
          <w:tab w:val="num" w:pos="720"/>
        </w:tabs>
        <w:spacing w:after="160" w:line="300" w:lineRule="exact"/>
        <w:ind w:hanging="936"/>
      </w:pPr>
      <w:r w:rsidRPr="0062552F">
        <w:rPr>
          <w:b/>
        </w:rPr>
        <w:lastRenderedPageBreak/>
        <w:t xml:space="preserve">How the </w:t>
      </w:r>
      <w:r w:rsidR="007274AA" w:rsidRPr="0062552F">
        <w:rPr>
          <w:b/>
        </w:rPr>
        <w:t xml:space="preserve">information </w:t>
      </w:r>
      <w:r w:rsidRPr="0062552F">
        <w:rPr>
          <w:b/>
        </w:rPr>
        <w:t>is being collected</w:t>
      </w:r>
      <w:r w:rsidR="0049419A" w:rsidRPr="0062552F">
        <w:rPr>
          <w:b/>
        </w:rPr>
        <w:t>:</w:t>
      </w:r>
    </w:p>
    <w:p w14:paraId="764BF676" w14:textId="77777777" w:rsidR="00EE231A" w:rsidRPr="0062552F" w:rsidRDefault="00EE231A" w:rsidP="0062552F">
      <w:pPr>
        <w:spacing w:after="160" w:line="300" w:lineRule="exact"/>
        <w:ind w:left="720"/>
        <w:rPr>
          <w:u w:val="single"/>
        </w:rPr>
      </w:pPr>
      <w:r w:rsidRPr="0062552F">
        <w:rPr>
          <w:u w:val="single"/>
        </w:rPr>
        <w:t>Recruitment Information</w:t>
      </w:r>
    </w:p>
    <w:p w14:paraId="5B3B06D9" w14:textId="40F7A46C" w:rsidR="00A3144E" w:rsidRPr="0062552F" w:rsidRDefault="00A3144E" w:rsidP="0062552F">
      <w:pPr>
        <w:spacing w:after="160" w:line="300" w:lineRule="exact"/>
        <w:ind w:left="720"/>
      </w:pPr>
      <w:r w:rsidRPr="0062552F">
        <w:t>Each focus group facility will recruit potential participants using their contact databases and the study screening questionnaire (see Appendix A). Once initial contact is made with a potential participant</w:t>
      </w:r>
      <w:r w:rsidR="00047896">
        <w:t xml:space="preserve"> by telephone</w:t>
      </w:r>
      <w:r w:rsidRPr="0062552F">
        <w:t xml:space="preserve">, </w:t>
      </w:r>
      <w:r w:rsidR="00047896">
        <w:t xml:space="preserve">a facility recruiter will inform </w:t>
      </w:r>
      <w:r w:rsidRPr="0062552F">
        <w:t xml:space="preserve">the individual </w:t>
      </w:r>
      <w:r w:rsidR="00047896">
        <w:t>that RTI is</w:t>
      </w:r>
      <w:r w:rsidRPr="0062552F">
        <w:t xml:space="preserve"> conducting a </w:t>
      </w:r>
      <w:r w:rsidR="00047896">
        <w:t>research study</w:t>
      </w:r>
      <w:r w:rsidRPr="0062552F">
        <w:t xml:space="preserve"> and that </w:t>
      </w:r>
      <w:r w:rsidR="00047896">
        <w:t>s/he</w:t>
      </w:r>
      <w:r w:rsidRPr="0062552F">
        <w:t xml:space="preserve"> </w:t>
      </w:r>
      <w:r w:rsidR="00047896">
        <w:t xml:space="preserve">has </w:t>
      </w:r>
      <w:r w:rsidRPr="0062552F">
        <w:t>some questions to see if the</w:t>
      </w:r>
      <w:r w:rsidR="00047896">
        <w:t xml:space="preserve"> individual</w:t>
      </w:r>
      <w:r w:rsidRPr="0062552F">
        <w:t xml:space="preserve"> qualif</w:t>
      </w:r>
      <w:r w:rsidR="00047896">
        <w:t xml:space="preserve">ies to participate in </w:t>
      </w:r>
      <w:r w:rsidRPr="0062552F">
        <w:t xml:space="preserve">the </w:t>
      </w:r>
      <w:r w:rsidR="00047896">
        <w:t>study</w:t>
      </w:r>
      <w:r w:rsidRPr="0062552F">
        <w:t xml:space="preserve">. </w:t>
      </w:r>
      <w:r w:rsidR="00047896">
        <w:t>The recruiter</w:t>
      </w:r>
      <w:r w:rsidR="00047896" w:rsidRPr="0062552F">
        <w:t xml:space="preserve"> </w:t>
      </w:r>
      <w:r w:rsidRPr="0062552F">
        <w:t xml:space="preserve">will obtain verbal consent from potential participants before screening them for eligibility. Individuals who meet all eligibility requirements will be invited to participate in the focus group. </w:t>
      </w:r>
    </w:p>
    <w:p w14:paraId="6971C514" w14:textId="77777777" w:rsidR="00A3144E" w:rsidRPr="0062552F" w:rsidRDefault="00A3144E" w:rsidP="0062552F">
      <w:pPr>
        <w:spacing w:after="160" w:line="300" w:lineRule="exact"/>
        <w:ind w:left="720"/>
      </w:pPr>
      <w:r w:rsidRPr="0062552F">
        <w:t>In addition, each local market research company will send confirmation letters with directions and make reminder calls to recruited individuals before their scheduled group discussion.</w:t>
      </w:r>
    </w:p>
    <w:p w14:paraId="12E67BC6" w14:textId="77777777" w:rsidR="00EE231A" w:rsidRPr="0062552F" w:rsidRDefault="00EE231A" w:rsidP="0062552F">
      <w:pPr>
        <w:spacing w:after="160" w:line="300" w:lineRule="exact"/>
        <w:ind w:left="720"/>
        <w:rPr>
          <w:u w:val="single"/>
        </w:rPr>
      </w:pPr>
      <w:r w:rsidRPr="0062552F">
        <w:rPr>
          <w:u w:val="single"/>
        </w:rPr>
        <w:t>Focus Group Discussions</w:t>
      </w:r>
    </w:p>
    <w:p w14:paraId="2F270DBC" w14:textId="62E22DB0" w:rsidR="00A3144E" w:rsidRPr="0062552F" w:rsidRDefault="00FE2977" w:rsidP="0062552F">
      <w:pPr>
        <w:spacing w:after="160" w:line="300" w:lineRule="exact"/>
        <w:ind w:left="720"/>
      </w:pPr>
      <w:r>
        <w:t xml:space="preserve">RTI </w:t>
      </w:r>
      <w:r w:rsidR="00A3144E" w:rsidRPr="0062552F">
        <w:t xml:space="preserve">will conduct eight </w:t>
      </w:r>
      <w:r w:rsidR="003F2EAE">
        <w:t>105</w:t>
      </w:r>
      <w:r w:rsidR="00A3144E" w:rsidRPr="0062552F">
        <w:t xml:space="preserve">-minute focus groups. </w:t>
      </w:r>
      <w:r w:rsidR="00F57A08" w:rsidRPr="0062552F">
        <w:t>E</w:t>
      </w:r>
      <w:r w:rsidR="00A3144E" w:rsidRPr="0062552F">
        <w:t>ach group</w:t>
      </w:r>
      <w:r w:rsidR="00F57A08" w:rsidRPr="0062552F">
        <w:t xml:space="preserve"> will be conducted </w:t>
      </w:r>
      <w:r w:rsidR="00A3144E" w:rsidRPr="0062552F">
        <w:t>with 8 to 10 participants, resulting in a total sample size of up to 80</w:t>
      </w:r>
      <w:r w:rsidR="003A5707">
        <w:t xml:space="preserve"> participants</w:t>
      </w:r>
      <w:r w:rsidR="00A3144E" w:rsidRPr="0062552F">
        <w:t xml:space="preserve">. </w:t>
      </w:r>
    </w:p>
    <w:p w14:paraId="183FEB84" w14:textId="77777777" w:rsidR="00F57A08" w:rsidRPr="0062552F" w:rsidRDefault="00F57A08" w:rsidP="0062552F">
      <w:pPr>
        <w:spacing w:after="160" w:line="300" w:lineRule="exact"/>
        <w:ind w:left="720"/>
      </w:pPr>
      <w:r w:rsidRPr="0062552F">
        <w:t xml:space="preserve">Upon arrival to the focus group facility, participants will read and sign an informed consent form (see Appendix B) and answer a few questions to confirm eligibility. </w:t>
      </w:r>
    </w:p>
    <w:p w14:paraId="5B5B5748" w14:textId="65F211CE" w:rsidR="00F57A08" w:rsidRPr="0062552F" w:rsidRDefault="00FE2977" w:rsidP="0062552F">
      <w:pPr>
        <w:spacing w:after="160" w:line="300" w:lineRule="exact"/>
        <w:ind w:left="720"/>
      </w:pPr>
      <w:r w:rsidRPr="0062552F">
        <w:t xml:space="preserve">RTI </w:t>
      </w:r>
      <w:r>
        <w:t xml:space="preserve">staff members will </w:t>
      </w:r>
      <w:r w:rsidR="00F57A08" w:rsidRPr="0062552F">
        <w:t xml:space="preserve">conduct the focus group discussions and use a moderator guide (see Appendix C), which will serve as an outline and provide structure for the focus group discussions. </w:t>
      </w:r>
    </w:p>
    <w:p w14:paraId="0AA52F04" w14:textId="31012BFB" w:rsidR="00F57A08" w:rsidRPr="0062552F" w:rsidRDefault="00F57A08" w:rsidP="0062552F">
      <w:pPr>
        <w:spacing w:after="160" w:line="300" w:lineRule="exact"/>
        <w:ind w:left="720"/>
      </w:pPr>
      <w:r w:rsidRPr="0062552F">
        <w:t xml:space="preserve">Each focus group discussion may be monitored by FDA staff behind a one-way mirror. With respondent consent, each focus group will be </w:t>
      </w:r>
      <w:r w:rsidR="00A56857">
        <w:t>professionally audio- and video-</w:t>
      </w:r>
      <w:r w:rsidRPr="0062552F">
        <w:t xml:space="preserve">recorded by the local market research companies. The audio-recordings will be professionally transcribed. </w:t>
      </w:r>
    </w:p>
    <w:p w14:paraId="48A67FA6" w14:textId="77777777" w:rsidR="00EE231A" w:rsidRPr="0062552F" w:rsidRDefault="00F57A08" w:rsidP="0062552F">
      <w:pPr>
        <w:spacing w:after="160" w:line="300" w:lineRule="exact"/>
        <w:ind w:left="720"/>
      </w:pPr>
      <w:r w:rsidRPr="0062552F">
        <w:t>RTI</w:t>
      </w:r>
      <w:r w:rsidR="00EE231A" w:rsidRPr="0062552F">
        <w:t xml:space="preserve"> will comply with safeguards for ensuring participant information is kept private to the extent permitted by law. The last names of the participants will not appear on any focus group materials. Verbatim quotes included in the final report will not be attributed to any individual.</w:t>
      </w:r>
    </w:p>
    <w:p w14:paraId="4B4C8A2E" w14:textId="77777777" w:rsidR="003F1C7A" w:rsidRPr="0062552F" w:rsidRDefault="003F1C7A" w:rsidP="0062552F">
      <w:pPr>
        <w:keepNext/>
        <w:numPr>
          <w:ilvl w:val="0"/>
          <w:numId w:val="15"/>
        </w:numPr>
        <w:tabs>
          <w:tab w:val="clear" w:pos="1296"/>
          <w:tab w:val="num" w:pos="720"/>
        </w:tabs>
        <w:spacing w:after="160" w:line="300" w:lineRule="exact"/>
        <w:ind w:left="720"/>
      </w:pPr>
      <w:r w:rsidRPr="0062552F">
        <w:rPr>
          <w:b/>
        </w:rPr>
        <w:t>Number of focus groups</w:t>
      </w:r>
      <w:r w:rsidR="0049419A" w:rsidRPr="0062552F">
        <w:rPr>
          <w:b/>
        </w:rPr>
        <w:t>:</w:t>
      </w:r>
    </w:p>
    <w:p w14:paraId="525DD84F" w14:textId="2EB81958" w:rsidR="00205677" w:rsidRPr="0062552F" w:rsidRDefault="00205677" w:rsidP="0062552F">
      <w:pPr>
        <w:spacing w:after="160" w:line="300" w:lineRule="exact"/>
        <w:ind w:left="720"/>
      </w:pPr>
      <w:r w:rsidRPr="0062552F">
        <w:t xml:space="preserve">A total of </w:t>
      </w:r>
      <w:r w:rsidR="00A70FFE" w:rsidRPr="0062552F">
        <w:t xml:space="preserve">eight </w:t>
      </w:r>
      <w:r w:rsidRPr="0062552F">
        <w:t xml:space="preserve">focus groups </w:t>
      </w:r>
      <w:r w:rsidR="00A70FFE" w:rsidRPr="0062552F">
        <w:t>will be conducted</w:t>
      </w:r>
      <w:r w:rsidRPr="0062552F">
        <w:t>.</w:t>
      </w:r>
    </w:p>
    <w:p w14:paraId="3843749C" w14:textId="77777777" w:rsidR="00E26798" w:rsidRPr="0062552F" w:rsidRDefault="0049419A" w:rsidP="0062552F">
      <w:pPr>
        <w:numPr>
          <w:ilvl w:val="0"/>
          <w:numId w:val="15"/>
        </w:numPr>
        <w:tabs>
          <w:tab w:val="clear" w:pos="1296"/>
          <w:tab w:val="num" w:pos="720"/>
        </w:tabs>
        <w:spacing w:after="160" w:line="300" w:lineRule="exact"/>
        <w:ind w:left="720"/>
      </w:pPr>
      <w:r w:rsidRPr="0062552F">
        <w:rPr>
          <w:b/>
        </w:rPr>
        <w:t>Amount and justification for any proposed incentive:</w:t>
      </w:r>
      <w:r w:rsidR="003F1C7A" w:rsidRPr="0062552F">
        <w:t xml:space="preserve"> </w:t>
      </w:r>
    </w:p>
    <w:p w14:paraId="577E5872" w14:textId="16D1F3EA" w:rsidR="008F5BF2" w:rsidRDefault="008F5BF2" w:rsidP="00490D9A">
      <w:pPr>
        <w:spacing w:after="160" w:line="300" w:lineRule="exact"/>
        <w:ind w:left="720"/>
      </w:pPr>
      <w:r w:rsidRPr="00336FCF">
        <w:t xml:space="preserve">In preparation for these focus groups, RTI consulted with facilities that host focus groups to determine incentive rates. Based on these consultations, we propose </w:t>
      </w:r>
      <w:r w:rsidR="0036157C">
        <w:t>awarding</w:t>
      </w:r>
      <w:r w:rsidRPr="00336FCF">
        <w:t xml:space="preserve"> $75 </w:t>
      </w:r>
      <w:r w:rsidR="0036157C">
        <w:t xml:space="preserve">as a token of our appreciation </w:t>
      </w:r>
      <w:r>
        <w:t xml:space="preserve">for </w:t>
      </w:r>
      <w:r w:rsidR="003F2EAE">
        <w:t xml:space="preserve">105 </w:t>
      </w:r>
      <w:r w:rsidR="009C504C">
        <w:t>minutes for</w:t>
      </w:r>
      <w:r w:rsidR="003F2EAE">
        <w:t xml:space="preserve"> the focus group and 15 minutes for completing the consent form </w:t>
      </w:r>
      <w:r w:rsidRPr="00336FCF">
        <w:t>to ensure that we are able to attract a reasonable cross</w:t>
      </w:r>
      <w:r>
        <w:t xml:space="preserve"> </w:t>
      </w:r>
      <w:r w:rsidRPr="00336FCF">
        <w:t>section of participants.</w:t>
      </w:r>
    </w:p>
    <w:p w14:paraId="08A6CE43" w14:textId="77777777" w:rsidR="008F5BF2" w:rsidRPr="00336FCF" w:rsidRDefault="008F5BF2" w:rsidP="00490D9A">
      <w:pPr>
        <w:spacing w:after="160" w:line="300" w:lineRule="exact"/>
        <w:ind w:left="720"/>
      </w:pPr>
      <w:r w:rsidRPr="00336FCF">
        <w:t xml:space="preserve">Our experience in conducting focus group research indicates that offering </w:t>
      </w:r>
      <w:r>
        <w:t xml:space="preserve">nonmonetary incentives or </w:t>
      </w:r>
      <w:r w:rsidRPr="00336FCF">
        <w:t>an incentive that is below the accepted rate will result in increased costs that exceed the amount saved on a reduced incentive. The consequences of an insufficient in</w:t>
      </w:r>
      <w:r>
        <w:t>centive include the following:</w:t>
      </w:r>
    </w:p>
    <w:p w14:paraId="7587AAB9" w14:textId="16EEE44E" w:rsidR="008F5BF2" w:rsidRPr="00336FCF" w:rsidRDefault="008F5BF2" w:rsidP="00490D9A">
      <w:pPr>
        <w:numPr>
          <w:ilvl w:val="0"/>
          <w:numId w:val="26"/>
        </w:numPr>
        <w:tabs>
          <w:tab w:val="clear" w:pos="1800"/>
          <w:tab w:val="num" w:pos="1440"/>
        </w:tabs>
        <w:spacing w:after="160" w:line="300" w:lineRule="exact"/>
        <w:ind w:left="1440"/>
        <w:contextualSpacing/>
      </w:pPr>
      <w:r w:rsidRPr="00336FCF">
        <w:t>Increased time and cost of recruitment</w:t>
      </w:r>
      <w:r w:rsidR="00490D9A">
        <w:t>.</w:t>
      </w:r>
    </w:p>
    <w:p w14:paraId="70AD7F15" w14:textId="63B7FAC1" w:rsidR="008F5BF2" w:rsidRPr="00336FCF" w:rsidRDefault="008F5BF2" w:rsidP="00490D9A">
      <w:pPr>
        <w:numPr>
          <w:ilvl w:val="0"/>
          <w:numId w:val="26"/>
        </w:numPr>
        <w:tabs>
          <w:tab w:val="clear" w:pos="1800"/>
          <w:tab w:val="num" w:pos="1440"/>
        </w:tabs>
        <w:spacing w:after="160" w:line="300" w:lineRule="exact"/>
        <w:ind w:left="1440"/>
        <w:contextualSpacing/>
      </w:pPr>
      <w:r w:rsidRPr="00336FCF">
        <w:t>Increased likelihood of “no-shows” (which may result in methodologically unsound focus groups with small numbers of participants)</w:t>
      </w:r>
      <w:r w:rsidR="00490D9A">
        <w:t>.</w:t>
      </w:r>
    </w:p>
    <w:p w14:paraId="4AF12D8F" w14:textId="0C94571E" w:rsidR="008F5BF2" w:rsidRPr="00336FCF" w:rsidRDefault="008F5BF2" w:rsidP="007B34A6">
      <w:pPr>
        <w:numPr>
          <w:ilvl w:val="0"/>
          <w:numId w:val="26"/>
        </w:numPr>
        <w:tabs>
          <w:tab w:val="clear" w:pos="1800"/>
          <w:tab w:val="num" w:pos="1440"/>
        </w:tabs>
        <w:spacing w:after="160" w:line="300" w:lineRule="exact"/>
        <w:ind w:left="1440"/>
        <w:contextualSpacing/>
      </w:pPr>
      <w:r w:rsidRPr="00336FCF">
        <w:t>Increased probability that a focus group may need to be cancelled or postponed due to insufficient numbers recruited by the scheduled date of the focus group</w:t>
      </w:r>
      <w:r>
        <w:t xml:space="preserve">, which not only incurs additional costs, but also </w:t>
      </w:r>
      <w:r w:rsidRPr="00336FCF">
        <w:t>puts additional burden on the recruited participants who have to reschedule their</w:t>
      </w:r>
      <w:r w:rsidR="00490D9A">
        <w:t xml:space="preserve"> focus group</w:t>
      </w:r>
      <w:r w:rsidRPr="00336FCF">
        <w:t xml:space="preserve"> participation</w:t>
      </w:r>
      <w:r>
        <w:t>.</w:t>
      </w:r>
    </w:p>
    <w:p w14:paraId="0F1D6FD9" w14:textId="796D3D57" w:rsidR="008F5BF2" w:rsidRDefault="008F5BF2" w:rsidP="00490D9A">
      <w:pPr>
        <w:pStyle w:val="ListParagraph"/>
        <w:spacing w:after="160" w:line="300" w:lineRule="exact"/>
      </w:pPr>
      <w:r>
        <w:t xml:space="preserve">Our proposed incentive amount will help ensure that respondents honor their commitment of participating in the focus groups. Our incentive was chosen based on 1) an estimated cost related to childcare for 3 hours (e.g., approximate travel time to and from facility, time to park a vehicle, </w:t>
      </w:r>
      <w:r w:rsidR="00A44F90">
        <w:t xml:space="preserve">and the </w:t>
      </w:r>
      <w:r w:rsidR="003F2EAE">
        <w:t xml:space="preserve">105 </w:t>
      </w:r>
      <w:r w:rsidR="00A44F90">
        <w:t xml:space="preserve">minute </w:t>
      </w:r>
      <w:r>
        <w:t>check-in and check-out procedures, focus group discussion</w:t>
      </w:r>
      <w:r w:rsidR="003F2EAE">
        <w:t xml:space="preserve"> and 15 minute consent form completion</w:t>
      </w:r>
      <w:r>
        <w:t>), which is approximately $48</w:t>
      </w:r>
      <w:r>
        <w:rPr>
          <w:rStyle w:val="FootnoteReference"/>
        </w:rPr>
        <w:footnoteReference w:id="2"/>
      </w:r>
      <w:r>
        <w:t>; 2) an estimated cost for an average driving commute to and from the facility of approximately $18</w:t>
      </w:r>
      <w:r>
        <w:rPr>
          <w:rStyle w:val="FootnoteReference"/>
        </w:rPr>
        <w:footnoteReference w:id="3"/>
      </w:r>
      <w:r>
        <w:t>; and 3) our contractor’s and other researchers’ experiences with using nonmonetary incentives, which generally produce participation rates no better than the complete absence of any incentives.</w:t>
      </w:r>
      <w:r>
        <w:rPr>
          <w:rStyle w:val="FootnoteReference"/>
        </w:rPr>
        <w:footnoteReference w:id="4"/>
      </w:r>
      <w:r>
        <w:t xml:space="preserve"> The proposed amount of $75 is comparable to what has been the level of reimbursement for the target audiences in similar government funded activities. </w:t>
      </w:r>
      <w:r w:rsidR="00FC76AE">
        <w:t>Parents</w:t>
      </w:r>
      <w:r>
        <w:t xml:space="preserve"> of young children are often more difficult to recruit than more general audiences</w:t>
      </w:r>
      <w:r w:rsidR="00FC76AE">
        <w:t>,</w:t>
      </w:r>
      <w:r>
        <w:t xml:space="preserve"> and the incentive needs to be enough to help the participants cover outside childcare costs if needed. As noted above, we expect that lower or nonmonetary incentives will necessitate over-recruitment by higher percentages and</w:t>
      </w:r>
      <w:r w:rsidRPr="008408E6">
        <w:t xml:space="preserve"> </w:t>
      </w:r>
      <w:r>
        <w:t>result in longer recruiting time as well as higher overall project costs.</w:t>
      </w:r>
    </w:p>
    <w:p w14:paraId="77588D7A" w14:textId="17E10727" w:rsidR="008F5BF2" w:rsidRDefault="008F5BF2" w:rsidP="00490D9A">
      <w:pPr>
        <w:pStyle w:val="ListParagraph"/>
        <w:spacing w:after="160" w:line="300" w:lineRule="exact"/>
      </w:pPr>
      <w:r>
        <w:t>The importance of monetary compensation for focus group participation has been discussed by Krueger and Casey (2014), who indicate that offering minimal levels of monetary compensation can help ensure that sufficient numbers of participants will attend, thereby yielding more useful research results.</w:t>
      </w:r>
      <w:r>
        <w:rPr>
          <w:rStyle w:val="FootnoteReference"/>
        </w:rPr>
        <w:footnoteReference w:id="5"/>
      </w:r>
      <w:r>
        <w:t xml:space="preserve"> Further, in a meta-analysis of 38 experiments and quasi-experiments, Church (1993) found that providing cash incentives for participation was far more effective than nonmonetary gifts in generating survey response, and prepaid monetary incentives yielded an average increase of 19.1 percentage points over comparison groups.</w:t>
      </w:r>
      <w:r>
        <w:rPr>
          <w:rStyle w:val="FootnoteReference"/>
        </w:rPr>
        <w:footnoteReference w:id="6"/>
      </w:r>
      <w:r>
        <w:t xml:space="preserve"> Finally, the importance of monetary incentives has been corroborated in experiences related to the National Adult Literacy Survey by Berlin and colleagues (1992)</w:t>
      </w:r>
      <w:r>
        <w:rPr>
          <w:rStyle w:val="FootnoteReference"/>
        </w:rPr>
        <w:footnoteReference w:id="7"/>
      </w:r>
      <w:r>
        <w:t xml:space="preserve"> and internal proprietary research conducted by our contractor, RTI.</w:t>
      </w:r>
    </w:p>
    <w:p w14:paraId="01865FA6" w14:textId="23DF5FAD" w:rsidR="00140A0D" w:rsidRPr="0062552F" w:rsidRDefault="00140A0D" w:rsidP="0062552F">
      <w:pPr>
        <w:numPr>
          <w:ilvl w:val="0"/>
          <w:numId w:val="15"/>
        </w:numPr>
        <w:tabs>
          <w:tab w:val="clear" w:pos="1296"/>
          <w:tab w:val="num" w:pos="720"/>
          <w:tab w:val="num" w:pos="900"/>
        </w:tabs>
        <w:spacing w:after="160" w:line="300" w:lineRule="exact"/>
        <w:ind w:left="720"/>
      </w:pPr>
      <w:r w:rsidRPr="0062552F">
        <w:rPr>
          <w:b/>
        </w:rPr>
        <w:t xml:space="preserve">Questions of a </w:t>
      </w:r>
      <w:r w:rsidR="00A56857" w:rsidRPr="0062552F">
        <w:rPr>
          <w:b/>
        </w:rPr>
        <w:t>sensitive n</w:t>
      </w:r>
      <w:r w:rsidRPr="0062552F">
        <w:rPr>
          <w:b/>
        </w:rPr>
        <w:t>ature:</w:t>
      </w:r>
    </w:p>
    <w:p w14:paraId="3DB44DAC" w14:textId="6C1835EC" w:rsidR="00F41751" w:rsidRPr="0062552F" w:rsidRDefault="00FE2977" w:rsidP="0062552F">
      <w:pPr>
        <w:spacing w:after="160" w:line="300" w:lineRule="exact"/>
        <w:ind w:left="720"/>
      </w:pPr>
      <w:r>
        <w:t>None</w:t>
      </w:r>
      <w:r w:rsidR="00F41751" w:rsidRPr="0062552F">
        <w:t>.</w:t>
      </w:r>
    </w:p>
    <w:p w14:paraId="478CC089" w14:textId="77777777" w:rsidR="00140A0D" w:rsidRPr="0062552F" w:rsidRDefault="00140A0D" w:rsidP="0062552F">
      <w:pPr>
        <w:numPr>
          <w:ilvl w:val="0"/>
          <w:numId w:val="15"/>
        </w:numPr>
        <w:tabs>
          <w:tab w:val="clear" w:pos="1296"/>
          <w:tab w:val="num" w:pos="720"/>
          <w:tab w:val="num" w:pos="900"/>
        </w:tabs>
        <w:spacing w:after="160" w:line="300" w:lineRule="exact"/>
        <w:ind w:left="720"/>
      </w:pPr>
      <w:r w:rsidRPr="0062552F">
        <w:rPr>
          <w:b/>
        </w:rPr>
        <w:t xml:space="preserve">Description of </w:t>
      </w:r>
      <w:r w:rsidR="00163E86" w:rsidRPr="0062552F">
        <w:rPr>
          <w:b/>
        </w:rPr>
        <w:t>s</w:t>
      </w:r>
      <w:r w:rsidRPr="0062552F">
        <w:rPr>
          <w:b/>
        </w:rPr>
        <w:t xml:space="preserve">tatistical </w:t>
      </w:r>
      <w:r w:rsidR="00163E86" w:rsidRPr="0062552F">
        <w:rPr>
          <w:b/>
        </w:rPr>
        <w:t>m</w:t>
      </w:r>
      <w:r w:rsidRPr="0062552F">
        <w:rPr>
          <w:b/>
        </w:rPr>
        <w:t>ethods (</w:t>
      </w:r>
      <w:r w:rsidR="00163E86" w:rsidRPr="0062552F">
        <w:rPr>
          <w:b/>
        </w:rPr>
        <w:t>i.e</w:t>
      </w:r>
      <w:r w:rsidR="00B31D14" w:rsidRPr="0062552F">
        <w:rPr>
          <w:b/>
        </w:rPr>
        <w:t>.,</w:t>
      </w:r>
      <w:r w:rsidR="00E971FC" w:rsidRPr="0062552F">
        <w:rPr>
          <w:b/>
        </w:rPr>
        <w:t xml:space="preserve"> </w:t>
      </w:r>
      <w:r w:rsidR="00163E86" w:rsidRPr="0062552F">
        <w:rPr>
          <w:b/>
        </w:rPr>
        <w:t>s</w:t>
      </w:r>
      <w:r w:rsidRPr="0062552F">
        <w:rPr>
          <w:b/>
        </w:rPr>
        <w:t xml:space="preserve">ample </w:t>
      </w:r>
      <w:r w:rsidR="00163E86" w:rsidRPr="0062552F">
        <w:rPr>
          <w:b/>
        </w:rPr>
        <w:t>s</w:t>
      </w:r>
      <w:r w:rsidRPr="0062552F">
        <w:rPr>
          <w:b/>
        </w:rPr>
        <w:t xml:space="preserve">ize &amp; </w:t>
      </w:r>
      <w:r w:rsidR="00163E86" w:rsidRPr="0062552F">
        <w:rPr>
          <w:b/>
        </w:rPr>
        <w:t>m</w:t>
      </w:r>
      <w:r w:rsidRPr="0062552F">
        <w:rPr>
          <w:b/>
        </w:rPr>
        <w:t xml:space="preserve">ethod of </w:t>
      </w:r>
      <w:r w:rsidR="00163E86" w:rsidRPr="0062552F">
        <w:rPr>
          <w:b/>
        </w:rPr>
        <w:t>s</w:t>
      </w:r>
      <w:r w:rsidRPr="0062552F">
        <w:rPr>
          <w:b/>
        </w:rPr>
        <w:t>election):</w:t>
      </w:r>
    </w:p>
    <w:p w14:paraId="2DCACD20" w14:textId="6253BB26" w:rsidR="00F41751" w:rsidRPr="0062552F" w:rsidRDefault="00F41751" w:rsidP="0062552F">
      <w:pPr>
        <w:spacing w:after="160" w:line="300" w:lineRule="exact"/>
        <w:ind w:left="720"/>
      </w:pPr>
      <w:r w:rsidRPr="00AD0D1C">
        <w:t xml:space="preserve">Because this </w:t>
      </w:r>
      <w:r w:rsidR="00473C32" w:rsidRPr="00AD0D1C">
        <w:t xml:space="preserve">study </w:t>
      </w:r>
      <w:r w:rsidRPr="00AD0D1C">
        <w:t xml:space="preserve">is </w:t>
      </w:r>
      <w:r w:rsidR="00473C32" w:rsidRPr="00AD0D1C">
        <w:t xml:space="preserve">qualitative </w:t>
      </w:r>
      <w:r w:rsidRPr="00AD0D1C">
        <w:t xml:space="preserve">in nature, no statistical methods will be </w:t>
      </w:r>
      <w:r w:rsidR="00047896">
        <w:t>applied to responses</w:t>
      </w:r>
      <w:r w:rsidR="00473C32" w:rsidRPr="0062552F">
        <w:t>.</w:t>
      </w:r>
      <w:r w:rsidRPr="0062552F">
        <w:t xml:space="preserve"> To analyze the focus group data, </w:t>
      </w:r>
      <w:r w:rsidR="0062552F" w:rsidRPr="0062552F">
        <w:t>a</w:t>
      </w:r>
      <w:r w:rsidR="00047896">
        <w:t>n RTI</w:t>
      </w:r>
      <w:r w:rsidR="0062552F" w:rsidRPr="0062552F">
        <w:t xml:space="preserve"> study team member</w:t>
      </w:r>
      <w:r w:rsidRPr="0062552F">
        <w:t xml:space="preserve"> will review the video-recordings and transcripts of the focus group discussions and prepare a detailed summary of each discussion</w:t>
      </w:r>
      <w:r w:rsidR="0062552F" w:rsidRPr="0062552F">
        <w:t xml:space="preserve"> and </w:t>
      </w:r>
      <w:r w:rsidRPr="0062552F">
        <w:t>then systematically analyze the detailed summaries to identify common themes and any exceptions to these themes. The contractor will summarize these findings in a final report to FDA.</w:t>
      </w:r>
    </w:p>
    <w:p w14:paraId="2740E23D" w14:textId="77777777" w:rsidR="0062552F" w:rsidRDefault="0062552F" w:rsidP="0014184D">
      <w:pPr>
        <w:rPr>
          <w:b/>
        </w:rPr>
      </w:pPr>
    </w:p>
    <w:p w14:paraId="29C5AF7E" w14:textId="7391463F" w:rsidR="003F1C7A" w:rsidRPr="0014184D" w:rsidRDefault="003F1C7A" w:rsidP="0014184D">
      <w:pPr>
        <w:rPr>
          <w:i/>
        </w:rPr>
      </w:pPr>
      <w:r w:rsidRPr="0014184D">
        <w:rPr>
          <w:b/>
        </w:rPr>
        <w:t>BURDEN HOUR COMPUTATION</w:t>
      </w:r>
      <w:r w:rsidRPr="0014184D">
        <w:t xml:space="preserve"> </w:t>
      </w:r>
      <w:r w:rsidRPr="0014184D">
        <w:rPr>
          <w:i/>
        </w:rPr>
        <w:t>(Number of responses</w:t>
      </w:r>
      <w:r w:rsidR="0049419A" w:rsidRPr="0014184D">
        <w:rPr>
          <w:i/>
        </w:rPr>
        <w:t xml:space="preserve"> </w:t>
      </w:r>
      <w:r w:rsidRPr="0014184D">
        <w:rPr>
          <w:i/>
        </w:rPr>
        <w:t>(X) estimated response or participation time in minutes (/60) = annual burden hours):</w:t>
      </w:r>
    </w:p>
    <w:p w14:paraId="1FEA354A" w14:textId="77777777" w:rsidR="005C6A7F" w:rsidRPr="0014184D" w:rsidRDefault="005C6A7F" w:rsidP="0014184D">
      <w:pPr>
        <w:rPr>
          <w:i/>
        </w:rPr>
      </w:pP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985"/>
        <w:gridCol w:w="1985"/>
        <w:gridCol w:w="1986"/>
      </w:tblGrid>
      <w:tr w:rsidR="003F1C7A" w:rsidRPr="0014184D" w14:paraId="0A347DEB" w14:textId="77777777" w:rsidTr="00331164">
        <w:trPr>
          <w:cantSplit/>
          <w:trHeight w:val="274"/>
          <w:jc w:val="center"/>
        </w:trPr>
        <w:tc>
          <w:tcPr>
            <w:tcW w:w="2700" w:type="dxa"/>
            <w:shd w:val="clear" w:color="auto" w:fill="E0E0E0"/>
          </w:tcPr>
          <w:p w14:paraId="4FD08835" w14:textId="77777777" w:rsidR="003F1C7A" w:rsidRPr="0014184D" w:rsidRDefault="00696B03" w:rsidP="0014184D">
            <w:pPr>
              <w:rPr>
                <w:b/>
              </w:rPr>
            </w:pPr>
            <w:r w:rsidRPr="0014184D">
              <w:rPr>
                <w:b/>
              </w:rPr>
              <w:t>Type/</w:t>
            </w:r>
            <w:r w:rsidR="003F1C7A" w:rsidRPr="0014184D">
              <w:rPr>
                <w:b/>
              </w:rPr>
              <w:t>Category of Respondent</w:t>
            </w:r>
          </w:p>
        </w:tc>
        <w:tc>
          <w:tcPr>
            <w:tcW w:w="1985" w:type="dxa"/>
            <w:shd w:val="clear" w:color="auto" w:fill="E0E0E0"/>
          </w:tcPr>
          <w:p w14:paraId="0E062D07" w14:textId="77777777" w:rsidR="003F1C7A" w:rsidRPr="0014184D" w:rsidRDefault="003F1C7A" w:rsidP="007274AA">
            <w:pPr>
              <w:jc w:val="center"/>
              <w:rPr>
                <w:b/>
              </w:rPr>
            </w:pPr>
            <w:r w:rsidRPr="0014184D">
              <w:rPr>
                <w:b/>
              </w:rPr>
              <w:t>No. of Respondent</w:t>
            </w:r>
            <w:r w:rsidR="00696B03" w:rsidRPr="0014184D">
              <w:rPr>
                <w:b/>
              </w:rPr>
              <w:t>s</w:t>
            </w:r>
          </w:p>
        </w:tc>
        <w:tc>
          <w:tcPr>
            <w:tcW w:w="1985" w:type="dxa"/>
            <w:shd w:val="clear" w:color="auto" w:fill="E0E0E0"/>
          </w:tcPr>
          <w:p w14:paraId="1DFA29BB" w14:textId="77777777" w:rsidR="003F1C7A" w:rsidRPr="0014184D" w:rsidRDefault="003F1C7A" w:rsidP="007274AA">
            <w:pPr>
              <w:jc w:val="center"/>
              <w:rPr>
                <w:b/>
              </w:rPr>
            </w:pPr>
            <w:r w:rsidRPr="0014184D">
              <w:rPr>
                <w:b/>
              </w:rPr>
              <w:t>Participation Time</w:t>
            </w:r>
            <w:r w:rsidR="00696B03" w:rsidRPr="0014184D">
              <w:rPr>
                <w:b/>
              </w:rPr>
              <w:t xml:space="preserve"> (minutes)</w:t>
            </w:r>
          </w:p>
        </w:tc>
        <w:tc>
          <w:tcPr>
            <w:tcW w:w="1986" w:type="dxa"/>
            <w:shd w:val="clear" w:color="auto" w:fill="E0E0E0"/>
          </w:tcPr>
          <w:p w14:paraId="211FA9A7" w14:textId="77777777" w:rsidR="003F1C7A" w:rsidRPr="0014184D" w:rsidRDefault="003F1C7A" w:rsidP="007274AA">
            <w:pPr>
              <w:jc w:val="center"/>
              <w:rPr>
                <w:b/>
              </w:rPr>
            </w:pPr>
            <w:r w:rsidRPr="0014184D">
              <w:rPr>
                <w:b/>
              </w:rPr>
              <w:t>Burden</w:t>
            </w:r>
          </w:p>
          <w:p w14:paraId="56BC206B" w14:textId="77777777" w:rsidR="00696B03" w:rsidRPr="0014184D" w:rsidRDefault="00696B03" w:rsidP="007274AA">
            <w:pPr>
              <w:jc w:val="center"/>
              <w:rPr>
                <w:b/>
              </w:rPr>
            </w:pPr>
            <w:r w:rsidRPr="0014184D">
              <w:rPr>
                <w:b/>
              </w:rPr>
              <w:t>(hours)</w:t>
            </w:r>
          </w:p>
        </w:tc>
      </w:tr>
      <w:tr w:rsidR="00F62F0B" w:rsidRPr="0014184D" w14:paraId="5419E57C" w14:textId="77777777" w:rsidTr="00331164">
        <w:trPr>
          <w:trHeight w:val="274"/>
          <w:jc w:val="center"/>
        </w:trPr>
        <w:tc>
          <w:tcPr>
            <w:tcW w:w="2700" w:type="dxa"/>
          </w:tcPr>
          <w:p w14:paraId="1ACF5A12" w14:textId="73BD8827" w:rsidR="00F62F0B" w:rsidRPr="0014184D" w:rsidRDefault="00E84074" w:rsidP="00E84074">
            <w:r>
              <w:t>Potential focus group participants vetted through s</w:t>
            </w:r>
            <w:r w:rsidR="00F62F0B" w:rsidRPr="0014184D">
              <w:t>creen</w:t>
            </w:r>
            <w:r w:rsidR="00331164">
              <w:t xml:space="preserve">ing </w:t>
            </w:r>
            <w:r w:rsidR="00A56857">
              <w:t>questionnaire</w:t>
            </w:r>
          </w:p>
        </w:tc>
        <w:tc>
          <w:tcPr>
            <w:tcW w:w="1985" w:type="dxa"/>
          </w:tcPr>
          <w:p w14:paraId="1FBF12C6" w14:textId="7A45337D" w:rsidR="00F62F0B" w:rsidRPr="0014184D" w:rsidRDefault="00331164" w:rsidP="00A56857">
            <w:pPr>
              <w:tabs>
                <w:tab w:val="decimal" w:pos="768"/>
              </w:tabs>
            </w:pPr>
            <w:r>
              <w:t>640</w:t>
            </w:r>
          </w:p>
        </w:tc>
        <w:tc>
          <w:tcPr>
            <w:tcW w:w="1985" w:type="dxa"/>
          </w:tcPr>
          <w:p w14:paraId="003FEC2F" w14:textId="2A5A8F34" w:rsidR="00F62F0B" w:rsidRPr="0014184D" w:rsidRDefault="00331164" w:rsidP="00A56857">
            <w:pPr>
              <w:tabs>
                <w:tab w:val="decimal" w:pos="768"/>
              </w:tabs>
            </w:pPr>
            <w:r>
              <w:t xml:space="preserve">8 </w:t>
            </w:r>
          </w:p>
        </w:tc>
        <w:tc>
          <w:tcPr>
            <w:tcW w:w="1986" w:type="dxa"/>
          </w:tcPr>
          <w:p w14:paraId="2F5467AB" w14:textId="0C10DDA5" w:rsidR="00F62F0B" w:rsidRPr="0014184D" w:rsidRDefault="00331164" w:rsidP="00A56857">
            <w:pPr>
              <w:tabs>
                <w:tab w:val="decimal" w:pos="768"/>
              </w:tabs>
            </w:pPr>
            <w:r>
              <w:t>85</w:t>
            </w:r>
          </w:p>
        </w:tc>
      </w:tr>
      <w:tr w:rsidR="009C4D78" w:rsidRPr="0014184D" w14:paraId="79313661" w14:textId="77777777" w:rsidTr="00331164">
        <w:trPr>
          <w:trHeight w:val="274"/>
          <w:jc w:val="center"/>
        </w:trPr>
        <w:tc>
          <w:tcPr>
            <w:tcW w:w="2700" w:type="dxa"/>
          </w:tcPr>
          <w:p w14:paraId="20E2618B" w14:textId="70000FE9" w:rsidR="009C4D78" w:rsidRDefault="009C4D78" w:rsidP="00E84074">
            <w:r>
              <w:t>Review and completion of focus group consent form</w:t>
            </w:r>
          </w:p>
        </w:tc>
        <w:tc>
          <w:tcPr>
            <w:tcW w:w="1985" w:type="dxa"/>
          </w:tcPr>
          <w:p w14:paraId="27C4C2BA" w14:textId="4D6F5468" w:rsidR="009C4D78" w:rsidRPr="0014184D" w:rsidRDefault="009C4D78" w:rsidP="00A56857">
            <w:pPr>
              <w:tabs>
                <w:tab w:val="decimal" w:pos="768"/>
              </w:tabs>
            </w:pPr>
            <w:r>
              <w:t>80</w:t>
            </w:r>
          </w:p>
        </w:tc>
        <w:tc>
          <w:tcPr>
            <w:tcW w:w="1985" w:type="dxa"/>
          </w:tcPr>
          <w:p w14:paraId="426F1A02" w14:textId="4305EFE0" w:rsidR="009C4D78" w:rsidRDefault="009C4D78" w:rsidP="00A56857">
            <w:pPr>
              <w:tabs>
                <w:tab w:val="decimal" w:pos="768"/>
              </w:tabs>
            </w:pPr>
            <w:r>
              <w:t>15</w:t>
            </w:r>
          </w:p>
        </w:tc>
        <w:tc>
          <w:tcPr>
            <w:tcW w:w="1986" w:type="dxa"/>
          </w:tcPr>
          <w:p w14:paraId="3B45A0A9" w14:textId="55D032E6" w:rsidR="009C4D78" w:rsidRDefault="009C4D78" w:rsidP="00A56857">
            <w:pPr>
              <w:tabs>
                <w:tab w:val="decimal" w:pos="768"/>
              </w:tabs>
            </w:pPr>
            <w:r>
              <w:t>20</w:t>
            </w:r>
          </w:p>
        </w:tc>
      </w:tr>
      <w:tr w:rsidR="007E76D6" w:rsidRPr="0014184D" w14:paraId="47D42C0D" w14:textId="77777777" w:rsidTr="00331164">
        <w:trPr>
          <w:trHeight w:val="274"/>
          <w:jc w:val="center"/>
        </w:trPr>
        <w:tc>
          <w:tcPr>
            <w:tcW w:w="2700" w:type="dxa"/>
          </w:tcPr>
          <w:p w14:paraId="0085B086" w14:textId="61F93772" w:rsidR="007E76D6" w:rsidRPr="0014184D" w:rsidRDefault="00E84074" w:rsidP="00E84074">
            <w:r>
              <w:t>Participants chosen for focus groups and time taken for c</w:t>
            </w:r>
            <w:r w:rsidR="00A44F90">
              <w:t>heck in, f</w:t>
            </w:r>
            <w:r w:rsidR="007E76D6" w:rsidRPr="0014184D">
              <w:t>ocus group discussion</w:t>
            </w:r>
            <w:r w:rsidR="00A44F90">
              <w:t>, and check out</w:t>
            </w:r>
          </w:p>
        </w:tc>
        <w:tc>
          <w:tcPr>
            <w:tcW w:w="1985" w:type="dxa"/>
          </w:tcPr>
          <w:p w14:paraId="23D1BC6E" w14:textId="77777777" w:rsidR="007E76D6" w:rsidRPr="0014184D" w:rsidRDefault="00802398" w:rsidP="00A56857">
            <w:pPr>
              <w:tabs>
                <w:tab w:val="decimal" w:pos="768"/>
              </w:tabs>
            </w:pPr>
            <w:r w:rsidRPr="0014184D">
              <w:t>8</w:t>
            </w:r>
            <w:r w:rsidR="007E76D6" w:rsidRPr="0014184D">
              <w:t>0</w:t>
            </w:r>
          </w:p>
        </w:tc>
        <w:tc>
          <w:tcPr>
            <w:tcW w:w="1985" w:type="dxa"/>
          </w:tcPr>
          <w:p w14:paraId="403680D5" w14:textId="3CD6CA79" w:rsidR="007E76D6" w:rsidRPr="0014184D" w:rsidDel="0016369C" w:rsidRDefault="009C4D78" w:rsidP="00A56857">
            <w:pPr>
              <w:tabs>
                <w:tab w:val="decimal" w:pos="768"/>
              </w:tabs>
            </w:pPr>
            <w:r>
              <w:t>105</w:t>
            </w:r>
          </w:p>
        </w:tc>
        <w:tc>
          <w:tcPr>
            <w:tcW w:w="1986" w:type="dxa"/>
          </w:tcPr>
          <w:p w14:paraId="05F94B8E" w14:textId="55A1F93B" w:rsidR="007E76D6" w:rsidRPr="0014184D" w:rsidDel="0016369C" w:rsidRDefault="009C4D78" w:rsidP="00A56857">
            <w:pPr>
              <w:tabs>
                <w:tab w:val="decimal" w:pos="768"/>
              </w:tabs>
            </w:pPr>
            <w:r>
              <w:t>140</w:t>
            </w:r>
          </w:p>
        </w:tc>
      </w:tr>
      <w:tr w:rsidR="001C7B3E" w:rsidRPr="0014184D" w14:paraId="3D2047FF" w14:textId="77777777" w:rsidTr="00331164">
        <w:trPr>
          <w:trHeight w:val="274"/>
          <w:jc w:val="center"/>
        </w:trPr>
        <w:tc>
          <w:tcPr>
            <w:tcW w:w="6670" w:type="dxa"/>
            <w:gridSpan w:val="3"/>
          </w:tcPr>
          <w:p w14:paraId="31AAC1AB" w14:textId="77777777" w:rsidR="001C7B3E" w:rsidRPr="0014184D" w:rsidRDefault="001C7B3E" w:rsidP="0014184D">
            <w:r w:rsidRPr="0014184D">
              <w:t>Total</w:t>
            </w:r>
          </w:p>
        </w:tc>
        <w:tc>
          <w:tcPr>
            <w:tcW w:w="1986" w:type="dxa"/>
          </w:tcPr>
          <w:p w14:paraId="7ED499E1" w14:textId="6C4D2645" w:rsidR="001C7B3E" w:rsidRPr="0014184D" w:rsidRDefault="00A44F90" w:rsidP="00A56857">
            <w:pPr>
              <w:tabs>
                <w:tab w:val="decimal" w:pos="794"/>
              </w:tabs>
            </w:pPr>
            <w:r>
              <w:t>245</w:t>
            </w:r>
          </w:p>
        </w:tc>
      </w:tr>
    </w:tbl>
    <w:p w14:paraId="1A76D3D6" w14:textId="77777777" w:rsidR="003F1C7A" w:rsidRPr="0014184D" w:rsidRDefault="003F1C7A" w:rsidP="0014184D"/>
    <w:p w14:paraId="5BA9762F" w14:textId="77777777" w:rsidR="00F62F0B" w:rsidRPr="0014184D" w:rsidRDefault="00F62F0B" w:rsidP="0014184D"/>
    <w:p w14:paraId="0F27C0D2" w14:textId="320F5898" w:rsidR="00B71082" w:rsidRPr="0014184D" w:rsidRDefault="003F1C7A" w:rsidP="0014184D">
      <w:r w:rsidRPr="0014184D">
        <w:rPr>
          <w:b/>
        </w:rPr>
        <w:t>REQUESTED APPROVAL DATE:</w:t>
      </w:r>
      <w:r w:rsidR="003C7CFD">
        <w:rPr>
          <w:b/>
        </w:rPr>
        <w:t xml:space="preserve"> </w:t>
      </w:r>
      <w:r w:rsidR="00A45DB8">
        <w:t xml:space="preserve">February </w:t>
      </w:r>
      <w:r w:rsidR="009C4D78">
        <w:t>28</w:t>
      </w:r>
      <w:r w:rsidR="006F35D2">
        <w:t>, 201</w:t>
      </w:r>
      <w:r w:rsidR="00A44F90">
        <w:t>8</w:t>
      </w:r>
    </w:p>
    <w:p w14:paraId="031CE04E" w14:textId="77777777" w:rsidR="003F1C7A" w:rsidRPr="0014184D" w:rsidRDefault="003F1C7A" w:rsidP="0014184D">
      <w:pPr>
        <w:rPr>
          <w:b/>
        </w:rPr>
      </w:pPr>
    </w:p>
    <w:p w14:paraId="1A349CA5" w14:textId="77777777" w:rsidR="00301E66" w:rsidRDefault="00301E66" w:rsidP="0014184D">
      <w:pPr>
        <w:rPr>
          <w:b/>
        </w:rPr>
      </w:pPr>
    </w:p>
    <w:p w14:paraId="29891FC6" w14:textId="77777777" w:rsidR="00301E66" w:rsidRDefault="00301E66" w:rsidP="0014184D">
      <w:pPr>
        <w:rPr>
          <w:b/>
        </w:rPr>
      </w:pPr>
    </w:p>
    <w:p w14:paraId="4F5D1DB0" w14:textId="77777777" w:rsidR="00301E66" w:rsidRDefault="00301E66" w:rsidP="0014184D">
      <w:pPr>
        <w:rPr>
          <w:b/>
        </w:rPr>
      </w:pPr>
    </w:p>
    <w:p w14:paraId="61CCA84C" w14:textId="210EC9B6" w:rsidR="006F35D2" w:rsidRDefault="00140A0D" w:rsidP="0014184D">
      <w:pPr>
        <w:rPr>
          <w:b/>
        </w:rPr>
      </w:pPr>
      <w:r w:rsidRPr="0014184D">
        <w:rPr>
          <w:b/>
        </w:rPr>
        <w:t xml:space="preserve">NAME OF PRA ANALYST &amp; PROGRAM CONTACT: </w:t>
      </w:r>
    </w:p>
    <w:p w14:paraId="62A2B11C" w14:textId="77777777" w:rsidR="00A45DB8" w:rsidRDefault="00A45DB8" w:rsidP="0014184D">
      <w:pPr>
        <w:rPr>
          <w:b/>
        </w:rPr>
      </w:pPr>
    </w:p>
    <w:p w14:paraId="79CEC4AD" w14:textId="294CA356" w:rsidR="00197AD6" w:rsidRDefault="00301E66" w:rsidP="0014184D">
      <w:pPr>
        <w:tabs>
          <w:tab w:val="left" w:pos="5670"/>
        </w:tabs>
        <w:suppressAutoHyphens/>
      </w:pPr>
      <w:r>
        <w:t xml:space="preserve">PRA Analyst         </w:t>
      </w:r>
      <w:r w:rsidR="00A44F90">
        <w:t xml:space="preserve">Ila </w:t>
      </w:r>
      <w:r>
        <w:t xml:space="preserve">S. </w:t>
      </w:r>
      <w:r w:rsidR="00A44F90">
        <w:t>Mizrachi</w:t>
      </w:r>
    </w:p>
    <w:p w14:paraId="6A25A59E" w14:textId="60FA1883" w:rsidR="00197AD6" w:rsidRDefault="00301E66" w:rsidP="0014184D">
      <w:pPr>
        <w:tabs>
          <w:tab w:val="left" w:pos="5670"/>
        </w:tabs>
        <w:suppressAutoHyphens/>
      </w:pPr>
      <w:r>
        <w:t xml:space="preserve">                              </w:t>
      </w:r>
      <w:r w:rsidR="00A44F90">
        <w:t>Ila.Mizrachi@fda.hhs.gov</w:t>
      </w:r>
    </w:p>
    <w:p w14:paraId="4103512C" w14:textId="2625A03A" w:rsidR="00197AD6" w:rsidRDefault="00301E66" w:rsidP="0014184D">
      <w:pPr>
        <w:tabs>
          <w:tab w:val="left" w:pos="5670"/>
        </w:tabs>
        <w:suppressAutoHyphens/>
      </w:pPr>
      <w:r>
        <w:t xml:space="preserve">                              </w:t>
      </w:r>
      <w:r w:rsidR="00A44F90">
        <w:t>301-796-7726</w:t>
      </w:r>
    </w:p>
    <w:p w14:paraId="3225B90E" w14:textId="77777777" w:rsidR="00197AD6" w:rsidRDefault="00197AD6" w:rsidP="0014184D">
      <w:pPr>
        <w:tabs>
          <w:tab w:val="left" w:pos="5670"/>
        </w:tabs>
        <w:suppressAutoHyphens/>
      </w:pPr>
    </w:p>
    <w:p w14:paraId="6A94D161" w14:textId="7C22F44D" w:rsidR="00431546" w:rsidRDefault="00301E66" w:rsidP="0014184D">
      <w:pPr>
        <w:tabs>
          <w:tab w:val="left" w:pos="5670"/>
        </w:tabs>
        <w:suppressAutoHyphens/>
      </w:pPr>
      <w:r>
        <w:t xml:space="preserve">Program Contact  </w:t>
      </w:r>
      <w:r w:rsidR="006F35D2" w:rsidRPr="006F35D2">
        <w:t>John Gasper</w:t>
      </w:r>
    </w:p>
    <w:p w14:paraId="11AC84F3" w14:textId="23DF4FD9" w:rsidR="00431546" w:rsidRPr="006F35D2" w:rsidRDefault="00301E66" w:rsidP="0014184D">
      <w:pPr>
        <w:tabs>
          <w:tab w:val="left" w:pos="5670"/>
        </w:tabs>
        <w:suppressAutoHyphens/>
      </w:pPr>
      <w:r>
        <w:t xml:space="preserve">                              </w:t>
      </w:r>
      <w:r w:rsidR="00431546" w:rsidRPr="00431546">
        <w:t>john.gasper@fda.hhs.gov</w:t>
      </w:r>
    </w:p>
    <w:p w14:paraId="4F772BEE" w14:textId="5E2F0F0D" w:rsidR="006F35D2" w:rsidRPr="006F35D2" w:rsidRDefault="00301E66" w:rsidP="0014184D">
      <w:pPr>
        <w:tabs>
          <w:tab w:val="left" w:pos="5670"/>
        </w:tabs>
        <w:suppressAutoHyphens/>
      </w:pPr>
      <w:r>
        <w:t xml:space="preserve">                              </w:t>
      </w:r>
      <w:r w:rsidR="00197AD6" w:rsidRPr="00197AD6">
        <w:t>240-402-1133</w:t>
      </w:r>
    </w:p>
    <w:p w14:paraId="3AEB4BF3" w14:textId="77777777" w:rsidR="006F35D2" w:rsidRPr="0014184D" w:rsidRDefault="006F35D2" w:rsidP="0014184D">
      <w:pPr>
        <w:tabs>
          <w:tab w:val="left" w:pos="5670"/>
        </w:tabs>
        <w:suppressAutoHyphens/>
        <w:rPr>
          <w:b/>
        </w:rPr>
      </w:pPr>
    </w:p>
    <w:p w14:paraId="178B07EC" w14:textId="2A08144A" w:rsidR="0014184D" w:rsidRPr="0014184D" w:rsidRDefault="00140A0D" w:rsidP="00301E66">
      <w:pPr>
        <w:tabs>
          <w:tab w:val="left" w:pos="5670"/>
        </w:tabs>
        <w:suppressAutoHyphens/>
      </w:pPr>
      <w:r w:rsidRPr="0014184D">
        <w:rPr>
          <w:b/>
        </w:rPr>
        <w:t>FDA CENTER:</w:t>
      </w:r>
      <w:r w:rsidR="003C7CFD">
        <w:rPr>
          <w:b/>
        </w:rPr>
        <w:t xml:space="preserve"> </w:t>
      </w:r>
      <w:r w:rsidR="001973CE" w:rsidRPr="0014184D">
        <w:t>C</w:t>
      </w:r>
      <w:r w:rsidR="002254D4" w:rsidRPr="0014184D">
        <w:t>enter for Food Safety and Applied Nutrition</w:t>
      </w:r>
      <w:r w:rsidR="00301E66">
        <w:t xml:space="preserve">  (FDA/CFSAN)</w:t>
      </w:r>
    </w:p>
    <w:sectPr w:rsidR="0014184D" w:rsidRPr="0014184D" w:rsidSect="00E96045">
      <w:headerReference w:type="default" r:id="rId9"/>
      <w:footerReference w:type="default" r:id="rId10"/>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E713B" w14:textId="77777777" w:rsidR="003D1BAE" w:rsidRDefault="003D1BAE">
      <w:r>
        <w:separator/>
      </w:r>
    </w:p>
  </w:endnote>
  <w:endnote w:type="continuationSeparator" w:id="0">
    <w:p w14:paraId="7B975C66" w14:textId="77777777" w:rsidR="003D1BAE" w:rsidRDefault="003D1BAE">
      <w:r>
        <w:continuationSeparator/>
      </w:r>
    </w:p>
  </w:endnote>
  <w:endnote w:type="continuationNotice" w:id="1">
    <w:p w14:paraId="10EB79B3" w14:textId="77777777" w:rsidR="003D1BAE" w:rsidRDefault="003D1B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B95CC" w14:textId="2DB52E57" w:rsidR="004002C4" w:rsidRDefault="004002C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59C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3E995" w14:textId="77777777" w:rsidR="003D1BAE" w:rsidRDefault="003D1BAE">
      <w:r>
        <w:separator/>
      </w:r>
    </w:p>
  </w:footnote>
  <w:footnote w:type="continuationSeparator" w:id="0">
    <w:p w14:paraId="5AE5F2C5" w14:textId="77777777" w:rsidR="003D1BAE" w:rsidRDefault="003D1BAE">
      <w:r>
        <w:continuationSeparator/>
      </w:r>
    </w:p>
  </w:footnote>
  <w:footnote w:type="continuationNotice" w:id="1">
    <w:p w14:paraId="75F213E1" w14:textId="77777777" w:rsidR="003D1BAE" w:rsidRDefault="003D1BAE"/>
  </w:footnote>
  <w:footnote w:id="2">
    <w:p w14:paraId="1B3883A0" w14:textId="77777777" w:rsidR="008F5BF2" w:rsidRDefault="008F5BF2" w:rsidP="008F5BF2">
      <w:pPr>
        <w:pStyle w:val="FootnoteText"/>
      </w:pPr>
      <w:r>
        <w:rPr>
          <w:rStyle w:val="FootnoteReference"/>
        </w:rPr>
        <w:footnoteRef/>
      </w:r>
      <w:r>
        <w:t xml:space="preserve"> Assumes an hourly rate of $16 per hour for a professional babysitter</w:t>
      </w:r>
    </w:p>
  </w:footnote>
  <w:footnote w:id="3">
    <w:p w14:paraId="621E3FCE" w14:textId="77777777" w:rsidR="008F5BF2" w:rsidRDefault="008F5BF2" w:rsidP="008F5BF2">
      <w:pPr>
        <w:pStyle w:val="FootnoteText"/>
      </w:pPr>
      <w:r>
        <w:rPr>
          <w:rStyle w:val="FootnoteReference"/>
        </w:rPr>
        <w:footnoteRef/>
      </w:r>
      <w:r>
        <w:t xml:space="preserve"> Assumes travel by automobile; calculation derived from average annual commuting costs reported at </w:t>
      </w:r>
      <w:r w:rsidRPr="008577D6">
        <w:t>https://www.census.gov/hhes/commuting/files/JSM_Proceedings_paper.pdf</w:t>
      </w:r>
    </w:p>
  </w:footnote>
  <w:footnote w:id="4">
    <w:p w14:paraId="3D82A1E5" w14:textId="77777777" w:rsidR="008F5BF2" w:rsidRDefault="008F5BF2" w:rsidP="008F5BF2">
      <w:pPr>
        <w:pStyle w:val="FootnoteText"/>
      </w:pPr>
      <w:r>
        <w:rPr>
          <w:rStyle w:val="FootnoteReference"/>
        </w:rPr>
        <w:footnoteRef/>
      </w:r>
      <w:r>
        <w:t xml:space="preserve"> See: Church, A.H. (1993). Estimating the effect of incentives on mail survey response rates: A meta-analysis. </w:t>
      </w:r>
      <w:r>
        <w:rPr>
          <w:i/>
          <w:iCs/>
        </w:rPr>
        <w:t>Public Opinion Quarterly,</w:t>
      </w:r>
      <w:r>
        <w:t xml:space="preserve"> 57, 62-79; Dykema, J. et al. </w:t>
      </w:r>
      <w:r w:rsidRPr="000275F0">
        <w:t xml:space="preserve">(2012). Use of monetary and nonmonetary incentives to increase response rates among African Americans in the Wisconsin pregnancy risk assessment monitoring system. </w:t>
      </w:r>
      <w:r w:rsidRPr="000275F0">
        <w:rPr>
          <w:i/>
          <w:iCs/>
        </w:rPr>
        <w:t>Maternal and child health journal</w:t>
      </w:r>
      <w:r w:rsidRPr="000275F0">
        <w:t xml:space="preserve">, </w:t>
      </w:r>
      <w:r w:rsidRPr="000275F0">
        <w:rPr>
          <w:i/>
          <w:iCs/>
        </w:rPr>
        <w:t>16</w:t>
      </w:r>
      <w:r>
        <w:t xml:space="preserve">(4), 785-791; </w:t>
      </w:r>
      <w:r w:rsidRPr="00362661">
        <w:t xml:space="preserve">Singer, E., &amp; Kulka, R. A. (2002). Paying respondents for survey participation. </w:t>
      </w:r>
      <w:r>
        <w:t xml:space="preserve">In: </w:t>
      </w:r>
      <w:r w:rsidRPr="00362661">
        <w:rPr>
          <w:i/>
          <w:iCs/>
        </w:rPr>
        <w:t>Studies of welfare populations: Data collection and research issues</w:t>
      </w:r>
      <w:r w:rsidRPr="00362661">
        <w:t>, 105-128.</w:t>
      </w:r>
    </w:p>
  </w:footnote>
  <w:footnote w:id="5">
    <w:p w14:paraId="5789A2C9" w14:textId="77777777" w:rsidR="008F5BF2" w:rsidRDefault="008F5BF2" w:rsidP="008F5BF2">
      <w:pPr>
        <w:pStyle w:val="FootnoteText"/>
      </w:pPr>
      <w:r>
        <w:rPr>
          <w:rStyle w:val="FootnoteReference"/>
        </w:rPr>
        <w:footnoteRef/>
      </w:r>
      <w:r>
        <w:t xml:space="preserve"> Krueger, R.A. &amp; M.A. Casey. (2014). Focus groups: A practical guide for applied research. (5th ed.). Thousand Oaks, CA: Sage Publications, Inc.</w:t>
      </w:r>
    </w:p>
  </w:footnote>
  <w:footnote w:id="6">
    <w:p w14:paraId="5636D5A1" w14:textId="77777777" w:rsidR="008F5BF2" w:rsidRDefault="008F5BF2" w:rsidP="008F5BF2">
      <w:pPr>
        <w:pStyle w:val="FootnoteText"/>
      </w:pPr>
      <w:r>
        <w:rPr>
          <w:rStyle w:val="FootnoteReference"/>
        </w:rPr>
        <w:footnoteRef/>
      </w:r>
      <w:r>
        <w:t xml:space="preserve"> Church, A.H. (1993). Estimating the effect of incentives on mail survey response rates: A meta-analysis. </w:t>
      </w:r>
      <w:r>
        <w:rPr>
          <w:i/>
          <w:iCs/>
        </w:rPr>
        <w:t>Public Opinion Quarterly,</w:t>
      </w:r>
      <w:r>
        <w:t xml:space="preserve"> 57, 62-79.</w:t>
      </w:r>
    </w:p>
  </w:footnote>
  <w:footnote w:id="7">
    <w:p w14:paraId="10AE6ED0" w14:textId="77777777" w:rsidR="008F5BF2" w:rsidRDefault="008F5BF2" w:rsidP="008F5BF2">
      <w:pPr>
        <w:pStyle w:val="FootnoteText"/>
      </w:pPr>
      <w:r>
        <w:rPr>
          <w:rStyle w:val="FootnoteReference"/>
        </w:rPr>
        <w:footnoteRef/>
      </w:r>
      <w:r>
        <w:t xml:space="preserve"> </w:t>
      </w:r>
      <w:r w:rsidRPr="00795B93">
        <w:t>Berlin</w:t>
      </w:r>
      <w:r>
        <w:t>,</w:t>
      </w:r>
      <w:r w:rsidRPr="00795B93">
        <w:t xml:space="preserve"> M</w:t>
      </w:r>
      <w:r>
        <w:t>.</w:t>
      </w:r>
      <w:r w:rsidRPr="00795B93">
        <w:t xml:space="preserve">, </w:t>
      </w:r>
      <w:r>
        <w:t xml:space="preserve">L. </w:t>
      </w:r>
      <w:r w:rsidRPr="00795B93">
        <w:t xml:space="preserve">Mohadjer, </w:t>
      </w:r>
      <w:r>
        <w:t xml:space="preserve">J. </w:t>
      </w:r>
      <w:r w:rsidRPr="00795B93">
        <w:t xml:space="preserve">Waksberg, </w:t>
      </w:r>
      <w:r>
        <w:t xml:space="preserve">A. </w:t>
      </w:r>
      <w:r w:rsidRPr="00795B93">
        <w:t xml:space="preserve">Kolstad, </w:t>
      </w:r>
      <w:r>
        <w:t xml:space="preserve">I. </w:t>
      </w:r>
      <w:r w:rsidRPr="00795B93">
        <w:t xml:space="preserve">Kirsch, </w:t>
      </w:r>
      <w:r>
        <w:t xml:space="preserve">D. </w:t>
      </w:r>
      <w:r w:rsidRPr="00795B93">
        <w:t>Rock,</w:t>
      </w:r>
      <w:r>
        <w:t xml:space="preserve"> &amp; K.</w:t>
      </w:r>
      <w:r w:rsidRPr="00795B93">
        <w:t xml:space="preserve"> Yamamoto.</w:t>
      </w:r>
      <w:r>
        <w:t xml:space="preserve"> </w:t>
      </w:r>
      <w:r w:rsidRPr="00795B93">
        <w:t>An experiment in monetary incentives. American Statistical Association, Proceedings of Survey Research Methods Section; Alexandria, VA: 1992. pp. 393–398.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FF0AC" w14:textId="77777777" w:rsidR="00E92A28" w:rsidRDefault="00E92A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155F45"/>
    <w:multiLevelType w:val="hybridMultilevel"/>
    <w:tmpl w:val="624A1BF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F5477D"/>
    <w:multiLevelType w:val="hybridMultilevel"/>
    <w:tmpl w:val="A8B824D2"/>
    <w:lvl w:ilvl="0" w:tplc="DC68185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4EE0306A"/>
    <w:multiLevelType w:val="hybridMultilevel"/>
    <w:tmpl w:val="3C8C3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1A31A06"/>
    <w:multiLevelType w:val="hybridMultilevel"/>
    <w:tmpl w:val="6378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A744D01"/>
    <w:multiLevelType w:val="hybridMultilevel"/>
    <w:tmpl w:val="E6109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8402CBA"/>
    <w:multiLevelType w:val="hybridMultilevel"/>
    <w:tmpl w:val="42A8A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nsid w:val="6C0D07D9"/>
    <w:multiLevelType w:val="hybridMultilevel"/>
    <w:tmpl w:val="5C7699B8"/>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A137348"/>
    <w:multiLevelType w:val="hybridMultilevel"/>
    <w:tmpl w:val="08A86356"/>
    <w:lvl w:ilvl="0" w:tplc="0494150E">
      <w:start w:val="1"/>
      <w:numFmt w:val="bullet"/>
      <w:pStyle w:val="ListBullet"/>
      <w:lvlText w:val="•"/>
      <w:lvlJc w:val="left"/>
      <w:pPr>
        <w:ind w:left="1440" w:hanging="360"/>
      </w:pPr>
      <w:rPr>
        <w:rFonts w:ascii="Arial" w:hAnsi="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4"/>
  </w:num>
  <w:num w:numId="3">
    <w:abstractNumId w:val="22"/>
  </w:num>
  <w:num w:numId="4">
    <w:abstractNumId w:val="25"/>
  </w:num>
  <w:num w:numId="5">
    <w:abstractNumId w:val="4"/>
  </w:num>
  <w:num w:numId="6">
    <w:abstractNumId w:val="2"/>
  </w:num>
  <w:num w:numId="7">
    <w:abstractNumId w:val="11"/>
  </w:num>
  <w:num w:numId="8">
    <w:abstractNumId w:val="20"/>
  </w:num>
  <w:num w:numId="9">
    <w:abstractNumId w:val="12"/>
  </w:num>
  <w:num w:numId="10">
    <w:abstractNumId w:val="3"/>
  </w:num>
  <w:num w:numId="11">
    <w:abstractNumId w:val="6"/>
  </w:num>
  <w:num w:numId="12">
    <w:abstractNumId w:val="8"/>
  </w:num>
  <w:num w:numId="13">
    <w:abstractNumId w:val="1"/>
  </w:num>
  <w:num w:numId="14">
    <w:abstractNumId w:val="10"/>
  </w:num>
  <w:num w:numId="15">
    <w:abstractNumId w:val="21"/>
  </w:num>
  <w:num w:numId="16">
    <w:abstractNumId w:val="17"/>
  </w:num>
  <w:num w:numId="17">
    <w:abstractNumId w:val="0"/>
  </w:num>
  <w:num w:numId="18">
    <w:abstractNumId w:val="9"/>
  </w:num>
  <w:num w:numId="19">
    <w:abstractNumId w:val="7"/>
  </w:num>
  <w:num w:numId="20">
    <w:abstractNumId w:val="14"/>
  </w:num>
  <w:num w:numId="21">
    <w:abstractNumId w:val="15"/>
  </w:num>
  <w:num w:numId="22">
    <w:abstractNumId w:val="16"/>
  </w:num>
  <w:num w:numId="23">
    <w:abstractNumId w:val="19"/>
  </w:num>
  <w:num w:numId="24">
    <w:abstractNumId w:val="23"/>
  </w:num>
  <w:num w:numId="25">
    <w:abstractNumId w:val="1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5D48"/>
    <w:rsid w:val="000262EC"/>
    <w:rsid w:val="000275F0"/>
    <w:rsid w:val="00027D62"/>
    <w:rsid w:val="00035B5C"/>
    <w:rsid w:val="0004445D"/>
    <w:rsid w:val="000477CE"/>
    <w:rsid w:val="00047896"/>
    <w:rsid w:val="000839EF"/>
    <w:rsid w:val="0009790E"/>
    <w:rsid w:val="000A525C"/>
    <w:rsid w:val="000C386B"/>
    <w:rsid w:val="000F1CDA"/>
    <w:rsid w:val="000F2F28"/>
    <w:rsid w:val="000F5369"/>
    <w:rsid w:val="0010148B"/>
    <w:rsid w:val="001020CC"/>
    <w:rsid w:val="0012150E"/>
    <w:rsid w:val="001218E9"/>
    <w:rsid w:val="00121C06"/>
    <w:rsid w:val="00126D06"/>
    <w:rsid w:val="00132EF8"/>
    <w:rsid w:val="0013429B"/>
    <w:rsid w:val="00135607"/>
    <w:rsid w:val="00140343"/>
    <w:rsid w:val="00140A0D"/>
    <w:rsid w:val="0014184D"/>
    <w:rsid w:val="001534AD"/>
    <w:rsid w:val="00163E86"/>
    <w:rsid w:val="00172A6E"/>
    <w:rsid w:val="0017544C"/>
    <w:rsid w:val="00190AA2"/>
    <w:rsid w:val="00190F47"/>
    <w:rsid w:val="001953D9"/>
    <w:rsid w:val="001973CE"/>
    <w:rsid w:val="00197AD6"/>
    <w:rsid w:val="001A68F4"/>
    <w:rsid w:val="001A6B54"/>
    <w:rsid w:val="001C0117"/>
    <w:rsid w:val="001C7B3E"/>
    <w:rsid w:val="001D19B4"/>
    <w:rsid w:val="001E5D1C"/>
    <w:rsid w:val="001F09C0"/>
    <w:rsid w:val="001F4032"/>
    <w:rsid w:val="00201660"/>
    <w:rsid w:val="00205677"/>
    <w:rsid w:val="0020693D"/>
    <w:rsid w:val="002254D4"/>
    <w:rsid w:val="00230200"/>
    <w:rsid w:val="00243BAE"/>
    <w:rsid w:val="00246C08"/>
    <w:rsid w:val="00255B16"/>
    <w:rsid w:val="00263DCB"/>
    <w:rsid w:val="00274A8E"/>
    <w:rsid w:val="00276D75"/>
    <w:rsid w:val="00277615"/>
    <w:rsid w:val="002845E9"/>
    <w:rsid w:val="00287B67"/>
    <w:rsid w:val="002A0451"/>
    <w:rsid w:val="00301E66"/>
    <w:rsid w:val="00314CE8"/>
    <w:rsid w:val="00324DC3"/>
    <w:rsid w:val="00331164"/>
    <w:rsid w:val="003441A9"/>
    <w:rsid w:val="00350C25"/>
    <w:rsid w:val="00354FAE"/>
    <w:rsid w:val="0036157C"/>
    <w:rsid w:val="00362661"/>
    <w:rsid w:val="00364051"/>
    <w:rsid w:val="00381E78"/>
    <w:rsid w:val="003A5707"/>
    <w:rsid w:val="003C7CFD"/>
    <w:rsid w:val="003C7EE8"/>
    <w:rsid w:val="003D1BAE"/>
    <w:rsid w:val="003D5B39"/>
    <w:rsid w:val="003F1C7A"/>
    <w:rsid w:val="003F2EAE"/>
    <w:rsid w:val="004002C4"/>
    <w:rsid w:val="004006E5"/>
    <w:rsid w:val="00411149"/>
    <w:rsid w:val="00431546"/>
    <w:rsid w:val="0043221D"/>
    <w:rsid w:val="00435A84"/>
    <w:rsid w:val="00455B55"/>
    <w:rsid w:val="0045615E"/>
    <w:rsid w:val="00457FFA"/>
    <w:rsid w:val="00463B4D"/>
    <w:rsid w:val="00473C32"/>
    <w:rsid w:val="00490D9A"/>
    <w:rsid w:val="004910F4"/>
    <w:rsid w:val="0049419A"/>
    <w:rsid w:val="004A0140"/>
    <w:rsid w:val="004B694D"/>
    <w:rsid w:val="004E1EE9"/>
    <w:rsid w:val="00506FE7"/>
    <w:rsid w:val="00513F6A"/>
    <w:rsid w:val="00540689"/>
    <w:rsid w:val="0055192F"/>
    <w:rsid w:val="005544EC"/>
    <w:rsid w:val="00576639"/>
    <w:rsid w:val="005A1029"/>
    <w:rsid w:val="005A18A4"/>
    <w:rsid w:val="005B1C8A"/>
    <w:rsid w:val="005B3F8D"/>
    <w:rsid w:val="005B4CFB"/>
    <w:rsid w:val="005C1579"/>
    <w:rsid w:val="005C6A7F"/>
    <w:rsid w:val="005D0D89"/>
    <w:rsid w:val="005D6364"/>
    <w:rsid w:val="005E23BA"/>
    <w:rsid w:val="005E4981"/>
    <w:rsid w:val="00605169"/>
    <w:rsid w:val="00615686"/>
    <w:rsid w:val="0062552F"/>
    <w:rsid w:val="00665564"/>
    <w:rsid w:val="00696B03"/>
    <w:rsid w:val="006970B6"/>
    <w:rsid w:val="006A2D27"/>
    <w:rsid w:val="006A305F"/>
    <w:rsid w:val="006B3255"/>
    <w:rsid w:val="006D3B31"/>
    <w:rsid w:val="006F3095"/>
    <w:rsid w:val="006F35D2"/>
    <w:rsid w:val="0070126E"/>
    <w:rsid w:val="00710B06"/>
    <w:rsid w:val="00724C1C"/>
    <w:rsid w:val="007274AA"/>
    <w:rsid w:val="0074463A"/>
    <w:rsid w:val="00744F5B"/>
    <w:rsid w:val="00775E29"/>
    <w:rsid w:val="007837CA"/>
    <w:rsid w:val="007853F0"/>
    <w:rsid w:val="00787E77"/>
    <w:rsid w:val="00795B93"/>
    <w:rsid w:val="007A305E"/>
    <w:rsid w:val="007A4331"/>
    <w:rsid w:val="007A4CF6"/>
    <w:rsid w:val="007B045B"/>
    <w:rsid w:val="007B34A6"/>
    <w:rsid w:val="007B6573"/>
    <w:rsid w:val="007C2C46"/>
    <w:rsid w:val="007C6E1E"/>
    <w:rsid w:val="007D7B02"/>
    <w:rsid w:val="007E612C"/>
    <w:rsid w:val="007E69D7"/>
    <w:rsid w:val="007E76D6"/>
    <w:rsid w:val="007F5F99"/>
    <w:rsid w:val="00802398"/>
    <w:rsid w:val="008408E6"/>
    <w:rsid w:val="00846A5B"/>
    <w:rsid w:val="008577D6"/>
    <w:rsid w:val="00862F2F"/>
    <w:rsid w:val="00871FD9"/>
    <w:rsid w:val="00882AE4"/>
    <w:rsid w:val="00883AC0"/>
    <w:rsid w:val="008863D0"/>
    <w:rsid w:val="00894F96"/>
    <w:rsid w:val="00895FDC"/>
    <w:rsid w:val="008C7C40"/>
    <w:rsid w:val="008D29D6"/>
    <w:rsid w:val="008E22E7"/>
    <w:rsid w:val="008E5BE4"/>
    <w:rsid w:val="008E6145"/>
    <w:rsid w:val="008E7B52"/>
    <w:rsid w:val="008F5BF2"/>
    <w:rsid w:val="008F6E91"/>
    <w:rsid w:val="00906986"/>
    <w:rsid w:val="00910694"/>
    <w:rsid w:val="009404FA"/>
    <w:rsid w:val="00947018"/>
    <w:rsid w:val="00956C30"/>
    <w:rsid w:val="00963417"/>
    <w:rsid w:val="0097718E"/>
    <w:rsid w:val="0098121D"/>
    <w:rsid w:val="009845CD"/>
    <w:rsid w:val="009940CE"/>
    <w:rsid w:val="009C3D05"/>
    <w:rsid w:val="009C4D78"/>
    <w:rsid w:val="009C504C"/>
    <w:rsid w:val="009E0F10"/>
    <w:rsid w:val="009E555A"/>
    <w:rsid w:val="00A037AF"/>
    <w:rsid w:val="00A105E9"/>
    <w:rsid w:val="00A2089D"/>
    <w:rsid w:val="00A212B8"/>
    <w:rsid w:val="00A26BA5"/>
    <w:rsid w:val="00A3144E"/>
    <w:rsid w:val="00A44BF9"/>
    <w:rsid w:val="00A44F90"/>
    <w:rsid w:val="00A45DB8"/>
    <w:rsid w:val="00A56857"/>
    <w:rsid w:val="00A655A4"/>
    <w:rsid w:val="00A70FFE"/>
    <w:rsid w:val="00A746A9"/>
    <w:rsid w:val="00A82DCC"/>
    <w:rsid w:val="00A92558"/>
    <w:rsid w:val="00AA3856"/>
    <w:rsid w:val="00AA4658"/>
    <w:rsid w:val="00AB2333"/>
    <w:rsid w:val="00AC2461"/>
    <w:rsid w:val="00AD0D1C"/>
    <w:rsid w:val="00AD1328"/>
    <w:rsid w:val="00AE34BB"/>
    <w:rsid w:val="00AF5DE2"/>
    <w:rsid w:val="00B021C5"/>
    <w:rsid w:val="00B31D14"/>
    <w:rsid w:val="00B40D56"/>
    <w:rsid w:val="00B45F05"/>
    <w:rsid w:val="00B46254"/>
    <w:rsid w:val="00B46E5B"/>
    <w:rsid w:val="00B65597"/>
    <w:rsid w:val="00B71082"/>
    <w:rsid w:val="00B72DD6"/>
    <w:rsid w:val="00B859B1"/>
    <w:rsid w:val="00B87572"/>
    <w:rsid w:val="00B94044"/>
    <w:rsid w:val="00BC7613"/>
    <w:rsid w:val="00BE4C5D"/>
    <w:rsid w:val="00BF3A0E"/>
    <w:rsid w:val="00BF526E"/>
    <w:rsid w:val="00C31C0E"/>
    <w:rsid w:val="00C42C31"/>
    <w:rsid w:val="00C54AE4"/>
    <w:rsid w:val="00C716BF"/>
    <w:rsid w:val="00C73D7F"/>
    <w:rsid w:val="00CC096B"/>
    <w:rsid w:val="00CC43D6"/>
    <w:rsid w:val="00CC7869"/>
    <w:rsid w:val="00CD2011"/>
    <w:rsid w:val="00CE0205"/>
    <w:rsid w:val="00CE57C2"/>
    <w:rsid w:val="00CF0774"/>
    <w:rsid w:val="00CF10F4"/>
    <w:rsid w:val="00D00880"/>
    <w:rsid w:val="00D05FCF"/>
    <w:rsid w:val="00D10399"/>
    <w:rsid w:val="00D14201"/>
    <w:rsid w:val="00D340AB"/>
    <w:rsid w:val="00D3689E"/>
    <w:rsid w:val="00D43148"/>
    <w:rsid w:val="00D542D4"/>
    <w:rsid w:val="00DA4D60"/>
    <w:rsid w:val="00DB4505"/>
    <w:rsid w:val="00DC30B4"/>
    <w:rsid w:val="00DC6C26"/>
    <w:rsid w:val="00DC76EE"/>
    <w:rsid w:val="00DD3323"/>
    <w:rsid w:val="00DD6106"/>
    <w:rsid w:val="00DE6944"/>
    <w:rsid w:val="00DF53C4"/>
    <w:rsid w:val="00E17CC8"/>
    <w:rsid w:val="00E215FA"/>
    <w:rsid w:val="00E23383"/>
    <w:rsid w:val="00E26798"/>
    <w:rsid w:val="00E45491"/>
    <w:rsid w:val="00E45BA0"/>
    <w:rsid w:val="00E629FF"/>
    <w:rsid w:val="00E70641"/>
    <w:rsid w:val="00E84074"/>
    <w:rsid w:val="00E92A28"/>
    <w:rsid w:val="00E96045"/>
    <w:rsid w:val="00E971FC"/>
    <w:rsid w:val="00EA0586"/>
    <w:rsid w:val="00EB0699"/>
    <w:rsid w:val="00EC1E0E"/>
    <w:rsid w:val="00EC6B0A"/>
    <w:rsid w:val="00EE0CEA"/>
    <w:rsid w:val="00EE231A"/>
    <w:rsid w:val="00EE7334"/>
    <w:rsid w:val="00F12AEE"/>
    <w:rsid w:val="00F15DA1"/>
    <w:rsid w:val="00F26B2B"/>
    <w:rsid w:val="00F3704A"/>
    <w:rsid w:val="00F41751"/>
    <w:rsid w:val="00F559CF"/>
    <w:rsid w:val="00F57A08"/>
    <w:rsid w:val="00F62F0B"/>
    <w:rsid w:val="00FB566E"/>
    <w:rsid w:val="00FC76AE"/>
    <w:rsid w:val="00FD0F87"/>
    <w:rsid w:val="00FE2977"/>
    <w:rsid w:val="00F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2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787E77"/>
    <w:rPr>
      <w:sz w:val="16"/>
      <w:szCs w:val="16"/>
    </w:rPr>
  </w:style>
  <w:style w:type="paragraph" w:styleId="CommentText">
    <w:name w:val="annotation text"/>
    <w:basedOn w:val="Normal"/>
    <w:link w:val="CommentTextChar"/>
    <w:uiPriority w:val="99"/>
    <w:semiHidden/>
    <w:unhideWhenUsed/>
    <w:rsid w:val="00787E77"/>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787E77"/>
    <w:rPr>
      <w:rFonts w:ascii="Calibri" w:eastAsia="Calibri" w:hAnsi="Calibri"/>
    </w:rPr>
  </w:style>
  <w:style w:type="paragraph" w:styleId="FootnoteText">
    <w:name w:val="footnote text"/>
    <w:basedOn w:val="Normal"/>
    <w:link w:val="FootnoteTextChar"/>
    <w:semiHidden/>
    <w:unhideWhenUsed/>
    <w:rsid w:val="00CC096B"/>
    <w:rPr>
      <w:rFonts w:ascii="Garamond" w:hAnsi="Garamond"/>
      <w:sz w:val="20"/>
      <w:szCs w:val="20"/>
    </w:rPr>
  </w:style>
  <w:style w:type="character" w:customStyle="1" w:styleId="FootnoteTextChar">
    <w:name w:val="Footnote Text Char"/>
    <w:basedOn w:val="DefaultParagraphFont"/>
    <w:link w:val="FootnoteText"/>
    <w:semiHidden/>
    <w:rsid w:val="00CC096B"/>
    <w:rPr>
      <w:rFonts w:ascii="Garamond" w:hAnsi="Garamond"/>
    </w:rPr>
  </w:style>
  <w:style w:type="character" w:styleId="FootnoteReference">
    <w:name w:val="footnote reference"/>
    <w:basedOn w:val="DefaultParagraphFont"/>
    <w:semiHidden/>
    <w:unhideWhenUsed/>
    <w:rsid w:val="00CC096B"/>
    <w:rPr>
      <w:vertAlign w:val="superscript"/>
    </w:rPr>
  </w:style>
  <w:style w:type="paragraph" w:styleId="CommentSubject">
    <w:name w:val="annotation subject"/>
    <w:basedOn w:val="CommentText"/>
    <w:next w:val="CommentText"/>
    <w:link w:val="CommentSubjectChar"/>
    <w:uiPriority w:val="99"/>
    <w:semiHidden/>
    <w:unhideWhenUsed/>
    <w:rsid w:val="007837CA"/>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7837CA"/>
    <w:rPr>
      <w:rFonts w:ascii="Calibri" w:eastAsia="Calibri" w:hAnsi="Calibri"/>
      <w:b/>
      <w:bCs/>
    </w:rPr>
  </w:style>
  <w:style w:type="paragraph" w:customStyle="1" w:styleId="Tabletext">
    <w:name w:val="Table text"/>
    <w:basedOn w:val="Normal"/>
    <w:qFormat/>
    <w:rsid w:val="00EB0699"/>
    <w:pPr>
      <w:snapToGrid w:val="0"/>
      <w:spacing w:before="60" w:after="60"/>
    </w:pPr>
    <w:rPr>
      <w:rFonts w:eastAsiaTheme="minorHAnsi"/>
    </w:rPr>
  </w:style>
  <w:style w:type="character" w:styleId="FollowedHyperlink">
    <w:name w:val="FollowedHyperlink"/>
    <w:basedOn w:val="DefaultParagraphFont"/>
    <w:uiPriority w:val="99"/>
    <w:semiHidden/>
    <w:unhideWhenUsed/>
    <w:rsid w:val="00B021C5"/>
    <w:rPr>
      <w:color w:val="800080" w:themeColor="followedHyperlink"/>
      <w:u w:val="single"/>
    </w:rPr>
  </w:style>
  <w:style w:type="paragraph" w:customStyle="1" w:styleId="Default">
    <w:name w:val="Default"/>
    <w:rsid w:val="003441A9"/>
    <w:pPr>
      <w:autoSpaceDE w:val="0"/>
      <w:autoSpaceDN w:val="0"/>
      <w:adjustRightInd w:val="0"/>
    </w:pPr>
    <w:rPr>
      <w:rFonts w:ascii="Garamond" w:hAnsi="Garamond" w:cs="Garamond"/>
      <w:color w:val="000000"/>
      <w:sz w:val="24"/>
      <w:szCs w:val="24"/>
    </w:rPr>
  </w:style>
  <w:style w:type="paragraph" w:customStyle="1" w:styleId="BodyTextaft-12">
    <w:name w:val="Body Text_aft-12"/>
    <w:basedOn w:val="Normal"/>
    <w:qFormat/>
    <w:rsid w:val="007B6573"/>
    <w:pPr>
      <w:spacing w:before="120" w:after="120"/>
    </w:pPr>
    <w:rPr>
      <w:szCs w:val="20"/>
    </w:rPr>
  </w:style>
  <w:style w:type="paragraph" w:customStyle="1" w:styleId="BodyText1">
    <w:name w:val="Body Text1"/>
    <w:aliases w:val="bt,body tx,indent,flush,indent Char,body 4h"/>
    <w:basedOn w:val="Normal"/>
    <w:link w:val="bodytextChar1"/>
    <w:rsid w:val="00A92558"/>
    <w:pPr>
      <w:spacing w:after="160" w:line="300" w:lineRule="exact"/>
    </w:pPr>
    <w:rPr>
      <w:rFonts w:ascii="Verdana" w:hAnsi="Verdana"/>
      <w:sz w:val="20"/>
      <w:szCs w:val="20"/>
    </w:rPr>
  </w:style>
  <w:style w:type="character" w:customStyle="1" w:styleId="bodytextChar1">
    <w:name w:val="body text Char1"/>
    <w:link w:val="BodyText1"/>
    <w:rsid w:val="00A92558"/>
    <w:rPr>
      <w:rFonts w:ascii="Verdana" w:hAnsi="Verdana"/>
    </w:rPr>
  </w:style>
  <w:style w:type="paragraph" w:styleId="ListBullet">
    <w:name w:val="List Bullet"/>
    <w:basedOn w:val="Normal"/>
    <w:uiPriority w:val="99"/>
    <w:unhideWhenUsed/>
    <w:rsid w:val="0014184D"/>
    <w:pPr>
      <w:numPr>
        <w:numId w:val="24"/>
      </w:numPr>
      <w:spacing w:after="120"/>
    </w:pPr>
    <w:rPr>
      <w:sz w:val="22"/>
      <w:szCs w:val="22"/>
    </w:rPr>
  </w:style>
  <w:style w:type="character" w:customStyle="1" w:styleId="bodytextChar">
    <w:name w:val="body text Char"/>
    <w:aliases w:val="bt Char,body text Char Char,body tx Char,flush Char"/>
    <w:rsid w:val="00F57A08"/>
    <w:rPr>
      <w:sz w:val="24"/>
      <w:szCs w:val="24"/>
      <w:lang w:val="en-US" w:eastAsia="en-US" w:bidi="ar-SA"/>
    </w:rPr>
  </w:style>
  <w:style w:type="character" w:styleId="Strong">
    <w:name w:val="Strong"/>
    <w:uiPriority w:val="22"/>
    <w:qFormat/>
    <w:rsid w:val="00A655A4"/>
    <w:rPr>
      <w:b/>
      <w:bCs/>
    </w:rPr>
  </w:style>
  <w:style w:type="character" w:customStyle="1" w:styleId="Mention1">
    <w:name w:val="Mention1"/>
    <w:basedOn w:val="DefaultParagraphFont"/>
    <w:uiPriority w:val="99"/>
    <w:semiHidden/>
    <w:unhideWhenUsed/>
    <w:rsid w:val="009C3D05"/>
    <w:rPr>
      <w:color w:val="2B579A"/>
      <w:shd w:val="clear" w:color="auto" w:fill="E6E6E6"/>
    </w:rPr>
  </w:style>
  <w:style w:type="paragraph" w:styleId="Revision">
    <w:name w:val="Revision"/>
    <w:hidden/>
    <w:uiPriority w:val="99"/>
    <w:semiHidden/>
    <w:rsid w:val="00E92A2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787E77"/>
    <w:rPr>
      <w:sz w:val="16"/>
      <w:szCs w:val="16"/>
    </w:rPr>
  </w:style>
  <w:style w:type="paragraph" w:styleId="CommentText">
    <w:name w:val="annotation text"/>
    <w:basedOn w:val="Normal"/>
    <w:link w:val="CommentTextChar"/>
    <w:uiPriority w:val="99"/>
    <w:semiHidden/>
    <w:unhideWhenUsed/>
    <w:rsid w:val="00787E77"/>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787E77"/>
    <w:rPr>
      <w:rFonts w:ascii="Calibri" w:eastAsia="Calibri" w:hAnsi="Calibri"/>
    </w:rPr>
  </w:style>
  <w:style w:type="paragraph" w:styleId="FootnoteText">
    <w:name w:val="footnote text"/>
    <w:basedOn w:val="Normal"/>
    <w:link w:val="FootnoteTextChar"/>
    <w:semiHidden/>
    <w:unhideWhenUsed/>
    <w:rsid w:val="00CC096B"/>
    <w:rPr>
      <w:rFonts w:ascii="Garamond" w:hAnsi="Garamond"/>
      <w:sz w:val="20"/>
      <w:szCs w:val="20"/>
    </w:rPr>
  </w:style>
  <w:style w:type="character" w:customStyle="1" w:styleId="FootnoteTextChar">
    <w:name w:val="Footnote Text Char"/>
    <w:basedOn w:val="DefaultParagraphFont"/>
    <w:link w:val="FootnoteText"/>
    <w:semiHidden/>
    <w:rsid w:val="00CC096B"/>
    <w:rPr>
      <w:rFonts w:ascii="Garamond" w:hAnsi="Garamond"/>
    </w:rPr>
  </w:style>
  <w:style w:type="character" w:styleId="FootnoteReference">
    <w:name w:val="footnote reference"/>
    <w:basedOn w:val="DefaultParagraphFont"/>
    <w:semiHidden/>
    <w:unhideWhenUsed/>
    <w:rsid w:val="00CC096B"/>
    <w:rPr>
      <w:vertAlign w:val="superscript"/>
    </w:rPr>
  </w:style>
  <w:style w:type="paragraph" w:styleId="CommentSubject">
    <w:name w:val="annotation subject"/>
    <w:basedOn w:val="CommentText"/>
    <w:next w:val="CommentText"/>
    <w:link w:val="CommentSubjectChar"/>
    <w:uiPriority w:val="99"/>
    <w:semiHidden/>
    <w:unhideWhenUsed/>
    <w:rsid w:val="007837CA"/>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7837CA"/>
    <w:rPr>
      <w:rFonts w:ascii="Calibri" w:eastAsia="Calibri" w:hAnsi="Calibri"/>
      <w:b/>
      <w:bCs/>
    </w:rPr>
  </w:style>
  <w:style w:type="paragraph" w:customStyle="1" w:styleId="Tabletext">
    <w:name w:val="Table text"/>
    <w:basedOn w:val="Normal"/>
    <w:qFormat/>
    <w:rsid w:val="00EB0699"/>
    <w:pPr>
      <w:snapToGrid w:val="0"/>
      <w:spacing w:before="60" w:after="60"/>
    </w:pPr>
    <w:rPr>
      <w:rFonts w:eastAsiaTheme="minorHAnsi"/>
    </w:rPr>
  </w:style>
  <w:style w:type="character" w:styleId="FollowedHyperlink">
    <w:name w:val="FollowedHyperlink"/>
    <w:basedOn w:val="DefaultParagraphFont"/>
    <w:uiPriority w:val="99"/>
    <w:semiHidden/>
    <w:unhideWhenUsed/>
    <w:rsid w:val="00B021C5"/>
    <w:rPr>
      <w:color w:val="800080" w:themeColor="followedHyperlink"/>
      <w:u w:val="single"/>
    </w:rPr>
  </w:style>
  <w:style w:type="paragraph" w:customStyle="1" w:styleId="Default">
    <w:name w:val="Default"/>
    <w:rsid w:val="003441A9"/>
    <w:pPr>
      <w:autoSpaceDE w:val="0"/>
      <w:autoSpaceDN w:val="0"/>
      <w:adjustRightInd w:val="0"/>
    </w:pPr>
    <w:rPr>
      <w:rFonts w:ascii="Garamond" w:hAnsi="Garamond" w:cs="Garamond"/>
      <w:color w:val="000000"/>
      <w:sz w:val="24"/>
      <w:szCs w:val="24"/>
    </w:rPr>
  </w:style>
  <w:style w:type="paragraph" w:customStyle="1" w:styleId="BodyTextaft-12">
    <w:name w:val="Body Text_aft-12"/>
    <w:basedOn w:val="Normal"/>
    <w:qFormat/>
    <w:rsid w:val="007B6573"/>
    <w:pPr>
      <w:spacing w:before="120" w:after="120"/>
    </w:pPr>
    <w:rPr>
      <w:szCs w:val="20"/>
    </w:rPr>
  </w:style>
  <w:style w:type="paragraph" w:customStyle="1" w:styleId="BodyText1">
    <w:name w:val="Body Text1"/>
    <w:aliases w:val="bt,body tx,indent,flush,indent Char,body 4h"/>
    <w:basedOn w:val="Normal"/>
    <w:link w:val="bodytextChar1"/>
    <w:rsid w:val="00A92558"/>
    <w:pPr>
      <w:spacing w:after="160" w:line="300" w:lineRule="exact"/>
    </w:pPr>
    <w:rPr>
      <w:rFonts w:ascii="Verdana" w:hAnsi="Verdana"/>
      <w:sz w:val="20"/>
      <w:szCs w:val="20"/>
    </w:rPr>
  </w:style>
  <w:style w:type="character" w:customStyle="1" w:styleId="bodytextChar1">
    <w:name w:val="body text Char1"/>
    <w:link w:val="BodyText1"/>
    <w:rsid w:val="00A92558"/>
    <w:rPr>
      <w:rFonts w:ascii="Verdana" w:hAnsi="Verdana"/>
    </w:rPr>
  </w:style>
  <w:style w:type="paragraph" w:styleId="ListBullet">
    <w:name w:val="List Bullet"/>
    <w:basedOn w:val="Normal"/>
    <w:uiPriority w:val="99"/>
    <w:unhideWhenUsed/>
    <w:rsid w:val="0014184D"/>
    <w:pPr>
      <w:numPr>
        <w:numId w:val="24"/>
      </w:numPr>
      <w:spacing w:after="120"/>
    </w:pPr>
    <w:rPr>
      <w:sz w:val="22"/>
      <w:szCs w:val="22"/>
    </w:rPr>
  </w:style>
  <w:style w:type="character" w:customStyle="1" w:styleId="bodytextChar">
    <w:name w:val="body text Char"/>
    <w:aliases w:val="bt Char,body text Char Char,body tx Char,flush Char"/>
    <w:rsid w:val="00F57A08"/>
    <w:rPr>
      <w:sz w:val="24"/>
      <w:szCs w:val="24"/>
      <w:lang w:val="en-US" w:eastAsia="en-US" w:bidi="ar-SA"/>
    </w:rPr>
  </w:style>
  <w:style w:type="character" w:styleId="Strong">
    <w:name w:val="Strong"/>
    <w:uiPriority w:val="22"/>
    <w:qFormat/>
    <w:rsid w:val="00A655A4"/>
    <w:rPr>
      <w:b/>
      <w:bCs/>
    </w:rPr>
  </w:style>
  <w:style w:type="character" w:customStyle="1" w:styleId="Mention1">
    <w:name w:val="Mention1"/>
    <w:basedOn w:val="DefaultParagraphFont"/>
    <w:uiPriority w:val="99"/>
    <w:semiHidden/>
    <w:unhideWhenUsed/>
    <w:rsid w:val="009C3D05"/>
    <w:rPr>
      <w:color w:val="2B579A"/>
      <w:shd w:val="clear" w:color="auto" w:fill="E6E6E6"/>
    </w:rPr>
  </w:style>
  <w:style w:type="paragraph" w:styleId="Revision">
    <w:name w:val="Revision"/>
    <w:hidden/>
    <w:uiPriority w:val="99"/>
    <w:semiHidden/>
    <w:rsid w:val="00E92A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890657216">
      <w:bodyDiv w:val="1"/>
      <w:marLeft w:val="0"/>
      <w:marRight w:val="0"/>
      <w:marTop w:val="0"/>
      <w:marBottom w:val="0"/>
      <w:divBdr>
        <w:top w:val="none" w:sz="0" w:space="0" w:color="auto"/>
        <w:left w:val="none" w:sz="0" w:space="0" w:color="auto"/>
        <w:bottom w:val="none" w:sz="0" w:space="0" w:color="auto"/>
        <w:right w:val="none" w:sz="0" w:space="0" w:color="auto"/>
      </w:divBdr>
      <w:divsChild>
        <w:div w:id="2096243349">
          <w:marLeft w:val="0"/>
          <w:marRight w:val="0"/>
          <w:marTop w:val="0"/>
          <w:marBottom w:val="0"/>
          <w:divBdr>
            <w:top w:val="none" w:sz="0" w:space="0" w:color="auto"/>
            <w:left w:val="none" w:sz="0" w:space="0" w:color="auto"/>
            <w:bottom w:val="none" w:sz="0" w:space="0" w:color="auto"/>
            <w:right w:val="none" w:sz="0" w:space="0" w:color="auto"/>
          </w:divBdr>
          <w:divsChild>
            <w:div w:id="111368839">
              <w:marLeft w:val="0"/>
              <w:marRight w:val="0"/>
              <w:marTop w:val="0"/>
              <w:marBottom w:val="0"/>
              <w:divBdr>
                <w:top w:val="none" w:sz="0" w:space="0" w:color="auto"/>
                <w:left w:val="none" w:sz="0" w:space="0" w:color="auto"/>
                <w:bottom w:val="none" w:sz="0" w:space="0" w:color="auto"/>
                <w:right w:val="none" w:sz="0" w:space="0" w:color="auto"/>
              </w:divBdr>
              <w:divsChild>
                <w:div w:id="169374568">
                  <w:marLeft w:val="0"/>
                  <w:marRight w:val="0"/>
                  <w:marTop w:val="0"/>
                  <w:marBottom w:val="0"/>
                  <w:divBdr>
                    <w:top w:val="none" w:sz="0" w:space="0" w:color="auto"/>
                    <w:left w:val="none" w:sz="0" w:space="0" w:color="auto"/>
                    <w:bottom w:val="none" w:sz="0" w:space="0" w:color="auto"/>
                    <w:right w:val="none" w:sz="0" w:space="0" w:color="auto"/>
                  </w:divBdr>
                  <w:divsChild>
                    <w:div w:id="554389323">
                      <w:marLeft w:val="0"/>
                      <w:marRight w:val="0"/>
                      <w:marTop w:val="0"/>
                      <w:marBottom w:val="0"/>
                      <w:divBdr>
                        <w:top w:val="none" w:sz="0" w:space="0" w:color="auto"/>
                        <w:left w:val="none" w:sz="0" w:space="0" w:color="auto"/>
                        <w:bottom w:val="none" w:sz="0" w:space="0" w:color="auto"/>
                        <w:right w:val="none" w:sz="0" w:space="0" w:color="auto"/>
                      </w:divBdr>
                      <w:divsChild>
                        <w:div w:id="2061440152">
                          <w:marLeft w:val="0"/>
                          <w:marRight w:val="0"/>
                          <w:marTop w:val="0"/>
                          <w:marBottom w:val="0"/>
                          <w:divBdr>
                            <w:top w:val="none" w:sz="0" w:space="0" w:color="auto"/>
                            <w:left w:val="none" w:sz="0" w:space="0" w:color="auto"/>
                            <w:bottom w:val="none" w:sz="0" w:space="0" w:color="auto"/>
                            <w:right w:val="none" w:sz="0" w:space="0" w:color="auto"/>
                          </w:divBdr>
                          <w:divsChild>
                            <w:div w:id="13864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907235">
      <w:bodyDiv w:val="1"/>
      <w:marLeft w:val="0"/>
      <w:marRight w:val="0"/>
      <w:marTop w:val="0"/>
      <w:marBottom w:val="0"/>
      <w:divBdr>
        <w:top w:val="none" w:sz="0" w:space="0" w:color="auto"/>
        <w:left w:val="none" w:sz="0" w:space="0" w:color="auto"/>
        <w:bottom w:val="none" w:sz="0" w:space="0" w:color="auto"/>
        <w:right w:val="none" w:sz="0" w:space="0" w:color="auto"/>
      </w:divBdr>
      <w:divsChild>
        <w:div w:id="781728463">
          <w:marLeft w:val="0"/>
          <w:marRight w:val="0"/>
          <w:marTop w:val="0"/>
          <w:marBottom w:val="0"/>
          <w:divBdr>
            <w:top w:val="none" w:sz="0" w:space="0" w:color="auto"/>
            <w:left w:val="none" w:sz="0" w:space="0" w:color="auto"/>
            <w:bottom w:val="none" w:sz="0" w:space="0" w:color="auto"/>
            <w:right w:val="none" w:sz="0" w:space="0" w:color="auto"/>
          </w:divBdr>
          <w:divsChild>
            <w:div w:id="1981883919">
              <w:marLeft w:val="0"/>
              <w:marRight w:val="0"/>
              <w:marTop w:val="0"/>
              <w:marBottom w:val="0"/>
              <w:divBdr>
                <w:top w:val="none" w:sz="0" w:space="0" w:color="auto"/>
                <w:left w:val="none" w:sz="0" w:space="0" w:color="auto"/>
                <w:bottom w:val="none" w:sz="0" w:space="0" w:color="auto"/>
                <w:right w:val="none" w:sz="0" w:space="0" w:color="auto"/>
              </w:divBdr>
              <w:divsChild>
                <w:div w:id="1837459786">
                  <w:marLeft w:val="0"/>
                  <w:marRight w:val="0"/>
                  <w:marTop w:val="0"/>
                  <w:marBottom w:val="0"/>
                  <w:divBdr>
                    <w:top w:val="none" w:sz="0" w:space="0" w:color="auto"/>
                    <w:left w:val="none" w:sz="0" w:space="0" w:color="auto"/>
                    <w:bottom w:val="none" w:sz="0" w:space="0" w:color="auto"/>
                    <w:right w:val="none" w:sz="0" w:space="0" w:color="auto"/>
                  </w:divBdr>
                  <w:divsChild>
                    <w:div w:id="1429422374">
                      <w:marLeft w:val="0"/>
                      <w:marRight w:val="0"/>
                      <w:marTop w:val="0"/>
                      <w:marBottom w:val="0"/>
                      <w:divBdr>
                        <w:top w:val="none" w:sz="0" w:space="0" w:color="auto"/>
                        <w:left w:val="none" w:sz="0" w:space="0" w:color="auto"/>
                        <w:bottom w:val="none" w:sz="0" w:space="0" w:color="auto"/>
                        <w:right w:val="none" w:sz="0" w:space="0" w:color="auto"/>
                      </w:divBdr>
                      <w:divsChild>
                        <w:div w:id="980382280">
                          <w:marLeft w:val="0"/>
                          <w:marRight w:val="0"/>
                          <w:marTop w:val="0"/>
                          <w:marBottom w:val="0"/>
                          <w:divBdr>
                            <w:top w:val="none" w:sz="0" w:space="0" w:color="auto"/>
                            <w:left w:val="none" w:sz="0" w:space="0" w:color="auto"/>
                            <w:bottom w:val="none" w:sz="0" w:space="0" w:color="auto"/>
                            <w:right w:val="none" w:sz="0" w:space="0" w:color="auto"/>
                          </w:divBdr>
                          <w:divsChild>
                            <w:div w:id="20583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949320">
      <w:bodyDiv w:val="1"/>
      <w:marLeft w:val="0"/>
      <w:marRight w:val="0"/>
      <w:marTop w:val="0"/>
      <w:marBottom w:val="0"/>
      <w:divBdr>
        <w:top w:val="none" w:sz="0" w:space="0" w:color="auto"/>
        <w:left w:val="none" w:sz="0" w:space="0" w:color="auto"/>
        <w:bottom w:val="none" w:sz="0" w:space="0" w:color="auto"/>
        <w:right w:val="none" w:sz="0" w:space="0" w:color="auto"/>
      </w:divBdr>
    </w:div>
    <w:div w:id="1271860756">
      <w:bodyDiv w:val="1"/>
      <w:marLeft w:val="0"/>
      <w:marRight w:val="0"/>
      <w:marTop w:val="0"/>
      <w:marBottom w:val="0"/>
      <w:divBdr>
        <w:top w:val="none" w:sz="0" w:space="0" w:color="auto"/>
        <w:left w:val="none" w:sz="0" w:space="0" w:color="auto"/>
        <w:bottom w:val="none" w:sz="0" w:space="0" w:color="auto"/>
        <w:right w:val="none" w:sz="0" w:space="0" w:color="auto"/>
      </w:divBdr>
      <w:divsChild>
        <w:div w:id="1507397608">
          <w:marLeft w:val="0"/>
          <w:marRight w:val="0"/>
          <w:marTop w:val="0"/>
          <w:marBottom w:val="0"/>
          <w:divBdr>
            <w:top w:val="none" w:sz="0" w:space="0" w:color="auto"/>
            <w:left w:val="none" w:sz="0" w:space="0" w:color="auto"/>
            <w:bottom w:val="none" w:sz="0" w:space="0" w:color="auto"/>
            <w:right w:val="none" w:sz="0" w:space="0" w:color="auto"/>
          </w:divBdr>
          <w:divsChild>
            <w:div w:id="1235435703">
              <w:marLeft w:val="0"/>
              <w:marRight w:val="0"/>
              <w:marTop w:val="0"/>
              <w:marBottom w:val="0"/>
              <w:divBdr>
                <w:top w:val="none" w:sz="0" w:space="0" w:color="auto"/>
                <w:left w:val="none" w:sz="0" w:space="0" w:color="auto"/>
                <w:bottom w:val="none" w:sz="0" w:space="0" w:color="auto"/>
                <w:right w:val="none" w:sz="0" w:space="0" w:color="auto"/>
              </w:divBdr>
              <w:divsChild>
                <w:div w:id="1265726337">
                  <w:marLeft w:val="0"/>
                  <w:marRight w:val="0"/>
                  <w:marTop w:val="0"/>
                  <w:marBottom w:val="0"/>
                  <w:divBdr>
                    <w:top w:val="none" w:sz="0" w:space="0" w:color="auto"/>
                    <w:left w:val="none" w:sz="0" w:space="0" w:color="auto"/>
                    <w:bottom w:val="none" w:sz="0" w:space="0" w:color="auto"/>
                    <w:right w:val="none" w:sz="0" w:space="0" w:color="auto"/>
                  </w:divBdr>
                  <w:divsChild>
                    <w:div w:id="632950116">
                      <w:marLeft w:val="0"/>
                      <w:marRight w:val="0"/>
                      <w:marTop w:val="0"/>
                      <w:marBottom w:val="0"/>
                      <w:divBdr>
                        <w:top w:val="none" w:sz="0" w:space="0" w:color="auto"/>
                        <w:left w:val="none" w:sz="0" w:space="0" w:color="auto"/>
                        <w:bottom w:val="none" w:sz="0" w:space="0" w:color="auto"/>
                        <w:right w:val="none" w:sz="0" w:space="0" w:color="auto"/>
                      </w:divBdr>
                      <w:divsChild>
                        <w:div w:id="405953113">
                          <w:marLeft w:val="0"/>
                          <w:marRight w:val="0"/>
                          <w:marTop w:val="0"/>
                          <w:marBottom w:val="0"/>
                          <w:divBdr>
                            <w:top w:val="none" w:sz="0" w:space="0" w:color="auto"/>
                            <w:left w:val="none" w:sz="0" w:space="0" w:color="auto"/>
                            <w:bottom w:val="none" w:sz="0" w:space="0" w:color="auto"/>
                            <w:right w:val="none" w:sz="0" w:space="0" w:color="auto"/>
                          </w:divBdr>
                          <w:divsChild>
                            <w:div w:id="2337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70421">
      <w:bodyDiv w:val="1"/>
      <w:marLeft w:val="0"/>
      <w:marRight w:val="0"/>
      <w:marTop w:val="0"/>
      <w:marBottom w:val="0"/>
      <w:divBdr>
        <w:top w:val="none" w:sz="0" w:space="0" w:color="auto"/>
        <w:left w:val="none" w:sz="0" w:space="0" w:color="auto"/>
        <w:bottom w:val="none" w:sz="0" w:space="0" w:color="auto"/>
        <w:right w:val="none" w:sz="0" w:space="0" w:color="auto"/>
      </w:divBdr>
    </w:div>
    <w:div w:id="2019119443">
      <w:bodyDiv w:val="1"/>
      <w:marLeft w:val="0"/>
      <w:marRight w:val="0"/>
      <w:marTop w:val="0"/>
      <w:marBottom w:val="0"/>
      <w:divBdr>
        <w:top w:val="none" w:sz="0" w:space="0" w:color="auto"/>
        <w:left w:val="none" w:sz="0" w:space="0" w:color="auto"/>
        <w:bottom w:val="none" w:sz="0" w:space="0" w:color="auto"/>
        <w:right w:val="none" w:sz="0" w:space="0" w:color="auto"/>
      </w:divBdr>
      <w:divsChild>
        <w:div w:id="1230579027">
          <w:marLeft w:val="0"/>
          <w:marRight w:val="0"/>
          <w:marTop w:val="0"/>
          <w:marBottom w:val="0"/>
          <w:divBdr>
            <w:top w:val="none" w:sz="0" w:space="0" w:color="auto"/>
            <w:left w:val="none" w:sz="0" w:space="0" w:color="auto"/>
            <w:bottom w:val="none" w:sz="0" w:space="0" w:color="auto"/>
            <w:right w:val="none" w:sz="0" w:space="0" w:color="auto"/>
          </w:divBdr>
          <w:divsChild>
            <w:div w:id="674108963">
              <w:marLeft w:val="0"/>
              <w:marRight w:val="0"/>
              <w:marTop w:val="0"/>
              <w:marBottom w:val="0"/>
              <w:divBdr>
                <w:top w:val="none" w:sz="0" w:space="0" w:color="auto"/>
                <w:left w:val="none" w:sz="0" w:space="0" w:color="auto"/>
                <w:bottom w:val="none" w:sz="0" w:space="0" w:color="auto"/>
                <w:right w:val="none" w:sz="0" w:space="0" w:color="auto"/>
              </w:divBdr>
              <w:divsChild>
                <w:div w:id="1068308649">
                  <w:marLeft w:val="0"/>
                  <w:marRight w:val="0"/>
                  <w:marTop w:val="0"/>
                  <w:marBottom w:val="0"/>
                  <w:divBdr>
                    <w:top w:val="none" w:sz="0" w:space="0" w:color="auto"/>
                    <w:left w:val="none" w:sz="0" w:space="0" w:color="auto"/>
                    <w:bottom w:val="none" w:sz="0" w:space="0" w:color="auto"/>
                    <w:right w:val="none" w:sz="0" w:space="0" w:color="auto"/>
                  </w:divBdr>
                  <w:divsChild>
                    <w:div w:id="109320535">
                      <w:marLeft w:val="0"/>
                      <w:marRight w:val="0"/>
                      <w:marTop w:val="0"/>
                      <w:marBottom w:val="0"/>
                      <w:divBdr>
                        <w:top w:val="none" w:sz="0" w:space="0" w:color="auto"/>
                        <w:left w:val="none" w:sz="0" w:space="0" w:color="auto"/>
                        <w:bottom w:val="none" w:sz="0" w:space="0" w:color="auto"/>
                        <w:right w:val="none" w:sz="0" w:space="0" w:color="auto"/>
                      </w:divBdr>
                      <w:divsChild>
                        <w:div w:id="1197280984">
                          <w:marLeft w:val="0"/>
                          <w:marRight w:val="0"/>
                          <w:marTop w:val="0"/>
                          <w:marBottom w:val="0"/>
                          <w:divBdr>
                            <w:top w:val="none" w:sz="0" w:space="0" w:color="auto"/>
                            <w:left w:val="none" w:sz="0" w:space="0" w:color="auto"/>
                            <w:bottom w:val="none" w:sz="0" w:space="0" w:color="auto"/>
                            <w:right w:val="none" w:sz="0" w:space="0" w:color="auto"/>
                          </w:divBdr>
                          <w:divsChild>
                            <w:div w:id="180318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BD641-DED5-457C-97B5-7BA56A2EB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1798</Words>
  <Characters>10250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2010-11-01T18:07:00Z</cp:lastPrinted>
  <dcterms:created xsi:type="dcterms:W3CDTF">2018-02-12T16:41:00Z</dcterms:created>
  <dcterms:modified xsi:type="dcterms:W3CDTF">2018-02-12T16:41:00Z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