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3B37E" w14:textId="77777777" w:rsidR="005E0A0F" w:rsidRDefault="00F92ACC" w:rsidP="005E0A0F">
      <w:pPr>
        <w:pStyle w:val="NormalWeb"/>
        <w:spacing w:line="288" w:lineRule="atLeast"/>
        <w:ind w:firstLine="480"/>
        <w:jc w:val="center"/>
        <w:rPr>
          <w:u w:val="single"/>
        </w:rPr>
      </w:pPr>
      <w:bookmarkStart w:id="0" w:name="CurrentCursorPosition"/>
      <w:bookmarkStart w:id="1" w:name="cs31d"/>
      <w:bookmarkStart w:id="2" w:name="_GoBack"/>
      <w:bookmarkEnd w:id="0"/>
      <w:bookmarkEnd w:id="2"/>
      <w:r>
        <w:rPr>
          <w:u w:val="single"/>
        </w:rPr>
        <w:t>SUPPORTING STATEMENT</w:t>
      </w:r>
      <w:r w:rsidR="006F3F40">
        <w:rPr>
          <w:u w:val="single"/>
        </w:rPr>
        <w:t xml:space="preserve"> – PART B</w:t>
      </w:r>
    </w:p>
    <w:p w14:paraId="3DA9D1C0" w14:textId="77777777" w:rsidR="005E0A0F" w:rsidRDefault="005E0A0F" w:rsidP="005E0A0F">
      <w:pPr>
        <w:pStyle w:val="NormalWeb"/>
        <w:spacing w:line="288" w:lineRule="atLeast"/>
        <w:ind w:firstLine="480"/>
      </w:pPr>
      <w:bookmarkStart w:id="3" w:name="cs32"/>
      <w:bookmarkEnd w:id="1"/>
      <w:r>
        <w:t xml:space="preserve">B.  </w:t>
      </w:r>
      <w:r>
        <w:rPr>
          <w:u w:val="single"/>
        </w:rPr>
        <w:t>COLLECTIONS OF INFORMATION EMPLOYING STATISTICAL METHODS</w:t>
      </w:r>
    </w:p>
    <w:bookmarkEnd w:id="3"/>
    <w:p w14:paraId="5C7ED10E" w14:textId="77777777" w:rsidR="00A93CBF" w:rsidRDefault="00A93CBF" w:rsidP="005E0A0F">
      <w:pPr>
        <w:pStyle w:val="NormalWeb"/>
        <w:spacing w:line="288" w:lineRule="atLeast"/>
        <w:ind w:firstLine="900"/>
      </w:pPr>
    </w:p>
    <w:p w14:paraId="0826F9A1" w14:textId="77777777" w:rsidR="005E0A0F" w:rsidRDefault="005E0A0F" w:rsidP="005E0A0F">
      <w:pPr>
        <w:pStyle w:val="NormalWeb"/>
        <w:spacing w:line="288" w:lineRule="atLeast"/>
        <w:ind w:firstLine="900"/>
      </w:pPr>
      <w:r>
        <w:t xml:space="preserve">1.  </w:t>
      </w:r>
      <w:r>
        <w:rPr>
          <w:u w:val="single"/>
        </w:rPr>
        <w:t>Description of the Activity</w:t>
      </w:r>
    </w:p>
    <w:p w14:paraId="12800AFE" w14:textId="17A26411" w:rsidR="001A4F36" w:rsidRDefault="001A4F36" w:rsidP="001A4F36">
      <w:pPr>
        <w:pStyle w:val="NormalWeb"/>
        <w:spacing w:line="288" w:lineRule="atLeast"/>
      </w:pPr>
      <w:r>
        <w:t>The goal of this three-year study is to improve NGA products, content, and service by increasing knowledge and understanding of Geospatial Intelligence (GEOINT) customers’ needs and experiences. Respondents to the proposed customer experience surveys are employees of the Federal government, who use NGA GEOINT to support their respective missions.</w:t>
      </w:r>
    </w:p>
    <w:p w14:paraId="55327FAC" w14:textId="38354129" w:rsidR="001A4F36" w:rsidRPr="001B49EF" w:rsidRDefault="001A4F36" w:rsidP="001A4F36">
      <w:pPr>
        <w:rPr>
          <w:color w:val="222222"/>
          <w:shd w:val="clear" w:color="auto" w:fill="FFFFFF"/>
        </w:rPr>
      </w:pPr>
      <w:r w:rsidRPr="0072654F">
        <w:rPr>
          <w:color w:val="222222"/>
          <w:shd w:val="clear" w:color="auto" w:fill="FFFFFF"/>
        </w:rPr>
        <w:t xml:space="preserve">The technical approach used to understand customer experience is based on scientific principles and driven by the need for evidence-based decision-making. Research objectives for any customer experience study are derived from the systematic analysis of organizational strategy. Research questions are derived from operational objectives that mark progress toward achieving strategic goals. Based on this foundation, customer experience is explored through </w:t>
      </w:r>
      <w:r>
        <w:rPr>
          <w:color w:val="222222"/>
          <w:shd w:val="clear" w:color="auto" w:fill="FFFFFF"/>
        </w:rPr>
        <w:t>correlation</w:t>
      </w:r>
      <w:r w:rsidRPr="0072654F">
        <w:rPr>
          <w:color w:val="222222"/>
          <w:shd w:val="clear" w:color="auto" w:fill="FFFFFF"/>
        </w:rPr>
        <w:t xml:space="preserve"> models that are open to rigorous statistical testing and analysis. Quantitative and qualitative data is gathered through surveys, semi-structured interview forms, focus groups, and feedback forms. Models are refined to fit the resulting data using inferential tests. </w:t>
      </w:r>
      <w:r>
        <w:rPr>
          <w:color w:val="222222"/>
          <w:shd w:val="clear" w:color="auto" w:fill="FFFFFF"/>
        </w:rPr>
        <w:t>Significant correlations and strong construct validity provide o</w:t>
      </w:r>
      <w:r w:rsidRPr="0072654F">
        <w:rPr>
          <w:color w:val="222222"/>
          <w:shd w:val="clear" w:color="auto" w:fill="FFFFFF"/>
        </w:rPr>
        <w:t xml:space="preserve">rganizational leadership and other decision-makers </w:t>
      </w:r>
      <w:r>
        <w:rPr>
          <w:color w:val="222222"/>
          <w:shd w:val="clear" w:color="auto" w:fill="FFFFFF"/>
        </w:rPr>
        <w:t>confidence for data-driven decision making. This will</w:t>
      </w:r>
      <w:r w:rsidRPr="0072654F">
        <w:rPr>
          <w:color w:val="222222"/>
          <w:shd w:val="clear" w:color="auto" w:fill="FFFFFF"/>
        </w:rPr>
        <w:t xml:space="preserve"> ensure maximum improvement on customer experience and progress toward mission accomplishment.</w:t>
      </w:r>
    </w:p>
    <w:p w14:paraId="0EE95548" w14:textId="42E52DC0" w:rsidR="001A4F36" w:rsidRDefault="001A4F36" w:rsidP="001A4F36">
      <w:pPr>
        <w:pStyle w:val="NormalWeb"/>
        <w:spacing w:line="288" w:lineRule="atLeast"/>
      </w:pPr>
      <w:r>
        <w:t>Initial</w:t>
      </w:r>
      <w:r w:rsidR="00E60082">
        <w:t>ly</w:t>
      </w:r>
      <w:r>
        <w:t xml:space="preserve"> the sample population will be a census sample with no a prior stratification. Post hoc stratification (based on authentication data) will be according to IC or DoD contract duty membership.</w:t>
      </w:r>
      <w:r w:rsidR="00E60082">
        <w:t xml:space="preserve"> </w:t>
      </w:r>
      <w:r w:rsidR="00E60082" w:rsidRPr="00E60082">
        <w:t>Weighting is not possible without clear population parameters, which are not available from the intelligence community, our primary customer segment. Because of that, we will not be using weights in sampling.</w:t>
      </w:r>
    </w:p>
    <w:p w14:paraId="6BC485BC" w14:textId="0E21B6CC" w:rsidR="001A4F36" w:rsidRDefault="001A4F36" w:rsidP="001A4F36">
      <w:r>
        <w:t>Anticipated sample sizes, inquiry types, frequency, and time to completion are as follows:</w:t>
      </w:r>
    </w:p>
    <w:p w14:paraId="6D4B5F60" w14:textId="77777777" w:rsidR="001A4F36" w:rsidRDefault="001A4F36" w:rsidP="001A4F36"/>
    <w:p w14:paraId="7F96DD3B" w14:textId="77777777" w:rsidR="001A4F36" w:rsidRDefault="001A4F36" w:rsidP="001A4F36">
      <w:pPr>
        <w:rPr>
          <w:b/>
        </w:rPr>
      </w:pPr>
    </w:p>
    <w:tbl>
      <w:tblPr>
        <w:tblStyle w:val="TableGrid"/>
        <w:tblW w:w="0" w:type="auto"/>
        <w:tblLook w:val="04A0" w:firstRow="1" w:lastRow="0" w:firstColumn="1" w:lastColumn="0" w:noHBand="0" w:noVBand="1"/>
      </w:tblPr>
      <w:tblGrid>
        <w:gridCol w:w="1870"/>
        <w:gridCol w:w="1870"/>
        <w:gridCol w:w="1870"/>
        <w:gridCol w:w="1870"/>
        <w:gridCol w:w="1870"/>
      </w:tblGrid>
      <w:tr w:rsidR="001A4F36" w14:paraId="4A928741" w14:textId="77777777" w:rsidTr="00E60082">
        <w:tc>
          <w:tcPr>
            <w:tcW w:w="1870" w:type="dxa"/>
          </w:tcPr>
          <w:p w14:paraId="59B22E46" w14:textId="77777777" w:rsidR="001A4F36" w:rsidRPr="006B513E" w:rsidRDefault="001A4F36" w:rsidP="00E60082">
            <w:pPr>
              <w:rPr>
                <w:b/>
              </w:rPr>
            </w:pPr>
            <w:r w:rsidRPr="006B513E">
              <w:rPr>
                <w:b/>
              </w:rPr>
              <w:t>2017</w:t>
            </w:r>
            <w:r>
              <w:rPr>
                <w:b/>
              </w:rPr>
              <w:t xml:space="preserve"> Inquiries</w:t>
            </w:r>
          </w:p>
          <w:p w14:paraId="23A6076D" w14:textId="77777777" w:rsidR="001A4F36" w:rsidRDefault="001A4F36" w:rsidP="00E60082">
            <w:pPr>
              <w:rPr>
                <w:b/>
              </w:rPr>
            </w:pPr>
          </w:p>
        </w:tc>
        <w:tc>
          <w:tcPr>
            <w:tcW w:w="1870" w:type="dxa"/>
          </w:tcPr>
          <w:p w14:paraId="3377ABD4" w14:textId="77777777" w:rsidR="001A4F36" w:rsidRDefault="001A4F36" w:rsidP="00E60082">
            <w:pPr>
              <w:rPr>
                <w:b/>
              </w:rPr>
            </w:pPr>
            <w:r>
              <w:rPr>
                <w:b/>
              </w:rPr>
              <w:t>Number of Respondents</w:t>
            </w:r>
          </w:p>
        </w:tc>
        <w:tc>
          <w:tcPr>
            <w:tcW w:w="1870" w:type="dxa"/>
          </w:tcPr>
          <w:p w14:paraId="1107A595" w14:textId="77777777" w:rsidR="001A4F36" w:rsidRDefault="001A4F36" w:rsidP="00E60082">
            <w:pPr>
              <w:rPr>
                <w:b/>
              </w:rPr>
            </w:pPr>
            <w:r>
              <w:rPr>
                <w:b/>
              </w:rPr>
              <w:t>Time to Complete Inquiry</w:t>
            </w:r>
          </w:p>
        </w:tc>
        <w:tc>
          <w:tcPr>
            <w:tcW w:w="1870" w:type="dxa"/>
          </w:tcPr>
          <w:p w14:paraId="6D67F621" w14:textId="77777777" w:rsidR="001A4F36" w:rsidRDefault="001A4F36" w:rsidP="00E60082">
            <w:pPr>
              <w:rPr>
                <w:b/>
              </w:rPr>
            </w:pPr>
            <w:r>
              <w:rPr>
                <w:b/>
              </w:rPr>
              <w:t>Occurrences per Year</w:t>
            </w:r>
          </w:p>
        </w:tc>
        <w:tc>
          <w:tcPr>
            <w:tcW w:w="1870" w:type="dxa"/>
          </w:tcPr>
          <w:p w14:paraId="485A483F" w14:textId="77777777" w:rsidR="001A4F36" w:rsidRDefault="001A4F36" w:rsidP="00E60082">
            <w:pPr>
              <w:rPr>
                <w:b/>
              </w:rPr>
            </w:pPr>
            <w:r>
              <w:rPr>
                <w:b/>
              </w:rPr>
              <w:t>Total Time Burden in Hours</w:t>
            </w:r>
          </w:p>
        </w:tc>
      </w:tr>
      <w:tr w:rsidR="001A4F36" w14:paraId="037B56F0" w14:textId="77777777" w:rsidTr="00E60082">
        <w:tc>
          <w:tcPr>
            <w:tcW w:w="1870" w:type="dxa"/>
          </w:tcPr>
          <w:p w14:paraId="725BB7CE" w14:textId="77777777" w:rsidR="001A4F36" w:rsidRDefault="001A4F36" w:rsidP="00E60082">
            <w:pPr>
              <w:rPr>
                <w:b/>
              </w:rPr>
            </w:pPr>
            <w:r>
              <w:rPr>
                <w:b/>
              </w:rPr>
              <w:t>Annual Survey</w:t>
            </w:r>
          </w:p>
        </w:tc>
        <w:tc>
          <w:tcPr>
            <w:tcW w:w="1870" w:type="dxa"/>
          </w:tcPr>
          <w:p w14:paraId="43A748F4" w14:textId="77777777" w:rsidR="001A4F36" w:rsidRPr="001D6D33" w:rsidRDefault="001A4F36" w:rsidP="00E60082">
            <w:r>
              <w:t>20,000</w:t>
            </w:r>
          </w:p>
        </w:tc>
        <w:tc>
          <w:tcPr>
            <w:tcW w:w="1870" w:type="dxa"/>
          </w:tcPr>
          <w:p w14:paraId="03A6A0DF" w14:textId="77777777" w:rsidR="001A4F36" w:rsidRPr="001D6D33" w:rsidRDefault="001A4F36" w:rsidP="00E60082">
            <w:r>
              <w:t>15</w:t>
            </w:r>
          </w:p>
        </w:tc>
        <w:tc>
          <w:tcPr>
            <w:tcW w:w="1870" w:type="dxa"/>
          </w:tcPr>
          <w:p w14:paraId="2A763187" w14:textId="77777777" w:rsidR="001A4F36" w:rsidRPr="001D6D33" w:rsidRDefault="001A4F36" w:rsidP="00E60082">
            <w:r>
              <w:t>1</w:t>
            </w:r>
          </w:p>
        </w:tc>
        <w:tc>
          <w:tcPr>
            <w:tcW w:w="1870" w:type="dxa"/>
          </w:tcPr>
          <w:p w14:paraId="1356C975" w14:textId="77777777" w:rsidR="001A4F36" w:rsidRPr="001D6D33" w:rsidRDefault="001A4F36" w:rsidP="00E60082">
            <w:pPr>
              <w:rPr>
                <w:b/>
              </w:rPr>
            </w:pPr>
            <w:r>
              <w:rPr>
                <w:b/>
              </w:rPr>
              <w:t>5,000</w:t>
            </w:r>
          </w:p>
        </w:tc>
      </w:tr>
      <w:tr w:rsidR="001A4F36" w14:paraId="4CCF3E03" w14:textId="77777777" w:rsidTr="00E60082">
        <w:tc>
          <w:tcPr>
            <w:tcW w:w="1870" w:type="dxa"/>
          </w:tcPr>
          <w:p w14:paraId="2DC2E8F7" w14:textId="77777777" w:rsidR="001A4F36" w:rsidRDefault="001A4F36" w:rsidP="00E60082">
            <w:pPr>
              <w:rPr>
                <w:b/>
              </w:rPr>
            </w:pPr>
            <w:r>
              <w:rPr>
                <w:b/>
              </w:rPr>
              <w:t>Targeted Surveys</w:t>
            </w:r>
          </w:p>
        </w:tc>
        <w:tc>
          <w:tcPr>
            <w:tcW w:w="1870" w:type="dxa"/>
          </w:tcPr>
          <w:p w14:paraId="297012EA" w14:textId="77777777" w:rsidR="001A4F36" w:rsidRPr="001D6D33" w:rsidRDefault="001A4F36" w:rsidP="00E60082">
            <w:r w:rsidRPr="001D6D33">
              <w:t>1</w:t>
            </w:r>
            <w:r>
              <w:t>,</w:t>
            </w:r>
            <w:r w:rsidRPr="001D6D33">
              <w:t>500</w:t>
            </w:r>
          </w:p>
        </w:tc>
        <w:tc>
          <w:tcPr>
            <w:tcW w:w="1870" w:type="dxa"/>
          </w:tcPr>
          <w:p w14:paraId="4B9263EA" w14:textId="77777777" w:rsidR="001A4F36" w:rsidRPr="001D6D33" w:rsidRDefault="001A4F36" w:rsidP="00E60082">
            <w:r>
              <w:t>10</w:t>
            </w:r>
          </w:p>
        </w:tc>
        <w:tc>
          <w:tcPr>
            <w:tcW w:w="1870" w:type="dxa"/>
          </w:tcPr>
          <w:p w14:paraId="4A0FD7BB" w14:textId="77777777" w:rsidR="001A4F36" w:rsidRPr="001D6D33" w:rsidRDefault="001A4F36" w:rsidP="00E60082">
            <w:r>
              <w:t>4</w:t>
            </w:r>
          </w:p>
        </w:tc>
        <w:tc>
          <w:tcPr>
            <w:tcW w:w="1870" w:type="dxa"/>
          </w:tcPr>
          <w:p w14:paraId="5CD404F6" w14:textId="77777777" w:rsidR="001A4F36" w:rsidRPr="001D6D33" w:rsidRDefault="001A4F36" w:rsidP="00E60082">
            <w:pPr>
              <w:rPr>
                <w:b/>
              </w:rPr>
            </w:pPr>
            <w:r>
              <w:rPr>
                <w:b/>
              </w:rPr>
              <w:t>1,000</w:t>
            </w:r>
          </w:p>
        </w:tc>
      </w:tr>
      <w:tr w:rsidR="001A4F36" w14:paraId="49512115" w14:textId="77777777" w:rsidTr="00E60082">
        <w:tc>
          <w:tcPr>
            <w:tcW w:w="1870" w:type="dxa"/>
          </w:tcPr>
          <w:p w14:paraId="458AE177" w14:textId="77777777" w:rsidR="001A4F36" w:rsidRDefault="001A4F36" w:rsidP="00E60082">
            <w:pPr>
              <w:rPr>
                <w:b/>
              </w:rPr>
            </w:pPr>
            <w:r>
              <w:rPr>
                <w:b/>
              </w:rPr>
              <w:t>Interviews</w:t>
            </w:r>
          </w:p>
        </w:tc>
        <w:tc>
          <w:tcPr>
            <w:tcW w:w="1870" w:type="dxa"/>
          </w:tcPr>
          <w:p w14:paraId="7BF86D0A" w14:textId="77777777" w:rsidR="001A4F36" w:rsidRPr="001D6D33" w:rsidRDefault="001A4F36" w:rsidP="00E60082">
            <w:r>
              <w:t>50</w:t>
            </w:r>
          </w:p>
        </w:tc>
        <w:tc>
          <w:tcPr>
            <w:tcW w:w="1870" w:type="dxa"/>
          </w:tcPr>
          <w:p w14:paraId="047C1E89" w14:textId="77777777" w:rsidR="001A4F36" w:rsidRPr="001D6D33" w:rsidRDefault="001A4F36" w:rsidP="00E60082">
            <w:r>
              <w:t>30</w:t>
            </w:r>
          </w:p>
        </w:tc>
        <w:tc>
          <w:tcPr>
            <w:tcW w:w="1870" w:type="dxa"/>
          </w:tcPr>
          <w:p w14:paraId="28AC11A9" w14:textId="77777777" w:rsidR="001A4F36" w:rsidRPr="001D6D33" w:rsidRDefault="001A4F36" w:rsidP="00E60082">
            <w:r>
              <w:t>2</w:t>
            </w:r>
          </w:p>
        </w:tc>
        <w:tc>
          <w:tcPr>
            <w:tcW w:w="1870" w:type="dxa"/>
          </w:tcPr>
          <w:p w14:paraId="6C2E5A75" w14:textId="77777777" w:rsidR="001A4F36" w:rsidRPr="001D6D33" w:rsidRDefault="001A4F36" w:rsidP="00E60082">
            <w:pPr>
              <w:rPr>
                <w:b/>
              </w:rPr>
            </w:pPr>
            <w:r>
              <w:rPr>
                <w:b/>
              </w:rPr>
              <w:t>50</w:t>
            </w:r>
          </w:p>
        </w:tc>
      </w:tr>
      <w:tr w:rsidR="001A4F36" w14:paraId="6B2B6213" w14:textId="77777777" w:rsidTr="00E60082">
        <w:tc>
          <w:tcPr>
            <w:tcW w:w="1870" w:type="dxa"/>
          </w:tcPr>
          <w:p w14:paraId="486EEFBB" w14:textId="77777777" w:rsidR="001A4F36" w:rsidRDefault="001A4F36" w:rsidP="00E60082">
            <w:pPr>
              <w:rPr>
                <w:b/>
              </w:rPr>
            </w:pPr>
            <w:r>
              <w:rPr>
                <w:b/>
              </w:rPr>
              <w:t>Focus Groups</w:t>
            </w:r>
          </w:p>
        </w:tc>
        <w:tc>
          <w:tcPr>
            <w:tcW w:w="1870" w:type="dxa"/>
          </w:tcPr>
          <w:p w14:paraId="62EFAF40" w14:textId="77777777" w:rsidR="001A4F36" w:rsidRPr="001D6D33" w:rsidRDefault="001A4F36" w:rsidP="00E60082">
            <w:r>
              <w:t>45</w:t>
            </w:r>
          </w:p>
        </w:tc>
        <w:tc>
          <w:tcPr>
            <w:tcW w:w="1870" w:type="dxa"/>
          </w:tcPr>
          <w:p w14:paraId="20230DAF" w14:textId="77777777" w:rsidR="001A4F36" w:rsidRPr="001D6D33" w:rsidRDefault="001A4F36" w:rsidP="00E60082">
            <w:r>
              <w:t>90</w:t>
            </w:r>
          </w:p>
        </w:tc>
        <w:tc>
          <w:tcPr>
            <w:tcW w:w="1870" w:type="dxa"/>
          </w:tcPr>
          <w:p w14:paraId="7BD0A778" w14:textId="77777777" w:rsidR="001A4F36" w:rsidRPr="001D6D33" w:rsidRDefault="001A4F36" w:rsidP="00E60082">
            <w:r>
              <w:t>2</w:t>
            </w:r>
          </w:p>
        </w:tc>
        <w:tc>
          <w:tcPr>
            <w:tcW w:w="1870" w:type="dxa"/>
          </w:tcPr>
          <w:p w14:paraId="0EB5AFF1" w14:textId="77777777" w:rsidR="001A4F36" w:rsidRPr="001D6D33" w:rsidRDefault="001A4F36" w:rsidP="00E60082">
            <w:pPr>
              <w:rPr>
                <w:b/>
              </w:rPr>
            </w:pPr>
            <w:r>
              <w:rPr>
                <w:b/>
              </w:rPr>
              <w:t>135</w:t>
            </w:r>
          </w:p>
        </w:tc>
      </w:tr>
    </w:tbl>
    <w:p w14:paraId="7A5E7593" w14:textId="77777777" w:rsidR="001A4F36" w:rsidRDefault="001A4F36" w:rsidP="001A4F36">
      <w:pPr>
        <w:rPr>
          <w:b/>
        </w:rPr>
      </w:pPr>
    </w:p>
    <w:p w14:paraId="14D18037" w14:textId="77777777" w:rsidR="001A4F36" w:rsidRDefault="001A4F36" w:rsidP="001A4F36">
      <w:pPr>
        <w:rPr>
          <w:b/>
        </w:rPr>
      </w:pPr>
    </w:p>
    <w:tbl>
      <w:tblPr>
        <w:tblStyle w:val="TableGrid"/>
        <w:tblW w:w="0" w:type="auto"/>
        <w:tblLook w:val="04A0" w:firstRow="1" w:lastRow="0" w:firstColumn="1" w:lastColumn="0" w:noHBand="0" w:noVBand="1"/>
      </w:tblPr>
      <w:tblGrid>
        <w:gridCol w:w="1870"/>
        <w:gridCol w:w="1870"/>
        <w:gridCol w:w="1870"/>
        <w:gridCol w:w="1870"/>
        <w:gridCol w:w="1870"/>
      </w:tblGrid>
      <w:tr w:rsidR="001A4F36" w14:paraId="7D042FC1" w14:textId="77777777" w:rsidTr="00E60082">
        <w:tc>
          <w:tcPr>
            <w:tcW w:w="1870" w:type="dxa"/>
          </w:tcPr>
          <w:p w14:paraId="4430828A" w14:textId="77777777" w:rsidR="001A4F36" w:rsidRPr="006B513E" w:rsidRDefault="001A4F36" w:rsidP="00E60082">
            <w:pPr>
              <w:rPr>
                <w:b/>
              </w:rPr>
            </w:pPr>
            <w:r>
              <w:rPr>
                <w:b/>
              </w:rPr>
              <w:t>2018 Inquiries</w:t>
            </w:r>
          </w:p>
          <w:p w14:paraId="140CC9B1" w14:textId="77777777" w:rsidR="001A4F36" w:rsidRDefault="001A4F36" w:rsidP="00E60082">
            <w:pPr>
              <w:rPr>
                <w:b/>
              </w:rPr>
            </w:pPr>
          </w:p>
        </w:tc>
        <w:tc>
          <w:tcPr>
            <w:tcW w:w="1870" w:type="dxa"/>
          </w:tcPr>
          <w:p w14:paraId="49A251CF" w14:textId="77777777" w:rsidR="001A4F36" w:rsidRDefault="001A4F36" w:rsidP="00E60082">
            <w:pPr>
              <w:rPr>
                <w:b/>
              </w:rPr>
            </w:pPr>
            <w:r>
              <w:rPr>
                <w:b/>
              </w:rPr>
              <w:t>Number of Respondents</w:t>
            </w:r>
          </w:p>
        </w:tc>
        <w:tc>
          <w:tcPr>
            <w:tcW w:w="1870" w:type="dxa"/>
          </w:tcPr>
          <w:p w14:paraId="7329491D" w14:textId="77777777" w:rsidR="001A4F36" w:rsidRDefault="001A4F36" w:rsidP="00E60082">
            <w:pPr>
              <w:rPr>
                <w:b/>
              </w:rPr>
            </w:pPr>
            <w:r>
              <w:rPr>
                <w:b/>
              </w:rPr>
              <w:t xml:space="preserve">Time to Complete </w:t>
            </w:r>
            <w:r>
              <w:rPr>
                <w:b/>
              </w:rPr>
              <w:lastRenderedPageBreak/>
              <w:t>Inquiry</w:t>
            </w:r>
          </w:p>
        </w:tc>
        <w:tc>
          <w:tcPr>
            <w:tcW w:w="1870" w:type="dxa"/>
          </w:tcPr>
          <w:p w14:paraId="11E6D25A" w14:textId="77777777" w:rsidR="001A4F36" w:rsidRDefault="001A4F36" w:rsidP="00E60082">
            <w:pPr>
              <w:rPr>
                <w:b/>
              </w:rPr>
            </w:pPr>
            <w:r>
              <w:rPr>
                <w:b/>
              </w:rPr>
              <w:lastRenderedPageBreak/>
              <w:t>Occurrences per Year</w:t>
            </w:r>
          </w:p>
        </w:tc>
        <w:tc>
          <w:tcPr>
            <w:tcW w:w="1870" w:type="dxa"/>
          </w:tcPr>
          <w:p w14:paraId="5F208110" w14:textId="77777777" w:rsidR="001A4F36" w:rsidRDefault="001A4F36" w:rsidP="00E60082">
            <w:pPr>
              <w:rPr>
                <w:b/>
              </w:rPr>
            </w:pPr>
            <w:r>
              <w:rPr>
                <w:b/>
              </w:rPr>
              <w:t xml:space="preserve">Total Time Burden in </w:t>
            </w:r>
            <w:r>
              <w:rPr>
                <w:b/>
              </w:rPr>
              <w:lastRenderedPageBreak/>
              <w:t>Hours</w:t>
            </w:r>
          </w:p>
        </w:tc>
      </w:tr>
      <w:tr w:rsidR="001A4F36" w14:paraId="53033BAE" w14:textId="77777777" w:rsidTr="00E60082">
        <w:tc>
          <w:tcPr>
            <w:tcW w:w="1870" w:type="dxa"/>
          </w:tcPr>
          <w:p w14:paraId="24A9035D" w14:textId="77777777" w:rsidR="001A4F36" w:rsidRDefault="001A4F36" w:rsidP="00E60082">
            <w:pPr>
              <w:rPr>
                <w:b/>
              </w:rPr>
            </w:pPr>
            <w:r>
              <w:rPr>
                <w:b/>
              </w:rPr>
              <w:lastRenderedPageBreak/>
              <w:t>Annual Survey</w:t>
            </w:r>
          </w:p>
        </w:tc>
        <w:tc>
          <w:tcPr>
            <w:tcW w:w="1870" w:type="dxa"/>
          </w:tcPr>
          <w:p w14:paraId="02F2D131" w14:textId="77777777" w:rsidR="001A4F36" w:rsidRPr="001D6D33" w:rsidRDefault="001A4F36" w:rsidP="00E60082">
            <w:r>
              <w:t>20,000</w:t>
            </w:r>
          </w:p>
        </w:tc>
        <w:tc>
          <w:tcPr>
            <w:tcW w:w="1870" w:type="dxa"/>
          </w:tcPr>
          <w:p w14:paraId="38500670" w14:textId="77777777" w:rsidR="001A4F36" w:rsidRPr="001D6D33" w:rsidRDefault="001A4F36" w:rsidP="00E60082">
            <w:r>
              <w:t>15</w:t>
            </w:r>
          </w:p>
        </w:tc>
        <w:tc>
          <w:tcPr>
            <w:tcW w:w="1870" w:type="dxa"/>
          </w:tcPr>
          <w:p w14:paraId="7113D506" w14:textId="77777777" w:rsidR="001A4F36" w:rsidRPr="001D6D33" w:rsidRDefault="001A4F36" w:rsidP="00E60082">
            <w:r>
              <w:t>1</w:t>
            </w:r>
          </w:p>
        </w:tc>
        <w:tc>
          <w:tcPr>
            <w:tcW w:w="1870" w:type="dxa"/>
          </w:tcPr>
          <w:p w14:paraId="20E02BF6" w14:textId="77777777" w:rsidR="001A4F36" w:rsidRPr="001D6D33" w:rsidRDefault="001A4F36" w:rsidP="00E60082">
            <w:pPr>
              <w:rPr>
                <w:b/>
              </w:rPr>
            </w:pPr>
            <w:r>
              <w:rPr>
                <w:b/>
              </w:rPr>
              <w:t>5,000</w:t>
            </w:r>
          </w:p>
        </w:tc>
      </w:tr>
      <w:tr w:rsidR="001A4F36" w14:paraId="5008CCBE" w14:textId="77777777" w:rsidTr="00E60082">
        <w:tc>
          <w:tcPr>
            <w:tcW w:w="1870" w:type="dxa"/>
          </w:tcPr>
          <w:p w14:paraId="3E156EB5" w14:textId="77777777" w:rsidR="001A4F36" w:rsidRDefault="001A4F36" w:rsidP="00E60082">
            <w:pPr>
              <w:rPr>
                <w:b/>
              </w:rPr>
            </w:pPr>
            <w:r>
              <w:rPr>
                <w:b/>
              </w:rPr>
              <w:t>Targeted Surveys</w:t>
            </w:r>
          </w:p>
        </w:tc>
        <w:tc>
          <w:tcPr>
            <w:tcW w:w="1870" w:type="dxa"/>
          </w:tcPr>
          <w:p w14:paraId="5744F031" w14:textId="77777777" w:rsidR="001A4F36" w:rsidRPr="001D6D33" w:rsidRDefault="001A4F36" w:rsidP="00E60082">
            <w:r w:rsidRPr="001D6D33">
              <w:t>1</w:t>
            </w:r>
            <w:r>
              <w:t>,</w:t>
            </w:r>
            <w:r w:rsidRPr="001D6D33">
              <w:t>500</w:t>
            </w:r>
          </w:p>
        </w:tc>
        <w:tc>
          <w:tcPr>
            <w:tcW w:w="1870" w:type="dxa"/>
          </w:tcPr>
          <w:p w14:paraId="0ABF6ADC" w14:textId="77777777" w:rsidR="001A4F36" w:rsidRPr="001D6D33" w:rsidRDefault="001A4F36" w:rsidP="00E60082">
            <w:r>
              <w:t>10</w:t>
            </w:r>
          </w:p>
        </w:tc>
        <w:tc>
          <w:tcPr>
            <w:tcW w:w="1870" w:type="dxa"/>
          </w:tcPr>
          <w:p w14:paraId="6C733257" w14:textId="77777777" w:rsidR="001A4F36" w:rsidRPr="001D6D33" w:rsidRDefault="001A4F36" w:rsidP="00E60082">
            <w:r>
              <w:t>6</w:t>
            </w:r>
          </w:p>
        </w:tc>
        <w:tc>
          <w:tcPr>
            <w:tcW w:w="1870" w:type="dxa"/>
          </w:tcPr>
          <w:p w14:paraId="1A5F2B32" w14:textId="77777777" w:rsidR="001A4F36" w:rsidRPr="001D6D33" w:rsidRDefault="001A4F36" w:rsidP="00E60082">
            <w:pPr>
              <w:rPr>
                <w:b/>
              </w:rPr>
            </w:pPr>
            <w:r>
              <w:rPr>
                <w:b/>
              </w:rPr>
              <w:t>1,500</w:t>
            </w:r>
          </w:p>
        </w:tc>
      </w:tr>
      <w:tr w:rsidR="001A4F36" w14:paraId="3E7DF082" w14:textId="77777777" w:rsidTr="00E60082">
        <w:tc>
          <w:tcPr>
            <w:tcW w:w="1870" w:type="dxa"/>
          </w:tcPr>
          <w:p w14:paraId="7CA37BF9" w14:textId="77777777" w:rsidR="001A4F36" w:rsidRDefault="001A4F36" w:rsidP="00E60082">
            <w:pPr>
              <w:rPr>
                <w:b/>
              </w:rPr>
            </w:pPr>
            <w:r>
              <w:rPr>
                <w:b/>
              </w:rPr>
              <w:t>Interviews</w:t>
            </w:r>
          </w:p>
        </w:tc>
        <w:tc>
          <w:tcPr>
            <w:tcW w:w="1870" w:type="dxa"/>
          </w:tcPr>
          <w:p w14:paraId="26D7EF54" w14:textId="77777777" w:rsidR="001A4F36" w:rsidRPr="001D6D33" w:rsidRDefault="001A4F36" w:rsidP="00E60082">
            <w:r>
              <w:t>50</w:t>
            </w:r>
          </w:p>
        </w:tc>
        <w:tc>
          <w:tcPr>
            <w:tcW w:w="1870" w:type="dxa"/>
          </w:tcPr>
          <w:p w14:paraId="45052456" w14:textId="77777777" w:rsidR="001A4F36" w:rsidRPr="001D6D33" w:rsidRDefault="001A4F36" w:rsidP="00E60082">
            <w:r>
              <w:t>30</w:t>
            </w:r>
          </w:p>
        </w:tc>
        <w:tc>
          <w:tcPr>
            <w:tcW w:w="1870" w:type="dxa"/>
          </w:tcPr>
          <w:p w14:paraId="714FC145" w14:textId="77777777" w:rsidR="001A4F36" w:rsidRPr="001D6D33" w:rsidRDefault="001A4F36" w:rsidP="00E60082">
            <w:r>
              <w:t>3</w:t>
            </w:r>
          </w:p>
        </w:tc>
        <w:tc>
          <w:tcPr>
            <w:tcW w:w="1870" w:type="dxa"/>
          </w:tcPr>
          <w:p w14:paraId="1BB65F97" w14:textId="77777777" w:rsidR="001A4F36" w:rsidRPr="001D6D33" w:rsidRDefault="001A4F36" w:rsidP="00E60082">
            <w:pPr>
              <w:rPr>
                <w:b/>
              </w:rPr>
            </w:pPr>
            <w:r>
              <w:rPr>
                <w:b/>
              </w:rPr>
              <w:t>75</w:t>
            </w:r>
          </w:p>
        </w:tc>
      </w:tr>
      <w:tr w:rsidR="001A4F36" w14:paraId="138C9CB8" w14:textId="77777777" w:rsidTr="00E60082">
        <w:tc>
          <w:tcPr>
            <w:tcW w:w="1870" w:type="dxa"/>
          </w:tcPr>
          <w:p w14:paraId="00807E1A" w14:textId="77777777" w:rsidR="001A4F36" w:rsidRDefault="001A4F36" w:rsidP="00E60082">
            <w:pPr>
              <w:rPr>
                <w:b/>
              </w:rPr>
            </w:pPr>
            <w:r>
              <w:rPr>
                <w:b/>
              </w:rPr>
              <w:t>Focus Groups</w:t>
            </w:r>
          </w:p>
        </w:tc>
        <w:tc>
          <w:tcPr>
            <w:tcW w:w="1870" w:type="dxa"/>
          </w:tcPr>
          <w:p w14:paraId="5C725AE0" w14:textId="77777777" w:rsidR="001A4F36" w:rsidRPr="001D6D33" w:rsidRDefault="001A4F36" w:rsidP="00E60082">
            <w:r>
              <w:t>45</w:t>
            </w:r>
          </w:p>
        </w:tc>
        <w:tc>
          <w:tcPr>
            <w:tcW w:w="1870" w:type="dxa"/>
          </w:tcPr>
          <w:p w14:paraId="2A151C65" w14:textId="77777777" w:rsidR="001A4F36" w:rsidRPr="001D6D33" w:rsidRDefault="001A4F36" w:rsidP="00E60082">
            <w:r>
              <w:t>90</w:t>
            </w:r>
          </w:p>
        </w:tc>
        <w:tc>
          <w:tcPr>
            <w:tcW w:w="1870" w:type="dxa"/>
          </w:tcPr>
          <w:p w14:paraId="06EF058B" w14:textId="77777777" w:rsidR="001A4F36" w:rsidRPr="001D6D33" w:rsidRDefault="001A4F36" w:rsidP="00E60082">
            <w:r>
              <w:t>3</w:t>
            </w:r>
          </w:p>
        </w:tc>
        <w:tc>
          <w:tcPr>
            <w:tcW w:w="1870" w:type="dxa"/>
          </w:tcPr>
          <w:p w14:paraId="1AB4577A" w14:textId="77777777" w:rsidR="001A4F36" w:rsidRPr="001D6D33" w:rsidRDefault="001A4F36" w:rsidP="00E60082">
            <w:pPr>
              <w:rPr>
                <w:b/>
              </w:rPr>
            </w:pPr>
            <w:r>
              <w:rPr>
                <w:b/>
              </w:rPr>
              <w:t>202.5</w:t>
            </w:r>
          </w:p>
        </w:tc>
      </w:tr>
    </w:tbl>
    <w:p w14:paraId="1464F791" w14:textId="77777777" w:rsidR="001A4F36" w:rsidRPr="000A4CED" w:rsidRDefault="001A4F36" w:rsidP="001A4F36">
      <w:pPr>
        <w:rPr>
          <w:b/>
        </w:rPr>
      </w:pPr>
      <w:r w:rsidRPr="006B513E">
        <w:rPr>
          <w:b/>
        </w:rPr>
        <w:tab/>
      </w:r>
      <w:r w:rsidRPr="006B513E">
        <w:rPr>
          <w:b/>
        </w:rPr>
        <w:tab/>
      </w:r>
      <w:r w:rsidRPr="006B513E">
        <w:rPr>
          <w:b/>
        </w:rPr>
        <w:tab/>
      </w:r>
    </w:p>
    <w:p w14:paraId="007A3C6A" w14:textId="77777777" w:rsidR="001A4F36" w:rsidRPr="000A4CED" w:rsidRDefault="001A4F36" w:rsidP="001A4F36">
      <w:r>
        <w:tab/>
      </w:r>
      <w:r>
        <w:tab/>
      </w:r>
      <w:r>
        <w:tab/>
      </w:r>
    </w:p>
    <w:p w14:paraId="6C6C4D9A" w14:textId="77777777" w:rsidR="001A4F36" w:rsidRDefault="001A4F36" w:rsidP="001A4F36"/>
    <w:tbl>
      <w:tblPr>
        <w:tblStyle w:val="TableGrid"/>
        <w:tblW w:w="0" w:type="auto"/>
        <w:tblLook w:val="04A0" w:firstRow="1" w:lastRow="0" w:firstColumn="1" w:lastColumn="0" w:noHBand="0" w:noVBand="1"/>
      </w:tblPr>
      <w:tblGrid>
        <w:gridCol w:w="1870"/>
        <w:gridCol w:w="1870"/>
        <w:gridCol w:w="1870"/>
        <w:gridCol w:w="1870"/>
        <w:gridCol w:w="1870"/>
      </w:tblGrid>
      <w:tr w:rsidR="001A4F36" w14:paraId="57ED7FA9" w14:textId="77777777" w:rsidTr="00E60082">
        <w:tc>
          <w:tcPr>
            <w:tcW w:w="1870" w:type="dxa"/>
          </w:tcPr>
          <w:p w14:paraId="11E9F566" w14:textId="77777777" w:rsidR="001A4F36" w:rsidRPr="006B513E" w:rsidRDefault="001A4F36" w:rsidP="00E60082">
            <w:pPr>
              <w:rPr>
                <w:b/>
              </w:rPr>
            </w:pPr>
            <w:r>
              <w:rPr>
                <w:b/>
              </w:rPr>
              <w:t>2019 Inquiries</w:t>
            </w:r>
          </w:p>
          <w:p w14:paraId="57781103" w14:textId="77777777" w:rsidR="001A4F36" w:rsidRDefault="001A4F36" w:rsidP="00E60082">
            <w:pPr>
              <w:rPr>
                <w:b/>
              </w:rPr>
            </w:pPr>
          </w:p>
        </w:tc>
        <w:tc>
          <w:tcPr>
            <w:tcW w:w="1870" w:type="dxa"/>
          </w:tcPr>
          <w:p w14:paraId="34317A74" w14:textId="77777777" w:rsidR="001A4F36" w:rsidRDefault="001A4F36" w:rsidP="00E60082">
            <w:pPr>
              <w:rPr>
                <w:b/>
              </w:rPr>
            </w:pPr>
            <w:r>
              <w:rPr>
                <w:b/>
              </w:rPr>
              <w:t>Number of Respondents</w:t>
            </w:r>
          </w:p>
        </w:tc>
        <w:tc>
          <w:tcPr>
            <w:tcW w:w="1870" w:type="dxa"/>
          </w:tcPr>
          <w:p w14:paraId="6933903A" w14:textId="77777777" w:rsidR="001A4F36" w:rsidRDefault="001A4F36" w:rsidP="00E60082">
            <w:pPr>
              <w:rPr>
                <w:b/>
              </w:rPr>
            </w:pPr>
            <w:r>
              <w:rPr>
                <w:b/>
              </w:rPr>
              <w:t>Time to Complete Inquiry</w:t>
            </w:r>
          </w:p>
        </w:tc>
        <w:tc>
          <w:tcPr>
            <w:tcW w:w="1870" w:type="dxa"/>
          </w:tcPr>
          <w:p w14:paraId="7A30E3F9" w14:textId="77777777" w:rsidR="001A4F36" w:rsidRDefault="001A4F36" w:rsidP="00E60082">
            <w:pPr>
              <w:rPr>
                <w:b/>
              </w:rPr>
            </w:pPr>
            <w:r>
              <w:rPr>
                <w:b/>
              </w:rPr>
              <w:t>Occurrences per Year</w:t>
            </w:r>
          </w:p>
        </w:tc>
        <w:tc>
          <w:tcPr>
            <w:tcW w:w="1870" w:type="dxa"/>
          </w:tcPr>
          <w:p w14:paraId="40A6BEAB" w14:textId="77777777" w:rsidR="001A4F36" w:rsidRDefault="001A4F36" w:rsidP="00E60082">
            <w:pPr>
              <w:rPr>
                <w:b/>
              </w:rPr>
            </w:pPr>
            <w:r>
              <w:rPr>
                <w:b/>
              </w:rPr>
              <w:t>Total Time Burden in Hours</w:t>
            </w:r>
          </w:p>
        </w:tc>
      </w:tr>
      <w:tr w:rsidR="001A4F36" w14:paraId="507766A7" w14:textId="77777777" w:rsidTr="00E60082">
        <w:tc>
          <w:tcPr>
            <w:tcW w:w="1870" w:type="dxa"/>
          </w:tcPr>
          <w:p w14:paraId="4D47528E" w14:textId="77777777" w:rsidR="001A4F36" w:rsidRDefault="001A4F36" w:rsidP="00E60082">
            <w:pPr>
              <w:rPr>
                <w:b/>
              </w:rPr>
            </w:pPr>
            <w:r>
              <w:rPr>
                <w:b/>
              </w:rPr>
              <w:t>Annual Survey</w:t>
            </w:r>
          </w:p>
        </w:tc>
        <w:tc>
          <w:tcPr>
            <w:tcW w:w="1870" w:type="dxa"/>
          </w:tcPr>
          <w:p w14:paraId="4436FB76" w14:textId="77777777" w:rsidR="001A4F36" w:rsidRPr="001D6D33" w:rsidRDefault="001A4F36" w:rsidP="00E60082">
            <w:r>
              <w:t>20,000</w:t>
            </w:r>
          </w:p>
        </w:tc>
        <w:tc>
          <w:tcPr>
            <w:tcW w:w="1870" w:type="dxa"/>
          </w:tcPr>
          <w:p w14:paraId="0C59AA99" w14:textId="77777777" w:rsidR="001A4F36" w:rsidRPr="001D6D33" w:rsidRDefault="001A4F36" w:rsidP="00E60082">
            <w:r>
              <w:t>15</w:t>
            </w:r>
          </w:p>
        </w:tc>
        <w:tc>
          <w:tcPr>
            <w:tcW w:w="1870" w:type="dxa"/>
          </w:tcPr>
          <w:p w14:paraId="66F2630E" w14:textId="77777777" w:rsidR="001A4F36" w:rsidRPr="001D6D33" w:rsidRDefault="001A4F36" w:rsidP="00E60082">
            <w:r>
              <w:t>1</w:t>
            </w:r>
          </w:p>
        </w:tc>
        <w:tc>
          <w:tcPr>
            <w:tcW w:w="1870" w:type="dxa"/>
          </w:tcPr>
          <w:p w14:paraId="7BCF081E" w14:textId="77777777" w:rsidR="001A4F36" w:rsidRPr="001D6D33" w:rsidRDefault="001A4F36" w:rsidP="00E60082">
            <w:pPr>
              <w:rPr>
                <w:b/>
              </w:rPr>
            </w:pPr>
            <w:r>
              <w:rPr>
                <w:b/>
              </w:rPr>
              <w:t>5,000</w:t>
            </w:r>
          </w:p>
        </w:tc>
      </w:tr>
      <w:tr w:rsidR="001A4F36" w14:paraId="39ACFBC4" w14:textId="77777777" w:rsidTr="00E60082">
        <w:tc>
          <w:tcPr>
            <w:tcW w:w="1870" w:type="dxa"/>
          </w:tcPr>
          <w:p w14:paraId="0FA9E2F9" w14:textId="77777777" w:rsidR="001A4F36" w:rsidRDefault="001A4F36" w:rsidP="00E60082">
            <w:pPr>
              <w:rPr>
                <w:b/>
              </w:rPr>
            </w:pPr>
            <w:r>
              <w:rPr>
                <w:b/>
              </w:rPr>
              <w:t>Targeted Surveys</w:t>
            </w:r>
          </w:p>
        </w:tc>
        <w:tc>
          <w:tcPr>
            <w:tcW w:w="1870" w:type="dxa"/>
          </w:tcPr>
          <w:p w14:paraId="037516D2" w14:textId="77777777" w:rsidR="001A4F36" w:rsidRPr="001D6D33" w:rsidRDefault="001A4F36" w:rsidP="00E60082">
            <w:r w:rsidRPr="001D6D33">
              <w:t>1</w:t>
            </w:r>
            <w:r>
              <w:t>,</w:t>
            </w:r>
            <w:r w:rsidRPr="001D6D33">
              <w:t>500</w:t>
            </w:r>
          </w:p>
        </w:tc>
        <w:tc>
          <w:tcPr>
            <w:tcW w:w="1870" w:type="dxa"/>
          </w:tcPr>
          <w:p w14:paraId="3DF917C8" w14:textId="77777777" w:rsidR="001A4F36" w:rsidRPr="001D6D33" w:rsidRDefault="001A4F36" w:rsidP="00E60082">
            <w:r>
              <w:t>10</w:t>
            </w:r>
          </w:p>
        </w:tc>
        <w:tc>
          <w:tcPr>
            <w:tcW w:w="1870" w:type="dxa"/>
          </w:tcPr>
          <w:p w14:paraId="181234EA" w14:textId="77777777" w:rsidR="001A4F36" w:rsidRPr="001D6D33" w:rsidRDefault="001A4F36" w:rsidP="00E60082">
            <w:r>
              <w:t>8</w:t>
            </w:r>
          </w:p>
        </w:tc>
        <w:tc>
          <w:tcPr>
            <w:tcW w:w="1870" w:type="dxa"/>
          </w:tcPr>
          <w:p w14:paraId="0D84C602" w14:textId="77777777" w:rsidR="001A4F36" w:rsidRPr="001D6D33" w:rsidRDefault="001A4F36" w:rsidP="00E60082">
            <w:pPr>
              <w:rPr>
                <w:b/>
              </w:rPr>
            </w:pPr>
            <w:r>
              <w:rPr>
                <w:b/>
              </w:rPr>
              <w:t>2,000</w:t>
            </w:r>
          </w:p>
        </w:tc>
      </w:tr>
      <w:tr w:rsidR="001A4F36" w14:paraId="7436D12B" w14:textId="77777777" w:rsidTr="00E60082">
        <w:tc>
          <w:tcPr>
            <w:tcW w:w="1870" w:type="dxa"/>
          </w:tcPr>
          <w:p w14:paraId="3C435B28" w14:textId="77777777" w:rsidR="001A4F36" w:rsidRDefault="001A4F36" w:rsidP="00E60082">
            <w:pPr>
              <w:rPr>
                <w:b/>
              </w:rPr>
            </w:pPr>
            <w:r>
              <w:rPr>
                <w:b/>
              </w:rPr>
              <w:t>Interviews</w:t>
            </w:r>
          </w:p>
        </w:tc>
        <w:tc>
          <w:tcPr>
            <w:tcW w:w="1870" w:type="dxa"/>
          </w:tcPr>
          <w:p w14:paraId="7F0CD5E9" w14:textId="77777777" w:rsidR="001A4F36" w:rsidRPr="001D6D33" w:rsidRDefault="001A4F36" w:rsidP="00E60082">
            <w:r>
              <w:t>50</w:t>
            </w:r>
          </w:p>
        </w:tc>
        <w:tc>
          <w:tcPr>
            <w:tcW w:w="1870" w:type="dxa"/>
          </w:tcPr>
          <w:p w14:paraId="2A773751" w14:textId="77777777" w:rsidR="001A4F36" w:rsidRPr="001D6D33" w:rsidRDefault="001A4F36" w:rsidP="00E60082">
            <w:r>
              <w:t>30</w:t>
            </w:r>
          </w:p>
        </w:tc>
        <w:tc>
          <w:tcPr>
            <w:tcW w:w="1870" w:type="dxa"/>
          </w:tcPr>
          <w:p w14:paraId="3A91F904" w14:textId="77777777" w:rsidR="001A4F36" w:rsidRPr="001D6D33" w:rsidRDefault="001A4F36" w:rsidP="00E60082">
            <w:r>
              <w:t>4</w:t>
            </w:r>
          </w:p>
        </w:tc>
        <w:tc>
          <w:tcPr>
            <w:tcW w:w="1870" w:type="dxa"/>
          </w:tcPr>
          <w:p w14:paraId="0D0AD916" w14:textId="77777777" w:rsidR="001A4F36" w:rsidRPr="001D6D33" w:rsidRDefault="001A4F36" w:rsidP="00E60082">
            <w:pPr>
              <w:rPr>
                <w:b/>
              </w:rPr>
            </w:pPr>
            <w:r>
              <w:rPr>
                <w:b/>
              </w:rPr>
              <w:t>100</w:t>
            </w:r>
          </w:p>
        </w:tc>
      </w:tr>
      <w:tr w:rsidR="001A4F36" w14:paraId="6B6AA9FF" w14:textId="77777777" w:rsidTr="00E60082">
        <w:tc>
          <w:tcPr>
            <w:tcW w:w="1870" w:type="dxa"/>
          </w:tcPr>
          <w:p w14:paraId="760356F4" w14:textId="77777777" w:rsidR="001A4F36" w:rsidRDefault="001A4F36" w:rsidP="00E60082">
            <w:pPr>
              <w:rPr>
                <w:b/>
              </w:rPr>
            </w:pPr>
            <w:r>
              <w:rPr>
                <w:b/>
              </w:rPr>
              <w:t>Focus Groups</w:t>
            </w:r>
          </w:p>
        </w:tc>
        <w:tc>
          <w:tcPr>
            <w:tcW w:w="1870" w:type="dxa"/>
          </w:tcPr>
          <w:p w14:paraId="792BC40D" w14:textId="77777777" w:rsidR="001A4F36" w:rsidRPr="001D6D33" w:rsidRDefault="001A4F36" w:rsidP="00E60082">
            <w:r>
              <w:t>45</w:t>
            </w:r>
          </w:p>
        </w:tc>
        <w:tc>
          <w:tcPr>
            <w:tcW w:w="1870" w:type="dxa"/>
          </w:tcPr>
          <w:p w14:paraId="1F0D18D7" w14:textId="77777777" w:rsidR="001A4F36" w:rsidRPr="001D6D33" w:rsidRDefault="001A4F36" w:rsidP="00E60082">
            <w:r>
              <w:t>90</w:t>
            </w:r>
          </w:p>
        </w:tc>
        <w:tc>
          <w:tcPr>
            <w:tcW w:w="1870" w:type="dxa"/>
          </w:tcPr>
          <w:p w14:paraId="547EBC28" w14:textId="77777777" w:rsidR="001A4F36" w:rsidRPr="001D6D33" w:rsidRDefault="001A4F36" w:rsidP="00E60082">
            <w:r>
              <w:t>4</w:t>
            </w:r>
          </w:p>
        </w:tc>
        <w:tc>
          <w:tcPr>
            <w:tcW w:w="1870" w:type="dxa"/>
          </w:tcPr>
          <w:p w14:paraId="1D053262" w14:textId="77777777" w:rsidR="001A4F36" w:rsidRPr="001D6D33" w:rsidRDefault="001A4F36" w:rsidP="00E60082">
            <w:pPr>
              <w:rPr>
                <w:b/>
              </w:rPr>
            </w:pPr>
            <w:r>
              <w:rPr>
                <w:b/>
              </w:rPr>
              <w:t>270</w:t>
            </w:r>
          </w:p>
        </w:tc>
      </w:tr>
    </w:tbl>
    <w:p w14:paraId="76089804" w14:textId="77777777" w:rsidR="001A4F36" w:rsidRDefault="001A4F36" w:rsidP="001A4F36"/>
    <w:p w14:paraId="3C1C2454" w14:textId="10F77737" w:rsidR="001A4F36" w:rsidRPr="001B49EF" w:rsidRDefault="001A4F36" w:rsidP="001A4F36">
      <w:pPr>
        <w:pStyle w:val="NormalWeb"/>
        <w:spacing w:line="288" w:lineRule="atLeast"/>
      </w:pPr>
      <w:r w:rsidRPr="001B49EF">
        <w:t>Based on analysis of strategy and engagement with organizational leadership, the following customer experience research plan</w:t>
      </w:r>
      <w:r>
        <w:t xml:space="preserve"> objectives</w:t>
      </w:r>
      <w:r w:rsidRPr="001B49EF">
        <w:t xml:space="preserve"> are listed in rank order of importance.</w:t>
      </w:r>
    </w:p>
    <w:p w14:paraId="1EAA8C4D" w14:textId="77777777" w:rsidR="001A4F36" w:rsidRPr="001B49EF" w:rsidRDefault="001A4F36" w:rsidP="001A4F36">
      <w:pPr>
        <w:pStyle w:val="NormalWeb"/>
        <w:numPr>
          <w:ilvl w:val="0"/>
          <w:numId w:val="1"/>
        </w:numPr>
        <w:spacing w:line="288" w:lineRule="atLeast"/>
      </w:pPr>
      <w:r w:rsidRPr="001B49EF">
        <w:t>Describe the NGA customer experience.</w:t>
      </w:r>
    </w:p>
    <w:p w14:paraId="0FD51B06" w14:textId="77777777" w:rsidR="001A4F36" w:rsidRPr="001B49EF" w:rsidRDefault="001A4F36" w:rsidP="001A4F36">
      <w:pPr>
        <w:pStyle w:val="NormalWeb"/>
        <w:numPr>
          <w:ilvl w:val="0"/>
          <w:numId w:val="1"/>
        </w:numPr>
        <w:spacing w:line="288" w:lineRule="atLeast"/>
      </w:pPr>
      <w:r w:rsidRPr="001B49EF">
        <w:t>Evaluate the service quality criteria that drive customer expectations.</w:t>
      </w:r>
    </w:p>
    <w:p w14:paraId="7D7A7FBB" w14:textId="77777777" w:rsidR="001A4F36" w:rsidRPr="001B49EF" w:rsidRDefault="001A4F36" w:rsidP="001A4F36">
      <w:pPr>
        <w:pStyle w:val="NormalWeb"/>
        <w:numPr>
          <w:ilvl w:val="0"/>
          <w:numId w:val="1"/>
        </w:numPr>
        <w:spacing w:line="288" w:lineRule="atLeast"/>
      </w:pPr>
      <w:r w:rsidRPr="001B49EF">
        <w:t>Understand the changing role of NGA in a newly-competitive marketplace.</w:t>
      </w:r>
    </w:p>
    <w:p w14:paraId="5F831EDE" w14:textId="77777777" w:rsidR="001A4F36" w:rsidRPr="001B49EF" w:rsidRDefault="001A4F36" w:rsidP="001A4F36">
      <w:pPr>
        <w:pStyle w:val="NormalWeb"/>
        <w:numPr>
          <w:ilvl w:val="0"/>
          <w:numId w:val="1"/>
        </w:numPr>
        <w:spacing w:line="288" w:lineRule="atLeast"/>
      </w:pPr>
      <w:r w:rsidRPr="001B49EF">
        <w:t>Evaluate assured access to and confidence in data, capabilities, and insights.</w:t>
      </w:r>
    </w:p>
    <w:p w14:paraId="44442741" w14:textId="77777777" w:rsidR="001A4F36" w:rsidRPr="001B49EF" w:rsidRDefault="001A4F36" w:rsidP="001A4F36">
      <w:pPr>
        <w:pStyle w:val="NormalWeb"/>
        <w:numPr>
          <w:ilvl w:val="0"/>
          <w:numId w:val="1"/>
        </w:numPr>
        <w:spacing w:line="288" w:lineRule="atLeast"/>
      </w:pPr>
      <w:r w:rsidRPr="001B49EF">
        <w:t>Characterize the key attributes of customer centricity for each network domain.</w:t>
      </w:r>
    </w:p>
    <w:p w14:paraId="05A2C514" w14:textId="77777777" w:rsidR="001A4F36" w:rsidRPr="001B49EF" w:rsidRDefault="001A4F36" w:rsidP="001A4F36">
      <w:pPr>
        <w:pStyle w:val="NormalWeb"/>
        <w:numPr>
          <w:ilvl w:val="0"/>
          <w:numId w:val="1"/>
        </w:numPr>
        <w:spacing w:line="288" w:lineRule="atLeast"/>
      </w:pPr>
      <w:r w:rsidRPr="001B49EF">
        <w:t>Determine how forms, frequency, and purpose of communication foster confidence in NGA products and services.</w:t>
      </w:r>
    </w:p>
    <w:p w14:paraId="506F4949" w14:textId="77777777" w:rsidR="001A4F36" w:rsidRPr="001B49EF" w:rsidRDefault="001A4F36" w:rsidP="001A4F36">
      <w:pPr>
        <w:pStyle w:val="NormalWeb"/>
        <w:numPr>
          <w:ilvl w:val="0"/>
          <w:numId w:val="1"/>
        </w:numPr>
        <w:spacing w:line="288" w:lineRule="atLeast"/>
      </w:pPr>
      <w:r w:rsidRPr="001B49EF">
        <w:t>Describe the customers who work in the open, unclassified world within which NGA must become the premiere geospatial intelligence services provider.</w:t>
      </w:r>
    </w:p>
    <w:p w14:paraId="585B5820" w14:textId="77777777" w:rsidR="001A4F36" w:rsidRPr="001B49EF" w:rsidRDefault="001A4F36" w:rsidP="001A4F36">
      <w:pPr>
        <w:pStyle w:val="NormalWeb"/>
        <w:numPr>
          <w:ilvl w:val="0"/>
          <w:numId w:val="1"/>
        </w:numPr>
        <w:spacing w:line="288" w:lineRule="atLeast"/>
      </w:pPr>
      <w:r w:rsidRPr="001B49EF">
        <w:t>Determine which tools, methodologies and technologies and what infrastructure best posture analytic modernization in the NGA environment.</w:t>
      </w:r>
    </w:p>
    <w:p w14:paraId="43509EF6" w14:textId="77777777" w:rsidR="001A4F36" w:rsidRPr="001B49EF" w:rsidRDefault="001A4F36" w:rsidP="001A4F36">
      <w:pPr>
        <w:pStyle w:val="NormalWeb"/>
        <w:numPr>
          <w:ilvl w:val="0"/>
          <w:numId w:val="1"/>
        </w:numPr>
        <w:spacing w:line="288" w:lineRule="atLeast"/>
      </w:pPr>
      <w:r w:rsidRPr="001B49EF">
        <w:t>Assess the functionality and effectiveness of shared, cloud-based services</w:t>
      </w:r>
    </w:p>
    <w:p w14:paraId="5A434C69" w14:textId="7BF9B28E" w:rsidR="005E0A0F" w:rsidRDefault="005E0A0F" w:rsidP="001A4F36">
      <w:pPr>
        <w:pStyle w:val="NormalWeb"/>
        <w:spacing w:line="288" w:lineRule="atLeast"/>
        <w:ind w:firstLine="1260"/>
      </w:pPr>
    </w:p>
    <w:p w14:paraId="62D73774" w14:textId="77777777" w:rsidR="005E0A0F" w:rsidRDefault="005E0A0F" w:rsidP="005E0A0F">
      <w:pPr>
        <w:pStyle w:val="NormalWeb"/>
        <w:spacing w:line="288" w:lineRule="atLeast"/>
        <w:ind w:firstLine="900"/>
      </w:pPr>
      <w:r>
        <w:t xml:space="preserve">2.  </w:t>
      </w:r>
      <w:r>
        <w:rPr>
          <w:u w:val="single"/>
        </w:rPr>
        <w:t>Procedures for the Collection of Information</w:t>
      </w:r>
    </w:p>
    <w:p w14:paraId="259D0024" w14:textId="2DF92FDA" w:rsidR="001A4F36" w:rsidRDefault="001A4F36" w:rsidP="001A4F36">
      <w:pPr>
        <w:pStyle w:val="NormalWeb"/>
        <w:spacing w:line="288" w:lineRule="atLeast"/>
      </w:pPr>
      <w:r>
        <w:t xml:space="preserve">The respondent population for surveys comes from network accessible authentication records. Survey samples will be drawn using a random stratified sampling procedure. Stratification (based on authentication data) will be according to IC or DoD contract duty membership. Respondents will not incur a burden beyond a single survey per year. Consequently, respondents selected from the sampling population during a previous year’s surveying will be excluded from surveys for a subsequent year. </w:t>
      </w:r>
    </w:p>
    <w:p w14:paraId="4BAD86F3" w14:textId="77777777" w:rsidR="00B51264" w:rsidRDefault="00B51264" w:rsidP="001A4F36">
      <w:pPr>
        <w:pStyle w:val="NormalWeb"/>
        <w:spacing w:line="288" w:lineRule="atLeast"/>
      </w:pPr>
    </w:p>
    <w:p w14:paraId="300A5968" w14:textId="77777777" w:rsidR="005E0A0F" w:rsidRDefault="005E0A0F" w:rsidP="005E0A0F">
      <w:pPr>
        <w:pStyle w:val="NormalWeb"/>
        <w:spacing w:line="288" w:lineRule="atLeast"/>
        <w:ind w:firstLine="900"/>
      </w:pPr>
      <w:r>
        <w:t xml:space="preserve">3.  </w:t>
      </w:r>
      <w:r>
        <w:rPr>
          <w:u w:val="single"/>
        </w:rPr>
        <w:t>Maximization of Response Rates, Non-response, and Reliability</w:t>
      </w:r>
    </w:p>
    <w:p w14:paraId="4CCDAFF5" w14:textId="77777777" w:rsidR="00B51264" w:rsidRDefault="00B51264" w:rsidP="00B51264">
      <w:pPr>
        <w:pStyle w:val="NormalWeb"/>
        <w:spacing w:line="288" w:lineRule="atLeast"/>
      </w:pPr>
      <w:r>
        <w:t>Steps taken to maximize response rate include senior NGA leadership sending an email to respondents prior to a survey, administering surveys at times of the year not impacted by holiday and vacation schedules, designing surveys that are brief and use simple and clear language to minimize respondent fatigue. Furthermore, the introductory email to the survey will explain the importance of receiving feedback in order to make the respondent’s user experience better.</w:t>
      </w:r>
    </w:p>
    <w:p w14:paraId="3D8AB6CB" w14:textId="163507C3" w:rsidR="006F3F40" w:rsidRDefault="00B51264" w:rsidP="00B51264">
      <w:pPr>
        <w:pStyle w:val="NormalWeb"/>
        <w:spacing w:line="288" w:lineRule="atLeast"/>
      </w:pPr>
      <w:r>
        <w:t>Nonresponse analysis will be conducted to test for validity. Responders will be compared with the total population and non-responders on demographic characteristics. Furthermore, early responders will be compared with late responders by using late responders as a surrogate for non-responders.</w:t>
      </w:r>
    </w:p>
    <w:p w14:paraId="0B778A33" w14:textId="77777777" w:rsidR="00B51264" w:rsidRDefault="00B51264" w:rsidP="00B51264">
      <w:pPr>
        <w:pStyle w:val="NormalWeb"/>
        <w:spacing w:line="288" w:lineRule="atLeast"/>
      </w:pPr>
    </w:p>
    <w:p w14:paraId="0D9367C9" w14:textId="77777777" w:rsidR="005E0A0F" w:rsidRDefault="005E0A0F" w:rsidP="005E0A0F">
      <w:pPr>
        <w:pStyle w:val="NormalWeb"/>
        <w:spacing w:line="288" w:lineRule="atLeast"/>
        <w:ind w:firstLine="900"/>
      </w:pPr>
      <w:r>
        <w:t xml:space="preserve">4.  </w:t>
      </w:r>
      <w:r>
        <w:rPr>
          <w:u w:val="single"/>
        </w:rPr>
        <w:t>Tests of Procedures</w:t>
      </w:r>
    </w:p>
    <w:p w14:paraId="3129C573" w14:textId="77777777" w:rsidR="00B51264" w:rsidRDefault="00B51264" w:rsidP="00B51264">
      <w:r>
        <w:t>It will be verified that resulting data matches expectation and intention. To this end, surveys will be pretested on an appropriate sized sample to ensure clarity of the questions and intended analyses of results. Questions used during interviews and focus groups will also be pretested using nine or fewer respondents from the sample population.</w:t>
      </w:r>
    </w:p>
    <w:p w14:paraId="2964A587" w14:textId="77777777" w:rsidR="00A93CBF" w:rsidRDefault="00A93CBF" w:rsidP="005E0A0F">
      <w:pPr>
        <w:pStyle w:val="NormalWeb"/>
        <w:spacing w:line="288" w:lineRule="atLeast"/>
        <w:ind w:firstLine="1260"/>
      </w:pPr>
    </w:p>
    <w:p w14:paraId="152EE8F6" w14:textId="77777777" w:rsidR="005E0A0F" w:rsidRDefault="005E0A0F" w:rsidP="005E0A0F">
      <w:pPr>
        <w:pStyle w:val="NormalWeb"/>
        <w:spacing w:line="288" w:lineRule="atLeast"/>
        <w:ind w:firstLine="900"/>
      </w:pPr>
      <w:r>
        <w:t xml:space="preserve">5.  </w:t>
      </w:r>
      <w:r>
        <w:rPr>
          <w:u w:val="single"/>
        </w:rPr>
        <w:t>Statistical Consultation and Information Analysis</w:t>
      </w:r>
    </w:p>
    <w:p w14:paraId="43ABF2B1" w14:textId="6AFC7538" w:rsidR="00F434B6" w:rsidRDefault="00B51264" w:rsidP="00B51264">
      <w:pPr>
        <w:pStyle w:val="NormalWeb"/>
        <w:spacing w:line="288" w:lineRule="atLeast"/>
      </w:pPr>
      <w:r>
        <w:t>The following individuals were consulted regarding aspects of the study design: Mr. Frederik Licari, WHS, (571) 372-</w:t>
      </w:r>
      <w:r w:rsidRPr="003560A4">
        <w:t>0493</w:t>
      </w:r>
      <w:r>
        <w:t>; Mr. Ian Armstrong, WHS, (571) 372-</w:t>
      </w:r>
      <w:r w:rsidRPr="003560A4">
        <w:t>7677</w:t>
      </w:r>
      <w:r>
        <w:t>; Mr. Karl Pabst, WHS, (571) 372-</w:t>
      </w:r>
      <w:r w:rsidRPr="003560A4">
        <w:t>4527</w:t>
      </w:r>
      <w:r>
        <w:t xml:space="preserve">; </w:t>
      </w:r>
      <w:r w:rsidR="00AE371A" w:rsidRPr="00AE371A">
        <w:t xml:space="preserve"> Dr. Paul Rosenfeld, Office of People Analytics, Defense Human Resources Agency, DOD, 571-372-0987, paul.rosenfeld.civ.@mail.mil</w:t>
      </w:r>
    </w:p>
    <w:p w14:paraId="368A5B86" w14:textId="6EC99CC5" w:rsidR="00F1447C" w:rsidRDefault="00B51264" w:rsidP="00B51264">
      <w:pPr>
        <w:pStyle w:val="NormalWeb"/>
        <w:spacing w:line="288" w:lineRule="atLeast"/>
      </w:pPr>
      <w:r>
        <w:t>The person</w:t>
      </w:r>
      <w:r w:rsidR="005E0A0F">
        <w:t xml:space="preserve"> who will collect and an</w:t>
      </w:r>
      <w:r>
        <w:t>alyze the collected information include:</w:t>
      </w:r>
    </w:p>
    <w:p w14:paraId="261B15A3" w14:textId="77777777" w:rsidR="00B51264" w:rsidRDefault="00B51264" w:rsidP="00B51264">
      <w:pPr>
        <w:pStyle w:val="BodyText"/>
        <w:ind w:right="3240"/>
      </w:pPr>
      <w:r>
        <w:t>Jennifer Wright, Ph.D. Program Manager</w:t>
      </w:r>
    </w:p>
    <w:p w14:paraId="7819D4CB" w14:textId="77777777" w:rsidR="00B51264" w:rsidRDefault="00B51264" w:rsidP="00B51264">
      <w:pPr>
        <w:pStyle w:val="BodyText"/>
        <w:tabs>
          <w:tab w:val="left" w:pos="5940"/>
        </w:tabs>
        <w:spacing w:before="3" w:line="276" w:lineRule="exact"/>
        <w:ind w:right="-1080"/>
      </w:pPr>
      <w:r>
        <w:t>National Geospatial Intelligence Agency, 3200 South 2</w:t>
      </w:r>
      <w:r>
        <w:rPr>
          <w:position w:val="9"/>
          <w:sz w:val="16"/>
        </w:rPr>
        <w:t xml:space="preserve">nd </w:t>
      </w:r>
      <w:r>
        <w:t xml:space="preserve">Street, St. Louis, MO </w:t>
      </w:r>
    </w:p>
    <w:p w14:paraId="120573FF" w14:textId="77777777" w:rsidR="00B51264" w:rsidRDefault="00B51264" w:rsidP="00B51264">
      <w:pPr>
        <w:pStyle w:val="BodyText"/>
        <w:tabs>
          <w:tab w:val="left" w:pos="5940"/>
        </w:tabs>
        <w:spacing w:before="3" w:line="276" w:lineRule="exact"/>
        <w:ind w:right="-1080"/>
      </w:pPr>
      <w:r>
        <w:t>Secure: 577-7171</w:t>
      </w:r>
    </w:p>
    <w:p w14:paraId="763FC80A" w14:textId="3ECB5623" w:rsidR="00B51264" w:rsidRDefault="00B51264" w:rsidP="00B51264">
      <w:pPr>
        <w:pStyle w:val="BodyText"/>
        <w:ind w:right="262"/>
      </w:pPr>
      <w:r>
        <w:t>Unclassified: 314-676-1312</w:t>
      </w:r>
    </w:p>
    <w:p w14:paraId="19B44433" w14:textId="77777777" w:rsidR="00B51264" w:rsidRDefault="00B51264" w:rsidP="00B51264">
      <w:pPr>
        <w:pStyle w:val="BodyText"/>
        <w:ind w:right="262"/>
      </w:pPr>
    </w:p>
    <w:p w14:paraId="530E3FE1" w14:textId="77777777" w:rsidR="00B51264" w:rsidRDefault="00B51264" w:rsidP="00B51264">
      <w:pPr>
        <w:pStyle w:val="BodyText"/>
        <w:spacing w:after="240"/>
        <w:ind w:right="262"/>
      </w:pPr>
      <w:r>
        <w:t>Support personnel include:</w:t>
      </w:r>
    </w:p>
    <w:p w14:paraId="64B57181" w14:textId="77777777" w:rsidR="00B51264" w:rsidRDefault="00B51264" w:rsidP="00B51264">
      <w:pPr>
        <w:pStyle w:val="NormalWeb"/>
        <w:numPr>
          <w:ilvl w:val="0"/>
          <w:numId w:val="3"/>
        </w:numPr>
        <w:spacing w:before="0" w:beforeAutospacing="0" w:line="288" w:lineRule="atLeast"/>
        <w:ind w:left="540"/>
      </w:pPr>
      <w:r>
        <w:t>Marcus Griffin, Ph.D. NGA/HDIAC</w:t>
      </w:r>
    </w:p>
    <w:p w14:paraId="1FD048BE" w14:textId="77777777" w:rsidR="00B51264" w:rsidRDefault="00B51264" w:rsidP="00B51264">
      <w:pPr>
        <w:pStyle w:val="NormalWeb"/>
        <w:numPr>
          <w:ilvl w:val="0"/>
          <w:numId w:val="3"/>
        </w:numPr>
        <w:spacing w:line="288" w:lineRule="atLeast"/>
        <w:ind w:left="540"/>
      </w:pPr>
      <w:r>
        <w:t>Lowry Taylor, Ph.D. NGA/HDIAC</w:t>
      </w:r>
    </w:p>
    <w:p w14:paraId="14836390" w14:textId="77777777" w:rsidR="00B51264" w:rsidRDefault="00B51264" w:rsidP="00B51264">
      <w:pPr>
        <w:pStyle w:val="NormalWeb"/>
        <w:numPr>
          <w:ilvl w:val="0"/>
          <w:numId w:val="3"/>
        </w:numPr>
        <w:spacing w:line="288" w:lineRule="atLeast"/>
        <w:ind w:left="540"/>
      </w:pPr>
      <w:r>
        <w:t>Mr. Nolan Wohl, NGA/HDIAC</w:t>
      </w:r>
    </w:p>
    <w:p w14:paraId="0F8F4A2E" w14:textId="77777777" w:rsidR="00B51264" w:rsidRDefault="00B51264" w:rsidP="00B51264">
      <w:pPr>
        <w:pStyle w:val="NormalWeb"/>
        <w:numPr>
          <w:ilvl w:val="0"/>
          <w:numId w:val="3"/>
        </w:numPr>
        <w:spacing w:line="288" w:lineRule="atLeast"/>
        <w:ind w:left="540"/>
      </w:pPr>
      <w:r>
        <w:t>Mr. Nicholas Arner, NGA/HDIAC</w:t>
      </w:r>
    </w:p>
    <w:p w14:paraId="071D8967" w14:textId="77777777" w:rsidR="00B51264" w:rsidRDefault="00B51264" w:rsidP="00B51264">
      <w:pPr>
        <w:pStyle w:val="NormalWeb"/>
        <w:numPr>
          <w:ilvl w:val="0"/>
          <w:numId w:val="3"/>
        </w:numPr>
        <w:spacing w:line="288" w:lineRule="atLeast"/>
        <w:ind w:left="540"/>
      </w:pPr>
      <w:r>
        <w:t>Mr. Mark Dawson, NGA/HDIAC</w:t>
      </w:r>
    </w:p>
    <w:p w14:paraId="7331F309" w14:textId="6ADAD472" w:rsidR="00B51264" w:rsidRPr="00F92085" w:rsidRDefault="00B51264" w:rsidP="00B51264">
      <w:pPr>
        <w:pStyle w:val="NormalWeb"/>
        <w:numPr>
          <w:ilvl w:val="0"/>
          <w:numId w:val="3"/>
        </w:numPr>
        <w:spacing w:line="288" w:lineRule="atLeast"/>
        <w:ind w:left="540"/>
      </w:pPr>
      <w:r>
        <w:t>Dr. Robert Robellino, NGA</w:t>
      </w:r>
    </w:p>
    <w:sectPr w:rsidR="00B51264" w:rsidRPr="00F92085" w:rsidSect="00D437B6">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01484" w14:textId="77777777" w:rsidR="00E60082" w:rsidRDefault="00E60082" w:rsidP="00977A74">
      <w:r>
        <w:separator/>
      </w:r>
    </w:p>
  </w:endnote>
  <w:endnote w:type="continuationSeparator" w:id="0">
    <w:p w14:paraId="62FF02F7" w14:textId="77777777" w:rsidR="00E60082" w:rsidRDefault="00E60082"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35D07" w14:textId="72454F30" w:rsidR="00E60082" w:rsidRDefault="00E60082">
    <w:pPr>
      <w:pStyle w:val="Footer"/>
      <w:jc w:val="center"/>
    </w:pPr>
    <w:r>
      <w:fldChar w:fldCharType="begin"/>
    </w:r>
    <w:r>
      <w:instrText xml:space="preserve"> PAGE   \* MERGEFORMAT </w:instrText>
    </w:r>
    <w:r>
      <w:fldChar w:fldCharType="separate"/>
    </w:r>
    <w:r w:rsidR="00215FF8">
      <w:rPr>
        <w:noProof/>
      </w:rPr>
      <w:t>2</w:t>
    </w:r>
    <w:r>
      <w:fldChar w:fldCharType="end"/>
    </w:r>
  </w:p>
  <w:p w14:paraId="55E797BF" w14:textId="77777777" w:rsidR="00E60082" w:rsidRPr="00D437B6" w:rsidRDefault="00E60082">
    <w:pPr>
      <w:pStyle w:val="Footer"/>
      <w:rPr>
        <w:rFonts w:ascii="Courier" w:hAnsi="Couri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306EB" w14:textId="77777777" w:rsidR="00E60082" w:rsidRDefault="00E60082" w:rsidP="00D437B6">
    <w:pPr>
      <w:pStyle w:val="Footer"/>
      <w:jc w:val="center"/>
    </w:pPr>
    <w:r>
      <w:fldChar w:fldCharType="begin"/>
    </w:r>
    <w:r>
      <w:instrText xml:space="preserve"> PAGE   \* MERGEFORMAT </w:instrText>
    </w:r>
    <w:r>
      <w:fldChar w:fldCharType="separate"/>
    </w:r>
    <w:r w:rsidR="00215FF8">
      <w:rPr>
        <w:noProof/>
      </w:rPr>
      <w:t>1</w:t>
    </w:r>
    <w:r>
      <w:fldChar w:fldCharType="end"/>
    </w:r>
  </w:p>
  <w:p w14:paraId="2508F265" w14:textId="77777777" w:rsidR="00E60082" w:rsidRPr="00D437B6" w:rsidRDefault="00E60082">
    <w:pPr>
      <w:pStyle w:val="Footer"/>
      <w:rPr>
        <w:rFonts w:ascii="Courier" w:hAnsi="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5FABE" w14:textId="77777777" w:rsidR="00E60082" w:rsidRDefault="00E60082" w:rsidP="00977A74">
      <w:r>
        <w:separator/>
      </w:r>
    </w:p>
  </w:footnote>
  <w:footnote w:type="continuationSeparator" w:id="0">
    <w:p w14:paraId="39A17D6C" w14:textId="77777777" w:rsidR="00E60082" w:rsidRDefault="00E60082" w:rsidP="00977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E0EF5" w14:textId="565DDD66" w:rsidR="00E60082" w:rsidRDefault="00E60082" w:rsidP="00D437B6">
    <w:pPr>
      <w:pStyle w:val="Header"/>
    </w:pPr>
  </w:p>
  <w:p w14:paraId="1F25A969" w14:textId="77777777" w:rsidR="00E60082" w:rsidRDefault="00E60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092E"/>
    <w:multiLevelType w:val="hybridMultilevel"/>
    <w:tmpl w:val="AEA6A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98307C"/>
    <w:multiLevelType w:val="hybridMultilevel"/>
    <w:tmpl w:val="71181DAA"/>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
    <w:nsid w:val="600D0DA3"/>
    <w:multiLevelType w:val="hybridMultilevel"/>
    <w:tmpl w:val="A39E617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11279F"/>
    <w:rsid w:val="001A4F36"/>
    <w:rsid w:val="00215FF8"/>
    <w:rsid w:val="0030008B"/>
    <w:rsid w:val="005234ED"/>
    <w:rsid w:val="005E0A0F"/>
    <w:rsid w:val="006B2B17"/>
    <w:rsid w:val="006F3F40"/>
    <w:rsid w:val="009632D0"/>
    <w:rsid w:val="00977A74"/>
    <w:rsid w:val="009F0B30"/>
    <w:rsid w:val="009F28DB"/>
    <w:rsid w:val="00A93CBF"/>
    <w:rsid w:val="00AC77F0"/>
    <w:rsid w:val="00AE371A"/>
    <w:rsid w:val="00B51264"/>
    <w:rsid w:val="00C34D08"/>
    <w:rsid w:val="00C53FA6"/>
    <w:rsid w:val="00C66D8C"/>
    <w:rsid w:val="00D43392"/>
    <w:rsid w:val="00D437B6"/>
    <w:rsid w:val="00D46148"/>
    <w:rsid w:val="00D6105A"/>
    <w:rsid w:val="00E60082"/>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table" w:styleId="TableGrid">
    <w:name w:val="Table Grid"/>
    <w:basedOn w:val="TableNormal"/>
    <w:uiPriority w:val="59"/>
    <w:rsid w:val="001A4F3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1264"/>
    <w:pPr>
      <w:widowControl w:val="0"/>
    </w:pPr>
  </w:style>
  <w:style w:type="character" w:customStyle="1" w:styleId="BodyTextChar">
    <w:name w:val="Body Text Char"/>
    <w:basedOn w:val="DefaultParagraphFont"/>
    <w:link w:val="BodyText"/>
    <w:uiPriority w:val="1"/>
    <w:rsid w:val="00B5126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23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4E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table" w:styleId="TableGrid">
    <w:name w:val="Table Grid"/>
    <w:basedOn w:val="TableNormal"/>
    <w:uiPriority w:val="59"/>
    <w:rsid w:val="001A4F3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1264"/>
    <w:pPr>
      <w:widowControl w:val="0"/>
    </w:pPr>
  </w:style>
  <w:style w:type="character" w:customStyle="1" w:styleId="BodyTextChar">
    <w:name w:val="Body Text Char"/>
    <w:basedOn w:val="DefaultParagraphFont"/>
    <w:link w:val="BodyText"/>
    <w:uiPriority w:val="1"/>
    <w:rsid w:val="00B5126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23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4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lass:Classification xmlns:class="urn:us:gov:cia:enterprise:schema:Classification:2.3" dateClassified="2016-12-07" portionMarking="false" caveat="false" tool="AACG" toolVersion="201620">
  <class:ClassificationMarking type="USClassificationMarking" value="UNCLASSIFIED"/>
  <class:ClassifiedBy>1092314-0</class:ClassifiedBy>
  <class:ClassificationHeader>
    <class:ClassificationBanner>UNCLASSIFIED</class:ClassificationBanner>
    <class:SCICaveat/>
    <class:DescriptiveMarkings/>
  </class:ClassificationHeader>
  <class:ClassificationFooter>
    <class:DescriptiveMarkings/>
    <class:ClassificationBanner>UNCLASSIFIED</class:ClassificationBanner>
  </class:ClassificationFooter>
</class:Classification>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TH3QXZ4CCXAT-18-1700</_dlc_DocId>
    <_dlc_DocIdUrl xmlns="4f06cbb4-5319-44a1-b73c-03442379dfaa">
      <Url>https://eitsdext.osd.mil/sites/dodiic/_layouts/DocIdRedir.aspx?ID=TH3QXZ4CCXAT-18-1700</Url>
      <Description>TH3QXZ4CCXAT-18-1700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B1D4E-3892-4C5B-AE15-6DB998EF616F}">
  <ds:schemaRefs>
    <ds:schemaRef ds:uri="urn:us:gov:cia:enterprise:schema:Classification:2.3"/>
  </ds:schemaRefs>
</ds:datastoreItem>
</file>

<file path=customXml/itemProps2.xml><?xml version="1.0" encoding="utf-8"?>
<ds:datastoreItem xmlns:ds="http://schemas.openxmlformats.org/officeDocument/2006/customXml" ds:itemID="{2431DEEC-2DE4-47C3-82CD-D50CE11B3256}">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C7FEF3B0-F8ED-4A52-8680-C7D4DB370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89252-2A1B-498E-9F45-62AFAA7B3544}">
  <ds:schemaRefs>
    <ds:schemaRef ds:uri="http://schemas.microsoft.com/sharepoint/events"/>
  </ds:schemaRefs>
</ds:datastoreItem>
</file>

<file path=customXml/itemProps5.xml><?xml version="1.0" encoding="utf-8"?>
<ds:datastoreItem xmlns:ds="http://schemas.openxmlformats.org/officeDocument/2006/customXml" ds:itemID="{74528EC5-479F-407D-80BE-59E9D3750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SYSTEM</cp:lastModifiedBy>
  <cp:revision>2</cp:revision>
  <cp:lastPrinted>2013-01-25T19:13:00Z</cp:lastPrinted>
  <dcterms:created xsi:type="dcterms:W3CDTF">2017-07-26T13:43:00Z</dcterms:created>
  <dcterms:modified xsi:type="dcterms:W3CDTF">2017-07-26T13:43:00Z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AACG_NonInt_Other">
    <vt:lpwstr/>
  </property>
  <property fmtid="{D5CDD505-2E9C-101B-9397-08002B2CF9AE}" pid="15" name="PortionWaiver">
    <vt:lpwstr/>
  </property>
  <property fmtid="{D5CDD505-2E9C-101B-9397-08002B2CF9AE}" pid="16" name="AACG_OrconOriginator">
    <vt:lpwstr/>
  </property>
  <property fmtid="{D5CDD505-2E9C-101B-9397-08002B2CF9AE}" pid="17" name="AACG_OrconRecipients">
    <vt:lpwstr/>
  </property>
  <property fmtid="{D5CDD505-2E9C-101B-9397-08002B2CF9AE}" pid="18" name="AACG_CustomClassXMLPart">
    <vt:lpwstr>{182B1D4E-3892-4C5B-AE15-6DB998EF616F}</vt:lpwstr>
  </property>
  <property fmtid="{D5CDD505-2E9C-101B-9397-08002B2CF9AE}" pid="19" name="ContentTypeId">
    <vt:lpwstr>0x01010059DA7296EEFF0B44B6E9065A57269559</vt:lpwstr>
  </property>
  <property fmtid="{D5CDD505-2E9C-101B-9397-08002B2CF9AE}" pid="20" name="_dlc_DocIdItemGuid">
    <vt:lpwstr>b62508b2-9617-4cfa-9416-8408fc3e4c5c</vt:lpwstr>
  </property>
</Properties>
</file>