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73A88" w14:textId="70AC612C" w:rsidR="00FE68DE" w:rsidRPr="005B0987" w:rsidRDefault="00FE68DE" w:rsidP="00997CBB">
      <w:pPr>
        <w:pStyle w:val="Title"/>
        <w:rPr>
          <w:sz w:val="22"/>
          <w:szCs w:val="22"/>
        </w:rPr>
      </w:pPr>
      <w:r w:rsidRPr="000A674B">
        <w:rPr>
          <w:sz w:val="22"/>
          <w:szCs w:val="22"/>
        </w:rPr>
        <w:t>Supporting Statement</w:t>
      </w:r>
      <w:r w:rsidR="00984D5D" w:rsidRPr="000A674B">
        <w:rPr>
          <w:sz w:val="22"/>
          <w:szCs w:val="22"/>
        </w:rPr>
        <w:t xml:space="preserve"> A:</w:t>
      </w:r>
      <w:r w:rsidR="00FF06FF" w:rsidRPr="000A674B">
        <w:rPr>
          <w:sz w:val="22"/>
          <w:szCs w:val="22"/>
        </w:rPr>
        <w:t xml:space="preserve"> </w:t>
      </w:r>
      <w:r w:rsidR="00984D5D" w:rsidRPr="000A674B">
        <w:rPr>
          <w:sz w:val="22"/>
          <w:szCs w:val="22"/>
        </w:rPr>
        <w:t xml:space="preserve">Annual Arts </w:t>
      </w:r>
      <w:r w:rsidR="00A26287" w:rsidRPr="000A674B">
        <w:rPr>
          <w:sz w:val="22"/>
          <w:szCs w:val="22"/>
        </w:rPr>
        <w:t xml:space="preserve">Basic </w:t>
      </w:r>
      <w:r w:rsidR="00984D5D" w:rsidRPr="000A674B">
        <w:rPr>
          <w:sz w:val="22"/>
          <w:szCs w:val="22"/>
        </w:rPr>
        <w:t>Survey</w:t>
      </w:r>
    </w:p>
    <w:p w14:paraId="093D55B7" w14:textId="77777777" w:rsidR="007361FE" w:rsidRPr="005B0987" w:rsidRDefault="007361FE" w:rsidP="002F3560">
      <w:pPr>
        <w:rPr>
          <w:sz w:val="22"/>
          <w:szCs w:val="22"/>
        </w:rPr>
      </w:pPr>
    </w:p>
    <w:p w14:paraId="110E0CF3" w14:textId="0184C7BE" w:rsidR="007361FE" w:rsidRPr="00150985" w:rsidRDefault="007361FE" w:rsidP="002F3560">
      <w:pPr>
        <w:pStyle w:val="Subtitle"/>
        <w:rPr>
          <w:sz w:val="22"/>
          <w:szCs w:val="22"/>
        </w:rPr>
      </w:pPr>
      <w:r w:rsidRPr="00150985">
        <w:rPr>
          <w:sz w:val="22"/>
          <w:szCs w:val="22"/>
        </w:rPr>
        <w:t>Introduction</w:t>
      </w:r>
    </w:p>
    <w:p w14:paraId="631373FB" w14:textId="77777777" w:rsidR="0081649B" w:rsidRPr="00C3497F" w:rsidRDefault="0081649B" w:rsidP="002F3560">
      <w:pPr>
        <w:rPr>
          <w:sz w:val="22"/>
          <w:szCs w:val="22"/>
        </w:rPr>
      </w:pPr>
    </w:p>
    <w:p w14:paraId="529434C3" w14:textId="787A10D1" w:rsidR="00F07C8E" w:rsidRPr="005B0987" w:rsidRDefault="0081649B" w:rsidP="002F3560">
      <w:pPr>
        <w:rPr>
          <w:sz w:val="22"/>
          <w:szCs w:val="22"/>
        </w:rPr>
      </w:pPr>
      <w:r w:rsidRPr="008205D4">
        <w:rPr>
          <w:sz w:val="22"/>
          <w:szCs w:val="22"/>
        </w:rPr>
        <w:t xml:space="preserve">This request is for clearance </w:t>
      </w:r>
      <w:r w:rsidR="00EC1989" w:rsidRPr="008205D4">
        <w:rPr>
          <w:sz w:val="22"/>
          <w:szCs w:val="22"/>
        </w:rPr>
        <w:t xml:space="preserve">to conduct </w:t>
      </w:r>
      <w:r w:rsidR="00EC4C22" w:rsidRPr="005B0987">
        <w:rPr>
          <w:sz w:val="22"/>
          <w:szCs w:val="22"/>
        </w:rPr>
        <w:t>the 201</w:t>
      </w:r>
      <w:r w:rsidR="00A26287" w:rsidRPr="005B0987">
        <w:rPr>
          <w:sz w:val="22"/>
          <w:szCs w:val="22"/>
        </w:rPr>
        <w:t>8</w:t>
      </w:r>
      <w:r w:rsidR="00EC4C22" w:rsidRPr="005B0987">
        <w:rPr>
          <w:sz w:val="22"/>
          <w:szCs w:val="22"/>
        </w:rPr>
        <w:t xml:space="preserve"> and 201</w:t>
      </w:r>
      <w:r w:rsidR="00A26287" w:rsidRPr="005B0987">
        <w:rPr>
          <w:sz w:val="22"/>
          <w:szCs w:val="22"/>
        </w:rPr>
        <w:t>9</w:t>
      </w:r>
      <w:r w:rsidR="00EC4C22" w:rsidRPr="005B0987">
        <w:rPr>
          <w:sz w:val="22"/>
          <w:szCs w:val="22"/>
        </w:rPr>
        <w:t xml:space="preserve"> Annual Arts </w:t>
      </w:r>
      <w:r w:rsidR="00A26287" w:rsidRPr="005B0987">
        <w:rPr>
          <w:sz w:val="22"/>
          <w:szCs w:val="22"/>
        </w:rPr>
        <w:t xml:space="preserve">Basic </w:t>
      </w:r>
      <w:r w:rsidR="009201B2">
        <w:rPr>
          <w:sz w:val="22"/>
          <w:szCs w:val="22"/>
        </w:rPr>
        <w:t>Survey</w:t>
      </w:r>
      <w:r w:rsidR="00EC4C22" w:rsidRPr="005B0987">
        <w:rPr>
          <w:sz w:val="22"/>
          <w:szCs w:val="22"/>
        </w:rPr>
        <w:t xml:space="preserve"> (AABS)</w:t>
      </w:r>
      <w:r w:rsidR="00A26287" w:rsidRPr="005B0987">
        <w:rPr>
          <w:sz w:val="22"/>
          <w:szCs w:val="22"/>
        </w:rPr>
        <w:t xml:space="preserve"> (formally titled Annual Arts Benchmarking Survey)</w:t>
      </w:r>
      <w:r w:rsidR="009201B2">
        <w:rPr>
          <w:sz w:val="22"/>
          <w:szCs w:val="22"/>
        </w:rPr>
        <w:t>. This survey</w:t>
      </w:r>
      <w:r w:rsidR="00EC4C22" w:rsidRPr="005B0987">
        <w:rPr>
          <w:sz w:val="22"/>
          <w:szCs w:val="22"/>
        </w:rPr>
        <w:t xml:space="preserve"> will be conducted by the U.S. Census Bureau as a supplement to the Bureau of Labor Statistic’s Current Population Survey. The AABS will be conducted in February 201</w:t>
      </w:r>
      <w:r w:rsidR="00A26287" w:rsidRPr="005B0987">
        <w:rPr>
          <w:sz w:val="22"/>
          <w:szCs w:val="22"/>
        </w:rPr>
        <w:t>8</w:t>
      </w:r>
      <w:r w:rsidR="00EC4C22" w:rsidRPr="005B0987">
        <w:rPr>
          <w:sz w:val="22"/>
          <w:szCs w:val="22"/>
        </w:rPr>
        <w:t xml:space="preserve"> and February 201</w:t>
      </w:r>
      <w:r w:rsidR="00A26287" w:rsidRPr="005B0987">
        <w:rPr>
          <w:sz w:val="22"/>
          <w:szCs w:val="22"/>
        </w:rPr>
        <w:t>9</w:t>
      </w:r>
      <w:r w:rsidR="00EC4C22" w:rsidRPr="005B0987">
        <w:rPr>
          <w:sz w:val="22"/>
          <w:szCs w:val="22"/>
        </w:rPr>
        <w:t xml:space="preserve"> and </w:t>
      </w:r>
      <w:r w:rsidR="009201B2">
        <w:rPr>
          <w:sz w:val="22"/>
          <w:szCs w:val="22"/>
        </w:rPr>
        <w:t>is</w:t>
      </w:r>
      <w:r w:rsidR="00EC4C22" w:rsidRPr="005B0987">
        <w:rPr>
          <w:sz w:val="22"/>
          <w:szCs w:val="22"/>
        </w:rPr>
        <w:t xml:space="preserve"> expected to </w:t>
      </w:r>
      <w:r w:rsidR="00E21E5E" w:rsidRPr="005B0987">
        <w:rPr>
          <w:sz w:val="22"/>
          <w:szCs w:val="22"/>
        </w:rPr>
        <w:t xml:space="preserve">be </w:t>
      </w:r>
      <w:r w:rsidR="00EC4C22" w:rsidRPr="005B0987">
        <w:rPr>
          <w:sz w:val="22"/>
          <w:szCs w:val="22"/>
        </w:rPr>
        <w:t xml:space="preserve">conducted annually thereafter in years that the National Endowment for the Arts’ (NEA) Survey of Public Participation in the Arts (SPPA) is not conducted. </w:t>
      </w:r>
      <w:r w:rsidR="009201B2">
        <w:rPr>
          <w:sz w:val="22"/>
          <w:szCs w:val="22"/>
        </w:rPr>
        <w:t xml:space="preserve">To date, the AABS has been conducted annually from 2013 to 2016. </w:t>
      </w:r>
      <w:r w:rsidR="00EC4C22" w:rsidRPr="005B0987">
        <w:rPr>
          <w:sz w:val="22"/>
          <w:szCs w:val="22"/>
        </w:rPr>
        <w:t xml:space="preserve">One of the strengths of the AABS is that </w:t>
      </w:r>
      <w:r w:rsidR="009201B2">
        <w:rPr>
          <w:sz w:val="22"/>
          <w:szCs w:val="22"/>
        </w:rPr>
        <w:t>it</w:t>
      </w:r>
      <w:r w:rsidR="00EC4C22" w:rsidRPr="005B0987">
        <w:rPr>
          <w:sz w:val="22"/>
          <w:szCs w:val="22"/>
        </w:rPr>
        <w:t xml:space="preserve"> will complement and supplement the information collected in the SPPA.</w:t>
      </w:r>
      <w:r w:rsidR="00FF06FF" w:rsidRPr="005B0987">
        <w:rPr>
          <w:sz w:val="22"/>
          <w:szCs w:val="22"/>
        </w:rPr>
        <w:t xml:space="preserve"> </w:t>
      </w:r>
      <w:r w:rsidR="00EC4C22" w:rsidRPr="005B0987">
        <w:rPr>
          <w:sz w:val="22"/>
          <w:szCs w:val="22"/>
        </w:rPr>
        <w:t xml:space="preserve">The SPPA is the field’s premiere repeated cross-sectional survey of individual attendance and involvement in arts and cultural </w:t>
      </w:r>
      <w:r w:rsidR="000A674B">
        <w:rPr>
          <w:sz w:val="22"/>
          <w:szCs w:val="22"/>
        </w:rPr>
        <w:t>activities</w:t>
      </w:r>
      <w:r w:rsidR="00EC4C22" w:rsidRPr="005B0987">
        <w:rPr>
          <w:sz w:val="22"/>
          <w:szCs w:val="22"/>
        </w:rPr>
        <w:t xml:space="preserve">, and is conducted approximately every five years. The AABS </w:t>
      </w:r>
      <w:r w:rsidR="009201B2">
        <w:rPr>
          <w:sz w:val="22"/>
          <w:szCs w:val="22"/>
        </w:rPr>
        <w:t>is</w:t>
      </w:r>
      <w:r w:rsidR="00EC4C22" w:rsidRPr="005B0987">
        <w:rPr>
          <w:sz w:val="22"/>
          <w:szCs w:val="22"/>
        </w:rPr>
        <w:t xml:space="preserve"> much shorter than the SPPA, consisting of 1</w:t>
      </w:r>
      <w:r w:rsidR="00997CBB" w:rsidRPr="005B0987">
        <w:rPr>
          <w:sz w:val="22"/>
          <w:szCs w:val="22"/>
        </w:rPr>
        <w:t>2</w:t>
      </w:r>
      <w:r w:rsidR="00EC4C22" w:rsidRPr="005B0987">
        <w:rPr>
          <w:sz w:val="22"/>
          <w:szCs w:val="22"/>
        </w:rPr>
        <w:t xml:space="preserve"> to 1</w:t>
      </w:r>
      <w:r w:rsidR="00A26287" w:rsidRPr="005B0987">
        <w:rPr>
          <w:sz w:val="22"/>
          <w:szCs w:val="22"/>
        </w:rPr>
        <w:t>4</w:t>
      </w:r>
      <w:r w:rsidR="00EC4C22" w:rsidRPr="005B0987">
        <w:rPr>
          <w:sz w:val="22"/>
          <w:szCs w:val="22"/>
        </w:rPr>
        <w:t xml:space="preserve"> questions that will be used to track arts participation over time.</w:t>
      </w:r>
      <w:r w:rsidR="00FF06FF" w:rsidRPr="005B0987">
        <w:rPr>
          <w:sz w:val="22"/>
          <w:szCs w:val="22"/>
        </w:rPr>
        <w:t xml:space="preserve"> </w:t>
      </w:r>
    </w:p>
    <w:p w14:paraId="48D0155C" w14:textId="77777777" w:rsidR="00F07C8E" w:rsidRPr="005B0987" w:rsidRDefault="00F07C8E" w:rsidP="002F3560">
      <w:pPr>
        <w:rPr>
          <w:sz w:val="22"/>
          <w:szCs w:val="22"/>
        </w:rPr>
      </w:pPr>
    </w:p>
    <w:p w14:paraId="7C555CBD" w14:textId="25875EE7" w:rsidR="00EC1989" w:rsidRPr="005B0987" w:rsidRDefault="00EC4C22" w:rsidP="002F3560">
      <w:pPr>
        <w:rPr>
          <w:sz w:val="22"/>
          <w:szCs w:val="22"/>
        </w:rPr>
      </w:pPr>
      <w:r w:rsidRPr="005B0987">
        <w:rPr>
          <w:sz w:val="22"/>
          <w:szCs w:val="22"/>
        </w:rPr>
        <w:t>As with the SPPA, the AABS data will be circulated to interested researchers and will be the basis for a range of NEA reports and independent research publications.</w:t>
      </w:r>
      <w:r w:rsidR="00FF06FF" w:rsidRPr="005B0987">
        <w:rPr>
          <w:sz w:val="22"/>
          <w:szCs w:val="22"/>
        </w:rPr>
        <w:t xml:space="preserve"> </w:t>
      </w:r>
      <w:r w:rsidRPr="005B0987">
        <w:rPr>
          <w:sz w:val="22"/>
          <w:szCs w:val="22"/>
        </w:rPr>
        <w:t>Reports on these data will be made publicly available on the NEA’s website</w:t>
      </w:r>
      <w:r w:rsidR="00150985">
        <w:rPr>
          <w:rStyle w:val="FootnoteReference"/>
          <w:sz w:val="22"/>
          <w:szCs w:val="22"/>
        </w:rPr>
        <w:footnoteReference w:id="1"/>
      </w:r>
      <w:r w:rsidR="00E21E5E" w:rsidRPr="00150985">
        <w:rPr>
          <w:sz w:val="22"/>
          <w:szCs w:val="22"/>
        </w:rPr>
        <w:t xml:space="preserve"> or NEA-designated website</w:t>
      </w:r>
      <w:r w:rsidR="00997CBB" w:rsidRPr="00150985">
        <w:rPr>
          <w:sz w:val="22"/>
          <w:szCs w:val="22"/>
        </w:rPr>
        <w:t>s</w:t>
      </w:r>
      <w:r w:rsidRPr="00150985">
        <w:rPr>
          <w:sz w:val="22"/>
          <w:szCs w:val="22"/>
        </w:rPr>
        <w:t xml:space="preserve">. The AABS will provide annual primary knowledge on the extent and nature of participation in the arts in the United States. These data will also be used by the NEA as a </w:t>
      </w:r>
      <w:r w:rsidR="00B925D1" w:rsidRPr="00150985">
        <w:rPr>
          <w:sz w:val="22"/>
          <w:szCs w:val="22"/>
        </w:rPr>
        <w:t>contextual</w:t>
      </w:r>
      <w:r w:rsidR="00EC1989" w:rsidRPr="00150985">
        <w:rPr>
          <w:sz w:val="22"/>
          <w:szCs w:val="22"/>
        </w:rPr>
        <w:t xml:space="preserve"> measure</w:t>
      </w:r>
      <w:r w:rsidR="00B925D1" w:rsidRPr="00150985">
        <w:rPr>
          <w:sz w:val="22"/>
          <w:szCs w:val="22"/>
        </w:rPr>
        <w:t xml:space="preserve"> for one of the strategic goals</w:t>
      </w:r>
      <w:r w:rsidR="00EC1989" w:rsidRPr="00150985">
        <w:rPr>
          <w:sz w:val="22"/>
          <w:szCs w:val="22"/>
        </w:rPr>
        <w:t xml:space="preserve"> identified in its FY </w:t>
      </w:r>
      <w:r w:rsidR="005B0987">
        <w:rPr>
          <w:sz w:val="22"/>
          <w:szCs w:val="22"/>
        </w:rPr>
        <w:t>2014-2018 S</w:t>
      </w:r>
      <w:r w:rsidRPr="005B0987">
        <w:rPr>
          <w:sz w:val="22"/>
          <w:szCs w:val="22"/>
        </w:rPr>
        <w:t xml:space="preserve">trategic </w:t>
      </w:r>
      <w:r w:rsidR="005B0987">
        <w:rPr>
          <w:sz w:val="22"/>
          <w:szCs w:val="22"/>
        </w:rPr>
        <w:t>P</w:t>
      </w:r>
      <w:r w:rsidRPr="005B0987">
        <w:rPr>
          <w:sz w:val="22"/>
          <w:szCs w:val="22"/>
        </w:rPr>
        <w:t>lan.</w:t>
      </w:r>
      <w:r w:rsidR="00EC1989" w:rsidRPr="005B0987">
        <w:rPr>
          <w:rStyle w:val="FootnoteReference"/>
          <w:sz w:val="22"/>
          <w:szCs w:val="22"/>
        </w:rPr>
        <w:footnoteReference w:id="2"/>
      </w:r>
    </w:p>
    <w:p w14:paraId="64CC44C1" w14:textId="77777777" w:rsidR="00E3579A" w:rsidRPr="005B0987" w:rsidRDefault="00E3579A" w:rsidP="002F3560">
      <w:pPr>
        <w:rPr>
          <w:sz w:val="22"/>
          <w:szCs w:val="22"/>
        </w:rPr>
      </w:pPr>
    </w:p>
    <w:p w14:paraId="0B7694EE" w14:textId="77777777" w:rsidR="007361FE" w:rsidRPr="00150985" w:rsidRDefault="00EC4C22" w:rsidP="002F3560">
      <w:pPr>
        <w:pStyle w:val="Header"/>
        <w:numPr>
          <w:ilvl w:val="0"/>
          <w:numId w:val="1"/>
        </w:numPr>
        <w:tabs>
          <w:tab w:val="clear" w:pos="4320"/>
          <w:tab w:val="clear" w:pos="8640"/>
        </w:tabs>
        <w:rPr>
          <w:b/>
          <w:bCs/>
          <w:sz w:val="22"/>
          <w:szCs w:val="22"/>
        </w:rPr>
      </w:pPr>
      <w:r w:rsidRPr="00150985">
        <w:rPr>
          <w:b/>
          <w:bCs/>
          <w:sz w:val="22"/>
          <w:szCs w:val="22"/>
        </w:rPr>
        <w:t>Justification</w:t>
      </w:r>
    </w:p>
    <w:p w14:paraId="5F3C28C1" w14:textId="77777777" w:rsidR="007361FE" w:rsidRPr="00150985" w:rsidRDefault="007361FE" w:rsidP="002F3560">
      <w:pPr>
        <w:pStyle w:val="Header"/>
        <w:tabs>
          <w:tab w:val="clear" w:pos="4320"/>
          <w:tab w:val="clear" w:pos="8640"/>
        </w:tabs>
        <w:rPr>
          <w:b/>
          <w:bCs/>
          <w:sz w:val="22"/>
          <w:szCs w:val="22"/>
        </w:rPr>
      </w:pPr>
    </w:p>
    <w:p w14:paraId="21F45A18" w14:textId="0EFD6251" w:rsidR="007361FE" w:rsidRPr="00150985" w:rsidRDefault="00EC4C22" w:rsidP="002F3560">
      <w:pPr>
        <w:pStyle w:val="p4"/>
        <w:ind w:left="901"/>
        <w:jc w:val="left"/>
        <w:rPr>
          <w:b/>
          <w:bCs/>
          <w:sz w:val="22"/>
          <w:szCs w:val="22"/>
        </w:rPr>
      </w:pPr>
      <w:r w:rsidRPr="00150985">
        <w:rPr>
          <w:b/>
          <w:bCs/>
          <w:sz w:val="22"/>
          <w:szCs w:val="22"/>
        </w:rPr>
        <w:t>A.1.</w:t>
      </w:r>
      <w:r w:rsidR="007D6A26" w:rsidRPr="00150985">
        <w:rPr>
          <w:b/>
          <w:bCs/>
          <w:sz w:val="22"/>
          <w:szCs w:val="22"/>
        </w:rPr>
        <w:t xml:space="preserve"> </w:t>
      </w:r>
      <w:r w:rsidRPr="00150985">
        <w:rPr>
          <w:b/>
          <w:bCs/>
          <w:sz w:val="22"/>
          <w:szCs w:val="22"/>
        </w:rPr>
        <w:t>Necessity of Information Collection</w:t>
      </w:r>
    </w:p>
    <w:p w14:paraId="3631065D" w14:textId="77777777" w:rsidR="007361FE" w:rsidRPr="00C3497F" w:rsidRDefault="007361FE" w:rsidP="002F3560">
      <w:pPr>
        <w:tabs>
          <w:tab w:val="left" w:pos="901"/>
        </w:tabs>
        <w:rPr>
          <w:b/>
          <w:bCs/>
          <w:sz w:val="22"/>
          <w:szCs w:val="22"/>
        </w:rPr>
      </w:pPr>
    </w:p>
    <w:p w14:paraId="11CDE7BE" w14:textId="4CC67764" w:rsidR="007361FE" w:rsidRPr="000A674B" w:rsidRDefault="00EC4C22" w:rsidP="002F3560">
      <w:pPr>
        <w:pStyle w:val="p3"/>
        <w:jc w:val="left"/>
        <w:rPr>
          <w:sz w:val="22"/>
          <w:szCs w:val="22"/>
        </w:rPr>
      </w:pPr>
      <w:r w:rsidRPr="008205D4">
        <w:rPr>
          <w:sz w:val="22"/>
          <w:szCs w:val="22"/>
        </w:rPr>
        <w:t xml:space="preserve">The NEA, pursuant to its mandate “to support projects and productions that will encourage public knowledge, education, understanding and appreciation of the arts” (USC2O, Section 954 </w:t>
      </w:r>
      <w:r w:rsidRPr="005B0987">
        <w:rPr>
          <w:i/>
          <w:iCs/>
          <w:sz w:val="22"/>
          <w:szCs w:val="22"/>
        </w:rPr>
        <w:t>(5)</w:t>
      </w:r>
      <w:r w:rsidRPr="005B0987">
        <w:rPr>
          <w:iCs/>
          <w:sz w:val="22"/>
          <w:szCs w:val="22"/>
        </w:rPr>
        <w:t>)</w:t>
      </w:r>
      <w:r w:rsidRPr="005B0987">
        <w:rPr>
          <w:i/>
          <w:iCs/>
          <w:sz w:val="22"/>
          <w:szCs w:val="22"/>
        </w:rPr>
        <w:t xml:space="preserve"> </w:t>
      </w:r>
      <w:r w:rsidRPr="005B0987">
        <w:rPr>
          <w:sz w:val="22"/>
          <w:szCs w:val="22"/>
        </w:rPr>
        <w:t xml:space="preserve">and “to develop and implement a practical system of national information and data collection and public dissemination on the arts and their audiences, including trends in audience participation” (USC 20, Section </w:t>
      </w:r>
      <w:r w:rsidRPr="005B0987">
        <w:rPr>
          <w:i/>
          <w:iCs/>
          <w:sz w:val="22"/>
          <w:szCs w:val="22"/>
        </w:rPr>
        <w:t xml:space="preserve">954 </w:t>
      </w:r>
      <w:r w:rsidRPr="005B0987">
        <w:rPr>
          <w:sz w:val="22"/>
          <w:szCs w:val="22"/>
        </w:rPr>
        <w:t xml:space="preserve">(q)), has entered into an interagency agreement with the </w:t>
      </w:r>
      <w:r w:rsidR="00F07C8E" w:rsidRPr="005B0987">
        <w:rPr>
          <w:sz w:val="22"/>
          <w:szCs w:val="22"/>
        </w:rPr>
        <w:t xml:space="preserve">U.S. </w:t>
      </w:r>
      <w:r w:rsidRPr="005B0987">
        <w:rPr>
          <w:sz w:val="22"/>
          <w:szCs w:val="22"/>
        </w:rPr>
        <w:t xml:space="preserve">Census Bureau </w:t>
      </w:r>
      <w:r w:rsidRPr="000A674B">
        <w:rPr>
          <w:sz w:val="22"/>
          <w:szCs w:val="22"/>
        </w:rPr>
        <w:t xml:space="preserve">to conduct the Annual Arts </w:t>
      </w:r>
      <w:r w:rsidR="00A26287" w:rsidRPr="000A674B">
        <w:rPr>
          <w:sz w:val="22"/>
          <w:szCs w:val="22"/>
        </w:rPr>
        <w:t xml:space="preserve">Basic </w:t>
      </w:r>
      <w:r w:rsidRPr="000A674B">
        <w:rPr>
          <w:sz w:val="22"/>
          <w:szCs w:val="22"/>
        </w:rPr>
        <w:t xml:space="preserve">Survey (AABS). The </w:t>
      </w:r>
      <w:r w:rsidR="00F07C8E" w:rsidRPr="000A674B">
        <w:rPr>
          <w:sz w:val="22"/>
          <w:szCs w:val="22"/>
        </w:rPr>
        <w:t xml:space="preserve">U.S. </w:t>
      </w:r>
      <w:r w:rsidRPr="000A674B">
        <w:rPr>
          <w:sz w:val="22"/>
          <w:szCs w:val="22"/>
        </w:rPr>
        <w:t>Census Bureau is authorized to collect data under Title 13, United States Code, Section 182 (see Attachment A).</w:t>
      </w:r>
    </w:p>
    <w:p w14:paraId="23402237" w14:textId="77777777" w:rsidR="007361FE" w:rsidRPr="000A674B" w:rsidRDefault="007361FE" w:rsidP="002F3560">
      <w:pPr>
        <w:tabs>
          <w:tab w:val="left" w:pos="204"/>
        </w:tabs>
        <w:rPr>
          <w:sz w:val="22"/>
          <w:szCs w:val="22"/>
        </w:rPr>
      </w:pPr>
    </w:p>
    <w:p w14:paraId="6E6D68AD" w14:textId="7DE40D85" w:rsidR="00EC1989" w:rsidRPr="000A674B" w:rsidRDefault="00EC4C22" w:rsidP="002F3560">
      <w:pPr>
        <w:pStyle w:val="p3"/>
        <w:jc w:val="left"/>
        <w:rPr>
          <w:sz w:val="22"/>
          <w:szCs w:val="22"/>
        </w:rPr>
      </w:pPr>
      <w:r w:rsidRPr="000A674B">
        <w:rPr>
          <w:sz w:val="22"/>
          <w:szCs w:val="22"/>
        </w:rPr>
        <w:t xml:space="preserve">As a national survey, the AABS will serve as a sound basis on which to make annual estimates of participation rates in the various art forms asked on the survey. </w:t>
      </w:r>
      <w:r w:rsidR="00E21E5E" w:rsidRPr="000A674B">
        <w:rPr>
          <w:sz w:val="22"/>
          <w:szCs w:val="22"/>
        </w:rPr>
        <w:t xml:space="preserve">National data from the AABS, with the SPPA, has appeared regularly in the Social Indicators chapter of the Analytical Perspectives, Budget of the United States Government. </w:t>
      </w:r>
      <w:r w:rsidRPr="000A674B">
        <w:rPr>
          <w:sz w:val="22"/>
          <w:szCs w:val="22"/>
        </w:rPr>
        <w:t xml:space="preserve">The AABS data will also provide information on the characteristics of the population participating in the arts. In addition, the AABS gathers information on the characteristics of adults </w:t>
      </w:r>
      <w:r w:rsidR="00AB1965" w:rsidRPr="000A674B">
        <w:rPr>
          <w:sz w:val="22"/>
          <w:szCs w:val="22"/>
        </w:rPr>
        <w:t>who do not participate</w:t>
      </w:r>
      <w:r w:rsidRPr="000A674B">
        <w:rPr>
          <w:sz w:val="22"/>
          <w:szCs w:val="22"/>
        </w:rPr>
        <w:t xml:space="preserve"> in the arts. Given that the AABS will be collected on an annual basis, the AABS will provide trend data that will help policymakers and arts administrators make decisions using reliable and recent information.</w:t>
      </w:r>
      <w:r w:rsidR="00FF06FF" w:rsidRPr="000A674B">
        <w:rPr>
          <w:sz w:val="22"/>
          <w:szCs w:val="22"/>
        </w:rPr>
        <w:t xml:space="preserve"> </w:t>
      </w:r>
      <w:r w:rsidRPr="000A674B">
        <w:rPr>
          <w:sz w:val="22"/>
          <w:szCs w:val="22"/>
        </w:rPr>
        <w:t xml:space="preserve">In addition, these data will be used by the NEA as </w:t>
      </w:r>
      <w:r w:rsidR="00A9383C" w:rsidRPr="000A674B">
        <w:rPr>
          <w:sz w:val="22"/>
          <w:szCs w:val="22"/>
        </w:rPr>
        <w:t>a</w:t>
      </w:r>
      <w:r w:rsidR="00997CBB" w:rsidRPr="000A674B">
        <w:rPr>
          <w:sz w:val="22"/>
          <w:szCs w:val="22"/>
        </w:rPr>
        <w:t>n</w:t>
      </w:r>
      <w:r w:rsidR="00A9383C" w:rsidRPr="000A674B">
        <w:rPr>
          <w:sz w:val="22"/>
          <w:szCs w:val="22"/>
        </w:rPr>
        <w:t xml:space="preserve"> </w:t>
      </w:r>
      <w:r w:rsidR="007C45E7" w:rsidRPr="000A674B">
        <w:rPr>
          <w:sz w:val="22"/>
          <w:szCs w:val="22"/>
        </w:rPr>
        <w:t xml:space="preserve">indicator in the </w:t>
      </w:r>
      <w:r w:rsidRPr="000A674B">
        <w:rPr>
          <w:sz w:val="22"/>
          <w:szCs w:val="22"/>
        </w:rPr>
        <w:t>NEA’s FY 201</w:t>
      </w:r>
      <w:r w:rsidR="00A9383C" w:rsidRPr="000A674B">
        <w:rPr>
          <w:sz w:val="22"/>
          <w:szCs w:val="22"/>
        </w:rPr>
        <w:t>4</w:t>
      </w:r>
      <w:r w:rsidR="00AB1965" w:rsidRPr="000A674B">
        <w:rPr>
          <w:sz w:val="22"/>
          <w:szCs w:val="22"/>
        </w:rPr>
        <w:t>-</w:t>
      </w:r>
      <w:r w:rsidRPr="000A674B">
        <w:rPr>
          <w:sz w:val="22"/>
          <w:szCs w:val="22"/>
        </w:rPr>
        <w:t>201</w:t>
      </w:r>
      <w:r w:rsidR="00A9383C" w:rsidRPr="000A674B">
        <w:rPr>
          <w:sz w:val="22"/>
          <w:szCs w:val="22"/>
        </w:rPr>
        <w:t>8</w:t>
      </w:r>
      <w:r w:rsidR="00EC1989" w:rsidRPr="000A674B">
        <w:rPr>
          <w:sz w:val="22"/>
          <w:szCs w:val="22"/>
        </w:rPr>
        <w:t xml:space="preserve"> Strategic Plan.</w:t>
      </w:r>
      <w:r w:rsidR="00FF06FF" w:rsidRPr="000A674B">
        <w:rPr>
          <w:sz w:val="22"/>
          <w:szCs w:val="22"/>
        </w:rPr>
        <w:t xml:space="preserve"> </w:t>
      </w:r>
    </w:p>
    <w:p w14:paraId="14F44C0B" w14:textId="77777777" w:rsidR="003A345B" w:rsidRPr="000A674B" w:rsidRDefault="003A345B" w:rsidP="002F3560">
      <w:pPr>
        <w:pStyle w:val="p3"/>
        <w:jc w:val="left"/>
        <w:rPr>
          <w:sz w:val="22"/>
          <w:szCs w:val="22"/>
        </w:rPr>
      </w:pPr>
    </w:p>
    <w:p w14:paraId="4120F5ED" w14:textId="77777777" w:rsidR="009201B2" w:rsidRDefault="009201B2">
      <w:pPr>
        <w:rPr>
          <w:b/>
          <w:bCs/>
          <w:sz w:val="22"/>
          <w:szCs w:val="22"/>
        </w:rPr>
      </w:pPr>
      <w:r>
        <w:rPr>
          <w:b/>
          <w:bCs/>
          <w:sz w:val="22"/>
          <w:szCs w:val="22"/>
        </w:rPr>
        <w:br w:type="page"/>
      </w:r>
    </w:p>
    <w:p w14:paraId="7B15F5FE" w14:textId="30E7A13A" w:rsidR="007361FE" w:rsidRPr="000A674B" w:rsidRDefault="00EC4C22" w:rsidP="002F3560">
      <w:pPr>
        <w:pStyle w:val="p6"/>
        <w:ind w:left="776"/>
        <w:jc w:val="left"/>
        <w:rPr>
          <w:b/>
          <w:bCs/>
          <w:sz w:val="22"/>
          <w:szCs w:val="22"/>
        </w:rPr>
      </w:pPr>
      <w:r w:rsidRPr="000A674B">
        <w:rPr>
          <w:b/>
          <w:bCs/>
          <w:sz w:val="22"/>
          <w:szCs w:val="22"/>
        </w:rPr>
        <w:lastRenderedPageBreak/>
        <w:t>A.2.</w:t>
      </w:r>
      <w:r w:rsidR="007D6A26" w:rsidRPr="000A674B">
        <w:rPr>
          <w:b/>
          <w:bCs/>
          <w:sz w:val="22"/>
          <w:szCs w:val="22"/>
        </w:rPr>
        <w:t xml:space="preserve"> </w:t>
      </w:r>
      <w:r w:rsidRPr="000A674B">
        <w:rPr>
          <w:b/>
          <w:bCs/>
          <w:sz w:val="22"/>
          <w:szCs w:val="22"/>
        </w:rPr>
        <w:t>Needs and Uses of the Data</w:t>
      </w:r>
    </w:p>
    <w:p w14:paraId="148B13BA" w14:textId="77777777" w:rsidR="007361FE" w:rsidRPr="000A674B" w:rsidRDefault="007361FE" w:rsidP="002F3560">
      <w:pPr>
        <w:tabs>
          <w:tab w:val="left" w:pos="776"/>
        </w:tabs>
        <w:rPr>
          <w:b/>
          <w:bCs/>
          <w:sz w:val="22"/>
          <w:szCs w:val="22"/>
        </w:rPr>
      </w:pPr>
    </w:p>
    <w:p w14:paraId="5044E6A7" w14:textId="642C31B5" w:rsidR="00E21E5E" w:rsidRPr="000A674B" w:rsidRDefault="00EC4C22" w:rsidP="000A674B">
      <w:pPr>
        <w:pStyle w:val="p3"/>
        <w:jc w:val="left"/>
        <w:rPr>
          <w:sz w:val="22"/>
          <w:szCs w:val="22"/>
        </w:rPr>
      </w:pPr>
      <w:r w:rsidRPr="000A674B">
        <w:rPr>
          <w:sz w:val="22"/>
          <w:szCs w:val="22"/>
        </w:rPr>
        <w:t xml:space="preserve">The AABS will provide measures of participation in the arts from a nationally representative sample of adults ages 18 and older. The information to be collected from adults include attendance at live arts events, participation </w:t>
      </w:r>
      <w:r w:rsidR="007B4B1C">
        <w:rPr>
          <w:sz w:val="22"/>
          <w:szCs w:val="22"/>
        </w:rPr>
        <w:t xml:space="preserve">in the arts </w:t>
      </w:r>
      <w:r w:rsidRPr="000A674B">
        <w:rPr>
          <w:sz w:val="22"/>
          <w:szCs w:val="22"/>
        </w:rPr>
        <w:t>through performing or creating art, reading, and visiting historic park</w:t>
      </w:r>
      <w:r w:rsidR="00997CBB" w:rsidRPr="000A674B">
        <w:rPr>
          <w:sz w:val="22"/>
          <w:szCs w:val="22"/>
        </w:rPr>
        <w:t>s</w:t>
      </w:r>
      <w:r w:rsidRPr="000A674B">
        <w:rPr>
          <w:sz w:val="22"/>
          <w:szCs w:val="22"/>
        </w:rPr>
        <w:t xml:space="preserve">, art museums or galleries. Since access to the arts is a major agency goal, </w:t>
      </w:r>
      <w:r w:rsidR="00E21E5E" w:rsidRPr="000A674B">
        <w:rPr>
          <w:sz w:val="22"/>
          <w:szCs w:val="22"/>
        </w:rPr>
        <w:t xml:space="preserve">measuring the wide range of possible ways the American public can participate in </w:t>
      </w:r>
      <w:r w:rsidR="007B4B1C">
        <w:rPr>
          <w:sz w:val="22"/>
          <w:szCs w:val="22"/>
        </w:rPr>
        <w:t xml:space="preserve">the </w:t>
      </w:r>
      <w:r w:rsidR="00E21E5E" w:rsidRPr="000A674B">
        <w:rPr>
          <w:sz w:val="22"/>
          <w:szCs w:val="22"/>
        </w:rPr>
        <w:t>arts is of critical importance.</w:t>
      </w:r>
    </w:p>
    <w:p w14:paraId="7B35A040" w14:textId="77777777" w:rsidR="007361FE" w:rsidRPr="000A674B" w:rsidRDefault="007361FE" w:rsidP="00997CBB">
      <w:pPr>
        <w:pStyle w:val="p3"/>
        <w:jc w:val="left"/>
        <w:rPr>
          <w:sz w:val="22"/>
          <w:szCs w:val="22"/>
        </w:rPr>
      </w:pPr>
    </w:p>
    <w:p w14:paraId="5351B2F5" w14:textId="17EBA8EF" w:rsidR="007361FE" w:rsidRPr="000A674B" w:rsidRDefault="00EC4C22" w:rsidP="002F3560">
      <w:pPr>
        <w:pStyle w:val="p3"/>
        <w:jc w:val="left"/>
        <w:rPr>
          <w:sz w:val="22"/>
          <w:szCs w:val="22"/>
        </w:rPr>
      </w:pPr>
      <w:r w:rsidRPr="000A674B">
        <w:rPr>
          <w:sz w:val="22"/>
          <w:szCs w:val="22"/>
        </w:rPr>
        <w:t xml:space="preserve">The sample design is such that, in addition to the capability of making national estimates, it will be possible to generate estimates for </w:t>
      </w:r>
      <w:r w:rsidR="00E21E5E" w:rsidRPr="000A674B">
        <w:rPr>
          <w:sz w:val="22"/>
          <w:szCs w:val="22"/>
        </w:rPr>
        <w:t xml:space="preserve">subregions of the nation and for approximately 32 individual states and 11 large metropolitan areas. </w:t>
      </w:r>
      <w:r w:rsidRPr="000A674B">
        <w:rPr>
          <w:sz w:val="22"/>
          <w:szCs w:val="22"/>
        </w:rPr>
        <w:t xml:space="preserve">Thus, policymakers and arts administrators at the national, regional, state, and local levels </w:t>
      </w:r>
      <w:r w:rsidR="00150985">
        <w:rPr>
          <w:sz w:val="22"/>
          <w:szCs w:val="22"/>
        </w:rPr>
        <w:t>will be</w:t>
      </w:r>
      <w:r w:rsidR="00150985" w:rsidRPr="000A674B">
        <w:rPr>
          <w:sz w:val="22"/>
          <w:szCs w:val="22"/>
        </w:rPr>
        <w:t xml:space="preserve"> </w:t>
      </w:r>
      <w:r w:rsidRPr="000A674B">
        <w:rPr>
          <w:sz w:val="22"/>
          <w:szCs w:val="22"/>
        </w:rPr>
        <w:t>able to study the patterns of participation across various population subgroups and to look for correlates of participation in artistic and other cultural activities. The data from this study will better enable arts administrators to make essential policy decisions based on such things as the size and characteristics of current audiences in 201</w:t>
      </w:r>
      <w:r w:rsidR="00A26287" w:rsidRPr="000A674B">
        <w:rPr>
          <w:sz w:val="22"/>
          <w:szCs w:val="22"/>
        </w:rPr>
        <w:t>8</w:t>
      </w:r>
      <w:r w:rsidR="00AB1965" w:rsidRPr="000A674B">
        <w:rPr>
          <w:sz w:val="22"/>
          <w:szCs w:val="22"/>
        </w:rPr>
        <w:t xml:space="preserve"> and 201</w:t>
      </w:r>
      <w:r w:rsidR="00A26287" w:rsidRPr="000A674B">
        <w:rPr>
          <w:sz w:val="22"/>
          <w:szCs w:val="22"/>
        </w:rPr>
        <w:t>9</w:t>
      </w:r>
      <w:r w:rsidRPr="000A674B">
        <w:rPr>
          <w:sz w:val="22"/>
          <w:szCs w:val="22"/>
        </w:rPr>
        <w:t>. Publications based on this data will be available to the public on the NEA</w:t>
      </w:r>
      <w:r w:rsidR="00150985">
        <w:rPr>
          <w:sz w:val="22"/>
          <w:szCs w:val="22"/>
        </w:rPr>
        <w:t>’s</w:t>
      </w:r>
      <w:r w:rsidRPr="000A674B">
        <w:rPr>
          <w:sz w:val="22"/>
          <w:szCs w:val="22"/>
        </w:rPr>
        <w:t xml:space="preserve"> website</w:t>
      </w:r>
      <w:r w:rsidRPr="000A674B">
        <w:rPr>
          <w:rStyle w:val="FootnoteReference"/>
          <w:sz w:val="22"/>
          <w:szCs w:val="22"/>
        </w:rPr>
        <w:footnoteReference w:id="3"/>
      </w:r>
      <w:r w:rsidR="00997CBB" w:rsidRPr="000A674B">
        <w:rPr>
          <w:sz w:val="22"/>
          <w:szCs w:val="22"/>
        </w:rPr>
        <w:t xml:space="preserve"> or NEA-designated websites</w:t>
      </w:r>
      <w:r w:rsidRPr="000A674B">
        <w:rPr>
          <w:sz w:val="22"/>
          <w:szCs w:val="22"/>
        </w:rPr>
        <w:t>, where studies on the SPPA data can also be found.</w:t>
      </w:r>
      <w:r w:rsidR="00FF06FF" w:rsidRPr="000A674B">
        <w:rPr>
          <w:sz w:val="22"/>
          <w:szCs w:val="22"/>
        </w:rPr>
        <w:t xml:space="preserve"> </w:t>
      </w:r>
    </w:p>
    <w:p w14:paraId="004B36A7" w14:textId="77777777" w:rsidR="007361FE" w:rsidRPr="000A674B" w:rsidRDefault="007361FE" w:rsidP="002F3560">
      <w:pPr>
        <w:tabs>
          <w:tab w:val="left" w:pos="204"/>
        </w:tabs>
        <w:rPr>
          <w:sz w:val="22"/>
          <w:szCs w:val="22"/>
        </w:rPr>
      </w:pPr>
    </w:p>
    <w:p w14:paraId="51176AD2" w14:textId="46BC9C42" w:rsidR="00190B45" w:rsidRDefault="00EC4C22" w:rsidP="002F3560">
      <w:pPr>
        <w:pStyle w:val="p3"/>
        <w:jc w:val="left"/>
        <w:rPr>
          <w:sz w:val="22"/>
          <w:szCs w:val="22"/>
        </w:rPr>
      </w:pPr>
      <w:r w:rsidRPr="000A674B">
        <w:rPr>
          <w:sz w:val="22"/>
          <w:szCs w:val="22"/>
        </w:rPr>
        <w:t xml:space="preserve">The AABS </w:t>
      </w:r>
      <w:r w:rsidR="00312A47" w:rsidRPr="000A674B">
        <w:rPr>
          <w:sz w:val="22"/>
          <w:szCs w:val="22"/>
        </w:rPr>
        <w:t>is</w:t>
      </w:r>
      <w:r w:rsidR="007361FE" w:rsidRPr="000A674B">
        <w:rPr>
          <w:sz w:val="22"/>
          <w:szCs w:val="22"/>
        </w:rPr>
        <w:t xml:space="preserve"> an annual study that </w:t>
      </w:r>
      <w:r w:rsidRPr="000A674B">
        <w:rPr>
          <w:sz w:val="22"/>
          <w:szCs w:val="22"/>
        </w:rPr>
        <w:t>complement</w:t>
      </w:r>
      <w:r w:rsidR="00312A47" w:rsidRPr="000A674B">
        <w:rPr>
          <w:sz w:val="22"/>
          <w:szCs w:val="22"/>
        </w:rPr>
        <w:t>s</w:t>
      </w:r>
      <w:r w:rsidR="007361FE" w:rsidRPr="000A674B">
        <w:rPr>
          <w:sz w:val="22"/>
          <w:szCs w:val="22"/>
        </w:rPr>
        <w:t xml:space="preserve"> the ongoing assessment of the arts leisure-time activities that began with the 1982 SPPA and </w:t>
      </w:r>
      <w:r w:rsidRPr="000A674B">
        <w:rPr>
          <w:sz w:val="22"/>
          <w:szCs w:val="22"/>
        </w:rPr>
        <w:t>was followed with the 1985, 1992, 1997, 2002, 2008, 2012</w:t>
      </w:r>
      <w:r w:rsidR="007D6A26" w:rsidRPr="000A674B">
        <w:rPr>
          <w:sz w:val="22"/>
          <w:szCs w:val="22"/>
        </w:rPr>
        <w:t>, and 2017</w:t>
      </w:r>
      <w:r w:rsidRPr="000A674B">
        <w:rPr>
          <w:sz w:val="22"/>
          <w:szCs w:val="22"/>
        </w:rPr>
        <w:t xml:space="preserve"> SPPA surveys. </w:t>
      </w:r>
      <w:r w:rsidR="00A9383C" w:rsidRPr="000A674B">
        <w:rPr>
          <w:sz w:val="22"/>
          <w:szCs w:val="22"/>
        </w:rPr>
        <w:t>T</w:t>
      </w:r>
      <w:r w:rsidR="00637D41" w:rsidRPr="000A674B">
        <w:rPr>
          <w:sz w:val="22"/>
          <w:szCs w:val="22"/>
        </w:rPr>
        <w:t xml:space="preserve">he first </w:t>
      </w:r>
      <w:r w:rsidR="00A26287" w:rsidRPr="000A674B">
        <w:rPr>
          <w:sz w:val="22"/>
          <w:szCs w:val="22"/>
        </w:rPr>
        <w:t xml:space="preserve">four </w:t>
      </w:r>
      <w:r w:rsidR="00637D41" w:rsidRPr="000A674B">
        <w:rPr>
          <w:sz w:val="22"/>
          <w:szCs w:val="22"/>
        </w:rPr>
        <w:t>years of the AABS w</w:t>
      </w:r>
      <w:r w:rsidR="00A9383C" w:rsidRPr="000A674B">
        <w:rPr>
          <w:sz w:val="22"/>
          <w:szCs w:val="22"/>
        </w:rPr>
        <w:t>ere</w:t>
      </w:r>
      <w:r w:rsidR="00637D41" w:rsidRPr="000A674B">
        <w:rPr>
          <w:sz w:val="22"/>
          <w:szCs w:val="22"/>
        </w:rPr>
        <w:t xml:space="preserve"> conducted in 2013</w:t>
      </w:r>
      <w:r w:rsidR="00A26287" w:rsidRPr="000A674B">
        <w:rPr>
          <w:sz w:val="22"/>
          <w:szCs w:val="22"/>
        </w:rPr>
        <w:t xml:space="preserve">, </w:t>
      </w:r>
      <w:r w:rsidR="00637D41" w:rsidRPr="000A674B">
        <w:rPr>
          <w:sz w:val="22"/>
          <w:szCs w:val="22"/>
        </w:rPr>
        <w:t>2014</w:t>
      </w:r>
      <w:r w:rsidR="00A26287" w:rsidRPr="000A674B">
        <w:rPr>
          <w:sz w:val="22"/>
          <w:szCs w:val="22"/>
        </w:rPr>
        <w:t>, 2015, and 2016, with odd years focusing on arts attendance and arts learning, and even years focusing on arts creation and performance</w:t>
      </w:r>
      <w:r w:rsidR="00637D41" w:rsidRPr="000A674B">
        <w:rPr>
          <w:sz w:val="22"/>
          <w:szCs w:val="22"/>
        </w:rPr>
        <w:t xml:space="preserve">. </w:t>
      </w:r>
      <w:r w:rsidRPr="000A674B">
        <w:rPr>
          <w:sz w:val="22"/>
          <w:szCs w:val="22"/>
        </w:rPr>
        <w:t xml:space="preserve">These data allow arts administrators to assess how the demand for the arts </w:t>
      </w:r>
      <w:r w:rsidR="00190B45">
        <w:rPr>
          <w:sz w:val="22"/>
          <w:szCs w:val="22"/>
        </w:rPr>
        <w:t>changes</w:t>
      </w:r>
      <w:r w:rsidRPr="000A674B">
        <w:rPr>
          <w:sz w:val="22"/>
          <w:szCs w:val="22"/>
        </w:rPr>
        <w:t xml:space="preserve"> over time, and how the nature of adults’ participation in the arts changes over time. Data from previous SPPA surveys have been widely used by policymakers and scholars because of their unique scope and statistical precision. </w:t>
      </w:r>
    </w:p>
    <w:p w14:paraId="1BC1C7B8" w14:textId="77777777" w:rsidR="00190B45" w:rsidRDefault="00190B45" w:rsidP="002F3560">
      <w:pPr>
        <w:pStyle w:val="p3"/>
        <w:jc w:val="left"/>
        <w:rPr>
          <w:sz w:val="22"/>
          <w:szCs w:val="22"/>
        </w:rPr>
      </w:pPr>
    </w:p>
    <w:p w14:paraId="607C4962" w14:textId="4CC37C19" w:rsidR="007361FE" w:rsidRPr="000A674B" w:rsidRDefault="00EC4C22" w:rsidP="002F3560">
      <w:pPr>
        <w:pStyle w:val="p3"/>
        <w:jc w:val="left"/>
        <w:rPr>
          <w:sz w:val="22"/>
          <w:szCs w:val="22"/>
        </w:rPr>
      </w:pPr>
      <w:r w:rsidRPr="000A674B">
        <w:rPr>
          <w:sz w:val="22"/>
          <w:szCs w:val="22"/>
        </w:rPr>
        <w:t>The AABS will improve on the SPPA in two distinct ways. First, by benchmarking key art forms, the AABS will free the SPPA from this task, providing more flexibility in measuring new or redefined art forms and thereby addressing a recurring criticism of the SPPA. Second, the annual estimates from the AABS will help users of SPPA data assess whether changes in the SPPA participation estimates are more likely a short</w:t>
      </w:r>
      <w:r w:rsidR="00414B5E" w:rsidRPr="000A674B">
        <w:rPr>
          <w:sz w:val="22"/>
          <w:szCs w:val="22"/>
        </w:rPr>
        <w:t>-</w:t>
      </w:r>
      <w:r w:rsidRPr="000A674B">
        <w:rPr>
          <w:sz w:val="22"/>
          <w:szCs w:val="22"/>
        </w:rPr>
        <w:t xml:space="preserve">term phenomenon (based, for instance, on the economy or a major current event) or a long-term shift in participation. </w:t>
      </w:r>
    </w:p>
    <w:p w14:paraId="04F4A4DB" w14:textId="77777777" w:rsidR="00FE68DE" w:rsidRPr="000A674B" w:rsidRDefault="00FE68DE" w:rsidP="002F3560">
      <w:pPr>
        <w:tabs>
          <w:tab w:val="left" w:pos="204"/>
        </w:tabs>
        <w:rPr>
          <w:sz w:val="22"/>
          <w:szCs w:val="22"/>
        </w:rPr>
      </w:pPr>
    </w:p>
    <w:p w14:paraId="38650B8C" w14:textId="56AF9578" w:rsidR="00FE68DE" w:rsidRPr="000A674B" w:rsidRDefault="00EC4C22" w:rsidP="002F3560">
      <w:pPr>
        <w:pStyle w:val="p3"/>
        <w:jc w:val="left"/>
        <w:rPr>
          <w:b/>
          <w:bCs/>
          <w:sz w:val="22"/>
          <w:szCs w:val="22"/>
        </w:rPr>
      </w:pPr>
      <w:r w:rsidRPr="000A674B">
        <w:rPr>
          <w:b/>
          <w:bCs/>
          <w:sz w:val="22"/>
          <w:szCs w:val="22"/>
        </w:rPr>
        <w:t>A.3.</w:t>
      </w:r>
      <w:r w:rsidR="007D6A26" w:rsidRPr="000A674B">
        <w:rPr>
          <w:b/>
          <w:bCs/>
          <w:sz w:val="22"/>
          <w:szCs w:val="22"/>
        </w:rPr>
        <w:t xml:space="preserve"> </w:t>
      </w:r>
      <w:r w:rsidRPr="000A674B">
        <w:rPr>
          <w:b/>
          <w:bCs/>
          <w:sz w:val="22"/>
          <w:szCs w:val="22"/>
        </w:rPr>
        <w:t>Use of Information Technology</w:t>
      </w:r>
    </w:p>
    <w:p w14:paraId="1778D739" w14:textId="77777777" w:rsidR="00FE68DE" w:rsidRPr="000A674B" w:rsidRDefault="00FE68DE" w:rsidP="002F3560">
      <w:pPr>
        <w:tabs>
          <w:tab w:val="left" w:pos="204"/>
        </w:tabs>
        <w:rPr>
          <w:sz w:val="22"/>
          <w:szCs w:val="22"/>
        </w:rPr>
      </w:pPr>
    </w:p>
    <w:p w14:paraId="28785C48" w14:textId="36563F38" w:rsidR="00106646" w:rsidRPr="000A674B" w:rsidRDefault="00EC4C22" w:rsidP="00863DB1">
      <w:pPr>
        <w:pStyle w:val="p3"/>
        <w:jc w:val="left"/>
        <w:rPr>
          <w:sz w:val="22"/>
          <w:szCs w:val="22"/>
        </w:rPr>
      </w:pPr>
      <w:r w:rsidRPr="000A674B">
        <w:rPr>
          <w:sz w:val="22"/>
          <w:szCs w:val="22"/>
        </w:rPr>
        <w:t xml:space="preserve">The </w:t>
      </w:r>
      <w:r w:rsidR="001C5A6E" w:rsidRPr="000A674B">
        <w:rPr>
          <w:sz w:val="22"/>
          <w:szCs w:val="22"/>
        </w:rPr>
        <w:t xml:space="preserve">AABS </w:t>
      </w:r>
      <w:r w:rsidRPr="000A674B">
        <w:rPr>
          <w:sz w:val="22"/>
          <w:szCs w:val="22"/>
        </w:rPr>
        <w:t>questions are designed to obtain the required information while keeping respondent burden to a minimum. The proposed items and interviewer procedures were developed over years of consultation with the</w:t>
      </w:r>
      <w:r w:rsidR="005E55A7">
        <w:rPr>
          <w:sz w:val="22"/>
          <w:szCs w:val="22"/>
        </w:rPr>
        <w:t xml:space="preserve"> U.S.</w:t>
      </w:r>
      <w:r w:rsidRPr="000A674B">
        <w:rPr>
          <w:sz w:val="22"/>
          <w:szCs w:val="22"/>
        </w:rPr>
        <w:t xml:space="preserve"> Census Bureau, the National Endowment for the Arts (NEA), and other government agencies. The use of computer-assisted personal and telephone interviewing is deemed the most appropriate collection methodology.</w:t>
      </w:r>
    </w:p>
    <w:p w14:paraId="2C78EFA1" w14:textId="77777777" w:rsidR="00106646" w:rsidRPr="000A674B" w:rsidRDefault="00106646" w:rsidP="002F3560">
      <w:pPr>
        <w:tabs>
          <w:tab w:val="left" w:pos="204"/>
        </w:tabs>
        <w:rPr>
          <w:sz w:val="22"/>
          <w:szCs w:val="22"/>
        </w:rPr>
      </w:pPr>
    </w:p>
    <w:p w14:paraId="368DB32E" w14:textId="2905F3D0" w:rsidR="00FE68DE" w:rsidRPr="000A674B" w:rsidRDefault="00EC4C22" w:rsidP="002F3560">
      <w:pPr>
        <w:pStyle w:val="p6"/>
        <w:ind w:left="776"/>
        <w:jc w:val="left"/>
        <w:rPr>
          <w:b/>
          <w:bCs/>
          <w:sz w:val="22"/>
          <w:szCs w:val="22"/>
        </w:rPr>
      </w:pPr>
      <w:r w:rsidRPr="000A674B">
        <w:rPr>
          <w:b/>
          <w:bCs/>
          <w:sz w:val="22"/>
          <w:szCs w:val="22"/>
        </w:rPr>
        <w:t>A.4.</w:t>
      </w:r>
      <w:r w:rsidR="007D6A26" w:rsidRPr="000A674B">
        <w:rPr>
          <w:b/>
          <w:bCs/>
          <w:sz w:val="22"/>
          <w:szCs w:val="22"/>
        </w:rPr>
        <w:t xml:space="preserve"> </w:t>
      </w:r>
      <w:r w:rsidRPr="000A674B">
        <w:rPr>
          <w:b/>
          <w:bCs/>
          <w:sz w:val="22"/>
          <w:szCs w:val="22"/>
        </w:rPr>
        <w:t>Efforts to Identify Duplication</w:t>
      </w:r>
    </w:p>
    <w:p w14:paraId="751FAE52" w14:textId="77777777" w:rsidR="00FE68DE" w:rsidRPr="000A674B" w:rsidRDefault="00FE68DE" w:rsidP="002F3560">
      <w:pPr>
        <w:tabs>
          <w:tab w:val="left" w:pos="776"/>
        </w:tabs>
        <w:rPr>
          <w:b/>
          <w:bCs/>
          <w:sz w:val="22"/>
          <w:szCs w:val="22"/>
        </w:rPr>
      </w:pPr>
    </w:p>
    <w:p w14:paraId="5B6F6BFC" w14:textId="76E6DE8F" w:rsidR="00FE68DE" w:rsidRPr="000A674B" w:rsidRDefault="005E55A7" w:rsidP="002F3560">
      <w:pPr>
        <w:pStyle w:val="p3"/>
        <w:jc w:val="left"/>
        <w:rPr>
          <w:sz w:val="22"/>
          <w:szCs w:val="22"/>
        </w:rPr>
      </w:pPr>
      <w:r>
        <w:rPr>
          <w:sz w:val="22"/>
          <w:szCs w:val="22"/>
        </w:rPr>
        <w:t xml:space="preserve">Preexisting </w:t>
      </w:r>
      <w:r w:rsidR="00EC4C22" w:rsidRPr="000A674B">
        <w:rPr>
          <w:sz w:val="22"/>
          <w:szCs w:val="22"/>
        </w:rPr>
        <w:t xml:space="preserve">surveys, such as the General Social Survey (sponsored by the National Science Foundation), periodically include a handful of arts participation questions. </w:t>
      </w:r>
      <w:r w:rsidR="0073699E" w:rsidRPr="000A674B">
        <w:rPr>
          <w:sz w:val="22"/>
          <w:szCs w:val="22"/>
        </w:rPr>
        <w:t xml:space="preserve">However, there is no existing </w:t>
      </w:r>
      <w:r w:rsidR="001C5A6E" w:rsidRPr="000A674B">
        <w:rPr>
          <w:sz w:val="22"/>
          <w:szCs w:val="22"/>
        </w:rPr>
        <w:t xml:space="preserve">nationally representative </w:t>
      </w:r>
      <w:r w:rsidR="0073699E" w:rsidRPr="000A674B">
        <w:rPr>
          <w:sz w:val="22"/>
          <w:szCs w:val="22"/>
        </w:rPr>
        <w:t xml:space="preserve">survey </w:t>
      </w:r>
      <w:r w:rsidR="001C5A6E" w:rsidRPr="000A674B">
        <w:rPr>
          <w:sz w:val="22"/>
          <w:szCs w:val="22"/>
        </w:rPr>
        <w:t xml:space="preserve">outside of the AABS and SPPA </w:t>
      </w:r>
      <w:r w:rsidR="0073699E" w:rsidRPr="000A674B">
        <w:rPr>
          <w:sz w:val="22"/>
          <w:szCs w:val="22"/>
        </w:rPr>
        <w:t xml:space="preserve">that allows for tracking </w:t>
      </w:r>
      <w:r>
        <w:rPr>
          <w:sz w:val="22"/>
          <w:szCs w:val="22"/>
        </w:rPr>
        <w:t xml:space="preserve">of public </w:t>
      </w:r>
      <w:r w:rsidR="0073699E" w:rsidRPr="000A674B">
        <w:rPr>
          <w:sz w:val="22"/>
          <w:szCs w:val="22"/>
        </w:rPr>
        <w:t xml:space="preserve">participation </w:t>
      </w:r>
      <w:r>
        <w:rPr>
          <w:sz w:val="22"/>
          <w:szCs w:val="22"/>
        </w:rPr>
        <w:t xml:space="preserve">in the arts </w:t>
      </w:r>
      <w:r w:rsidR="00247CF8" w:rsidRPr="000A674B">
        <w:rPr>
          <w:sz w:val="22"/>
          <w:szCs w:val="22"/>
        </w:rPr>
        <w:t xml:space="preserve">on an annual basis </w:t>
      </w:r>
      <w:r w:rsidR="0073699E" w:rsidRPr="000A674B">
        <w:rPr>
          <w:sz w:val="22"/>
          <w:szCs w:val="22"/>
        </w:rPr>
        <w:t xml:space="preserve">and </w:t>
      </w:r>
      <w:r>
        <w:rPr>
          <w:sz w:val="22"/>
          <w:szCs w:val="22"/>
        </w:rPr>
        <w:t xml:space="preserve">for </w:t>
      </w:r>
      <w:r w:rsidR="0073699E" w:rsidRPr="000A674B">
        <w:rPr>
          <w:sz w:val="22"/>
          <w:szCs w:val="22"/>
        </w:rPr>
        <w:t xml:space="preserve">analysis by demographic and </w:t>
      </w:r>
      <w:r w:rsidR="0073699E" w:rsidRPr="000A674B">
        <w:rPr>
          <w:sz w:val="22"/>
          <w:szCs w:val="22"/>
        </w:rPr>
        <w:lastRenderedPageBreak/>
        <w:t>geographic subgroups.</w:t>
      </w:r>
      <w:r w:rsidR="00FF06FF" w:rsidRPr="000A674B">
        <w:rPr>
          <w:sz w:val="22"/>
          <w:szCs w:val="22"/>
        </w:rPr>
        <w:t xml:space="preserve">  </w:t>
      </w:r>
    </w:p>
    <w:p w14:paraId="62F0207F" w14:textId="77777777" w:rsidR="00FE68DE" w:rsidRPr="000A674B" w:rsidRDefault="00FE68DE" w:rsidP="002F3560">
      <w:pPr>
        <w:tabs>
          <w:tab w:val="left" w:pos="204"/>
        </w:tabs>
        <w:rPr>
          <w:color w:val="17365D"/>
          <w:sz w:val="22"/>
          <w:szCs w:val="22"/>
        </w:rPr>
      </w:pPr>
    </w:p>
    <w:p w14:paraId="311B856C" w14:textId="29DFCCAC" w:rsidR="00FE68DE" w:rsidRPr="000A674B" w:rsidRDefault="00EC4C22" w:rsidP="002F3560">
      <w:pPr>
        <w:pStyle w:val="p3"/>
        <w:jc w:val="left"/>
        <w:rPr>
          <w:b/>
          <w:bCs/>
          <w:sz w:val="22"/>
          <w:szCs w:val="22"/>
        </w:rPr>
      </w:pPr>
      <w:r w:rsidRPr="000A674B">
        <w:rPr>
          <w:b/>
          <w:bCs/>
          <w:sz w:val="22"/>
          <w:szCs w:val="22"/>
        </w:rPr>
        <w:t>A.5.</w:t>
      </w:r>
      <w:r w:rsidR="007D6A26" w:rsidRPr="000A674B">
        <w:rPr>
          <w:b/>
          <w:bCs/>
          <w:sz w:val="22"/>
          <w:szCs w:val="22"/>
        </w:rPr>
        <w:t xml:space="preserve"> </w:t>
      </w:r>
      <w:r w:rsidRPr="000A674B">
        <w:rPr>
          <w:b/>
          <w:bCs/>
          <w:sz w:val="22"/>
          <w:szCs w:val="22"/>
        </w:rPr>
        <w:t>Minimizing Burden in Small Businesses or Small Entities</w:t>
      </w:r>
    </w:p>
    <w:p w14:paraId="07DA5F8C" w14:textId="77777777" w:rsidR="00FE68DE" w:rsidRPr="000A674B" w:rsidRDefault="00FE68DE" w:rsidP="002F3560">
      <w:pPr>
        <w:tabs>
          <w:tab w:val="left" w:pos="204"/>
        </w:tabs>
        <w:rPr>
          <w:sz w:val="22"/>
          <w:szCs w:val="22"/>
        </w:rPr>
      </w:pPr>
    </w:p>
    <w:p w14:paraId="5F903322" w14:textId="77777777" w:rsidR="00FE68DE" w:rsidRPr="000A674B" w:rsidRDefault="00EC4C22" w:rsidP="002F3560">
      <w:pPr>
        <w:pStyle w:val="p3"/>
        <w:jc w:val="left"/>
        <w:rPr>
          <w:sz w:val="22"/>
          <w:szCs w:val="22"/>
        </w:rPr>
      </w:pPr>
      <w:r w:rsidRPr="000A674B">
        <w:rPr>
          <w:sz w:val="22"/>
          <w:szCs w:val="22"/>
        </w:rPr>
        <w:t>Not applicable. The collection of public participation in the arts information does not involve small businesses or other small entities.</w:t>
      </w:r>
    </w:p>
    <w:p w14:paraId="263BB4C6" w14:textId="77777777" w:rsidR="00FE68DE" w:rsidRPr="000A674B" w:rsidRDefault="00FE68DE" w:rsidP="002F3560">
      <w:pPr>
        <w:tabs>
          <w:tab w:val="left" w:pos="204"/>
        </w:tabs>
        <w:rPr>
          <w:sz w:val="22"/>
          <w:szCs w:val="22"/>
        </w:rPr>
      </w:pPr>
    </w:p>
    <w:p w14:paraId="5B92E725" w14:textId="09BBB668" w:rsidR="00FE68DE" w:rsidRPr="000A674B" w:rsidRDefault="00EC4C22" w:rsidP="002F3560">
      <w:pPr>
        <w:pStyle w:val="p6"/>
        <w:ind w:left="776"/>
        <w:jc w:val="left"/>
        <w:rPr>
          <w:b/>
          <w:bCs/>
          <w:sz w:val="22"/>
          <w:szCs w:val="22"/>
        </w:rPr>
      </w:pPr>
      <w:r w:rsidRPr="000A674B">
        <w:rPr>
          <w:b/>
          <w:bCs/>
          <w:sz w:val="22"/>
          <w:szCs w:val="22"/>
        </w:rPr>
        <w:t>A.6.</w:t>
      </w:r>
      <w:r w:rsidR="007D6A26" w:rsidRPr="000A674B">
        <w:rPr>
          <w:b/>
          <w:bCs/>
          <w:sz w:val="22"/>
          <w:szCs w:val="22"/>
        </w:rPr>
        <w:t xml:space="preserve"> </w:t>
      </w:r>
      <w:r w:rsidRPr="000A674B">
        <w:rPr>
          <w:b/>
          <w:bCs/>
          <w:sz w:val="22"/>
          <w:szCs w:val="22"/>
        </w:rPr>
        <w:t>Consequences of Less Frequent Data Collection</w:t>
      </w:r>
    </w:p>
    <w:p w14:paraId="2DBA60C4" w14:textId="77777777" w:rsidR="00FE68DE" w:rsidRPr="000A674B" w:rsidRDefault="00FE68DE" w:rsidP="002F3560">
      <w:pPr>
        <w:tabs>
          <w:tab w:val="left" w:pos="776"/>
        </w:tabs>
        <w:rPr>
          <w:b/>
          <w:bCs/>
          <w:sz w:val="22"/>
          <w:szCs w:val="22"/>
        </w:rPr>
      </w:pPr>
    </w:p>
    <w:p w14:paraId="621F0F60" w14:textId="11F50D43" w:rsidR="00F06E88" w:rsidRPr="000A674B" w:rsidRDefault="00EC4C22" w:rsidP="002F3560">
      <w:pPr>
        <w:pStyle w:val="p3"/>
        <w:jc w:val="left"/>
        <w:rPr>
          <w:sz w:val="22"/>
          <w:szCs w:val="22"/>
        </w:rPr>
      </w:pPr>
      <w:r w:rsidRPr="000A674B">
        <w:rPr>
          <w:sz w:val="22"/>
          <w:szCs w:val="22"/>
        </w:rPr>
        <w:t>The goal of NEA is to conduct the AABS on an annual basis</w:t>
      </w:r>
      <w:r w:rsidR="00247CF8" w:rsidRPr="000A674B">
        <w:rPr>
          <w:sz w:val="22"/>
          <w:szCs w:val="22"/>
        </w:rPr>
        <w:t xml:space="preserve"> (except for when the SPPA is conducted)</w:t>
      </w:r>
      <w:r w:rsidRPr="000A674B">
        <w:rPr>
          <w:sz w:val="22"/>
          <w:szCs w:val="22"/>
        </w:rPr>
        <w:t xml:space="preserve"> in order to enable policymakers and arts administrators </w:t>
      </w:r>
      <w:r w:rsidR="001C5A6E" w:rsidRPr="000A674B">
        <w:rPr>
          <w:sz w:val="22"/>
          <w:szCs w:val="22"/>
        </w:rPr>
        <w:t xml:space="preserve">to </w:t>
      </w:r>
      <w:r w:rsidRPr="000A674B">
        <w:rPr>
          <w:sz w:val="22"/>
          <w:szCs w:val="22"/>
        </w:rPr>
        <w:t xml:space="preserve">make decisions using reliable and recent information. </w:t>
      </w:r>
    </w:p>
    <w:p w14:paraId="2A75F99E" w14:textId="77777777" w:rsidR="004110EC" w:rsidRPr="000A674B" w:rsidRDefault="004110EC" w:rsidP="002F3560">
      <w:pPr>
        <w:pStyle w:val="p3"/>
        <w:jc w:val="left"/>
        <w:rPr>
          <w:sz w:val="22"/>
          <w:szCs w:val="22"/>
        </w:rPr>
      </w:pPr>
    </w:p>
    <w:p w14:paraId="0AF5E6A9" w14:textId="0151780C" w:rsidR="00FE68DE" w:rsidRPr="000A674B" w:rsidRDefault="00EC4C22" w:rsidP="002F3560">
      <w:pPr>
        <w:pStyle w:val="p3"/>
        <w:jc w:val="left"/>
        <w:rPr>
          <w:b/>
          <w:bCs/>
          <w:sz w:val="22"/>
          <w:szCs w:val="22"/>
        </w:rPr>
      </w:pPr>
      <w:r w:rsidRPr="000A674B">
        <w:rPr>
          <w:b/>
          <w:bCs/>
          <w:sz w:val="22"/>
          <w:szCs w:val="22"/>
        </w:rPr>
        <w:t>A.7.</w:t>
      </w:r>
      <w:r w:rsidR="007D6A26" w:rsidRPr="000A674B">
        <w:rPr>
          <w:b/>
          <w:bCs/>
          <w:sz w:val="22"/>
          <w:szCs w:val="22"/>
        </w:rPr>
        <w:t xml:space="preserve"> </w:t>
      </w:r>
      <w:r w:rsidRPr="000A674B">
        <w:rPr>
          <w:b/>
          <w:bCs/>
          <w:sz w:val="22"/>
          <w:szCs w:val="22"/>
        </w:rPr>
        <w:t>Special Circumstances</w:t>
      </w:r>
    </w:p>
    <w:p w14:paraId="169EA715" w14:textId="77777777" w:rsidR="00FE68DE" w:rsidRPr="000A674B" w:rsidRDefault="00FE68DE" w:rsidP="002F3560">
      <w:pPr>
        <w:pStyle w:val="p3"/>
        <w:widowControl/>
        <w:autoSpaceDE/>
        <w:autoSpaceDN/>
        <w:adjustRightInd/>
        <w:jc w:val="left"/>
        <w:rPr>
          <w:sz w:val="22"/>
          <w:szCs w:val="22"/>
        </w:rPr>
      </w:pPr>
    </w:p>
    <w:p w14:paraId="5F7C8141" w14:textId="77777777" w:rsidR="00FE68DE" w:rsidRPr="000A674B" w:rsidRDefault="00EC4C22" w:rsidP="002F3560">
      <w:pPr>
        <w:pStyle w:val="p3"/>
        <w:jc w:val="left"/>
        <w:rPr>
          <w:sz w:val="22"/>
          <w:szCs w:val="22"/>
        </w:rPr>
      </w:pPr>
      <w:r w:rsidRPr="000A674B">
        <w:rPr>
          <w:sz w:val="22"/>
          <w:szCs w:val="22"/>
        </w:rPr>
        <w:t>There are no special circumstances that apply to the AABS.</w:t>
      </w:r>
    </w:p>
    <w:p w14:paraId="74D17D3A" w14:textId="77777777" w:rsidR="004110EC" w:rsidRPr="000A674B" w:rsidRDefault="004110EC" w:rsidP="002F3560">
      <w:pPr>
        <w:pStyle w:val="p3"/>
        <w:jc w:val="left"/>
        <w:rPr>
          <w:color w:val="17365D"/>
          <w:sz w:val="22"/>
          <w:szCs w:val="22"/>
        </w:rPr>
      </w:pPr>
    </w:p>
    <w:p w14:paraId="23BE006D" w14:textId="2D7703AE" w:rsidR="00FE68DE" w:rsidRPr="000A674B" w:rsidRDefault="00EC4C22" w:rsidP="002F3560">
      <w:pPr>
        <w:pStyle w:val="p6"/>
        <w:ind w:left="776"/>
        <w:jc w:val="left"/>
        <w:rPr>
          <w:b/>
          <w:bCs/>
          <w:sz w:val="22"/>
          <w:szCs w:val="22"/>
        </w:rPr>
      </w:pPr>
      <w:r w:rsidRPr="000A674B">
        <w:rPr>
          <w:b/>
          <w:bCs/>
          <w:sz w:val="22"/>
          <w:szCs w:val="22"/>
        </w:rPr>
        <w:t>A.8.</w:t>
      </w:r>
      <w:r w:rsidR="007D6A26" w:rsidRPr="000A674B">
        <w:rPr>
          <w:b/>
          <w:bCs/>
          <w:sz w:val="22"/>
          <w:szCs w:val="22"/>
        </w:rPr>
        <w:t xml:space="preserve"> </w:t>
      </w:r>
      <w:r w:rsidRPr="000A674B">
        <w:rPr>
          <w:b/>
          <w:bCs/>
          <w:sz w:val="22"/>
          <w:szCs w:val="22"/>
        </w:rPr>
        <w:t>Public Comment and Consultations Outside the Agency</w:t>
      </w:r>
    </w:p>
    <w:p w14:paraId="4B230DDE" w14:textId="77777777" w:rsidR="00FE68DE" w:rsidRPr="000A674B" w:rsidRDefault="00FE68DE" w:rsidP="002F3560">
      <w:pPr>
        <w:tabs>
          <w:tab w:val="left" w:pos="776"/>
        </w:tabs>
        <w:rPr>
          <w:b/>
          <w:bCs/>
          <w:sz w:val="22"/>
          <w:szCs w:val="22"/>
        </w:rPr>
      </w:pPr>
    </w:p>
    <w:p w14:paraId="1AD7E74D" w14:textId="2266411B" w:rsidR="00FE68DE" w:rsidRPr="000A674B" w:rsidRDefault="00EC4C22" w:rsidP="00873EB5">
      <w:pPr>
        <w:rPr>
          <w:sz w:val="22"/>
          <w:szCs w:val="22"/>
        </w:rPr>
      </w:pPr>
      <w:r w:rsidRPr="000A674B">
        <w:rPr>
          <w:sz w:val="22"/>
          <w:szCs w:val="22"/>
        </w:rPr>
        <w:t>A notice was published in the Federal Register (</w:t>
      </w:r>
      <w:r w:rsidR="00A83BBC" w:rsidRPr="000A674B">
        <w:rPr>
          <w:sz w:val="22"/>
          <w:szCs w:val="22"/>
        </w:rPr>
        <w:t>Document #2017-06326</w:t>
      </w:r>
      <w:r w:rsidRPr="000A674B">
        <w:rPr>
          <w:sz w:val="22"/>
          <w:szCs w:val="22"/>
        </w:rPr>
        <w:t xml:space="preserve">) on </w:t>
      </w:r>
      <w:r w:rsidR="00A83BBC" w:rsidRPr="000A674B">
        <w:rPr>
          <w:sz w:val="22"/>
          <w:szCs w:val="22"/>
        </w:rPr>
        <w:t>March 31, 2017</w:t>
      </w:r>
      <w:r w:rsidR="00E27DBD" w:rsidRPr="000A674B">
        <w:rPr>
          <w:sz w:val="22"/>
          <w:szCs w:val="22"/>
        </w:rPr>
        <w:t xml:space="preserve">, </w:t>
      </w:r>
      <w:r w:rsidR="00FE68DE" w:rsidRPr="000A674B">
        <w:rPr>
          <w:sz w:val="22"/>
          <w:szCs w:val="22"/>
        </w:rPr>
        <w:t xml:space="preserve">to solicit comments on the </w:t>
      </w:r>
      <w:r w:rsidRPr="000A674B">
        <w:rPr>
          <w:sz w:val="22"/>
          <w:szCs w:val="22"/>
        </w:rPr>
        <w:t xml:space="preserve">benchmarking survey prior to submission of this OMB clearance request. (A copy of this notice is in Attachment B.) </w:t>
      </w:r>
      <w:r w:rsidR="00873EB5" w:rsidRPr="000A674B">
        <w:rPr>
          <w:sz w:val="22"/>
          <w:szCs w:val="22"/>
        </w:rPr>
        <w:t xml:space="preserve">One comment was received. </w:t>
      </w:r>
      <w:r w:rsidRPr="000A674B">
        <w:rPr>
          <w:sz w:val="22"/>
          <w:szCs w:val="22"/>
        </w:rPr>
        <w:t xml:space="preserve">The second Federal Register Notice was published on </w:t>
      </w:r>
      <w:r w:rsidR="00B4066E" w:rsidRPr="000A674B">
        <w:rPr>
          <w:sz w:val="22"/>
          <w:szCs w:val="22"/>
        </w:rPr>
        <w:t>June 2,</w:t>
      </w:r>
      <w:r w:rsidRPr="000A674B">
        <w:rPr>
          <w:sz w:val="22"/>
          <w:szCs w:val="22"/>
        </w:rPr>
        <w:t xml:space="preserve"> 201</w:t>
      </w:r>
      <w:r w:rsidR="001C5A6E" w:rsidRPr="000A674B">
        <w:rPr>
          <w:sz w:val="22"/>
          <w:szCs w:val="22"/>
        </w:rPr>
        <w:t>7</w:t>
      </w:r>
      <w:r w:rsidRPr="000A674B">
        <w:rPr>
          <w:sz w:val="22"/>
          <w:szCs w:val="22"/>
        </w:rPr>
        <w:t xml:space="preserve"> (</w:t>
      </w:r>
      <w:r w:rsidR="001C5A6E" w:rsidRPr="000A674B">
        <w:rPr>
          <w:sz w:val="22"/>
          <w:szCs w:val="22"/>
        </w:rPr>
        <w:t>Document #2017-</w:t>
      </w:r>
      <w:r w:rsidR="00B4066E" w:rsidRPr="000A674B">
        <w:rPr>
          <w:sz w:val="22"/>
          <w:szCs w:val="22"/>
        </w:rPr>
        <w:t>11405</w:t>
      </w:r>
      <w:r w:rsidRPr="000A674B">
        <w:rPr>
          <w:sz w:val="22"/>
          <w:szCs w:val="22"/>
        </w:rPr>
        <w:t>).</w:t>
      </w:r>
      <w:r w:rsidR="00FF06FF" w:rsidRPr="000A674B">
        <w:rPr>
          <w:sz w:val="22"/>
          <w:szCs w:val="22"/>
        </w:rPr>
        <w:t xml:space="preserve"> </w:t>
      </w:r>
      <w:r w:rsidRPr="000A674B">
        <w:rPr>
          <w:sz w:val="22"/>
          <w:szCs w:val="22"/>
        </w:rPr>
        <w:t>(A copy of this notice is in Attachment C.)</w:t>
      </w:r>
      <w:r w:rsidR="00FF06FF" w:rsidRPr="000A674B">
        <w:rPr>
          <w:sz w:val="22"/>
          <w:szCs w:val="22"/>
        </w:rPr>
        <w:t xml:space="preserve"> </w:t>
      </w:r>
    </w:p>
    <w:p w14:paraId="67D12CCB" w14:textId="77777777" w:rsidR="000A63D6" w:rsidRPr="000A674B" w:rsidRDefault="000A63D6" w:rsidP="002F3560">
      <w:pPr>
        <w:pStyle w:val="p3"/>
        <w:jc w:val="left"/>
        <w:rPr>
          <w:sz w:val="22"/>
          <w:szCs w:val="22"/>
        </w:rPr>
      </w:pPr>
    </w:p>
    <w:p w14:paraId="5EB04DF2" w14:textId="3F5D67CB" w:rsidR="000A63D6" w:rsidRPr="000A674B" w:rsidRDefault="00EC4C22" w:rsidP="002F3560">
      <w:pPr>
        <w:pStyle w:val="p3"/>
        <w:jc w:val="left"/>
        <w:rPr>
          <w:sz w:val="22"/>
          <w:szCs w:val="22"/>
        </w:rPr>
      </w:pPr>
      <w:r w:rsidRPr="000A674B">
        <w:rPr>
          <w:sz w:val="22"/>
          <w:szCs w:val="22"/>
        </w:rPr>
        <w:t xml:space="preserve">The AABS questions are essentially from the SPPA questionnaire and were selected </w:t>
      </w:r>
      <w:bookmarkStart w:id="0" w:name="_GoBack"/>
      <w:bookmarkEnd w:id="0"/>
      <w:r w:rsidRPr="000A674B">
        <w:rPr>
          <w:sz w:val="22"/>
          <w:szCs w:val="22"/>
        </w:rPr>
        <w:t>by a team internal to the NEA.</w:t>
      </w:r>
      <w:r w:rsidR="00FF06FF" w:rsidRPr="000A674B">
        <w:rPr>
          <w:sz w:val="22"/>
          <w:szCs w:val="22"/>
        </w:rPr>
        <w:t xml:space="preserve"> </w:t>
      </w:r>
      <w:r w:rsidRPr="000A674B">
        <w:rPr>
          <w:sz w:val="22"/>
          <w:szCs w:val="22"/>
        </w:rPr>
        <w:t>The SPPA questionnaire was developed by extensive advisory panel</w:t>
      </w:r>
      <w:r w:rsidR="001C5A6E" w:rsidRPr="000A674B">
        <w:rPr>
          <w:sz w:val="22"/>
          <w:szCs w:val="22"/>
        </w:rPr>
        <w:t>s</w:t>
      </w:r>
      <w:r w:rsidRPr="000A674B">
        <w:rPr>
          <w:sz w:val="22"/>
          <w:szCs w:val="22"/>
        </w:rPr>
        <w:t xml:space="preserve"> of academicians and users of national arts data.</w:t>
      </w:r>
    </w:p>
    <w:p w14:paraId="2CAB33D4" w14:textId="77777777" w:rsidR="00B43697" w:rsidRPr="000A674B" w:rsidRDefault="00B43697" w:rsidP="002F3560">
      <w:pPr>
        <w:pStyle w:val="p3"/>
        <w:jc w:val="left"/>
        <w:rPr>
          <w:sz w:val="22"/>
          <w:szCs w:val="22"/>
        </w:rPr>
      </w:pPr>
    </w:p>
    <w:p w14:paraId="3EF0099B" w14:textId="6D6E820E" w:rsidR="00B43697" w:rsidRPr="000A674B" w:rsidRDefault="00EC4C22" w:rsidP="002F3560">
      <w:pPr>
        <w:tabs>
          <w:tab w:val="left" w:pos="204"/>
        </w:tabs>
        <w:rPr>
          <w:sz w:val="22"/>
          <w:szCs w:val="22"/>
        </w:rPr>
      </w:pPr>
      <w:r w:rsidRPr="000A674B">
        <w:rPr>
          <w:sz w:val="22"/>
          <w:szCs w:val="22"/>
        </w:rPr>
        <w:t>The AABS survey instruments are included in the appendix (Attachment D).</w:t>
      </w:r>
      <w:r w:rsidR="00FF06FF" w:rsidRPr="000A674B">
        <w:rPr>
          <w:sz w:val="22"/>
          <w:szCs w:val="22"/>
        </w:rPr>
        <w:t xml:space="preserve"> </w:t>
      </w:r>
      <w:r w:rsidR="00247CF8" w:rsidRPr="000A674B">
        <w:rPr>
          <w:sz w:val="22"/>
          <w:szCs w:val="22"/>
        </w:rPr>
        <w:t>To remain consisten</w:t>
      </w:r>
      <w:r w:rsidR="007F2142" w:rsidRPr="000A674B">
        <w:rPr>
          <w:sz w:val="22"/>
          <w:szCs w:val="22"/>
        </w:rPr>
        <w:t>t</w:t>
      </w:r>
      <w:r w:rsidR="00247CF8" w:rsidRPr="000A674B">
        <w:rPr>
          <w:sz w:val="22"/>
          <w:szCs w:val="22"/>
        </w:rPr>
        <w:t xml:space="preserve"> with previous waves of the AABS, the </w:t>
      </w:r>
      <w:r w:rsidRPr="000A674B">
        <w:rPr>
          <w:sz w:val="22"/>
          <w:szCs w:val="22"/>
        </w:rPr>
        <w:t>surveys will be conducted on a rotating basis:</w:t>
      </w:r>
      <w:r w:rsidR="00FF06FF" w:rsidRPr="000A674B">
        <w:rPr>
          <w:sz w:val="22"/>
          <w:szCs w:val="22"/>
        </w:rPr>
        <w:t xml:space="preserve"> </w:t>
      </w:r>
      <w:r w:rsidRPr="000A674B">
        <w:rPr>
          <w:sz w:val="22"/>
          <w:szCs w:val="22"/>
        </w:rPr>
        <w:t xml:space="preserve">the survey with questions on arts attendance and arts learning will be conducted </w:t>
      </w:r>
      <w:r w:rsidR="00247CF8" w:rsidRPr="000A674B">
        <w:rPr>
          <w:sz w:val="22"/>
          <w:szCs w:val="22"/>
        </w:rPr>
        <w:t>in odd years (</w:t>
      </w:r>
      <w:r w:rsidRPr="000A674B">
        <w:rPr>
          <w:sz w:val="22"/>
          <w:szCs w:val="22"/>
        </w:rPr>
        <w:t>FY 201</w:t>
      </w:r>
      <w:r w:rsidR="00A26287" w:rsidRPr="000A674B">
        <w:rPr>
          <w:sz w:val="22"/>
          <w:szCs w:val="22"/>
        </w:rPr>
        <w:t>9</w:t>
      </w:r>
      <w:r w:rsidRPr="000A674B">
        <w:rPr>
          <w:sz w:val="22"/>
          <w:szCs w:val="22"/>
        </w:rPr>
        <w:t xml:space="preserve"> and FY 20</w:t>
      </w:r>
      <w:r w:rsidR="00A26287" w:rsidRPr="000A674B">
        <w:rPr>
          <w:sz w:val="22"/>
          <w:szCs w:val="22"/>
        </w:rPr>
        <w:t>21</w:t>
      </w:r>
      <w:r w:rsidR="00247CF8" w:rsidRPr="000A674B">
        <w:rPr>
          <w:sz w:val="22"/>
          <w:szCs w:val="22"/>
        </w:rPr>
        <w:t>)</w:t>
      </w:r>
      <w:r w:rsidR="00DA408B" w:rsidRPr="000A674B">
        <w:rPr>
          <w:sz w:val="22"/>
          <w:szCs w:val="22"/>
        </w:rPr>
        <w:t>.</w:t>
      </w:r>
      <w:r w:rsidR="00FF06FF" w:rsidRPr="000A674B">
        <w:rPr>
          <w:sz w:val="22"/>
          <w:szCs w:val="22"/>
        </w:rPr>
        <w:t xml:space="preserve"> </w:t>
      </w:r>
      <w:r w:rsidR="00DA408B" w:rsidRPr="000A674B">
        <w:rPr>
          <w:sz w:val="22"/>
          <w:szCs w:val="22"/>
        </w:rPr>
        <w:t xml:space="preserve">The </w:t>
      </w:r>
      <w:r w:rsidR="00414508" w:rsidRPr="000A674B">
        <w:rPr>
          <w:sz w:val="22"/>
          <w:szCs w:val="22"/>
        </w:rPr>
        <w:t>survey</w:t>
      </w:r>
      <w:r w:rsidRPr="000A674B">
        <w:rPr>
          <w:sz w:val="22"/>
          <w:szCs w:val="22"/>
        </w:rPr>
        <w:t xml:space="preserve"> with questions on arts creation and </w:t>
      </w:r>
      <w:r w:rsidR="0073699E" w:rsidRPr="000A674B">
        <w:rPr>
          <w:sz w:val="22"/>
          <w:szCs w:val="22"/>
        </w:rPr>
        <w:t>performance</w:t>
      </w:r>
      <w:r w:rsidRPr="000A674B">
        <w:rPr>
          <w:sz w:val="22"/>
          <w:szCs w:val="22"/>
        </w:rPr>
        <w:t xml:space="preserve"> will be conducted </w:t>
      </w:r>
      <w:r w:rsidR="00247CF8" w:rsidRPr="000A674B">
        <w:rPr>
          <w:sz w:val="22"/>
          <w:szCs w:val="22"/>
        </w:rPr>
        <w:t>in even years (</w:t>
      </w:r>
      <w:r w:rsidRPr="000A674B">
        <w:rPr>
          <w:sz w:val="22"/>
          <w:szCs w:val="22"/>
        </w:rPr>
        <w:t>FY 201</w:t>
      </w:r>
      <w:r w:rsidR="00A26287" w:rsidRPr="000A674B">
        <w:rPr>
          <w:sz w:val="22"/>
          <w:szCs w:val="22"/>
        </w:rPr>
        <w:t>8 and FY 2020</w:t>
      </w:r>
      <w:r w:rsidR="00247CF8" w:rsidRPr="000A674B">
        <w:rPr>
          <w:sz w:val="22"/>
          <w:szCs w:val="22"/>
        </w:rPr>
        <w:t>)</w:t>
      </w:r>
      <w:r w:rsidRPr="000A674B">
        <w:rPr>
          <w:sz w:val="22"/>
          <w:szCs w:val="22"/>
        </w:rPr>
        <w:t xml:space="preserve">. </w:t>
      </w:r>
      <w:r w:rsidR="00715507" w:rsidRPr="000A674B">
        <w:rPr>
          <w:sz w:val="22"/>
          <w:szCs w:val="22"/>
        </w:rPr>
        <w:t xml:space="preserve">This clearance request includes only FY 2018 and FY 2019 waves. </w:t>
      </w:r>
    </w:p>
    <w:p w14:paraId="2C08040B" w14:textId="77777777" w:rsidR="00FE68DE" w:rsidRPr="000A674B" w:rsidRDefault="00FE68DE" w:rsidP="00863DB1">
      <w:pPr>
        <w:tabs>
          <w:tab w:val="left" w:pos="204"/>
        </w:tabs>
        <w:rPr>
          <w:sz w:val="22"/>
          <w:szCs w:val="22"/>
        </w:rPr>
      </w:pPr>
    </w:p>
    <w:p w14:paraId="4A8FF46F" w14:textId="2C158402" w:rsidR="00FE68DE" w:rsidRPr="000A674B" w:rsidRDefault="00EC4C22" w:rsidP="00863DB1">
      <w:pPr>
        <w:pStyle w:val="p2"/>
        <w:ind w:left="771"/>
        <w:rPr>
          <w:b/>
          <w:bCs/>
          <w:sz w:val="22"/>
          <w:szCs w:val="22"/>
        </w:rPr>
      </w:pPr>
      <w:r w:rsidRPr="000A674B">
        <w:rPr>
          <w:b/>
          <w:bCs/>
          <w:sz w:val="22"/>
          <w:szCs w:val="22"/>
        </w:rPr>
        <w:t>A.9.</w:t>
      </w:r>
      <w:r w:rsidR="007D6A26" w:rsidRPr="000A674B">
        <w:rPr>
          <w:b/>
          <w:bCs/>
          <w:sz w:val="22"/>
          <w:szCs w:val="22"/>
        </w:rPr>
        <w:t xml:space="preserve"> </w:t>
      </w:r>
      <w:r w:rsidRPr="000A674B">
        <w:rPr>
          <w:b/>
          <w:bCs/>
          <w:sz w:val="22"/>
          <w:szCs w:val="22"/>
        </w:rPr>
        <w:t>Paying Respondents</w:t>
      </w:r>
    </w:p>
    <w:p w14:paraId="0FA12962" w14:textId="77777777" w:rsidR="00FE68DE" w:rsidRPr="000A674B" w:rsidRDefault="00FE68DE" w:rsidP="00863DB1">
      <w:pPr>
        <w:pStyle w:val="p1"/>
        <w:rPr>
          <w:sz w:val="22"/>
          <w:szCs w:val="22"/>
        </w:rPr>
      </w:pPr>
    </w:p>
    <w:p w14:paraId="34BD4D06" w14:textId="77777777" w:rsidR="00FE68DE" w:rsidRPr="000A674B" w:rsidRDefault="00EC4C22" w:rsidP="00863DB1">
      <w:pPr>
        <w:pStyle w:val="p1"/>
        <w:rPr>
          <w:sz w:val="22"/>
          <w:szCs w:val="22"/>
        </w:rPr>
      </w:pPr>
      <w:r w:rsidRPr="000A674B">
        <w:rPr>
          <w:sz w:val="22"/>
          <w:szCs w:val="22"/>
        </w:rPr>
        <w:t>The Census does not make any payments or provide any gifts to individuals participating in the CPS.</w:t>
      </w:r>
    </w:p>
    <w:p w14:paraId="15BC355D" w14:textId="77777777" w:rsidR="00FE68DE" w:rsidRPr="000A674B" w:rsidRDefault="00FE68DE" w:rsidP="00863DB1">
      <w:pPr>
        <w:pStyle w:val="p1"/>
        <w:rPr>
          <w:sz w:val="22"/>
          <w:szCs w:val="22"/>
        </w:rPr>
      </w:pPr>
    </w:p>
    <w:p w14:paraId="7057F15F" w14:textId="5076158B" w:rsidR="00FE68DE" w:rsidRPr="000A674B" w:rsidRDefault="00EC4C22" w:rsidP="00863DB1">
      <w:pPr>
        <w:pStyle w:val="p2"/>
        <w:ind w:left="771"/>
        <w:rPr>
          <w:b/>
          <w:bCs/>
          <w:sz w:val="22"/>
          <w:szCs w:val="22"/>
        </w:rPr>
      </w:pPr>
      <w:r w:rsidRPr="000A674B">
        <w:rPr>
          <w:b/>
          <w:bCs/>
          <w:sz w:val="22"/>
          <w:szCs w:val="22"/>
        </w:rPr>
        <w:t>A.10.</w:t>
      </w:r>
      <w:r w:rsidR="007D6A26" w:rsidRPr="000A674B">
        <w:rPr>
          <w:b/>
          <w:bCs/>
          <w:sz w:val="22"/>
          <w:szCs w:val="22"/>
        </w:rPr>
        <w:t xml:space="preserve"> </w:t>
      </w:r>
      <w:r w:rsidRPr="000A674B">
        <w:rPr>
          <w:b/>
          <w:bCs/>
          <w:sz w:val="22"/>
          <w:szCs w:val="22"/>
        </w:rPr>
        <w:t>Assurance of Confidentiality</w:t>
      </w:r>
    </w:p>
    <w:p w14:paraId="78D3B960" w14:textId="77777777" w:rsidR="00FE68DE" w:rsidRPr="000A674B" w:rsidRDefault="00FE68DE" w:rsidP="00863DB1">
      <w:pPr>
        <w:pStyle w:val="p1"/>
        <w:rPr>
          <w:sz w:val="22"/>
          <w:szCs w:val="22"/>
        </w:rPr>
      </w:pPr>
    </w:p>
    <w:p w14:paraId="6D7B9F6B" w14:textId="34B72806" w:rsidR="00BD55FB" w:rsidRPr="000A674B" w:rsidRDefault="00EC4C22" w:rsidP="00863DB1">
      <w:pPr>
        <w:pStyle w:val="p1"/>
        <w:rPr>
          <w:sz w:val="22"/>
          <w:szCs w:val="22"/>
        </w:rPr>
      </w:pPr>
      <w:r w:rsidRPr="000A674B">
        <w:rPr>
          <w:sz w:val="22"/>
          <w:szCs w:val="22"/>
        </w:rPr>
        <w:t xml:space="preserve">During the actual AABS, the </w:t>
      </w:r>
      <w:r w:rsidR="008205D4">
        <w:rPr>
          <w:sz w:val="22"/>
          <w:szCs w:val="22"/>
        </w:rPr>
        <w:t xml:space="preserve">U.S. </w:t>
      </w:r>
      <w:r w:rsidRPr="000A674B">
        <w:rPr>
          <w:sz w:val="22"/>
          <w:szCs w:val="22"/>
        </w:rPr>
        <w:t xml:space="preserve">Census Bureau will collect the supplement data in compliance with the Privacy Act of 1974 and the OMB Circular A-130. Each sample household receives an advance letter approximately one week before the start of the initial CPS interview (see Attachment </w:t>
      </w:r>
      <w:r w:rsidR="00D917B2" w:rsidRPr="000A674B">
        <w:rPr>
          <w:sz w:val="22"/>
          <w:szCs w:val="22"/>
        </w:rPr>
        <w:t>E</w:t>
      </w:r>
      <w:r w:rsidRPr="000A674B">
        <w:rPr>
          <w:sz w:val="22"/>
          <w:szCs w:val="22"/>
        </w:rPr>
        <w:t>). The letter includes the information required by the Privacy Act of 1974, explains the voluntary nature of the survey, and states the estimated time required for participating in the survey. Interviewers must ask if the respondent received the letter and, if not, provide a copy and allow the respondent sufficient time to read the contents. Also, interviewers provide households with the pamphlet</w:t>
      </w:r>
      <w:r w:rsidR="00BD55FB" w:rsidRPr="000A674B">
        <w:rPr>
          <w:sz w:val="22"/>
          <w:szCs w:val="22"/>
        </w:rPr>
        <w:t xml:space="preserve"> </w:t>
      </w:r>
      <w:r w:rsidR="00BD55FB" w:rsidRPr="000A674B">
        <w:rPr>
          <w:i/>
          <w:sz w:val="22"/>
          <w:szCs w:val="22"/>
        </w:rPr>
        <w:t xml:space="preserve">The U.S. Census Bureau Respects Your Privacy and Protects Your Personal </w:t>
      </w:r>
      <w:r w:rsidR="00BD55FB" w:rsidRPr="000A674B">
        <w:rPr>
          <w:i/>
          <w:sz w:val="22"/>
          <w:szCs w:val="22"/>
        </w:rPr>
        <w:lastRenderedPageBreak/>
        <w:t xml:space="preserve">Information </w:t>
      </w:r>
      <w:r w:rsidR="00C43A3E" w:rsidRPr="000A674B">
        <w:rPr>
          <w:sz w:val="22"/>
          <w:szCs w:val="22"/>
        </w:rPr>
        <w:t xml:space="preserve">(Attachment </w:t>
      </w:r>
      <w:r w:rsidR="00D917B2" w:rsidRPr="000A674B">
        <w:rPr>
          <w:sz w:val="22"/>
          <w:szCs w:val="22"/>
        </w:rPr>
        <w:t>F</w:t>
      </w:r>
      <w:r w:rsidR="00C43A3E" w:rsidRPr="000A674B">
        <w:rPr>
          <w:sz w:val="22"/>
          <w:szCs w:val="22"/>
        </w:rPr>
        <w:t xml:space="preserve">) </w:t>
      </w:r>
      <w:r w:rsidR="00BD55FB" w:rsidRPr="000A674B">
        <w:rPr>
          <w:sz w:val="22"/>
          <w:szCs w:val="22"/>
        </w:rPr>
        <w:t xml:space="preserve">and </w:t>
      </w:r>
      <w:r w:rsidR="00BD55FB" w:rsidRPr="000A674B">
        <w:rPr>
          <w:i/>
          <w:sz w:val="22"/>
          <w:szCs w:val="22"/>
        </w:rPr>
        <w:t>Fact Sheet for the Current Population Survey</w:t>
      </w:r>
      <w:r w:rsidR="00C43A3E" w:rsidRPr="000A674B">
        <w:rPr>
          <w:sz w:val="22"/>
          <w:szCs w:val="22"/>
        </w:rPr>
        <w:t xml:space="preserve"> (Attachment </w:t>
      </w:r>
      <w:r w:rsidR="00D917B2" w:rsidRPr="000A674B">
        <w:rPr>
          <w:sz w:val="22"/>
          <w:szCs w:val="22"/>
        </w:rPr>
        <w:t>G</w:t>
      </w:r>
      <w:r w:rsidR="00C43A3E" w:rsidRPr="000A674B">
        <w:rPr>
          <w:sz w:val="22"/>
          <w:szCs w:val="22"/>
        </w:rPr>
        <w:t>)</w:t>
      </w:r>
      <w:r w:rsidRPr="000A674B">
        <w:rPr>
          <w:i/>
          <w:iCs/>
          <w:sz w:val="22"/>
          <w:szCs w:val="22"/>
        </w:rPr>
        <w:t xml:space="preserve">, </w:t>
      </w:r>
      <w:r w:rsidRPr="000A674B">
        <w:rPr>
          <w:sz w:val="22"/>
          <w:szCs w:val="22"/>
        </w:rPr>
        <w:t xml:space="preserve">which further states the confidentiality assurances associated with this data collection effort and the </w:t>
      </w:r>
      <w:r w:rsidR="008205D4">
        <w:rPr>
          <w:sz w:val="22"/>
          <w:szCs w:val="22"/>
        </w:rPr>
        <w:t xml:space="preserve">U.S. </w:t>
      </w:r>
      <w:r w:rsidRPr="000A674B">
        <w:rPr>
          <w:sz w:val="22"/>
          <w:szCs w:val="22"/>
        </w:rPr>
        <w:t xml:space="preserve">Census Bureau’s past performance in assuring confidentiality). </w:t>
      </w:r>
    </w:p>
    <w:p w14:paraId="3A9FBC57" w14:textId="77777777" w:rsidR="00BD55FB" w:rsidRPr="000A674B" w:rsidRDefault="00BD55FB" w:rsidP="00863DB1">
      <w:pPr>
        <w:pStyle w:val="p1"/>
        <w:rPr>
          <w:sz w:val="22"/>
          <w:szCs w:val="22"/>
        </w:rPr>
      </w:pPr>
    </w:p>
    <w:p w14:paraId="1D0921CF" w14:textId="71873B0E" w:rsidR="00FE68DE" w:rsidRPr="000A674B" w:rsidRDefault="00EC4C22" w:rsidP="00863DB1">
      <w:pPr>
        <w:pStyle w:val="p1"/>
        <w:rPr>
          <w:sz w:val="22"/>
          <w:szCs w:val="22"/>
        </w:rPr>
      </w:pPr>
      <w:r w:rsidRPr="000A674B">
        <w:rPr>
          <w:sz w:val="22"/>
          <w:szCs w:val="22"/>
        </w:rPr>
        <w:t xml:space="preserve">All information given by respondents to </w:t>
      </w:r>
      <w:r w:rsidR="008205D4">
        <w:rPr>
          <w:sz w:val="22"/>
          <w:szCs w:val="22"/>
        </w:rPr>
        <w:t xml:space="preserve">U.S. </w:t>
      </w:r>
      <w:r w:rsidRPr="000A674B">
        <w:rPr>
          <w:sz w:val="22"/>
          <w:szCs w:val="22"/>
        </w:rPr>
        <w:t xml:space="preserve">Census Bureau employees is held in strict confidence under Title 13, United States Code, Section 9 (see Attachment A). </w:t>
      </w:r>
      <w:r w:rsidR="00A51607" w:rsidRPr="000A674B">
        <w:rPr>
          <w:sz w:val="22"/>
          <w:szCs w:val="22"/>
        </w:rPr>
        <w:t>Every</w:t>
      </w:r>
      <w:r w:rsidRPr="000A674B">
        <w:rPr>
          <w:sz w:val="22"/>
          <w:szCs w:val="22"/>
        </w:rPr>
        <w:t xml:space="preserve"> </w:t>
      </w:r>
      <w:r w:rsidR="008205D4">
        <w:rPr>
          <w:sz w:val="22"/>
          <w:szCs w:val="22"/>
        </w:rPr>
        <w:t xml:space="preserve">U.S. </w:t>
      </w:r>
      <w:r w:rsidRPr="000A674B">
        <w:rPr>
          <w:sz w:val="22"/>
          <w:szCs w:val="22"/>
        </w:rPr>
        <w:t xml:space="preserve">Census Bureau employee has taken an oath to that effect and is subject to a jail penalty </w:t>
      </w:r>
      <w:r w:rsidR="00A51607" w:rsidRPr="000A674B">
        <w:rPr>
          <w:sz w:val="22"/>
          <w:szCs w:val="22"/>
        </w:rPr>
        <w:t>and/</w:t>
      </w:r>
      <w:r w:rsidRPr="000A674B">
        <w:rPr>
          <w:sz w:val="22"/>
          <w:szCs w:val="22"/>
        </w:rPr>
        <w:t>or substantial fine if</w:t>
      </w:r>
      <w:r w:rsidR="00A51607" w:rsidRPr="000A674B">
        <w:rPr>
          <w:sz w:val="22"/>
          <w:szCs w:val="22"/>
        </w:rPr>
        <w:t xml:space="preserve"> they</w:t>
      </w:r>
      <w:r w:rsidRPr="000A674B">
        <w:rPr>
          <w:sz w:val="22"/>
          <w:szCs w:val="22"/>
        </w:rPr>
        <w:t xml:space="preserve"> disclose any information given to </w:t>
      </w:r>
      <w:r w:rsidR="00A51607" w:rsidRPr="000A674B">
        <w:rPr>
          <w:sz w:val="22"/>
          <w:szCs w:val="22"/>
        </w:rPr>
        <w:t>them</w:t>
      </w:r>
      <w:r w:rsidR="0073699E" w:rsidRPr="000A674B">
        <w:rPr>
          <w:sz w:val="22"/>
          <w:szCs w:val="22"/>
        </w:rPr>
        <w:t>.</w:t>
      </w:r>
    </w:p>
    <w:p w14:paraId="0262D1A1" w14:textId="77777777" w:rsidR="00FE68DE" w:rsidRPr="000A674B" w:rsidRDefault="00FE68DE" w:rsidP="00863DB1">
      <w:pPr>
        <w:tabs>
          <w:tab w:val="left" w:pos="204"/>
        </w:tabs>
        <w:rPr>
          <w:sz w:val="22"/>
          <w:szCs w:val="22"/>
        </w:rPr>
      </w:pPr>
    </w:p>
    <w:p w14:paraId="2410AF48" w14:textId="0B9C08D0" w:rsidR="00FE68DE" w:rsidRPr="000A674B" w:rsidRDefault="00EC4C22" w:rsidP="00863DB1">
      <w:pPr>
        <w:pStyle w:val="p4"/>
        <w:ind w:left="952"/>
        <w:jc w:val="left"/>
        <w:rPr>
          <w:b/>
          <w:bCs/>
          <w:sz w:val="22"/>
          <w:szCs w:val="22"/>
        </w:rPr>
      </w:pPr>
      <w:r w:rsidRPr="000A674B">
        <w:rPr>
          <w:b/>
          <w:bCs/>
          <w:sz w:val="22"/>
          <w:szCs w:val="22"/>
        </w:rPr>
        <w:t>A.11.</w:t>
      </w:r>
      <w:r w:rsidR="007D6A26" w:rsidRPr="000A674B">
        <w:rPr>
          <w:b/>
          <w:bCs/>
          <w:sz w:val="22"/>
          <w:szCs w:val="22"/>
        </w:rPr>
        <w:t xml:space="preserve"> </w:t>
      </w:r>
      <w:r w:rsidRPr="000A674B">
        <w:rPr>
          <w:b/>
          <w:bCs/>
          <w:sz w:val="22"/>
          <w:szCs w:val="22"/>
        </w:rPr>
        <w:t>Questions of a Sensitive Nature</w:t>
      </w:r>
    </w:p>
    <w:p w14:paraId="2F2133ED" w14:textId="77777777" w:rsidR="00FE68DE" w:rsidRPr="000A674B" w:rsidRDefault="00FE68DE" w:rsidP="002F3560">
      <w:pPr>
        <w:tabs>
          <w:tab w:val="left" w:pos="952"/>
        </w:tabs>
        <w:rPr>
          <w:sz w:val="22"/>
          <w:szCs w:val="22"/>
        </w:rPr>
      </w:pPr>
    </w:p>
    <w:p w14:paraId="27D1E29E" w14:textId="77777777" w:rsidR="00FE68DE" w:rsidRPr="000A674B" w:rsidRDefault="00EC4C22" w:rsidP="00863DB1">
      <w:pPr>
        <w:pStyle w:val="p1"/>
        <w:rPr>
          <w:sz w:val="22"/>
          <w:szCs w:val="22"/>
        </w:rPr>
      </w:pPr>
      <w:r w:rsidRPr="000A674B">
        <w:rPr>
          <w:sz w:val="22"/>
          <w:szCs w:val="22"/>
        </w:rPr>
        <w:t>The AABS does not include any questions of a sensitive nature.</w:t>
      </w:r>
    </w:p>
    <w:p w14:paraId="39EF80DE" w14:textId="77777777" w:rsidR="004110EC" w:rsidRPr="000A674B" w:rsidRDefault="004110EC" w:rsidP="00863DB1">
      <w:pPr>
        <w:pStyle w:val="p3"/>
        <w:jc w:val="left"/>
        <w:rPr>
          <w:sz w:val="22"/>
          <w:szCs w:val="22"/>
        </w:rPr>
      </w:pPr>
    </w:p>
    <w:p w14:paraId="342FAAB4" w14:textId="7C0AD858" w:rsidR="007A7038" w:rsidRPr="000A674B" w:rsidRDefault="00EC4C22" w:rsidP="00863DB1">
      <w:pPr>
        <w:pStyle w:val="p4"/>
        <w:ind w:left="952"/>
        <w:jc w:val="left"/>
        <w:rPr>
          <w:b/>
          <w:bCs/>
          <w:sz w:val="22"/>
          <w:szCs w:val="22"/>
        </w:rPr>
      </w:pPr>
      <w:r w:rsidRPr="000A674B">
        <w:rPr>
          <w:b/>
          <w:bCs/>
          <w:sz w:val="22"/>
          <w:szCs w:val="22"/>
        </w:rPr>
        <w:t>A.12.</w:t>
      </w:r>
      <w:r w:rsidR="007D6A26" w:rsidRPr="000A674B">
        <w:rPr>
          <w:b/>
          <w:bCs/>
          <w:sz w:val="22"/>
          <w:szCs w:val="22"/>
        </w:rPr>
        <w:t xml:space="preserve"> </w:t>
      </w:r>
      <w:r w:rsidRPr="000A674B">
        <w:rPr>
          <w:b/>
          <w:bCs/>
          <w:sz w:val="22"/>
          <w:szCs w:val="22"/>
        </w:rPr>
        <w:t>Estimate of Hour Burden</w:t>
      </w:r>
    </w:p>
    <w:p w14:paraId="23B47E01" w14:textId="77777777" w:rsidR="007A7038" w:rsidRPr="000A674B" w:rsidRDefault="007A7038" w:rsidP="002F3560">
      <w:pPr>
        <w:rPr>
          <w:sz w:val="22"/>
          <w:szCs w:val="22"/>
        </w:rPr>
      </w:pPr>
    </w:p>
    <w:p w14:paraId="5E52B232" w14:textId="010A79D1" w:rsidR="004162F4" w:rsidRPr="000A674B" w:rsidRDefault="00EC4C22" w:rsidP="002F3560">
      <w:pPr>
        <w:pStyle w:val="p1"/>
        <w:rPr>
          <w:sz w:val="22"/>
          <w:szCs w:val="22"/>
        </w:rPr>
      </w:pPr>
      <w:r w:rsidRPr="000A674B">
        <w:rPr>
          <w:sz w:val="22"/>
          <w:szCs w:val="22"/>
        </w:rPr>
        <w:t xml:space="preserve">The estimated respondent burden is 2,400 hours </w:t>
      </w:r>
      <w:r w:rsidR="00015562" w:rsidRPr="000A674B">
        <w:rPr>
          <w:sz w:val="22"/>
          <w:szCs w:val="22"/>
        </w:rPr>
        <w:t xml:space="preserve">in total </w:t>
      </w:r>
      <w:r w:rsidR="004162F4" w:rsidRPr="000A674B">
        <w:rPr>
          <w:sz w:val="22"/>
          <w:szCs w:val="22"/>
        </w:rPr>
        <w:t>for fiscal year</w:t>
      </w:r>
      <w:r w:rsidR="00015562" w:rsidRPr="000A674B">
        <w:rPr>
          <w:sz w:val="22"/>
          <w:szCs w:val="22"/>
        </w:rPr>
        <w:t>s</w:t>
      </w:r>
      <w:r w:rsidR="004162F4" w:rsidRPr="000A674B">
        <w:rPr>
          <w:sz w:val="22"/>
          <w:szCs w:val="22"/>
        </w:rPr>
        <w:t xml:space="preserve"> (FY) 201</w:t>
      </w:r>
      <w:r w:rsidR="000D0A7B" w:rsidRPr="000A674B">
        <w:rPr>
          <w:sz w:val="22"/>
          <w:szCs w:val="22"/>
        </w:rPr>
        <w:t>8</w:t>
      </w:r>
      <w:r w:rsidR="00DB6A2F" w:rsidRPr="000A674B">
        <w:rPr>
          <w:sz w:val="22"/>
          <w:szCs w:val="22"/>
        </w:rPr>
        <w:t xml:space="preserve"> and 201</w:t>
      </w:r>
      <w:r w:rsidR="000D0A7B" w:rsidRPr="000A674B">
        <w:rPr>
          <w:sz w:val="22"/>
          <w:szCs w:val="22"/>
        </w:rPr>
        <w:t>9</w:t>
      </w:r>
      <w:r w:rsidR="004162F4" w:rsidRPr="000A674B">
        <w:rPr>
          <w:sz w:val="22"/>
          <w:szCs w:val="22"/>
        </w:rPr>
        <w:t xml:space="preserve">. This is based on an average </w:t>
      </w:r>
      <w:r w:rsidR="001E014C" w:rsidRPr="000A674B">
        <w:rPr>
          <w:sz w:val="22"/>
          <w:szCs w:val="22"/>
        </w:rPr>
        <w:t>4</w:t>
      </w:r>
      <w:r w:rsidR="004162F4" w:rsidRPr="000A674B">
        <w:rPr>
          <w:sz w:val="22"/>
          <w:szCs w:val="22"/>
        </w:rPr>
        <w:t xml:space="preserve">-minute interview for each of the </w:t>
      </w:r>
      <w:r w:rsidR="0078454E" w:rsidRPr="000A674B">
        <w:rPr>
          <w:sz w:val="22"/>
          <w:szCs w:val="22"/>
        </w:rPr>
        <w:t>18,000</w:t>
      </w:r>
      <w:r w:rsidR="0078454E" w:rsidRPr="000A674B" w:rsidDel="0078454E">
        <w:rPr>
          <w:sz w:val="22"/>
          <w:szCs w:val="22"/>
        </w:rPr>
        <w:t xml:space="preserve"> </w:t>
      </w:r>
      <w:r w:rsidR="00150985">
        <w:rPr>
          <w:sz w:val="22"/>
          <w:szCs w:val="22"/>
        </w:rPr>
        <w:t>adults</w:t>
      </w:r>
      <w:r w:rsidR="00150985" w:rsidRPr="000A674B">
        <w:rPr>
          <w:sz w:val="22"/>
          <w:szCs w:val="22"/>
        </w:rPr>
        <w:t xml:space="preserve"> </w:t>
      </w:r>
      <w:r w:rsidR="004162F4" w:rsidRPr="000A674B">
        <w:rPr>
          <w:sz w:val="22"/>
          <w:szCs w:val="22"/>
        </w:rPr>
        <w:t>age</w:t>
      </w:r>
      <w:r w:rsidR="008205D4">
        <w:rPr>
          <w:sz w:val="22"/>
          <w:szCs w:val="22"/>
        </w:rPr>
        <w:t>s</w:t>
      </w:r>
      <w:r w:rsidR="004162F4" w:rsidRPr="000A674B">
        <w:rPr>
          <w:sz w:val="22"/>
          <w:szCs w:val="22"/>
        </w:rPr>
        <w:t xml:space="preserve"> 18 years and older in the supplement universe</w:t>
      </w:r>
      <w:r w:rsidR="00015562" w:rsidRPr="000A674B">
        <w:rPr>
          <w:sz w:val="22"/>
          <w:szCs w:val="22"/>
        </w:rPr>
        <w:t xml:space="preserve"> each year</w:t>
      </w:r>
      <w:r w:rsidR="004162F4" w:rsidRPr="000A674B">
        <w:rPr>
          <w:sz w:val="22"/>
          <w:szCs w:val="22"/>
        </w:rPr>
        <w:t xml:space="preserve">. This estimate was based on the time required to answer similar questions in </w:t>
      </w:r>
      <w:r w:rsidR="000D0A7B" w:rsidRPr="000A674B">
        <w:rPr>
          <w:sz w:val="22"/>
          <w:szCs w:val="22"/>
        </w:rPr>
        <w:t>previous AABS waves</w:t>
      </w:r>
      <w:r w:rsidR="004162F4" w:rsidRPr="000A674B">
        <w:rPr>
          <w:sz w:val="22"/>
          <w:szCs w:val="22"/>
        </w:rPr>
        <w:t>.</w:t>
      </w:r>
    </w:p>
    <w:p w14:paraId="258B0D18" w14:textId="77777777" w:rsidR="004162F4" w:rsidRPr="000A674B" w:rsidRDefault="004162F4" w:rsidP="002F3560">
      <w:pPr>
        <w:rPr>
          <w:sz w:val="22"/>
          <w:szCs w:val="22"/>
        </w:rPr>
      </w:pPr>
    </w:p>
    <w:p w14:paraId="62821EE5" w14:textId="77777777" w:rsidR="004162F4" w:rsidRPr="000A674B" w:rsidRDefault="00EC4C22" w:rsidP="002F3560">
      <w:pPr>
        <w:pStyle w:val="p1"/>
        <w:rPr>
          <w:sz w:val="22"/>
          <w:szCs w:val="22"/>
        </w:rPr>
      </w:pPr>
      <w:r w:rsidRPr="000A674B">
        <w:rPr>
          <w:sz w:val="22"/>
          <w:szCs w:val="22"/>
        </w:rPr>
        <w:t>The actual respondent burden is dependent upon the size of the household and the characteristics of its occupants. In some households</w:t>
      </w:r>
      <w:r w:rsidR="0073699E" w:rsidRPr="000A674B">
        <w:rPr>
          <w:sz w:val="22"/>
          <w:szCs w:val="22"/>
        </w:rPr>
        <w:t>,</w:t>
      </w:r>
      <w:r w:rsidRPr="000A674B">
        <w:rPr>
          <w:sz w:val="22"/>
          <w:szCs w:val="22"/>
        </w:rPr>
        <w:t xml:space="preserve"> two</w:t>
      </w:r>
      <w:r w:rsidR="0073699E" w:rsidRPr="000A674B">
        <w:rPr>
          <w:sz w:val="22"/>
          <w:szCs w:val="22"/>
        </w:rPr>
        <w:t xml:space="preserve"> supplement questionnaires will </w:t>
      </w:r>
      <w:r w:rsidRPr="000A674B">
        <w:rPr>
          <w:sz w:val="22"/>
          <w:szCs w:val="22"/>
        </w:rPr>
        <w:t>be asked.</w:t>
      </w:r>
    </w:p>
    <w:p w14:paraId="46666BA1" w14:textId="77777777" w:rsidR="007A7038" w:rsidRPr="000A674B" w:rsidRDefault="007A7038" w:rsidP="00863DB1">
      <w:pPr>
        <w:rPr>
          <w:sz w:val="22"/>
          <w:szCs w:val="22"/>
        </w:rPr>
      </w:pPr>
    </w:p>
    <w:p w14:paraId="623BDB20" w14:textId="471A9E6E" w:rsidR="00FE68DE" w:rsidRPr="000A674B" w:rsidRDefault="00EC4C22" w:rsidP="00863DB1">
      <w:pPr>
        <w:pStyle w:val="p4"/>
        <w:ind w:left="952" w:hanging="952"/>
        <w:jc w:val="left"/>
        <w:rPr>
          <w:b/>
          <w:bCs/>
          <w:sz w:val="22"/>
          <w:szCs w:val="22"/>
        </w:rPr>
      </w:pPr>
      <w:r w:rsidRPr="000A674B">
        <w:rPr>
          <w:b/>
          <w:bCs/>
          <w:sz w:val="22"/>
          <w:szCs w:val="22"/>
        </w:rPr>
        <w:t>A.13.</w:t>
      </w:r>
      <w:r w:rsidR="007D6A26" w:rsidRPr="000A674B">
        <w:rPr>
          <w:b/>
          <w:bCs/>
          <w:sz w:val="22"/>
          <w:szCs w:val="22"/>
        </w:rPr>
        <w:t xml:space="preserve"> </w:t>
      </w:r>
      <w:r w:rsidRPr="000A674B">
        <w:rPr>
          <w:b/>
          <w:bCs/>
          <w:sz w:val="22"/>
          <w:szCs w:val="22"/>
        </w:rPr>
        <w:t>Estimate of Cost Burden</w:t>
      </w:r>
    </w:p>
    <w:p w14:paraId="2D523A16" w14:textId="77777777" w:rsidR="00FE68DE" w:rsidRPr="000A674B" w:rsidRDefault="00FE68DE" w:rsidP="002F3560">
      <w:pPr>
        <w:tabs>
          <w:tab w:val="left" w:pos="952"/>
        </w:tabs>
        <w:rPr>
          <w:sz w:val="22"/>
          <w:szCs w:val="22"/>
        </w:rPr>
      </w:pPr>
    </w:p>
    <w:p w14:paraId="468B2134" w14:textId="77777777" w:rsidR="00FE68DE" w:rsidRPr="000A674B" w:rsidRDefault="00EC4C22" w:rsidP="00863DB1">
      <w:pPr>
        <w:pStyle w:val="p1"/>
        <w:rPr>
          <w:sz w:val="22"/>
          <w:szCs w:val="22"/>
        </w:rPr>
      </w:pPr>
      <w:r w:rsidRPr="000A674B">
        <w:rPr>
          <w:sz w:val="22"/>
          <w:szCs w:val="22"/>
        </w:rPr>
        <w:t>There are no costs to respondents other than that of their time to respond.</w:t>
      </w:r>
    </w:p>
    <w:p w14:paraId="3B35B922" w14:textId="77777777" w:rsidR="00FE68DE" w:rsidRPr="000A674B" w:rsidRDefault="00FE68DE" w:rsidP="00863DB1">
      <w:pPr>
        <w:tabs>
          <w:tab w:val="left" w:pos="204"/>
        </w:tabs>
        <w:rPr>
          <w:sz w:val="22"/>
          <w:szCs w:val="22"/>
        </w:rPr>
      </w:pPr>
    </w:p>
    <w:p w14:paraId="170C1D87" w14:textId="633CC28B" w:rsidR="00FE68DE" w:rsidRPr="000A674B" w:rsidRDefault="00EC4C22" w:rsidP="00863DB1">
      <w:pPr>
        <w:pStyle w:val="p4"/>
        <w:ind w:left="952" w:hanging="952"/>
        <w:jc w:val="left"/>
        <w:rPr>
          <w:b/>
          <w:bCs/>
          <w:sz w:val="22"/>
          <w:szCs w:val="22"/>
        </w:rPr>
      </w:pPr>
      <w:r w:rsidRPr="000A674B">
        <w:rPr>
          <w:b/>
          <w:bCs/>
          <w:sz w:val="22"/>
          <w:szCs w:val="22"/>
        </w:rPr>
        <w:t>A.14.</w:t>
      </w:r>
      <w:r w:rsidR="007D6A26" w:rsidRPr="000A674B">
        <w:rPr>
          <w:b/>
          <w:bCs/>
          <w:sz w:val="22"/>
          <w:szCs w:val="22"/>
        </w:rPr>
        <w:t xml:space="preserve"> </w:t>
      </w:r>
      <w:r w:rsidRPr="000A674B">
        <w:rPr>
          <w:b/>
          <w:bCs/>
          <w:sz w:val="22"/>
          <w:szCs w:val="22"/>
        </w:rPr>
        <w:t>Cost to Federal Government</w:t>
      </w:r>
    </w:p>
    <w:p w14:paraId="46D58528" w14:textId="77777777" w:rsidR="00FE68DE" w:rsidRPr="000A674B" w:rsidRDefault="00FE68DE" w:rsidP="002F3560">
      <w:pPr>
        <w:tabs>
          <w:tab w:val="left" w:pos="952"/>
        </w:tabs>
        <w:rPr>
          <w:sz w:val="22"/>
          <w:szCs w:val="22"/>
        </w:rPr>
      </w:pPr>
    </w:p>
    <w:p w14:paraId="08622374" w14:textId="0FD3B043" w:rsidR="007D397D" w:rsidRPr="000A674B" w:rsidRDefault="00EC4C22" w:rsidP="00863DB1">
      <w:pPr>
        <w:pStyle w:val="p1"/>
        <w:rPr>
          <w:sz w:val="22"/>
          <w:szCs w:val="22"/>
        </w:rPr>
      </w:pPr>
      <w:r w:rsidRPr="000A674B">
        <w:rPr>
          <w:sz w:val="22"/>
          <w:szCs w:val="22"/>
        </w:rPr>
        <w:t>The estimated cost to the government of the supplement on public participation in the arts is $25</w:t>
      </w:r>
      <w:r w:rsidR="00715507" w:rsidRPr="000A674B">
        <w:rPr>
          <w:sz w:val="22"/>
          <w:szCs w:val="22"/>
        </w:rPr>
        <w:t>0</w:t>
      </w:r>
      <w:r w:rsidRPr="000A674B">
        <w:rPr>
          <w:sz w:val="22"/>
          <w:szCs w:val="22"/>
        </w:rPr>
        <w:t>,000, which will be borne by the NEA. The CPS program is anticipated to cost $</w:t>
      </w:r>
      <w:r w:rsidR="00A51607" w:rsidRPr="000A674B">
        <w:rPr>
          <w:sz w:val="22"/>
          <w:szCs w:val="22"/>
        </w:rPr>
        <w:t>8</w:t>
      </w:r>
      <w:r w:rsidR="007C45E7" w:rsidRPr="000A674B">
        <w:rPr>
          <w:sz w:val="22"/>
          <w:szCs w:val="22"/>
        </w:rPr>
        <w:t>6</w:t>
      </w:r>
      <w:r w:rsidR="00A51607" w:rsidRPr="000A674B">
        <w:rPr>
          <w:sz w:val="22"/>
          <w:szCs w:val="22"/>
        </w:rPr>
        <w:t xml:space="preserve"> </w:t>
      </w:r>
      <w:r w:rsidRPr="000A674B">
        <w:rPr>
          <w:sz w:val="22"/>
          <w:szCs w:val="22"/>
        </w:rPr>
        <w:t>million in FY 201</w:t>
      </w:r>
      <w:r w:rsidR="000D0A7B" w:rsidRPr="000A674B">
        <w:rPr>
          <w:sz w:val="22"/>
          <w:szCs w:val="22"/>
        </w:rPr>
        <w:t>7</w:t>
      </w:r>
      <w:r w:rsidRPr="000A674B">
        <w:rPr>
          <w:sz w:val="22"/>
          <w:szCs w:val="22"/>
        </w:rPr>
        <w:t>.</w:t>
      </w:r>
      <w:r w:rsidR="00FF06FF" w:rsidRPr="000A674B">
        <w:rPr>
          <w:sz w:val="22"/>
          <w:szCs w:val="22"/>
        </w:rPr>
        <w:t xml:space="preserve"> </w:t>
      </w:r>
      <w:r w:rsidRPr="000A674B">
        <w:rPr>
          <w:sz w:val="22"/>
          <w:szCs w:val="22"/>
        </w:rPr>
        <w:t xml:space="preserve">Those costs are borne by the </w:t>
      </w:r>
      <w:r w:rsidR="008205D4">
        <w:rPr>
          <w:sz w:val="22"/>
          <w:szCs w:val="22"/>
        </w:rPr>
        <w:t xml:space="preserve">U.S. </w:t>
      </w:r>
      <w:r w:rsidRPr="000A674B">
        <w:rPr>
          <w:sz w:val="22"/>
          <w:szCs w:val="22"/>
        </w:rPr>
        <w:t>Census Bureau, the BLS, and other government agencies.</w:t>
      </w:r>
    </w:p>
    <w:p w14:paraId="14987E1B" w14:textId="77777777" w:rsidR="00FE68DE" w:rsidRPr="000A674B" w:rsidRDefault="00FE68DE" w:rsidP="00863DB1">
      <w:pPr>
        <w:tabs>
          <w:tab w:val="left" w:pos="204"/>
        </w:tabs>
        <w:rPr>
          <w:b/>
          <w:bCs/>
          <w:sz w:val="22"/>
          <w:szCs w:val="22"/>
        </w:rPr>
      </w:pPr>
    </w:p>
    <w:p w14:paraId="392A8270" w14:textId="0E1EA6F4" w:rsidR="00FE68DE" w:rsidRPr="000A674B" w:rsidRDefault="00EC4C22" w:rsidP="00863DB1">
      <w:pPr>
        <w:pStyle w:val="p4"/>
        <w:ind w:left="952" w:hanging="952"/>
        <w:jc w:val="left"/>
        <w:rPr>
          <w:sz w:val="22"/>
          <w:szCs w:val="22"/>
        </w:rPr>
      </w:pPr>
      <w:r w:rsidRPr="000A674B">
        <w:rPr>
          <w:b/>
          <w:bCs/>
          <w:sz w:val="22"/>
          <w:szCs w:val="22"/>
        </w:rPr>
        <w:t>A.15</w:t>
      </w:r>
      <w:r w:rsidR="007D6A26" w:rsidRPr="000A674B">
        <w:rPr>
          <w:b/>
          <w:bCs/>
          <w:sz w:val="22"/>
          <w:szCs w:val="22"/>
        </w:rPr>
        <w:t xml:space="preserve">. </w:t>
      </w:r>
      <w:r w:rsidRPr="000A674B">
        <w:rPr>
          <w:b/>
          <w:bCs/>
          <w:sz w:val="22"/>
          <w:szCs w:val="22"/>
        </w:rPr>
        <w:t>Reasons for Program Changes</w:t>
      </w:r>
    </w:p>
    <w:p w14:paraId="2EDAD81B" w14:textId="77777777" w:rsidR="00FE68DE" w:rsidRPr="000A674B" w:rsidRDefault="00FE68DE" w:rsidP="002F3560">
      <w:pPr>
        <w:tabs>
          <w:tab w:val="left" w:pos="952"/>
        </w:tabs>
        <w:rPr>
          <w:sz w:val="22"/>
          <w:szCs w:val="22"/>
        </w:rPr>
      </w:pPr>
    </w:p>
    <w:p w14:paraId="75F9F651" w14:textId="4BF7F86E" w:rsidR="00FE68DE" w:rsidRPr="000A674B" w:rsidRDefault="00DB6A2F" w:rsidP="00863DB1">
      <w:pPr>
        <w:pStyle w:val="p1"/>
        <w:rPr>
          <w:sz w:val="22"/>
          <w:szCs w:val="22"/>
        </w:rPr>
      </w:pPr>
      <w:r w:rsidRPr="000A674B">
        <w:rPr>
          <w:sz w:val="22"/>
          <w:szCs w:val="22"/>
        </w:rPr>
        <w:t>This information collection does not represent any program change.</w:t>
      </w:r>
    </w:p>
    <w:p w14:paraId="116B8647" w14:textId="77777777" w:rsidR="007E116C" w:rsidRPr="000A674B" w:rsidRDefault="007E116C" w:rsidP="00863DB1">
      <w:pPr>
        <w:pStyle w:val="c5"/>
        <w:tabs>
          <w:tab w:val="left" w:pos="204"/>
        </w:tabs>
        <w:jc w:val="left"/>
        <w:rPr>
          <w:color w:val="17365D"/>
          <w:sz w:val="22"/>
          <w:szCs w:val="22"/>
        </w:rPr>
      </w:pPr>
    </w:p>
    <w:p w14:paraId="650B0737" w14:textId="5EE697F7" w:rsidR="000F633F" w:rsidRPr="000A674B" w:rsidRDefault="00EC4C22" w:rsidP="002F3560">
      <w:pPr>
        <w:pStyle w:val="p2"/>
        <w:ind w:left="771"/>
        <w:rPr>
          <w:b/>
          <w:bCs/>
          <w:sz w:val="22"/>
          <w:szCs w:val="22"/>
        </w:rPr>
      </w:pPr>
      <w:r w:rsidRPr="000A674B">
        <w:rPr>
          <w:b/>
          <w:bCs/>
          <w:sz w:val="22"/>
          <w:szCs w:val="22"/>
        </w:rPr>
        <w:t>A.16.</w:t>
      </w:r>
      <w:r w:rsidR="007D6A26" w:rsidRPr="000A674B">
        <w:rPr>
          <w:b/>
          <w:bCs/>
          <w:sz w:val="22"/>
          <w:szCs w:val="22"/>
        </w:rPr>
        <w:t xml:space="preserve"> </w:t>
      </w:r>
      <w:r w:rsidRPr="000A674B">
        <w:rPr>
          <w:b/>
          <w:bCs/>
          <w:sz w:val="22"/>
          <w:szCs w:val="22"/>
        </w:rPr>
        <w:t>Project Schedule</w:t>
      </w:r>
    </w:p>
    <w:p w14:paraId="7320B65F" w14:textId="77777777" w:rsidR="000F633F" w:rsidRPr="000A674B" w:rsidRDefault="000F633F" w:rsidP="00863DB1">
      <w:pPr>
        <w:rPr>
          <w:b/>
          <w:bCs/>
          <w:sz w:val="22"/>
          <w:szCs w:val="22"/>
        </w:rPr>
      </w:pPr>
    </w:p>
    <w:p w14:paraId="49016235" w14:textId="579F483C" w:rsidR="000F633F" w:rsidRPr="000A674B" w:rsidRDefault="00EC4C22" w:rsidP="00863DB1">
      <w:pPr>
        <w:pStyle w:val="p1"/>
        <w:rPr>
          <w:sz w:val="22"/>
          <w:szCs w:val="22"/>
        </w:rPr>
      </w:pPr>
      <w:r w:rsidRPr="000A674B">
        <w:rPr>
          <w:sz w:val="22"/>
          <w:szCs w:val="22"/>
        </w:rPr>
        <w:t xml:space="preserve">The first </w:t>
      </w:r>
      <w:r w:rsidR="00715507" w:rsidRPr="000A674B">
        <w:rPr>
          <w:sz w:val="22"/>
          <w:szCs w:val="22"/>
        </w:rPr>
        <w:t xml:space="preserve">four </w:t>
      </w:r>
      <w:r w:rsidRPr="000A674B">
        <w:rPr>
          <w:sz w:val="22"/>
          <w:szCs w:val="22"/>
        </w:rPr>
        <w:t>years of the AABS were conducted in FY 2013</w:t>
      </w:r>
      <w:r w:rsidR="00715507" w:rsidRPr="000A674B">
        <w:rPr>
          <w:sz w:val="22"/>
          <w:szCs w:val="22"/>
        </w:rPr>
        <w:t>, 2014, 2015, and 2016</w:t>
      </w:r>
      <w:r w:rsidRPr="000A674B">
        <w:rPr>
          <w:sz w:val="22"/>
          <w:szCs w:val="22"/>
        </w:rPr>
        <w:t>, and those questions serve</w:t>
      </w:r>
      <w:r w:rsidR="008205D4">
        <w:rPr>
          <w:sz w:val="22"/>
          <w:szCs w:val="22"/>
        </w:rPr>
        <w:t xml:space="preserve"> as</w:t>
      </w:r>
      <w:r w:rsidRPr="000A674B">
        <w:rPr>
          <w:sz w:val="22"/>
          <w:szCs w:val="22"/>
        </w:rPr>
        <w:t xml:space="preserve"> the basis for the FY 201</w:t>
      </w:r>
      <w:r w:rsidR="00715507" w:rsidRPr="000A674B">
        <w:rPr>
          <w:sz w:val="22"/>
          <w:szCs w:val="22"/>
        </w:rPr>
        <w:t>8</w:t>
      </w:r>
      <w:r w:rsidRPr="000A674B">
        <w:rPr>
          <w:sz w:val="22"/>
          <w:szCs w:val="22"/>
        </w:rPr>
        <w:t xml:space="preserve"> and FY 201</w:t>
      </w:r>
      <w:r w:rsidR="00715507" w:rsidRPr="000A674B">
        <w:rPr>
          <w:sz w:val="22"/>
          <w:szCs w:val="22"/>
        </w:rPr>
        <w:t>9</w:t>
      </w:r>
      <w:r w:rsidRPr="000A674B">
        <w:rPr>
          <w:sz w:val="22"/>
          <w:szCs w:val="22"/>
        </w:rPr>
        <w:t xml:space="preserve"> surveys</w:t>
      </w:r>
      <w:r w:rsidR="0073699E" w:rsidRPr="000A674B">
        <w:rPr>
          <w:sz w:val="22"/>
          <w:szCs w:val="22"/>
        </w:rPr>
        <w:t>.</w:t>
      </w:r>
      <w:r w:rsidRPr="000A674B">
        <w:rPr>
          <w:sz w:val="22"/>
          <w:szCs w:val="22"/>
        </w:rPr>
        <w:t xml:space="preserve"> The finalized instrument and instructions will be delivered to the </w:t>
      </w:r>
      <w:r w:rsidR="008205D4">
        <w:rPr>
          <w:sz w:val="22"/>
          <w:szCs w:val="22"/>
        </w:rPr>
        <w:t xml:space="preserve">U.S. </w:t>
      </w:r>
      <w:r w:rsidRPr="000A674B">
        <w:rPr>
          <w:sz w:val="22"/>
          <w:szCs w:val="22"/>
        </w:rPr>
        <w:t xml:space="preserve">Census Bureau in </w:t>
      </w:r>
      <w:r w:rsidR="00E32EDE" w:rsidRPr="000A674B">
        <w:rPr>
          <w:sz w:val="22"/>
          <w:szCs w:val="22"/>
        </w:rPr>
        <w:t>August 2017</w:t>
      </w:r>
      <w:r w:rsidRPr="000A674B">
        <w:rPr>
          <w:sz w:val="22"/>
          <w:szCs w:val="22"/>
        </w:rPr>
        <w:t xml:space="preserve">. Main data </w:t>
      </w:r>
      <w:r w:rsidR="0073699E" w:rsidRPr="000A674B">
        <w:rPr>
          <w:sz w:val="22"/>
          <w:szCs w:val="22"/>
        </w:rPr>
        <w:t>collections for the AABS are</w:t>
      </w:r>
      <w:r w:rsidRPr="000A674B">
        <w:rPr>
          <w:sz w:val="22"/>
          <w:szCs w:val="22"/>
        </w:rPr>
        <w:t xml:space="preserve"> expected to occur in February of 201</w:t>
      </w:r>
      <w:r w:rsidR="00715507" w:rsidRPr="000A674B">
        <w:rPr>
          <w:sz w:val="22"/>
          <w:szCs w:val="22"/>
        </w:rPr>
        <w:t>8</w:t>
      </w:r>
      <w:r w:rsidRPr="000A674B">
        <w:rPr>
          <w:sz w:val="22"/>
          <w:szCs w:val="22"/>
        </w:rPr>
        <w:t xml:space="preserve"> and 201</w:t>
      </w:r>
      <w:r w:rsidR="00715507" w:rsidRPr="000A674B">
        <w:rPr>
          <w:sz w:val="22"/>
          <w:szCs w:val="22"/>
        </w:rPr>
        <w:t>9</w:t>
      </w:r>
      <w:r w:rsidRPr="000A674B">
        <w:rPr>
          <w:sz w:val="22"/>
          <w:szCs w:val="22"/>
        </w:rPr>
        <w:t>, since they will be supplements to the February 201</w:t>
      </w:r>
      <w:r w:rsidR="00715507" w:rsidRPr="000A674B">
        <w:rPr>
          <w:sz w:val="22"/>
          <w:szCs w:val="22"/>
        </w:rPr>
        <w:t>8</w:t>
      </w:r>
      <w:r w:rsidRPr="000A674B">
        <w:rPr>
          <w:sz w:val="22"/>
          <w:szCs w:val="22"/>
        </w:rPr>
        <w:t xml:space="preserve"> and 201</w:t>
      </w:r>
      <w:r w:rsidR="00715507" w:rsidRPr="000A674B">
        <w:rPr>
          <w:sz w:val="22"/>
          <w:szCs w:val="22"/>
        </w:rPr>
        <w:t>9</w:t>
      </w:r>
      <w:r w:rsidRPr="000A674B">
        <w:rPr>
          <w:sz w:val="22"/>
          <w:szCs w:val="22"/>
        </w:rPr>
        <w:t xml:space="preserve"> CPS.</w:t>
      </w:r>
      <w:r w:rsidR="00FF06FF" w:rsidRPr="000A674B">
        <w:rPr>
          <w:sz w:val="22"/>
          <w:szCs w:val="22"/>
        </w:rPr>
        <w:t xml:space="preserve"> </w:t>
      </w:r>
      <w:r w:rsidRPr="000A674B">
        <w:rPr>
          <w:sz w:val="22"/>
          <w:szCs w:val="22"/>
        </w:rPr>
        <w:t xml:space="preserve">Processing of this supplement will </w:t>
      </w:r>
      <w:r w:rsidR="00E32EDE" w:rsidRPr="000A674B">
        <w:rPr>
          <w:sz w:val="22"/>
          <w:szCs w:val="22"/>
        </w:rPr>
        <w:t>begin following data collection</w:t>
      </w:r>
      <w:r w:rsidRPr="000A674B">
        <w:rPr>
          <w:sz w:val="22"/>
          <w:szCs w:val="22"/>
        </w:rPr>
        <w:t xml:space="preserve">. The public use files </w:t>
      </w:r>
      <w:r w:rsidR="00E32EDE" w:rsidRPr="000A674B">
        <w:rPr>
          <w:sz w:val="22"/>
          <w:szCs w:val="22"/>
        </w:rPr>
        <w:t xml:space="preserve">as well as summary reports are expected to be released in </w:t>
      </w:r>
      <w:r w:rsidR="00E46E62" w:rsidRPr="000A674B">
        <w:rPr>
          <w:sz w:val="22"/>
          <w:szCs w:val="22"/>
        </w:rPr>
        <w:t xml:space="preserve">the </w:t>
      </w:r>
      <w:r w:rsidR="00E32EDE" w:rsidRPr="000A674B">
        <w:rPr>
          <w:sz w:val="22"/>
          <w:szCs w:val="22"/>
        </w:rPr>
        <w:t>following year after data collection</w:t>
      </w:r>
      <w:r w:rsidRPr="000A674B">
        <w:rPr>
          <w:sz w:val="22"/>
          <w:szCs w:val="22"/>
        </w:rPr>
        <w:t>.</w:t>
      </w:r>
    </w:p>
    <w:p w14:paraId="7CEB1E7E" w14:textId="77777777" w:rsidR="004110EC" w:rsidRPr="000A674B" w:rsidRDefault="004110EC" w:rsidP="00863DB1">
      <w:pPr>
        <w:pStyle w:val="p3"/>
        <w:jc w:val="left"/>
        <w:rPr>
          <w:color w:val="17365D"/>
          <w:sz w:val="22"/>
          <w:szCs w:val="22"/>
        </w:rPr>
      </w:pPr>
    </w:p>
    <w:p w14:paraId="62FDB757" w14:textId="05E76C81" w:rsidR="00FE68DE" w:rsidRPr="000A674B" w:rsidRDefault="00EC4C22" w:rsidP="002F3560">
      <w:pPr>
        <w:pStyle w:val="p2"/>
        <w:ind w:left="771"/>
        <w:rPr>
          <w:b/>
          <w:bCs/>
          <w:sz w:val="22"/>
          <w:szCs w:val="22"/>
        </w:rPr>
      </w:pPr>
      <w:r w:rsidRPr="000A674B">
        <w:rPr>
          <w:b/>
          <w:bCs/>
          <w:sz w:val="22"/>
          <w:szCs w:val="22"/>
        </w:rPr>
        <w:t>A.17.</w:t>
      </w:r>
      <w:r w:rsidR="007D6A26" w:rsidRPr="000A674B">
        <w:rPr>
          <w:b/>
          <w:bCs/>
          <w:sz w:val="22"/>
          <w:szCs w:val="22"/>
        </w:rPr>
        <w:t xml:space="preserve"> </w:t>
      </w:r>
      <w:r w:rsidRPr="000A674B">
        <w:rPr>
          <w:b/>
          <w:bCs/>
          <w:sz w:val="22"/>
          <w:szCs w:val="22"/>
        </w:rPr>
        <w:t>Request to Not Display Expiration Date</w:t>
      </w:r>
    </w:p>
    <w:p w14:paraId="3A6F7047" w14:textId="77777777" w:rsidR="00FE68DE" w:rsidRPr="000A674B" w:rsidRDefault="00FE68DE" w:rsidP="00863DB1">
      <w:pPr>
        <w:tabs>
          <w:tab w:val="left" w:pos="771"/>
        </w:tabs>
        <w:rPr>
          <w:b/>
          <w:bCs/>
          <w:sz w:val="22"/>
          <w:szCs w:val="22"/>
        </w:rPr>
      </w:pPr>
    </w:p>
    <w:p w14:paraId="42EB6EB2" w14:textId="15284933" w:rsidR="000D0A7B" w:rsidRPr="000A674B" w:rsidRDefault="000A674B" w:rsidP="000D0A7B">
      <w:pPr>
        <w:pStyle w:val="p1"/>
        <w:rPr>
          <w:sz w:val="22"/>
          <w:szCs w:val="22"/>
        </w:rPr>
      </w:pPr>
      <w:r>
        <w:rPr>
          <w:sz w:val="22"/>
          <w:szCs w:val="22"/>
        </w:rPr>
        <w:t>The NEA</w:t>
      </w:r>
      <w:r w:rsidRPr="000A674B">
        <w:rPr>
          <w:sz w:val="22"/>
          <w:szCs w:val="22"/>
        </w:rPr>
        <w:t xml:space="preserve"> </w:t>
      </w:r>
      <w:r w:rsidR="000D0A7B" w:rsidRPr="000A674B">
        <w:rPr>
          <w:sz w:val="22"/>
          <w:szCs w:val="22"/>
        </w:rPr>
        <w:t>do</w:t>
      </w:r>
      <w:r>
        <w:rPr>
          <w:sz w:val="22"/>
          <w:szCs w:val="22"/>
        </w:rPr>
        <w:t>es</w:t>
      </w:r>
      <w:r w:rsidR="000D0A7B" w:rsidRPr="000A674B">
        <w:rPr>
          <w:sz w:val="22"/>
          <w:szCs w:val="22"/>
        </w:rPr>
        <w:t xml:space="preserve"> not wish to display the assigned expiration date of the information collection. The </w:t>
      </w:r>
      <w:r w:rsidR="000D0A7B" w:rsidRPr="000A674B">
        <w:rPr>
          <w:sz w:val="22"/>
          <w:szCs w:val="22"/>
        </w:rPr>
        <w:lastRenderedPageBreak/>
        <w:t xml:space="preserve">CPS requires two OMB control numbers and two expiration dates because the survey consists of two parts: the basic questionnaire and a supplemental questionnaire, which differ from month to month. The OMB control number and expiration date for conducting the Basic CPS are included in the survey’s advance letter (Attachment </w:t>
      </w:r>
      <w:r w:rsidR="00D917B2" w:rsidRPr="000A674B">
        <w:rPr>
          <w:sz w:val="22"/>
          <w:szCs w:val="22"/>
        </w:rPr>
        <w:t>E</w:t>
      </w:r>
      <w:r w:rsidR="000D0A7B" w:rsidRPr="000A674B">
        <w:rPr>
          <w:sz w:val="22"/>
          <w:szCs w:val="22"/>
        </w:rPr>
        <w:t>). To avoid confusion, the expiration date of the supplemental questionnaire is not included in the letter.</w:t>
      </w:r>
    </w:p>
    <w:p w14:paraId="3D0BB416" w14:textId="77777777" w:rsidR="00FE68DE" w:rsidRPr="000A674B" w:rsidRDefault="00FE68DE" w:rsidP="00863DB1">
      <w:pPr>
        <w:tabs>
          <w:tab w:val="left" w:pos="204"/>
        </w:tabs>
        <w:rPr>
          <w:sz w:val="22"/>
          <w:szCs w:val="22"/>
        </w:rPr>
      </w:pPr>
    </w:p>
    <w:p w14:paraId="05088198" w14:textId="1A3A488A" w:rsidR="00FE68DE" w:rsidRPr="000A674B" w:rsidRDefault="00EC4C22" w:rsidP="00863DB1">
      <w:pPr>
        <w:pStyle w:val="p2"/>
        <w:ind w:left="771"/>
        <w:rPr>
          <w:b/>
          <w:bCs/>
          <w:sz w:val="22"/>
          <w:szCs w:val="22"/>
        </w:rPr>
      </w:pPr>
      <w:r w:rsidRPr="000A674B">
        <w:rPr>
          <w:b/>
          <w:bCs/>
          <w:sz w:val="22"/>
          <w:szCs w:val="22"/>
        </w:rPr>
        <w:t>A.18.</w:t>
      </w:r>
      <w:r w:rsidR="007D6A26" w:rsidRPr="000A674B">
        <w:rPr>
          <w:b/>
          <w:bCs/>
          <w:sz w:val="22"/>
          <w:szCs w:val="22"/>
        </w:rPr>
        <w:t xml:space="preserve"> </w:t>
      </w:r>
      <w:r w:rsidRPr="000A674B">
        <w:rPr>
          <w:b/>
          <w:bCs/>
          <w:sz w:val="22"/>
          <w:szCs w:val="22"/>
        </w:rPr>
        <w:t>Exceptions to the Certification</w:t>
      </w:r>
    </w:p>
    <w:p w14:paraId="32605047" w14:textId="77777777" w:rsidR="00FE68DE" w:rsidRPr="000A674B" w:rsidRDefault="00FE68DE" w:rsidP="00863DB1">
      <w:pPr>
        <w:tabs>
          <w:tab w:val="left" w:pos="771"/>
        </w:tabs>
        <w:rPr>
          <w:b/>
          <w:bCs/>
          <w:sz w:val="22"/>
          <w:szCs w:val="22"/>
        </w:rPr>
      </w:pPr>
    </w:p>
    <w:p w14:paraId="33F48624" w14:textId="77777777" w:rsidR="00FE68DE" w:rsidRPr="000A674B" w:rsidRDefault="00EC4C22" w:rsidP="00863DB1">
      <w:pPr>
        <w:pStyle w:val="p1"/>
        <w:rPr>
          <w:sz w:val="22"/>
          <w:szCs w:val="22"/>
        </w:rPr>
      </w:pPr>
      <w:r w:rsidRPr="000A674B">
        <w:rPr>
          <w:sz w:val="22"/>
          <w:szCs w:val="22"/>
        </w:rPr>
        <w:t>There are no exceptions to the certification.</w:t>
      </w:r>
    </w:p>
    <w:p w14:paraId="6FC4FE00" w14:textId="77777777" w:rsidR="00FE68DE" w:rsidRPr="000A674B" w:rsidRDefault="00FE68DE" w:rsidP="00863DB1">
      <w:pPr>
        <w:rPr>
          <w:color w:val="17365D"/>
          <w:sz w:val="22"/>
          <w:szCs w:val="22"/>
        </w:rPr>
      </w:pPr>
    </w:p>
    <w:sectPr w:rsidR="00FE68DE" w:rsidRPr="000A674B" w:rsidSect="009F326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5712F" w14:textId="77777777" w:rsidR="00414B5E" w:rsidRDefault="00414B5E" w:rsidP="006E5279">
      <w:r>
        <w:separator/>
      </w:r>
    </w:p>
  </w:endnote>
  <w:endnote w:type="continuationSeparator" w:id="0">
    <w:p w14:paraId="51F6463D" w14:textId="77777777" w:rsidR="00414B5E" w:rsidRDefault="00414B5E" w:rsidP="006E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568674"/>
      <w:docPartObj>
        <w:docPartGallery w:val="Page Numbers (Bottom of Page)"/>
        <w:docPartUnique/>
      </w:docPartObj>
    </w:sdtPr>
    <w:sdtEndPr>
      <w:rPr>
        <w:sz w:val="22"/>
      </w:rPr>
    </w:sdtEndPr>
    <w:sdtContent>
      <w:p w14:paraId="1CA0A3FA" w14:textId="77777777" w:rsidR="00414B5E" w:rsidRPr="000A674B" w:rsidRDefault="00ED12B9">
        <w:pPr>
          <w:pStyle w:val="Footer"/>
          <w:jc w:val="right"/>
          <w:rPr>
            <w:sz w:val="22"/>
          </w:rPr>
        </w:pPr>
        <w:r w:rsidRPr="000A674B">
          <w:rPr>
            <w:sz w:val="22"/>
          </w:rPr>
          <w:fldChar w:fldCharType="begin"/>
        </w:r>
        <w:r w:rsidR="003C2CB6" w:rsidRPr="000A674B">
          <w:rPr>
            <w:sz w:val="22"/>
          </w:rPr>
          <w:instrText xml:space="preserve"> PAGE   \* MERGEFORMAT </w:instrText>
        </w:r>
        <w:r w:rsidRPr="000A674B">
          <w:rPr>
            <w:sz w:val="22"/>
          </w:rPr>
          <w:fldChar w:fldCharType="separate"/>
        </w:r>
        <w:r w:rsidR="009201B2">
          <w:rPr>
            <w:noProof/>
            <w:sz w:val="22"/>
          </w:rPr>
          <w:t>5</w:t>
        </w:r>
        <w:r w:rsidRPr="000A674B">
          <w:rPr>
            <w:noProof/>
            <w:sz w:val="22"/>
          </w:rPr>
          <w:fldChar w:fldCharType="end"/>
        </w:r>
      </w:p>
    </w:sdtContent>
  </w:sdt>
  <w:p w14:paraId="59BF5EBF" w14:textId="77777777" w:rsidR="00414B5E" w:rsidRDefault="00414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90B6" w14:textId="77777777" w:rsidR="00414B5E" w:rsidRDefault="00414B5E" w:rsidP="006E5279">
      <w:r>
        <w:separator/>
      </w:r>
    </w:p>
  </w:footnote>
  <w:footnote w:type="continuationSeparator" w:id="0">
    <w:p w14:paraId="6274BAA4" w14:textId="77777777" w:rsidR="00414B5E" w:rsidRDefault="00414B5E" w:rsidP="006E5279">
      <w:r>
        <w:continuationSeparator/>
      </w:r>
    </w:p>
  </w:footnote>
  <w:footnote w:id="1">
    <w:p w14:paraId="16EDDC58" w14:textId="7943CA83" w:rsidR="00150985" w:rsidRDefault="00150985">
      <w:pPr>
        <w:pStyle w:val="FootnoteText"/>
      </w:pPr>
      <w:r>
        <w:rPr>
          <w:rStyle w:val="FootnoteReference"/>
        </w:rPr>
        <w:footnoteRef/>
      </w:r>
      <w:r>
        <w:t xml:space="preserve"> </w:t>
      </w:r>
      <w:r w:rsidRPr="008A66D8">
        <w:rPr>
          <w:rFonts w:ascii="Times New Roman" w:hAnsi="Times New Roman"/>
        </w:rPr>
        <w:t>http</w:t>
      </w:r>
      <w:r>
        <w:rPr>
          <w:rFonts w:ascii="Times New Roman" w:hAnsi="Times New Roman"/>
        </w:rPr>
        <w:t>s</w:t>
      </w:r>
      <w:r w:rsidRPr="008A66D8">
        <w:rPr>
          <w:rFonts w:ascii="Times New Roman" w:hAnsi="Times New Roman"/>
        </w:rPr>
        <w:t>://arts.gov/artistic-fields/research</w:t>
      </w:r>
    </w:p>
  </w:footnote>
  <w:footnote w:id="2">
    <w:p w14:paraId="6C6EDB30" w14:textId="72EDAD45" w:rsidR="00414B5E" w:rsidRPr="004F3A75" w:rsidRDefault="00414B5E" w:rsidP="00EC1989">
      <w:pPr>
        <w:pStyle w:val="FootnoteText"/>
        <w:rPr>
          <w:rFonts w:ascii="Times New Roman" w:hAnsi="Times New Roman"/>
        </w:rPr>
      </w:pPr>
      <w:r w:rsidRPr="004F3A75">
        <w:rPr>
          <w:rStyle w:val="FootnoteReference"/>
          <w:rFonts w:ascii="Times New Roman" w:hAnsi="Times New Roman"/>
        </w:rPr>
        <w:footnoteRef/>
      </w:r>
      <w:r w:rsidRPr="004F3A75">
        <w:rPr>
          <w:rFonts w:ascii="Times New Roman" w:hAnsi="Times New Roman"/>
        </w:rPr>
        <w:t xml:space="preserve"> </w:t>
      </w:r>
      <w:r w:rsidRPr="00B925D1">
        <w:rPr>
          <w:rFonts w:ascii="Times New Roman" w:hAnsi="Times New Roman"/>
        </w:rPr>
        <w:t>http</w:t>
      </w:r>
      <w:r w:rsidR="00F07C8E">
        <w:rPr>
          <w:rFonts w:ascii="Times New Roman" w:hAnsi="Times New Roman"/>
        </w:rPr>
        <w:t>s</w:t>
      </w:r>
      <w:r w:rsidRPr="00B925D1">
        <w:rPr>
          <w:rFonts w:ascii="Times New Roman" w:hAnsi="Times New Roman"/>
        </w:rPr>
        <w:t>://arts.gov/sites/default/files/NEAStrategicPlan2014-2018.pdf</w:t>
      </w:r>
    </w:p>
  </w:footnote>
  <w:footnote w:id="3">
    <w:p w14:paraId="73DBB732" w14:textId="458CF308" w:rsidR="00414B5E" w:rsidRPr="00091CC9" w:rsidRDefault="00414B5E" w:rsidP="00EC1989">
      <w:pPr>
        <w:pStyle w:val="FootnoteText"/>
        <w:rPr>
          <w:rFonts w:ascii="Times New Roman" w:hAnsi="Times New Roman"/>
        </w:rPr>
      </w:pPr>
      <w:r w:rsidRPr="0099436B">
        <w:rPr>
          <w:rStyle w:val="FootnoteReference"/>
          <w:rFonts w:ascii="Times New Roman" w:hAnsi="Times New Roman"/>
        </w:rPr>
        <w:footnoteRef/>
      </w:r>
      <w:r w:rsidRPr="0099436B">
        <w:rPr>
          <w:rFonts w:ascii="Times New Roman" w:hAnsi="Times New Roman"/>
        </w:rPr>
        <w:t xml:space="preserve"> </w:t>
      </w:r>
      <w:r w:rsidRPr="000A674B">
        <w:t>http</w:t>
      </w:r>
      <w:r w:rsidR="00AC4C01">
        <w:rPr>
          <w:rFonts w:ascii="Times New Roman" w:hAnsi="Times New Roman"/>
        </w:rPr>
        <w:t>s</w:t>
      </w:r>
      <w:r w:rsidRPr="000A674B">
        <w:t>://arts.gov/artistic-fields/research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6270B"/>
    <w:multiLevelType w:val="hybridMultilevel"/>
    <w:tmpl w:val="BBD43038"/>
    <w:lvl w:ilvl="0" w:tplc="F080FE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F4122"/>
    <w:rsid w:val="000051E5"/>
    <w:rsid w:val="00015562"/>
    <w:rsid w:val="00030342"/>
    <w:rsid w:val="00033464"/>
    <w:rsid w:val="0003709B"/>
    <w:rsid w:val="00057C3C"/>
    <w:rsid w:val="0009367A"/>
    <w:rsid w:val="000A63D6"/>
    <w:rsid w:val="000A674B"/>
    <w:rsid w:val="000A7DDD"/>
    <w:rsid w:val="000C7414"/>
    <w:rsid w:val="000D07F6"/>
    <w:rsid w:val="000D0A7B"/>
    <w:rsid w:val="000E122F"/>
    <w:rsid w:val="000E5281"/>
    <w:rsid w:val="000F4122"/>
    <w:rsid w:val="000F633F"/>
    <w:rsid w:val="001014A8"/>
    <w:rsid w:val="001047B3"/>
    <w:rsid w:val="001060FF"/>
    <w:rsid w:val="00106646"/>
    <w:rsid w:val="001118C2"/>
    <w:rsid w:val="001164E5"/>
    <w:rsid w:val="001437AF"/>
    <w:rsid w:val="0014585E"/>
    <w:rsid w:val="00150985"/>
    <w:rsid w:val="001513FA"/>
    <w:rsid w:val="00190B45"/>
    <w:rsid w:val="001A4CF3"/>
    <w:rsid w:val="001B3496"/>
    <w:rsid w:val="001C3150"/>
    <w:rsid w:val="001C5A6E"/>
    <w:rsid w:val="001D0558"/>
    <w:rsid w:val="001E014C"/>
    <w:rsid w:val="001E4482"/>
    <w:rsid w:val="001F3D3F"/>
    <w:rsid w:val="002058A6"/>
    <w:rsid w:val="0021256D"/>
    <w:rsid w:val="0021376F"/>
    <w:rsid w:val="0022715F"/>
    <w:rsid w:val="002321DC"/>
    <w:rsid w:val="0023680E"/>
    <w:rsid w:val="00247CF8"/>
    <w:rsid w:val="0026028A"/>
    <w:rsid w:val="0027201C"/>
    <w:rsid w:val="002B324B"/>
    <w:rsid w:val="002D4C66"/>
    <w:rsid w:val="002E2399"/>
    <w:rsid w:val="002F3560"/>
    <w:rsid w:val="00304BDB"/>
    <w:rsid w:val="00312A47"/>
    <w:rsid w:val="00333CC3"/>
    <w:rsid w:val="00371462"/>
    <w:rsid w:val="0038650B"/>
    <w:rsid w:val="00397C29"/>
    <w:rsid w:val="003A345B"/>
    <w:rsid w:val="003A46F2"/>
    <w:rsid w:val="003B546D"/>
    <w:rsid w:val="003B7AFD"/>
    <w:rsid w:val="003C2CB6"/>
    <w:rsid w:val="003F06EA"/>
    <w:rsid w:val="004110EC"/>
    <w:rsid w:val="00414508"/>
    <w:rsid w:val="00414B5E"/>
    <w:rsid w:val="004162F4"/>
    <w:rsid w:val="00423259"/>
    <w:rsid w:val="00451A3F"/>
    <w:rsid w:val="00455E49"/>
    <w:rsid w:val="00460083"/>
    <w:rsid w:val="00461449"/>
    <w:rsid w:val="004874AD"/>
    <w:rsid w:val="00491618"/>
    <w:rsid w:val="004C61D0"/>
    <w:rsid w:val="004D61BD"/>
    <w:rsid w:val="005136E5"/>
    <w:rsid w:val="005342A1"/>
    <w:rsid w:val="005569FE"/>
    <w:rsid w:val="00573489"/>
    <w:rsid w:val="0058614D"/>
    <w:rsid w:val="00592619"/>
    <w:rsid w:val="00592727"/>
    <w:rsid w:val="00592CD9"/>
    <w:rsid w:val="005B0987"/>
    <w:rsid w:val="005B49BE"/>
    <w:rsid w:val="005B5415"/>
    <w:rsid w:val="005B54A7"/>
    <w:rsid w:val="005E55A7"/>
    <w:rsid w:val="005F4E0D"/>
    <w:rsid w:val="005F545F"/>
    <w:rsid w:val="00604267"/>
    <w:rsid w:val="00607C02"/>
    <w:rsid w:val="00637D41"/>
    <w:rsid w:val="00651E0F"/>
    <w:rsid w:val="00653284"/>
    <w:rsid w:val="00684F35"/>
    <w:rsid w:val="0069157D"/>
    <w:rsid w:val="00693F5D"/>
    <w:rsid w:val="006A6566"/>
    <w:rsid w:val="006A77FF"/>
    <w:rsid w:val="006D33BA"/>
    <w:rsid w:val="006D747B"/>
    <w:rsid w:val="006E5279"/>
    <w:rsid w:val="006E7810"/>
    <w:rsid w:val="006F63E0"/>
    <w:rsid w:val="00715507"/>
    <w:rsid w:val="007333C2"/>
    <w:rsid w:val="007361FE"/>
    <w:rsid w:val="0073699E"/>
    <w:rsid w:val="00743CC8"/>
    <w:rsid w:val="0077341F"/>
    <w:rsid w:val="007738F3"/>
    <w:rsid w:val="0078454E"/>
    <w:rsid w:val="007864ED"/>
    <w:rsid w:val="007A7038"/>
    <w:rsid w:val="007B4B1C"/>
    <w:rsid w:val="007C45E7"/>
    <w:rsid w:val="007D397D"/>
    <w:rsid w:val="007D6A26"/>
    <w:rsid w:val="007E116C"/>
    <w:rsid w:val="007E428F"/>
    <w:rsid w:val="007E6820"/>
    <w:rsid w:val="007E739F"/>
    <w:rsid w:val="007F2142"/>
    <w:rsid w:val="00813558"/>
    <w:rsid w:val="0081649B"/>
    <w:rsid w:val="0081777E"/>
    <w:rsid w:val="008205D4"/>
    <w:rsid w:val="00822F0D"/>
    <w:rsid w:val="00824EE3"/>
    <w:rsid w:val="00845E3B"/>
    <w:rsid w:val="008515ED"/>
    <w:rsid w:val="00863DB1"/>
    <w:rsid w:val="00873EB5"/>
    <w:rsid w:val="00880CF1"/>
    <w:rsid w:val="00881F86"/>
    <w:rsid w:val="0088731D"/>
    <w:rsid w:val="008A397F"/>
    <w:rsid w:val="008B3B18"/>
    <w:rsid w:val="008D0CE6"/>
    <w:rsid w:val="008F44F6"/>
    <w:rsid w:val="008F72FD"/>
    <w:rsid w:val="0090435C"/>
    <w:rsid w:val="00911CD2"/>
    <w:rsid w:val="009201B2"/>
    <w:rsid w:val="00955C50"/>
    <w:rsid w:val="009574E8"/>
    <w:rsid w:val="009606EC"/>
    <w:rsid w:val="00976336"/>
    <w:rsid w:val="00984D5D"/>
    <w:rsid w:val="00997CBB"/>
    <w:rsid w:val="009B623D"/>
    <w:rsid w:val="009C0144"/>
    <w:rsid w:val="009C3663"/>
    <w:rsid w:val="009C6542"/>
    <w:rsid w:val="009E2E32"/>
    <w:rsid w:val="009F3268"/>
    <w:rsid w:val="00A20D97"/>
    <w:rsid w:val="00A26287"/>
    <w:rsid w:val="00A304CE"/>
    <w:rsid w:val="00A51607"/>
    <w:rsid w:val="00A603DE"/>
    <w:rsid w:val="00A83BBC"/>
    <w:rsid w:val="00A9106F"/>
    <w:rsid w:val="00A9383C"/>
    <w:rsid w:val="00AB1965"/>
    <w:rsid w:val="00AC4C01"/>
    <w:rsid w:val="00AC70AD"/>
    <w:rsid w:val="00AF43E8"/>
    <w:rsid w:val="00AF7923"/>
    <w:rsid w:val="00B16C02"/>
    <w:rsid w:val="00B25DD5"/>
    <w:rsid w:val="00B404A7"/>
    <w:rsid w:val="00B4066E"/>
    <w:rsid w:val="00B43697"/>
    <w:rsid w:val="00B51A13"/>
    <w:rsid w:val="00B62496"/>
    <w:rsid w:val="00B66E99"/>
    <w:rsid w:val="00B67A68"/>
    <w:rsid w:val="00B73473"/>
    <w:rsid w:val="00B7666C"/>
    <w:rsid w:val="00B925D1"/>
    <w:rsid w:val="00B97A19"/>
    <w:rsid w:val="00BA0964"/>
    <w:rsid w:val="00BA5518"/>
    <w:rsid w:val="00BB49FE"/>
    <w:rsid w:val="00BB7537"/>
    <w:rsid w:val="00BD55FB"/>
    <w:rsid w:val="00BE3FF3"/>
    <w:rsid w:val="00C31202"/>
    <w:rsid w:val="00C3497F"/>
    <w:rsid w:val="00C43A3E"/>
    <w:rsid w:val="00C70D02"/>
    <w:rsid w:val="00C75078"/>
    <w:rsid w:val="00CA4345"/>
    <w:rsid w:val="00CA54FA"/>
    <w:rsid w:val="00CD4571"/>
    <w:rsid w:val="00D67637"/>
    <w:rsid w:val="00D67EE2"/>
    <w:rsid w:val="00D72E50"/>
    <w:rsid w:val="00D80149"/>
    <w:rsid w:val="00D917B2"/>
    <w:rsid w:val="00D91A1B"/>
    <w:rsid w:val="00DA408B"/>
    <w:rsid w:val="00DB6A2F"/>
    <w:rsid w:val="00DE239B"/>
    <w:rsid w:val="00DF5259"/>
    <w:rsid w:val="00E15110"/>
    <w:rsid w:val="00E215CA"/>
    <w:rsid w:val="00E21E5E"/>
    <w:rsid w:val="00E2239C"/>
    <w:rsid w:val="00E27DBD"/>
    <w:rsid w:val="00E3269A"/>
    <w:rsid w:val="00E32EDE"/>
    <w:rsid w:val="00E3579A"/>
    <w:rsid w:val="00E46E62"/>
    <w:rsid w:val="00E530F9"/>
    <w:rsid w:val="00E53CD1"/>
    <w:rsid w:val="00E5738E"/>
    <w:rsid w:val="00E77AD9"/>
    <w:rsid w:val="00E80241"/>
    <w:rsid w:val="00EA2523"/>
    <w:rsid w:val="00EC1989"/>
    <w:rsid w:val="00EC4C22"/>
    <w:rsid w:val="00ED12B9"/>
    <w:rsid w:val="00EE01BE"/>
    <w:rsid w:val="00EF77A2"/>
    <w:rsid w:val="00F06E88"/>
    <w:rsid w:val="00F07C8E"/>
    <w:rsid w:val="00F174D8"/>
    <w:rsid w:val="00F4240B"/>
    <w:rsid w:val="00F45F6E"/>
    <w:rsid w:val="00F82C4C"/>
    <w:rsid w:val="00F93181"/>
    <w:rsid w:val="00FA2E5F"/>
    <w:rsid w:val="00FB741F"/>
    <w:rsid w:val="00FD12C1"/>
    <w:rsid w:val="00FE4234"/>
    <w:rsid w:val="00FE68DE"/>
    <w:rsid w:val="00FF06FF"/>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DEF05"/>
  <w15:docId w15:val="{68EC81B1-5E86-47AA-952D-220CD921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68"/>
    <w:rPr>
      <w:sz w:val="24"/>
      <w:szCs w:val="24"/>
    </w:rPr>
  </w:style>
  <w:style w:type="paragraph" w:styleId="Heading1">
    <w:name w:val="heading 1"/>
    <w:basedOn w:val="Normal"/>
    <w:next w:val="Normal"/>
    <w:qFormat/>
    <w:rsid w:val="009F326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F3268"/>
    <w:pPr>
      <w:jc w:val="center"/>
    </w:pPr>
    <w:rPr>
      <w:b/>
      <w:bCs/>
    </w:rPr>
  </w:style>
  <w:style w:type="paragraph" w:styleId="Subtitle">
    <w:name w:val="Subtitle"/>
    <w:basedOn w:val="Normal"/>
    <w:qFormat/>
    <w:rsid w:val="009F3268"/>
    <w:rPr>
      <w:b/>
      <w:bCs/>
    </w:rPr>
  </w:style>
  <w:style w:type="paragraph" w:styleId="Header">
    <w:name w:val="header"/>
    <w:basedOn w:val="Normal"/>
    <w:semiHidden/>
    <w:rsid w:val="009F3268"/>
    <w:pPr>
      <w:widowControl w:val="0"/>
      <w:tabs>
        <w:tab w:val="center" w:pos="4320"/>
        <w:tab w:val="right" w:pos="8640"/>
      </w:tabs>
    </w:pPr>
    <w:rPr>
      <w:snapToGrid w:val="0"/>
      <w:szCs w:val="20"/>
    </w:rPr>
  </w:style>
  <w:style w:type="paragraph" w:customStyle="1" w:styleId="p3">
    <w:name w:val="p3"/>
    <w:basedOn w:val="Normal"/>
    <w:rsid w:val="009F3268"/>
    <w:pPr>
      <w:widowControl w:val="0"/>
      <w:tabs>
        <w:tab w:val="left" w:pos="204"/>
      </w:tabs>
      <w:autoSpaceDE w:val="0"/>
      <w:autoSpaceDN w:val="0"/>
      <w:adjustRightInd w:val="0"/>
      <w:jc w:val="both"/>
    </w:pPr>
  </w:style>
  <w:style w:type="paragraph" w:customStyle="1" w:styleId="p4">
    <w:name w:val="p4"/>
    <w:basedOn w:val="Normal"/>
    <w:rsid w:val="009F3268"/>
    <w:pPr>
      <w:widowControl w:val="0"/>
      <w:tabs>
        <w:tab w:val="left" w:pos="901"/>
      </w:tabs>
      <w:autoSpaceDE w:val="0"/>
      <w:autoSpaceDN w:val="0"/>
      <w:adjustRightInd w:val="0"/>
      <w:ind w:left="539" w:hanging="901"/>
      <w:jc w:val="both"/>
    </w:pPr>
  </w:style>
  <w:style w:type="paragraph" w:customStyle="1" w:styleId="p6">
    <w:name w:val="p6"/>
    <w:basedOn w:val="Normal"/>
    <w:rsid w:val="009F3268"/>
    <w:pPr>
      <w:widowControl w:val="0"/>
      <w:tabs>
        <w:tab w:val="left" w:pos="776"/>
      </w:tabs>
      <w:autoSpaceDE w:val="0"/>
      <w:autoSpaceDN w:val="0"/>
      <w:adjustRightInd w:val="0"/>
      <w:ind w:left="664" w:hanging="776"/>
      <w:jc w:val="both"/>
    </w:pPr>
  </w:style>
  <w:style w:type="paragraph" w:customStyle="1" w:styleId="c7">
    <w:name w:val="c7"/>
    <w:basedOn w:val="Normal"/>
    <w:rsid w:val="009F3268"/>
    <w:pPr>
      <w:widowControl w:val="0"/>
      <w:autoSpaceDE w:val="0"/>
      <w:autoSpaceDN w:val="0"/>
      <w:adjustRightInd w:val="0"/>
      <w:jc w:val="center"/>
    </w:pPr>
  </w:style>
  <w:style w:type="paragraph" w:customStyle="1" w:styleId="p1">
    <w:name w:val="p1"/>
    <w:basedOn w:val="Normal"/>
    <w:rsid w:val="009F3268"/>
    <w:pPr>
      <w:widowControl w:val="0"/>
      <w:tabs>
        <w:tab w:val="left" w:pos="204"/>
      </w:tabs>
      <w:autoSpaceDE w:val="0"/>
      <w:autoSpaceDN w:val="0"/>
      <w:adjustRightInd w:val="0"/>
    </w:pPr>
  </w:style>
  <w:style w:type="paragraph" w:customStyle="1" w:styleId="p2">
    <w:name w:val="p2"/>
    <w:basedOn w:val="Normal"/>
    <w:rsid w:val="009F3268"/>
    <w:pPr>
      <w:widowControl w:val="0"/>
      <w:tabs>
        <w:tab w:val="left" w:pos="771"/>
      </w:tabs>
      <w:autoSpaceDE w:val="0"/>
      <w:autoSpaceDN w:val="0"/>
      <w:adjustRightInd w:val="0"/>
      <w:ind w:left="669" w:hanging="771"/>
    </w:pPr>
  </w:style>
  <w:style w:type="paragraph" w:customStyle="1" w:styleId="c5">
    <w:name w:val="c5"/>
    <w:basedOn w:val="Normal"/>
    <w:rsid w:val="009F3268"/>
    <w:pPr>
      <w:widowControl w:val="0"/>
      <w:autoSpaceDE w:val="0"/>
      <w:autoSpaceDN w:val="0"/>
      <w:adjustRightInd w:val="0"/>
      <w:jc w:val="center"/>
    </w:pPr>
  </w:style>
  <w:style w:type="paragraph" w:customStyle="1" w:styleId="p7">
    <w:name w:val="p7"/>
    <w:basedOn w:val="Normal"/>
    <w:rsid w:val="009F3268"/>
    <w:pPr>
      <w:widowControl w:val="0"/>
      <w:autoSpaceDE w:val="0"/>
      <w:autoSpaceDN w:val="0"/>
      <w:adjustRightInd w:val="0"/>
      <w:ind w:left="823" w:hanging="617"/>
    </w:pPr>
  </w:style>
  <w:style w:type="paragraph" w:styleId="BodyText">
    <w:name w:val="Body Text"/>
    <w:basedOn w:val="Normal"/>
    <w:semiHidden/>
    <w:rsid w:val="009F3268"/>
    <w:rPr>
      <w:sz w:val="20"/>
    </w:rPr>
  </w:style>
  <w:style w:type="paragraph" w:styleId="Footer">
    <w:name w:val="footer"/>
    <w:basedOn w:val="Normal"/>
    <w:link w:val="FooterChar"/>
    <w:uiPriority w:val="99"/>
    <w:rsid w:val="009F3268"/>
    <w:pPr>
      <w:tabs>
        <w:tab w:val="center" w:pos="4320"/>
        <w:tab w:val="right" w:pos="8640"/>
      </w:tabs>
    </w:pPr>
  </w:style>
  <w:style w:type="character" w:styleId="CommentReference">
    <w:name w:val="annotation reference"/>
    <w:basedOn w:val="DefaultParagraphFont"/>
    <w:uiPriority w:val="99"/>
    <w:semiHidden/>
    <w:unhideWhenUsed/>
    <w:rsid w:val="00033464"/>
    <w:rPr>
      <w:sz w:val="16"/>
      <w:szCs w:val="16"/>
    </w:rPr>
  </w:style>
  <w:style w:type="paragraph" w:styleId="CommentText">
    <w:name w:val="annotation text"/>
    <w:basedOn w:val="Normal"/>
    <w:link w:val="CommentTextChar"/>
    <w:uiPriority w:val="99"/>
    <w:semiHidden/>
    <w:unhideWhenUsed/>
    <w:rsid w:val="00033464"/>
    <w:rPr>
      <w:sz w:val="20"/>
      <w:szCs w:val="20"/>
    </w:rPr>
  </w:style>
  <w:style w:type="character" w:customStyle="1" w:styleId="CommentTextChar">
    <w:name w:val="Comment Text Char"/>
    <w:basedOn w:val="DefaultParagraphFont"/>
    <w:link w:val="CommentText"/>
    <w:uiPriority w:val="99"/>
    <w:semiHidden/>
    <w:rsid w:val="00033464"/>
  </w:style>
  <w:style w:type="paragraph" w:styleId="CommentSubject">
    <w:name w:val="annotation subject"/>
    <w:basedOn w:val="CommentText"/>
    <w:next w:val="CommentText"/>
    <w:link w:val="CommentSubjectChar"/>
    <w:uiPriority w:val="99"/>
    <w:semiHidden/>
    <w:unhideWhenUsed/>
    <w:rsid w:val="00033464"/>
    <w:rPr>
      <w:b/>
      <w:bCs/>
    </w:rPr>
  </w:style>
  <w:style w:type="character" w:customStyle="1" w:styleId="CommentSubjectChar">
    <w:name w:val="Comment Subject Char"/>
    <w:basedOn w:val="CommentTextChar"/>
    <w:link w:val="CommentSubject"/>
    <w:uiPriority w:val="99"/>
    <w:semiHidden/>
    <w:rsid w:val="00033464"/>
    <w:rPr>
      <w:b/>
      <w:bCs/>
    </w:rPr>
  </w:style>
  <w:style w:type="paragraph" w:styleId="BalloonText">
    <w:name w:val="Balloon Text"/>
    <w:basedOn w:val="Normal"/>
    <w:link w:val="BalloonTextChar"/>
    <w:uiPriority w:val="99"/>
    <w:semiHidden/>
    <w:unhideWhenUsed/>
    <w:rsid w:val="00033464"/>
    <w:rPr>
      <w:rFonts w:ascii="Tahoma" w:hAnsi="Tahoma" w:cs="Tahoma"/>
      <w:sz w:val="16"/>
      <w:szCs w:val="16"/>
    </w:rPr>
  </w:style>
  <w:style w:type="character" w:customStyle="1" w:styleId="BalloonTextChar">
    <w:name w:val="Balloon Text Char"/>
    <w:basedOn w:val="DefaultParagraphFont"/>
    <w:link w:val="BalloonText"/>
    <w:uiPriority w:val="99"/>
    <w:semiHidden/>
    <w:rsid w:val="00033464"/>
    <w:rPr>
      <w:rFonts w:ascii="Tahoma" w:hAnsi="Tahoma" w:cs="Tahoma"/>
      <w:sz w:val="16"/>
      <w:szCs w:val="16"/>
    </w:rPr>
  </w:style>
  <w:style w:type="paragraph" w:styleId="FootnoteText">
    <w:name w:val="footnote text"/>
    <w:basedOn w:val="Normal"/>
    <w:link w:val="FootnoteTextChar"/>
    <w:uiPriority w:val="99"/>
    <w:semiHidden/>
    <w:unhideWhenUsed/>
    <w:rsid w:val="006E5279"/>
    <w:rPr>
      <w:rFonts w:ascii="Cambria" w:eastAsia="Calibri" w:hAnsi="Cambria"/>
      <w:sz w:val="20"/>
      <w:szCs w:val="20"/>
    </w:rPr>
  </w:style>
  <w:style w:type="character" w:customStyle="1" w:styleId="FootnoteTextChar">
    <w:name w:val="Footnote Text Char"/>
    <w:basedOn w:val="DefaultParagraphFont"/>
    <w:link w:val="FootnoteText"/>
    <w:uiPriority w:val="99"/>
    <w:semiHidden/>
    <w:rsid w:val="006E5279"/>
    <w:rPr>
      <w:rFonts w:ascii="Cambria" w:eastAsia="Calibri" w:hAnsi="Cambria"/>
    </w:rPr>
  </w:style>
  <w:style w:type="character" w:styleId="FootnoteReference">
    <w:name w:val="footnote reference"/>
    <w:basedOn w:val="DefaultParagraphFont"/>
    <w:uiPriority w:val="99"/>
    <w:semiHidden/>
    <w:unhideWhenUsed/>
    <w:rsid w:val="006E5279"/>
    <w:rPr>
      <w:vertAlign w:val="superscript"/>
    </w:rPr>
  </w:style>
  <w:style w:type="character" w:styleId="Hyperlink">
    <w:name w:val="Hyperlink"/>
    <w:basedOn w:val="DefaultParagraphFont"/>
    <w:uiPriority w:val="99"/>
    <w:unhideWhenUsed/>
    <w:rsid w:val="006E5279"/>
    <w:rPr>
      <w:color w:val="0000FF"/>
      <w:u w:val="single"/>
    </w:rPr>
  </w:style>
  <w:style w:type="paragraph" w:styleId="Revision">
    <w:name w:val="Revision"/>
    <w:hidden/>
    <w:uiPriority w:val="99"/>
    <w:semiHidden/>
    <w:rsid w:val="00653284"/>
    <w:rPr>
      <w:sz w:val="24"/>
      <w:szCs w:val="24"/>
    </w:rPr>
  </w:style>
  <w:style w:type="character" w:customStyle="1" w:styleId="FooterChar">
    <w:name w:val="Footer Char"/>
    <w:basedOn w:val="DefaultParagraphFont"/>
    <w:link w:val="Footer"/>
    <w:uiPriority w:val="99"/>
    <w:rsid w:val="00984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7798">
      <w:bodyDiv w:val="1"/>
      <w:marLeft w:val="0"/>
      <w:marRight w:val="0"/>
      <w:marTop w:val="0"/>
      <w:marBottom w:val="0"/>
      <w:divBdr>
        <w:top w:val="none" w:sz="0" w:space="0" w:color="auto"/>
        <w:left w:val="none" w:sz="0" w:space="0" w:color="auto"/>
        <w:bottom w:val="none" w:sz="0" w:space="0" w:color="auto"/>
        <w:right w:val="none" w:sz="0" w:space="0" w:color="auto"/>
      </w:divBdr>
    </w:div>
    <w:div w:id="190460147">
      <w:bodyDiv w:val="1"/>
      <w:marLeft w:val="0"/>
      <w:marRight w:val="0"/>
      <w:marTop w:val="0"/>
      <w:marBottom w:val="0"/>
      <w:divBdr>
        <w:top w:val="none" w:sz="0" w:space="0" w:color="auto"/>
        <w:left w:val="none" w:sz="0" w:space="0" w:color="auto"/>
        <w:bottom w:val="none" w:sz="0" w:space="0" w:color="auto"/>
        <w:right w:val="none" w:sz="0" w:space="0" w:color="auto"/>
      </w:divBdr>
    </w:div>
    <w:div w:id="460999677">
      <w:bodyDiv w:val="1"/>
      <w:marLeft w:val="0"/>
      <w:marRight w:val="0"/>
      <w:marTop w:val="0"/>
      <w:marBottom w:val="0"/>
      <w:divBdr>
        <w:top w:val="none" w:sz="0" w:space="0" w:color="auto"/>
        <w:left w:val="none" w:sz="0" w:space="0" w:color="auto"/>
        <w:bottom w:val="none" w:sz="0" w:space="0" w:color="auto"/>
        <w:right w:val="none" w:sz="0" w:space="0" w:color="auto"/>
      </w:divBdr>
    </w:div>
    <w:div w:id="631247785">
      <w:bodyDiv w:val="1"/>
      <w:marLeft w:val="0"/>
      <w:marRight w:val="0"/>
      <w:marTop w:val="0"/>
      <w:marBottom w:val="0"/>
      <w:divBdr>
        <w:top w:val="none" w:sz="0" w:space="0" w:color="auto"/>
        <w:left w:val="none" w:sz="0" w:space="0" w:color="auto"/>
        <w:bottom w:val="none" w:sz="0" w:space="0" w:color="auto"/>
        <w:right w:val="none" w:sz="0" w:space="0" w:color="auto"/>
      </w:divBdr>
    </w:div>
    <w:div w:id="843739224">
      <w:bodyDiv w:val="1"/>
      <w:marLeft w:val="0"/>
      <w:marRight w:val="0"/>
      <w:marTop w:val="0"/>
      <w:marBottom w:val="0"/>
      <w:divBdr>
        <w:top w:val="none" w:sz="0" w:space="0" w:color="auto"/>
        <w:left w:val="none" w:sz="0" w:space="0" w:color="auto"/>
        <w:bottom w:val="none" w:sz="0" w:space="0" w:color="auto"/>
        <w:right w:val="none" w:sz="0" w:space="0" w:color="auto"/>
      </w:divBdr>
    </w:div>
    <w:div w:id="973750771">
      <w:bodyDiv w:val="1"/>
      <w:marLeft w:val="0"/>
      <w:marRight w:val="0"/>
      <w:marTop w:val="0"/>
      <w:marBottom w:val="0"/>
      <w:divBdr>
        <w:top w:val="none" w:sz="0" w:space="0" w:color="auto"/>
        <w:left w:val="none" w:sz="0" w:space="0" w:color="auto"/>
        <w:bottom w:val="none" w:sz="0" w:space="0" w:color="auto"/>
        <w:right w:val="none" w:sz="0" w:space="0" w:color="auto"/>
      </w:divBdr>
    </w:div>
    <w:div w:id="1123157009">
      <w:bodyDiv w:val="1"/>
      <w:marLeft w:val="0"/>
      <w:marRight w:val="0"/>
      <w:marTop w:val="0"/>
      <w:marBottom w:val="0"/>
      <w:divBdr>
        <w:top w:val="none" w:sz="0" w:space="0" w:color="auto"/>
        <w:left w:val="none" w:sz="0" w:space="0" w:color="auto"/>
        <w:bottom w:val="none" w:sz="0" w:space="0" w:color="auto"/>
        <w:right w:val="none" w:sz="0" w:space="0" w:color="auto"/>
      </w:divBdr>
    </w:div>
    <w:div w:id="17720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AED0D-45A8-4508-BA44-4A81F19A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2100</Words>
  <Characters>10354</Characters>
  <Application>Microsoft Office Word</Application>
  <DocSecurity>0</DocSecurity>
  <Lines>258</Lines>
  <Paragraphs>157</Paragraphs>
  <ScaleCrop>false</ScaleCrop>
  <HeadingPairs>
    <vt:vector size="2" baseType="variant">
      <vt:variant>
        <vt:lpstr>Title</vt:lpstr>
      </vt:variant>
      <vt:variant>
        <vt:i4>1</vt:i4>
      </vt:variant>
    </vt:vector>
  </HeadingPairs>
  <TitlesOfParts>
    <vt:vector size="1" baseType="lpstr">
      <vt:lpstr>The SPPA provides information on the extent to which the adult population participates in the arts</vt:lpstr>
    </vt:vector>
  </TitlesOfParts>
  <Company>The Urban Institute</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SPPA provides information on the extent to which the adult population participates in the arts</dc:title>
  <dc:creator>TTriplet</dc:creator>
  <cp:lastModifiedBy>Melissa Menzer, Ph.D.</cp:lastModifiedBy>
  <cp:revision>4</cp:revision>
  <cp:lastPrinted>2011-08-29T21:46:00Z</cp:lastPrinted>
  <dcterms:created xsi:type="dcterms:W3CDTF">2017-05-31T22:12:00Z</dcterms:created>
  <dcterms:modified xsi:type="dcterms:W3CDTF">2017-06-02T15:41:00Z</dcterms:modified>
</cp:coreProperties>
</file>