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5FEF1" w14:textId="77777777" w:rsidR="00EA007E" w:rsidRPr="00C61901" w:rsidRDefault="00EA007E" w:rsidP="00EA007E">
      <w:pPr>
        <w:pStyle w:val="Heading3"/>
        <w:jc w:val="both"/>
        <w:rPr>
          <w:b/>
          <w:szCs w:val="24"/>
        </w:rPr>
      </w:pPr>
      <w:bookmarkStart w:id="0" w:name="_GoBack"/>
      <w:bookmarkEnd w:id="0"/>
    </w:p>
    <w:p w14:paraId="0C3249D5" w14:textId="77777777" w:rsidR="00EA007E" w:rsidRDefault="00EA007E" w:rsidP="00EA007E">
      <w:pPr>
        <w:pStyle w:val="Heading3"/>
        <w:jc w:val="center"/>
        <w:rPr>
          <w:b/>
          <w:szCs w:val="24"/>
          <w:u w:val="none"/>
        </w:rPr>
      </w:pPr>
    </w:p>
    <w:p w14:paraId="00472189" w14:textId="77777777" w:rsidR="00EA007E" w:rsidRPr="00CB572A" w:rsidRDefault="00EA007E" w:rsidP="00EA007E">
      <w:pPr>
        <w:rPr>
          <w:sz w:val="22"/>
          <w:szCs w:val="22"/>
        </w:rPr>
      </w:pPr>
      <w:r>
        <w:rPr>
          <w:sz w:val="22"/>
          <w:szCs w:val="22"/>
        </w:rPr>
        <w:t xml:space="preserve">This submission is being made pursuant to 44 U.S.C. § 3507 of the Paperwork Reduction Act of 1995 to </w:t>
      </w:r>
      <w:r w:rsidR="001E33AD">
        <w:rPr>
          <w:sz w:val="22"/>
          <w:szCs w:val="22"/>
        </w:rPr>
        <w:t>extend</w:t>
      </w:r>
      <w:r>
        <w:rPr>
          <w:sz w:val="22"/>
          <w:szCs w:val="22"/>
        </w:rPr>
        <w:t xml:space="preserve"> </w:t>
      </w:r>
      <w:r w:rsidR="00215150">
        <w:rPr>
          <w:sz w:val="22"/>
          <w:szCs w:val="22"/>
        </w:rPr>
        <w:t xml:space="preserve">existing </w:t>
      </w:r>
      <w:r w:rsidR="00E976F4">
        <w:rPr>
          <w:sz w:val="22"/>
          <w:szCs w:val="22"/>
        </w:rPr>
        <w:t xml:space="preserve">information </w:t>
      </w:r>
      <w:r w:rsidR="00215150">
        <w:rPr>
          <w:sz w:val="22"/>
          <w:szCs w:val="22"/>
        </w:rPr>
        <w:t>collection</w:t>
      </w:r>
      <w:r>
        <w:rPr>
          <w:sz w:val="22"/>
          <w:szCs w:val="22"/>
        </w:rPr>
        <w:t xml:space="preserve"> 3060-1120.</w:t>
      </w:r>
    </w:p>
    <w:p w14:paraId="43DE3E3D" w14:textId="77777777" w:rsidR="00EA007E" w:rsidRDefault="00EA007E" w:rsidP="00EA007E">
      <w:pPr>
        <w:pStyle w:val="Heading3"/>
        <w:jc w:val="center"/>
        <w:rPr>
          <w:b/>
          <w:szCs w:val="24"/>
          <w:u w:val="none"/>
        </w:rPr>
      </w:pPr>
    </w:p>
    <w:p w14:paraId="40069037" w14:textId="77777777" w:rsidR="00EA007E" w:rsidRPr="00F25211" w:rsidRDefault="00EA007E" w:rsidP="00EA007E">
      <w:pPr>
        <w:pStyle w:val="Heading3"/>
        <w:jc w:val="center"/>
        <w:rPr>
          <w:b/>
          <w:szCs w:val="24"/>
          <w:u w:val="none"/>
        </w:rPr>
      </w:pPr>
      <w:r w:rsidRPr="00F25211">
        <w:rPr>
          <w:b/>
          <w:szCs w:val="24"/>
          <w:u w:val="none"/>
        </w:rPr>
        <w:t>SUPPORTING STATEMENT</w:t>
      </w:r>
    </w:p>
    <w:p w14:paraId="56D75EFA" w14:textId="77777777" w:rsidR="00EA007E" w:rsidRPr="00C61901" w:rsidRDefault="00EA007E" w:rsidP="00EA007E">
      <w:pPr>
        <w:jc w:val="both"/>
        <w:rPr>
          <w:szCs w:val="24"/>
        </w:rPr>
      </w:pPr>
    </w:p>
    <w:p w14:paraId="1F638439" w14:textId="77777777" w:rsidR="00EA007E" w:rsidRPr="007730DC" w:rsidRDefault="00EA007E" w:rsidP="00EA007E">
      <w:pPr>
        <w:pStyle w:val="Heading3"/>
        <w:jc w:val="both"/>
        <w:rPr>
          <w:b/>
          <w:szCs w:val="24"/>
          <w:u w:val="none"/>
        </w:rPr>
      </w:pPr>
      <w:r w:rsidRPr="00C61901">
        <w:rPr>
          <w:b/>
          <w:szCs w:val="24"/>
          <w:u w:val="none"/>
        </w:rPr>
        <w:t>A.</w:t>
      </w:r>
      <w:r w:rsidRPr="00C61901">
        <w:rPr>
          <w:b/>
          <w:szCs w:val="24"/>
          <w:u w:val="none"/>
        </w:rPr>
        <w:tab/>
      </w:r>
      <w:r w:rsidRPr="00C61901">
        <w:rPr>
          <w:b/>
          <w:szCs w:val="24"/>
        </w:rPr>
        <w:t>Justification</w:t>
      </w:r>
      <w:r>
        <w:rPr>
          <w:b/>
          <w:szCs w:val="24"/>
          <w:u w:val="none"/>
        </w:rPr>
        <w:t>:</w:t>
      </w:r>
    </w:p>
    <w:p w14:paraId="47D44BA9" w14:textId="77777777" w:rsidR="00EA007E" w:rsidRPr="00C61901" w:rsidRDefault="00EA007E" w:rsidP="00EA007E">
      <w:pPr>
        <w:pStyle w:val="ParaNum"/>
        <w:tabs>
          <w:tab w:val="left" w:pos="1440"/>
        </w:tabs>
        <w:spacing w:after="0"/>
        <w:ind w:firstLine="0"/>
        <w:rPr>
          <w:sz w:val="24"/>
          <w:szCs w:val="24"/>
        </w:rPr>
      </w:pPr>
    </w:p>
    <w:p w14:paraId="36675AC7" w14:textId="77777777" w:rsidR="00EA007E" w:rsidRDefault="00EA007E" w:rsidP="00EA007E">
      <w:pPr>
        <w:ind w:left="360" w:hanging="360"/>
        <w:jc w:val="both"/>
        <w:rPr>
          <w:szCs w:val="24"/>
        </w:rPr>
      </w:pPr>
      <w:r>
        <w:rPr>
          <w:szCs w:val="24"/>
        </w:rPr>
        <w:t>1.</w:t>
      </w:r>
      <w:r>
        <w:rPr>
          <w:szCs w:val="24"/>
        </w:rPr>
        <w:tab/>
      </w:r>
      <w:r w:rsidRPr="00C61901">
        <w:rPr>
          <w:szCs w:val="24"/>
        </w:rPr>
        <w:t xml:space="preserve">This submission is being made pursuant to 44 U.S.C. § 3507.  </w:t>
      </w:r>
      <w:r>
        <w:rPr>
          <w:szCs w:val="24"/>
        </w:rPr>
        <w:t xml:space="preserve">On August 31, 2007,  the FCC released a Report and Order, </w:t>
      </w:r>
      <w:hyperlink r:id="rId9" w:tgtFrame="_top" w:history="1">
        <w:r w:rsidRPr="00366E38">
          <w:rPr>
            <w:rStyle w:val="Hyperlink"/>
            <w:i/>
            <w:color w:val="auto"/>
            <w:szCs w:val="24"/>
            <w:u w:val="none"/>
          </w:rPr>
          <w:t>Petition of AT&amp;T Inc. for Forbearance Under 47 U.S.C. 160(c) with Regard to Certain Dominant Carrier Regulations for In-Region, Interexchange Services</w:t>
        </w:r>
        <w:r w:rsidRPr="001F5CB7">
          <w:rPr>
            <w:rStyle w:val="Hyperlink"/>
            <w:color w:val="auto"/>
            <w:szCs w:val="24"/>
            <w:u w:val="none"/>
          </w:rPr>
          <w:t>, WC Docket Nos. 02-112, 06-120, CC Docket No. 00-175, 22 FCC Rcd 16440 (2007)</w:t>
        </w:r>
      </w:hyperlink>
      <w:r w:rsidRPr="001F5CB7">
        <w:rPr>
          <w:rStyle w:val="documentbody1"/>
          <w:rFonts w:ascii="Times New Roman" w:hAnsi="Times New Roman"/>
          <w:sz w:val="24"/>
          <w:szCs w:val="24"/>
        </w:rPr>
        <w:t xml:space="preserve"> </w:t>
      </w:r>
      <w:r>
        <w:rPr>
          <w:rStyle w:val="documentbody1"/>
          <w:rFonts w:ascii="Times New Roman" w:hAnsi="Times New Roman"/>
          <w:color w:val="000000"/>
          <w:sz w:val="24"/>
          <w:szCs w:val="24"/>
        </w:rPr>
        <w:t>(</w:t>
      </w:r>
      <w:r w:rsidRPr="00870FFE">
        <w:rPr>
          <w:rStyle w:val="documentbody1"/>
          <w:rFonts w:ascii="Times New Roman" w:hAnsi="Times New Roman"/>
          <w:i/>
          <w:color w:val="000000"/>
          <w:sz w:val="24"/>
          <w:szCs w:val="24"/>
        </w:rPr>
        <w:t>Section 272 Sunset Order</w:t>
      </w:r>
      <w:r>
        <w:rPr>
          <w:rStyle w:val="documentbody1"/>
          <w:rFonts w:ascii="Times New Roman" w:hAnsi="Times New Roman"/>
          <w:color w:val="000000"/>
          <w:sz w:val="24"/>
          <w:szCs w:val="24"/>
        </w:rPr>
        <w:t>).</w:t>
      </w:r>
      <w:r>
        <w:rPr>
          <w:szCs w:val="24"/>
        </w:rPr>
        <w:t xml:space="preserve">  In this rulemaking, t</w:t>
      </w:r>
      <w:r w:rsidRPr="00C61901">
        <w:rPr>
          <w:szCs w:val="24"/>
        </w:rPr>
        <w:t xml:space="preserve">he Commission </w:t>
      </w:r>
      <w:r>
        <w:rPr>
          <w:szCs w:val="24"/>
        </w:rPr>
        <w:t>adopted two</w:t>
      </w:r>
      <w:r w:rsidRPr="00C61901">
        <w:rPr>
          <w:szCs w:val="24"/>
        </w:rPr>
        <w:t xml:space="preserve"> new information collection </w:t>
      </w:r>
      <w:r>
        <w:rPr>
          <w:szCs w:val="24"/>
        </w:rPr>
        <w:t xml:space="preserve">requirements that would apply to AT&amp;T, </w:t>
      </w:r>
      <w:r w:rsidR="00D7661E">
        <w:rPr>
          <w:szCs w:val="24"/>
        </w:rPr>
        <w:t>CenturyLink</w:t>
      </w:r>
      <w:r>
        <w:rPr>
          <w:szCs w:val="24"/>
        </w:rPr>
        <w:t>,</w:t>
      </w:r>
      <w:r w:rsidR="00D7661E">
        <w:rPr>
          <w:rStyle w:val="FootnoteReference"/>
          <w:szCs w:val="24"/>
        </w:rPr>
        <w:footnoteReference w:id="1"/>
      </w:r>
      <w:r>
        <w:rPr>
          <w:szCs w:val="24"/>
        </w:rPr>
        <w:t xml:space="preserve"> and Verizon,</w:t>
      </w:r>
      <w:r w:rsidRPr="00C61901">
        <w:rPr>
          <w:szCs w:val="24"/>
        </w:rPr>
        <w:t xml:space="preserve"> </w:t>
      </w:r>
      <w:r>
        <w:rPr>
          <w:szCs w:val="24"/>
        </w:rPr>
        <w:t xml:space="preserve">(collectively, the Bell Operating Companies or BOCs).  The monthly usage information collection has expired, pursuant to the terms of the </w:t>
      </w:r>
      <w:r w:rsidRPr="00870FFE">
        <w:rPr>
          <w:rStyle w:val="documentbody1"/>
          <w:rFonts w:ascii="Times New Roman" w:hAnsi="Times New Roman"/>
          <w:i/>
          <w:color w:val="000000"/>
          <w:sz w:val="24"/>
          <w:szCs w:val="24"/>
        </w:rPr>
        <w:t>Section 272 Sunset Order</w:t>
      </w:r>
      <w:r>
        <w:rPr>
          <w:szCs w:val="24"/>
        </w:rPr>
        <w:t xml:space="preserve"> and therefore, only the special access performance metric information collection will be extended. </w:t>
      </w:r>
    </w:p>
    <w:p w14:paraId="3612499A" w14:textId="77777777" w:rsidR="00EA007E" w:rsidRDefault="00EA007E" w:rsidP="00EA007E">
      <w:pPr>
        <w:ind w:left="360" w:hanging="360"/>
        <w:jc w:val="both"/>
        <w:rPr>
          <w:szCs w:val="24"/>
        </w:rPr>
      </w:pPr>
    </w:p>
    <w:p w14:paraId="769E7375" w14:textId="77777777" w:rsidR="00EA007E" w:rsidRDefault="00EA007E" w:rsidP="00EA007E">
      <w:pPr>
        <w:ind w:left="720"/>
        <w:jc w:val="both"/>
        <w:rPr>
          <w:szCs w:val="24"/>
        </w:rPr>
      </w:pPr>
      <w:r>
        <w:rPr>
          <w:szCs w:val="24"/>
        </w:rPr>
        <w:t xml:space="preserve">The Commission will require these BOCs, including their independent incumbent local exchange carrier (LEC) affiliates, to report special access performance metrics on a quarterly basis.  </w:t>
      </w:r>
    </w:p>
    <w:p w14:paraId="37C03987" w14:textId="77777777" w:rsidR="00EA007E" w:rsidRDefault="00EA007E" w:rsidP="00EA007E">
      <w:pPr>
        <w:ind w:left="720" w:hanging="360"/>
        <w:jc w:val="both"/>
        <w:rPr>
          <w:szCs w:val="24"/>
        </w:rPr>
      </w:pPr>
    </w:p>
    <w:p w14:paraId="646BCAC7" w14:textId="77777777" w:rsidR="00EA007E" w:rsidRDefault="00EA007E" w:rsidP="00EA007E">
      <w:pPr>
        <w:ind w:left="720"/>
        <w:jc w:val="both"/>
        <w:rPr>
          <w:szCs w:val="24"/>
        </w:rPr>
      </w:pPr>
      <w:r w:rsidRPr="00C61901">
        <w:rPr>
          <w:szCs w:val="24"/>
        </w:rPr>
        <w:t xml:space="preserve">The Commission </w:t>
      </w:r>
      <w:r>
        <w:rPr>
          <w:szCs w:val="24"/>
        </w:rPr>
        <w:t xml:space="preserve">established a new framework to govern the provision of in-region, long distance services that allows the BOCs to provide in-region, interstate, long distance services either directly or through affiliates that are neither section 272 separate affiliates nor rule 64.1903 affiliates. </w:t>
      </w:r>
      <w:r w:rsidRPr="00870FFE">
        <w:rPr>
          <w:rStyle w:val="documentbody1"/>
          <w:rFonts w:ascii="Times New Roman" w:hAnsi="Times New Roman"/>
          <w:i/>
          <w:color w:val="000000"/>
          <w:sz w:val="24"/>
          <w:szCs w:val="24"/>
        </w:rPr>
        <w:t>Section 272 Sunset Order</w:t>
      </w:r>
      <w:r>
        <w:rPr>
          <w:szCs w:val="24"/>
        </w:rPr>
        <w:t xml:space="preserve">, </w:t>
      </w:r>
      <w:r w:rsidRPr="009700C0">
        <w:rPr>
          <w:szCs w:val="24"/>
        </w:rPr>
        <w:t xml:space="preserve">WC Docket Nos. 02-112, 06-120, CC Docket No. 00-175, </w:t>
      </w:r>
      <w:r>
        <w:rPr>
          <w:szCs w:val="24"/>
        </w:rPr>
        <w:t xml:space="preserve"> FCC 07-159 .  </w:t>
      </w:r>
    </w:p>
    <w:p w14:paraId="164F3339" w14:textId="77777777" w:rsidR="00EA007E" w:rsidRDefault="00EA007E" w:rsidP="00EA007E">
      <w:pPr>
        <w:ind w:left="720"/>
        <w:jc w:val="both"/>
        <w:rPr>
          <w:szCs w:val="24"/>
        </w:rPr>
      </w:pPr>
    </w:p>
    <w:p w14:paraId="776CE001" w14:textId="77777777" w:rsidR="00EA007E" w:rsidRDefault="00EA007E" w:rsidP="00EA007E">
      <w:pPr>
        <w:ind w:left="720"/>
        <w:jc w:val="both"/>
        <w:rPr>
          <w:szCs w:val="24"/>
        </w:rPr>
      </w:pPr>
      <w:r>
        <w:rPr>
          <w:szCs w:val="24"/>
        </w:rPr>
        <w:t xml:space="preserve">Because the BOCs are no longer required to comply with the section 272 structural safeguards, the Commission established special access performance metrics reporting requirements, </w:t>
      </w:r>
      <w:r w:rsidRPr="00841171">
        <w:rPr>
          <w:i/>
          <w:szCs w:val="24"/>
        </w:rPr>
        <w:t>i.e</w:t>
      </w:r>
      <w:r>
        <w:rPr>
          <w:szCs w:val="24"/>
        </w:rPr>
        <w:t xml:space="preserve">., ordering, provisioning, and repair and maintenance to ensure that the BOCs and their independent incumbent LEC affiliates do not engage in non-price discrimination in the provision of special access services to unaffiliated entities.  </w:t>
      </w:r>
    </w:p>
    <w:p w14:paraId="26DA7F73" w14:textId="77777777" w:rsidR="00EA007E" w:rsidRDefault="00EA007E" w:rsidP="00EA007E">
      <w:pPr>
        <w:ind w:left="720"/>
        <w:jc w:val="both"/>
        <w:rPr>
          <w:szCs w:val="24"/>
        </w:rPr>
      </w:pPr>
    </w:p>
    <w:p w14:paraId="275826A3" w14:textId="77777777" w:rsidR="00EA007E" w:rsidRDefault="00EA007E" w:rsidP="00EA007E">
      <w:pPr>
        <w:ind w:left="720"/>
        <w:jc w:val="both"/>
        <w:rPr>
          <w:szCs w:val="24"/>
        </w:rPr>
      </w:pPr>
      <w:r>
        <w:rPr>
          <w:szCs w:val="24"/>
        </w:rPr>
        <w:t>The information gleaned from these performance metrics will provide the Commission and other interested parties with reasonable tools to monitor each BOC’s performance in providing these special access services to itself and its competitors.</w:t>
      </w:r>
    </w:p>
    <w:p w14:paraId="7BCEF61B" w14:textId="77777777" w:rsidR="00EA007E" w:rsidRDefault="00EA007E" w:rsidP="00EA007E">
      <w:pPr>
        <w:ind w:left="360" w:hanging="360"/>
        <w:jc w:val="both"/>
        <w:rPr>
          <w:szCs w:val="24"/>
        </w:rPr>
      </w:pPr>
    </w:p>
    <w:p w14:paraId="4DC4612B" w14:textId="77777777" w:rsidR="00EA007E" w:rsidRPr="00C61901" w:rsidRDefault="00EA007E" w:rsidP="00EA007E">
      <w:pPr>
        <w:ind w:left="360"/>
        <w:jc w:val="both"/>
        <w:rPr>
          <w:szCs w:val="24"/>
        </w:rPr>
      </w:pPr>
      <w:r w:rsidRPr="00C61901">
        <w:rPr>
          <w:szCs w:val="24"/>
        </w:rPr>
        <w:t xml:space="preserve">Statutory authority for </w:t>
      </w:r>
      <w:r>
        <w:rPr>
          <w:szCs w:val="24"/>
        </w:rPr>
        <w:t>this</w:t>
      </w:r>
      <w:r w:rsidRPr="00C61901">
        <w:rPr>
          <w:szCs w:val="24"/>
        </w:rPr>
        <w:t xml:space="preserve"> information collection is contained in </w:t>
      </w:r>
      <w:r>
        <w:t>Sections 1, 2, 4(i), 4(j), 201-204, 214, 220(a), 251, 252, 271, 272, and 303(r) of the Communications Act of 1934, as amended, 47 U.S.C. §§ 151, 152, 154(i), 154(j), 201-204, 214, 220(a), 251, 252, 271, 272, and 303(r)</w:t>
      </w:r>
      <w:r w:rsidRPr="00C61901">
        <w:rPr>
          <w:szCs w:val="24"/>
        </w:rPr>
        <w:t>.</w:t>
      </w:r>
    </w:p>
    <w:p w14:paraId="01D0961A" w14:textId="77777777" w:rsidR="00EA007E" w:rsidRPr="00C61901" w:rsidRDefault="00EA007E" w:rsidP="00EA007E">
      <w:pPr>
        <w:ind w:left="360" w:hanging="360"/>
        <w:jc w:val="both"/>
        <w:rPr>
          <w:szCs w:val="24"/>
        </w:rPr>
      </w:pPr>
    </w:p>
    <w:p w14:paraId="3A1B1101" w14:textId="77777777" w:rsidR="00EA007E" w:rsidRDefault="00EA007E" w:rsidP="00EA007E">
      <w:pPr>
        <w:ind w:left="360"/>
        <w:jc w:val="both"/>
        <w:rPr>
          <w:bCs/>
          <w:szCs w:val="24"/>
        </w:rPr>
      </w:pPr>
      <w:r>
        <w:rPr>
          <w:bCs/>
          <w:szCs w:val="24"/>
        </w:rPr>
        <w:lastRenderedPageBreak/>
        <w:t>Th</w:t>
      </w:r>
      <w:r w:rsidRPr="00C61901">
        <w:rPr>
          <w:bCs/>
          <w:szCs w:val="24"/>
        </w:rPr>
        <w:t>is information collection does not affect individuals or households; thus, there are no impacts under the Privacy Act.</w:t>
      </w:r>
    </w:p>
    <w:p w14:paraId="3B6817A0" w14:textId="77777777" w:rsidR="00EA007E" w:rsidRPr="00C61901" w:rsidRDefault="00EA007E" w:rsidP="00EA007E">
      <w:pPr>
        <w:ind w:left="360" w:hanging="360"/>
        <w:rPr>
          <w:bCs/>
          <w:szCs w:val="24"/>
        </w:rPr>
      </w:pPr>
    </w:p>
    <w:p w14:paraId="235F31D0" w14:textId="54BF30A7" w:rsidR="00EA007E" w:rsidRDefault="00EA007E" w:rsidP="005D36BB">
      <w:pPr>
        <w:tabs>
          <w:tab w:val="left" w:pos="360"/>
        </w:tabs>
        <w:ind w:left="360" w:hanging="360"/>
        <w:jc w:val="both"/>
      </w:pPr>
      <w:r>
        <w:rPr>
          <w:szCs w:val="24"/>
        </w:rPr>
        <w:t>2.</w:t>
      </w:r>
      <w:r>
        <w:rPr>
          <w:szCs w:val="24"/>
        </w:rPr>
        <w:tab/>
      </w:r>
      <w:r w:rsidRPr="00C61901">
        <w:rPr>
          <w:szCs w:val="24"/>
        </w:rPr>
        <w:t xml:space="preserve">The Commission </w:t>
      </w:r>
      <w:r>
        <w:rPr>
          <w:szCs w:val="24"/>
        </w:rPr>
        <w:t xml:space="preserve">adopted special access performance metrics that were approved in the </w:t>
      </w:r>
      <w:r w:rsidRPr="00514EE1">
        <w:rPr>
          <w:i/>
          <w:szCs w:val="24"/>
        </w:rPr>
        <w:t>AT&amp;T</w:t>
      </w:r>
      <w:r>
        <w:rPr>
          <w:szCs w:val="24"/>
        </w:rPr>
        <w:t xml:space="preserve"> and </w:t>
      </w:r>
      <w:r w:rsidRPr="00514EE1">
        <w:rPr>
          <w:i/>
          <w:szCs w:val="24"/>
        </w:rPr>
        <w:t>Verizon</w:t>
      </w:r>
      <w:r>
        <w:rPr>
          <w:szCs w:val="24"/>
        </w:rPr>
        <w:t xml:space="preserve"> </w:t>
      </w:r>
      <w:r w:rsidRPr="00A03D8D">
        <w:rPr>
          <w:i/>
          <w:szCs w:val="24"/>
        </w:rPr>
        <w:t>Merger Orders</w:t>
      </w:r>
      <w:r>
        <w:rPr>
          <w:szCs w:val="24"/>
        </w:rPr>
        <w:t xml:space="preserve"> (FCC 05-183, 05-184, 06-189),</w:t>
      </w:r>
      <w:r>
        <w:rPr>
          <w:rStyle w:val="FootnoteReference"/>
          <w:szCs w:val="24"/>
        </w:rPr>
        <w:footnoteReference w:id="2"/>
      </w:r>
      <w:r>
        <w:rPr>
          <w:szCs w:val="24"/>
        </w:rPr>
        <w:t xml:space="preserve"> as well as the </w:t>
      </w:r>
      <w:r w:rsidRPr="00A03D8D">
        <w:rPr>
          <w:i/>
          <w:szCs w:val="24"/>
        </w:rPr>
        <w:t>Qwest Section 272 Sunset Forbearance Order</w:t>
      </w:r>
      <w:r>
        <w:rPr>
          <w:szCs w:val="24"/>
        </w:rPr>
        <w:t xml:space="preserve"> (FCC 07-13)</w:t>
      </w:r>
      <w:r>
        <w:rPr>
          <w:rStyle w:val="FootnoteReference"/>
          <w:szCs w:val="24"/>
        </w:rPr>
        <w:footnoteReference w:id="3"/>
      </w:r>
      <w:r>
        <w:rPr>
          <w:szCs w:val="24"/>
        </w:rPr>
        <w:t xml:space="preserve"> to help ensure that the BOCs, and their independent incumbent LEC affiliates, refrain from non-price discrimination in their provision of special access services.  </w:t>
      </w:r>
      <w:r>
        <w:t>Each BOC and each of AT&amp;</w:t>
      </w:r>
      <w:r w:rsidRPr="00EE3780">
        <w:rPr>
          <w:bCs/>
          <w:szCs w:val="24"/>
        </w:rPr>
        <w:t>T’s</w:t>
      </w:r>
      <w:r>
        <w:t xml:space="preserve"> and Verizon’s independent incumbent LEC </w:t>
      </w:r>
      <w:r w:rsidRPr="00464646">
        <w:t>affiliates</w:t>
      </w:r>
      <w:r>
        <w:t xml:space="preserve"> </w:t>
      </w:r>
      <w:r w:rsidR="0086478D">
        <w:t xml:space="preserve">are now required </w:t>
      </w:r>
      <w:r>
        <w:t xml:space="preserve">to implement these metrics to the extent the BOC or independent incumbent LEC provides one or more of the special access services, covered by the </w:t>
      </w:r>
      <w:r w:rsidRPr="00870FFE">
        <w:rPr>
          <w:rStyle w:val="documentbody1"/>
          <w:rFonts w:ascii="Times New Roman" w:hAnsi="Times New Roman"/>
          <w:i/>
          <w:color w:val="000000"/>
          <w:sz w:val="24"/>
          <w:szCs w:val="24"/>
        </w:rPr>
        <w:t>Section 272 Sunset Order</w:t>
      </w:r>
      <w:r>
        <w:t xml:space="preserve">, to itself, to any affiliate, or to third parties.  </w:t>
      </w:r>
    </w:p>
    <w:p w14:paraId="1606C67E" w14:textId="77777777" w:rsidR="00EA007E" w:rsidRDefault="00EA007E" w:rsidP="00EA007E">
      <w:pPr>
        <w:tabs>
          <w:tab w:val="left" w:pos="360"/>
          <w:tab w:val="left" w:pos="720"/>
        </w:tabs>
        <w:ind w:left="720" w:hanging="720"/>
        <w:jc w:val="both"/>
      </w:pPr>
    </w:p>
    <w:p w14:paraId="1CF97FA8" w14:textId="43AC3471" w:rsidR="00EA007E" w:rsidRDefault="00EA007E" w:rsidP="005D36BB">
      <w:pPr>
        <w:tabs>
          <w:tab w:val="left" w:pos="360"/>
        </w:tabs>
        <w:ind w:left="360"/>
        <w:jc w:val="both"/>
        <w:rPr>
          <w:szCs w:val="24"/>
        </w:rPr>
      </w:pPr>
      <w:r>
        <w:t>The</w:t>
      </w:r>
      <w:r w:rsidR="005D36BB">
        <w:t xml:space="preserve"> </w:t>
      </w:r>
      <w:r>
        <w:t xml:space="preserve">BOCs and their independent incumbent LEC affiliates </w:t>
      </w:r>
      <w:r w:rsidR="0086478D">
        <w:t xml:space="preserve">must </w:t>
      </w:r>
      <w:r>
        <w:t xml:space="preserve">provide the Commission with their performance measurement results on a quarterly basis.  </w:t>
      </w:r>
      <w:r w:rsidRPr="00C61901">
        <w:rPr>
          <w:szCs w:val="24"/>
        </w:rPr>
        <w:t xml:space="preserve">The Commission believes that </w:t>
      </w:r>
      <w:r>
        <w:rPr>
          <w:szCs w:val="24"/>
        </w:rPr>
        <w:t>this</w:t>
      </w:r>
      <w:r w:rsidRPr="00C61901">
        <w:rPr>
          <w:szCs w:val="24"/>
        </w:rPr>
        <w:t xml:space="preserve"> reporting </w:t>
      </w:r>
      <w:r>
        <w:rPr>
          <w:szCs w:val="24"/>
        </w:rPr>
        <w:t>r</w:t>
      </w:r>
      <w:r w:rsidRPr="00C61901">
        <w:rPr>
          <w:szCs w:val="24"/>
        </w:rPr>
        <w:t xml:space="preserve">equirement </w:t>
      </w:r>
      <w:r w:rsidR="005D36BB">
        <w:rPr>
          <w:szCs w:val="24"/>
        </w:rPr>
        <w:t xml:space="preserve">should </w:t>
      </w:r>
      <w:r w:rsidRPr="00C61901">
        <w:rPr>
          <w:szCs w:val="24"/>
        </w:rPr>
        <w:t xml:space="preserve">not </w:t>
      </w:r>
      <w:r w:rsidRPr="005D36BB">
        <w:rPr>
          <w:szCs w:val="24"/>
        </w:rPr>
        <w:t xml:space="preserve">be </w:t>
      </w:r>
      <w:r w:rsidRPr="00C61901">
        <w:rPr>
          <w:szCs w:val="24"/>
        </w:rPr>
        <w:t xml:space="preserve">burdensome for </w:t>
      </w:r>
      <w:r>
        <w:rPr>
          <w:szCs w:val="24"/>
        </w:rPr>
        <w:t xml:space="preserve">the BOCs, </w:t>
      </w:r>
      <w:r w:rsidRPr="00C61901">
        <w:rPr>
          <w:szCs w:val="24"/>
        </w:rPr>
        <w:t xml:space="preserve">as they need to track such information </w:t>
      </w:r>
      <w:r>
        <w:rPr>
          <w:szCs w:val="24"/>
        </w:rPr>
        <w:t>in connection with previous Commission orders.</w:t>
      </w:r>
      <w:r w:rsidRPr="00C61901">
        <w:rPr>
          <w:szCs w:val="24"/>
        </w:rPr>
        <w:t xml:space="preserve"> </w:t>
      </w:r>
      <w:r>
        <w:rPr>
          <w:szCs w:val="24"/>
        </w:rPr>
        <w:t xml:space="preserve"> The special access performance metrics reporting requirements adopted in the </w:t>
      </w:r>
      <w:r w:rsidRPr="00514EE1">
        <w:rPr>
          <w:i/>
          <w:szCs w:val="24"/>
        </w:rPr>
        <w:t>AT&amp;T</w:t>
      </w:r>
      <w:r>
        <w:rPr>
          <w:szCs w:val="24"/>
        </w:rPr>
        <w:t xml:space="preserve"> and </w:t>
      </w:r>
      <w:r w:rsidRPr="00514EE1">
        <w:rPr>
          <w:i/>
          <w:szCs w:val="24"/>
        </w:rPr>
        <w:t>Verizon</w:t>
      </w:r>
      <w:r>
        <w:rPr>
          <w:szCs w:val="24"/>
        </w:rPr>
        <w:t xml:space="preserve"> </w:t>
      </w:r>
      <w:r w:rsidRPr="00CB482C">
        <w:rPr>
          <w:i/>
          <w:szCs w:val="24"/>
        </w:rPr>
        <w:t>Merger Orders</w:t>
      </w:r>
      <w:r>
        <w:rPr>
          <w:szCs w:val="24"/>
        </w:rPr>
        <w:t xml:space="preserve"> </w:t>
      </w:r>
      <w:r w:rsidRPr="0086478D">
        <w:rPr>
          <w:szCs w:val="24"/>
        </w:rPr>
        <w:t xml:space="preserve">will </w:t>
      </w:r>
      <w:r>
        <w:rPr>
          <w:szCs w:val="24"/>
        </w:rPr>
        <w:t xml:space="preserve">expire 48 months after the merger closing date, whereas the special access performance metrics reporting requirements adopted in the </w:t>
      </w:r>
      <w:r w:rsidRPr="00870FFE">
        <w:rPr>
          <w:rStyle w:val="documentbody1"/>
          <w:rFonts w:ascii="Times New Roman" w:hAnsi="Times New Roman"/>
          <w:i/>
          <w:color w:val="000000"/>
          <w:sz w:val="24"/>
          <w:szCs w:val="24"/>
        </w:rPr>
        <w:t>Section 272 Sunset Order</w:t>
      </w:r>
      <w:r w:rsidDel="001F5CB7">
        <w:rPr>
          <w:szCs w:val="24"/>
        </w:rPr>
        <w:t xml:space="preserve"> </w:t>
      </w:r>
      <w:r>
        <w:rPr>
          <w:szCs w:val="24"/>
        </w:rPr>
        <w:t>have no sunset date.</w:t>
      </w:r>
    </w:p>
    <w:p w14:paraId="2AA30622" w14:textId="77777777" w:rsidR="00EA007E" w:rsidRPr="00C61901" w:rsidRDefault="00EA007E" w:rsidP="00EA007E">
      <w:pPr>
        <w:ind w:left="720" w:hanging="360"/>
        <w:jc w:val="both"/>
        <w:rPr>
          <w:szCs w:val="24"/>
        </w:rPr>
      </w:pPr>
    </w:p>
    <w:p w14:paraId="4B2EFF5F" w14:textId="77777777" w:rsidR="00EA007E" w:rsidRDefault="00EA007E" w:rsidP="005D36BB">
      <w:pPr>
        <w:tabs>
          <w:tab w:val="left" w:pos="360"/>
        </w:tabs>
        <w:ind w:left="360" w:hanging="360"/>
        <w:jc w:val="both"/>
        <w:rPr>
          <w:szCs w:val="24"/>
        </w:rPr>
      </w:pPr>
      <w:r>
        <w:t>3.</w:t>
      </w:r>
      <w:r>
        <w:tab/>
        <w:t>The performance metrics r</w:t>
      </w:r>
      <w:r w:rsidRPr="00392DF5">
        <w:t xml:space="preserve">eports </w:t>
      </w:r>
      <w:r w:rsidR="005D36BB">
        <w:t xml:space="preserve">should </w:t>
      </w:r>
      <w:r w:rsidRPr="00392DF5">
        <w:t>be provided in an Excel spreadsheet format to demonstrate the BOCs</w:t>
      </w:r>
      <w:r>
        <w:t xml:space="preserve">’ and, with </w:t>
      </w:r>
      <w:r w:rsidRPr="000367D2">
        <w:rPr>
          <w:szCs w:val="24"/>
        </w:rPr>
        <w:t>regard</w:t>
      </w:r>
      <w:r>
        <w:t xml:space="preserve"> to AT&amp;T and Verizon, their independent incumbent LEC affiliates’,</w:t>
      </w:r>
      <w:r w:rsidRPr="00392DF5">
        <w:t xml:space="preserve"> monthly performance in delivering </w:t>
      </w:r>
      <w:r>
        <w:t xml:space="preserve">interstate </w:t>
      </w:r>
      <w:r w:rsidRPr="00392DF5">
        <w:t>special access services</w:t>
      </w:r>
      <w:r>
        <w:t xml:space="preserve">, covered by the </w:t>
      </w:r>
      <w:r w:rsidRPr="00870FFE">
        <w:rPr>
          <w:rStyle w:val="documentbody1"/>
          <w:rFonts w:ascii="Times New Roman" w:hAnsi="Times New Roman"/>
          <w:i/>
          <w:color w:val="000000"/>
          <w:sz w:val="24"/>
          <w:szCs w:val="24"/>
        </w:rPr>
        <w:t>Section 272 Sunset Order</w:t>
      </w:r>
      <w:r>
        <w:t>,</w:t>
      </w:r>
      <w:r w:rsidRPr="00392DF5">
        <w:t xml:space="preserve"> within each of the states </w:t>
      </w:r>
      <w:r>
        <w:t>in their respective regions.  These data</w:t>
      </w:r>
      <w:r w:rsidRPr="00FF47BD">
        <w:t xml:space="preserve"> </w:t>
      </w:r>
      <w:r w:rsidR="005D36BB">
        <w:t xml:space="preserve">should </w:t>
      </w:r>
      <w:r>
        <w:t xml:space="preserve">be reported on an aggregated basis for interstate special access services.  The BOCs and their independent incumbent LEC affiliates </w:t>
      </w:r>
      <w:r w:rsidR="005D36BB">
        <w:t xml:space="preserve">should </w:t>
      </w:r>
      <w:r w:rsidRPr="00392DF5">
        <w:t>provide performance measurement results (broken down on a monthly basis) for each quarter to the Commission by the 45th day after the end of the quarter.</w:t>
      </w:r>
    </w:p>
    <w:p w14:paraId="6507C21E" w14:textId="77777777" w:rsidR="00EA007E" w:rsidRPr="00C61901" w:rsidRDefault="00EA007E" w:rsidP="00EA007E">
      <w:pPr>
        <w:ind w:left="360" w:hanging="360"/>
        <w:jc w:val="both"/>
        <w:rPr>
          <w:szCs w:val="24"/>
        </w:rPr>
      </w:pPr>
    </w:p>
    <w:p w14:paraId="75AED43C" w14:textId="77777777" w:rsidR="00EA007E" w:rsidRDefault="00EA007E" w:rsidP="005D36BB">
      <w:pPr>
        <w:ind w:left="360"/>
        <w:jc w:val="both"/>
        <w:rPr>
          <w:szCs w:val="24"/>
        </w:rPr>
      </w:pPr>
      <w:r w:rsidRPr="00C61901">
        <w:rPr>
          <w:szCs w:val="24"/>
        </w:rPr>
        <w:t xml:space="preserve">The Commission is committed to </w:t>
      </w:r>
      <w:r>
        <w:rPr>
          <w:szCs w:val="24"/>
        </w:rPr>
        <w:t xml:space="preserve">minimizing </w:t>
      </w:r>
      <w:r w:rsidRPr="00C61901">
        <w:rPr>
          <w:szCs w:val="24"/>
        </w:rPr>
        <w:t>the information collection requirement</w:t>
      </w:r>
      <w:r>
        <w:rPr>
          <w:szCs w:val="24"/>
        </w:rPr>
        <w:t>s</w:t>
      </w:r>
      <w:r w:rsidRPr="00C61901">
        <w:rPr>
          <w:szCs w:val="24"/>
        </w:rPr>
        <w:t xml:space="preserve"> for </w:t>
      </w:r>
      <w:r>
        <w:t>the BOCs and their independent incumbent LEC affiliates</w:t>
      </w:r>
      <w:r w:rsidRPr="00C61901">
        <w:rPr>
          <w:szCs w:val="24"/>
        </w:rPr>
        <w:t xml:space="preserve"> by offering various options for filing the required </w:t>
      </w:r>
      <w:r>
        <w:rPr>
          <w:szCs w:val="24"/>
        </w:rPr>
        <w:t>performance metric reports</w:t>
      </w:r>
      <w:r w:rsidRPr="00C61901">
        <w:rPr>
          <w:szCs w:val="24"/>
        </w:rPr>
        <w:t xml:space="preserve">.  </w:t>
      </w:r>
      <w:r>
        <w:rPr>
          <w:szCs w:val="24"/>
        </w:rPr>
        <w:t xml:space="preserve">The </w:t>
      </w:r>
      <w:r w:rsidRPr="00C61901">
        <w:rPr>
          <w:szCs w:val="24"/>
        </w:rPr>
        <w:t>reports</w:t>
      </w:r>
      <w:r>
        <w:rPr>
          <w:szCs w:val="24"/>
        </w:rPr>
        <w:t>, for example,</w:t>
      </w:r>
      <w:r w:rsidRPr="00C61901">
        <w:rPr>
          <w:szCs w:val="24"/>
        </w:rPr>
        <w:t xml:space="preserve"> may be filed </w:t>
      </w:r>
      <w:r>
        <w:rPr>
          <w:szCs w:val="24"/>
        </w:rPr>
        <w:t>electronically or through paper copies.</w:t>
      </w:r>
    </w:p>
    <w:p w14:paraId="4F10EBBF" w14:textId="77777777" w:rsidR="00EA007E" w:rsidRDefault="00EA007E" w:rsidP="00F727BD">
      <w:pPr>
        <w:jc w:val="both"/>
        <w:rPr>
          <w:szCs w:val="24"/>
        </w:rPr>
      </w:pPr>
    </w:p>
    <w:p w14:paraId="5730D23B" w14:textId="77777777" w:rsidR="00EA007E" w:rsidRPr="00C61901" w:rsidRDefault="00EA007E" w:rsidP="00EA007E">
      <w:pPr>
        <w:ind w:left="720" w:hanging="360"/>
        <w:jc w:val="both"/>
        <w:rPr>
          <w:szCs w:val="24"/>
        </w:rPr>
      </w:pPr>
    </w:p>
    <w:p w14:paraId="06FE0518" w14:textId="77777777" w:rsidR="00EA007E" w:rsidRDefault="00EA007E" w:rsidP="005D36BB">
      <w:pPr>
        <w:tabs>
          <w:tab w:val="left" w:pos="360"/>
        </w:tabs>
        <w:ind w:left="360" w:hanging="360"/>
        <w:jc w:val="both"/>
        <w:rPr>
          <w:szCs w:val="24"/>
        </w:rPr>
      </w:pPr>
      <w:r>
        <w:lastRenderedPageBreak/>
        <w:t>4.</w:t>
      </w:r>
      <w:r>
        <w:tab/>
        <w:t xml:space="preserve">The </w:t>
      </w:r>
      <w:r w:rsidRPr="001F5CB7">
        <w:rPr>
          <w:i/>
          <w:szCs w:val="24"/>
        </w:rPr>
        <w:t>AT&amp;T</w:t>
      </w:r>
      <w:r>
        <w:rPr>
          <w:szCs w:val="24"/>
        </w:rPr>
        <w:t xml:space="preserve"> and </w:t>
      </w:r>
      <w:r w:rsidRPr="001F5CB7">
        <w:rPr>
          <w:i/>
          <w:szCs w:val="24"/>
        </w:rPr>
        <w:t>Verizon</w:t>
      </w:r>
      <w:r>
        <w:rPr>
          <w:szCs w:val="24"/>
        </w:rPr>
        <w:t xml:space="preserve"> </w:t>
      </w:r>
      <w:r w:rsidRPr="00A03D8D">
        <w:rPr>
          <w:i/>
          <w:szCs w:val="24"/>
        </w:rPr>
        <w:t>Merger Orders</w:t>
      </w:r>
      <w:r>
        <w:rPr>
          <w:szCs w:val="24"/>
        </w:rPr>
        <w:t xml:space="preserve">, as well as the </w:t>
      </w:r>
      <w:r w:rsidRPr="00A03D8D">
        <w:rPr>
          <w:i/>
          <w:szCs w:val="24"/>
        </w:rPr>
        <w:t xml:space="preserve">Qwest Section 272 </w:t>
      </w:r>
      <w:r w:rsidRPr="00004266">
        <w:rPr>
          <w:i/>
          <w:szCs w:val="24"/>
        </w:rPr>
        <w:t>Sunset</w:t>
      </w:r>
      <w:r w:rsidRPr="00A03D8D">
        <w:rPr>
          <w:i/>
          <w:szCs w:val="24"/>
        </w:rPr>
        <w:t xml:space="preserve"> Forbearance Order</w:t>
      </w:r>
      <w:r>
        <w:rPr>
          <w:szCs w:val="24"/>
        </w:rPr>
        <w:t xml:space="preserve"> require AT&amp;T, Verizon, and </w:t>
      </w:r>
      <w:r w:rsidR="00D7661E">
        <w:rPr>
          <w:szCs w:val="24"/>
        </w:rPr>
        <w:t xml:space="preserve">CenturyLink </w:t>
      </w:r>
      <w:r>
        <w:rPr>
          <w:szCs w:val="24"/>
        </w:rPr>
        <w:t xml:space="preserve">to provide special access performance reports.  Under the </w:t>
      </w:r>
      <w:r w:rsidRPr="00870FFE">
        <w:rPr>
          <w:rStyle w:val="documentbody1"/>
          <w:rFonts w:ascii="Times New Roman" w:hAnsi="Times New Roman"/>
          <w:i/>
          <w:color w:val="000000"/>
          <w:sz w:val="24"/>
          <w:szCs w:val="24"/>
        </w:rPr>
        <w:t>Section 272 Sunset Order</w:t>
      </w:r>
      <w:r>
        <w:rPr>
          <w:szCs w:val="24"/>
        </w:rPr>
        <w:t xml:space="preserve">, </w:t>
      </w:r>
      <w:r>
        <w:t>the BOCs and their independent incumbent LEC affiliates shall provide the Commission with their performance measurement results on a quarterly basis.</w:t>
      </w:r>
    </w:p>
    <w:p w14:paraId="5A160D29" w14:textId="77777777" w:rsidR="00EA007E" w:rsidRPr="00C61901" w:rsidRDefault="00EA007E" w:rsidP="00EA007E">
      <w:pPr>
        <w:ind w:left="720" w:hanging="360"/>
        <w:jc w:val="both"/>
        <w:rPr>
          <w:szCs w:val="24"/>
        </w:rPr>
      </w:pPr>
    </w:p>
    <w:p w14:paraId="1B03B484" w14:textId="77777777" w:rsidR="00EA007E" w:rsidRDefault="00EA007E" w:rsidP="00EA007E">
      <w:pPr>
        <w:ind w:left="360" w:hanging="360"/>
        <w:jc w:val="both"/>
      </w:pPr>
      <w:r>
        <w:rPr>
          <w:szCs w:val="24"/>
        </w:rPr>
        <w:t>5.</w:t>
      </w:r>
      <w:r>
        <w:rPr>
          <w:szCs w:val="24"/>
        </w:rPr>
        <w:tab/>
      </w:r>
      <w:r w:rsidRPr="00C61901">
        <w:rPr>
          <w:szCs w:val="24"/>
        </w:rPr>
        <w:t xml:space="preserve">Because </w:t>
      </w:r>
      <w:r>
        <w:rPr>
          <w:szCs w:val="24"/>
        </w:rPr>
        <w:t xml:space="preserve">the special access performance metrics reporting requirement only affect the </w:t>
      </w:r>
      <w:r>
        <w:t xml:space="preserve">BOCs and each of AT&amp;T’s and Verizon’s independent incumbent LEC </w:t>
      </w:r>
      <w:r w:rsidRPr="00464646">
        <w:t>affiliates</w:t>
      </w:r>
      <w:r>
        <w:t xml:space="preserve">, the </w:t>
      </w:r>
      <w:r w:rsidRPr="005F29EE">
        <w:rPr>
          <w:szCs w:val="24"/>
        </w:rPr>
        <w:t>information</w:t>
      </w:r>
      <w:r>
        <w:t xml:space="preserve"> collection does not impact any small businesses or other small entities.</w:t>
      </w:r>
    </w:p>
    <w:p w14:paraId="7830DE87" w14:textId="77777777" w:rsidR="00EA007E" w:rsidRPr="00C61901" w:rsidRDefault="00EA007E" w:rsidP="00EA007E">
      <w:pPr>
        <w:ind w:left="360" w:hanging="360"/>
        <w:jc w:val="both"/>
        <w:rPr>
          <w:szCs w:val="24"/>
        </w:rPr>
      </w:pPr>
    </w:p>
    <w:p w14:paraId="05D5D230" w14:textId="77777777" w:rsidR="00EA007E" w:rsidRDefault="00EA007E" w:rsidP="00EA007E">
      <w:pPr>
        <w:ind w:left="360" w:hanging="360"/>
        <w:jc w:val="both"/>
        <w:rPr>
          <w:szCs w:val="24"/>
        </w:rPr>
      </w:pPr>
      <w:r>
        <w:rPr>
          <w:szCs w:val="24"/>
        </w:rPr>
        <w:t>6.</w:t>
      </w:r>
      <w:r>
        <w:rPr>
          <w:szCs w:val="24"/>
        </w:rPr>
        <w:tab/>
        <w:t xml:space="preserve">Because the BOCs are no longer required to comply with the section 272 structural safeguards, the Commission established the special access performance metrics described above to ensure that the BOCs and their independent incumbent LEC affiliates do not engage in non-price discrimination in the provision of special access services to unaffiliated entities.  </w:t>
      </w:r>
    </w:p>
    <w:p w14:paraId="76ED39B3" w14:textId="77777777" w:rsidR="00EA007E" w:rsidRDefault="00EA007E" w:rsidP="00EA007E">
      <w:pPr>
        <w:ind w:left="360" w:hanging="360"/>
        <w:jc w:val="both"/>
        <w:rPr>
          <w:szCs w:val="24"/>
        </w:rPr>
      </w:pPr>
    </w:p>
    <w:p w14:paraId="05CB8610" w14:textId="77777777" w:rsidR="00EA007E" w:rsidRDefault="00EA007E" w:rsidP="00EA007E">
      <w:pPr>
        <w:ind w:left="360"/>
        <w:jc w:val="both"/>
        <w:rPr>
          <w:szCs w:val="22"/>
        </w:rPr>
      </w:pPr>
      <w:r w:rsidRPr="00C61901">
        <w:rPr>
          <w:szCs w:val="24"/>
        </w:rPr>
        <w:t xml:space="preserve">The frequency of the </w:t>
      </w:r>
      <w:r>
        <w:rPr>
          <w:szCs w:val="24"/>
        </w:rPr>
        <w:t>performance metric filings provide</w:t>
      </w:r>
      <w:r w:rsidR="00916F4F">
        <w:rPr>
          <w:szCs w:val="24"/>
        </w:rPr>
        <w:t>s</w:t>
      </w:r>
      <w:r>
        <w:rPr>
          <w:szCs w:val="24"/>
        </w:rPr>
        <w:t xml:space="preserve"> the Commission and other interested parties with reasonable tools to monitor each BOC’s performance in providing these special access services to itself and its competitors</w:t>
      </w:r>
      <w:r w:rsidRPr="001E5228">
        <w:rPr>
          <w:szCs w:val="22"/>
        </w:rPr>
        <w:t xml:space="preserve"> in light of the regulatory relief </w:t>
      </w:r>
      <w:r>
        <w:rPr>
          <w:szCs w:val="22"/>
        </w:rPr>
        <w:t xml:space="preserve">granted as part of the </w:t>
      </w:r>
      <w:r w:rsidRPr="00870FFE">
        <w:rPr>
          <w:rStyle w:val="documentbody1"/>
          <w:rFonts w:ascii="Times New Roman" w:hAnsi="Times New Roman"/>
          <w:i/>
          <w:color w:val="000000"/>
          <w:sz w:val="24"/>
          <w:szCs w:val="24"/>
        </w:rPr>
        <w:t>Section 272 Sunset Order</w:t>
      </w:r>
      <w:r>
        <w:rPr>
          <w:szCs w:val="22"/>
        </w:rPr>
        <w:t xml:space="preserve">.  </w:t>
      </w:r>
    </w:p>
    <w:p w14:paraId="6BE2B501" w14:textId="77777777" w:rsidR="00EA007E" w:rsidRPr="00C61901" w:rsidRDefault="00EA007E" w:rsidP="00EA007E">
      <w:pPr>
        <w:ind w:left="360"/>
        <w:jc w:val="both"/>
        <w:rPr>
          <w:szCs w:val="24"/>
        </w:rPr>
      </w:pPr>
    </w:p>
    <w:p w14:paraId="7346D31B" w14:textId="60252BAB" w:rsidR="00EA007E" w:rsidRDefault="00EA007E" w:rsidP="00EA007E">
      <w:pPr>
        <w:ind w:left="360" w:hanging="360"/>
        <w:jc w:val="both"/>
        <w:rPr>
          <w:szCs w:val="24"/>
        </w:rPr>
      </w:pPr>
      <w:r>
        <w:rPr>
          <w:szCs w:val="24"/>
        </w:rPr>
        <w:t>7.</w:t>
      </w:r>
      <w:r>
        <w:rPr>
          <w:szCs w:val="24"/>
        </w:rPr>
        <w:tab/>
      </w:r>
      <w:r w:rsidRPr="00C61901">
        <w:rPr>
          <w:szCs w:val="24"/>
        </w:rPr>
        <w:t xml:space="preserve">No special circumstances apply to </w:t>
      </w:r>
      <w:r>
        <w:rPr>
          <w:szCs w:val="24"/>
        </w:rPr>
        <w:t>th</w:t>
      </w:r>
      <w:r w:rsidR="00663792">
        <w:rPr>
          <w:szCs w:val="24"/>
        </w:rPr>
        <w:t>e</w:t>
      </w:r>
      <w:r>
        <w:rPr>
          <w:szCs w:val="24"/>
        </w:rPr>
        <w:t xml:space="preserve"> information collection requirements</w:t>
      </w:r>
      <w:r w:rsidR="00663792">
        <w:rPr>
          <w:szCs w:val="24"/>
        </w:rPr>
        <w:t>.</w:t>
      </w:r>
    </w:p>
    <w:p w14:paraId="7F1DBACD" w14:textId="77777777" w:rsidR="00EA007E" w:rsidRPr="00C61901" w:rsidRDefault="00EA007E" w:rsidP="00EA007E">
      <w:pPr>
        <w:ind w:left="360" w:hanging="360"/>
        <w:jc w:val="both"/>
        <w:rPr>
          <w:szCs w:val="24"/>
        </w:rPr>
      </w:pPr>
    </w:p>
    <w:p w14:paraId="19726C39" w14:textId="513C312C" w:rsidR="00F04FAC" w:rsidRPr="00F04FAC" w:rsidRDefault="00EA007E" w:rsidP="00F04FAC">
      <w:pPr>
        <w:ind w:left="360" w:hanging="360"/>
        <w:rPr>
          <w:spacing w:val="-3"/>
          <w:szCs w:val="24"/>
          <w:shd w:val="clear" w:color="auto" w:fill="FFFFFF"/>
        </w:rPr>
      </w:pPr>
      <w:r>
        <w:rPr>
          <w:szCs w:val="24"/>
        </w:rPr>
        <w:t>8.</w:t>
      </w:r>
      <w:r>
        <w:rPr>
          <w:szCs w:val="24"/>
        </w:rPr>
        <w:tab/>
      </w:r>
      <w:r w:rsidRPr="00C61901">
        <w:rPr>
          <w:szCs w:val="24"/>
        </w:rPr>
        <w:t xml:space="preserve">Pursuant to 5 C.F.R. § 1320.8(d), the Commission </w:t>
      </w:r>
      <w:r>
        <w:rPr>
          <w:szCs w:val="24"/>
        </w:rPr>
        <w:t xml:space="preserve">published </w:t>
      </w:r>
      <w:r w:rsidRPr="00C61901">
        <w:rPr>
          <w:szCs w:val="24"/>
        </w:rPr>
        <w:t xml:space="preserve">a notice in the </w:t>
      </w:r>
      <w:r w:rsidRPr="00D94F05">
        <w:rPr>
          <w:i/>
          <w:szCs w:val="24"/>
        </w:rPr>
        <w:t xml:space="preserve">Federal Register </w:t>
      </w:r>
      <w:r w:rsidRPr="00C61901">
        <w:rPr>
          <w:szCs w:val="24"/>
        </w:rPr>
        <w:t xml:space="preserve">to solicit public </w:t>
      </w:r>
      <w:r w:rsidRPr="00F04FAC">
        <w:rPr>
          <w:szCs w:val="24"/>
        </w:rPr>
        <w:t xml:space="preserve">comment on this reporting requirement on </w:t>
      </w:r>
      <w:r w:rsidR="0071732F" w:rsidRPr="00F04FAC">
        <w:rPr>
          <w:szCs w:val="24"/>
        </w:rPr>
        <w:t>May</w:t>
      </w:r>
      <w:r w:rsidRPr="00F04FAC">
        <w:rPr>
          <w:szCs w:val="24"/>
        </w:rPr>
        <w:t xml:space="preserve"> </w:t>
      </w:r>
      <w:r w:rsidR="005E7DAF" w:rsidRPr="00F04FAC">
        <w:rPr>
          <w:szCs w:val="24"/>
        </w:rPr>
        <w:t>16</w:t>
      </w:r>
      <w:r w:rsidRPr="00F04FAC">
        <w:rPr>
          <w:szCs w:val="24"/>
        </w:rPr>
        <w:t>,</w:t>
      </w:r>
      <w:r w:rsidR="00246CF7" w:rsidRPr="00F04FAC">
        <w:rPr>
          <w:szCs w:val="24"/>
        </w:rPr>
        <w:t xml:space="preserve"> </w:t>
      </w:r>
      <w:r w:rsidRPr="00F04FAC">
        <w:rPr>
          <w:szCs w:val="24"/>
        </w:rPr>
        <w:t>201</w:t>
      </w:r>
      <w:r w:rsidR="003406CF" w:rsidRPr="00F04FAC">
        <w:rPr>
          <w:szCs w:val="24"/>
        </w:rPr>
        <w:t>7</w:t>
      </w:r>
      <w:r w:rsidRPr="00F04FAC">
        <w:rPr>
          <w:i/>
          <w:szCs w:val="24"/>
        </w:rPr>
        <w:t xml:space="preserve"> (</w:t>
      </w:r>
      <w:r w:rsidR="005E7DAF" w:rsidRPr="00F04FAC">
        <w:rPr>
          <w:i/>
          <w:szCs w:val="24"/>
        </w:rPr>
        <w:t>82</w:t>
      </w:r>
      <w:r w:rsidR="00A40299" w:rsidRPr="00F04FAC">
        <w:rPr>
          <w:i/>
          <w:szCs w:val="24"/>
        </w:rPr>
        <w:t xml:space="preserve"> FR </w:t>
      </w:r>
      <w:r w:rsidR="005E7DAF" w:rsidRPr="00F04FAC">
        <w:rPr>
          <w:i/>
          <w:szCs w:val="24"/>
        </w:rPr>
        <w:t>22545</w:t>
      </w:r>
      <w:r w:rsidRPr="00F04FAC">
        <w:rPr>
          <w:i/>
          <w:szCs w:val="24"/>
        </w:rPr>
        <w:t>)</w:t>
      </w:r>
      <w:r w:rsidRPr="00F04FAC">
        <w:rPr>
          <w:szCs w:val="24"/>
        </w:rPr>
        <w:t>.</w:t>
      </w:r>
      <w:r w:rsidR="007B3311" w:rsidRPr="00F04FAC">
        <w:rPr>
          <w:szCs w:val="24"/>
        </w:rPr>
        <w:t xml:space="preserve">  </w:t>
      </w:r>
      <w:r w:rsidR="00F04FAC" w:rsidRPr="00F04FAC">
        <w:rPr>
          <w:spacing w:val="-3"/>
          <w:szCs w:val="24"/>
          <w:shd w:val="clear" w:color="auto" w:fill="FFFFFF"/>
        </w:rPr>
        <w:t>The Commission received comments in response to the notice from AT&amp;T.  AT&amp;T asserts that “the stand-alone long distance market no longer exists” and therefore the special access performance metrics “have long outlived their original purpose” to address concerns that BOCs would use their dominance in the local and exchange access markets to favor their 272 affiliates in the long-distance market.</w:t>
      </w:r>
      <w:r w:rsidR="00F04FAC" w:rsidRPr="00F04FAC">
        <w:rPr>
          <w:spacing w:val="-3"/>
          <w:szCs w:val="24"/>
          <w:shd w:val="clear" w:color="auto" w:fill="FFFFFF"/>
          <w:vertAlign w:val="superscript"/>
        </w:rPr>
        <w:footnoteReference w:id="4"/>
      </w:r>
      <w:r w:rsidR="00F04FAC" w:rsidRPr="00F04FAC">
        <w:rPr>
          <w:spacing w:val="-3"/>
          <w:szCs w:val="24"/>
          <w:shd w:val="clear" w:color="auto" w:fill="FFFFFF"/>
        </w:rPr>
        <w:t xml:space="preserve">  Moreover, AT&amp;T argues the Commission’s </w:t>
      </w:r>
      <w:r w:rsidR="00F04FAC" w:rsidRPr="00F04FAC">
        <w:rPr>
          <w:i/>
          <w:spacing w:val="-3"/>
          <w:szCs w:val="24"/>
          <w:shd w:val="clear" w:color="auto" w:fill="FFFFFF"/>
        </w:rPr>
        <w:t>Business Data Services (BDS) Order</w:t>
      </w:r>
      <w:r w:rsidR="00F04FAC" w:rsidRPr="00F04FAC">
        <w:rPr>
          <w:spacing w:val="-3"/>
          <w:szCs w:val="24"/>
          <w:shd w:val="clear" w:color="auto" w:fill="FFFFFF"/>
        </w:rPr>
        <w:t xml:space="preserve"> (FCC 17-43) found competition in the BDS market and thus, the underlying concern of the metrics</w:t>
      </w:r>
      <w:r w:rsidR="00F04FAC" w:rsidRPr="00F04FAC">
        <w:rPr>
          <w:szCs w:val="24"/>
        </w:rPr>
        <w:t>—</w:t>
      </w:r>
      <w:r w:rsidR="00F04FAC" w:rsidRPr="00F04FAC">
        <w:rPr>
          <w:spacing w:val="-3"/>
          <w:szCs w:val="24"/>
          <w:shd w:val="clear" w:color="auto" w:fill="FFFFFF"/>
        </w:rPr>
        <w:t>that the BOCs will use their market power to exert control over bottleneck access facilities</w:t>
      </w:r>
      <w:r w:rsidR="00F04FAC" w:rsidRPr="00F04FAC">
        <w:rPr>
          <w:szCs w:val="24"/>
        </w:rPr>
        <w:t>—</w:t>
      </w:r>
      <w:r w:rsidR="00F04FAC" w:rsidRPr="00F04FAC">
        <w:rPr>
          <w:spacing w:val="-3"/>
          <w:szCs w:val="24"/>
          <w:shd w:val="clear" w:color="auto" w:fill="FFFFFF"/>
        </w:rPr>
        <w:t>is no longer valid.</w:t>
      </w:r>
      <w:r w:rsidR="00F04FAC" w:rsidRPr="00F04FAC">
        <w:rPr>
          <w:spacing w:val="-3"/>
          <w:szCs w:val="24"/>
          <w:shd w:val="clear" w:color="auto" w:fill="FFFFFF"/>
          <w:vertAlign w:val="superscript"/>
        </w:rPr>
        <w:footnoteReference w:id="5"/>
      </w:r>
      <w:r w:rsidR="00F04FAC" w:rsidRPr="00F04FAC">
        <w:rPr>
          <w:spacing w:val="-3"/>
          <w:szCs w:val="24"/>
          <w:shd w:val="clear" w:color="auto" w:fill="FFFFFF"/>
        </w:rPr>
        <w:t xml:space="preserve">  In addition, commenters identified the underlying statutory provision for the special access performance metrics, 47 U.S.C. § 272(e) and implementing regulations for repeal in the </w:t>
      </w:r>
      <w:r w:rsidR="00F04FAC" w:rsidRPr="00F04FAC">
        <w:rPr>
          <w:i/>
          <w:spacing w:val="-3"/>
          <w:szCs w:val="24"/>
          <w:shd w:val="clear" w:color="auto" w:fill="FFFFFF"/>
        </w:rPr>
        <w:t>2016 Biennial Review of Telecommunications Regulations</w:t>
      </w:r>
      <w:r w:rsidR="00F04FAC" w:rsidRPr="00F04FAC">
        <w:rPr>
          <w:spacing w:val="-3"/>
          <w:szCs w:val="24"/>
          <w:shd w:val="clear" w:color="auto" w:fill="FFFFFF"/>
        </w:rPr>
        <w:t xml:space="preserve"> (FCC 16-149), as no longer necessary to protect competition in the long distance market.</w:t>
      </w:r>
      <w:r w:rsidR="00F04FAC" w:rsidRPr="00F04FAC">
        <w:rPr>
          <w:spacing w:val="-3"/>
          <w:szCs w:val="24"/>
          <w:shd w:val="clear" w:color="auto" w:fill="FFFFFF"/>
          <w:vertAlign w:val="superscript"/>
        </w:rPr>
        <w:footnoteReference w:id="6"/>
      </w:r>
    </w:p>
    <w:p w14:paraId="55AE83EC" w14:textId="77777777" w:rsidR="00F04FAC" w:rsidRPr="00F04FAC" w:rsidRDefault="00F04FAC" w:rsidP="00F04FAC">
      <w:pPr>
        <w:rPr>
          <w:spacing w:val="-3"/>
          <w:szCs w:val="24"/>
          <w:shd w:val="clear" w:color="auto" w:fill="FFFFFF"/>
        </w:rPr>
      </w:pPr>
    </w:p>
    <w:p w14:paraId="32943E63" w14:textId="4A543852" w:rsidR="00EA007E" w:rsidRPr="00F04FAC" w:rsidRDefault="00F04FAC" w:rsidP="005B006E">
      <w:pPr>
        <w:ind w:left="360"/>
        <w:rPr>
          <w:szCs w:val="24"/>
        </w:rPr>
      </w:pPr>
      <w:r w:rsidRPr="00F04FAC">
        <w:rPr>
          <w:spacing w:val="-3"/>
          <w:szCs w:val="24"/>
          <w:shd w:val="clear" w:color="auto" w:fill="FFFFFF"/>
        </w:rPr>
        <w:t xml:space="preserve">We recognize, as asserted by AT&amp;T, that these provisions are a decade old, and the long distance marketplace has changed considerably.  The Commission is closely reviewing AT&amp;T’s comments, as well as the record in the </w:t>
      </w:r>
      <w:r w:rsidRPr="00F04FAC">
        <w:rPr>
          <w:i/>
          <w:spacing w:val="-3"/>
          <w:szCs w:val="24"/>
          <w:shd w:val="clear" w:color="auto" w:fill="FFFFFF"/>
        </w:rPr>
        <w:t>2016 Biennial Review of Telecommunications Regulations</w:t>
      </w:r>
      <w:r w:rsidRPr="00F04FAC">
        <w:rPr>
          <w:spacing w:val="-3"/>
          <w:szCs w:val="24"/>
          <w:shd w:val="clear" w:color="auto" w:fill="FFFFFF"/>
        </w:rPr>
        <w:t xml:space="preserve">.  Given the timing for renewal of this collection, however, we seek approval of the special access performance metrics information collection, while the Commission undertakes that review and reaches an affirmative determination about whether such metrics continue to be necessary, consistent with the Commission’s </w:t>
      </w:r>
      <w:r w:rsidRPr="00F04FAC">
        <w:rPr>
          <w:i/>
          <w:spacing w:val="-3"/>
          <w:szCs w:val="24"/>
          <w:shd w:val="clear" w:color="auto" w:fill="FFFFFF"/>
        </w:rPr>
        <w:t>272 Sunset Order</w:t>
      </w:r>
      <w:r w:rsidRPr="00F04FAC">
        <w:rPr>
          <w:spacing w:val="-3"/>
          <w:szCs w:val="24"/>
          <w:shd w:val="clear" w:color="auto" w:fill="FFFFFF"/>
        </w:rPr>
        <w:t xml:space="preserve"> (where the Commission stated “[t]he BOCs and their independent incumbent LEC affiliates must continue to abide by special access performance metrics until there is an affirmative Commission determination that such metrics no longer are necessary.”).</w:t>
      </w:r>
      <w:r w:rsidRPr="005B006E">
        <w:rPr>
          <w:spacing w:val="-3"/>
          <w:szCs w:val="24"/>
          <w:shd w:val="clear" w:color="auto" w:fill="FFFFFF"/>
          <w:vertAlign w:val="superscript"/>
        </w:rPr>
        <w:footnoteReference w:id="7"/>
      </w:r>
    </w:p>
    <w:p w14:paraId="63689C1E" w14:textId="77777777" w:rsidR="00F04FAC" w:rsidRDefault="00F04FAC" w:rsidP="00EA007E">
      <w:pPr>
        <w:ind w:left="360" w:hanging="360"/>
        <w:jc w:val="both"/>
        <w:rPr>
          <w:szCs w:val="24"/>
        </w:rPr>
      </w:pPr>
    </w:p>
    <w:p w14:paraId="7C2A35CD" w14:textId="77777777" w:rsidR="00EA007E" w:rsidRPr="00C61901" w:rsidRDefault="00EA007E" w:rsidP="002374AB">
      <w:pPr>
        <w:ind w:left="360" w:hanging="360"/>
        <w:jc w:val="right"/>
        <w:rPr>
          <w:szCs w:val="24"/>
        </w:rPr>
      </w:pPr>
    </w:p>
    <w:p w14:paraId="7A5EF181" w14:textId="77777777" w:rsidR="00EA007E" w:rsidRDefault="00EA007E" w:rsidP="00EA007E">
      <w:pPr>
        <w:ind w:left="360" w:hanging="360"/>
        <w:jc w:val="both"/>
        <w:rPr>
          <w:szCs w:val="24"/>
        </w:rPr>
      </w:pPr>
      <w:r>
        <w:rPr>
          <w:szCs w:val="24"/>
        </w:rPr>
        <w:t>9.</w:t>
      </w:r>
      <w:r>
        <w:rPr>
          <w:szCs w:val="24"/>
        </w:rPr>
        <w:tab/>
      </w:r>
      <w:r w:rsidRPr="00C61901">
        <w:rPr>
          <w:szCs w:val="24"/>
        </w:rPr>
        <w:t>The Commission does not anticipate providing any payment or gift to respondents.</w:t>
      </w:r>
    </w:p>
    <w:p w14:paraId="2763E1C5" w14:textId="77777777" w:rsidR="00EA007E" w:rsidRPr="00C61901" w:rsidRDefault="00EA007E" w:rsidP="00EA007E">
      <w:pPr>
        <w:ind w:left="360" w:hanging="360"/>
        <w:jc w:val="both"/>
        <w:rPr>
          <w:szCs w:val="24"/>
        </w:rPr>
      </w:pPr>
    </w:p>
    <w:p w14:paraId="3DD8F871" w14:textId="77777777" w:rsidR="00EA007E" w:rsidRDefault="00EA007E" w:rsidP="00EA007E">
      <w:pPr>
        <w:ind w:left="360" w:hanging="360"/>
        <w:jc w:val="both"/>
        <w:rPr>
          <w:szCs w:val="24"/>
        </w:rPr>
      </w:pPr>
      <w:r>
        <w:rPr>
          <w:szCs w:val="24"/>
        </w:rPr>
        <w:t>10.</w:t>
      </w:r>
      <w:r>
        <w:rPr>
          <w:szCs w:val="24"/>
        </w:rPr>
        <w:tab/>
      </w:r>
      <w:r w:rsidRPr="00C61901">
        <w:rPr>
          <w:szCs w:val="24"/>
        </w:rPr>
        <w:t>The Commission anticipate</w:t>
      </w:r>
      <w:r>
        <w:rPr>
          <w:szCs w:val="24"/>
        </w:rPr>
        <w:t>s</w:t>
      </w:r>
      <w:r w:rsidRPr="00C61901">
        <w:rPr>
          <w:szCs w:val="24"/>
        </w:rPr>
        <w:t xml:space="preserve"> </w:t>
      </w:r>
      <w:r>
        <w:rPr>
          <w:szCs w:val="24"/>
        </w:rPr>
        <w:t xml:space="preserve">that the BOCs may request </w:t>
      </w:r>
      <w:r w:rsidRPr="00C61901">
        <w:rPr>
          <w:szCs w:val="24"/>
        </w:rPr>
        <w:t xml:space="preserve">confidentiality </w:t>
      </w:r>
      <w:r>
        <w:rPr>
          <w:szCs w:val="24"/>
        </w:rPr>
        <w:t xml:space="preserve">protection for </w:t>
      </w:r>
      <w:r w:rsidRPr="00C61901">
        <w:rPr>
          <w:szCs w:val="24"/>
        </w:rPr>
        <w:t xml:space="preserve">the </w:t>
      </w:r>
      <w:r>
        <w:rPr>
          <w:szCs w:val="24"/>
        </w:rPr>
        <w:t xml:space="preserve">special access performance </w:t>
      </w:r>
      <w:r w:rsidRPr="00C61901">
        <w:rPr>
          <w:szCs w:val="24"/>
        </w:rPr>
        <w:t xml:space="preserve">information submitted by </w:t>
      </w:r>
      <w:r>
        <w:rPr>
          <w:szCs w:val="24"/>
        </w:rPr>
        <w:t>the BOCs and their independent incumbent LEC affiliates</w:t>
      </w:r>
      <w:r w:rsidRPr="00C61901">
        <w:rPr>
          <w:szCs w:val="24"/>
        </w:rPr>
        <w:t xml:space="preserve">. </w:t>
      </w:r>
    </w:p>
    <w:p w14:paraId="47BFD188" w14:textId="77777777" w:rsidR="00EA007E" w:rsidRPr="00C61901" w:rsidRDefault="00EA007E" w:rsidP="00EA007E">
      <w:pPr>
        <w:ind w:left="360" w:hanging="360"/>
        <w:jc w:val="both"/>
        <w:rPr>
          <w:szCs w:val="24"/>
        </w:rPr>
      </w:pPr>
    </w:p>
    <w:p w14:paraId="24D61704" w14:textId="77777777" w:rsidR="00EA007E" w:rsidRPr="00C61901" w:rsidRDefault="00EA007E" w:rsidP="00EA007E">
      <w:pPr>
        <w:ind w:left="360" w:hanging="360"/>
        <w:jc w:val="both"/>
        <w:rPr>
          <w:szCs w:val="24"/>
        </w:rPr>
      </w:pPr>
      <w:r>
        <w:rPr>
          <w:szCs w:val="24"/>
        </w:rPr>
        <w:t>11.</w:t>
      </w:r>
      <w:r>
        <w:rPr>
          <w:szCs w:val="24"/>
        </w:rPr>
        <w:tab/>
      </w:r>
      <w:r w:rsidRPr="00C61901">
        <w:rPr>
          <w:szCs w:val="24"/>
        </w:rPr>
        <w:t>The information collection does not address any matters of a sensitive nature</w:t>
      </w:r>
      <w:r>
        <w:rPr>
          <w:szCs w:val="24"/>
        </w:rPr>
        <w:t>, nor are there any privacy impacts</w:t>
      </w:r>
      <w:r w:rsidRPr="00C61901">
        <w:rPr>
          <w:szCs w:val="24"/>
        </w:rPr>
        <w:t>.</w:t>
      </w:r>
    </w:p>
    <w:p w14:paraId="443DA84E" w14:textId="77777777" w:rsidR="00EA007E" w:rsidRDefault="00EA007E" w:rsidP="00EA007E">
      <w:pPr>
        <w:ind w:left="360" w:hanging="360"/>
        <w:jc w:val="both"/>
        <w:rPr>
          <w:szCs w:val="24"/>
        </w:rPr>
      </w:pPr>
    </w:p>
    <w:p w14:paraId="0C6E867D" w14:textId="77777777" w:rsidR="00EA007E" w:rsidRDefault="00EA007E" w:rsidP="00EA007E">
      <w:pPr>
        <w:ind w:left="360" w:hanging="360"/>
        <w:jc w:val="both"/>
        <w:rPr>
          <w:szCs w:val="24"/>
        </w:rPr>
      </w:pPr>
      <w:r>
        <w:rPr>
          <w:szCs w:val="24"/>
        </w:rPr>
        <w:t>12.</w:t>
      </w:r>
      <w:r>
        <w:rPr>
          <w:szCs w:val="24"/>
        </w:rPr>
        <w:tab/>
      </w:r>
      <w:r w:rsidRPr="00C61901">
        <w:rPr>
          <w:szCs w:val="24"/>
        </w:rPr>
        <w:t>The following represents the hour burden on the collections of</w:t>
      </w:r>
      <w:r>
        <w:rPr>
          <w:szCs w:val="24"/>
        </w:rPr>
        <w:t xml:space="preserve"> information discussed herein.</w:t>
      </w:r>
    </w:p>
    <w:p w14:paraId="072A2E33" w14:textId="77777777" w:rsidR="00EA007E" w:rsidRPr="00C61901" w:rsidRDefault="00EA007E" w:rsidP="00EA007E">
      <w:pPr>
        <w:ind w:left="360" w:hanging="360"/>
        <w:jc w:val="both"/>
        <w:rPr>
          <w:szCs w:val="24"/>
        </w:rPr>
      </w:pPr>
    </w:p>
    <w:p w14:paraId="783B0442" w14:textId="77777777" w:rsidR="00EA007E" w:rsidRDefault="00EA007E" w:rsidP="00EA007E">
      <w:pPr>
        <w:ind w:left="720" w:hanging="360"/>
        <w:jc w:val="both"/>
        <w:rPr>
          <w:spacing w:val="-3"/>
          <w:szCs w:val="24"/>
        </w:rPr>
      </w:pPr>
      <w:r w:rsidRPr="001B5102">
        <w:rPr>
          <w:spacing w:val="-3"/>
          <w:szCs w:val="24"/>
        </w:rPr>
        <w:t>(1)</w:t>
      </w:r>
      <w:r w:rsidRPr="001B5102">
        <w:rPr>
          <w:spacing w:val="-3"/>
          <w:szCs w:val="24"/>
        </w:rPr>
        <w:tab/>
      </w:r>
      <w:r w:rsidRPr="00C61901">
        <w:rPr>
          <w:spacing w:val="-3"/>
          <w:szCs w:val="24"/>
          <w:u w:val="single"/>
        </w:rPr>
        <w:t>Number of respondents</w:t>
      </w:r>
      <w:r w:rsidRPr="00C61901">
        <w:rPr>
          <w:spacing w:val="-3"/>
          <w:szCs w:val="24"/>
        </w:rPr>
        <w:t xml:space="preserve">: </w:t>
      </w:r>
      <w:r>
        <w:rPr>
          <w:spacing w:val="-3"/>
          <w:szCs w:val="24"/>
        </w:rPr>
        <w:t>3</w:t>
      </w:r>
    </w:p>
    <w:p w14:paraId="0B1F5EDA" w14:textId="77777777" w:rsidR="00EA007E" w:rsidRDefault="00EA007E" w:rsidP="00EA007E">
      <w:pPr>
        <w:ind w:left="1080" w:hanging="720"/>
        <w:jc w:val="both"/>
        <w:rPr>
          <w:spacing w:val="-3"/>
          <w:szCs w:val="24"/>
        </w:rPr>
      </w:pPr>
    </w:p>
    <w:p w14:paraId="4D8682DF" w14:textId="77777777" w:rsidR="00EA007E" w:rsidRDefault="00EA007E" w:rsidP="00EA007E">
      <w:pPr>
        <w:ind w:left="720"/>
        <w:jc w:val="both"/>
        <w:rPr>
          <w:spacing w:val="-3"/>
          <w:szCs w:val="24"/>
        </w:rPr>
      </w:pPr>
      <w:r>
        <w:rPr>
          <w:spacing w:val="-3"/>
          <w:szCs w:val="24"/>
        </w:rPr>
        <w:t xml:space="preserve">There are three companies that are </w:t>
      </w:r>
      <w:r w:rsidRPr="00C61901">
        <w:rPr>
          <w:spacing w:val="-3"/>
          <w:szCs w:val="24"/>
        </w:rPr>
        <w:t>subject to the filing requirements</w:t>
      </w:r>
      <w:r>
        <w:rPr>
          <w:spacing w:val="-3"/>
          <w:szCs w:val="24"/>
        </w:rPr>
        <w:t xml:space="preserve">:  AT&amp;T, </w:t>
      </w:r>
      <w:r w:rsidR="008E2884">
        <w:rPr>
          <w:spacing w:val="-3"/>
          <w:szCs w:val="24"/>
        </w:rPr>
        <w:t>CenturyLink</w:t>
      </w:r>
      <w:r>
        <w:rPr>
          <w:spacing w:val="-3"/>
          <w:szCs w:val="24"/>
        </w:rPr>
        <w:t>, and Verizon.</w:t>
      </w:r>
    </w:p>
    <w:p w14:paraId="3C578F43" w14:textId="77777777" w:rsidR="00EA007E" w:rsidRPr="00C61901" w:rsidRDefault="00EA007E" w:rsidP="00EA007E">
      <w:pPr>
        <w:keepLines/>
        <w:tabs>
          <w:tab w:val="left" w:pos="-720"/>
        </w:tabs>
        <w:suppressAutoHyphens/>
        <w:ind w:left="1080" w:hanging="720"/>
        <w:jc w:val="both"/>
        <w:rPr>
          <w:spacing w:val="-3"/>
          <w:szCs w:val="24"/>
        </w:rPr>
      </w:pPr>
    </w:p>
    <w:p w14:paraId="061FC68C" w14:textId="77777777" w:rsidR="00EA007E" w:rsidRPr="0002267F" w:rsidRDefault="00EA007E" w:rsidP="00EA007E">
      <w:pPr>
        <w:ind w:left="720" w:hanging="360"/>
        <w:jc w:val="both"/>
        <w:rPr>
          <w:spacing w:val="-3"/>
          <w:szCs w:val="24"/>
        </w:rPr>
      </w:pPr>
      <w:r>
        <w:rPr>
          <w:spacing w:val="-3"/>
          <w:szCs w:val="24"/>
        </w:rPr>
        <w:t>(2)</w:t>
      </w:r>
      <w:r>
        <w:rPr>
          <w:spacing w:val="-3"/>
          <w:szCs w:val="24"/>
        </w:rPr>
        <w:tab/>
      </w:r>
      <w:r w:rsidRPr="00C61901">
        <w:rPr>
          <w:spacing w:val="-3"/>
          <w:szCs w:val="24"/>
          <w:u w:val="single"/>
        </w:rPr>
        <w:t>Frequency of response</w:t>
      </w:r>
      <w:r w:rsidRPr="00C61901">
        <w:rPr>
          <w:spacing w:val="-3"/>
          <w:szCs w:val="24"/>
        </w:rPr>
        <w:t xml:space="preserve">:  </w:t>
      </w:r>
      <w:r w:rsidRPr="0002267F">
        <w:rPr>
          <w:spacing w:val="-3"/>
          <w:szCs w:val="24"/>
        </w:rPr>
        <w:t xml:space="preserve">Quarterly reporting requirements. </w:t>
      </w:r>
    </w:p>
    <w:p w14:paraId="0C10AE19" w14:textId="77777777" w:rsidR="00EA007E" w:rsidRPr="0002267F" w:rsidRDefault="00EA007E" w:rsidP="00EA007E">
      <w:pPr>
        <w:ind w:left="1080" w:hanging="720"/>
        <w:jc w:val="both"/>
        <w:rPr>
          <w:spacing w:val="-3"/>
          <w:szCs w:val="24"/>
        </w:rPr>
      </w:pPr>
    </w:p>
    <w:p w14:paraId="76F3A243" w14:textId="77777777" w:rsidR="00EA007E" w:rsidRPr="0002267F" w:rsidRDefault="00EA007E" w:rsidP="00EA007E">
      <w:pPr>
        <w:ind w:left="720" w:hanging="360"/>
        <w:jc w:val="both"/>
        <w:rPr>
          <w:spacing w:val="-3"/>
          <w:szCs w:val="24"/>
        </w:rPr>
      </w:pPr>
      <w:r w:rsidRPr="0002267F">
        <w:rPr>
          <w:spacing w:val="-3"/>
          <w:szCs w:val="24"/>
        </w:rPr>
        <w:t>(3)</w:t>
      </w:r>
      <w:r w:rsidRPr="0002267F">
        <w:rPr>
          <w:spacing w:val="-3"/>
          <w:szCs w:val="24"/>
        </w:rPr>
        <w:tab/>
      </w:r>
      <w:r w:rsidRPr="0002267F">
        <w:rPr>
          <w:spacing w:val="-3"/>
          <w:szCs w:val="24"/>
          <w:u w:val="single"/>
        </w:rPr>
        <w:t>Total number of responses annually</w:t>
      </w:r>
      <w:r w:rsidRPr="0002267F">
        <w:rPr>
          <w:spacing w:val="-3"/>
          <w:szCs w:val="24"/>
        </w:rPr>
        <w:t xml:space="preserve">:  </w:t>
      </w:r>
      <w:r>
        <w:rPr>
          <w:spacing w:val="-3"/>
          <w:szCs w:val="24"/>
        </w:rPr>
        <w:t>12</w:t>
      </w:r>
      <w:r w:rsidRPr="0002267F">
        <w:rPr>
          <w:spacing w:val="-3"/>
          <w:szCs w:val="24"/>
        </w:rPr>
        <w:t xml:space="preserve"> responses/year</w:t>
      </w:r>
    </w:p>
    <w:p w14:paraId="7BA4D27B" w14:textId="77777777" w:rsidR="00EA007E" w:rsidRPr="0002267F" w:rsidRDefault="00EA007E" w:rsidP="00EA007E">
      <w:pPr>
        <w:ind w:left="1080" w:hanging="720"/>
        <w:jc w:val="both"/>
        <w:rPr>
          <w:spacing w:val="-3"/>
          <w:szCs w:val="24"/>
        </w:rPr>
      </w:pPr>
    </w:p>
    <w:p w14:paraId="7D2BB97B" w14:textId="77777777" w:rsidR="00EA007E" w:rsidRPr="0002267F" w:rsidRDefault="00215150" w:rsidP="00EA007E">
      <w:pPr>
        <w:ind w:left="1080" w:hanging="360"/>
        <w:jc w:val="both"/>
        <w:rPr>
          <w:spacing w:val="-3"/>
          <w:szCs w:val="24"/>
        </w:rPr>
      </w:pPr>
      <w:r w:rsidRPr="0002267F">
        <w:rPr>
          <w:spacing w:val="-3"/>
          <w:szCs w:val="24"/>
        </w:rPr>
        <w:t>Quarterly</w:t>
      </w:r>
      <w:r w:rsidR="00EA007E" w:rsidRPr="0002267F">
        <w:rPr>
          <w:spacing w:val="-3"/>
          <w:szCs w:val="24"/>
        </w:rPr>
        <w:t>: 3 respondents x 4 responses/year = 12</w:t>
      </w:r>
    </w:p>
    <w:p w14:paraId="1177AD2E" w14:textId="77777777" w:rsidR="00EA007E" w:rsidRPr="0002267F" w:rsidRDefault="00EA007E" w:rsidP="00EA007E">
      <w:pPr>
        <w:ind w:left="1080" w:hanging="720"/>
        <w:jc w:val="both"/>
        <w:rPr>
          <w:spacing w:val="-3"/>
          <w:szCs w:val="24"/>
        </w:rPr>
      </w:pPr>
    </w:p>
    <w:p w14:paraId="373B7D2D" w14:textId="77777777" w:rsidR="00EA007E" w:rsidRPr="00C61901" w:rsidRDefault="00EA007E" w:rsidP="00EA007E">
      <w:pPr>
        <w:ind w:left="360"/>
        <w:jc w:val="both"/>
        <w:rPr>
          <w:spacing w:val="-3"/>
          <w:szCs w:val="24"/>
        </w:rPr>
      </w:pPr>
      <w:r>
        <w:rPr>
          <w:spacing w:val="-3"/>
          <w:szCs w:val="24"/>
        </w:rPr>
        <w:tab/>
        <w:t xml:space="preserve">Total: 12 </w:t>
      </w:r>
    </w:p>
    <w:p w14:paraId="003DFB6C" w14:textId="77777777" w:rsidR="00EA007E" w:rsidRPr="00C61901" w:rsidRDefault="00EA007E" w:rsidP="00EA007E">
      <w:pPr>
        <w:ind w:left="1080" w:hanging="720"/>
        <w:jc w:val="both"/>
        <w:rPr>
          <w:spacing w:val="-3"/>
          <w:szCs w:val="24"/>
        </w:rPr>
      </w:pPr>
    </w:p>
    <w:p w14:paraId="04ECB051" w14:textId="7187522F" w:rsidR="00EA007E" w:rsidRPr="005E7DAF" w:rsidRDefault="00EA007E" w:rsidP="005E7DAF">
      <w:pPr>
        <w:tabs>
          <w:tab w:val="left" w:pos="-720"/>
        </w:tabs>
        <w:suppressAutoHyphens/>
        <w:ind w:left="720" w:hanging="360"/>
        <w:jc w:val="both"/>
        <w:rPr>
          <w:spacing w:val="-3"/>
          <w:szCs w:val="24"/>
        </w:rPr>
      </w:pPr>
      <w:r w:rsidRPr="00C61901">
        <w:rPr>
          <w:spacing w:val="-3"/>
          <w:szCs w:val="24"/>
        </w:rPr>
        <w:t>(3)</w:t>
      </w:r>
      <w:r>
        <w:rPr>
          <w:spacing w:val="-3"/>
          <w:szCs w:val="24"/>
        </w:rPr>
        <w:t xml:space="preserve"> </w:t>
      </w:r>
      <w:r w:rsidRPr="00571185">
        <w:rPr>
          <w:spacing w:val="-3"/>
          <w:szCs w:val="24"/>
          <w:u w:val="single"/>
        </w:rPr>
        <w:t>Annual hour burden per respondent</w:t>
      </w:r>
      <w:r w:rsidRPr="00C61901">
        <w:rPr>
          <w:spacing w:val="-3"/>
          <w:szCs w:val="24"/>
        </w:rPr>
        <w:t xml:space="preserve">: </w:t>
      </w:r>
      <w:r w:rsidRPr="005E7DAF">
        <w:rPr>
          <w:spacing w:val="-3"/>
          <w:szCs w:val="24"/>
        </w:rPr>
        <w:t>25 hours per quarterly requirement</w:t>
      </w:r>
      <w:r w:rsidR="005E7DAF" w:rsidRPr="005E7DAF">
        <w:rPr>
          <w:spacing w:val="-3"/>
          <w:szCs w:val="24"/>
        </w:rPr>
        <w:t>.</w:t>
      </w:r>
    </w:p>
    <w:p w14:paraId="0734B6B9" w14:textId="77777777" w:rsidR="00EA007E" w:rsidRPr="00E57054" w:rsidRDefault="00EA007E" w:rsidP="00EA007E">
      <w:pPr>
        <w:tabs>
          <w:tab w:val="left" w:pos="-720"/>
        </w:tabs>
        <w:suppressAutoHyphens/>
        <w:ind w:left="720" w:hanging="360"/>
        <w:jc w:val="both"/>
        <w:rPr>
          <w:spacing w:val="-3"/>
          <w:szCs w:val="24"/>
        </w:rPr>
      </w:pPr>
    </w:p>
    <w:p w14:paraId="0C527987" w14:textId="77777777" w:rsidR="00EA007E" w:rsidRPr="00E57054" w:rsidRDefault="00EA007E" w:rsidP="00EA007E">
      <w:pPr>
        <w:tabs>
          <w:tab w:val="left" w:pos="-720"/>
        </w:tabs>
        <w:suppressAutoHyphens/>
        <w:ind w:left="720" w:hanging="360"/>
        <w:jc w:val="both"/>
        <w:rPr>
          <w:spacing w:val="-3"/>
          <w:szCs w:val="24"/>
        </w:rPr>
      </w:pPr>
      <w:r w:rsidRPr="00E57054">
        <w:rPr>
          <w:spacing w:val="-3"/>
          <w:szCs w:val="24"/>
        </w:rPr>
        <w:t>(4)</w:t>
      </w:r>
      <w:r w:rsidRPr="00E57054">
        <w:rPr>
          <w:spacing w:val="-3"/>
          <w:szCs w:val="24"/>
        </w:rPr>
        <w:tab/>
      </w:r>
      <w:r w:rsidRPr="00E57054">
        <w:rPr>
          <w:spacing w:val="-3"/>
          <w:szCs w:val="24"/>
          <w:u w:val="single"/>
        </w:rPr>
        <w:t>Total annual hour burden</w:t>
      </w:r>
      <w:r w:rsidRPr="00E57054">
        <w:rPr>
          <w:spacing w:val="-3"/>
          <w:szCs w:val="24"/>
        </w:rPr>
        <w:t>: 3</w:t>
      </w:r>
      <w:r>
        <w:rPr>
          <w:spacing w:val="-3"/>
          <w:szCs w:val="24"/>
        </w:rPr>
        <w:t>00</w:t>
      </w:r>
      <w:r w:rsidRPr="00E57054">
        <w:rPr>
          <w:spacing w:val="-3"/>
          <w:szCs w:val="24"/>
        </w:rPr>
        <w:t xml:space="preserve"> hours</w:t>
      </w:r>
    </w:p>
    <w:p w14:paraId="530CEADC" w14:textId="77777777" w:rsidR="00EA007E" w:rsidRPr="00E57054" w:rsidRDefault="00EA007E" w:rsidP="00EA007E">
      <w:pPr>
        <w:tabs>
          <w:tab w:val="left" w:pos="-720"/>
        </w:tabs>
        <w:suppressAutoHyphens/>
        <w:ind w:left="720" w:hanging="360"/>
        <w:jc w:val="both"/>
        <w:rPr>
          <w:spacing w:val="-3"/>
          <w:szCs w:val="24"/>
        </w:rPr>
      </w:pPr>
    </w:p>
    <w:p w14:paraId="319AEA51" w14:textId="218350B8" w:rsidR="00EA007E" w:rsidRPr="00E57054" w:rsidRDefault="00EA007E" w:rsidP="00F71436">
      <w:pPr>
        <w:tabs>
          <w:tab w:val="left" w:pos="-720"/>
        </w:tabs>
        <w:suppressAutoHyphens/>
        <w:ind w:left="810" w:hanging="90"/>
        <w:jc w:val="both"/>
        <w:rPr>
          <w:szCs w:val="24"/>
        </w:rPr>
      </w:pPr>
      <w:r>
        <w:rPr>
          <w:spacing w:val="-3"/>
          <w:szCs w:val="24"/>
        </w:rPr>
        <w:tab/>
      </w:r>
      <w:r w:rsidRPr="00E57054">
        <w:rPr>
          <w:spacing w:val="-3"/>
          <w:szCs w:val="24"/>
        </w:rPr>
        <w:t>The Commission estimates that each of the BOCs require approximately 25 hours on a quarterly basis to comply with the metric requirements.  This estimate includes estimates for the time needed to identify, compile</w:t>
      </w:r>
      <w:r w:rsidR="005E7DAF">
        <w:rPr>
          <w:spacing w:val="-3"/>
          <w:szCs w:val="24"/>
        </w:rPr>
        <w:t xml:space="preserve">, and, in some cases, estimate, </w:t>
      </w:r>
      <w:r w:rsidRPr="00E57054">
        <w:rPr>
          <w:spacing w:val="-3"/>
          <w:szCs w:val="24"/>
        </w:rPr>
        <w:t xml:space="preserve">information at the requested level of detail.  </w:t>
      </w:r>
      <w:r w:rsidRPr="00E57054">
        <w:rPr>
          <w:szCs w:val="24"/>
        </w:rPr>
        <w:t>We also note that the estimate provided is an average, with some respondents requiring more time to complete the reporting requirement and others requiring less time.  Thus:</w:t>
      </w:r>
    </w:p>
    <w:p w14:paraId="1F1BEA96" w14:textId="77777777" w:rsidR="00EA007E" w:rsidRPr="00E57054" w:rsidRDefault="00EA007E" w:rsidP="00F71436">
      <w:pPr>
        <w:tabs>
          <w:tab w:val="left" w:pos="-720"/>
        </w:tabs>
        <w:suppressAutoHyphens/>
        <w:ind w:left="810" w:hanging="90"/>
        <w:jc w:val="both"/>
        <w:rPr>
          <w:spacing w:val="-3"/>
          <w:szCs w:val="24"/>
        </w:rPr>
      </w:pPr>
    </w:p>
    <w:p w14:paraId="0D034913" w14:textId="77777777" w:rsidR="00EA007E" w:rsidRPr="00E57054" w:rsidRDefault="00EA007E" w:rsidP="00F71436">
      <w:pPr>
        <w:tabs>
          <w:tab w:val="left" w:pos="-720"/>
        </w:tabs>
        <w:suppressAutoHyphens/>
        <w:ind w:left="810" w:hanging="90"/>
        <w:jc w:val="both"/>
        <w:rPr>
          <w:szCs w:val="24"/>
        </w:rPr>
      </w:pPr>
      <w:r w:rsidRPr="00E57054">
        <w:rPr>
          <w:spacing w:val="-3"/>
          <w:szCs w:val="24"/>
        </w:rPr>
        <w:t xml:space="preserve">3 BOCs x 25 hours/quarter x 4 quarters/year = 300 hours.  </w:t>
      </w:r>
    </w:p>
    <w:p w14:paraId="52170371" w14:textId="77777777" w:rsidR="00EA007E" w:rsidRPr="00E57054" w:rsidRDefault="00EA007E" w:rsidP="00F71436">
      <w:pPr>
        <w:tabs>
          <w:tab w:val="left" w:pos="-720"/>
        </w:tabs>
        <w:suppressAutoHyphens/>
        <w:ind w:left="810" w:hanging="90"/>
        <w:jc w:val="both"/>
        <w:rPr>
          <w:szCs w:val="24"/>
        </w:rPr>
      </w:pPr>
    </w:p>
    <w:p w14:paraId="57EBDFF7" w14:textId="77777777" w:rsidR="00EA007E" w:rsidRPr="00C61901" w:rsidRDefault="00EA007E" w:rsidP="00F71436">
      <w:pPr>
        <w:tabs>
          <w:tab w:val="left" w:pos="-720"/>
        </w:tabs>
        <w:suppressAutoHyphens/>
        <w:ind w:left="810" w:hanging="90"/>
        <w:jc w:val="both"/>
        <w:rPr>
          <w:spacing w:val="-3"/>
          <w:szCs w:val="24"/>
        </w:rPr>
      </w:pPr>
      <w:r>
        <w:rPr>
          <w:szCs w:val="24"/>
        </w:rPr>
        <w:t>Total: 300 hours</w:t>
      </w:r>
    </w:p>
    <w:p w14:paraId="0EFBDF60" w14:textId="77777777" w:rsidR="00EA007E" w:rsidRDefault="00EA007E" w:rsidP="00EA007E">
      <w:pPr>
        <w:tabs>
          <w:tab w:val="left" w:pos="-720"/>
        </w:tabs>
        <w:suppressAutoHyphens/>
        <w:ind w:left="720" w:hanging="360"/>
        <w:jc w:val="both"/>
        <w:rPr>
          <w:spacing w:val="-3"/>
          <w:szCs w:val="24"/>
        </w:rPr>
      </w:pPr>
    </w:p>
    <w:p w14:paraId="6FB514C7" w14:textId="64AC44B3" w:rsidR="00EA007E" w:rsidRDefault="00EA007E" w:rsidP="00EA007E">
      <w:pPr>
        <w:ind w:left="720" w:hanging="360"/>
        <w:jc w:val="both"/>
        <w:rPr>
          <w:spacing w:val="-3"/>
          <w:szCs w:val="24"/>
        </w:rPr>
      </w:pPr>
      <w:r>
        <w:rPr>
          <w:spacing w:val="-3"/>
          <w:szCs w:val="24"/>
        </w:rPr>
        <w:t xml:space="preserve">(5) </w:t>
      </w:r>
      <w:r w:rsidRPr="00C61901">
        <w:rPr>
          <w:spacing w:val="-3"/>
          <w:szCs w:val="24"/>
          <w:u w:val="single"/>
        </w:rPr>
        <w:t>Total estimate</w:t>
      </w:r>
      <w:r>
        <w:rPr>
          <w:spacing w:val="-3"/>
          <w:szCs w:val="24"/>
          <w:u w:val="single"/>
        </w:rPr>
        <w:t xml:space="preserve">d </w:t>
      </w:r>
      <w:r w:rsidR="00663792">
        <w:rPr>
          <w:spacing w:val="-3"/>
          <w:szCs w:val="24"/>
          <w:u w:val="single"/>
        </w:rPr>
        <w:t xml:space="preserve">“In-House” </w:t>
      </w:r>
      <w:r w:rsidRPr="00C61901">
        <w:rPr>
          <w:spacing w:val="-3"/>
          <w:szCs w:val="24"/>
          <w:u w:val="single"/>
        </w:rPr>
        <w:t xml:space="preserve">cost to respondents </w:t>
      </w:r>
      <w:r>
        <w:rPr>
          <w:spacing w:val="-3"/>
          <w:szCs w:val="24"/>
          <w:u w:val="single"/>
        </w:rPr>
        <w:t>to</w:t>
      </w:r>
      <w:r w:rsidRPr="00C61901">
        <w:rPr>
          <w:spacing w:val="-3"/>
          <w:szCs w:val="24"/>
          <w:u w:val="single"/>
        </w:rPr>
        <w:t xml:space="preserve"> </w:t>
      </w:r>
      <w:r>
        <w:rPr>
          <w:spacing w:val="-3"/>
          <w:szCs w:val="24"/>
          <w:u w:val="single"/>
        </w:rPr>
        <w:t xml:space="preserve">comply with the </w:t>
      </w:r>
      <w:r w:rsidRPr="00C61901">
        <w:rPr>
          <w:spacing w:val="-3"/>
          <w:szCs w:val="24"/>
          <w:u w:val="single"/>
        </w:rPr>
        <w:t>information</w:t>
      </w:r>
      <w:r>
        <w:rPr>
          <w:spacing w:val="-3"/>
          <w:szCs w:val="24"/>
          <w:u w:val="single"/>
        </w:rPr>
        <w:t xml:space="preserve"> collection requirements</w:t>
      </w:r>
      <w:r w:rsidRPr="002767BA">
        <w:rPr>
          <w:spacing w:val="-3"/>
          <w:szCs w:val="24"/>
        </w:rPr>
        <w:t>:</w:t>
      </w:r>
      <w:r w:rsidR="00215150">
        <w:rPr>
          <w:spacing w:val="-3"/>
          <w:szCs w:val="24"/>
        </w:rPr>
        <w:t xml:space="preserve">  $</w:t>
      </w:r>
      <w:r w:rsidR="00110900">
        <w:rPr>
          <w:spacing w:val="-3"/>
          <w:szCs w:val="24"/>
        </w:rPr>
        <w:t>27,908.40</w:t>
      </w:r>
      <w:r w:rsidRPr="00C61901">
        <w:rPr>
          <w:spacing w:val="-3"/>
          <w:szCs w:val="24"/>
        </w:rPr>
        <w:t xml:space="preserve"> </w:t>
      </w:r>
      <w:r>
        <w:rPr>
          <w:spacing w:val="-3"/>
          <w:szCs w:val="24"/>
        </w:rPr>
        <w:t xml:space="preserve"> </w:t>
      </w:r>
    </w:p>
    <w:p w14:paraId="10EB0B42" w14:textId="77777777" w:rsidR="00215150" w:rsidRDefault="00215150" w:rsidP="00EA007E">
      <w:pPr>
        <w:ind w:left="720" w:hanging="360"/>
        <w:jc w:val="both"/>
        <w:rPr>
          <w:spacing w:val="-3"/>
          <w:szCs w:val="24"/>
        </w:rPr>
      </w:pPr>
      <w:r w:rsidDel="00215150">
        <w:rPr>
          <w:spacing w:val="-3"/>
          <w:szCs w:val="24"/>
        </w:rPr>
        <w:t xml:space="preserve"> </w:t>
      </w:r>
    </w:p>
    <w:p w14:paraId="241BAB49" w14:textId="77777777" w:rsidR="00EA007E" w:rsidRDefault="00EA007E" w:rsidP="00EA007E">
      <w:pPr>
        <w:ind w:left="720" w:hanging="360"/>
        <w:jc w:val="both"/>
        <w:rPr>
          <w:spacing w:val="-3"/>
          <w:szCs w:val="24"/>
        </w:rPr>
      </w:pPr>
      <w:r>
        <w:rPr>
          <w:spacing w:val="-3"/>
          <w:szCs w:val="24"/>
        </w:rPr>
        <w:t xml:space="preserve">(6) </w:t>
      </w:r>
      <w:r w:rsidRPr="00C61901">
        <w:rPr>
          <w:spacing w:val="-3"/>
          <w:szCs w:val="24"/>
          <w:u w:val="single"/>
        </w:rPr>
        <w:t>Explanation of the calculation</w:t>
      </w:r>
      <w:r w:rsidRPr="00C61901">
        <w:rPr>
          <w:spacing w:val="-3"/>
          <w:szCs w:val="24"/>
        </w:rPr>
        <w:t xml:space="preserve">:  </w:t>
      </w:r>
    </w:p>
    <w:p w14:paraId="5486CDDC" w14:textId="77777777" w:rsidR="00EA007E" w:rsidRDefault="00EA007E" w:rsidP="00EA007E">
      <w:pPr>
        <w:ind w:left="720" w:hanging="360"/>
        <w:jc w:val="both"/>
        <w:rPr>
          <w:spacing w:val="-3"/>
          <w:szCs w:val="24"/>
        </w:rPr>
      </w:pPr>
    </w:p>
    <w:p w14:paraId="52944F8E" w14:textId="73919CDE" w:rsidR="00EA007E" w:rsidRDefault="00EA007E" w:rsidP="00EA007E">
      <w:pPr>
        <w:ind w:left="720"/>
        <w:jc w:val="both"/>
        <w:rPr>
          <w:color w:val="000000"/>
          <w:spacing w:val="2"/>
        </w:rPr>
      </w:pPr>
      <w:r>
        <w:rPr>
          <w:spacing w:val="-3"/>
          <w:szCs w:val="24"/>
        </w:rPr>
        <w:t xml:space="preserve">The Commission estimates that </w:t>
      </w:r>
      <w:r>
        <w:rPr>
          <w:color w:val="000000"/>
          <w:spacing w:val="2"/>
        </w:rPr>
        <w:t>the BOCs use personnel comparable in pay to a GS 15/5, or approximately $</w:t>
      </w:r>
      <w:r w:rsidR="00110900">
        <w:rPr>
          <w:color w:val="000000"/>
          <w:spacing w:val="2"/>
        </w:rPr>
        <w:t>71.56</w:t>
      </w:r>
      <w:r>
        <w:rPr>
          <w:color w:val="000000"/>
          <w:spacing w:val="2"/>
        </w:rPr>
        <w:t xml:space="preserve"> per hour, plus 30% for overhead to</w:t>
      </w:r>
      <w:r w:rsidR="00FF4FD5">
        <w:rPr>
          <w:color w:val="000000"/>
          <w:spacing w:val="2"/>
        </w:rPr>
        <w:t xml:space="preserve"> co</w:t>
      </w:r>
      <w:r>
        <w:rPr>
          <w:color w:val="000000"/>
          <w:spacing w:val="2"/>
        </w:rPr>
        <w:t>mply</w:t>
      </w:r>
      <w:r w:rsidR="00FF4FD5">
        <w:rPr>
          <w:color w:val="000000"/>
          <w:spacing w:val="2"/>
        </w:rPr>
        <w:t xml:space="preserve"> </w:t>
      </w:r>
      <w:r w:rsidRPr="00FF4FD5">
        <w:rPr>
          <w:color w:val="000000"/>
          <w:spacing w:val="2"/>
        </w:rPr>
        <w:t>with</w:t>
      </w:r>
      <w:r w:rsidR="00FF4FD5" w:rsidRPr="00FF4FD5">
        <w:rPr>
          <w:color w:val="000000"/>
          <w:spacing w:val="2"/>
        </w:rPr>
        <w:t xml:space="preserve"> </w:t>
      </w:r>
      <w:r w:rsidRPr="00FF4FD5">
        <w:rPr>
          <w:color w:val="000000"/>
          <w:spacing w:val="2"/>
        </w:rPr>
        <w:t>the information collection requirement.</w:t>
      </w:r>
      <w:r>
        <w:rPr>
          <w:color w:val="000000"/>
          <w:spacing w:val="2"/>
        </w:rPr>
        <w:t xml:space="preserve">  </w:t>
      </w:r>
    </w:p>
    <w:p w14:paraId="1EBCE43D" w14:textId="77777777" w:rsidR="00EA007E" w:rsidRDefault="00EA007E" w:rsidP="00EA007E">
      <w:pPr>
        <w:ind w:left="720"/>
        <w:jc w:val="both"/>
        <w:rPr>
          <w:color w:val="000000"/>
          <w:spacing w:val="2"/>
        </w:rPr>
      </w:pPr>
    </w:p>
    <w:p w14:paraId="4F8CAFFB" w14:textId="77777777" w:rsidR="00EA007E" w:rsidRDefault="00EA007E" w:rsidP="00286C20">
      <w:pPr>
        <w:ind w:left="720"/>
        <w:jc w:val="both"/>
        <w:rPr>
          <w:spacing w:val="-3"/>
          <w:szCs w:val="24"/>
        </w:rPr>
      </w:pPr>
      <w:r>
        <w:rPr>
          <w:color w:val="000000"/>
          <w:spacing w:val="2"/>
        </w:rPr>
        <w:t xml:space="preserve">We estimate that the quarterly information collection requirement will take each BOC respondent approximately </w:t>
      </w:r>
      <w:r w:rsidRPr="00C61901">
        <w:rPr>
          <w:spacing w:val="-3"/>
          <w:szCs w:val="24"/>
        </w:rPr>
        <w:t xml:space="preserve">25 </w:t>
      </w:r>
      <w:r w:rsidRPr="00C82D63">
        <w:rPr>
          <w:spacing w:val="-3"/>
          <w:szCs w:val="24"/>
        </w:rPr>
        <w:t>hours</w:t>
      </w:r>
      <w:r>
        <w:rPr>
          <w:spacing w:val="-3"/>
          <w:szCs w:val="24"/>
        </w:rPr>
        <w:t>.</w:t>
      </w:r>
      <w:r w:rsidRPr="00C61901">
        <w:rPr>
          <w:spacing w:val="-3"/>
          <w:szCs w:val="24"/>
        </w:rPr>
        <w:t xml:space="preserve">  We assume </w:t>
      </w:r>
      <w:r>
        <w:rPr>
          <w:spacing w:val="-3"/>
          <w:szCs w:val="24"/>
        </w:rPr>
        <w:t>that each of the BOCs</w:t>
      </w:r>
      <w:r w:rsidRPr="00C61901">
        <w:rPr>
          <w:spacing w:val="-3"/>
          <w:szCs w:val="24"/>
        </w:rPr>
        <w:t xml:space="preserve"> will use some combination of in-house staff services when preparing the </w:t>
      </w:r>
      <w:r>
        <w:rPr>
          <w:spacing w:val="-3"/>
          <w:szCs w:val="24"/>
        </w:rPr>
        <w:t>reports</w:t>
      </w:r>
      <w:r w:rsidRPr="00C61901">
        <w:rPr>
          <w:spacing w:val="-3"/>
          <w:szCs w:val="24"/>
        </w:rPr>
        <w:t>.  Thus</w:t>
      </w:r>
      <w:r>
        <w:rPr>
          <w:spacing w:val="-3"/>
          <w:szCs w:val="24"/>
        </w:rPr>
        <w:t>:</w:t>
      </w:r>
    </w:p>
    <w:p w14:paraId="63481662" w14:textId="77777777" w:rsidR="00EA007E" w:rsidRDefault="00EA007E" w:rsidP="00286C20">
      <w:pPr>
        <w:ind w:left="720"/>
        <w:jc w:val="both"/>
        <w:rPr>
          <w:spacing w:val="-3"/>
          <w:szCs w:val="24"/>
        </w:rPr>
      </w:pPr>
    </w:p>
    <w:p w14:paraId="5F8FA483" w14:textId="1123F212" w:rsidR="00EA007E" w:rsidRPr="001D4024" w:rsidRDefault="00EA007E" w:rsidP="00286C20">
      <w:pPr>
        <w:ind w:left="720"/>
        <w:jc w:val="both"/>
        <w:rPr>
          <w:spacing w:val="-3"/>
          <w:szCs w:val="24"/>
        </w:rPr>
      </w:pPr>
      <w:r>
        <w:rPr>
          <w:spacing w:val="-3"/>
          <w:szCs w:val="24"/>
        </w:rPr>
        <w:t>3 BOCs x 25 hours/quarter x 4 reports/</w:t>
      </w:r>
      <w:r w:rsidRPr="001D4024">
        <w:rPr>
          <w:spacing w:val="-3"/>
          <w:szCs w:val="24"/>
        </w:rPr>
        <w:t>year x $</w:t>
      </w:r>
      <w:r w:rsidR="00110900">
        <w:rPr>
          <w:spacing w:val="-3"/>
          <w:szCs w:val="24"/>
        </w:rPr>
        <w:t>71.56</w:t>
      </w:r>
      <w:r w:rsidRPr="001D4024">
        <w:rPr>
          <w:spacing w:val="-3"/>
          <w:szCs w:val="24"/>
        </w:rPr>
        <w:t>/hour = $</w:t>
      </w:r>
      <w:r w:rsidR="00110900">
        <w:rPr>
          <w:spacing w:val="-3"/>
          <w:szCs w:val="24"/>
        </w:rPr>
        <w:t>21,468</w:t>
      </w:r>
      <w:r w:rsidR="00C167F8">
        <w:rPr>
          <w:spacing w:val="-3"/>
          <w:szCs w:val="24"/>
        </w:rPr>
        <w:t>.00</w:t>
      </w:r>
    </w:p>
    <w:p w14:paraId="398BCF2D" w14:textId="5709F778" w:rsidR="00EA007E" w:rsidRPr="001D4024" w:rsidRDefault="00EA007E" w:rsidP="00286C20">
      <w:pPr>
        <w:ind w:left="720"/>
        <w:jc w:val="both"/>
        <w:rPr>
          <w:spacing w:val="-3"/>
          <w:szCs w:val="24"/>
        </w:rPr>
      </w:pPr>
      <w:r w:rsidRPr="001D4024">
        <w:rPr>
          <w:spacing w:val="-3"/>
          <w:szCs w:val="24"/>
        </w:rPr>
        <w:tab/>
        <w:t xml:space="preserve">                                                      </w:t>
      </w:r>
      <w:r w:rsidR="00C167F8">
        <w:rPr>
          <w:spacing w:val="-3"/>
          <w:szCs w:val="24"/>
        </w:rPr>
        <w:t xml:space="preserve">    </w:t>
      </w:r>
      <w:r w:rsidR="00286C20">
        <w:rPr>
          <w:spacing w:val="-3"/>
          <w:szCs w:val="24"/>
        </w:rPr>
        <w:t xml:space="preserve"> </w:t>
      </w:r>
      <w:r w:rsidRPr="001D4024">
        <w:rPr>
          <w:spacing w:val="-3"/>
          <w:szCs w:val="24"/>
        </w:rPr>
        <w:t xml:space="preserve">30% overhead = </w:t>
      </w:r>
      <w:r w:rsidRPr="001D4024">
        <w:rPr>
          <w:spacing w:val="-3"/>
          <w:szCs w:val="24"/>
          <w:u w:val="single"/>
        </w:rPr>
        <w:t>$</w:t>
      </w:r>
      <w:r w:rsidR="00663792">
        <w:rPr>
          <w:spacing w:val="-3"/>
          <w:szCs w:val="24"/>
          <w:u w:val="single"/>
        </w:rPr>
        <w:t xml:space="preserve"> </w:t>
      </w:r>
      <w:r w:rsidR="00110900">
        <w:rPr>
          <w:spacing w:val="-3"/>
          <w:szCs w:val="24"/>
          <w:u w:val="single"/>
        </w:rPr>
        <w:t>6,44</w:t>
      </w:r>
      <w:r w:rsidR="00E84771">
        <w:rPr>
          <w:spacing w:val="-3"/>
          <w:szCs w:val="24"/>
          <w:u w:val="single"/>
        </w:rPr>
        <w:t>0</w:t>
      </w:r>
      <w:r w:rsidR="00110900">
        <w:rPr>
          <w:spacing w:val="-3"/>
          <w:szCs w:val="24"/>
          <w:u w:val="single"/>
        </w:rPr>
        <w:t>.40</w:t>
      </w:r>
      <w:r w:rsidRPr="001D4024">
        <w:rPr>
          <w:spacing w:val="-3"/>
          <w:szCs w:val="24"/>
        </w:rPr>
        <w:tab/>
      </w:r>
      <w:r w:rsidRPr="001D4024">
        <w:rPr>
          <w:spacing w:val="-3"/>
          <w:szCs w:val="24"/>
        </w:rPr>
        <w:tab/>
      </w:r>
      <w:r w:rsidRPr="001D4024">
        <w:rPr>
          <w:spacing w:val="-3"/>
          <w:szCs w:val="24"/>
        </w:rPr>
        <w:tab/>
        <w:t xml:space="preserve">                                  </w:t>
      </w:r>
      <w:r w:rsidRPr="001D4024">
        <w:rPr>
          <w:spacing w:val="-3"/>
          <w:szCs w:val="24"/>
        </w:rPr>
        <w:tab/>
        <w:t xml:space="preserve">          </w:t>
      </w:r>
      <w:r w:rsidR="007B3311">
        <w:rPr>
          <w:spacing w:val="-3"/>
          <w:szCs w:val="24"/>
        </w:rPr>
        <w:t xml:space="preserve">  </w:t>
      </w:r>
      <w:r w:rsidR="00110900">
        <w:rPr>
          <w:spacing w:val="-3"/>
          <w:szCs w:val="24"/>
        </w:rPr>
        <w:tab/>
      </w:r>
      <w:r w:rsidR="00110900">
        <w:rPr>
          <w:spacing w:val="-3"/>
          <w:szCs w:val="24"/>
        </w:rPr>
        <w:tab/>
      </w:r>
      <w:r w:rsidR="00110900">
        <w:rPr>
          <w:spacing w:val="-3"/>
          <w:szCs w:val="24"/>
        </w:rPr>
        <w:tab/>
      </w:r>
      <w:r w:rsidR="00110900">
        <w:rPr>
          <w:spacing w:val="-3"/>
          <w:szCs w:val="24"/>
        </w:rPr>
        <w:tab/>
      </w:r>
      <w:r w:rsidR="00110900">
        <w:rPr>
          <w:spacing w:val="-3"/>
          <w:szCs w:val="24"/>
        </w:rPr>
        <w:tab/>
        <w:t xml:space="preserve">          </w:t>
      </w:r>
      <w:r w:rsidRPr="001D4024">
        <w:rPr>
          <w:spacing w:val="-3"/>
          <w:szCs w:val="24"/>
        </w:rPr>
        <w:t>Total = $</w:t>
      </w:r>
      <w:r w:rsidR="00110900">
        <w:rPr>
          <w:spacing w:val="-3"/>
          <w:szCs w:val="24"/>
        </w:rPr>
        <w:t>27,908.40</w:t>
      </w:r>
    </w:p>
    <w:p w14:paraId="4397B77B" w14:textId="77777777" w:rsidR="00EA007E" w:rsidRDefault="00EA007E" w:rsidP="00EA007E">
      <w:pPr>
        <w:ind w:left="1080" w:hanging="360"/>
        <w:jc w:val="both"/>
        <w:rPr>
          <w:spacing w:val="-3"/>
          <w:szCs w:val="24"/>
        </w:rPr>
      </w:pPr>
      <w:r w:rsidRPr="001D4024">
        <w:rPr>
          <w:spacing w:val="-3"/>
          <w:szCs w:val="24"/>
        </w:rPr>
        <w:tab/>
      </w:r>
      <w:r w:rsidRPr="001D4024">
        <w:rPr>
          <w:spacing w:val="-3"/>
          <w:szCs w:val="24"/>
        </w:rPr>
        <w:tab/>
      </w:r>
      <w:r w:rsidRPr="001D4024">
        <w:rPr>
          <w:spacing w:val="-3"/>
          <w:szCs w:val="24"/>
        </w:rPr>
        <w:tab/>
        <w:t xml:space="preserve">                                  </w:t>
      </w:r>
      <w:r w:rsidRPr="001D4024">
        <w:rPr>
          <w:spacing w:val="-3"/>
          <w:szCs w:val="24"/>
        </w:rPr>
        <w:tab/>
      </w:r>
      <w:r w:rsidRPr="001D4024">
        <w:rPr>
          <w:spacing w:val="-3"/>
          <w:szCs w:val="24"/>
        </w:rPr>
        <w:tab/>
        <w:t xml:space="preserve">                </w:t>
      </w:r>
    </w:p>
    <w:p w14:paraId="2E66C420" w14:textId="77777777" w:rsidR="00EA007E" w:rsidRPr="002212C5" w:rsidRDefault="00EA007E" w:rsidP="00EA007E">
      <w:pPr>
        <w:tabs>
          <w:tab w:val="left" w:pos="-720"/>
        </w:tabs>
        <w:suppressAutoHyphens/>
        <w:ind w:left="720" w:hanging="360"/>
        <w:jc w:val="both"/>
        <w:rPr>
          <w:b/>
          <w:spacing w:val="-3"/>
          <w:szCs w:val="24"/>
        </w:rPr>
      </w:pPr>
      <w:r w:rsidRPr="002212C5">
        <w:rPr>
          <w:b/>
          <w:spacing w:val="-3"/>
          <w:szCs w:val="24"/>
        </w:rPr>
        <w:t xml:space="preserve">Total Number of Respondents: </w:t>
      </w:r>
      <w:r w:rsidRPr="007B3311">
        <w:rPr>
          <w:spacing w:val="-3"/>
          <w:szCs w:val="24"/>
        </w:rPr>
        <w:t>3</w:t>
      </w:r>
      <w:r w:rsidR="007B3311">
        <w:rPr>
          <w:spacing w:val="-3"/>
          <w:szCs w:val="24"/>
        </w:rPr>
        <w:t>.</w:t>
      </w:r>
    </w:p>
    <w:p w14:paraId="377EBC51" w14:textId="77777777" w:rsidR="00EA007E" w:rsidRDefault="00EA007E" w:rsidP="00EA007E">
      <w:pPr>
        <w:tabs>
          <w:tab w:val="left" w:pos="-720"/>
        </w:tabs>
        <w:suppressAutoHyphens/>
        <w:ind w:left="720" w:hanging="360"/>
        <w:jc w:val="both"/>
        <w:rPr>
          <w:spacing w:val="-3"/>
          <w:szCs w:val="24"/>
        </w:rPr>
      </w:pPr>
    </w:p>
    <w:p w14:paraId="140B4E37" w14:textId="77777777" w:rsidR="00EA007E" w:rsidRDefault="00EA007E" w:rsidP="00EA007E">
      <w:pPr>
        <w:tabs>
          <w:tab w:val="left" w:pos="-720"/>
        </w:tabs>
        <w:suppressAutoHyphens/>
        <w:ind w:left="720" w:hanging="360"/>
        <w:jc w:val="both"/>
        <w:rPr>
          <w:spacing w:val="-3"/>
          <w:szCs w:val="24"/>
        </w:rPr>
      </w:pPr>
      <w:r w:rsidRPr="00B00912">
        <w:rPr>
          <w:b/>
          <w:spacing w:val="-3"/>
          <w:szCs w:val="24"/>
        </w:rPr>
        <w:t>Total Number of Responses Annually:</w:t>
      </w:r>
      <w:r w:rsidR="007B3311">
        <w:rPr>
          <w:spacing w:val="-3"/>
          <w:szCs w:val="24"/>
        </w:rPr>
        <w:t xml:space="preserve"> 12.</w:t>
      </w:r>
    </w:p>
    <w:p w14:paraId="10C43ED8" w14:textId="77777777" w:rsidR="00EA007E" w:rsidRDefault="00EA007E" w:rsidP="00EA007E">
      <w:pPr>
        <w:tabs>
          <w:tab w:val="left" w:pos="-720"/>
        </w:tabs>
        <w:suppressAutoHyphens/>
        <w:ind w:left="720" w:hanging="360"/>
        <w:jc w:val="both"/>
        <w:rPr>
          <w:spacing w:val="-3"/>
          <w:szCs w:val="24"/>
        </w:rPr>
      </w:pPr>
    </w:p>
    <w:p w14:paraId="53AB940C" w14:textId="77777777" w:rsidR="00EA007E" w:rsidRDefault="00EA007E" w:rsidP="00EA007E">
      <w:pPr>
        <w:tabs>
          <w:tab w:val="left" w:pos="-720"/>
        </w:tabs>
        <w:suppressAutoHyphens/>
        <w:ind w:left="720" w:hanging="360"/>
        <w:jc w:val="both"/>
        <w:rPr>
          <w:b/>
          <w:spacing w:val="-3"/>
          <w:szCs w:val="24"/>
        </w:rPr>
      </w:pPr>
      <w:r w:rsidRPr="00B00912">
        <w:rPr>
          <w:b/>
          <w:spacing w:val="-3"/>
          <w:szCs w:val="24"/>
        </w:rPr>
        <w:t>Total Annual Hour Burden:</w:t>
      </w:r>
      <w:r>
        <w:rPr>
          <w:spacing w:val="-3"/>
          <w:szCs w:val="24"/>
        </w:rPr>
        <w:t xml:space="preserve"> 300 hours</w:t>
      </w:r>
      <w:r w:rsidR="007B3311">
        <w:rPr>
          <w:spacing w:val="-3"/>
          <w:szCs w:val="24"/>
        </w:rPr>
        <w:t>.</w:t>
      </w:r>
      <w:r>
        <w:rPr>
          <w:spacing w:val="-3"/>
          <w:szCs w:val="24"/>
        </w:rPr>
        <w:t xml:space="preserve"> </w:t>
      </w:r>
    </w:p>
    <w:p w14:paraId="785B774F" w14:textId="77777777" w:rsidR="00EA007E" w:rsidRDefault="00EA007E" w:rsidP="00EA007E">
      <w:pPr>
        <w:tabs>
          <w:tab w:val="left" w:pos="-720"/>
        </w:tabs>
        <w:suppressAutoHyphens/>
        <w:ind w:left="720" w:hanging="360"/>
        <w:jc w:val="both"/>
        <w:rPr>
          <w:b/>
          <w:spacing w:val="-3"/>
          <w:szCs w:val="24"/>
        </w:rPr>
      </w:pPr>
    </w:p>
    <w:p w14:paraId="67FD0191" w14:textId="301C2BFF" w:rsidR="00EA007E" w:rsidRDefault="00EA007E" w:rsidP="00EA007E">
      <w:pPr>
        <w:tabs>
          <w:tab w:val="left" w:pos="-720"/>
        </w:tabs>
        <w:suppressAutoHyphens/>
        <w:ind w:left="720" w:hanging="360"/>
        <w:jc w:val="both"/>
        <w:rPr>
          <w:spacing w:val="-3"/>
          <w:szCs w:val="24"/>
        </w:rPr>
      </w:pPr>
      <w:r>
        <w:rPr>
          <w:b/>
          <w:spacing w:val="-3"/>
          <w:szCs w:val="24"/>
        </w:rPr>
        <w:t xml:space="preserve">Total </w:t>
      </w:r>
      <w:r w:rsidR="007B3311">
        <w:rPr>
          <w:b/>
          <w:spacing w:val="-3"/>
          <w:szCs w:val="24"/>
        </w:rPr>
        <w:t xml:space="preserve">In-House </w:t>
      </w:r>
      <w:r>
        <w:rPr>
          <w:b/>
          <w:spacing w:val="-3"/>
          <w:szCs w:val="24"/>
        </w:rPr>
        <w:t xml:space="preserve">Cost to Respondents (Industry Cost): </w:t>
      </w:r>
      <w:r w:rsidR="00372D87">
        <w:rPr>
          <w:spacing w:val="-3"/>
          <w:szCs w:val="24"/>
        </w:rPr>
        <w:t>$</w:t>
      </w:r>
      <w:r w:rsidR="00110900">
        <w:rPr>
          <w:spacing w:val="-3"/>
          <w:szCs w:val="24"/>
        </w:rPr>
        <w:t>27,908.40</w:t>
      </w:r>
      <w:r w:rsidR="00110900" w:rsidRPr="00C61901">
        <w:rPr>
          <w:spacing w:val="-3"/>
          <w:szCs w:val="24"/>
        </w:rPr>
        <w:t xml:space="preserve"> </w:t>
      </w:r>
      <w:r w:rsidR="00110900">
        <w:rPr>
          <w:spacing w:val="-3"/>
          <w:szCs w:val="24"/>
        </w:rPr>
        <w:t xml:space="preserve"> </w:t>
      </w:r>
    </w:p>
    <w:p w14:paraId="7031F8DB" w14:textId="77777777" w:rsidR="00EA007E" w:rsidRPr="00C61901" w:rsidRDefault="00EA007E" w:rsidP="00EA007E">
      <w:pPr>
        <w:tabs>
          <w:tab w:val="left" w:pos="-720"/>
        </w:tabs>
        <w:suppressAutoHyphens/>
        <w:ind w:left="720" w:hanging="360"/>
        <w:jc w:val="both"/>
        <w:rPr>
          <w:spacing w:val="-3"/>
          <w:szCs w:val="24"/>
        </w:rPr>
      </w:pPr>
    </w:p>
    <w:p w14:paraId="4824D9F3" w14:textId="77777777" w:rsidR="00EA007E" w:rsidRDefault="00EA007E" w:rsidP="00EA007E">
      <w:pPr>
        <w:ind w:left="360" w:hanging="360"/>
        <w:jc w:val="both"/>
        <w:rPr>
          <w:szCs w:val="24"/>
        </w:rPr>
      </w:pPr>
      <w:r>
        <w:rPr>
          <w:szCs w:val="24"/>
        </w:rPr>
        <w:t>13.</w:t>
      </w:r>
      <w:r>
        <w:rPr>
          <w:szCs w:val="24"/>
        </w:rPr>
        <w:tab/>
      </w:r>
      <w:r w:rsidRPr="00C61901">
        <w:rPr>
          <w:szCs w:val="24"/>
        </w:rPr>
        <w:t xml:space="preserve">The following represents the Commission’s estimate of the total annual cost burden to </w:t>
      </w:r>
      <w:r w:rsidRPr="00C82D63">
        <w:rPr>
          <w:spacing w:val="-3"/>
          <w:szCs w:val="24"/>
        </w:rPr>
        <w:t>respondents</w:t>
      </w:r>
      <w:r w:rsidRPr="00C61901">
        <w:rPr>
          <w:szCs w:val="24"/>
        </w:rPr>
        <w:t xml:space="preserve"> or record keepers resulting from the collection of information.</w:t>
      </w:r>
    </w:p>
    <w:p w14:paraId="48CA2ACD" w14:textId="77777777" w:rsidR="00EA007E" w:rsidRPr="00C61901" w:rsidRDefault="00EA007E" w:rsidP="00EA007E">
      <w:pPr>
        <w:ind w:left="360" w:hanging="360"/>
        <w:jc w:val="both"/>
        <w:rPr>
          <w:szCs w:val="24"/>
        </w:rPr>
      </w:pPr>
    </w:p>
    <w:p w14:paraId="0ED8C70D" w14:textId="77777777" w:rsidR="00EA007E" w:rsidRDefault="00EA007E" w:rsidP="00EA007E">
      <w:pPr>
        <w:ind w:left="720" w:hanging="360"/>
        <w:jc w:val="both"/>
        <w:rPr>
          <w:szCs w:val="24"/>
        </w:rPr>
      </w:pPr>
      <w:r>
        <w:rPr>
          <w:szCs w:val="24"/>
        </w:rPr>
        <w:t>(a)</w:t>
      </w:r>
      <w:r>
        <w:rPr>
          <w:szCs w:val="24"/>
        </w:rPr>
        <w:tab/>
      </w:r>
      <w:r w:rsidRPr="00C61901">
        <w:rPr>
          <w:szCs w:val="24"/>
          <w:u w:val="single"/>
        </w:rPr>
        <w:t xml:space="preserve">Total capital start-up costs </w:t>
      </w:r>
      <w:r w:rsidRPr="009218C0">
        <w:rPr>
          <w:szCs w:val="24"/>
          <w:u w:val="single"/>
        </w:rPr>
        <w:t>component</w:t>
      </w:r>
      <w:r w:rsidRPr="00C61901">
        <w:rPr>
          <w:szCs w:val="24"/>
          <w:u w:val="single"/>
        </w:rPr>
        <w:t xml:space="preserve"> annualized over its expected useful life:</w:t>
      </w:r>
      <w:r w:rsidRPr="00C61901">
        <w:rPr>
          <w:szCs w:val="24"/>
        </w:rPr>
        <w:t xml:space="preserve"> $0.  </w:t>
      </w:r>
    </w:p>
    <w:p w14:paraId="2D5909A0" w14:textId="77777777" w:rsidR="00EA007E" w:rsidRDefault="00EA007E" w:rsidP="00EA007E">
      <w:pPr>
        <w:ind w:left="720" w:hanging="360"/>
        <w:jc w:val="both"/>
        <w:rPr>
          <w:szCs w:val="24"/>
        </w:rPr>
      </w:pPr>
    </w:p>
    <w:p w14:paraId="4BD3190A" w14:textId="77777777" w:rsidR="00EA007E" w:rsidRDefault="00EA007E" w:rsidP="00EA007E">
      <w:pPr>
        <w:ind w:left="720"/>
        <w:jc w:val="both"/>
        <w:rPr>
          <w:szCs w:val="24"/>
        </w:rPr>
      </w:pPr>
      <w:r w:rsidRPr="00C61901">
        <w:rPr>
          <w:szCs w:val="24"/>
        </w:rPr>
        <w:t>The collections will not result in additional capital expenditures such as computers or software.</w:t>
      </w:r>
    </w:p>
    <w:p w14:paraId="7C746D45" w14:textId="77777777" w:rsidR="00EA007E" w:rsidRPr="00C61901" w:rsidRDefault="00EA007E" w:rsidP="00EA007E">
      <w:pPr>
        <w:ind w:left="720" w:hanging="360"/>
        <w:jc w:val="both"/>
        <w:rPr>
          <w:szCs w:val="24"/>
        </w:rPr>
      </w:pPr>
    </w:p>
    <w:p w14:paraId="1990EBB3" w14:textId="77777777" w:rsidR="00EA007E" w:rsidRDefault="00EA007E" w:rsidP="00EA007E">
      <w:pPr>
        <w:ind w:left="720" w:hanging="360"/>
        <w:jc w:val="both"/>
        <w:rPr>
          <w:szCs w:val="24"/>
        </w:rPr>
      </w:pPr>
      <w:r>
        <w:rPr>
          <w:szCs w:val="24"/>
        </w:rPr>
        <w:t>(b)</w:t>
      </w:r>
      <w:r>
        <w:rPr>
          <w:szCs w:val="24"/>
        </w:rPr>
        <w:tab/>
      </w:r>
      <w:r w:rsidRPr="00C61901">
        <w:rPr>
          <w:szCs w:val="24"/>
          <w:u w:val="single"/>
        </w:rPr>
        <w:t>Total operation and maintenance and purchase of services component</w:t>
      </w:r>
      <w:r w:rsidRPr="00C549D3">
        <w:rPr>
          <w:szCs w:val="24"/>
        </w:rPr>
        <w:t>:</w:t>
      </w:r>
      <w:r w:rsidRPr="00C61901">
        <w:rPr>
          <w:szCs w:val="24"/>
        </w:rPr>
        <w:t xml:space="preserve">  </w:t>
      </w:r>
      <w:r>
        <w:rPr>
          <w:szCs w:val="24"/>
        </w:rPr>
        <w:t>$0.</w:t>
      </w:r>
    </w:p>
    <w:p w14:paraId="67AF00C6" w14:textId="77777777" w:rsidR="00EA007E" w:rsidRDefault="00EA007E" w:rsidP="00EA007E">
      <w:pPr>
        <w:ind w:left="720" w:hanging="360"/>
        <w:jc w:val="both"/>
        <w:rPr>
          <w:szCs w:val="24"/>
        </w:rPr>
      </w:pPr>
    </w:p>
    <w:p w14:paraId="3FBDA876" w14:textId="77777777" w:rsidR="00EA007E" w:rsidRDefault="00EA007E" w:rsidP="00EA007E">
      <w:pPr>
        <w:ind w:left="720"/>
        <w:jc w:val="both"/>
        <w:rPr>
          <w:szCs w:val="24"/>
        </w:rPr>
      </w:pPr>
      <w:r w:rsidRPr="00C61901">
        <w:rPr>
          <w:szCs w:val="24"/>
        </w:rPr>
        <w:t xml:space="preserve">All respondents will file the reports quarterly, so operation and maintenance costs will be limited to </w:t>
      </w:r>
      <w:r>
        <w:rPr>
          <w:szCs w:val="24"/>
        </w:rPr>
        <w:t>I</w:t>
      </w:r>
      <w:r w:rsidRPr="00C61901">
        <w:rPr>
          <w:szCs w:val="24"/>
        </w:rPr>
        <w:t>nter</w:t>
      </w:r>
      <w:r>
        <w:rPr>
          <w:szCs w:val="24"/>
        </w:rPr>
        <w:t>net access or postage, ink,</w:t>
      </w:r>
      <w:r w:rsidRPr="00C61901">
        <w:rPr>
          <w:szCs w:val="24"/>
        </w:rPr>
        <w:t xml:space="preserve"> </w:t>
      </w:r>
      <w:r>
        <w:rPr>
          <w:szCs w:val="24"/>
        </w:rPr>
        <w:t xml:space="preserve">and similar </w:t>
      </w:r>
      <w:r w:rsidRPr="00C61901">
        <w:rPr>
          <w:szCs w:val="24"/>
        </w:rPr>
        <w:t>costs incurred in the normal course of doing business.</w:t>
      </w:r>
    </w:p>
    <w:p w14:paraId="69F48C5C" w14:textId="77777777" w:rsidR="00EA007E" w:rsidRDefault="00EA007E" w:rsidP="00EA007E">
      <w:pPr>
        <w:ind w:left="720" w:hanging="360"/>
        <w:jc w:val="both"/>
        <w:rPr>
          <w:szCs w:val="24"/>
        </w:rPr>
      </w:pPr>
    </w:p>
    <w:p w14:paraId="65B988ED" w14:textId="77777777" w:rsidR="00EA007E" w:rsidRDefault="00EA007E" w:rsidP="00EA007E">
      <w:pPr>
        <w:ind w:left="720" w:hanging="360"/>
        <w:jc w:val="both"/>
        <w:rPr>
          <w:szCs w:val="24"/>
        </w:rPr>
      </w:pPr>
      <w:r>
        <w:rPr>
          <w:szCs w:val="24"/>
        </w:rPr>
        <w:t>(c)</w:t>
      </w:r>
      <w:r>
        <w:rPr>
          <w:szCs w:val="24"/>
        </w:rPr>
        <w:tab/>
      </w:r>
      <w:r w:rsidRPr="00E83DBE">
        <w:rPr>
          <w:szCs w:val="24"/>
          <w:u w:val="single"/>
        </w:rPr>
        <w:t>Total annual cost requested</w:t>
      </w:r>
      <w:r>
        <w:rPr>
          <w:szCs w:val="24"/>
        </w:rPr>
        <w:t>: $0.</w:t>
      </w:r>
    </w:p>
    <w:p w14:paraId="19C6CE55" w14:textId="77777777" w:rsidR="00EA007E" w:rsidRPr="00C61901" w:rsidRDefault="00EA007E" w:rsidP="00EA007E">
      <w:pPr>
        <w:ind w:left="720" w:hanging="360"/>
        <w:jc w:val="both"/>
        <w:rPr>
          <w:szCs w:val="24"/>
        </w:rPr>
      </w:pPr>
    </w:p>
    <w:p w14:paraId="7AE64B5F" w14:textId="77777777" w:rsidR="00EA007E" w:rsidRDefault="00EA007E" w:rsidP="00EA007E">
      <w:pPr>
        <w:ind w:left="360" w:hanging="360"/>
        <w:jc w:val="both"/>
        <w:rPr>
          <w:szCs w:val="24"/>
        </w:rPr>
      </w:pPr>
      <w:r>
        <w:rPr>
          <w:szCs w:val="24"/>
        </w:rPr>
        <w:t>14.</w:t>
      </w:r>
      <w:r>
        <w:rPr>
          <w:szCs w:val="24"/>
        </w:rPr>
        <w:tab/>
      </w:r>
      <w:r w:rsidRPr="00C61901">
        <w:rPr>
          <w:szCs w:val="24"/>
        </w:rPr>
        <w:t>There will be few, if any</w:t>
      </w:r>
      <w:r>
        <w:rPr>
          <w:szCs w:val="24"/>
        </w:rPr>
        <w:t>,</w:t>
      </w:r>
      <w:r w:rsidRPr="00C61901">
        <w:rPr>
          <w:szCs w:val="24"/>
        </w:rPr>
        <w:t xml:space="preserve"> additional costs to the Commission because notice and enforcement requirements are already part of the C</w:t>
      </w:r>
      <w:r>
        <w:rPr>
          <w:szCs w:val="24"/>
        </w:rPr>
        <w:t>ommission’s duties.  Moreover, t</w:t>
      </w:r>
      <w:r w:rsidRPr="00C61901">
        <w:rPr>
          <w:szCs w:val="24"/>
        </w:rPr>
        <w:t>here will be minimal cost to the federal government since outside parties administer the mechanisms</w:t>
      </w:r>
      <w:r>
        <w:rPr>
          <w:szCs w:val="24"/>
        </w:rPr>
        <w:t xml:space="preserve"> for the special access performance metrics report. </w:t>
      </w:r>
    </w:p>
    <w:p w14:paraId="6FE67A10" w14:textId="77777777" w:rsidR="00EA007E" w:rsidRPr="00C61901" w:rsidRDefault="00EA007E" w:rsidP="00EA007E">
      <w:pPr>
        <w:ind w:left="360" w:hanging="360"/>
        <w:jc w:val="both"/>
        <w:rPr>
          <w:szCs w:val="24"/>
        </w:rPr>
      </w:pPr>
    </w:p>
    <w:p w14:paraId="77E5B012" w14:textId="77777777" w:rsidR="00EA007E" w:rsidRPr="00E57054" w:rsidRDefault="00EA007E" w:rsidP="00EC29A4">
      <w:pPr>
        <w:ind w:left="360" w:hanging="360"/>
        <w:jc w:val="both"/>
        <w:rPr>
          <w:szCs w:val="24"/>
        </w:rPr>
      </w:pPr>
      <w:r w:rsidRPr="00CD661C">
        <w:rPr>
          <w:szCs w:val="24"/>
        </w:rPr>
        <w:t xml:space="preserve">15. </w:t>
      </w:r>
      <w:r w:rsidR="00EC29A4" w:rsidRPr="00CD661C">
        <w:rPr>
          <w:szCs w:val="24"/>
        </w:rPr>
        <w:t>There is no change to the burden estimates.</w:t>
      </w:r>
    </w:p>
    <w:p w14:paraId="41A090E9" w14:textId="77777777" w:rsidR="00EA007E" w:rsidRPr="00E57054" w:rsidRDefault="00EA007E" w:rsidP="00EA007E">
      <w:pPr>
        <w:ind w:left="360" w:hanging="360"/>
        <w:jc w:val="both"/>
        <w:rPr>
          <w:szCs w:val="24"/>
        </w:rPr>
      </w:pPr>
    </w:p>
    <w:p w14:paraId="47E4038D" w14:textId="77777777" w:rsidR="00EA007E" w:rsidRPr="00E57054" w:rsidRDefault="00EA007E" w:rsidP="00E71104">
      <w:pPr>
        <w:tabs>
          <w:tab w:val="left" w:pos="360"/>
        </w:tabs>
        <w:ind w:left="360" w:hanging="360"/>
        <w:jc w:val="both"/>
        <w:rPr>
          <w:szCs w:val="24"/>
        </w:rPr>
      </w:pPr>
      <w:r w:rsidRPr="00E57054">
        <w:rPr>
          <w:szCs w:val="24"/>
        </w:rPr>
        <w:t>16. The Commission does not anticipate publishing any of the information collected.  Rather, the BOCs’ submissions will be available for public review to the extent consistent with the Commission’s procedures for protecting confidential information.</w:t>
      </w:r>
    </w:p>
    <w:p w14:paraId="116907F3" w14:textId="77777777" w:rsidR="00EA007E" w:rsidRPr="00E57054" w:rsidRDefault="00EA007E" w:rsidP="00EA007E">
      <w:pPr>
        <w:ind w:left="360" w:hanging="360"/>
        <w:jc w:val="both"/>
        <w:rPr>
          <w:szCs w:val="24"/>
        </w:rPr>
      </w:pPr>
    </w:p>
    <w:p w14:paraId="0562B2F2" w14:textId="32685785" w:rsidR="00EA007E" w:rsidRPr="00E57054" w:rsidRDefault="00EA007E" w:rsidP="00EA007E">
      <w:pPr>
        <w:ind w:left="360" w:hanging="360"/>
        <w:jc w:val="both"/>
        <w:rPr>
          <w:szCs w:val="24"/>
        </w:rPr>
      </w:pPr>
      <w:r w:rsidRPr="00E57054">
        <w:rPr>
          <w:szCs w:val="24"/>
        </w:rPr>
        <w:t>17.</w:t>
      </w:r>
      <w:r w:rsidRPr="00E57054">
        <w:rPr>
          <w:szCs w:val="24"/>
        </w:rPr>
        <w:tab/>
        <w:t>The information collection requirements do not include any forms; therefore, Commission is not seeking approval to not display an OMB expiration date.</w:t>
      </w:r>
    </w:p>
    <w:p w14:paraId="3677B433" w14:textId="77777777" w:rsidR="00EA007E" w:rsidRPr="00E57054" w:rsidRDefault="00EA007E" w:rsidP="00EA007E">
      <w:pPr>
        <w:ind w:left="360" w:hanging="360"/>
        <w:jc w:val="both"/>
        <w:rPr>
          <w:szCs w:val="24"/>
        </w:rPr>
      </w:pPr>
    </w:p>
    <w:p w14:paraId="2948CA8A" w14:textId="71F35342" w:rsidR="00FF47BD" w:rsidRPr="00FF47BD" w:rsidRDefault="00EA007E" w:rsidP="00FF47BD">
      <w:pPr>
        <w:ind w:left="360" w:hanging="360"/>
        <w:jc w:val="both"/>
        <w:rPr>
          <w:szCs w:val="24"/>
        </w:rPr>
      </w:pPr>
      <w:r w:rsidRPr="00E57054">
        <w:rPr>
          <w:szCs w:val="24"/>
        </w:rPr>
        <w:t>18.</w:t>
      </w:r>
      <w:r w:rsidRPr="00E57054">
        <w:rPr>
          <w:szCs w:val="24"/>
        </w:rPr>
        <w:tab/>
        <w:t xml:space="preserve"> </w:t>
      </w:r>
      <w:r w:rsidR="006E5F52" w:rsidRPr="006E5F52">
        <w:rPr>
          <w:szCs w:val="24"/>
        </w:rPr>
        <w:t xml:space="preserve">There are no exceptions to the Certification Statement.  </w:t>
      </w:r>
    </w:p>
    <w:p w14:paraId="688EEAF2" w14:textId="77777777" w:rsidR="00EA007E" w:rsidRPr="00E57054" w:rsidRDefault="00EA007E" w:rsidP="00B579E1">
      <w:pPr>
        <w:ind w:left="360" w:hanging="360"/>
        <w:jc w:val="both"/>
        <w:rPr>
          <w:szCs w:val="24"/>
        </w:rPr>
      </w:pPr>
    </w:p>
    <w:p w14:paraId="4DD82572" w14:textId="77777777" w:rsidR="00EA007E" w:rsidRPr="00E57054" w:rsidRDefault="00EA007E" w:rsidP="00EA007E">
      <w:pPr>
        <w:ind w:left="360" w:hanging="360"/>
        <w:jc w:val="both"/>
        <w:rPr>
          <w:szCs w:val="24"/>
        </w:rPr>
      </w:pPr>
    </w:p>
    <w:p w14:paraId="782176F4" w14:textId="77777777" w:rsidR="00EA007E" w:rsidRPr="00E57054" w:rsidRDefault="00EA007E" w:rsidP="00EA007E">
      <w:pPr>
        <w:ind w:left="360" w:hanging="360"/>
        <w:jc w:val="both"/>
        <w:rPr>
          <w:b/>
          <w:szCs w:val="24"/>
        </w:rPr>
      </w:pPr>
      <w:r w:rsidRPr="00E57054">
        <w:rPr>
          <w:b/>
          <w:szCs w:val="24"/>
        </w:rPr>
        <w:t>B.</w:t>
      </w:r>
      <w:r w:rsidRPr="00E57054">
        <w:rPr>
          <w:b/>
          <w:szCs w:val="24"/>
        </w:rPr>
        <w:tab/>
      </w:r>
      <w:r w:rsidRPr="00E57054">
        <w:rPr>
          <w:b/>
          <w:szCs w:val="24"/>
          <w:u w:val="single"/>
        </w:rPr>
        <w:t>Collections of Information Employing Statistical Methods</w:t>
      </w:r>
      <w:r w:rsidRPr="00E57054">
        <w:rPr>
          <w:b/>
          <w:szCs w:val="24"/>
        </w:rPr>
        <w:t>:</w:t>
      </w:r>
    </w:p>
    <w:p w14:paraId="36DD681A" w14:textId="77777777" w:rsidR="00EA007E" w:rsidRPr="00E57054" w:rsidRDefault="00EA007E" w:rsidP="00EA007E">
      <w:pPr>
        <w:ind w:left="360" w:hanging="360"/>
        <w:jc w:val="both"/>
        <w:rPr>
          <w:szCs w:val="24"/>
        </w:rPr>
      </w:pPr>
    </w:p>
    <w:p w14:paraId="66EF71DA" w14:textId="77777777" w:rsidR="00EA007E" w:rsidRPr="00E57054" w:rsidRDefault="00EA007E" w:rsidP="00EA007E">
      <w:pPr>
        <w:ind w:left="360"/>
        <w:jc w:val="both"/>
        <w:rPr>
          <w:szCs w:val="24"/>
        </w:rPr>
      </w:pPr>
      <w:r w:rsidRPr="00E57054">
        <w:rPr>
          <w:szCs w:val="24"/>
        </w:rPr>
        <w:t>The Commission does not anticipate that the collection of information will employ statistical methods.</w:t>
      </w:r>
    </w:p>
    <w:p w14:paraId="0AEFB22F" w14:textId="77777777" w:rsidR="00EA007E" w:rsidRPr="00E57054" w:rsidRDefault="00EA007E" w:rsidP="00EA007E">
      <w:pPr>
        <w:ind w:left="360" w:hanging="360"/>
        <w:jc w:val="both"/>
        <w:rPr>
          <w:szCs w:val="24"/>
        </w:rPr>
      </w:pPr>
    </w:p>
    <w:p w14:paraId="28935D76" w14:textId="77777777" w:rsidR="00EA007E" w:rsidRPr="00E57054" w:rsidRDefault="00EA007E"/>
    <w:sectPr w:rsidR="00EA007E" w:rsidRPr="00E57054" w:rsidSect="00E00D76">
      <w:headerReference w:type="default" r:id="rId10"/>
      <w:footerReference w:type="even" r:id="rId11"/>
      <w:footerReference w:type="default" r:id="rId12"/>
      <w:head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6A306" w14:textId="77777777" w:rsidR="00CA12BB" w:rsidRDefault="00CA12BB">
      <w:r>
        <w:separator/>
      </w:r>
    </w:p>
  </w:endnote>
  <w:endnote w:type="continuationSeparator" w:id="0">
    <w:p w14:paraId="225F8EC3" w14:textId="77777777" w:rsidR="00CA12BB" w:rsidRDefault="00CA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CFB32" w14:textId="77777777" w:rsidR="00037987" w:rsidRDefault="00037987" w:rsidP="00EA00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8D7626" w14:textId="77777777" w:rsidR="00037987" w:rsidRDefault="000379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47469" w14:textId="69694EB1" w:rsidR="00037987" w:rsidRPr="00ED4CBA" w:rsidRDefault="00037987" w:rsidP="00EA007E">
    <w:pPr>
      <w:pStyle w:val="Footer"/>
      <w:framePr w:wrap="around" w:vAnchor="text" w:hAnchor="margin" w:xAlign="center" w:y="1"/>
      <w:rPr>
        <w:rStyle w:val="PageNumber"/>
        <w:sz w:val="20"/>
      </w:rPr>
    </w:pPr>
    <w:r w:rsidRPr="00ED4CBA">
      <w:rPr>
        <w:rStyle w:val="PageNumber"/>
        <w:sz w:val="20"/>
      </w:rPr>
      <w:fldChar w:fldCharType="begin"/>
    </w:r>
    <w:r w:rsidRPr="00ED4CBA">
      <w:rPr>
        <w:rStyle w:val="PageNumber"/>
        <w:sz w:val="20"/>
      </w:rPr>
      <w:instrText xml:space="preserve">PAGE  </w:instrText>
    </w:r>
    <w:r w:rsidRPr="00ED4CBA">
      <w:rPr>
        <w:rStyle w:val="PageNumber"/>
        <w:sz w:val="20"/>
      </w:rPr>
      <w:fldChar w:fldCharType="separate"/>
    </w:r>
    <w:r w:rsidR="006F5914">
      <w:rPr>
        <w:rStyle w:val="PageNumber"/>
        <w:noProof/>
        <w:sz w:val="20"/>
      </w:rPr>
      <w:t>2</w:t>
    </w:r>
    <w:r w:rsidRPr="00ED4CBA">
      <w:rPr>
        <w:rStyle w:val="PageNumber"/>
        <w:sz w:val="20"/>
      </w:rPr>
      <w:fldChar w:fldCharType="end"/>
    </w:r>
  </w:p>
  <w:p w14:paraId="2262A737" w14:textId="77777777" w:rsidR="00037987" w:rsidRDefault="000379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0E233" w14:textId="77777777" w:rsidR="00CA12BB" w:rsidRDefault="00CA12BB">
      <w:r>
        <w:separator/>
      </w:r>
    </w:p>
  </w:footnote>
  <w:footnote w:type="continuationSeparator" w:id="0">
    <w:p w14:paraId="6C6CB727" w14:textId="77777777" w:rsidR="00CA12BB" w:rsidRDefault="00CA12BB">
      <w:r>
        <w:continuationSeparator/>
      </w:r>
    </w:p>
  </w:footnote>
  <w:footnote w:id="1">
    <w:p w14:paraId="00581345" w14:textId="77777777" w:rsidR="00037987" w:rsidRDefault="00037987">
      <w:pPr>
        <w:pStyle w:val="FootnoteText"/>
      </w:pPr>
      <w:r>
        <w:rPr>
          <w:rStyle w:val="FootnoteReference"/>
        </w:rPr>
        <w:footnoteRef/>
      </w:r>
      <w:r>
        <w:t xml:space="preserve"> </w:t>
      </w:r>
      <w:r w:rsidRPr="00A44224">
        <w:rPr>
          <w:i/>
        </w:rPr>
        <w:t>See Applications filed by Qwest Communications International, Inc. and CenturyTel, Inc. d/b/a CenturyLink for Consent to Transfer Control</w:t>
      </w:r>
      <w:r>
        <w:t>, Memorandum Opinion and Order, WC Docket No. 10-110, 26 FCC Rcd 4194 (2011).</w:t>
      </w:r>
    </w:p>
  </w:footnote>
  <w:footnote w:id="2">
    <w:p w14:paraId="4DE7E999" w14:textId="77777777" w:rsidR="00037987" w:rsidRDefault="00037987">
      <w:pPr>
        <w:pStyle w:val="FootnoteText"/>
      </w:pPr>
      <w:r>
        <w:rPr>
          <w:rStyle w:val="FootnoteReference"/>
        </w:rPr>
        <w:footnoteRef/>
      </w:r>
      <w:r>
        <w:t xml:space="preserve"> </w:t>
      </w:r>
      <w:r>
        <w:rPr>
          <w:i/>
        </w:rPr>
        <w:t>AT&amp;T Inc. and BellSouth Corporation Application for Transfer of Control</w:t>
      </w:r>
      <w:r>
        <w:t xml:space="preserve">, WC Docket No. 06-74, Memorandum Opinion and Order, 22 FCC Rcd 5662, 5807, Appendix F (Special Access) (2007); </w:t>
      </w:r>
      <w:r>
        <w:rPr>
          <w:i/>
        </w:rPr>
        <w:t>SBC Communications Inc. and AT&amp;T Corp. Applications for Approval of Transfer of Control</w:t>
      </w:r>
      <w:r>
        <w:t xml:space="preserve">, WC Docket No. 05-65, Memorandum Opinion and Order, 20 FCC Rcd 18290, </w:t>
      </w:r>
      <w:r w:rsidRPr="00490694">
        <w:t>18317-18,</w:t>
      </w:r>
      <w:r>
        <w:t xml:space="preserve"> para. 51 (2005); </w:t>
      </w:r>
      <w:r>
        <w:rPr>
          <w:i/>
        </w:rPr>
        <w:t>Verizon Communications Inc. and MCI, Inc. Application for Approval of Transfer of Control</w:t>
      </w:r>
      <w:r>
        <w:t>, WC Docket No. 05-75, Memorandum Opinion and Order, 20 FCC Rcd 18433, 18459-60, para. 51 (2005).</w:t>
      </w:r>
      <w:r w:rsidDel="00841171">
        <w:t xml:space="preserve"> </w:t>
      </w:r>
      <w:r>
        <w:t>(</w:t>
      </w:r>
      <w:r w:rsidRPr="00DF1475">
        <w:rPr>
          <w:i/>
        </w:rPr>
        <w:t>Merger Orders</w:t>
      </w:r>
      <w:r>
        <w:rPr>
          <w:i/>
        </w:rPr>
        <w:t>).</w:t>
      </w:r>
    </w:p>
  </w:footnote>
  <w:footnote w:id="3">
    <w:p w14:paraId="54F980E1" w14:textId="77777777" w:rsidR="00037987" w:rsidRDefault="00037987" w:rsidP="00EA007E">
      <w:pPr>
        <w:pStyle w:val="FootnoteText"/>
      </w:pPr>
      <w:r>
        <w:rPr>
          <w:rStyle w:val="FootnoteReference"/>
        </w:rPr>
        <w:footnoteRef/>
      </w:r>
      <w:r>
        <w:t xml:space="preserve"> </w:t>
      </w:r>
      <w:r>
        <w:rPr>
          <w:i/>
        </w:rPr>
        <w:t>Petition of Qwest Communications International Inc. for Forbearance from Enforcement of the Commission’s Dominant Carrier Rules As They Apply After Section 272 Sunsets</w:t>
      </w:r>
      <w:r>
        <w:t>, WC Docket No. 05-333, Memorandum Opinion and Order, 22 FCC Rcd 5207 (2007</w:t>
      </w:r>
      <w:r w:rsidRPr="00AB3EFD">
        <w:t>)</w:t>
      </w:r>
      <w:r>
        <w:t xml:space="preserve"> (</w:t>
      </w:r>
      <w:r w:rsidRPr="00A03D8D">
        <w:rPr>
          <w:i/>
          <w:szCs w:val="24"/>
        </w:rPr>
        <w:t xml:space="preserve">Qwest Section 272 </w:t>
      </w:r>
      <w:r w:rsidRPr="00004266">
        <w:rPr>
          <w:i/>
          <w:szCs w:val="24"/>
        </w:rPr>
        <w:t>Sunset</w:t>
      </w:r>
      <w:r w:rsidRPr="00A03D8D">
        <w:rPr>
          <w:i/>
          <w:szCs w:val="24"/>
        </w:rPr>
        <w:t xml:space="preserve"> Forbearance Order</w:t>
      </w:r>
      <w:r>
        <w:t>).</w:t>
      </w:r>
    </w:p>
    <w:p w14:paraId="02D207FE" w14:textId="77777777" w:rsidR="00037987" w:rsidRDefault="00037987">
      <w:pPr>
        <w:pStyle w:val="FootnoteText"/>
      </w:pPr>
    </w:p>
  </w:footnote>
  <w:footnote w:id="4">
    <w:p w14:paraId="7FD9F48F" w14:textId="77777777" w:rsidR="00F04FAC" w:rsidRDefault="00F04FAC" w:rsidP="00F04FAC">
      <w:pPr>
        <w:pStyle w:val="FootnoteText"/>
      </w:pPr>
      <w:r>
        <w:rPr>
          <w:rStyle w:val="FootnoteReference"/>
        </w:rPr>
        <w:footnoteRef/>
      </w:r>
      <w:r>
        <w:t xml:space="preserve"> AT&amp;T Comments at 5.</w:t>
      </w:r>
    </w:p>
  </w:footnote>
  <w:footnote w:id="5">
    <w:p w14:paraId="678810E0" w14:textId="77777777" w:rsidR="00F04FAC" w:rsidRDefault="00F04FAC" w:rsidP="00F04FAC">
      <w:pPr>
        <w:pStyle w:val="FootnoteText"/>
      </w:pPr>
      <w:r>
        <w:rPr>
          <w:rStyle w:val="FootnoteReference"/>
        </w:rPr>
        <w:footnoteRef/>
      </w:r>
      <w:r>
        <w:t xml:space="preserve"> AT&amp;T Comments at 6-7.</w:t>
      </w:r>
    </w:p>
  </w:footnote>
  <w:footnote w:id="6">
    <w:p w14:paraId="69FC5630" w14:textId="77777777" w:rsidR="00F04FAC" w:rsidRDefault="00F04FAC" w:rsidP="00F04FAC">
      <w:pPr>
        <w:pStyle w:val="FootnoteText"/>
      </w:pPr>
      <w:r>
        <w:rPr>
          <w:rStyle w:val="FootnoteReference"/>
        </w:rPr>
        <w:footnoteRef/>
      </w:r>
      <w:r>
        <w:t xml:space="preserve"> </w:t>
      </w:r>
      <w:r w:rsidRPr="007109DF">
        <w:rPr>
          <w:i/>
        </w:rPr>
        <w:t>See</w:t>
      </w:r>
      <w:r>
        <w:t xml:space="preserve"> CenturyLink Comments, WC Docket No. 16-132 at 9; </w:t>
      </w:r>
      <w:r w:rsidRPr="00235B18">
        <w:rPr>
          <w:i/>
        </w:rPr>
        <w:t>see also</w:t>
      </w:r>
      <w:r>
        <w:t xml:space="preserve"> USTelecom Comments, WC Docket No.16-132 at Appx.</w:t>
      </w:r>
    </w:p>
  </w:footnote>
  <w:footnote w:id="7">
    <w:p w14:paraId="10835019" w14:textId="77777777" w:rsidR="00F04FAC" w:rsidRDefault="00F04FAC" w:rsidP="00F04FAC">
      <w:pPr>
        <w:pStyle w:val="FootnoteText"/>
      </w:pPr>
      <w:r>
        <w:rPr>
          <w:rStyle w:val="FootnoteReference"/>
        </w:rPr>
        <w:footnoteRef/>
      </w:r>
      <w:r>
        <w:t xml:space="preserve"> </w:t>
      </w:r>
      <w:r w:rsidRPr="00FB5DCE">
        <w:rPr>
          <w:i/>
        </w:rPr>
        <w:t>272 Sunset Order</w:t>
      </w:r>
      <w:r>
        <w:t>, FCC 07-159, para. 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D3CD3" w14:textId="77777777" w:rsidR="00663792" w:rsidRDefault="00663792" w:rsidP="00663792">
    <w:pPr>
      <w:pStyle w:val="Header"/>
      <w:tabs>
        <w:tab w:val="left" w:pos="0"/>
        <w:tab w:val="left" w:pos="4500"/>
      </w:tabs>
      <w:rPr>
        <w:b/>
      </w:rPr>
    </w:pPr>
    <w:r>
      <w:rPr>
        <w:b/>
      </w:rPr>
      <w:t xml:space="preserve">Service Quality Measurement Plan for </w:t>
    </w:r>
    <w:r>
      <w:rPr>
        <w:b/>
      </w:rPr>
      <w:tab/>
    </w:r>
    <w:r>
      <w:rPr>
        <w:b/>
      </w:rPr>
      <w:tab/>
    </w:r>
    <w:r>
      <w:rPr>
        <w:b/>
      </w:rPr>
      <w:tab/>
      <w:t>3060-1120</w:t>
    </w:r>
  </w:p>
  <w:p w14:paraId="73FB0E6D" w14:textId="7FE521AD" w:rsidR="00037987" w:rsidRPr="00F94B9B" w:rsidRDefault="00663792" w:rsidP="00663792">
    <w:pPr>
      <w:pStyle w:val="Header"/>
      <w:rPr>
        <w:b/>
      </w:rPr>
    </w:pPr>
    <w:r>
      <w:rPr>
        <w:b/>
      </w:rPr>
      <w:t xml:space="preserve">Interstate Special Access </w:t>
    </w:r>
    <w:r w:rsidRPr="00B579E1">
      <w:rPr>
        <w:b/>
      </w:rPr>
      <w:t>(</w:t>
    </w:r>
    <w:r w:rsidRPr="00B579E1">
      <w:rPr>
        <w:b/>
        <w:i/>
      </w:rPr>
      <w:t>272 Sunset Rulemaking</w:t>
    </w:r>
    <w:r w:rsidRPr="00B579E1">
      <w:rPr>
        <w:b/>
      </w:rPr>
      <w:t>)</w:t>
    </w:r>
    <w:r w:rsidR="005E7DAF">
      <w:rPr>
        <w:b/>
      </w:rPr>
      <w:tab/>
    </w:r>
    <w:r w:rsidR="00D52EE6">
      <w:rPr>
        <w:b/>
      </w:rPr>
      <w:t xml:space="preserve">September </w:t>
    </w:r>
    <w:r>
      <w:rPr>
        <w:b/>
      </w:rPr>
      <w:t>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FF030" w14:textId="6C15529B" w:rsidR="0071732F" w:rsidRDefault="0071732F" w:rsidP="00EB717B">
    <w:pPr>
      <w:pStyle w:val="Header"/>
      <w:tabs>
        <w:tab w:val="left" w:pos="0"/>
        <w:tab w:val="left" w:pos="4500"/>
      </w:tabs>
      <w:rPr>
        <w:b/>
      </w:rPr>
    </w:pPr>
    <w:r>
      <w:rPr>
        <w:b/>
      </w:rPr>
      <w:t xml:space="preserve">Service Quality Measurement Plan for </w:t>
    </w:r>
    <w:r>
      <w:rPr>
        <w:b/>
      </w:rPr>
      <w:tab/>
    </w:r>
    <w:r>
      <w:rPr>
        <w:b/>
      </w:rPr>
      <w:tab/>
    </w:r>
    <w:r>
      <w:rPr>
        <w:b/>
      </w:rPr>
      <w:tab/>
      <w:t>3060-1120</w:t>
    </w:r>
  </w:p>
  <w:p w14:paraId="43EF42C4" w14:textId="7F3B399D" w:rsidR="00037987" w:rsidRPr="00F94B9B" w:rsidRDefault="0071732F" w:rsidP="00E00D76">
    <w:pPr>
      <w:pStyle w:val="Header"/>
      <w:tabs>
        <w:tab w:val="left" w:pos="0"/>
        <w:tab w:val="left" w:pos="4500"/>
      </w:tabs>
      <w:rPr>
        <w:b/>
      </w:rPr>
    </w:pPr>
    <w:r>
      <w:rPr>
        <w:b/>
      </w:rPr>
      <w:t xml:space="preserve">Interstate Special Access </w:t>
    </w:r>
    <w:r w:rsidRPr="00B579E1">
      <w:rPr>
        <w:b/>
      </w:rPr>
      <w:t>(</w:t>
    </w:r>
    <w:r w:rsidRPr="00B579E1">
      <w:rPr>
        <w:b/>
        <w:i/>
      </w:rPr>
      <w:t>272 Sunset Rulemaking</w:t>
    </w:r>
    <w:r w:rsidRPr="00B579E1">
      <w:rPr>
        <w:b/>
      </w:rPr>
      <w:t>)</w:t>
    </w:r>
    <w:r w:rsidR="005E7DAF">
      <w:rPr>
        <w:b/>
      </w:rPr>
      <w:tab/>
    </w:r>
    <w:r w:rsidR="00D52EE6">
      <w:rPr>
        <w:b/>
      </w:rPr>
      <w:t>September</w:t>
    </w:r>
    <w:r>
      <w:rPr>
        <w:b/>
      </w:rPr>
      <w:t xml:space="preserve"> 2017</w:t>
    </w:r>
    <w:r>
      <w:rPr>
        <w:b/>
      </w:rPr>
      <w:tab/>
    </w:r>
    <w:r>
      <w:rPr>
        <w:b/>
      </w:rPr>
      <w:tab/>
    </w:r>
    <w:r w:rsidR="00037987">
      <w:rPr>
        <w:b/>
      </w:rPr>
      <w:tab/>
    </w:r>
    <w:r w:rsidR="00037987">
      <w:rPr>
        <w:b/>
      </w:rPr>
      <w:tab/>
    </w:r>
    <w:r w:rsidR="00EB717B">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1C94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6D83D08"/>
    <w:multiLevelType w:val="multilevel"/>
    <w:tmpl w:val="A0567AA2"/>
    <w:lvl w:ilvl="0">
      <w:start w:val="1"/>
      <w:numFmt w:val="upperRoman"/>
      <w:suff w:val="nothing"/>
      <w:lvlText w:val="%1.  "/>
      <w:lvlJc w:val="left"/>
      <w:pPr>
        <w:ind w:left="0" w:firstLine="0"/>
      </w:pPr>
      <w:rPr>
        <w:rFonts w:ascii="Times New Roman" w:hAnsi="Times New Roman" w:hint="default"/>
        <w:b/>
        <w:i w:val="0"/>
        <w:sz w:val="22"/>
      </w:rPr>
    </w:lvl>
    <w:lvl w:ilvl="1">
      <w:start w:val="1"/>
      <w:numFmt w:val="upperLetter"/>
      <w:pStyle w:val="Heading2"/>
      <w:lvlText w:val="%2."/>
      <w:lvlJc w:val="left"/>
      <w:pPr>
        <w:tabs>
          <w:tab w:val="num" w:pos="1080"/>
        </w:tabs>
        <w:ind w:left="720" w:firstLine="0"/>
      </w:pPr>
    </w:lvl>
    <w:lvl w:ilvl="2">
      <w:start w:val="2"/>
      <w:numFmt w:val="decimal"/>
      <w:lvlRestart w:val="0"/>
      <w:pStyle w:val="Numberedparagraphs"/>
      <w:lvlText w:val="%3."/>
      <w:lvlJc w:val="left"/>
      <w:pPr>
        <w:tabs>
          <w:tab w:val="num" w:pos="1350"/>
        </w:tabs>
        <w:ind w:left="270" w:firstLine="720"/>
      </w:pPr>
      <w:rPr>
        <w:rFonts w:ascii="Times New Roman" w:eastAsia="Times New Roman" w:hAnsi="Times New Roman" w:cs="Times New Roman"/>
        <w:b w:val="0"/>
        <w:i w:val="0"/>
        <w:sz w:val="22"/>
      </w:r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7D2"/>
    <w:rsid w:val="000367D2"/>
    <w:rsid w:val="00037987"/>
    <w:rsid w:val="00093B5B"/>
    <w:rsid w:val="00110900"/>
    <w:rsid w:val="00120F0E"/>
    <w:rsid w:val="0018718D"/>
    <w:rsid w:val="00191015"/>
    <w:rsid w:val="001B1A08"/>
    <w:rsid w:val="001D4024"/>
    <w:rsid w:val="001E0624"/>
    <w:rsid w:val="001E33AD"/>
    <w:rsid w:val="001F2B4A"/>
    <w:rsid w:val="00211890"/>
    <w:rsid w:val="00215150"/>
    <w:rsid w:val="002374AB"/>
    <w:rsid w:val="00246CF7"/>
    <w:rsid w:val="00286C20"/>
    <w:rsid w:val="003406CF"/>
    <w:rsid w:val="00372D87"/>
    <w:rsid w:val="003816B4"/>
    <w:rsid w:val="00422245"/>
    <w:rsid w:val="0045459D"/>
    <w:rsid w:val="0046401A"/>
    <w:rsid w:val="00483312"/>
    <w:rsid w:val="004A0273"/>
    <w:rsid w:val="004A0E4F"/>
    <w:rsid w:val="005017EE"/>
    <w:rsid w:val="00504950"/>
    <w:rsid w:val="00572151"/>
    <w:rsid w:val="005B006E"/>
    <w:rsid w:val="005D36BB"/>
    <w:rsid w:val="005E7DAF"/>
    <w:rsid w:val="005F1D02"/>
    <w:rsid w:val="0062125A"/>
    <w:rsid w:val="006345EB"/>
    <w:rsid w:val="00663792"/>
    <w:rsid w:val="00675FAF"/>
    <w:rsid w:val="006B7367"/>
    <w:rsid w:val="006C546D"/>
    <w:rsid w:val="006E5F52"/>
    <w:rsid w:val="006F5914"/>
    <w:rsid w:val="0070773B"/>
    <w:rsid w:val="00714639"/>
    <w:rsid w:val="0071732F"/>
    <w:rsid w:val="007259C1"/>
    <w:rsid w:val="00725CED"/>
    <w:rsid w:val="007715BA"/>
    <w:rsid w:val="007B3311"/>
    <w:rsid w:val="007E4666"/>
    <w:rsid w:val="00807041"/>
    <w:rsid w:val="00850F5B"/>
    <w:rsid w:val="0086478D"/>
    <w:rsid w:val="008E2884"/>
    <w:rsid w:val="008F668A"/>
    <w:rsid w:val="00903A3F"/>
    <w:rsid w:val="0091368D"/>
    <w:rsid w:val="00916F4F"/>
    <w:rsid w:val="009213B1"/>
    <w:rsid w:val="00933443"/>
    <w:rsid w:val="00A12C49"/>
    <w:rsid w:val="00A40299"/>
    <w:rsid w:val="00A44224"/>
    <w:rsid w:val="00A61057"/>
    <w:rsid w:val="00B049C7"/>
    <w:rsid w:val="00B4497F"/>
    <w:rsid w:val="00B579E1"/>
    <w:rsid w:val="00BF018D"/>
    <w:rsid w:val="00C167F8"/>
    <w:rsid w:val="00C264DA"/>
    <w:rsid w:val="00C33A0E"/>
    <w:rsid w:val="00C4770D"/>
    <w:rsid w:val="00C5302A"/>
    <w:rsid w:val="00C6468B"/>
    <w:rsid w:val="00CA12BB"/>
    <w:rsid w:val="00CA41F8"/>
    <w:rsid w:val="00CD661C"/>
    <w:rsid w:val="00CF6020"/>
    <w:rsid w:val="00D37EB7"/>
    <w:rsid w:val="00D50D21"/>
    <w:rsid w:val="00D52EE6"/>
    <w:rsid w:val="00D54605"/>
    <w:rsid w:val="00D7661E"/>
    <w:rsid w:val="00E00D76"/>
    <w:rsid w:val="00E01020"/>
    <w:rsid w:val="00E71104"/>
    <w:rsid w:val="00E84771"/>
    <w:rsid w:val="00E976F4"/>
    <w:rsid w:val="00EA007E"/>
    <w:rsid w:val="00EB717B"/>
    <w:rsid w:val="00EC29A4"/>
    <w:rsid w:val="00EC66D1"/>
    <w:rsid w:val="00F04FAC"/>
    <w:rsid w:val="00F17A3F"/>
    <w:rsid w:val="00F41C17"/>
    <w:rsid w:val="00F46CCA"/>
    <w:rsid w:val="00F71324"/>
    <w:rsid w:val="00F71436"/>
    <w:rsid w:val="00F727BD"/>
    <w:rsid w:val="00FA711A"/>
    <w:rsid w:val="00FE20EC"/>
    <w:rsid w:val="00FF47BD"/>
    <w:rsid w:val="00FF4FD5"/>
    <w:rsid w:val="00FF5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8D73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7D2"/>
    <w:rPr>
      <w:sz w:val="24"/>
    </w:rPr>
  </w:style>
  <w:style w:type="paragraph" w:styleId="Heading2">
    <w:name w:val="heading 2"/>
    <w:basedOn w:val="Normal"/>
    <w:next w:val="Normal"/>
    <w:qFormat/>
    <w:rsid w:val="000367D2"/>
    <w:pPr>
      <w:keepNext/>
      <w:numPr>
        <w:ilvl w:val="1"/>
        <w:numId w:val="1"/>
      </w:numPr>
      <w:spacing w:after="220"/>
      <w:outlineLvl w:val="1"/>
    </w:pPr>
    <w:rPr>
      <w:rFonts w:ascii="Times New Roman Bold" w:hAnsi="Times New Roman Bold"/>
      <w:b/>
    </w:rPr>
  </w:style>
  <w:style w:type="paragraph" w:styleId="Heading3">
    <w:name w:val="heading 3"/>
    <w:basedOn w:val="Normal"/>
    <w:next w:val="Normal"/>
    <w:qFormat/>
    <w:rsid w:val="000367D2"/>
    <w:pPr>
      <w:keepNext/>
      <w:outlineLvl w:val="2"/>
    </w:pPr>
    <w:rPr>
      <w:u w:val="single"/>
    </w:rPr>
  </w:style>
  <w:style w:type="paragraph" w:styleId="Heading4">
    <w:name w:val="heading 4"/>
    <w:basedOn w:val="Normal"/>
    <w:next w:val="Normal"/>
    <w:qFormat/>
    <w:rsid w:val="000367D2"/>
    <w:pPr>
      <w:keepNext/>
      <w:numPr>
        <w:ilvl w:val="3"/>
        <w:numId w:val="1"/>
      </w:numPr>
      <w:spacing w:before="240" w:after="60"/>
      <w:outlineLvl w:val="3"/>
    </w:pPr>
    <w:rPr>
      <w:rFonts w:ascii="Arial" w:hAnsi="Arial"/>
      <w:b/>
    </w:rPr>
  </w:style>
  <w:style w:type="paragraph" w:styleId="Heading5">
    <w:name w:val="heading 5"/>
    <w:basedOn w:val="Normal"/>
    <w:next w:val="Normal"/>
    <w:qFormat/>
    <w:rsid w:val="000367D2"/>
    <w:pPr>
      <w:numPr>
        <w:ilvl w:val="4"/>
        <w:numId w:val="1"/>
      </w:numPr>
      <w:spacing w:before="240" w:after="60"/>
      <w:outlineLvl w:val="4"/>
    </w:pPr>
    <w:rPr>
      <w:sz w:val="22"/>
    </w:rPr>
  </w:style>
  <w:style w:type="paragraph" w:styleId="Heading6">
    <w:name w:val="heading 6"/>
    <w:basedOn w:val="Normal"/>
    <w:next w:val="Normal"/>
    <w:qFormat/>
    <w:rsid w:val="000367D2"/>
    <w:pPr>
      <w:numPr>
        <w:ilvl w:val="5"/>
        <w:numId w:val="1"/>
      </w:numPr>
      <w:spacing w:before="240" w:after="60"/>
      <w:outlineLvl w:val="5"/>
    </w:pPr>
    <w:rPr>
      <w:i/>
      <w:sz w:val="22"/>
    </w:rPr>
  </w:style>
  <w:style w:type="paragraph" w:styleId="Heading7">
    <w:name w:val="heading 7"/>
    <w:basedOn w:val="Normal"/>
    <w:next w:val="Normal"/>
    <w:qFormat/>
    <w:rsid w:val="000367D2"/>
    <w:pPr>
      <w:numPr>
        <w:ilvl w:val="6"/>
        <w:numId w:val="1"/>
      </w:numPr>
      <w:spacing w:before="240" w:after="60"/>
      <w:outlineLvl w:val="6"/>
    </w:pPr>
    <w:rPr>
      <w:rFonts w:ascii="Arial" w:hAnsi="Arial"/>
    </w:rPr>
  </w:style>
  <w:style w:type="paragraph" w:styleId="Heading8">
    <w:name w:val="heading 8"/>
    <w:basedOn w:val="Normal"/>
    <w:next w:val="Normal"/>
    <w:qFormat/>
    <w:rsid w:val="000367D2"/>
    <w:pPr>
      <w:numPr>
        <w:ilvl w:val="7"/>
        <w:numId w:val="1"/>
      </w:numPr>
      <w:spacing w:before="240" w:after="60"/>
      <w:outlineLvl w:val="7"/>
    </w:pPr>
    <w:rPr>
      <w:rFonts w:ascii="Arial" w:hAnsi="Arial"/>
      <w:i/>
    </w:rPr>
  </w:style>
  <w:style w:type="paragraph" w:styleId="Heading9">
    <w:name w:val="heading 9"/>
    <w:basedOn w:val="Normal"/>
    <w:next w:val="Normal"/>
    <w:qFormat/>
    <w:rsid w:val="000367D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graphs">
    <w:name w:val="Numbered paragraphs"/>
    <w:basedOn w:val="Normal"/>
    <w:rsid w:val="000367D2"/>
    <w:pPr>
      <w:numPr>
        <w:ilvl w:val="2"/>
        <w:numId w:val="1"/>
      </w:numPr>
      <w:tabs>
        <w:tab w:val="left" w:pos="1440"/>
      </w:tabs>
      <w:spacing w:after="220"/>
    </w:pPr>
  </w:style>
  <w:style w:type="paragraph" w:customStyle="1" w:styleId="ParaNum">
    <w:name w:val="ParaNum"/>
    <w:basedOn w:val="Normal"/>
    <w:rsid w:val="000367D2"/>
    <w:pPr>
      <w:widowControl w:val="0"/>
      <w:spacing w:after="220"/>
      <w:ind w:firstLine="720"/>
      <w:jc w:val="both"/>
    </w:pPr>
    <w:rPr>
      <w:snapToGrid w:val="0"/>
      <w:kern w:val="28"/>
      <w:sz w:val="22"/>
    </w:rPr>
  </w:style>
  <w:style w:type="paragraph" w:styleId="Footer">
    <w:name w:val="footer"/>
    <w:basedOn w:val="Normal"/>
    <w:rsid w:val="000367D2"/>
    <w:pPr>
      <w:tabs>
        <w:tab w:val="center" w:pos="4320"/>
        <w:tab w:val="right" w:pos="8640"/>
      </w:tabs>
    </w:pPr>
  </w:style>
  <w:style w:type="character" w:styleId="PageNumber">
    <w:name w:val="page number"/>
    <w:basedOn w:val="DefaultParagraphFont"/>
    <w:rsid w:val="000367D2"/>
  </w:style>
  <w:style w:type="paragraph" w:styleId="Header">
    <w:name w:val="header"/>
    <w:basedOn w:val="Normal"/>
    <w:rsid w:val="000367D2"/>
    <w:pPr>
      <w:tabs>
        <w:tab w:val="center" w:pos="4320"/>
        <w:tab w:val="right" w:pos="8640"/>
      </w:tabs>
    </w:pPr>
  </w:style>
  <w:style w:type="paragraph" w:styleId="BalloonText">
    <w:name w:val="Balloon Text"/>
    <w:basedOn w:val="Normal"/>
    <w:semiHidden/>
    <w:rsid w:val="00747024"/>
    <w:rPr>
      <w:rFonts w:ascii="Tahoma" w:hAnsi="Tahoma" w:cs="Tahoma"/>
      <w:sz w:val="16"/>
      <w:szCs w:val="16"/>
    </w:rPr>
  </w:style>
  <w:style w:type="paragraph" w:styleId="FootnoteText">
    <w:name w:val="footnote text"/>
    <w:basedOn w:val="Normal"/>
    <w:link w:val="FootnoteTextChar"/>
    <w:rsid w:val="00774DD6"/>
    <w:rPr>
      <w:sz w:val="20"/>
    </w:rPr>
  </w:style>
  <w:style w:type="character" w:customStyle="1" w:styleId="FootnoteTextChar">
    <w:name w:val="Footnote Text Char"/>
    <w:basedOn w:val="DefaultParagraphFont"/>
    <w:link w:val="FootnoteText"/>
    <w:rsid w:val="00774DD6"/>
  </w:style>
  <w:style w:type="character" w:styleId="FootnoteReference">
    <w:name w:val="footnote reference"/>
    <w:rsid w:val="00774DD6"/>
    <w:rPr>
      <w:vertAlign w:val="superscript"/>
    </w:rPr>
  </w:style>
  <w:style w:type="character" w:styleId="Hyperlink">
    <w:name w:val="Hyperlink"/>
    <w:rsid w:val="006B7ADB"/>
    <w:rPr>
      <w:color w:val="0000FF"/>
      <w:u w:val="single"/>
    </w:rPr>
  </w:style>
  <w:style w:type="character" w:customStyle="1" w:styleId="documentbody1">
    <w:name w:val="documentbody1"/>
    <w:rsid w:val="006B7ADB"/>
    <w:rPr>
      <w:rFonts w:ascii="Verdana" w:hAnsi="Verdana" w:hint="default"/>
      <w:sz w:val="19"/>
      <w:szCs w:val="19"/>
    </w:rPr>
  </w:style>
  <w:style w:type="character" w:styleId="CommentReference">
    <w:name w:val="annotation reference"/>
    <w:semiHidden/>
    <w:rsid w:val="00870FFE"/>
    <w:rPr>
      <w:sz w:val="16"/>
      <w:szCs w:val="16"/>
    </w:rPr>
  </w:style>
  <w:style w:type="paragraph" w:styleId="CommentText">
    <w:name w:val="annotation text"/>
    <w:basedOn w:val="Normal"/>
    <w:semiHidden/>
    <w:rsid w:val="00870FFE"/>
    <w:rPr>
      <w:sz w:val="20"/>
    </w:rPr>
  </w:style>
  <w:style w:type="paragraph" w:styleId="CommentSubject">
    <w:name w:val="annotation subject"/>
    <w:basedOn w:val="CommentText"/>
    <w:next w:val="CommentText"/>
    <w:semiHidden/>
    <w:rsid w:val="00870F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7D2"/>
    <w:rPr>
      <w:sz w:val="24"/>
    </w:rPr>
  </w:style>
  <w:style w:type="paragraph" w:styleId="Heading2">
    <w:name w:val="heading 2"/>
    <w:basedOn w:val="Normal"/>
    <w:next w:val="Normal"/>
    <w:qFormat/>
    <w:rsid w:val="000367D2"/>
    <w:pPr>
      <w:keepNext/>
      <w:numPr>
        <w:ilvl w:val="1"/>
        <w:numId w:val="1"/>
      </w:numPr>
      <w:spacing w:after="220"/>
      <w:outlineLvl w:val="1"/>
    </w:pPr>
    <w:rPr>
      <w:rFonts w:ascii="Times New Roman Bold" w:hAnsi="Times New Roman Bold"/>
      <w:b/>
    </w:rPr>
  </w:style>
  <w:style w:type="paragraph" w:styleId="Heading3">
    <w:name w:val="heading 3"/>
    <w:basedOn w:val="Normal"/>
    <w:next w:val="Normal"/>
    <w:qFormat/>
    <w:rsid w:val="000367D2"/>
    <w:pPr>
      <w:keepNext/>
      <w:outlineLvl w:val="2"/>
    </w:pPr>
    <w:rPr>
      <w:u w:val="single"/>
    </w:rPr>
  </w:style>
  <w:style w:type="paragraph" w:styleId="Heading4">
    <w:name w:val="heading 4"/>
    <w:basedOn w:val="Normal"/>
    <w:next w:val="Normal"/>
    <w:qFormat/>
    <w:rsid w:val="000367D2"/>
    <w:pPr>
      <w:keepNext/>
      <w:numPr>
        <w:ilvl w:val="3"/>
        <w:numId w:val="1"/>
      </w:numPr>
      <w:spacing w:before="240" w:after="60"/>
      <w:outlineLvl w:val="3"/>
    </w:pPr>
    <w:rPr>
      <w:rFonts w:ascii="Arial" w:hAnsi="Arial"/>
      <w:b/>
    </w:rPr>
  </w:style>
  <w:style w:type="paragraph" w:styleId="Heading5">
    <w:name w:val="heading 5"/>
    <w:basedOn w:val="Normal"/>
    <w:next w:val="Normal"/>
    <w:qFormat/>
    <w:rsid w:val="000367D2"/>
    <w:pPr>
      <w:numPr>
        <w:ilvl w:val="4"/>
        <w:numId w:val="1"/>
      </w:numPr>
      <w:spacing w:before="240" w:after="60"/>
      <w:outlineLvl w:val="4"/>
    </w:pPr>
    <w:rPr>
      <w:sz w:val="22"/>
    </w:rPr>
  </w:style>
  <w:style w:type="paragraph" w:styleId="Heading6">
    <w:name w:val="heading 6"/>
    <w:basedOn w:val="Normal"/>
    <w:next w:val="Normal"/>
    <w:qFormat/>
    <w:rsid w:val="000367D2"/>
    <w:pPr>
      <w:numPr>
        <w:ilvl w:val="5"/>
        <w:numId w:val="1"/>
      </w:numPr>
      <w:spacing w:before="240" w:after="60"/>
      <w:outlineLvl w:val="5"/>
    </w:pPr>
    <w:rPr>
      <w:i/>
      <w:sz w:val="22"/>
    </w:rPr>
  </w:style>
  <w:style w:type="paragraph" w:styleId="Heading7">
    <w:name w:val="heading 7"/>
    <w:basedOn w:val="Normal"/>
    <w:next w:val="Normal"/>
    <w:qFormat/>
    <w:rsid w:val="000367D2"/>
    <w:pPr>
      <w:numPr>
        <w:ilvl w:val="6"/>
        <w:numId w:val="1"/>
      </w:numPr>
      <w:spacing w:before="240" w:after="60"/>
      <w:outlineLvl w:val="6"/>
    </w:pPr>
    <w:rPr>
      <w:rFonts w:ascii="Arial" w:hAnsi="Arial"/>
    </w:rPr>
  </w:style>
  <w:style w:type="paragraph" w:styleId="Heading8">
    <w:name w:val="heading 8"/>
    <w:basedOn w:val="Normal"/>
    <w:next w:val="Normal"/>
    <w:qFormat/>
    <w:rsid w:val="000367D2"/>
    <w:pPr>
      <w:numPr>
        <w:ilvl w:val="7"/>
        <w:numId w:val="1"/>
      </w:numPr>
      <w:spacing w:before="240" w:after="60"/>
      <w:outlineLvl w:val="7"/>
    </w:pPr>
    <w:rPr>
      <w:rFonts w:ascii="Arial" w:hAnsi="Arial"/>
      <w:i/>
    </w:rPr>
  </w:style>
  <w:style w:type="paragraph" w:styleId="Heading9">
    <w:name w:val="heading 9"/>
    <w:basedOn w:val="Normal"/>
    <w:next w:val="Normal"/>
    <w:qFormat/>
    <w:rsid w:val="000367D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graphs">
    <w:name w:val="Numbered paragraphs"/>
    <w:basedOn w:val="Normal"/>
    <w:rsid w:val="000367D2"/>
    <w:pPr>
      <w:numPr>
        <w:ilvl w:val="2"/>
        <w:numId w:val="1"/>
      </w:numPr>
      <w:tabs>
        <w:tab w:val="left" w:pos="1440"/>
      </w:tabs>
      <w:spacing w:after="220"/>
    </w:pPr>
  </w:style>
  <w:style w:type="paragraph" w:customStyle="1" w:styleId="ParaNum">
    <w:name w:val="ParaNum"/>
    <w:basedOn w:val="Normal"/>
    <w:rsid w:val="000367D2"/>
    <w:pPr>
      <w:widowControl w:val="0"/>
      <w:spacing w:after="220"/>
      <w:ind w:firstLine="720"/>
      <w:jc w:val="both"/>
    </w:pPr>
    <w:rPr>
      <w:snapToGrid w:val="0"/>
      <w:kern w:val="28"/>
      <w:sz w:val="22"/>
    </w:rPr>
  </w:style>
  <w:style w:type="paragraph" w:styleId="Footer">
    <w:name w:val="footer"/>
    <w:basedOn w:val="Normal"/>
    <w:rsid w:val="000367D2"/>
    <w:pPr>
      <w:tabs>
        <w:tab w:val="center" w:pos="4320"/>
        <w:tab w:val="right" w:pos="8640"/>
      </w:tabs>
    </w:pPr>
  </w:style>
  <w:style w:type="character" w:styleId="PageNumber">
    <w:name w:val="page number"/>
    <w:basedOn w:val="DefaultParagraphFont"/>
    <w:rsid w:val="000367D2"/>
  </w:style>
  <w:style w:type="paragraph" w:styleId="Header">
    <w:name w:val="header"/>
    <w:basedOn w:val="Normal"/>
    <w:rsid w:val="000367D2"/>
    <w:pPr>
      <w:tabs>
        <w:tab w:val="center" w:pos="4320"/>
        <w:tab w:val="right" w:pos="8640"/>
      </w:tabs>
    </w:pPr>
  </w:style>
  <w:style w:type="paragraph" w:styleId="BalloonText">
    <w:name w:val="Balloon Text"/>
    <w:basedOn w:val="Normal"/>
    <w:semiHidden/>
    <w:rsid w:val="00747024"/>
    <w:rPr>
      <w:rFonts w:ascii="Tahoma" w:hAnsi="Tahoma" w:cs="Tahoma"/>
      <w:sz w:val="16"/>
      <w:szCs w:val="16"/>
    </w:rPr>
  </w:style>
  <w:style w:type="paragraph" w:styleId="FootnoteText">
    <w:name w:val="footnote text"/>
    <w:basedOn w:val="Normal"/>
    <w:link w:val="FootnoteTextChar"/>
    <w:rsid w:val="00774DD6"/>
    <w:rPr>
      <w:sz w:val="20"/>
    </w:rPr>
  </w:style>
  <w:style w:type="character" w:customStyle="1" w:styleId="FootnoteTextChar">
    <w:name w:val="Footnote Text Char"/>
    <w:basedOn w:val="DefaultParagraphFont"/>
    <w:link w:val="FootnoteText"/>
    <w:rsid w:val="00774DD6"/>
  </w:style>
  <w:style w:type="character" w:styleId="FootnoteReference">
    <w:name w:val="footnote reference"/>
    <w:rsid w:val="00774DD6"/>
    <w:rPr>
      <w:vertAlign w:val="superscript"/>
    </w:rPr>
  </w:style>
  <w:style w:type="character" w:styleId="Hyperlink">
    <w:name w:val="Hyperlink"/>
    <w:rsid w:val="006B7ADB"/>
    <w:rPr>
      <w:color w:val="0000FF"/>
      <w:u w:val="single"/>
    </w:rPr>
  </w:style>
  <w:style w:type="character" w:customStyle="1" w:styleId="documentbody1">
    <w:name w:val="documentbody1"/>
    <w:rsid w:val="006B7ADB"/>
    <w:rPr>
      <w:rFonts w:ascii="Verdana" w:hAnsi="Verdana" w:hint="default"/>
      <w:sz w:val="19"/>
      <w:szCs w:val="19"/>
    </w:rPr>
  </w:style>
  <w:style w:type="character" w:styleId="CommentReference">
    <w:name w:val="annotation reference"/>
    <w:semiHidden/>
    <w:rsid w:val="00870FFE"/>
    <w:rPr>
      <w:sz w:val="16"/>
      <w:szCs w:val="16"/>
    </w:rPr>
  </w:style>
  <w:style w:type="paragraph" w:styleId="CommentText">
    <w:name w:val="annotation text"/>
    <w:basedOn w:val="Normal"/>
    <w:semiHidden/>
    <w:rsid w:val="00870FFE"/>
    <w:rPr>
      <w:sz w:val="20"/>
    </w:rPr>
  </w:style>
  <w:style w:type="paragraph" w:styleId="CommentSubject">
    <w:name w:val="annotation subject"/>
    <w:basedOn w:val="CommentText"/>
    <w:next w:val="CommentText"/>
    <w:semiHidden/>
    <w:rsid w:val="00870F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eb2.westlaw.com/find/default.wl?vc=0&amp;ordoc=0335751392&amp;rp=%2ffind%2fdefault.wl&amp;DB=4493&amp;SerialNum=2013114941&amp;FindType=Y&amp;AP=&amp;fn=_top&amp;rs=WLW8.06&amp;mt=FederalGovernment&amp;vr=2.0&amp;sv=Spl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150D3-50D3-442B-B0A4-A399E972C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1917</Words>
  <Characters>10929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3060-XXXX</vt:lpstr>
    </vt:vector>
  </TitlesOfParts>
  <Company>Federal Communications Commission</Company>
  <LinksUpToDate>false</LinksUpToDate>
  <CharactersWithSpaces>12821</CharactersWithSpaces>
  <SharedDoc>false</SharedDoc>
  <HLinks>
    <vt:vector size="6" baseType="variant">
      <vt:variant>
        <vt:i4>7209049</vt:i4>
      </vt:variant>
      <vt:variant>
        <vt:i4>0</vt:i4>
      </vt:variant>
      <vt:variant>
        <vt:i4>0</vt:i4>
      </vt:variant>
      <vt:variant>
        <vt:i4>5</vt:i4>
      </vt:variant>
      <vt:variant>
        <vt:lpwstr>http://web2.westlaw.com/find/default.wl?vc=0&amp;ordoc=0335751392&amp;rp=%2ffind%2fdefault.wl&amp;DB=4493&amp;SerialNum=2013114941&amp;FindType=Y&amp;AP=&amp;fn=_top&amp;rs=WLW8.06&amp;mt=FederalGovernment&amp;vr=2.0&amp;sv=Split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3060-XXXX</dc:title>
  <dc:creator>Heather.Hendrickson</dc:creator>
  <cp:lastModifiedBy>SYSTEM</cp:lastModifiedBy>
  <cp:revision>2</cp:revision>
  <cp:lastPrinted>2014-09-22T22:15:00Z</cp:lastPrinted>
  <dcterms:created xsi:type="dcterms:W3CDTF">2017-09-06T18:48:00Z</dcterms:created>
  <dcterms:modified xsi:type="dcterms:W3CDTF">2017-09-06T18:48:00Z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ABAAVOAfoSrQoywekLKAV1MEI9B357crw0Z3uqgjpeNhDGycvmmGSutnqKGl3Jx9orIY</vt:lpwstr>
  </property>
  <property fmtid="{D5CDD505-2E9C-101B-9397-08002B2CF9AE}" pid="3" name="RESPONSE_SENDER_NAME">
    <vt:lpwstr>gAAAdya76B99d4hLGUR1rQ+8TxTv0GGEPdix</vt:lpwstr>
  </property>
  <property fmtid="{D5CDD505-2E9C-101B-9397-08002B2CF9AE}" pid="4" name="EMAIL_OWNER_ADDRESS">
    <vt:lpwstr>ABAAMV6B7YzPbaKT+dhz0SpGA+bGDCi9EjCvGnAz5Rn8YWILiwl0Kk+MNqhF9EtlutfF</vt:lpwstr>
  </property>
</Properties>
</file>