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8010C" w14:textId="77777777" w:rsidR="00B051C9" w:rsidRDefault="00B16A00" w:rsidP="00B051C9">
      <w:pPr>
        <w:widowControl w:val="0"/>
        <w:autoSpaceDE w:val="0"/>
        <w:autoSpaceDN w:val="0"/>
        <w:adjustRightInd w:val="0"/>
        <w:jc w:val="center"/>
        <w:rPr>
          <w:b/>
          <w:bCs/>
        </w:rPr>
      </w:pPr>
      <w:bookmarkStart w:id="0" w:name="_GoBack"/>
      <w:bookmarkEnd w:id="0"/>
      <w:r>
        <w:rPr>
          <w:b/>
          <w:bCs/>
        </w:rPr>
        <w:t>S</w:t>
      </w:r>
      <w:r w:rsidR="001D1631" w:rsidRPr="00A41651">
        <w:rPr>
          <w:b/>
          <w:bCs/>
        </w:rPr>
        <w:t>upporting Statement for Information Collection Request</w:t>
      </w:r>
    </w:p>
    <w:p w14:paraId="0A4CE7B4" w14:textId="77777777" w:rsidR="0024050E" w:rsidRDefault="0024050E" w:rsidP="00B051C9">
      <w:pPr>
        <w:widowControl w:val="0"/>
        <w:autoSpaceDE w:val="0"/>
        <w:autoSpaceDN w:val="0"/>
        <w:adjustRightInd w:val="0"/>
        <w:jc w:val="center"/>
        <w:rPr>
          <w:b/>
          <w:bCs/>
        </w:rPr>
      </w:pPr>
      <w:r>
        <w:rPr>
          <w:b/>
          <w:bCs/>
        </w:rPr>
        <w:t>Revision to OMB Control No. 2127-0626 (Current Expiration Date: 8/31/18)</w:t>
      </w:r>
    </w:p>
    <w:p w14:paraId="43619CA9" w14:textId="77777777" w:rsidR="001D1631" w:rsidRPr="00672AAE" w:rsidRDefault="001D1631" w:rsidP="00B051C9">
      <w:pPr>
        <w:widowControl w:val="0"/>
        <w:autoSpaceDE w:val="0"/>
        <w:autoSpaceDN w:val="0"/>
        <w:adjustRightInd w:val="0"/>
        <w:jc w:val="center"/>
        <w:rPr>
          <w:b/>
          <w:bCs/>
        </w:rPr>
      </w:pPr>
    </w:p>
    <w:p w14:paraId="12C3E90C" w14:textId="77777777" w:rsidR="00B051C9" w:rsidRDefault="00B051C9" w:rsidP="00B051C9">
      <w:pPr>
        <w:widowControl w:val="0"/>
        <w:autoSpaceDE w:val="0"/>
        <w:autoSpaceDN w:val="0"/>
        <w:adjustRightInd w:val="0"/>
        <w:jc w:val="center"/>
        <w:rPr>
          <w:b/>
          <w:bCs/>
        </w:rPr>
      </w:pPr>
      <w:r w:rsidRPr="00672AAE">
        <w:rPr>
          <w:b/>
          <w:bCs/>
        </w:rPr>
        <w:t>Tire Pressure Monitoring System – Outage Rates and Repair Costs (TPMS-ORRC)</w:t>
      </w:r>
    </w:p>
    <w:p w14:paraId="00D0292F" w14:textId="77777777" w:rsidR="00B051C9" w:rsidRDefault="00967FF4" w:rsidP="00B051C9">
      <w:pPr>
        <w:autoSpaceDE w:val="0"/>
        <w:autoSpaceDN w:val="0"/>
        <w:adjustRightInd w:val="0"/>
        <w:jc w:val="center"/>
        <w:rPr>
          <w:b/>
          <w:bCs/>
        </w:rPr>
      </w:pPr>
      <w:r>
        <w:rPr>
          <w:b/>
          <w:bCs/>
        </w:rPr>
        <w:t>Revised Field Survey</w:t>
      </w:r>
    </w:p>
    <w:p w14:paraId="4CC8AFEA" w14:textId="77777777" w:rsidR="00B051C9" w:rsidRPr="00672AAE" w:rsidRDefault="00B051C9" w:rsidP="00B051C9">
      <w:pPr>
        <w:widowControl w:val="0"/>
        <w:autoSpaceDE w:val="0"/>
        <w:autoSpaceDN w:val="0"/>
        <w:adjustRightInd w:val="0"/>
        <w:jc w:val="center"/>
        <w:rPr>
          <w:b/>
          <w:bCs/>
        </w:rPr>
      </w:pPr>
    </w:p>
    <w:p w14:paraId="4A11748E" w14:textId="77777777" w:rsidR="00B051C9" w:rsidRPr="00672AAE" w:rsidRDefault="00B051C9" w:rsidP="00B051C9">
      <w:pPr>
        <w:widowControl w:val="0"/>
        <w:autoSpaceDE w:val="0"/>
        <w:autoSpaceDN w:val="0"/>
        <w:adjustRightInd w:val="0"/>
        <w:jc w:val="center"/>
        <w:rPr>
          <w:b/>
          <w:bCs/>
        </w:rPr>
      </w:pPr>
      <w:r>
        <w:rPr>
          <w:b/>
          <w:bCs/>
        </w:rPr>
        <w:t>Part B</w:t>
      </w:r>
    </w:p>
    <w:p w14:paraId="1AB15B02" w14:textId="77777777" w:rsidR="00B051C9" w:rsidRPr="00AF59FD" w:rsidRDefault="00B051C9" w:rsidP="00B051C9">
      <w:pPr>
        <w:widowControl w:val="0"/>
        <w:autoSpaceDE w:val="0"/>
        <w:autoSpaceDN w:val="0"/>
        <w:adjustRightInd w:val="0"/>
        <w:jc w:val="center"/>
        <w:rPr>
          <w:b/>
          <w:bCs/>
        </w:rPr>
      </w:pPr>
    </w:p>
    <w:p w14:paraId="20FD1307" w14:textId="77777777" w:rsidR="00B051C9" w:rsidRPr="00AF59FD" w:rsidRDefault="00B051C9" w:rsidP="00B051C9">
      <w:pPr>
        <w:widowControl w:val="0"/>
        <w:autoSpaceDE w:val="0"/>
        <w:autoSpaceDN w:val="0"/>
        <w:adjustRightInd w:val="0"/>
        <w:jc w:val="center"/>
        <w:rPr>
          <w:b/>
          <w:bCs/>
        </w:rPr>
      </w:pPr>
    </w:p>
    <w:p w14:paraId="27CFA8F8" w14:textId="77777777" w:rsidR="00B051C9" w:rsidRPr="00AF59FD" w:rsidRDefault="00B051C9" w:rsidP="00B051C9">
      <w:pPr>
        <w:widowControl w:val="0"/>
        <w:autoSpaceDE w:val="0"/>
        <w:autoSpaceDN w:val="0"/>
        <w:adjustRightInd w:val="0"/>
        <w:jc w:val="center"/>
        <w:rPr>
          <w:b/>
          <w:bCs/>
        </w:rPr>
      </w:pPr>
    </w:p>
    <w:p w14:paraId="6491F920" w14:textId="77777777" w:rsidR="00B051C9" w:rsidRPr="00AF59FD" w:rsidRDefault="00B051C9" w:rsidP="00B051C9">
      <w:pPr>
        <w:widowControl w:val="0"/>
        <w:autoSpaceDE w:val="0"/>
        <w:autoSpaceDN w:val="0"/>
        <w:adjustRightInd w:val="0"/>
        <w:jc w:val="center"/>
        <w:rPr>
          <w:b/>
          <w:bCs/>
        </w:rPr>
      </w:pPr>
    </w:p>
    <w:p w14:paraId="4F0F21F5" w14:textId="77777777" w:rsidR="00B051C9" w:rsidRDefault="00B051C9" w:rsidP="00B051C9">
      <w:pPr>
        <w:widowControl w:val="0"/>
        <w:autoSpaceDE w:val="0"/>
        <w:autoSpaceDN w:val="0"/>
        <w:adjustRightInd w:val="0"/>
        <w:jc w:val="center"/>
        <w:rPr>
          <w:b/>
          <w:bCs/>
        </w:rPr>
      </w:pPr>
    </w:p>
    <w:p w14:paraId="12968BF9" w14:textId="77777777" w:rsidR="00B051C9" w:rsidRDefault="00B051C9" w:rsidP="00B051C9">
      <w:pPr>
        <w:widowControl w:val="0"/>
        <w:autoSpaceDE w:val="0"/>
        <w:autoSpaceDN w:val="0"/>
        <w:adjustRightInd w:val="0"/>
        <w:jc w:val="center"/>
        <w:rPr>
          <w:b/>
          <w:bCs/>
        </w:rPr>
      </w:pPr>
    </w:p>
    <w:p w14:paraId="34848C60" w14:textId="77777777" w:rsidR="00B051C9" w:rsidRPr="00AF59FD" w:rsidRDefault="00B051C9" w:rsidP="00B051C9">
      <w:pPr>
        <w:widowControl w:val="0"/>
        <w:autoSpaceDE w:val="0"/>
        <w:autoSpaceDN w:val="0"/>
        <w:adjustRightInd w:val="0"/>
        <w:jc w:val="center"/>
        <w:rPr>
          <w:b/>
          <w:bCs/>
        </w:rPr>
      </w:pPr>
    </w:p>
    <w:p w14:paraId="5C0A0C33" w14:textId="77777777" w:rsidR="00B051C9" w:rsidRPr="00AF59FD" w:rsidRDefault="00B051C9" w:rsidP="00B051C9">
      <w:pPr>
        <w:widowControl w:val="0"/>
        <w:autoSpaceDE w:val="0"/>
        <w:autoSpaceDN w:val="0"/>
        <w:adjustRightInd w:val="0"/>
        <w:jc w:val="center"/>
        <w:rPr>
          <w:b/>
          <w:bCs/>
        </w:rPr>
      </w:pPr>
    </w:p>
    <w:p w14:paraId="0882EBC1" w14:textId="77777777" w:rsidR="00A80367" w:rsidRDefault="00A80367" w:rsidP="00B051C9">
      <w:pPr>
        <w:widowControl w:val="0"/>
        <w:autoSpaceDE w:val="0"/>
        <w:autoSpaceDN w:val="0"/>
        <w:adjustRightInd w:val="0"/>
        <w:jc w:val="center"/>
        <w:rPr>
          <w:b/>
          <w:bCs/>
        </w:rPr>
      </w:pPr>
    </w:p>
    <w:p w14:paraId="219AFBD2" w14:textId="77777777" w:rsidR="00B051C9" w:rsidRDefault="00B051C9" w:rsidP="00B051C9">
      <w:pPr>
        <w:widowControl w:val="0"/>
        <w:autoSpaceDE w:val="0"/>
        <w:autoSpaceDN w:val="0"/>
        <w:adjustRightInd w:val="0"/>
        <w:jc w:val="center"/>
        <w:rPr>
          <w:b/>
          <w:bCs/>
        </w:rPr>
      </w:pPr>
    </w:p>
    <w:p w14:paraId="51BB5D50" w14:textId="77777777" w:rsidR="00B051C9" w:rsidRPr="00AF59FD" w:rsidRDefault="00B051C9" w:rsidP="00B051C9">
      <w:pPr>
        <w:widowControl w:val="0"/>
        <w:autoSpaceDE w:val="0"/>
        <w:autoSpaceDN w:val="0"/>
        <w:adjustRightInd w:val="0"/>
        <w:jc w:val="center"/>
        <w:rPr>
          <w:b/>
          <w:bCs/>
        </w:rPr>
      </w:pPr>
      <w:r w:rsidRPr="00AF59FD">
        <w:rPr>
          <w:b/>
          <w:bCs/>
        </w:rPr>
        <w:t>National Highway Traffic Safety Administration</w:t>
      </w:r>
      <w:r w:rsidRPr="00AF59FD">
        <w:rPr>
          <w:b/>
          <w:bCs/>
        </w:rPr>
        <w:br/>
      </w:r>
    </w:p>
    <w:p w14:paraId="1BF79E7B" w14:textId="77777777" w:rsidR="00B051C9" w:rsidRPr="00AF59FD" w:rsidRDefault="00B051C9" w:rsidP="00B051C9">
      <w:pPr>
        <w:widowControl w:val="0"/>
        <w:autoSpaceDE w:val="0"/>
        <w:autoSpaceDN w:val="0"/>
        <w:adjustRightInd w:val="0"/>
        <w:jc w:val="center"/>
        <w:rPr>
          <w:b/>
          <w:bCs/>
          <w:highlight w:val="yellow"/>
        </w:rPr>
      </w:pPr>
    </w:p>
    <w:p w14:paraId="0587950D" w14:textId="77777777" w:rsidR="00B051C9" w:rsidRDefault="00B051C9" w:rsidP="00B051C9">
      <w:pPr>
        <w:widowControl w:val="0"/>
        <w:autoSpaceDE w:val="0"/>
        <w:autoSpaceDN w:val="0"/>
        <w:adjustRightInd w:val="0"/>
        <w:jc w:val="center"/>
        <w:rPr>
          <w:b/>
          <w:bCs/>
          <w:highlight w:val="yellow"/>
        </w:rPr>
      </w:pPr>
    </w:p>
    <w:p w14:paraId="3D6DC853" w14:textId="77777777" w:rsidR="00B051C9" w:rsidRPr="00AF59FD" w:rsidRDefault="00B051C9" w:rsidP="00B051C9">
      <w:pPr>
        <w:widowControl w:val="0"/>
        <w:autoSpaceDE w:val="0"/>
        <w:autoSpaceDN w:val="0"/>
        <w:adjustRightInd w:val="0"/>
        <w:jc w:val="center"/>
        <w:rPr>
          <w:b/>
          <w:bCs/>
          <w:highlight w:val="yellow"/>
        </w:rPr>
      </w:pPr>
    </w:p>
    <w:p w14:paraId="37AADF43" w14:textId="77777777" w:rsidR="00B051C9" w:rsidRPr="00AF59FD" w:rsidRDefault="00B051C9" w:rsidP="00B051C9">
      <w:pPr>
        <w:widowControl w:val="0"/>
        <w:autoSpaceDE w:val="0"/>
        <w:autoSpaceDN w:val="0"/>
        <w:adjustRightInd w:val="0"/>
        <w:jc w:val="center"/>
        <w:rPr>
          <w:b/>
          <w:bCs/>
          <w:highlight w:val="yellow"/>
        </w:rPr>
      </w:pPr>
    </w:p>
    <w:p w14:paraId="3143CF47" w14:textId="77777777" w:rsidR="00B051C9" w:rsidRPr="00AF59FD" w:rsidRDefault="00B051C9" w:rsidP="00B051C9">
      <w:pPr>
        <w:widowControl w:val="0"/>
        <w:autoSpaceDE w:val="0"/>
        <w:autoSpaceDN w:val="0"/>
        <w:adjustRightInd w:val="0"/>
        <w:jc w:val="center"/>
        <w:rPr>
          <w:b/>
          <w:bCs/>
          <w:highlight w:val="yellow"/>
        </w:rPr>
      </w:pPr>
    </w:p>
    <w:p w14:paraId="1173AAA4" w14:textId="77777777" w:rsidR="00B051C9" w:rsidRPr="00AF59FD" w:rsidRDefault="00B051C9" w:rsidP="00B051C9">
      <w:pPr>
        <w:widowControl w:val="0"/>
        <w:autoSpaceDE w:val="0"/>
        <w:autoSpaceDN w:val="0"/>
        <w:adjustRightInd w:val="0"/>
        <w:jc w:val="center"/>
        <w:rPr>
          <w:b/>
          <w:bCs/>
          <w:highlight w:val="yellow"/>
        </w:rPr>
      </w:pPr>
    </w:p>
    <w:p w14:paraId="1D6612DF" w14:textId="77777777" w:rsidR="00B051C9" w:rsidRPr="00AF59FD" w:rsidRDefault="00B051C9" w:rsidP="00B051C9">
      <w:pPr>
        <w:widowControl w:val="0"/>
        <w:autoSpaceDE w:val="0"/>
        <w:autoSpaceDN w:val="0"/>
        <w:adjustRightInd w:val="0"/>
        <w:jc w:val="center"/>
        <w:rPr>
          <w:b/>
          <w:bCs/>
          <w:highlight w:val="yellow"/>
        </w:rPr>
      </w:pPr>
    </w:p>
    <w:p w14:paraId="6FEEBED0" w14:textId="77777777" w:rsidR="00B051C9" w:rsidRPr="00AF59FD" w:rsidRDefault="00B051C9" w:rsidP="00B051C9">
      <w:pPr>
        <w:widowControl w:val="0"/>
        <w:autoSpaceDE w:val="0"/>
        <w:autoSpaceDN w:val="0"/>
        <w:adjustRightInd w:val="0"/>
        <w:jc w:val="center"/>
        <w:rPr>
          <w:b/>
          <w:bCs/>
          <w:highlight w:val="yellow"/>
        </w:rPr>
      </w:pPr>
    </w:p>
    <w:p w14:paraId="351B2E8B" w14:textId="77777777" w:rsidR="00B051C9" w:rsidRPr="00AF59FD" w:rsidRDefault="00B051C9" w:rsidP="00B051C9">
      <w:pPr>
        <w:widowControl w:val="0"/>
        <w:autoSpaceDE w:val="0"/>
        <w:autoSpaceDN w:val="0"/>
        <w:adjustRightInd w:val="0"/>
        <w:jc w:val="center"/>
        <w:rPr>
          <w:b/>
          <w:bCs/>
          <w:highlight w:val="yellow"/>
        </w:rPr>
      </w:pPr>
    </w:p>
    <w:p w14:paraId="6ED5636F" w14:textId="77777777" w:rsidR="00B051C9" w:rsidRPr="00AF59FD" w:rsidRDefault="00B051C9" w:rsidP="00B051C9">
      <w:pPr>
        <w:widowControl w:val="0"/>
        <w:autoSpaceDE w:val="0"/>
        <w:autoSpaceDN w:val="0"/>
        <w:adjustRightInd w:val="0"/>
        <w:jc w:val="center"/>
        <w:rPr>
          <w:b/>
          <w:bCs/>
          <w:highlight w:val="yellow"/>
        </w:rPr>
      </w:pPr>
    </w:p>
    <w:p w14:paraId="0B548A78" w14:textId="77777777" w:rsidR="00B051C9" w:rsidRPr="00AF59FD" w:rsidRDefault="00B051C9" w:rsidP="00B051C9">
      <w:pPr>
        <w:widowControl w:val="0"/>
        <w:autoSpaceDE w:val="0"/>
        <w:autoSpaceDN w:val="0"/>
        <w:adjustRightInd w:val="0"/>
        <w:jc w:val="center"/>
        <w:rPr>
          <w:b/>
          <w:bCs/>
          <w:highlight w:val="yellow"/>
        </w:rPr>
      </w:pPr>
    </w:p>
    <w:p w14:paraId="4550DBDC" w14:textId="77777777" w:rsidR="00B051C9" w:rsidRDefault="00B051C9" w:rsidP="00B051C9">
      <w:pPr>
        <w:widowControl w:val="0"/>
        <w:autoSpaceDE w:val="0"/>
        <w:autoSpaceDN w:val="0"/>
        <w:adjustRightInd w:val="0"/>
        <w:jc w:val="center"/>
        <w:rPr>
          <w:b/>
          <w:bCs/>
          <w:highlight w:val="yellow"/>
        </w:rPr>
      </w:pPr>
    </w:p>
    <w:p w14:paraId="4A0F5E96" w14:textId="77777777" w:rsidR="00B051C9" w:rsidRPr="00AF59FD" w:rsidRDefault="00B051C9" w:rsidP="00B051C9">
      <w:pPr>
        <w:widowControl w:val="0"/>
        <w:autoSpaceDE w:val="0"/>
        <w:autoSpaceDN w:val="0"/>
        <w:adjustRightInd w:val="0"/>
        <w:jc w:val="center"/>
        <w:rPr>
          <w:b/>
          <w:bCs/>
          <w:highlight w:val="yellow"/>
        </w:rPr>
      </w:pPr>
    </w:p>
    <w:p w14:paraId="4AAC8E43" w14:textId="77777777" w:rsidR="00B051C9" w:rsidRPr="00AF59FD" w:rsidRDefault="00B051C9" w:rsidP="00B051C9">
      <w:pPr>
        <w:widowControl w:val="0"/>
        <w:autoSpaceDE w:val="0"/>
        <w:autoSpaceDN w:val="0"/>
        <w:adjustRightInd w:val="0"/>
        <w:jc w:val="center"/>
        <w:rPr>
          <w:b/>
          <w:bCs/>
          <w:highlight w:val="yellow"/>
        </w:rPr>
      </w:pPr>
    </w:p>
    <w:p w14:paraId="58DA7E26" w14:textId="77777777" w:rsidR="00B051C9" w:rsidRPr="00AF59FD" w:rsidRDefault="00B051C9" w:rsidP="00B051C9">
      <w:pPr>
        <w:widowControl w:val="0"/>
        <w:autoSpaceDE w:val="0"/>
        <w:autoSpaceDN w:val="0"/>
        <w:adjustRightInd w:val="0"/>
        <w:jc w:val="center"/>
        <w:rPr>
          <w:b/>
          <w:bCs/>
          <w:highlight w:val="yellow"/>
        </w:rPr>
      </w:pPr>
    </w:p>
    <w:p w14:paraId="51266187" w14:textId="77777777" w:rsidR="00B051C9" w:rsidRPr="00AF59FD" w:rsidRDefault="00B051C9" w:rsidP="00B051C9">
      <w:pPr>
        <w:widowControl w:val="0"/>
        <w:autoSpaceDE w:val="0"/>
        <w:autoSpaceDN w:val="0"/>
        <w:adjustRightInd w:val="0"/>
        <w:jc w:val="center"/>
        <w:rPr>
          <w:b/>
          <w:bCs/>
          <w:highlight w:val="yellow"/>
        </w:rPr>
      </w:pPr>
    </w:p>
    <w:p w14:paraId="48785D32" w14:textId="77777777" w:rsidR="00B051C9" w:rsidRPr="00AF59FD" w:rsidRDefault="00B051C9" w:rsidP="00B051C9">
      <w:pPr>
        <w:widowControl w:val="0"/>
        <w:autoSpaceDE w:val="0"/>
        <w:autoSpaceDN w:val="0"/>
        <w:adjustRightInd w:val="0"/>
        <w:jc w:val="center"/>
        <w:rPr>
          <w:b/>
          <w:bCs/>
        </w:rPr>
      </w:pPr>
    </w:p>
    <w:p w14:paraId="4C9C293F" w14:textId="77777777" w:rsidR="00B051C9" w:rsidRPr="00AF59FD" w:rsidRDefault="00B051C9" w:rsidP="00B051C9">
      <w:pPr>
        <w:widowControl w:val="0"/>
        <w:autoSpaceDE w:val="0"/>
        <w:autoSpaceDN w:val="0"/>
        <w:adjustRightInd w:val="0"/>
        <w:jc w:val="center"/>
        <w:rPr>
          <w:b/>
          <w:bCs/>
        </w:rPr>
      </w:pPr>
    </w:p>
    <w:p w14:paraId="1DE726D0" w14:textId="77777777" w:rsidR="00B051C9" w:rsidRDefault="00B051C9" w:rsidP="00B051C9">
      <w:pPr>
        <w:widowControl w:val="0"/>
        <w:autoSpaceDE w:val="0"/>
        <w:autoSpaceDN w:val="0"/>
        <w:adjustRightInd w:val="0"/>
        <w:jc w:val="center"/>
        <w:rPr>
          <w:b/>
          <w:bCs/>
        </w:rPr>
      </w:pPr>
    </w:p>
    <w:p w14:paraId="47C8B3A2" w14:textId="77777777" w:rsidR="00B051C9" w:rsidRPr="00AF59FD" w:rsidRDefault="00B051C9" w:rsidP="00B051C9">
      <w:pPr>
        <w:widowControl w:val="0"/>
        <w:autoSpaceDE w:val="0"/>
        <w:autoSpaceDN w:val="0"/>
        <w:adjustRightInd w:val="0"/>
        <w:jc w:val="center"/>
        <w:rPr>
          <w:b/>
          <w:bCs/>
        </w:rPr>
      </w:pPr>
    </w:p>
    <w:p w14:paraId="79A01EEC" w14:textId="77777777" w:rsidR="00B051C9" w:rsidRDefault="00B051C9" w:rsidP="00B051C9">
      <w:r w:rsidRPr="00AF59FD">
        <w:rPr>
          <w:b/>
          <w:bCs/>
          <w:highlight w:val="yellow"/>
        </w:rPr>
        <w:br w:type="page"/>
      </w:r>
    </w:p>
    <w:p w14:paraId="0ECF321B" w14:textId="77777777" w:rsidR="00B051C9" w:rsidRDefault="00B051C9" w:rsidP="00B051C9"/>
    <w:p w14:paraId="3DC1FEB7" w14:textId="77777777" w:rsidR="0032175C" w:rsidRPr="00AF59FD" w:rsidRDefault="0032175C" w:rsidP="0032175C">
      <w:pPr>
        <w:widowControl w:val="0"/>
        <w:autoSpaceDE w:val="0"/>
        <w:autoSpaceDN w:val="0"/>
        <w:adjustRightInd w:val="0"/>
        <w:jc w:val="center"/>
        <w:rPr>
          <w:b/>
          <w:bCs/>
        </w:rPr>
      </w:pPr>
      <w:r w:rsidRPr="00AF59FD">
        <w:rPr>
          <w:b/>
          <w:bCs/>
        </w:rPr>
        <w:t>TABLE OF CONTENTS</w:t>
      </w:r>
    </w:p>
    <w:p w14:paraId="56558234" w14:textId="77777777" w:rsidR="0032175C" w:rsidRPr="00AF59FD" w:rsidRDefault="0032175C" w:rsidP="0032175C">
      <w:pPr>
        <w:widowControl w:val="0"/>
        <w:autoSpaceDE w:val="0"/>
        <w:autoSpaceDN w:val="0"/>
        <w:adjustRightInd w:val="0"/>
        <w:rPr>
          <w:b/>
          <w:bCs/>
        </w:rPr>
      </w:pPr>
    </w:p>
    <w:p w14:paraId="2970E8EC" w14:textId="77777777" w:rsidR="0032175C" w:rsidRPr="00AF59FD" w:rsidRDefault="0032175C" w:rsidP="0032175C">
      <w:pPr>
        <w:widowControl w:val="0"/>
        <w:autoSpaceDE w:val="0"/>
        <w:autoSpaceDN w:val="0"/>
        <w:adjustRightInd w:val="0"/>
        <w:spacing w:before="120" w:after="120"/>
        <w:rPr>
          <w:b/>
          <w:bCs/>
        </w:rPr>
      </w:pPr>
      <w:r w:rsidRPr="00AF59FD">
        <w:rPr>
          <w:b/>
          <w:bCs/>
        </w:rPr>
        <w:t>SUPPORTING STATEMENT</w:t>
      </w:r>
    </w:p>
    <w:p w14:paraId="6BA46C04" w14:textId="77777777" w:rsidR="00AC5DFE" w:rsidRDefault="0032175C">
      <w:pPr>
        <w:pStyle w:val="TOC1"/>
        <w:rPr>
          <w:rFonts w:asciiTheme="minorHAnsi" w:eastAsiaTheme="minorEastAsia" w:hAnsiTheme="minorHAnsi" w:cstheme="minorBidi"/>
          <w:noProof/>
          <w:sz w:val="22"/>
          <w:szCs w:val="22"/>
        </w:rPr>
      </w:pPr>
      <w:r w:rsidRPr="000E5C66">
        <w:rPr>
          <w:b/>
          <w:bCs/>
        </w:rPr>
        <w:fldChar w:fldCharType="begin"/>
      </w:r>
      <w:r w:rsidRPr="000E5C66">
        <w:rPr>
          <w:b/>
          <w:bCs/>
        </w:rPr>
        <w:instrText xml:space="preserve"> TOC \o "1-3" \h \z \u </w:instrText>
      </w:r>
      <w:r w:rsidRPr="000E5C66">
        <w:rPr>
          <w:b/>
          <w:bCs/>
        </w:rPr>
        <w:fldChar w:fldCharType="separate"/>
      </w:r>
      <w:hyperlink w:anchor="_Toc480558241" w:history="1">
        <w:r w:rsidR="00AC5DFE" w:rsidRPr="006E201A">
          <w:rPr>
            <w:rStyle w:val="Hyperlink"/>
            <w:b/>
            <w:bCs/>
            <w:noProof/>
          </w:rPr>
          <w:t xml:space="preserve">A. </w:t>
        </w:r>
        <w:r w:rsidR="00AC5DFE">
          <w:rPr>
            <w:rFonts w:asciiTheme="minorHAnsi" w:eastAsiaTheme="minorEastAsia" w:hAnsiTheme="minorHAnsi" w:cstheme="minorBidi"/>
            <w:noProof/>
            <w:sz w:val="22"/>
            <w:szCs w:val="22"/>
          </w:rPr>
          <w:tab/>
        </w:r>
        <w:r w:rsidR="00AC5DFE" w:rsidRPr="006E201A">
          <w:rPr>
            <w:rStyle w:val="Hyperlink"/>
            <w:b/>
            <w:bCs/>
            <w:noProof/>
          </w:rPr>
          <w:t>Justification</w:t>
        </w:r>
        <w:r w:rsidR="00AC5DFE" w:rsidRPr="006E201A">
          <w:rPr>
            <w:rStyle w:val="Hyperlink"/>
            <w:bCs/>
            <w:noProof/>
          </w:rPr>
          <w:t>:  Please see separate Part A section.</w:t>
        </w:r>
        <w:r w:rsidR="00AC5DFE">
          <w:rPr>
            <w:noProof/>
            <w:webHidden/>
          </w:rPr>
          <w:tab/>
        </w:r>
        <w:r w:rsidR="00AC5DFE">
          <w:rPr>
            <w:noProof/>
            <w:webHidden/>
          </w:rPr>
          <w:fldChar w:fldCharType="begin"/>
        </w:r>
        <w:r w:rsidR="00AC5DFE">
          <w:rPr>
            <w:noProof/>
            <w:webHidden/>
          </w:rPr>
          <w:instrText xml:space="preserve"> PAGEREF _Toc480558241 \h </w:instrText>
        </w:r>
        <w:r w:rsidR="00AC5DFE">
          <w:rPr>
            <w:noProof/>
            <w:webHidden/>
          </w:rPr>
        </w:r>
        <w:r w:rsidR="00AC5DFE">
          <w:rPr>
            <w:noProof/>
            <w:webHidden/>
          </w:rPr>
          <w:fldChar w:fldCharType="separate"/>
        </w:r>
        <w:r w:rsidR="0024050E">
          <w:rPr>
            <w:noProof/>
            <w:webHidden/>
          </w:rPr>
          <w:t>3</w:t>
        </w:r>
        <w:r w:rsidR="00AC5DFE">
          <w:rPr>
            <w:noProof/>
            <w:webHidden/>
          </w:rPr>
          <w:fldChar w:fldCharType="end"/>
        </w:r>
      </w:hyperlink>
    </w:p>
    <w:p w14:paraId="1DD0BDD5" w14:textId="77777777" w:rsidR="00AC5DFE" w:rsidRDefault="003936E6">
      <w:pPr>
        <w:pStyle w:val="TOC1"/>
        <w:rPr>
          <w:rFonts w:asciiTheme="minorHAnsi" w:eastAsiaTheme="minorEastAsia" w:hAnsiTheme="minorHAnsi" w:cstheme="minorBidi"/>
          <w:noProof/>
          <w:sz w:val="22"/>
          <w:szCs w:val="22"/>
        </w:rPr>
      </w:pPr>
      <w:hyperlink w:anchor="_Toc480558242" w:history="1">
        <w:r w:rsidR="00AC5DFE" w:rsidRPr="006E201A">
          <w:rPr>
            <w:rStyle w:val="Hyperlink"/>
            <w:b/>
            <w:bCs/>
            <w:noProof/>
          </w:rPr>
          <w:t>B.</w:t>
        </w:r>
        <w:r w:rsidR="00AC5DFE">
          <w:rPr>
            <w:rFonts w:asciiTheme="minorHAnsi" w:eastAsiaTheme="minorEastAsia" w:hAnsiTheme="minorHAnsi" w:cstheme="minorBidi"/>
            <w:noProof/>
            <w:sz w:val="22"/>
            <w:szCs w:val="22"/>
          </w:rPr>
          <w:tab/>
        </w:r>
        <w:r w:rsidR="005B4EC4">
          <w:rPr>
            <w:rFonts w:asciiTheme="minorHAnsi" w:eastAsiaTheme="minorEastAsia" w:hAnsiTheme="minorHAnsi" w:cstheme="minorBidi"/>
            <w:noProof/>
            <w:sz w:val="22"/>
            <w:szCs w:val="22"/>
          </w:rPr>
          <w:t xml:space="preserve"> </w:t>
        </w:r>
        <w:r w:rsidR="00AC5DFE" w:rsidRPr="006E201A">
          <w:rPr>
            <w:rStyle w:val="Hyperlink"/>
            <w:b/>
            <w:bCs/>
            <w:noProof/>
          </w:rPr>
          <w:t>Collections of Information Employing Statistical Methods</w:t>
        </w:r>
        <w:r w:rsidR="00AC5DFE">
          <w:rPr>
            <w:noProof/>
            <w:webHidden/>
          </w:rPr>
          <w:tab/>
        </w:r>
        <w:r w:rsidR="00AC5DFE">
          <w:rPr>
            <w:noProof/>
            <w:webHidden/>
          </w:rPr>
          <w:fldChar w:fldCharType="begin"/>
        </w:r>
        <w:r w:rsidR="00AC5DFE">
          <w:rPr>
            <w:noProof/>
            <w:webHidden/>
          </w:rPr>
          <w:instrText xml:space="preserve"> PAGEREF _Toc480558242 \h </w:instrText>
        </w:r>
        <w:r w:rsidR="00AC5DFE">
          <w:rPr>
            <w:noProof/>
            <w:webHidden/>
          </w:rPr>
        </w:r>
        <w:r w:rsidR="00AC5DFE">
          <w:rPr>
            <w:noProof/>
            <w:webHidden/>
          </w:rPr>
          <w:fldChar w:fldCharType="separate"/>
        </w:r>
        <w:r w:rsidR="0024050E">
          <w:rPr>
            <w:noProof/>
            <w:webHidden/>
          </w:rPr>
          <w:t>3</w:t>
        </w:r>
        <w:r w:rsidR="00AC5DFE">
          <w:rPr>
            <w:noProof/>
            <w:webHidden/>
          </w:rPr>
          <w:fldChar w:fldCharType="end"/>
        </w:r>
      </w:hyperlink>
    </w:p>
    <w:p w14:paraId="6C0F48E7" w14:textId="77777777" w:rsidR="00AC5DFE" w:rsidRDefault="003936E6">
      <w:pPr>
        <w:pStyle w:val="TOC2"/>
        <w:rPr>
          <w:rFonts w:asciiTheme="minorHAnsi" w:eastAsiaTheme="minorEastAsia" w:hAnsiTheme="minorHAnsi" w:cstheme="minorBidi"/>
          <w:noProof/>
          <w:sz w:val="22"/>
          <w:szCs w:val="22"/>
        </w:rPr>
      </w:pPr>
      <w:hyperlink w:anchor="_Toc480558243" w:history="1">
        <w:r w:rsidR="00AC5DFE" w:rsidRPr="006E201A">
          <w:rPr>
            <w:rStyle w:val="Hyperlink"/>
            <w:b/>
            <w:bCs/>
            <w:noProof/>
          </w:rPr>
          <w:t>B.1.</w:t>
        </w:r>
        <w:r w:rsidR="00AC5DFE">
          <w:rPr>
            <w:rFonts w:asciiTheme="minorHAnsi" w:eastAsiaTheme="minorEastAsia" w:hAnsiTheme="minorHAnsi" w:cstheme="minorBidi"/>
            <w:noProof/>
            <w:sz w:val="22"/>
            <w:szCs w:val="22"/>
          </w:rPr>
          <w:tab/>
        </w:r>
        <w:r w:rsidR="00AC5DFE" w:rsidRPr="006E201A">
          <w:rPr>
            <w:rStyle w:val="Hyperlink"/>
            <w:b/>
            <w:bCs/>
            <w:noProof/>
          </w:rPr>
          <w:t>Describe the potential respondent universe and any sampling or other respondent selection method to be used.</w:t>
        </w:r>
        <w:r w:rsidR="00AC5DFE">
          <w:rPr>
            <w:noProof/>
            <w:webHidden/>
          </w:rPr>
          <w:tab/>
        </w:r>
        <w:r w:rsidR="00AC5DFE">
          <w:rPr>
            <w:noProof/>
            <w:webHidden/>
          </w:rPr>
          <w:fldChar w:fldCharType="begin"/>
        </w:r>
        <w:r w:rsidR="00AC5DFE">
          <w:rPr>
            <w:noProof/>
            <w:webHidden/>
          </w:rPr>
          <w:instrText xml:space="preserve"> PAGEREF _Toc480558243 \h </w:instrText>
        </w:r>
        <w:r w:rsidR="00AC5DFE">
          <w:rPr>
            <w:noProof/>
            <w:webHidden/>
          </w:rPr>
        </w:r>
        <w:r w:rsidR="00AC5DFE">
          <w:rPr>
            <w:noProof/>
            <w:webHidden/>
          </w:rPr>
          <w:fldChar w:fldCharType="separate"/>
        </w:r>
        <w:r w:rsidR="0024050E">
          <w:rPr>
            <w:noProof/>
            <w:webHidden/>
          </w:rPr>
          <w:t>3</w:t>
        </w:r>
        <w:r w:rsidR="00AC5DFE">
          <w:rPr>
            <w:noProof/>
            <w:webHidden/>
          </w:rPr>
          <w:fldChar w:fldCharType="end"/>
        </w:r>
      </w:hyperlink>
    </w:p>
    <w:p w14:paraId="216CAC6C" w14:textId="77777777" w:rsidR="00AC5DFE" w:rsidRDefault="003936E6">
      <w:pPr>
        <w:pStyle w:val="TOC2"/>
        <w:rPr>
          <w:rFonts w:asciiTheme="minorHAnsi" w:eastAsiaTheme="minorEastAsia" w:hAnsiTheme="minorHAnsi" w:cstheme="minorBidi"/>
          <w:noProof/>
          <w:sz w:val="22"/>
          <w:szCs w:val="22"/>
        </w:rPr>
      </w:pPr>
      <w:hyperlink w:anchor="_Toc480558244" w:history="1">
        <w:r w:rsidR="00AC5DFE" w:rsidRPr="006E201A">
          <w:rPr>
            <w:rStyle w:val="Hyperlink"/>
            <w:b/>
            <w:bCs/>
            <w:noProof/>
          </w:rPr>
          <w:t>B.2.</w:t>
        </w:r>
        <w:r w:rsidR="00AC5DFE">
          <w:rPr>
            <w:rFonts w:asciiTheme="minorHAnsi" w:eastAsiaTheme="minorEastAsia" w:hAnsiTheme="minorHAnsi" w:cstheme="minorBidi"/>
            <w:noProof/>
            <w:sz w:val="22"/>
            <w:szCs w:val="22"/>
          </w:rPr>
          <w:tab/>
        </w:r>
        <w:r w:rsidR="00AC5DFE" w:rsidRPr="006E201A">
          <w:rPr>
            <w:rStyle w:val="Hyperlink"/>
            <w:b/>
            <w:bCs/>
            <w:noProof/>
          </w:rPr>
          <w:t>Describe the procedures for the collection of information.</w:t>
        </w:r>
        <w:r w:rsidR="00AC5DFE">
          <w:rPr>
            <w:noProof/>
            <w:webHidden/>
          </w:rPr>
          <w:tab/>
        </w:r>
        <w:r w:rsidR="00AC5DFE">
          <w:rPr>
            <w:noProof/>
            <w:webHidden/>
          </w:rPr>
          <w:fldChar w:fldCharType="begin"/>
        </w:r>
        <w:r w:rsidR="00AC5DFE">
          <w:rPr>
            <w:noProof/>
            <w:webHidden/>
          </w:rPr>
          <w:instrText xml:space="preserve"> PAGEREF _Toc480558244 \h </w:instrText>
        </w:r>
        <w:r w:rsidR="00AC5DFE">
          <w:rPr>
            <w:noProof/>
            <w:webHidden/>
          </w:rPr>
        </w:r>
        <w:r w:rsidR="00AC5DFE">
          <w:rPr>
            <w:noProof/>
            <w:webHidden/>
          </w:rPr>
          <w:fldChar w:fldCharType="separate"/>
        </w:r>
        <w:r w:rsidR="0024050E">
          <w:rPr>
            <w:noProof/>
            <w:webHidden/>
          </w:rPr>
          <w:t>11</w:t>
        </w:r>
        <w:r w:rsidR="00AC5DFE">
          <w:rPr>
            <w:noProof/>
            <w:webHidden/>
          </w:rPr>
          <w:fldChar w:fldCharType="end"/>
        </w:r>
      </w:hyperlink>
    </w:p>
    <w:p w14:paraId="611F714A" w14:textId="77777777" w:rsidR="00AC5DFE" w:rsidRDefault="003936E6">
      <w:pPr>
        <w:pStyle w:val="TOC2"/>
        <w:rPr>
          <w:rFonts w:asciiTheme="minorHAnsi" w:eastAsiaTheme="minorEastAsia" w:hAnsiTheme="minorHAnsi" w:cstheme="minorBidi"/>
          <w:noProof/>
          <w:sz w:val="22"/>
          <w:szCs w:val="22"/>
        </w:rPr>
      </w:pPr>
      <w:hyperlink w:anchor="_Toc480558245" w:history="1">
        <w:r w:rsidR="00AC5DFE" w:rsidRPr="006E201A">
          <w:rPr>
            <w:rStyle w:val="Hyperlink"/>
            <w:b/>
            <w:bCs/>
            <w:noProof/>
          </w:rPr>
          <w:t>B.3.</w:t>
        </w:r>
        <w:r w:rsidR="00AC5DFE">
          <w:rPr>
            <w:rFonts w:asciiTheme="minorHAnsi" w:eastAsiaTheme="minorEastAsia" w:hAnsiTheme="minorHAnsi" w:cstheme="minorBidi"/>
            <w:noProof/>
            <w:sz w:val="22"/>
            <w:szCs w:val="22"/>
          </w:rPr>
          <w:tab/>
        </w:r>
        <w:r w:rsidR="00AC5DFE" w:rsidRPr="006E201A">
          <w:rPr>
            <w:rStyle w:val="Hyperlink"/>
            <w:b/>
            <w:bCs/>
            <w:noProof/>
          </w:rPr>
          <w:t>Describe methods to maximize response rates and to deal with issues of non-response.</w:t>
        </w:r>
        <w:r w:rsidR="00AC5DFE">
          <w:rPr>
            <w:noProof/>
            <w:webHidden/>
          </w:rPr>
          <w:tab/>
        </w:r>
        <w:r w:rsidR="00AC5DFE">
          <w:rPr>
            <w:noProof/>
            <w:webHidden/>
          </w:rPr>
          <w:fldChar w:fldCharType="begin"/>
        </w:r>
        <w:r w:rsidR="00AC5DFE">
          <w:rPr>
            <w:noProof/>
            <w:webHidden/>
          </w:rPr>
          <w:instrText xml:space="preserve"> PAGEREF _Toc480558245 \h </w:instrText>
        </w:r>
        <w:r w:rsidR="00AC5DFE">
          <w:rPr>
            <w:noProof/>
            <w:webHidden/>
          </w:rPr>
        </w:r>
        <w:r w:rsidR="00AC5DFE">
          <w:rPr>
            <w:noProof/>
            <w:webHidden/>
          </w:rPr>
          <w:fldChar w:fldCharType="separate"/>
        </w:r>
        <w:r w:rsidR="0024050E">
          <w:rPr>
            <w:noProof/>
            <w:webHidden/>
          </w:rPr>
          <w:t>12</w:t>
        </w:r>
        <w:r w:rsidR="00AC5DFE">
          <w:rPr>
            <w:noProof/>
            <w:webHidden/>
          </w:rPr>
          <w:fldChar w:fldCharType="end"/>
        </w:r>
      </w:hyperlink>
    </w:p>
    <w:p w14:paraId="0E4A1DB8" w14:textId="77777777" w:rsidR="00AC5DFE" w:rsidRDefault="003936E6">
      <w:pPr>
        <w:pStyle w:val="TOC2"/>
        <w:rPr>
          <w:rFonts w:asciiTheme="minorHAnsi" w:eastAsiaTheme="minorEastAsia" w:hAnsiTheme="minorHAnsi" w:cstheme="minorBidi"/>
          <w:noProof/>
          <w:sz w:val="22"/>
          <w:szCs w:val="22"/>
        </w:rPr>
      </w:pPr>
      <w:hyperlink w:anchor="_Toc480558246" w:history="1">
        <w:r w:rsidR="00AC5DFE" w:rsidRPr="006E201A">
          <w:rPr>
            <w:rStyle w:val="Hyperlink"/>
            <w:b/>
            <w:bCs/>
            <w:noProof/>
          </w:rPr>
          <w:t>B.4.</w:t>
        </w:r>
        <w:r w:rsidR="00AC5DFE">
          <w:rPr>
            <w:rFonts w:asciiTheme="minorHAnsi" w:eastAsiaTheme="minorEastAsia" w:hAnsiTheme="minorHAnsi" w:cstheme="minorBidi"/>
            <w:noProof/>
            <w:sz w:val="22"/>
            <w:szCs w:val="22"/>
          </w:rPr>
          <w:tab/>
        </w:r>
        <w:r w:rsidR="00AC5DFE" w:rsidRPr="006E201A">
          <w:rPr>
            <w:rStyle w:val="Hyperlink"/>
            <w:b/>
            <w:bCs/>
            <w:noProof/>
          </w:rPr>
          <w:t>Describe any tests of procedures or methods to be undertaken.</w:t>
        </w:r>
        <w:r w:rsidR="00AC5DFE">
          <w:rPr>
            <w:noProof/>
            <w:webHidden/>
          </w:rPr>
          <w:tab/>
        </w:r>
        <w:r w:rsidR="00AC5DFE">
          <w:rPr>
            <w:noProof/>
            <w:webHidden/>
          </w:rPr>
          <w:fldChar w:fldCharType="begin"/>
        </w:r>
        <w:r w:rsidR="00AC5DFE">
          <w:rPr>
            <w:noProof/>
            <w:webHidden/>
          </w:rPr>
          <w:instrText xml:space="preserve"> PAGEREF _Toc480558246 \h </w:instrText>
        </w:r>
        <w:r w:rsidR="00AC5DFE">
          <w:rPr>
            <w:noProof/>
            <w:webHidden/>
          </w:rPr>
        </w:r>
        <w:r w:rsidR="00AC5DFE">
          <w:rPr>
            <w:noProof/>
            <w:webHidden/>
          </w:rPr>
          <w:fldChar w:fldCharType="separate"/>
        </w:r>
        <w:r w:rsidR="0024050E">
          <w:rPr>
            <w:noProof/>
            <w:webHidden/>
          </w:rPr>
          <w:t>13</w:t>
        </w:r>
        <w:r w:rsidR="00AC5DFE">
          <w:rPr>
            <w:noProof/>
            <w:webHidden/>
          </w:rPr>
          <w:fldChar w:fldCharType="end"/>
        </w:r>
      </w:hyperlink>
    </w:p>
    <w:p w14:paraId="4C62DCA8" w14:textId="77777777" w:rsidR="00AC5DFE" w:rsidRDefault="003936E6">
      <w:pPr>
        <w:pStyle w:val="TOC2"/>
        <w:rPr>
          <w:rFonts w:asciiTheme="minorHAnsi" w:eastAsiaTheme="minorEastAsia" w:hAnsiTheme="minorHAnsi" w:cstheme="minorBidi"/>
          <w:noProof/>
          <w:sz w:val="22"/>
          <w:szCs w:val="22"/>
        </w:rPr>
      </w:pPr>
      <w:hyperlink w:anchor="_Toc480558247" w:history="1">
        <w:r w:rsidR="00AC5DFE" w:rsidRPr="006E201A">
          <w:rPr>
            <w:rStyle w:val="Hyperlink"/>
            <w:b/>
            <w:bCs/>
            <w:noProof/>
          </w:rPr>
          <w:t>B.5.</w:t>
        </w:r>
        <w:r w:rsidR="00AC5DFE">
          <w:rPr>
            <w:rFonts w:asciiTheme="minorHAnsi" w:eastAsiaTheme="minorEastAsia" w:hAnsiTheme="minorHAnsi" w:cstheme="minorBidi"/>
            <w:noProof/>
            <w:sz w:val="22"/>
            <w:szCs w:val="22"/>
          </w:rPr>
          <w:tab/>
        </w:r>
        <w:r w:rsidR="00AC5DFE" w:rsidRPr="006E201A">
          <w:rPr>
            <w:rStyle w:val="Hyperlink"/>
            <w:b/>
            <w:noProof/>
          </w:rPr>
          <w:t>Provide the name and telephone number of individuals consulted on statistical aspects of the design and the name of the agency unit, contractor(s), grantee(s), or other person(s) who will actually collect and/or analyze the information for the agency</w:t>
        </w:r>
        <w:r w:rsidR="00AC5DFE" w:rsidRPr="006E201A">
          <w:rPr>
            <w:rStyle w:val="Hyperlink"/>
            <w:b/>
            <w:bCs/>
            <w:noProof/>
          </w:rPr>
          <w:t>.</w:t>
        </w:r>
        <w:r w:rsidR="00AC5DFE">
          <w:rPr>
            <w:noProof/>
            <w:webHidden/>
          </w:rPr>
          <w:tab/>
        </w:r>
        <w:r w:rsidR="00AC5DFE">
          <w:rPr>
            <w:noProof/>
            <w:webHidden/>
          </w:rPr>
          <w:fldChar w:fldCharType="begin"/>
        </w:r>
        <w:r w:rsidR="00AC5DFE">
          <w:rPr>
            <w:noProof/>
            <w:webHidden/>
          </w:rPr>
          <w:instrText xml:space="preserve"> PAGEREF _Toc480558247 \h </w:instrText>
        </w:r>
        <w:r w:rsidR="00AC5DFE">
          <w:rPr>
            <w:noProof/>
            <w:webHidden/>
          </w:rPr>
        </w:r>
        <w:r w:rsidR="00AC5DFE">
          <w:rPr>
            <w:noProof/>
            <w:webHidden/>
          </w:rPr>
          <w:fldChar w:fldCharType="separate"/>
        </w:r>
        <w:r w:rsidR="0024050E">
          <w:rPr>
            <w:noProof/>
            <w:webHidden/>
          </w:rPr>
          <w:t>14</w:t>
        </w:r>
        <w:r w:rsidR="00AC5DFE">
          <w:rPr>
            <w:noProof/>
            <w:webHidden/>
          </w:rPr>
          <w:fldChar w:fldCharType="end"/>
        </w:r>
      </w:hyperlink>
    </w:p>
    <w:p w14:paraId="07B7F772" w14:textId="77777777" w:rsidR="0032175C" w:rsidRPr="00AF59FD" w:rsidRDefault="0032175C" w:rsidP="0032175C">
      <w:pPr>
        <w:widowControl w:val="0"/>
        <w:autoSpaceDE w:val="0"/>
        <w:autoSpaceDN w:val="0"/>
        <w:adjustRightInd w:val="0"/>
        <w:spacing w:before="100" w:beforeAutospacing="1" w:after="100" w:afterAutospacing="1"/>
        <w:rPr>
          <w:b/>
          <w:bCs/>
        </w:rPr>
      </w:pPr>
      <w:r w:rsidRPr="000E5C66">
        <w:rPr>
          <w:b/>
          <w:bCs/>
        </w:rPr>
        <w:fldChar w:fldCharType="end"/>
      </w:r>
    </w:p>
    <w:p w14:paraId="379C7ECC" w14:textId="77777777" w:rsidR="0032175C" w:rsidRPr="00AF59FD" w:rsidRDefault="0032175C" w:rsidP="0032175C">
      <w:pPr>
        <w:widowControl w:val="0"/>
        <w:autoSpaceDE w:val="0"/>
        <w:autoSpaceDN w:val="0"/>
        <w:adjustRightInd w:val="0"/>
        <w:jc w:val="center"/>
        <w:rPr>
          <w:b/>
          <w:bCs/>
          <w:highlight w:val="yellow"/>
        </w:rPr>
        <w:sectPr w:rsidR="0032175C" w:rsidRPr="00AF59FD">
          <w:headerReference w:type="default" r:id="rId9"/>
          <w:footerReference w:type="even" r:id="rId10"/>
          <w:footerReference w:type="default" r:id="rId11"/>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pgNumType w:fmt="lowerRoman" w:start="1"/>
          <w:cols w:space="720"/>
          <w:titlePg/>
          <w:docGrid w:linePitch="360"/>
        </w:sectPr>
      </w:pPr>
    </w:p>
    <w:p w14:paraId="09B91C4C" w14:textId="77777777" w:rsidR="0032175C" w:rsidRPr="00AF59FD" w:rsidRDefault="008456FB" w:rsidP="0032175C">
      <w:pPr>
        <w:widowControl w:val="0"/>
        <w:autoSpaceDE w:val="0"/>
        <w:autoSpaceDN w:val="0"/>
        <w:adjustRightInd w:val="0"/>
        <w:jc w:val="center"/>
        <w:rPr>
          <w:b/>
          <w:bCs/>
        </w:rPr>
      </w:pPr>
      <w:bookmarkStart w:id="1" w:name="OLE_LINK4"/>
      <w:r>
        <w:rPr>
          <w:b/>
          <w:bCs/>
        </w:rPr>
        <w:lastRenderedPageBreak/>
        <w:t>Tire Pressure Monitoring System – Outage Rates and Repair Costs (TPMS-ORRC)</w:t>
      </w:r>
    </w:p>
    <w:p w14:paraId="1D7F4E54" w14:textId="77777777" w:rsidR="0032175C" w:rsidRPr="00AF59FD" w:rsidRDefault="0032175C" w:rsidP="0032175C">
      <w:pPr>
        <w:widowControl w:val="0"/>
        <w:autoSpaceDE w:val="0"/>
        <w:autoSpaceDN w:val="0"/>
        <w:adjustRightInd w:val="0"/>
        <w:jc w:val="center"/>
        <w:rPr>
          <w:b/>
          <w:bCs/>
        </w:rPr>
      </w:pPr>
      <w:r w:rsidRPr="00AF59FD">
        <w:rPr>
          <w:b/>
          <w:bCs/>
        </w:rPr>
        <w:t>Supporting Statement for Information Collection Request</w:t>
      </w:r>
      <w:r w:rsidR="008E4351">
        <w:rPr>
          <w:b/>
          <w:bCs/>
        </w:rPr>
        <w:t xml:space="preserve"> (ICR)</w:t>
      </w:r>
    </w:p>
    <w:bookmarkEnd w:id="1"/>
    <w:p w14:paraId="37ECA144" w14:textId="77777777" w:rsidR="0032175C" w:rsidRPr="00AF59FD" w:rsidRDefault="0032175C" w:rsidP="0032175C">
      <w:pPr>
        <w:widowControl w:val="0"/>
        <w:autoSpaceDE w:val="0"/>
        <w:autoSpaceDN w:val="0"/>
        <w:adjustRightInd w:val="0"/>
        <w:rPr>
          <w:b/>
          <w:bCs/>
        </w:rPr>
      </w:pPr>
    </w:p>
    <w:p w14:paraId="0BF382C0" w14:textId="77777777" w:rsidR="0032175C" w:rsidRPr="007A411D" w:rsidRDefault="0032175C" w:rsidP="0032175C">
      <w:pPr>
        <w:widowControl w:val="0"/>
        <w:autoSpaceDE w:val="0"/>
        <w:autoSpaceDN w:val="0"/>
        <w:adjustRightInd w:val="0"/>
        <w:outlineLvl w:val="0"/>
      </w:pPr>
      <w:bookmarkStart w:id="2" w:name="_Toc230056323"/>
      <w:bookmarkStart w:id="3" w:name="_Toc246313785"/>
      <w:bookmarkStart w:id="4" w:name="_Toc480558241"/>
      <w:r w:rsidRPr="007A411D">
        <w:rPr>
          <w:b/>
          <w:bCs/>
        </w:rPr>
        <w:t xml:space="preserve">A. </w:t>
      </w:r>
      <w:r w:rsidRPr="007A411D">
        <w:rPr>
          <w:b/>
          <w:bCs/>
        </w:rPr>
        <w:tab/>
      </w:r>
      <w:r w:rsidRPr="007A411D">
        <w:rPr>
          <w:b/>
          <w:bCs/>
          <w:u w:val="single"/>
        </w:rPr>
        <w:t>Justification</w:t>
      </w:r>
      <w:bookmarkEnd w:id="2"/>
      <w:bookmarkEnd w:id="3"/>
      <w:r>
        <w:rPr>
          <w:bCs/>
        </w:rPr>
        <w:t>:  Please see separate Part A section.</w:t>
      </w:r>
      <w:bookmarkEnd w:id="4"/>
    </w:p>
    <w:p w14:paraId="17EBB973" w14:textId="77777777" w:rsidR="0032175C" w:rsidRDefault="0032175C" w:rsidP="0032175C"/>
    <w:p w14:paraId="49361F02" w14:textId="77777777" w:rsidR="0032175C" w:rsidRDefault="0032175C" w:rsidP="0032175C">
      <w:pPr>
        <w:widowControl w:val="0"/>
        <w:tabs>
          <w:tab w:val="left" w:pos="720"/>
        </w:tabs>
        <w:autoSpaceDE w:val="0"/>
        <w:autoSpaceDN w:val="0"/>
        <w:adjustRightInd w:val="0"/>
        <w:ind w:left="720" w:hanging="720"/>
        <w:outlineLvl w:val="0"/>
        <w:rPr>
          <w:b/>
          <w:bCs/>
          <w:u w:val="single"/>
        </w:rPr>
      </w:pPr>
      <w:bookmarkStart w:id="5" w:name="_Toc230056343"/>
      <w:bookmarkStart w:id="6" w:name="_Toc480558242"/>
      <w:r w:rsidRPr="00AF59FD">
        <w:rPr>
          <w:b/>
          <w:bCs/>
        </w:rPr>
        <w:t>B.</w:t>
      </w:r>
      <w:r w:rsidRPr="00AF59FD">
        <w:rPr>
          <w:b/>
          <w:bCs/>
        </w:rPr>
        <w:tab/>
      </w:r>
      <w:r w:rsidRPr="00AF59FD">
        <w:rPr>
          <w:b/>
          <w:bCs/>
          <w:u w:val="single"/>
        </w:rPr>
        <w:t>Collections of Information Employing Statistical Methods</w:t>
      </w:r>
      <w:bookmarkEnd w:id="5"/>
      <w:bookmarkEnd w:id="6"/>
    </w:p>
    <w:p w14:paraId="3C506C57" w14:textId="77777777" w:rsidR="00E12C79" w:rsidRPr="00AF59FD" w:rsidRDefault="00E12C79" w:rsidP="00611300">
      <w:pPr>
        <w:widowControl w:val="0"/>
        <w:autoSpaceDE w:val="0"/>
        <w:autoSpaceDN w:val="0"/>
        <w:adjustRightInd w:val="0"/>
        <w:outlineLvl w:val="0"/>
      </w:pPr>
    </w:p>
    <w:p w14:paraId="74590C8F" w14:textId="77777777" w:rsidR="0032175C" w:rsidRPr="00AF59FD" w:rsidRDefault="0032175C" w:rsidP="0032175C">
      <w:pPr>
        <w:widowControl w:val="0"/>
        <w:tabs>
          <w:tab w:val="left" w:pos="720"/>
        </w:tabs>
        <w:autoSpaceDE w:val="0"/>
        <w:autoSpaceDN w:val="0"/>
        <w:adjustRightInd w:val="0"/>
        <w:ind w:left="720" w:hanging="720"/>
        <w:outlineLvl w:val="1"/>
        <w:rPr>
          <w:b/>
          <w:bCs/>
        </w:rPr>
      </w:pPr>
      <w:bookmarkStart w:id="7" w:name="_Toc230056344"/>
      <w:bookmarkStart w:id="8" w:name="_Toc480558243"/>
      <w:r w:rsidRPr="00AF59FD">
        <w:rPr>
          <w:b/>
          <w:bCs/>
        </w:rPr>
        <w:t>B.1.</w:t>
      </w:r>
      <w:r w:rsidRPr="00AF59FD">
        <w:rPr>
          <w:b/>
          <w:bCs/>
        </w:rPr>
        <w:tab/>
        <w:t>Describe the potential respondent universe and any sampling or other respondent selection method to be used.</w:t>
      </w:r>
      <w:bookmarkEnd w:id="7"/>
      <w:bookmarkEnd w:id="8"/>
    </w:p>
    <w:p w14:paraId="1743CAAE" w14:textId="77777777" w:rsidR="00D37904" w:rsidRDefault="00D37904" w:rsidP="008E6930">
      <w:pPr>
        <w:rPr>
          <w:u w:val="single"/>
        </w:rPr>
      </w:pPr>
    </w:p>
    <w:p w14:paraId="1EC32B16" w14:textId="77777777" w:rsidR="008E6930" w:rsidRPr="001C1DEA" w:rsidRDefault="004849F1" w:rsidP="008E6930">
      <w:pPr>
        <w:rPr>
          <w:u w:val="single"/>
        </w:rPr>
      </w:pPr>
      <w:r>
        <w:rPr>
          <w:u w:val="single"/>
        </w:rPr>
        <w:t>Field</w:t>
      </w:r>
      <w:r w:rsidR="008E6930">
        <w:rPr>
          <w:u w:val="single"/>
        </w:rPr>
        <w:t xml:space="preserve"> Survey</w:t>
      </w:r>
    </w:p>
    <w:p w14:paraId="4058B579" w14:textId="77777777" w:rsidR="00E9126F" w:rsidRDefault="00E9126F" w:rsidP="00AD6115">
      <w:pPr>
        <w:rPr>
          <w:color w:val="000000"/>
        </w:rPr>
      </w:pPr>
    </w:p>
    <w:p w14:paraId="2636AB90" w14:textId="6198B967" w:rsidR="00AD6115" w:rsidRPr="00F33F46" w:rsidRDefault="00AD6115" w:rsidP="00AD6115">
      <w:pPr>
        <w:rPr>
          <w:color w:val="000000"/>
        </w:rPr>
      </w:pPr>
      <w:r w:rsidRPr="00F33F46">
        <w:rPr>
          <w:color w:val="000000"/>
        </w:rPr>
        <w:t xml:space="preserve">The universe of interest for the field survey is passenger vehicles </w:t>
      </w:r>
      <w:r w:rsidR="008B1EEA" w:rsidRPr="00F33F46">
        <w:rPr>
          <w:color w:val="000000"/>
        </w:rPr>
        <w:t>(passenger cars, sport utility vehicles</w:t>
      </w:r>
      <w:r w:rsidR="00CA2F60">
        <w:rPr>
          <w:color w:val="000000"/>
        </w:rPr>
        <w:t xml:space="preserve"> (SUVs)</w:t>
      </w:r>
      <w:r w:rsidR="008B1EEA" w:rsidRPr="00F33F46">
        <w:rPr>
          <w:color w:val="000000"/>
        </w:rPr>
        <w:t xml:space="preserve">, light trucks and vans) </w:t>
      </w:r>
      <w:r w:rsidR="007F1829">
        <w:rPr>
          <w:color w:val="000000"/>
        </w:rPr>
        <w:t xml:space="preserve">of gross vehicle weight rating </w:t>
      </w:r>
      <w:r w:rsidR="00CD4F81">
        <w:rPr>
          <w:color w:val="000000"/>
        </w:rPr>
        <w:t xml:space="preserve">(GVWR) </w:t>
      </w:r>
      <w:r w:rsidR="0056438C">
        <w:rPr>
          <w:color w:val="000000"/>
        </w:rPr>
        <w:t xml:space="preserve">no more than </w:t>
      </w:r>
      <w:r w:rsidR="007F1829">
        <w:rPr>
          <w:color w:val="000000"/>
        </w:rPr>
        <w:t xml:space="preserve">10,000 pounds, </w:t>
      </w:r>
      <w:r w:rsidR="00D745EB" w:rsidRPr="00F33F46">
        <w:rPr>
          <w:color w:val="000000"/>
        </w:rPr>
        <w:t>registered in the United States</w:t>
      </w:r>
      <w:r w:rsidR="007F1829">
        <w:rPr>
          <w:color w:val="000000"/>
        </w:rPr>
        <w:t>,</w:t>
      </w:r>
      <w:r w:rsidR="00D745EB" w:rsidRPr="00F33F46">
        <w:rPr>
          <w:color w:val="000000"/>
        </w:rPr>
        <w:t xml:space="preserve"> </w:t>
      </w:r>
      <w:r w:rsidR="007F1829">
        <w:rPr>
          <w:color w:val="000000"/>
        </w:rPr>
        <w:t xml:space="preserve">that are </w:t>
      </w:r>
      <w:r w:rsidRPr="00F33F46">
        <w:rPr>
          <w:color w:val="000000"/>
        </w:rPr>
        <w:t xml:space="preserve">equipped with FMVSS-compliant tire pressure monitoring systems </w:t>
      </w:r>
      <w:r w:rsidR="008E4351">
        <w:rPr>
          <w:color w:val="000000"/>
        </w:rPr>
        <w:t xml:space="preserve">(TPMSs) </w:t>
      </w:r>
      <w:r w:rsidRPr="00F33F46">
        <w:rPr>
          <w:color w:val="000000"/>
        </w:rPr>
        <w:t xml:space="preserve">and malfunction indicators for the model years </w:t>
      </w:r>
      <w:r w:rsidR="007F1829">
        <w:rPr>
          <w:color w:val="000000"/>
        </w:rPr>
        <w:t>(MY</w:t>
      </w:r>
      <w:r w:rsidR="008E4351">
        <w:rPr>
          <w:color w:val="000000"/>
        </w:rPr>
        <w:t>s</w:t>
      </w:r>
      <w:r w:rsidR="007F1829">
        <w:rPr>
          <w:color w:val="000000"/>
        </w:rPr>
        <w:t xml:space="preserve">) </w:t>
      </w:r>
      <w:r w:rsidRPr="00F33F46">
        <w:rPr>
          <w:color w:val="000000"/>
        </w:rPr>
        <w:t>2006 and newer</w:t>
      </w:r>
      <w:r w:rsidR="00A71F16" w:rsidRPr="00F33F46">
        <w:rPr>
          <w:color w:val="000000"/>
        </w:rPr>
        <w:t>, and their drivers</w:t>
      </w:r>
      <w:r w:rsidRPr="00F33F46">
        <w:rPr>
          <w:color w:val="000000"/>
        </w:rPr>
        <w:t xml:space="preserve">.  In MY 2006, FMVSS 138 required </w:t>
      </w:r>
      <w:r w:rsidR="007F1829">
        <w:rPr>
          <w:color w:val="000000"/>
        </w:rPr>
        <w:t>2</w:t>
      </w:r>
      <w:r w:rsidRPr="00F33F46">
        <w:rPr>
          <w:color w:val="000000"/>
        </w:rPr>
        <w:t xml:space="preserve">0 percent compliance; in MY 2007, 70 percent; and in MY 2008 and later, 100 percent.  FMVSS 138 also required a standardized TPMS malfunction indicator as of MY 2008.  Responsible drivers of these vehicles will be the </w:t>
      </w:r>
      <w:r w:rsidR="007F1829">
        <w:rPr>
          <w:color w:val="000000"/>
        </w:rPr>
        <w:t xml:space="preserve">potential </w:t>
      </w:r>
      <w:r w:rsidRPr="00F33F46">
        <w:rPr>
          <w:color w:val="000000"/>
        </w:rPr>
        <w:t>int</w:t>
      </w:r>
      <w:r w:rsidR="00D745EB" w:rsidRPr="00F33F46">
        <w:rPr>
          <w:color w:val="000000"/>
        </w:rPr>
        <w:t xml:space="preserve">erview respondents.  </w:t>
      </w:r>
      <w:r w:rsidR="00F3043C">
        <w:rPr>
          <w:color w:val="000000"/>
        </w:rPr>
        <w:t>Th</w:t>
      </w:r>
      <w:r w:rsidR="00D745EB" w:rsidRPr="00F33F46">
        <w:rPr>
          <w:color w:val="000000"/>
        </w:rPr>
        <w:t>e size of this vehicle population for 2016 is approximately</w:t>
      </w:r>
      <w:r w:rsidRPr="00F33F46">
        <w:rPr>
          <w:color w:val="000000"/>
        </w:rPr>
        <w:t xml:space="preserve"> </w:t>
      </w:r>
      <w:r w:rsidR="00D745EB" w:rsidRPr="00F33F46">
        <w:rPr>
          <w:color w:val="000000"/>
        </w:rPr>
        <w:t>13</w:t>
      </w:r>
      <w:r w:rsidR="00F3043C">
        <w:rPr>
          <w:color w:val="000000"/>
        </w:rPr>
        <w:t>6</w:t>
      </w:r>
      <w:r w:rsidR="00D745EB" w:rsidRPr="00F33F46">
        <w:rPr>
          <w:color w:val="000000"/>
        </w:rPr>
        <w:t xml:space="preserve">,000,000 based on the following </w:t>
      </w:r>
      <w:r w:rsidR="00D37904" w:rsidRPr="00F33F46">
        <w:rPr>
          <w:color w:val="000000"/>
        </w:rPr>
        <w:t xml:space="preserve">approximate </w:t>
      </w:r>
      <w:r w:rsidR="00F3043C">
        <w:rPr>
          <w:color w:val="000000"/>
        </w:rPr>
        <w:t xml:space="preserve">national </w:t>
      </w:r>
      <w:r w:rsidR="00D745EB" w:rsidRPr="00F33F46">
        <w:rPr>
          <w:color w:val="000000"/>
        </w:rPr>
        <w:t>registration numbers</w:t>
      </w:r>
      <w:r w:rsidR="0031762F" w:rsidRPr="00F33F46">
        <w:rPr>
          <w:rStyle w:val="FootnoteReference"/>
          <w:color w:val="000000"/>
        </w:rPr>
        <w:footnoteReference w:id="1"/>
      </w:r>
      <w:r w:rsidR="0031762F" w:rsidRPr="00F33F46">
        <w:rPr>
          <w:color w:val="000000"/>
        </w:rPr>
        <w:t xml:space="preserve"> that have been scaled to</w:t>
      </w:r>
      <w:r w:rsidR="00D745EB" w:rsidRPr="00F33F46">
        <w:rPr>
          <w:color w:val="000000"/>
        </w:rPr>
        <w:t xml:space="preserve"> TPMS phase-in requirements:</w:t>
      </w:r>
    </w:p>
    <w:p w14:paraId="1A608D87" w14:textId="6C6C562F" w:rsidR="008B1EEA" w:rsidRPr="00F33F46" w:rsidRDefault="008B1EEA" w:rsidP="00AD6115">
      <w:pPr>
        <w:rPr>
          <w:color w:val="000000"/>
        </w:rPr>
      </w:pPr>
    </w:p>
    <w:p w14:paraId="05224232" w14:textId="77777777" w:rsidR="008B1EEA" w:rsidRPr="005F3164" w:rsidRDefault="008B1EEA" w:rsidP="008B1EEA">
      <w:pPr>
        <w:rPr>
          <w:color w:val="000000"/>
        </w:rPr>
      </w:pPr>
      <w:r w:rsidRPr="005F3164">
        <w:rPr>
          <w:color w:val="000000"/>
        </w:rPr>
        <w:t xml:space="preserve">MY 2006 (20% TPMS phase-in)  </w:t>
      </w:r>
      <w:r w:rsidRPr="005F3164">
        <w:rPr>
          <w:color w:val="000000"/>
        </w:rPr>
        <w:tab/>
        <w:t xml:space="preserve">    2,800,000</w:t>
      </w:r>
    </w:p>
    <w:p w14:paraId="0E523CF4" w14:textId="77777777" w:rsidR="008B1EEA" w:rsidRPr="005F3164" w:rsidRDefault="008B1EEA" w:rsidP="008B1EEA">
      <w:pPr>
        <w:rPr>
          <w:color w:val="000000"/>
        </w:rPr>
      </w:pPr>
      <w:r w:rsidRPr="005F3164">
        <w:rPr>
          <w:color w:val="000000"/>
        </w:rPr>
        <w:t>MY 2007 (70% TPMS phase-in)</w:t>
      </w:r>
      <w:r w:rsidRPr="005F3164">
        <w:rPr>
          <w:color w:val="000000"/>
        </w:rPr>
        <w:tab/>
        <w:t xml:space="preserve">    9,</w:t>
      </w:r>
      <w:r w:rsidR="007F1829" w:rsidRPr="005F3164">
        <w:rPr>
          <w:color w:val="000000"/>
        </w:rPr>
        <w:t>8</w:t>
      </w:r>
      <w:r w:rsidRPr="005F3164">
        <w:rPr>
          <w:color w:val="000000"/>
        </w:rPr>
        <w:t>00,000</w:t>
      </w:r>
    </w:p>
    <w:p w14:paraId="03F90661" w14:textId="77777777" w:rsidR="008B1EEA" w:rsidRPr="005F3164" w:rsidRDefault="008B1EEA" w:rsidP="008B1EEA">
      <w:pPr>
        <w:rPr>
          <w:color w:val="000000"/>
        </w:rPr>
      </w:pPr>
      <w:r w:rsidRPr="005F3164">
        <w:rPr>
          <w:color w:val="000000"/>
        </w:rPr>
        <w:t>MY 2008</w:t>
      </w:r>
      <w:r w:rsidR="001F52A7" w:rsidRPr="005F3164">
        <w:rPr>
          <w:color w:val="000000"/>
        </w:rPr>
        <w:t>-2016</w:t>
      </w:r>
      <w:r w:rsidRPr="005F3164">
        <w:rPr>
          <w:color w:val="000000"/>
        </w:rPr>
        <w:t xml:space="preserve"> (100% TPMS)</w:t>
      </w:r>
      <w:r w:rsidRPr="005F3164">
        <w:rPr>
          <w:color w:val="000000"/>
        </w:rPr>
        <w:tab/>
        <w:t>12</w:t>
      </w:r>
      <w:r w:rsidR="007F1829" w:rsidRPr="005F3164">
        <w:rPr>
          <w:color w:val="000000"/>
        </w:rPr>
        <w:t>3</w:t>
      </w:r>
      <w:r w:rsidRPr="005F3164">
        <w:rPr>
          <w:color w:val="000000"/>
        </w:rPr>
        <w:t>,</w:t>
      </w:r>
      <w:r w:rsidR="007F1829" w:rsidRPr="005F3164">
        <w:rPr>
          <w:color w:val="000000"/>
        </w:rPr>
        <w:t>6</w:t>
      </w:r>
      <w:r w:rsidRPr="005F3164">
        <w:rPr>
          <w:color w:val="000000"/>
        </w:rPr>
        <w:t>00,000</w:t>
      </w:r>
    </w:p>
    <w:p w14:paraId="03767163" w14:textId="77777777" w:rsidR="008B1EEA" w:rsidRPr="005F3164" w:rsidRDefault="008B1EEA" w:rsidP="008B1EEA">
      <w:pPr>
        <w:rPr>
          <w:color w:val="000000"/>
        </w:rPr>
      </w:pPr>
      <w:r w:rsidRPr="005F3164">
        <w:rPr>
          <w:color w:val="000000"/>
        </w:rPr>
        <w:t>Approximate Total</w:t>
      </w:r>
      <w:r w:rsidRPr="005F3164">
        <w:rPr>
          <w:color w:val="000000"/>
        </w:rPr>
        <w:tab/>
      </w:r>
      <w:r w:rsidRPr="005F3164">
        <w:rPr>
          <w:color w:val="000000"/>
        </w:rPr>
        <w:tab/>
      </w:r>
      <w:r w:rsidRPr="005F3164">
        <w:rPr>
          <w:color w:val="000000"/>
        </w:rPr>
        <w:tab/>
        <w:t>13</w:t>
      </w:r>
      <w:r w:rsidR="007F1829" w:rsidRPr="005F3164">
        <w:rPr>
          <w:color w:val="000000"/>
        </w:rPr>
        <w:t>6</w:t>
      </w:r>
      <w:r w:rsidRPr="005F3164">
        <w:rPr>
          <w:color w:val="000000"/>
        </w:rPr>
        <w:t>,000,000</w:t>
      </w:r>
    </w:p>
    <w:p w14:paraId="71E894A4" w14:textId="77777777" w:rsidR="00AD6115" w:rsidRPr="005F3164" w:rsidRDefault="00AD6115" w:rsidP="000E037E">
      <w:pPr>
        <w:rPr>
          <w:color w:val="000000"/>
        </w:rPr>
      </w:pPr>
    </w:p>
    <w:p w14:paraId="029B41D5" w14:textId="77777777" w:rsidR="00791FAF" w:rsidRDefault="0067004D" w:rsidP="000E037E">
      <w:pPr>
        <w:rPr>
          <w:color w:val="000000"/>
        </w:rPr>
      </w:pPr>
      <w:r w:rsidRPr="005F3164">
        <w:rPr>
          <w:color w:val="000000"/>
        </w:rPr>
        <w:t>We will not survey vehicles of MY</w:t>
      </w:r>
      <w:r w:rsidR="008E4351" w:rsidRPr="005F3164">
        <w:rPr>
          <w:color w:val="000000"/>
        </w:rPr>
        <w:t>s</w:t>
      </w:r>
      <w:r w:rsidRPr="005F3164">
        <w:rPr>
          <w:color w:val="000000"/>
        </w:rPr>
        <w:t xml:space="preserve"> 2017-18 because in 2018, these are very new and under warranty, so we would not expect to learn much about malfunction and aging from them.</w:t>
      </w:r>
      <w:r>
        <w:rPr>
          <w:color w:val="000000"/>
        </w:rPr>
        <w:t xml:space="preserve">  </w:t>
      </w:r>
      <w:r w:rsidR="00B156C6">
        <w:rPr>
          <w:color w:val="000000"/>
        </w:rPr>
        <w:t>In the previously approved ICR</w:t>
      </w:r>
      <w:r w:rsidR="00157CAC">
        <w:rPr>
          <w:color w:val="000000"/>
        </w:rPr>
        <w:t xml:space="preserve"> (OMB Control No. 2127-0626)</w:t>
      </w:r>
      <w:r w:rsidR="00B156C6">
        <w:rPr>
          <w:color w:val="000000"/>
        </w:rPr>
        <w:t>, now being modified by this revised request, the field survey was a purpos</w:t>
      </w:r>
      <w:r w:rsidR="00B91292">
        <w:rPr>
          <w:color w:val="000000"/>
        </w:rPr>
        <w:t>ively</w:t>
      </w:r>
      <w:r w:rsidR="00B156C6">
        <w:rPr>
          <w:color w:val="000000"/>
        </w:rPr>
        <w:t xml:space="preserve"> selected convenience sample with no statistical inference planned.  In the revision</w:t>
      </w:r>
      <w:r w:rsidR="00DB1E61">
        <w:rPr>
          <w:color w:val="000000"/>
        </w:rPr>
        <w:t>,</w:t>
      </w:r>
      <w:r w:rsidR="00B156C6">
        <w:rPr>
          <w:color w:val="000000"/>
        </w:rPr>
        <w:t xml:space="preserve"> a probability sample will be used to allow nationally represe</w:t>
      </w:r>
      <w:r w:rsidR="00DB1E61">
        <w:rPr>
          <w:color w:val="000000"/>
        </w:rPr>
        <w:t xml:space="preserve">ntative </w:t>
      </w:r>
      <w:r w:rsidR="00B156C6">
        <w:rPr>
          <w:color w:val="000000"/>
        </w:rPr>
        <w:t>es</w:t>
      </w:r>
      <w:r w:rsidR="00DB1E61">
        <w:rPr>
          <w:color w:val="000000"/>
        </w:rPr>
        <w:t>timates, so that the field survey may be used in future rulemaking required by the FAST Act</w:t>
      </w:r>
      <w:r w:rsidR="00B156C6">
        <w:rPr>
          <w:color w:val="000000"/>
        </w:rPr>
        <w:t>.</w:t>
      </w:r>
      <w:r w:rsidR="00F411E9">
        <w:rPr>
          <w:color w:val="000000"/>
        </w:rPr>
        <w:t xml:space="preserve">  </w:t>
      </w:r>
      <w:r w:rsidR="00791FAF" w:rsidRPr="00006881">
        <w:rPr>
          <w:color w:val="000000"/>
        </w:rPr>
        <w:t xml:space="preserve">The </w:t>
      </w:r>
      <w:r w:rsidR="00DF3F14">
        <w:rPr>
          <w:color w:val="000000"/>
        </w:rPr>
        <w:t xml:space="preserve">field survey </w:t>
      </w:r>
      <w:r w:rsidR="00791FAF" w:rsidRPr="00006881">
        <w:rPr>
          <w:color w:val="000000"/>
        </w:rPr>
        <w:t>intercept</w:t>
      </w:r>
      <w:r w:rsidR="00DF3F14">
        <w:rPr>
          <w:color w:val="000000"/>
        </w:rPr>
        <w:t>s</w:t>
      </w:r>
      <w:r w:rsidR="00791FAF" w:rsidRPr="00006881">
        <w:rPr>
          <w:color w:val="000000"/>
        </w:rPr>
        <w:t xml:space="preserve"> s</w:t>
      </w:r>
      <w:r w:rsidR="00791FAF">
        <w:rPr>
          <w:color w:val="000000"/>
        </w:rPr>
        <w:t>e</w:t>
      </w:r>
      <w:r w:rsidR="00791FAF" w:rsidRPr="00006881">
        <w:rPr>
          <w:color w:val="000000"/>
        </w:rPr>
        <w:t xml:space="preserve">lected vehicles </w:t>
      </w:r>
      <w:r w:rsidR="00A71F16">
        <w:rPr>
          <w:color w:val="000000"/>
        </w:rPr>
        <w:t xml:space="preserve">and their drivers </w:t>
      </w:r>
      <w:r w:rsidR="00791FAF">
        <w:rPr>
          <w:color w:val="000000"/>
        </w:rPr>
        <w:t xml:space="preserve">at </w:t>
      </w:r>
      <w:r w:rsidR="00791FAF" w:rsidRPr="00006881">
        <w:rPr>
          <w:color w:val="000000"/>
        </w:rPr>
        <w:t>s</w:t>
      </w:r>
      <w:r w:rsidR="00791FAF">
        <w:rPr>
          <w:color w:val="000000"/>
        </w:rPr>
        <w:t>e</w:t>
      </w:r>
      <w:r w:rsidR="00791FAF" w:rsidRPr="00006881">
        <w:rPr>
          <w:color w:val="000000"/>
        </w:rPr>
        <w:t xml:space="preserve">lected fuel stations </w:t>
      </w:r>
      <w:r w:rsidR="00791FAF">
        <w:rPr>
          <w:color w:val="000000"/>
        </w:rPr>
        <w:t>located in</w:t>
      </w:r>
      <w:r w:rsidR="00791FAF" w:rsidRPr="00006881">
        <w:rPr>
          <w:color w:val="000000"/>
        </w:rPr>
        <w:t xml:space="preserve"> se</w:t>
      </w:r>
      <w:r w:rsidR="00791FAF">
        <w:rPr>
          <w:color w:val="000000"/>
        </w:rPr>
        <w:t>lected</w:t>
      </w:r>
      <w:r w:rsidR="00791FAF" w:rsidRPr="00006881">
        <w:rPr>
          <w:color w:val="000000"/>
        </w:rPr>
        <w:t xml:space="preserve"> ZIP codes of </w:t>
      </w:r>
      <w:r w:rsidR="00791FAF">
        <w:rPr>
          <w:color w:val="000000"/>
        </w:rPr>
        <w:t>selected Primary Sampling Units (PSUs), as follows.</w:t>
      </w:r>
    </w:p>
    <w:p w14:paraId="19392B60" w14:textId="77777777" w:rsidR="00F749D4" w:rsidRDefault="00F749D4" w:rsidP="00D02504">
      <w:pPr>
        <w:rPr>
          <w:color w:val="000000"/>
        </w:rPr>
      </w:pPr>
    </w:p>
    <w:p w14:paraId="4141AEAF" w14:textId="70A35ECA" w:rsidR="00862BE5" w:rsidRDefault="00737DD4" w:rsidP="00D02504">
      <w:r>
        <w:rPr>
          <w:color w:val="000000"/>
          <w:u w:val="single"/>
        </w:rPr>
        <w:t>Th</w:t>
      </w:r>
      <w:r w:rsidR="00F749D4" w:rsidRPr="00D6712F">
        <w:rPr>
          <w:color w:val="000000"/>
          <w:u w:val="single"/>
        </w:rPr>
        <w:t>e first stage of sample selection</w:t>
      </w:r>
      <w:r w:rsidR="00F749D4">
        <w:rPr>
          <w:color w:val="000000"/>
        </w:rPr>
        <w:t xml:space="preserve"> will be </w:t>
      </w:r>
      <w:r w:rsidR="00F749D4">
        <w:t>a</w:t>
      </w:r>
      <w:r w:rsidR="00524EC9">
        <w:t xml:space="preserve"> probability sample of 24 PSUs previously selected </w:t>
      </w:r>
      <w:r w:rsidR="00F05CD6">
        <w:t xml:space="preserve">from a national frame </w:t>
      </w:r>
      <w:r w:rsidR="00524EC9">
        <w:t>for NHTSA’s Crash Investigation Sampling System (CISS).</w:t>
      </w:r>
      <w:r w:rsidR="00F749D4">
        <w:t xml:space="preserve">  A CISS PSU is a geographic area defined by a county or group of counties.  </w:t>
      </w:r>
      <w:r w:rsidR="00524EC9">
        <w:t xml:space="preserve">The CISS sample design allows a scalable sample </w:t>
      </w:r>
      <w:r w:rsidR="00B17CAC">
        <w:t xml:space="preserve">size </w:t>
      </w:r>
      <w:r w:rsidR="00524EC9">
        <w:t xml:space="preserve">of from 16 to </w:t>
      </w:r>
      <w:r w:rsidR="00F05CD6">
        <w:t>73</w:t>
      </w:r>
      <w:r w:rsidR="00524EC9">
        <w:t xml:space="preserve"> PSUs, where </w:t>
      </w:r>
      <w:r w:rsidR="00F05CD6">
        <w:t>the PSU sample is designed for national (not State) representativeness</w:t>
      </w:r>
      <w:r w:rsidR="00524EC9">
        <w:t xml:space="preserve">.  </w:t>
      </w:r>
      <w:r w:rsidR="00440DA6">
        <w:t xml:space="preserve">The measure of size for the CISS PSUs </w:t>
      </w:r>
      <w:r w:rsidR="00CC4998">
        <w:t xml:space="preserve">was a composite involving </w:t>
      </w:r>
      <w:r w:rsidR="00440DA6">
        <w:t>crash counts, registration proportions, and populations, and</w:t>
      </w:r>
      <w:r w:rsidR="00DB1E61" w:rsidRPr="000D2253">
        <w:t xml:space="preserve"> favored newer vehicles, which is also advantageous to this survey. </w:t>
      </w:r>
      <w:r w:rsidR="008E4351">
        <w:t xml:space="preserve"> </w:t>
      </w:r>
      <w:r w:rsidR="00524EC9" w:rsidRPr="000D2253">
        <w:t xml:space="preserve">The CISS PSUs </w:t>
      </w:r>
      <w:r w:rsidR="00CC4998">
        <w:t>were formed as groups of adjacent counties with end-to-end distance no more than 65 miles for urban areas and 130 miles for rural areas, and are</w:t>
      </w:r>
      <w:r w:rsidR="00524EC9" w:rsidRPr="000D2253">
        <w:t xml:space="preserve"> stratified by four </w:t>
      </w:r>
      <w:r w:rsidR="008E2883">
        <w:t xml:space="preserve">U.S. census </w:t>
      </w:r>
      <w:r w:rsidR="00524EC9" w:rsidRPr="000D2253">
        <w:t xml:space="preserve">regions </w:t>
      </w:r>
      <w:r w:rsidR="000D2253" w:rsidRPr="000D2253">
        <w:t>(North, Midwest, South, and West)</w:t>
      </w:r>
      <w:r w:rsidR="000D2253">
        <w:t xml:space="preserve"> </w:t>
      </w:r>
      <w:r w:rsidR="00524EC9" w:rsidRPr="000D2253">
        <w:t xml:space="preserve">and </w:t>
      </w:r>
      <w:r w:rsidR="00DB1E61" w:rsidRPr="000D2253">
        <w:t xml:space="preserve">by </w:t>
      </w:r>
      <w:r w:rsidR="00524EC9" w:rsidRPr="000D2253">
        <w:t xml:space="preserve">rural or urban area, resulting in </w:t>
      </w:r>
      <w:r w:rsidR="007C036E" w:rsidRPr="000D2253">
        <w:t>4*2=8</w:t>
      </w:r>
      <w:r w:rsidR="00524EC9" w:rsidRPr="000D2253">
        <w:t xml:space="preserve"> strata.  The selected 24-PSU sample </w:t>
      </w:r>
      <w:r w:rsidR="007C036E" w:rsidRPr="000D2253">
        <w:t>was drawn with probabilit</w:t>
      </w:r>
      <w:r w:rsidR="0079173D">
        <w:t>ies</w:t>
      </w:r>
      <w:r w:rsidR="007C036E" w:rsidRPr="000D2253">
        <w:t xml:space="preserve"> proportional to size </w:t>
      </w:r>
      <w:r w:rsidR="000D2253" w:rsidRPr="000D2253">
        <w:t>with</w:t>
      </w:r>
      <w:r w:rsidR="00524EC9" w:rsidRPr="000D2253">
        <w:t xml:space="preserve"> two </w:t>
      </w:r>
      <w:r w:rsidR="000D2253" w:rsidRPr="000D2253">
        <w:t>rural and four urban PSUs from each region</w:t>
      </w:r>
      <w:r w:rsidR="000D2253">
        <w:t>.</w:t>
      </w:r>
      <w:r w:rsidR="000D2253" w:rsidRPr="000D2253">
        <w:t xml:space="preserve"> </w:t>
      </w:r>
      <w:r w:rsidR="00524EC9">
        <w:t xml:space="preserve">The CISS sample </w:t>
      </w:r>
      <w:r w:rsidR="00EA75B6">
        <w:t>design</w:t>
      </w:r>
      <w:r w:rsidR="00524EC9">
        <w:t xml:space="preserve"> was approved in OMB </w:t>
      </w:r>
      <w:r w:rsidR="00EA75B6">
        <w:t xml:space="preserve">2127-0706.  The </w:t>
      </w:r>
      <w:r w:rsidR="008E2883">
        <w:t xml:space="preserve">primary sample </w:t>
      </w:r>
      <w:r w:rsidR="00EA75B6">
        <w:t>size</w:t>
      </w:r>
      <w:r w:rsidR="008E2883">
        <w:t>,</w:t>
      </w:r>
      <w:r w:rsidR="0059361A">
        <w:t xml:space="preserve"> </w:t>
      </w:r>
      <w:r w:rsidR="00EA75B6">
        <w:t>24 PSUs</w:t>
      </w:r>
      <w:r w:rsidR="008E2883">
        <w:t>,</w:t>
      </w:r>
      <w:r w:rsidR="001F38AC">
        <w:t xml:space="preserve"> </w:t>
      </w:r>
      <w:r w:rsidR="00DB1E61">
        <w:t xml:space="preserve">for the TPMS-ORRC field survey </w:t>
      </w:r>
      <w:r w:rsidR="00EA75B6">
        <w:t xml:space="preserve">was chosen as the largest affordable </w:t>
      </w:r>
      <w:r w:rsidR="007C036E">
        <w:t>PSU sample</w:t>
      </w:r>
      <w:r w:rsidR="00B17CAC">
        <w:t xml:space="preserve"> size</w:t>
      </w:r>
      <w:r w:rsidR="00EA75B6">
        <w:t>, but also is advantageous because it gives the same number of PSUs as in NHTSA’s previous TPMS survey, the TPMS Special Study</w:t>
      </w:r>
      <w:r w:rsidR="00DB1E61">
        <w:t xml:space="preserve"> (although the</w:t>
      </w:r>
      <w:r w:rsidR="008E1248">
        <w:t xml:space="preserve"> PSUs in the </w:t>
      </w:r>
      <w:r w:rsidR="007C036E">
        <w:t>earlier s</w:t>
      </w:r>
      <w:r w:rsidR="008E1248">
        <w:t>tudy</w:t>
      </w:r>
      <w:r w:rsidR="00DB1E61">
        <w:t xml:space="preserve"> were different, drawn from the previous NHTSA </w:t>
      </w:r>
      <w:r w:rsidR="00527E79">
        <w:t>Crashworthiness Data System (CDS)</w:t>
      </w:r>
      <w:r w:rsidR="008E1248">
        <w:t>)</w:t>
      </w:r>
      <w:r w:rsidR="00EA75B6">
        <w:t xml:space="preserve">.  </w:t>
      </w:r>
      <w:r w:rsidR="00F4452D">
        <w:t xml:space="preserve">We will use the already-calculated CISS </w:t>
      </w:r>
      <w:r w:rsidR="00EA75B6">
        <w:t xml:space="preserve">PSU </w:t>
      </w:r>
      <w:r w:rsidR="008E2883">
        <w:t xml:space="preserve">sampling </w:t>
      </w:r>
      <w:r w:rsidR="00F4452D">
        <w:t xml:space="preserve">probabilities </w:t>
      </w:r>
      <w:r w:rsidR="00EA75B6">
        <w:t xml:space="preserve">for the </w:t>
      </w:r>
      <w:r w:rsidR="00F4452D">
        <w:t>first stage selection probability.</w:t>
      </w:r>
      <w:r w:rsidR="00DB1E61">
        <w:t xml:space="preserve">  Operationally, the 24 CISS PSU sample is advantageous because NHTSA already has a current presence in these PSUs</w:t>
      </w:r>
      <w:r w:rsidR="00533A46">
        <w:t xml:space="preserve"> through CISS</w:t>
      </w:r>
      <w:r w:rsidR="00DB1E61">
        <w:t>.</w:t>
      </w:r>
      <w:r w:rsidR="00527E79">
        <w:t xml:space="preserve">  </w:t>
      </w:r>
      <w:r w:rsidR="00862BE5">
        <w:t xml:space="preserve">The </w:t>
      </w:r>
      <w:r w:rsidR="001F6FFA">
        <w:t>P</w:t>
      </w:r>
      <w:r w:rsidR="00862BE5">
        <w:t xml:space="preserve">SU sites </w:t>
      </w:r>
      <w:r w:rsidR="00B16A00">
        <w:t xml:space="preserve">and </w:t>
      </w:r>
      <w:r w:rsidR="002E4E69">
        <w:t xml:space="preserve">their 2015 estimated </w:t>
      </w:r>
      <w:r w:rsidR="00A83DDB">
        <w:t>p</w:t>
      </w:r>
      <w:r w:rsidR="00B16A00">
        <w:t xml:space="preserve">opulations </w:t>
      </w:r>
      <w:r w:rsidR="00862BE5">
        <w:t>are</w:t>
      </w:r>
      <w:r w:rsidR="0079173D">
        <w:t xml:space="preserve"> shown in </w:t>
      </w:r>
      <w:r w:rsidR="008B5089">
        <w:t xml:space="preserve">Table </w:t>
      </w:r>
      <w:r w:rsidR="0079173D">
        <w:t>B-1</w:t>
      </w:r>
      <w:r w:rsidR="00B16A00">
        <w:t>.</w:t>
      </w:r>
    </w:p>
    <w:p w14:paraId="0FD751E2" w14:textId="77777777" w:rsidR="00737DD4" w:rsidRDefault="00737DD4" w:rsidP="00D02504"/>
    <w:p w14:paraId="526D0A91" w14:textId="46786FA2" w:rsidR="00957E39" w:rsidRPr="009A73CC" w:rsidRDefault="008B5089" w:rsidP="00D02504">
      <w:pPr>
        <w:rPr>
          <w:sz w:val="22"/>
          <w:szCs w:val="22"/>
        </w:rPr>
      </w:pPr>
      <w:r>
        <w:rPr>
          <w:sz w:val="22"/>
          <w:szCs w:val="22"/>
        </w:rPr>
        <w:t>Table</w:t>
      </w:r>
      <w:r w:rsidR="008E2883" w:rsidRPr="009A73CC">
        <w:rPr>
          <w:sz w:val="22"/>
          <w:szCs w:val="22"/>
        </w:rPr>
        <w:t xml:space="preserve"> B-1: Sample Primary Sampling Units (PSUs)</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79"/>
        <w:gridCol w:w="4070"/>
        <w:gridCol w:w="1847"/>
        <w:gridCol w:w="1515"/>
      </w:tblGrid>
      <w:tr w:rsidR="005874ED" w:rsidRPr="00096F8E" w14:paraId="13BA2521" w14:textId="77777777" w:rsidTr="000B6E47">
        <w:tc>
          <w:tcPr>
            <w:tcW w:w="0" w:type="auto"/>
            <w:shd w:val="clear" w:color="auto" w:fill="auto"/>
            <w:noWrap/>
            <w:vAlign w:val="center"/>
            <w:hideMark/>
          </w:tcPr>
          <w:p w14:paraId="3C3B30BF" w14:textId="77777777" w:rsidR="005874ED" w:rsidRPr="000B6E47" w:rsidRDefault="005874ED" w:rsidP="005874ED">
            <w:pPr>
              <w:spacing w:after="100" w:afterAutospacing="1"/>
              <w:jc w:val="center"/>
              <w:rPr>
                <w:rFonts w:asciiTheme="minorHAnsi" w:hAnsiTheme="minorHAnsi"/>
                <w:b/>
                <w:bCs/>
                <w:color w:val="000000"/>
                <w:sz w:val="20"/>
                <w:szCs w:val="20"/>
              </w:rPr>
            </w:pPr>
            <w:r w:rsidRPr="000B6E47">
              <w:rPr>
                <w:rFonts w:asciiTheme="minorHAnsi" w:hAnsiTheme="minorHAnsi"/>
                <w:b/>
                <w:bCs/>
                <w:color w:val="000000"/>
                <w:sz w:val="20"/>
                <w:szCs w:val="20"/>
              </w:rPr>
              <w:t>STATE</w:t>
            </w:r>
          </w:p>
        </w:tc>
        <w:tc>
          <w:tcPr>
            <w:tcW w:w="0" w:type="auto"/>
            <w:shd w:val="clear" w:color="auto" w:fill="auto"/>
            <w:noWrap/>
            <w:vAlign w:val="center"/>
            <w:hideMark/>
          </w:tcPr>
          <w:p w14:paraId="45C9E195" w14:textId="77777777" w:rsidR="005874ED" w:rsidRPr="000B6E47" w:rsidRDefault="005874ED" w:rsidP="005874ED">
            <w:pPr>
              <w:spacing w:after="100" w:afterAutospacing="1"/>
              <w:jc w:val="both"/>
              <w:rPr>
                <w:rFonts w:asciiTheme="minorHAnsi" w:hAnsiTheme="minorHAnsi"/>
                <w:b/>
                <w:bCs/>
                <w:color w:val="000000"/>
                <w:sz w:val="20"/>
                <w:szCs w:val="20"/>
              </w:rPr>
            </w:pPr>
            <w:r w:rsidRPr="000B6E47">
              <w:rPr>
                <w:rFonts w:asciiTheme="minorHAnsi" w:hAnsiTheme="minorHAnsi"/>
                <w:b/>
                <w:bCs/>
                <w:color w:val="000000"/>
                <w:sz w:val="20"/>
                <w:szCs w:val="20"/>
              </w:rPr>
              <w:t>COUNTY</w:t>
            </w:r>
          </w:p>
        </w:tc>
        <w:tc>
          <w:tcPr>
            <w:tcW w:w="0" w:type="auto"/>
            <w:shd w:val="clear" w:color="auto" w:fill="auto"/>
            <w:noWrap/>
            <w:vAlign w:val="center"/>
            <w:hideMark/>
          </w:tcPr>
          <w:p w14:paraId="6CDFF4EE" w14:textId="77777777" w:rsidR="005874ED" w:rsidRPr="000B6E47" w:rsidRDefault="005874ED" w:rsidP="005874ED">
            <w:pPr>
              <w:spacing w:after="100" w:afterAutospacing="1"/>
              <w:jc w:val="both"/>
              <w:rPr>
                <w:rFonts w:asciiTheme="minorHAnsi" w:hAnsiTheme="minorHAnsi"/>
                <w:b/>
                <w:bCs/>
                <w:color w:val="000000"/>
                <w:sz w:val="20"/>
                <w:szCs w:val="20"/>
              </w:rPr>
            </w:pPr>
            <w:r w:rsidRPr="000B6E47">
              <w:rPr>
                <w:rFonts w:asciiTheme="minorHAnsi" w:hAnsiTheme="minorHAnsi"/>
                <w:b/>
                <w:bCs/>
                <w:color w:val="000000"/>
                <w:sz w:val="20"/>
                <w:szCs w:val="20"/>
              </w:rPr>
              <w:t>STRATUM</w:t>
            </w:r>
          </w:p>
        </w:tc>
        <w:tc>
          <w:tcPr>
            <w:tcW w:w="0" w:type="auto"/>
            <w:shd w:val="clear" w:color="auto" w:fill="auto"/>
            <w:noWrap/>
            <w:vAlign w:val="center"/>
            <w:hideMark/>
          </w:tcPr>
          <w:p w14:paraId="66C44C90" w14:textId="77777777" w:rsidR="005874ED" w:rsidRPr="000B6E47" w:rsidRDefault="005874ED" w:rsidP="005874ED">
            <w:pPr>
              <w:spacing w:after="100" w:afterAutospacing="1"/>
              <w:jc w:val="right"/>
              <w:rPr>
                <w:rFonts w:asciiTheme="minorHAnsi" w:hAnsiTheme="minorHAnsi"/>
                <w:b/>
                <w:bCs/>
                <w:color w:val="000000"/>
                <w:sz w:val="20"/>
                <w:szCs w:val="20"/>
              </w:rPr>
            </w:pPr>
            <w:r w:rsidRPr="000B6E47">
              <w:rPr>
                <w:rFonts w:asciiTheme="minorHAnsi" w:hAnsiTheme="minorHAnsi"/>
                <w:b/>
                <w:bCs/>
                <w:color w:val="000000"/>
                <w:sz w:val="20"/>
                <w:szCs w:val="20"/>
              </w:rPr>
              <w:t>Pop. (2015 est.)</w:t>
            </w:r>
          </w:p>
        </w:tc>
      </w:tr>
      <w:tr w:rsidR="00C65200" w:rsidRPr="00096F8E" w14:paraId="5D5C156D" w14:textId="77777777" w:rsidTr="000B6E47">
        <w:tc>
          <w:tcPr>
            <w:tcW w:w="0" w:type="auto"/>
            <w:shd w:val="clear" w:color="auto" w:fill="auto"/>
            <w:noWrap/>
            <w:vAlign w:val="center"/>
            <w:hideMark/>
          </w:tcPr>
          <w:p w14:paraId="672F1D48"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AL</w:t>
            </w:r>
          </w:p>
        </w:tc>
        <w:tc>
          <w:tcPr>
            <w:tcW w:w="0" w:type="auto"/>
            <w:shd w:val="clear" w:color="auto" w:fill="auto"/>
            <w:noWrap/>
            <w:vAlign w:val="center"/>
            <w:hideMark/>
          </w:tcPr>
          <w:p w14:paraId="15833923"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ETOWAH</w:t>
            </w:r>
          </w:p>
        </w:tc>
        <w:tc>
          <w:tcPr>
            <w:tcW w:w="0" w:type="auto"/>
            <w:shd w:val="clear" w:color="auto" w:fill="auto"/>
            <w:noWrap/>
            <w:vAlign w:val="center"/>
            <w:hideMark/>
          </w:tcPr>
          <w:p w14:paraId="6633AF5B"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SOUTH RURAL</w:t>
            </w:r>
          </w:p>
        </w:tc>
        <w:tc>
          <w:tcPr>
            <w:tcW w:w="0" w:type="auto"/>
            <w:shd w:val="clear" w:color="auto" w:fill="auto"/>
            <w:noWrap/>
            <w:vAlign w:val="center"/>
            <w:hideMark/>
          </w:tcPr>
          <w:p w14:paraId="67DB2660"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103,057</w:t>
            </w:r>
          </w:p>
        </w:tc>
      </w:tr>
      <w:tr w:rsidR="00C65200" w:rsidRPr="00096F8E" w14:paraId="13F1A40C" w14:textId="77777777" w:rsidTr="000B6E47">
        <w:tc>
          <w:tcPr>
            <w:tcW w:w="0" w:type="auto"/>
            <w:shd w:val="clear" w:color="auto" w:fill="auto"/>
            <w:noWrap/>
            <w:vAlign w:val="center"/>
            <w:hideMark/>
          </w:tcPr>
          <w:p w14:paraId="30AEEDA9"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AZ</w:t>
            </w:r>
          </w:p>
        </w:tc>
        <w:tc>
          <w:tcPr>
            <w:tcW w:w="0" w:type="auto"/>
            <w:shd w:val="clear" w:color="auto" w:fill="auto"/>
            <w:noWrap/>
            <w:vAlign w:val="center"/>
            <w:hideMark/>
          </w:tcPr>
          <w:p w14:paraId="41E037EC"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MARICOPA</w:t>
            </w:r>
          </w:p>
        </w:tc>
        <w:tc>
          <w:tcPr>
            <w:tcW w:w="0" w:type="auto"/>
            <w:shd w:val="clear" w:color="auto" w:fill="auto"/>
            <w:noWrap/>
            <w:vAlign w:val="center"/>
            <w:hideMark/>
          </w:tcPr>
          <w:p w14:paraId="51CE362B"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WEST URBAN</w:t>
            </w:r>
          </w:p>
        </w:tc>
        <w:tc>
          <w:tcPr>
            <w:tcW w:w="0" w:type="auto"/>
            <w:shd w:val="clear" w:color="auto" w:fill="auto"/>
            <w:noWrap/>
            <w:vAlign w:val="center"/>
            <w:hideMark/>
          </w:tcPr>
          <w:p w14:paraId="6F00FCDD"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4,167,947</w:t>
            </w:r>
          </w:p>
        </w:tc>
      </w:tr>
      <w:tr w:rsidR="00C65200" w:rsidRPr="00096F8E" w14:paraId="1F870B26" w14:textId="77777777" w:rsidTr="000B6E47">
        <w:tc>
          <w:tcPr>
            <w:tcW w:w="0" w:type="auto"/>
            <w:shd w:val="clear" w:color="auto" w:fill="auto"/>
            <w:noWrap/>
            <w:vAlign w:val="center"/>
            <w:hideMark/>
          </w:tcPr>
          <w:p w14:paraId="382F1A48"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CA</w:t>
            </w:r>
          </w:p>
        </w:tc>
        <w:tc>
          <w:tcPr>
            <w:tcW w:w="0" w:type="auto"/>
            <w:shd w:val="clear" w:color="auto" w:fill="auto"/>
            <w:noWrap/>
            <w:vAlign w:val="center"/>
            <w:hideMark/>
          </w:tcPr>
          <w:p w14:paraId="020FFF4C"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BUTTE</w:t>
            </w:r>
          </w:p>
        </w:tc>
        <w:tc>
          <w:tcPr>
            <w:tcW w:w="0" w:type="auto"/>
            <w:shd w:val="clear" w:color="auto" w:fill="auto"/>
            <w:noWrap/>
            <w:vAlign w:val="center"/>
            <w:hideMark/>
          </w:tcPr>
          <w:p w14:paraId="3AC1B07F"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WEST RURAL</w:t>
            </w:r>
          </w:p>
        </w:tc>
        <w:tc>
          <w:tcPr>
            <w:tcW w:w="0" w:type="auto"/>
            <w:shd w:val="clear" w:color="auto" w:fill="auto"/>
            <w:noWrap/>
            <w:vAlign w:val="center"/>
            <w:hideMark/>
          </w:tcPr>
          <w:p w14:paraId="339CC039"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225,411</w:t>
            </w:r>
          </w:p>
        </w:tc>
      </w:tr>
      <w:tr w:rsidR="00C65200" w:rsidRPr="00096F8E" w14:paraId="500D0154" w14:textId="77777777" w:rsidTr="000B6E47">
        <w:tc>
          <w:tcPr>
            <w:tcW w:w="0" w:type="auto"/>
            <w:shd w:val="clear" w:color="auto" w:fill="auto"/>
            <w:noWrap/>
            <w:vAlign w:val="center"/>
            <w:hideMark/>
          </w:tcPr>
          <w:p w14:paraId="1AC36C60"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CA</w:t>
            </w:r>
          </w:p>
        </w:tc>
        <w:tc>
          <w:tcPr>
            <w:tcW w:w="0" w:type="auto"/>
            <w:shd w:val="clear" w:color="auto" w:fill="auto"/>
            <w:noWrap/>
            <w:vAlign w:val="center"/>
            <w:hideMark/>
          </w:tcPr>
          <w:p w14:paraId="562161DC"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MONTEREY</w:t>
            </w:r>
          </w:p>
        </w:tc>
        <w:tc>
          <w:tcPr>
            <w:tcW w:w="0" w:type="auto"/>
            <w:shd w:val="clear" w:color="auto" w:fill="auto"/>
            <w:noWrap/>
            <w:vAlign w:val="center"/>
            <w:hideMark/>
          </w:tcPr>
          <w:p w14:paraId="59B41D98"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WEST URBAN</w:t>
            </w:r>
          </w:p>
        </w:tc>
        <w:tc>
          <w:tcPr>
            <w:tcW w:w="0" w:type="auto"/>
            <w:shd w:val="clear" w:color="auto" w:fill="auto"/>
            <w:noWrap/>
            <w:vAlign w:val="center"/>
            <w:hideMark/>
          </w:tcPr>
          <w:p w14:paraId="6DE046E7"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433,898</w:t>
            </w:r>
          </w:p>
        </w:tc>
      </w:tr>
      <w:tr w:rsidR="00C65200" w:rsidRPr="00096F8E" w14:paraId="7787066A" w14:textId="77777777" w:rsidTr="000B6E47">
        <w:tc>
          <w:tcPr>
            <w:tcW w:w="0" w:type="auto"/>
            <w:shd w:val="clear" w:color="auto" w:fill="auto"/>
            <w:noWrap/>
            <w:vAlign w:val="center"/>
            <w:hideMark/>
          </w:tcPr>
          <w:p w14:paraId="1DF8E5A2"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CA</w:t>
            </w:r>
          </w:p>
        </w:tc>
        <w:tc>
          <w:tcPr>
            <w:tcW w:w="0" w:type="auto"/>
            <w:shd w:val="clear" w:color="auto" w:fill="auto"/>
            <w:noWrap/>
            <w:vAlign w:val="center"/>
            <w:hideMark/>
          </w:tcPr>
          <w:p w14:paraId="708E43D4"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SACRAMENTO</w:t>
            </w:r>
          </w:p>
        </w:tc>
        <w:tc>
          <w:tcPr>
            <w:tcW w:w="0" w:type="auto"/>
            <w:shd w:val="clear" w:color="auto" w:fill="auto"/>
            <w:noWrap/>
            <w:vAlign w:val="center"/>
            <w:hideMark/>
          </w:tcPr>
          <w:p w14:paraId="1CCCFCE6"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WEST URBAN</w:t>
            </w:r>
          </w:p>
        </w:tc>
        <w:tc>
          <w:tcPr>
            <w:tcW w:w="0" w:type="auto"/>
            <w:shd w:val="clear" w:color="auto" w:fill="auto"/>
            <w:noWrap/>
            <w:vAlign w:val="center"/>
            <w:hideMark/>
          </w:tcPr>
          <w:p w14:paraId="7F0ED825"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1,501,335</w:t>
            </w:r>
          </w:p>
        </w:tc>
      </w:tr>
      <w:tr w:rsidR="00C65200" w:rsidRPr="00096F8E" w14:paraId="05417C81" w14:textId="77777777" w:rsidTr="000B6E47">
        <w:tc>
          <w:tcPr>
            <w:tcW w:w="0" w:type="auto"/>
            <w:shd w:val="clear" w:color="auto" w:fill="auto"/>
            <w:noWrap/>
            <w:vAlign w:val="center"/>
            <w:hideMark/>
          </w:tcPr>
          <w:p w14:paraId="120DFDD5"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CA</w:t>
            </w:r>
          </w:p>
        </w:tc>
        <w:tc>
          <w:tcPr>
            <w:tcW w:w="0" w:type="auto"/>
            <w:shd w:val="clear" w:color="auto" w:fill="auto"/>
            <w:noWrap/>
            <w:vAlign w:val="center"/>
            <w:hideMark/>
          </w:tcPr>
          <w:p w14:paraId="3DCF8874"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SAN BERNARDINO</w:t>
            </w:r>
          </w:p>
        </w:tc>
        <w:tc>
          <w:tcPr>
            <w:tcW w:w="0" w:type="auto"/>
            <w:shd w:val="clear" w:color="auto" w:fill="auto"/>
            <w:noWrap/>
            <w:vAlign w:val="center"/>
            <w:hideMark/>
          </w:tcPr>
          <w:p w14:paraId="5DB2AD32"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WEST URBAN</w:t>
            </w:r>
          </w:p>
        </w:tc>
        <w:tc>
          <w:tcPr>
            <w:tcW w:w="0" w:type="auto"/>
            <w:shd w:val="clear" w:color="auto" w:fill="auto"/>
            <w:noWrap/>
            <w:vAlign w:val="center"/>
            <w:hideMark/>
          </w:tcPr>
          <w:p w14:paraId="2AAB35F3"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2,128,133</w:t>
            </w:r>
          </w:p>
        </w:tc>
      </w:tr>
      <w:tr w:rsidR="00C65200" w:rsidRPr="00096F8E" w14:paraId="6B3A2B89" w14:textId="77777777" w:rsidTr="000B6E47">
        <w:tc>
          <w:tcPr>
            <w:tcW w:w="0" w:type="auto"/>
            <w:shd w:val="clear" w:color="auto" w:fill="auto"/>
            <w:noWrap/>
            <w:vAlign w:val="center"/>
            <w:hideMark/>
          </w:tcPr>
          <w:p w14:paraId="3C521071"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ID, WA</w:t>
            </w:r>
          </w:p>
        </w:tc>
        <w:tc>
          <w:tcPr>
            <w:tcW w:w="0" w:type="auto"/>
            <w:shd w:val="clear" w:color="auto" w:fill="auto"/>
            <w:noWrap/>
            <w:vAlign w:val="center"/>
            <w:hideMark/>
          </w:tcPr>
          <w:p w14:paraId="334DA601"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ID: LATAH, NEZ PERCE; WA: ASOTIN, WHITMAN</w:t>
            </w:r>
          </w:p>
        </w:tc>
        <w:tc>
          <w:tcPr>
            <w:tcW w:w="0" w:type="auto"/>
            <w:shd w:val="clear" w:color="auto" w:fill="auto"/>
            <w:noWrap/>
            <w:vAlign w:val="center"/>
            <w:hideMark/>
          </w:tcPr>
          <w:p w14:paraId="44E63DDE"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WEST RURAL</w:t>
            </w:r>
          </w:p>
        </w:tc>
        <w:tc>
          <w:tcPr>
            <w:tcW w:w="0" w:type="auto"/>
            <w:shd w:val="clear" w:color="auto" w:fill="auto"/>
            <w:noWrap/>
            <w:vAlign w:val="center"/>
            <w:hideMark/>
          </w:tcPr>
          <w:p w14:paraId="4FE04EC1"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149,108</w:t>
            </w:r>
          </w:p>
        </w:tc>
      </w:tr>
      <w:tr w:rsidR="00C65200" w:rsidRPr="00096F8E" w14:paraId="1C3602EB" w14:textId="77777777" w:rsidTr="000B6E47">
        <w:tc>
          <w:tcPr>
            <w:tcW w:w="0" w:type="auto"/>
            <w:shd w:val="clear" w:color="auto" w:fill="auto"/>
            <w:noWrap/>
            <w:vAlign w:val="center"/>
            <w:hideMark/>
          </w:tcPr>
          <w:p w14:paraId="31A5166A"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IL</w:t>
            </w:r>
          </w:p>
        </w:tc>
        <w:tc>
          <w:tcPr>
            <w:tcW w:w="0" w:type="auto"/>
            <w:shd w:val="clear" w:color="auto" w:fill="auto"/>
            <w:noWrap/>
            <w:vAlign w:val="center"/>
            <w:hideMark/>
          </w:tcPr>
          <w:p w14:paraId="2559ACDD"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GALLATIN, HARDIN, WHITE</w:t>
            </w:r>
          </w:p>
        </w:tc>
        <w:tc>
          <w:tcPr>
            <w:tcW w:w="0" w:type="auto"/>
            <w:shd w:val="clear" w:color="auto" w:fill="auto"/>
            <w:noWrap/>
            <w:vAlign w:val="center"/>
            <w:hideMark/>
          </w:tcPr>
          <w:p w14:paraId="7C495147"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MIDWEST RURAL</w:t>
            </w:r>
          </w:p>
        </w:tc>
        <w:tc>
          <w:tcPr>
            <w:tcW w:w="0" w:type="auto"/>
            <w:shd w:val="clear" w:color="auto" w:fill="auto"/>
            <w:noWrap/>
            <w:vAlign w:val="center"/>
            <w:hideMark/>
          </w:tcPr>
          <w:p w14:paraId="23C01D6F"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23,727</w:t>
            </w:r>
          </w:p>
        </w:tc>
      </w:tr>
      <w:tr w:rsidR="00C65200" w:rsidRPr="00096F8E" w14:paraId="57B9BDC5" w14:textId="77777777" w:rsidTr="000B6E47">
        <w:tc>
          <w:tcPr>
            <w:tcW w:w="0" w:type="auto"/>
            <w:shd w:val="clear" w:color="auto" w:fill="auto"/>
            <w:noWrap/>
            <w:vAlign w:val="center"/>
            <w:hideMark/>
          </w:tcPr>
          <w:p w14:paraId="5F1AB1CF"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IL</w:t>
            </w:r>
          </w:p>
        </w:tc>
        <w:tc>
          <w:tcPr>
            <w:tcW w:w="0" w:type="auto"/>
            <w:shd w:val="clear" w:color="auto" w:fill="auto"/>
            <w:noWrap/>
            <w:vAlign w:val="center"/>
            <w:hideMark/>
          </w:tcPr>
          <w:p w14:paraId="1E243422"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HENRY, ROCK ISLAND</w:t>
            </w:r>
          </w:p>
        </w:tc>
        <w:tc>
          <w:tcPr>
            <w:tcW w:w="0" w:type="auto"/>
            <w:shd w:val="clear" w:color="auto" w:fill="auto"/>
            <w:noWrap/>
            <w:vAlign w:val="center"/>
            <w:hideMark/>
          </w:tcPr>
          <w:p w14:paraId="6DF0BF56"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MIDWEST URBAN</w:t>
            </w:r>
          </w:p>
        </w:tc>
        <w:tc>
          <w:tcPr>
            <w:tcW w:w="0" w:type="auto"/>
            <w:shd w:val="clear" w:color="auto" w:fill="auto"/>
            <w:noWrap/>
            <w:vAlign w:val="center"/>
            <w:hideMark/>
          </w:tcPr>
          <w:p w14:paraId="47E92EEB"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453,476</w:t>
            </w:r>
          </w:p>
        </w:tc>
      </w:tr>
      <w:tr w:rsidR="00C65200" w:rsidRPr="00096F8E" w14:paraId="7D041BC8" w14:textId="77777777" w:rsidTr="000B6E47">
        <w:tc>
          <w:tcPr>
            <w:tcW w:w="0" w:type="auto"/>
            <w:shd w:val="clear" w:color="auto" w:fill="auto"/>
            <w:noWrap/>
            <w:vAlign w:val="center"/>
            <w:hideMark/>
          </w:tcPr>
          <w:p w14:paraId="0BB20496"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MA</w:t>
            </w:r>
          </w:p>
        </w:tc>
        <w:tc>
          <w:tcPr>
            <w:tcW w:w="0" w:type="auto"/>
            <w:shd w:val="clear" w:color="auto" w:fill="auto"/>
            <w:noWrap/>
            <w:vAlign w:val="center"/>
            <w:hideMark/>
          </w:tcPr>
          <w:p w14:paraId="4766B60C"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BERKSHIRE</w:t>
            </w:r>
          </w:p>
        </w:tc>
        <w:tc>
          <w:tcPr>
            <w:tcW w:w="0" w:type="auto"/>
            <w:shd w:val="clear" w:color="auto" w:fill="auto"/>
            <w:noWrap/>
            <w:vAlign w:val="center"/>
            <w:hideMark/>
          </w:tcPr>
          <w:p w14:paraId="4A62D61B"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NORTHEAST RURAL</w:t>
            </w:r>
          </w:p>
        </w:tc>
        <w:tc>
          <w:tcPr>
            <w:tcW w:w="0" w:type="auto"/>
            <w:shd w:val="clear" w:color="auto" w:fill="auto"/>
            <w:noWrap/>
            <w:vAlign w:val="center"/>
            <w:hideMark/>
          </w:tcPr>
          <w:p w14:paraId="4CBCAB4A"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127,828</w:t>
            </w:r>
          </w:p>
        </w:tc>
      </w:tr>
      <w:tr w:rsidR="00C65200" w:rsidRPr="00096F8E" w14:paraId="4A04C36A" w14:textId="77777777" w:rsidTr="000B6E47">
        <w:tc>
          <w:tcPr>
            <w:tcW w:w="0" w:type="auto"/>
            <w:shd w:val="clear" w:color="auto" w:fill="auto"/>
            <w:noWrap/>
            <w:vAlign w:val="center"/>
            <w:hideMark/>
          </w:tcPr>
          <w:p w14:paraId="21AAC90F"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MA, RI</w:t>
            </w:r>
          </w:p>
        </w:tc>
        <w:tc>
          <w:tcPr>
            <w:tcW w:w="0" w:type="auto"/>
            <w:shd w:val="clear" w:color="auto" w:fill="auto"/>
            <w:noWrap/>
            <w:vAlign w:val="center"/>
            <w:hideMark/>
          </w:tcPr>
          <w:p w14:paraId="2FF0129A"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MA: BRISTOL; RI NEWPORT</w:t>
            </w:r>
          </w:p>
        </w:tc>
        <w:tc>
          <w:tcPr>
            <w:tcW w:w="0" w:type="auto"/>
            <w:shd w:val="clear" w:color="auto" w:fill="auto"/>
            <w:noWrap/>
            <w:vAlign w:val="center"/>
            <w:hideMark/>
          </w:tcPr>
          <w:p w14:paraId="280662BB"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NORTHEAST URBAN</w:t>
            </w:r>
          </w:p>
        </w:tc>
        <w:tc>
          <w:tcPr>
            <w:tcW w:w="0" w:type="auto"/>
            <w:shd w:val="clear" w:color="auto" w:fill="auto"/>
            <w:noWrap/>
            <w:vAlign w:val="center"/>
            <w:hideMark/>
          </w:tcPr>
          <w:p w14:paraId="18067009"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639,195</w:t>
            </w:r>
          </w:p>
        </w:tc>
      </w:tr>
      <w:tr w:rsidR="00C65200" w:rsidRPr="00096F8E" w14:paraId="52BA3880" w14:textId="77777777" w:rsidTr="000B6E47">
        <w:tc>
          <w:tcPr>
            <w:tcW w:w="0" w:type="auto"/>
            <w:shd w:val="clear" w:color="auto" w:fill="auto"/>
            <w:noWrap/>
            <w:vAlign w:val="center"/>
            <w:hideMark/>
          </w:tcPr>
          <w:p w14:paraId="33C9918D"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ME</w:t>
            </w:r>
          </w:p>
        </w:tc>
        <w:tc>
          <w:tcPr>
            <w:tcW w:w="0" w:type="auto"/>
            <w:shd w:val="clear" w:color="auto" w:fill="auto"/>
            <w:noWrap/>
            <w:vAlign w:val="center"/>
            <w:hideMark/>
          </w:tcPr>
          <w:p w14:paraId="56E1921B"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CUMBERLAND</w:t>
            </w:r>
          </w:p>
        </w:tc>
        <w:tc>
          <w:tcPr>
            <w:tcW w:w="0" w:type="auto"/>
            <w:shd w:val="clear" w:color="auto" w:fill="auto"/>
            <w:noWrap/>
            <w:vAlign w:val="center"/>
            <w:hideMark/>
          </w:tcPr>
          <w:p w14:paraId="26AF0561"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NORTHEAST URBAN</w:t>
            </w:r>
          </w:p>
        </w:tc>
        <w:tc>
          <w:tcPr>
            <w:tcW w:w="0" w:type="auto"/>
            <w:shd w:val="clear" w:color="auto" w:fill="auto"/>
            <w:noWrap/>
            <w:vAlign w:val="center"/>
            <w:hideMark/>
          </w:tcPr>
          <w:p w14:paraId="236E1F79"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289,977</w:t>
            </w:r>
          </w:p>
        </w:tc>
      </w:tr>
      <w:tr w:rsidR="00C65200" w:rsidRPr="00096F8E" w14:paraId="72FFF3B8" w14:textId="77777777" w:rsidTr="000B6E47">
        <w:tc>
          <w:tcPr>
            <w:tcW w:w="0" w:type="auto"/>
            <w:shd w:val="clear" w:color="auto" w:fill="auto"/>
            <w:noWrap/>
            <w:vAlign w:val="center"/>
            <w:hideMark/>
          </w:tcPr>
          <w:p w14:paraId="4D1674A5"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NJ</w:t>
            </w:r>
          </w:p>
        </w:tc>
        <w:tc>
          <w:tcPr>
            <w:tcW w:w="0" w:type="auto"/>
            <w:shd w:val="clear" w:color="auto" w:fill="auto"/>
            <w:noWrap/>
            <w:vAlign w:val="center"/>
            <w:hideMark/>
          </w:tcPr>
          <w:p w14:paraId="7185B83A"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ATLANTIC</w:t>
            </w:r>
          </w:p>
        </w:tc>
        <w:tc>
          <w:tcPr>
            <w:tcW w:w="0" w:type="auto"/>
            <w:shd w:val="clear" w:color="auto" w:fill="auto"/>
            <w:noWrap/>
            <w:vAlign w:val="center"/>
            <w:hideMark/>
          </w:tcPr>
          <w:p w14:paraId="31F9848E"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NORTHEAST URBAN</w:t>
            </w:r>
          </w:p>
        </w:tc>
        <w:tc>
          <w:tcPr>
            <w:tcW w:w="0" w:type="auto"/>
            <w:shd w:val="clear" w:color="auto" w:fill="auto"/>
            <w:noWrap/>
            <w:vAlign w:val="center"/>
            <w:hideMark/>
          </w:tcPr>
          <w:p w14:paraId="4C5EFC40"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274,219</w:t>
            </w:r>
          </w:p>
        </w:tc>
      </w:tr>
      <w:tr w:rsidR="00C65200" w:rsidRPr="00096F8E" w14:paraId="5835CC32" w14:textId="77777777" w:rsidTr="000B6E47">
        <w:tc>
          <w:tcPr>
            <w:tcW w:w="0" w:type="auto"/>
            <w:shd w:val="clear" w:color="auto" w:fill="auto"/>
            <w:noWrap/>
            <w:vAlign w:val="center"/>
            <w:hideMark/>
          </w:tcPr>
          <w:p w14:paraId="6035DD31"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NY</w:t>
            </w:r>
          </w:p>
        </w:tc>
        <w:tc>
          <w:tcPr>
            <w:tcW w:w="0" w:type="auto"/>
            <w:shd w:val="clear" w:color="auto" w:fill="auto"/>
            <w:noWrap/>
            <w:vAlign w:val="center"/>
            <w:hideMark/>
          </w:tcPr>
          <w:p w14:paraId="0D738AAE"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NASSAU</w:t>
            </w:r>
          </w:p>
        </w:tc>
        <w:tc>
          <w:tcPr>
            <w:tcW w:w="0" w:type="auto"/>
            <w:shd w:val="clear" w:color="auto" w:fill="auto"/>
            <w:noWrap/>
            <w:vAlign w:val="center"/>
            <w:hideMark/>
          </w:tcPr>
          <w:p w14:paraId="249BDB94"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NORTHEAST URBAN</w:t>
            </w:r>
          </w:p>
        </w:tc>
        <w:tc>
          <w:tcPr>
            <w:tcW w:w="0" w:type="auto"/>
            <w:shd w:val="clear" w:color="auto" w:fill="auto"/>
            <w:noWrap/>
            <w:vAlign w:val="center"/>
            <w:hideMark/>
          </w:tcPr>
          <w:p w14:paraId="0A43703F"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573,587</w:t>
            </w:r>
          </w:p>
        </w:tc>
      </w:tr>
      <w:tr w:rsidR="00C65200" w:rsidRPr="00096F8E" w14:paraId="2FD15E4D" w14:textId="77777777" w:rsidTr="000B6E47">
        <w:tc>
          <w:tcPr>
            <w:tcW w:w="0" w:type="auto"/>
            <w:shd w:val="clear" w:color="auto" w:fill="auto"/>
            <w:noWrap/>
            <w:vAlign w:val="center"/>
            <w:hideMark/>
          </w:tcPr>
          <w:p w14:paraId="22E7738E"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OH</w:t>
            </w:r>
          </w:p>
        </w:tc>
        <w:tc>
          <w:tcPr>
            <w:tcW w:w="0" w:type="auto"/>
            <w:shd w:val="clear" w:color="auto" w:fill="auto"/>
            <w:noWrap/>
            <w:vAlign w:val="center"/>
            <w:hideMark/>
          </w:tcPr>
          <w:p w14:paraId="2448DCD0"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DELAWARE, MORROW</w:t>
            </w:r>
          </w:p>
        </w:tc>
        <w:tc>
          <w:tcPr>
            <w:tcW w:w="0" w:type="auto"/>
            <w:shd w:val="clear" w:color="auto" w:fill="auto"/>
            <w:noWrap/>
            <w:vAlign w:val="center"/>
            <w:hideMark/>
          </w:tcPr>
          <w:p w14:paraId="1A4BE351"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MIDWEST URBAN</w:t>
            </w:r>
          </w:p>
        </w:tc>
        <w:tc>
          <w:tcPr>
            <w:tcW w:w="0" w:type="auto"/>
            <w:shd w:val="clear" w:color="auto" w:fill="auto"/>
            <w:noWrap/>
            <w:vAlign w:val="center"/>
            <w:hideMark/>
          </w:tcPr>
          <w:p w14:paraId="6C5C6667"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228,087</w:t>
            </w:r>
          </w:p>
        </w:tc>
      </w:tr>
      <w:tr w:rsidR="00C65200" w:rsidRPr="00096F8E" w14:paraId="0B479DD6" w14:textId="77777777" w:rsidTr="000B6E47">
        <w:tc>
          <w:tcPr>
            <w:tcW w:w="0" w:type="auto"/>
            <w:shd w:val="clear" w:color="auto" w:fill="auto"/>
            <w:noWrap/>
            <w:vAlign w:val="center"/>
            <w:hideMark/>
          </w:tcPr>
          <w:p w14:paraId="0E1B8492"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OH</w:t>
            </w:r>
          </w:p>
        </w:tc>
        <w:tc>
          <w:tcPr>
            <w:tcW w:w="0" w:type="auto"/>
            <w:shd w:val="clear" w:color="auto" w:fill="auto"/>
            <w:noWrap/>
            <w:vAlign w:val="center"/>
            <w:hideMark/>
          </w:tcPr>
          <w:p w14:paraId="50B98B49"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HAMILTON</w:t>
            </w:r>
          </w:p>
        </w:tc>
        <w:tc>
          <w:tcPr>
            <w:tcW w:w="0" w:type="auto"/>
            <w:shd w:val="clear" w:color="auto" w:fill="auto"/>
            <w:noWrap/>
            <w:vAlign w:val="center"/>
            <w:hideMark/>
          </w:tcPr>
          <w:p w14:paraId="79215CD6"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MIDWEST URBAN</w:t>
            </w:r>
          </w:p>
        </w:tc>
        <w:tc>
          <w:tcPr>
            <w:tcW w:w="0" w:type="auto"/>
            <w:shd w:val="clear" w:color="auto" w:fill="auto"/>
            <w:noWrap/>
            <w:vAlign w:val="center"/>
            <w:hideMark/>
          </w:tcPr>
          <w:p w14:paraId="0FF37E79"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807,598</w:t>
            </w:r>
          </w:p>
        </w:tc>
      </w:tr>
      <w:tr w:rsidR="00C65200" w:rsidRPr="00096F8E" w14:paraId="4606BBC6" w14:textId="77777777" w:rsidTr="000B6E47">
        <w:tc>
          <w:tcPr>
            <w:tcW w:w="0" w:type="auto"/>
            <w:shd w:val="clear" w:color="auto" w:fill="auto"/>
            <w:noWrap/>
            <w:vAlign w:val="center"/>
            <w:hideMark/>
          </w:tcPr>
          <w:p w14:paraId="557EBEDB"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OH</w:t>
            </w:r>
          </w:p>
        </w:tc>
        <w:tc>
          <w:tcPr>
            <w:tcW w:w="0" w:type="auto"/>
            <w:shd w:val="clear" w:color="auto" w:fill="auto"/>
            <w:noWrap/>
            <w:vAlign w:val="center"/>
            <w:hideMark/>
          </w:tcPr>
          <w:p w14:paraId="7A6CC686"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MONTGOMERY, PREBLE</w:t>
            </w:r>
          </w:p>
        </w:tc>
        <w:tc>
          <w:tcPr>
            <w:tcW w:w="0" w:type="auto"/>
            <w:shd w:val="clear" w:color="auto" w:fill="auto"/>
            <w:noWrap/>
            <w:vAlign w:val="center"/>
            <w:hideMark/>
          </w:tcPr>
          <w:p w14:paraId="3A090342"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MIDWEST URBAN</w:t>
            </w:r>
          </w:p>
        </w:tc>
        <w:tc>
          <w:tcPr>
            <w:tcW w:w="0" w:type="auto"/>
            <w:shd w:val="clear" w:color="auto" w:fill="auto"/>
            <w:noWrap/>
            <w:vAlign w:val="center"/>
            <w:hideMark/>
          </w:tcPr>
          <w:p w14:paraId="06CEC921"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573,587</w:t>
            </w:r>
          </w:p>
        </w:tc>
      </w:tr>
      <w:tr w:rsidR="00C65200" w:rsidRPr="00096F8E" w14:paraId="7EDF88B5" w14:textId="77777777" w:rsidTr="000B6E47">
        <w:tc>
          <w:tcPr>
            <w:tcW w:w="0" w:type="auto"/>
            <w:shd w:val="clear" w:color="auto" w:fill="auto"/>
            <w:noWrap/>
            <w:vAlign w:val="center"/>
            <w:hideMark/>
          </w:tcPr>
          <w:p w14:paraId="0B5E6B08"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OK</w:t>
            </w:r>
          </w:p>
        </w:tc>
        <w:tc>
          <w:tcPr>
            <w:tcW w:w="0" w:type="auto"/>
            <w:shd w:val="clear" w:color="auto" w:fill="auto"/>
            <w:noWrap/>
            <w:vAlign w:val="center"/>
            <w:hideMark/>
          </w:tcPr>
          <w:p w14:paraId="403CCC0D"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CARTER</w:t>
            </w:r>
          </w:p>
        </w:tc>
        <w:tc>
          <w:tcPr>
            <w:tcW w:w="0" w:type="auto"/>
            <w:shd w:val="clear" w:color="auto" w:fill="auto"/>
            <w:noWrap/>
            <w:vAlign w:val="center"/>
            <w:hideMark/>
          </w:tcPr>
          <w:p w14:paraId="776CE6C3"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SOUTH RURAL</w:t>
            </w:r>
          </w:p>
        </w:tc>
        <w:tc>
          <w:tcPr>
            <w:tcW w:w="0" w:type="auto"/>
            <w:shd w:val="clear" w:color="auto" w:fill="auto"/>
            <w:noWrap/>
            <w:vAlign w:val="center"/>
            <w:hideMark/>
          </w:tcPr>
          <w:p w14:paraId="27DDB117"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27,158</w:t>
            </w:r>
          </w:p>
        </w:tc>
      </w:tr>
      <w:tr w:rsidR="00C65200" w:rsidRPr="00096F8E" w14:paraId="2790A149" w14:textId="77777777" w:rsidTr="000B6E47">
        <w:tc>
          <w:tcPr>
            <w:tcW w:w="0" w:type="auto"/>
            <w:shd w:val="clear" w:color="auto" w:fill="auto"/>
            <w:noWrap/>
            <w:vAlign w:val="center"/>
            <w:hideMark/>
          </w:tcPr>
          <w:p w14:paraId="608C8149"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PA</w:t>
            </w:r>
          </w:p>
        </w:tc>
        <w:tc>
          <w:tcPr>
            <w:tcW w:w="0" w:type="auto"/>
            <w:shd w:val="clear" w:color="auto" w:fill="auto"/>
            <w:noWrap/>
            <w:vAlign w:val="center"/>
            <w:hideMark/>
          </w:tcPr>
          <w:p w14:paraId="0948BF57"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CAMERON, POTTER, TIOGA</w:t>
            </w:r>
          </w:p>
        </w:tc>
        <w:tc>
          <w:tcPr>
            <w:tcW w:w="0" w:type="auto"/>
            <w:shd w:val="clear" w:color="auto" w:fill="auto"/>
            <w:noWrap/>
            <w:vAlign w:val="center"/>
            <w:hideMark/>
          </w:tcPr>
          <w:p w14:paraId="46E11CB6"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NORTHEAST RURAL</w:t>
            </w:r>
          </w:p>
        </w:tc>
        <w:tc>
          <w:tcPr>
            <w:tcW w:w="0" w:type="auto"/>
            <w:shd w:val="clear" w:color="auto" w:fill="auto"/>
            <w:noWrap/>
            <w:vAlign w:val="center"/>
            <w:hideMark/>
          </w:tcPr>
          <w:p w14:paraId="45173D1F"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63,702</w:t>
            </w:r>
          </w:p>
        </w:tc>
      </w:tr>
      <w:tr w:rsidR="00C65200" w:rsidRPr="00096F8E" w14:paraId="359C983E" w14:textId="77777777" w:rsidTr="000B6E47">
        <w:tc>
          <w:tcPr>
            <w:tcW w:w="0" w:type="auto"/>
            <w:shd w:val="clear" w:color="auto" w:fill="auto"/>
            <w:noWrap/>
            <w:vAlign w:val="center"/>
            <w:hideMark/>
          </w:tcPr>
          <w:p w14:paraId="72882AE2"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TX</w:t>
            </w:r>
          </w:p>
        </w:tc>
        <w:tc>
          <w:tcPr>
            <w:tcW w:w="0" w:type="auto"/>
            <w:shd w:val="clear" w:color="auto" w:fill="auto"/>
            <w:noWrap/>
            <w:vAlign w:val="center"/>
            <w:hideMark/>
          </w:tcPr>
          <w:p w14:paraId="6CE2173C"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COMAL</w:t>
            </w:r>
          </w:p>
        </w:tc>
        <w:tc>
          <w:tcPr>
            <w:tcW w:w="0" w:type="auto"/>
            <w:shd w:val="clear" w:color="auto" w:fill="auto"/>
            <w:noWrap/>
            <w:vAlign w:val="center"/>
            <w:hideMark/>
          </w:tcPr>
          <w:p w14:paraId="38A251CF"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SOUTH URBAN</w:t>
            </w:r>
          </w:p>
        </w:tc>
        <w:tc>
          <w:tcPr>
            <w:tcW w:w="0" w:type="auto"/>
            <w:shd w:val="clear" w:color="auto" w:fill="auto"/>
            <w:noWrap/>
            <w:vAlign w:val="center"/>
            <w:hideMark/>
          </w:tcPr>
          <w:p w14:paraId="46293329"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129,048</w:t>
            </w:r>
          </w:p>
        </w:tc>
      </w:tr>
      <w:tr w:rsidR="00C65200" w:rsidRPr="00096F8E" w14:paraId="6DEC61F1" w14:textId="77777777" w:rsidTr="000B6E47">
        <w:tc>
          <w:tcPr>
            <w:tcW w:w="0" w:type="auto"/>
            <w:shd w:val="clear" w:color="auto" w:fill="auto"/>
            <w:noWrap/>
            <w:vAlign w:val="center"/>
            <w:hideMark/>
          </w:tcPr>
          <w:p w14:paraId="53894F06"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TX</w:t>
            </w:r>
          </w:p>
        </w:tc>
        <w:tc>
          <w:tcPr>
            <w:tcW w:w="0" w:type="auto"/>
            <w:shd w:val="clear" w:color="auto" w:fill="auto"/>
            <w:noWrap/>
            <w:vAlign w:val="center"/>
            <w:hideMark/>
          </w:tcPr>
          <w:p w14:paraId="55A9847A"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DALLAS</w:t>
            </w:r>
          </w:p>
        </w:tc>
        <w:tc>
          <w:tcPr>
            <w:tcW w:w="0" w:type="auto"/>
            <w:shd w:val="clear" w:color="auto" w:fill="auto"/>
            <w:noWrap/>
            <w:vAlign w:val="center"/>
            <w:hideMark/>
          </w:tcPr>
          <w:p w14:paraId="634C1A5A"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SOUTH URBAN</w:t>
            </w:r>
          </w:p>
        </w:tc>
        <w:tc>
          <w:tcPr>
            <w:tcW w:w="0" w:type="auto"/>
            <w:shd w:val="clear" w:color="auto" w:fill="auto"/>
            <w:noWrap/>
            <w:vAlign w:val="center"/>
            <w:hideMark/>
          </w:tcPr>
          <w:p w14:paraId="799BED52"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2,553,385</w:t>
            </w:r>
          </w:p>
        </w:tc>
      </w:tr>
      <w:tr w:rsidR="00C65200" w:rsidRPr="00096F8E" w14:paraId="14DFA10A" w14:textId="77777777" w:rsidTr="000B6E47">
        <w:tc>
          <w:tcPr>
            <w:tcW w:w="0" w:type="auto"/>
            <w:shd w:val="clear" w:color="auto" w:fill="auto"/>
            <w:noWrap/>
            <w:vAlign w:val="center"/>
            <w:hideMark/>
          </w:tcPr>
          <w:p w14:paraId="20763DD5"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TX</w:t>
            </w:r>
          </w:p>
        </w:tc>
        <w:tc>
          <w:tcPr>
            <w:tcW w:w="0" w:type="auto"/>
            <w:shd w:val="clear" w:color="auto" w:fill="auto"/>
            <w:noWrap/>
            <w:vAlign w:val="center"/>
            <w:hideMark/>
          </w:tcPr>
          <w:p w14:paraId="732EE1C7"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TARRANT</w:t>
            </w:r>
          </w:p>
        </w:tc>
        <w:tc>
          <w:tcPr>
            <w:tcW w:w="0" w:type="auto"/>
            <w:shd w:val="clear" w:color="auto" w:fill="auto"/>
            <w:noWrap/>
            <w:vAlign w:val="center"/>
            <w:hideMark/>
          </w:tcPr>
          <w:p w14:paraId="6898817B"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SOUTH URBAN</w:t>
            </w:r>
          </w:p>
        </w:tc>
        <w:tc>
          <w:tcPr>
            <w:tcW w:w="0" w:type="auto"/>
            <w:shd w:val="clear" w:color="auto" w:fill="auto"/>
            <w:noWrap/>
            <w:vAlign w:val="center"/>
            <w:hideMark/>
          </w:tcPr>
          <w:p w14:paraId="3DAC44FE"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1,982,498</w:t>
            </w:r>
          </w:p>
        </w:tc>
      </w:tr>
      <w:tr w:rsidR="00C65200" w:rsidRPr="00096F8E" w14:paraId="44C8D334" w14:textId="77777777" w:rsidTr="000B6E47">
        <w:tc>
          <w:tcPr>
            <w:tcW w:w="0" w:type="auto"/>
            <w:shd w:val="clear" w:color="auto" w:fill="auto"/>
            <w:noWrap/>
            <w:vAlign w:val="center"/>
            <w:hideMark/>
          </w:tcPr>
          <w:p w14:paraId="6231AB29"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VA</w:t>
            </w:r>
          </w:p>
        </w:tc>
        <w:tc>
          <w:tcPr>
            <w:tcW w:w="0" w:type="auto"/>
            <w:shd w:val="clear" w:color="auto" w:fill="auto"/>
            <w:noWrap/>
            <w:vAlign w:val="center"/>
            <w:hideMark/>
          </w:tcPr>
          <w:p w14:paraId="26803C62"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CHESTERFIELD, HOPEWELL CITY</w:t>
            </w:r>
          </w:p>
        </w:tc>
        <w:tc>
          <w:tcPr>
            <w:tcW w:w="0" w:type="auto"/>
            <w:shd w:val="clear" w:color="auto" w:fill="auto"/>
            <w:noWrap/>
            <w:vAlign w:val="center"/>
            <w:hideMark/>
          </w:tcPr>
          <w:p w14:paraId="20993214"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SOUTH URBAN</w:t>
            </w:r>
          </w:p>
        </w:tc>
        <w:tc>
          <w:tcPr>
            <w:tcW w:w="0" w:type="auto"/>
            <w:shd w:val="clear" w:color="auto" w:fill="auto"/>
            <w:noWrap/>
            <w:vAlign w:val="center"/>
            <w:hideMark/>
          </w:tcPr>
          <w:p w14:paraId="3022DEC4"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358,065</w:t>
            </w:r>
          </w:p>
        </w:tc>
      </w:tr>
      <w:tr w:rsidR="00C65200" w:rsidRPr="00096F8E" w14:paraId="447B3B0C" w14:textId="77777777" w:rsidTr="000B6E47">
        <w:tc>
          <w:tcPr>
            <w:tcW w:w="0" w:type="auto"/>
            <w:shd w:val="clear" w:color="auto" w:fill="auto"/>
            <w:noWrap/>
            <w:vAlign w:val="center"/>
            <w:hideMark/>
          </w:tcPr>
          <w:p w14:paraId="675B4F19" w14:textId="77777777" w:rsidR="00C65200" w:rsidRPr="000B6E47" w:rsidRDefault="00C65200" w:rsidP="00C65200">
            <w:pPr>
              <w:spacing w:after="100" w:afterAutospacing="1"/>
              <w:jc w:val="center"/>
              <w:rPr>
                <w:rFonts w:asciiTheme="minorHAnsi" w:hAnsiTheme="minorHAnsi"/>
                <w:color w:val="000000"/>
                <w:sz w:val="20"/>
                <w:szCs w:val="20"/>
              </w:rPr>
            </w:pPr>
            <w:r w:rsidRPr="000B6E47">
              <w:rPr>
                <w:rFonts w:asciiTheme="minorHAnsi" w:hAnsiTheme="minorHAnsi" w:cs="Arial"/>
                <w:color w:val="000000"/>
                <w:sz w:val="20"/>
                <w:szCs w:val="20"/>
              </w:rPr>
              <w:t>WI</w:t>
            </w:r>
          </w:p>
        </w:tc>
        <w:tc>
          <w:tcPr>
            <w:tcW w:w="0" w:type="auto"/>
            <w:shd w:val="clear" w:color="auto" w:fill="auto"/>
            <w:noWrap/>
            <w:vAlign w:val="center"/>
            <w:hideMark/>
          </w:tcPr>
          <w:p w14:paraId="34F670C9"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CHIPPEWA, EAU CLAIRE</w:t>
            </w:r>
          </w:p>
        </w:tc>
        <w:tc>
          <w:tcPr>
            <w:tcW w:w="0" w:type="auto"/>
            <w:shd w:val="clear" w:color="auto" w:fill="auto"/>
            <w:noWrap/>
            <w:vAlign w:val="center"/>
            <w:hideMark/>
          </w:tcPr>
          <w:p w14:paraId="6D51AEC7" w14:textId="77777777" w:rsidR="00C65200" w:rsidRPr="000B6E47" w:rsidRDefault="00C65200" w:rsidP="00C65200">
            <w:pPr>
              <w:spacing w:after="100" w:afterAutospacing="1"/>
              <w:rPr>
                <w:rFonts w:asciiTheme="minorHAnsi" w:hAnsiTheme="minorHAnsi"/>
                <w:color w:val="000000"/>
                <w:sz w:val="20"/>
                <w:szCs w:val="20"/>
              </w:rPr>
            </w:pPr>
            <w:r w:rsidRPr="000B6E47">
              <w:rPr>
                <w:rFonts w:asciiTheme="minorHAnsi" w:hAnsiTheme="minorHAnsi" w:cs="Arial"/>
                <w:color w:val="000000"/>
                <w:sz w:val="20"/>
                <w:szCs w:val="20"/>
              </w:rPr>
              <w:t>MIDWEST RURAL</w:t>
            </w:r>
          </w:p>
        </w:tc>
        <w:tc>
          <w:tcPr>
            <w:tcW w:w="0" w:type="auto"/>
            <w:shd w:val="clear" w:color="auto" w:fill="auto"/>
            <w:noWrap/>
            <w:vAlign w:val="center"/>
            <w:hideMark/>
          </w:tcPr>
          <w:p w14:paraId="71AAE760" w14:textId="77777777" w:rsidR="00C65200" w:rsidRPr="000B6E47" w:rsidRDefault="00C65200" w:rsidP="00C65200">
            <w:pPr>
              <w:spacing w:after="100" w:afterAutospacing="1"/>
              <w:jc w:val="right"/>
              <w:rPr>
                <w:rFonts w:asciiTheme="minorHAnsi" w:hAnsiTheme="minorHAnsi"/>
                <w:color w:val="000000"/>
                <w:sz w:val="20"/>
                <w:szCs w:val="20"/>
              </w:rPr>
            </w:pPr>
            <w:r w:rsidRPr="000B6E47">
              <w:rPr>
                <w:rFonts w:asciiTheme="minorHAnsi" w:hAnsiTheme="minorHAnsi" w:cs="Arial"/>
                <w:color w:val="000000"/>
                <w:sz w:val="20"/>
                <w:szCs w:val="20"/>
              </w:rPr>
              <w:t>165,636</w:t>
            </w:r>
          </w:p>
        </w:tc>
      </w:tr>
    </w:tbl>
    <w:p w14:paraId="469507DC" w14:textId="77777777" w:rsidR="00957E39" w:rsidRDefault="00957E39" w:rsidP="00D02504"/>
    <w:p w14:paraId="5E5B6E38" w14:textId="77777777" w:rsidR="00234F2E" w:rsidRDefault="00C52E00" w:rsidP="001F6FFA">
      <w:r>
        <w:t xml:space="preserve">The </w:t>
      </w:r>
      <w:r w:rsidR="00133120">
        <w:t>revised f</w:t>
      </w:r>
      <w:r>
        <w:t>ield</w:t>
      </w:r>
      <w:r w:rsidR="00377571">
        <w:t xml:space="preserve"> survey</w:t>
      </w:r>
      <w:r>
        <w:t xml:space="preserve"> </w:t>
      </w:r>
      <w:r w:rsidR="00133120">
        <w:t xml:space="preserve">has a goal </w:t>
      </w:r>
      <w:r>
        <w:t>overall sample size of 6</w:t>
      </w:r>
      <w:r w:rsidR="001D3442">
        <w:t>,</w:t>
      </w:r>
      <w:r>
        <w:t>300</w:t>
      </w:r>
      <w:r w:rsidR="009345D0">
        <w:t xml:space="preserve"> vehicles for analysis. </w:t>
      </w:r>
      <w:r>
        <w:t>This is similar to the previous TPMS Special Study</w:t>
      </w:r>
      <w:r w:rsidR="001D3442">
        <w:t xml:space="preserve">, which had 6,103 vehicles </w:t>
      </w:r>
      <w:r w:rsidR="00B624F1">
        <w:t xml:space="preserve">drawn from 24 PSUs </w:t>
      </w:r>
      <w:r w:rsidR="001D3442">
        <w:t>used in the main analysis</w:t>
      </w:r>
      <w:r w:rsidR="00E45ADA">
        <w:t xml:space="preserve"> (Sivinski, 2012)</w:t>
      </w:r>
      <w:r w:rsidR="00E45ADA">
        <w:rPr>
          <w:rStyle w:val="FootnoteReference"/>
        </w:rPr>
        <w:footnoteReference w:id="2"/>
      </w:r>
      <w:r>
        <w:t xml:space="preserve">.  </w:t>
      </w:r>
      <w:r w:rsidR="00527E79">
        <w:t>From the supporting statement for OMB 2127-0706</w:t>
      </w:r>
      <w:r w:rsidR="00F05CD6">
        <w:t xml:space="preserve"> (</w:t>
      </w:r>
      <w:r w:rsidR="00527E79">
        <w:t>CISS sample design</w:t>
      </w:r>
      <w:r w:rsidR="00F05CD6">
        <w:t>)</w:t>
      </w:r>
      <w:r w:rsidR="00527E79">
        <w:t xml:space="preserve">, standard errors for seven key estimates under </w:t>
      </w:r>
      <w:r>
        <w:t>the previous</w:t>
      </w:r>
      <w:r w:rsidR="00527E79">
        <w:t xml:space="preserve"> CDS </w:t>
      </w:r>
      <w:r>
        <w:t xml:space="preserve">design, which featured 24 PSUs, </w:t>
      </w:r>
      <w:r w:rsidR="00527E79">
        <w:t xml:space="preserve">were used as constraints in an optimization </w:t>
      </w:r>
      <w:r w:rsidR="00527E79" w:rsidRPr="007F6C4F">
        <w:t xml:space="preserve">model for 24 PSUs </w:t>
      </w:r>
      <w:r w:rsidR="00F05CD6" w:rsidRPr="007F6C4F">
        <w:t xml:space="preserve">in CISS </w:t>
      </w:r>
      <w:r w:rsidR="00527E79" w:rsidRPr="007F6C4F">
        <w:t>to ensure the corresponding degree of accuracy under CISS will be</w:t>
      </w:r>
      <w:r w:rsidR="00527E79">
        <w:t xml:space="preserve"> at least as good as</w:t>
      </w:r>
      <w:r w:rsidR="008E1248">
        <w:t xml:space="preserve"> under</w:t>
      </w:r>
      <w:r w:rsidR="00527E79">
        <w:t xml:space="preserve"> CDS.</w:t>
      </w:r>
      <w:r w:rsidR="009345D0">
        <w:t xml:space="preserve">  Details on sample sizes and </w:t>
      </w:r>
      <w:r w:rsidR="00092431">
        <w:t xml:space="preserve">expected </w:t>
      </w:r>
      <w:r w:rsidR="009345D0">
        <w:t>design effects are provided in “Expected Sample Sizes and Precision</w:t>
      </w:r>
      <w:r w:rsidR="004B4906">
        <w:t>.</w:t>
      </w:r>
      <w:r w:rsidR="009345D0">
        <w:t>”</w:t>
      </w:r>
      <w:r w:rsidR="001F6FFA">
        <w:t xml:space="preserve">  </w:t>
      </w:r>
    </w:p>
    <w:p w14:paraId="74A03860" w14:textId="77777777" w:rsidR="008E4351" w:rsidRDefault="008E4351" w:rsidP="001F6FFA"/>
    <w:p w14:paraId="419FB981" w14:textId="7CBC0CD9" w:rsidR="00E95BCA" w:rsidRDefault="00234F2E" w:rsidP="005764E7">
      <w:r>
        <w:rPr>
          <w:u w:val="single"/>
        </w:rPr>
        <w:t>T</w:t>
      </w:r>
      <w:r w:rsidR="00E95BCA">
        <w:rPr>
          <w:u w:val="single"/>
        </w:rPr>
        <w:t>he second stage of selection</w:t>
      </w:r>
      <w:r w:rsidR="00E95BCA">
        <w:t xml:space="preserve"> will be ZIP codes within the PSU.  To get better </w:t>
      </w:r>
      <w:r w:rsidR="00C56320">
        <w:t>coverage in</w:t>
      </w:r>
      <w:r w:rsidR="00E95BCA">
        <w:t xml:space="preserve"> socio-economic status, which may </w:t>
      </w:r>
      <w:r w:rsidR="00C56320">
        <w:t>have influence on</w:t>
      </w:r>
      <w:r w:rsidR="00E95BCA">
        <w:t xml:space="preserve"> some questions in the survey as well as the </w:t>
      </w:r>
      <w:r w:rsidR="00E95BCA" w:rsidRPr="005F3164">
        <w:t>overall pr</w:t>
      </w:r>
      <w:r w:rsidR="001D119A" w:rsidRPr="005F3164">
        <w:t>evalence</w:t>
      </w:r>
      <w:r w:rsidR="00E95BCA" w:rsidRPr="005F3164">
        <w:t xml:space="preserve"> </w:t>
      </w:r>
      <w:r w:rsidR="001D119A" w:rsidRPr="005F3164">
        <w:t>of</w:t>
      </w:r>
      <w:r w:rsidR="00E95BCA" w:rsidRPr="005F3164">
        <w:t xml:space="preserve"> repair </w:t>
      </w:r>
      <w:r w:rsidR="001D119A" w:rsidRPr="005F3164">
        <w:t>to</w:t>
      </w:r>
      <w:r w:rsidR="00E95BCA" w:rsidRPr="005F3164">
        <w:t xml:space="preserve"> TPMS malfunction, we will catalog population sizes and median income for the ZIP Codes within each PSU.  We desire one ZIP with median income </w:t>
      </w:r>
      <w:r w:rsidR="00C56320" w:rsidRPr="005F3164">
        <w:t xml:space="preserve">at or </w:t>
      </w:r>
      <w:r w:rsidR="00E95BCA" w:rsidRPr="005F3164">
        <w:t xml:space="preserve">below the median </w:t>
      </w:r>
      <w:r w:rsidR="00D151E5" w:rsidRPr="005F3164">
        <w:t>o</w:t>
      </w:r>
      <w:r w:rsidR="00E95BCA" w:rsidRPr="005F3164">
        <w:t>f all ZIP median incomes</w:t>
      </w:r>
      <w:r w:rsidR="00D151E5" w:rsidRPr="005F3164">
        <w:t xml:space="preserve"> in a PSU</w:t>
      </w:r>
      <w:r w:rsidR="00E95BCA" w:rsidRPr="005F3164">
        <w:t xml:space="preserve">, and one with median income above it. </w:t>
      </w:r>
      <w:r w:rsidR="00726699" w:rsidRPr="005F3164">
        <w:t xml:space="preserve"> (The income groups are made diverse for better coverage, but since we have only one of each type per ZIP and the </w:t>
      </w:r>
      <w:r w:rsidR="00D151E5" w:rsidRPr="005F3164">
        <w:t xml:space="preserve">overall </w:t>
      </w:r>
      <w:r w:rsidR="00726699" w:rsidRPr="005F3164">
        <w:t xml:space="preserve">median </w:t>
      </w:r>
      <w:r w:rsidR="00B35DA8" w:rsidRPr="005F3164">
        <w:t>is likely to v</w:t>
      </w:r>
      <w:r w:rsidR="00726699" w:rsidRPr="005F3164">
        <w:t xml:space="preserve">ary by </w:t>
      </w:r>
      <w:r w:rsidR="00D151E5" w:rsidRPr="005F3164">
        <w:t>PSU</w:t>
      </w:r>
      <w:r w:rsidR="00726699" w:rsidRPr="005F3164">
        <w:t xml:space="preserve">, </w:t>
      </w:r>
      <w:r w:rsidR="00D151E5" w:rsidRPr="005F3164">
        <w:t xml:space="preserve">income divisions </w:t>
      </w:r>
      <w:r w:rsidR="00726699" w:rsidRPr="005F3164">
        <w:t xml:space="preserve">will not be treated as strata or analytical domains).  </w:t>
      </w:r>
      <w:r w:rsidR="00E95BCA" w:rsidRPr="005F3164">
        <w:t>Operationally</w:t>
      </w:r>
      <w:r w:rsidR="00CA2F60" w:rsidRPr="005F3164">
        <w:t>,</w:t>
      </w:r>
      <w:r w:rsidR="00E95BCA" w:rsidRPr="005F3164">
        <w:t xml:space="preserve"> we also prefer that the two ZIPs be relatively close to each other in a PSU of large geographic area, as we have a traveling supervisor hiring temporary collectors who preferably can feasibly work both ZIPs.  Therefore, we plan to use a restricted probability proportional to size (PPS) selection in these very large PSUs. We will select the first ZIP with probability proportional to its population; chance will determine whether it is from the </w:t>
      </w:r>
      <w:r w:rsidR="00CA2F60" w:rsidRPr="005F3164">
        <w:t>at-or-</w:t>
      </w:r>
      <w:r w:rsidR="00E95BCA" w:rsidRPr="005F3164">
        <w:t>below-median-income group or</w:t>
      </w:r>
      <w:r w:rsidR="00E95BCA">
        <w:t xml:space="preserve"> the above-median-income group.  The eligible second ZIPs are then those that are from the opposite income group, and within a feasible threshold of distance from the first sampled ZIP; we will select the second ZIP with equal probabilities of 1/m, where “m” is the number of ZIPs that are eligible for selection at that stage. </w:t>
      </w:r>
      <w:r w:rsidR="001218BB">
        <w:t>With this approach,</w:t>
      </w:r>
      <w:r w:rsidR="00E95BCA">
        <w:t xml:space="preserve"> every ZIP ha</w:t>
      </w:r>
      <w:r w:rsidR="00F3565E">
        <w:t>s</w:t>
      </w:r>
      <w:r w:rsidR="00E95BCA">
        <w:t xml:space="preserve"> a chance of being selected, although the second selection is conditional on the first; and we are in two randomly selected ZIPS, one with median income above the median of the ZIPs in the PSU, and one </w:t>
      </w:r>
      <w:r w:rsidR="00E95BCA" w:rsidRPr="005F3164">
        <w:t xml:space="preserve">with median income </w:t>
      </w:r>
      <w:r w:rsidR="00CA2F60" w:rsidRPr="005F3164">
        <w:t xml:space="preserve">at or </w:t>
      </w:r>
      <w:r w:rsidR="00E95BCA" w:rsidRPr="005F3164">
        <w:t>below the median of the ZIPs in the PSU.</w:t>
      </w:r>
      <w:r w:rsidR="00E95BCA" w:rsidRPr="005F3164">
        <w:rPr>
          <w:rStyle w:val="FootnoteReference"/>
        </w:rPr>
        <w:footnoteReference w:id="3"/>
      </w:r>
      <w:r w:rsidR="00A81992" w:rsidRPr="005F3164">
        <w:t xml:space="preserve">  For Z</w:t>
      </w:r>
      <w:r w:rsidR="005764E7" w:rsidRPr="005F3164">
        <w:t>IP</w:t>
      </w:r>
      <w:r w:rsidR="00A81992" w:rsidRPr="005F3164">
        <w:t>-to</w:t>
      </w:r>
      <w:r w:rsidR="005764E7" w:rsidRPr="005F3164">
        <w:t>-</w:t>
      </w:r>
      <w:r w:rsidR="00A81992" w:rsidRPr="005F3164">
        <w:t xml:space="preserve">ZIP distance, </w:t>
      </w:r>
      <w:r w:rsidR="005764E7" w:rsidRPr="005F3164">
        <w:t>we will use a 20-mile great-circle distance threshold, found in the 2016 ZIP Code Tabulation Area (ZCTA) Distance Database, published by the National Bureau of Economic Research.  Based on the PSU map, we anticipate that about one-third of the PSUs are likely to have no restrictions needed, about one-third may or may not need restrictions depending on the location of the first PSU, and about one-third are likely to need the restriction.</w:t>
      </w:r>
      <w:r w:rsidR="00A81992">
        <w:t xml:space="preserve"> </w:t>
      </w:r>
    </w:p>
    <w:p w14:paraId="279C62CE" w14:textId="77777777" w:rsidR="00D93A52" w:rsidRDefault="00D93A52" w:rsidP="008E6930"/>
    <w:p w14:paraId="3587439E" w14:textId="4D8C6518" w:rsidR="00714091" w:rsidRDefault="00714091" w:rsidP="00714091">
      <w:r w:rsidRPr="00D6712F">
        <w:rPr>
          <w:u w:val="single"/>
        </w:rPr>
        <w:t xml:space="preserve">The third stage </w:t>
      </w:r>
      <w:r w:rsidR="00E921A0" w:rsidRPr="00D6712F">
        <w:rPr>
          <w:u w:val="single"/>
        </w:rPr>
        <w:t>of selection</w:t>
      </w:r>
      <w:r w:rsidR="00E921A0">
        <w:t xml:space="preserve"> </w:t>
      </w:r>
      <w:r>
        <w:t xml:space="preserve">will be </w:t>
      </w:r>
      <w:r w:rsidRPr="004E47C7">
        <w:t>fuel stations within the ZIPs.</w:t>
      </w:r>
      <w:r>
        <w:t xml:space="preserve"> </w:t>
      </w:r>
      <w:r w:rsidR="009A5C36">
        <w:t>We desire two stations within each selected ZIP.  For station selection, t</w:t>
      </w:r>
      <w:r>
        <w:t xml:space="preserve">he survey contractor will list the </w:t>
      </w:r>
      <w:r w:rsidR="00EC1842">
        <w:t xml:space="preserve">general passenger-vehicle </w:t>
      </w:r>
      <w:r>
        <w:t>fuel stations in the selected ZIP Codes</w:t>
      </w:r>
      <w:r w:rsidR="00EB0962">
        <w:rPr>
          <w:rStyle w:val="FootnoteReference"/>
        </w:rPr>
        <w:footnoteReference w:id="4"/>
      </w:r>
      <w:r w:rsidR="00C2353F">
        <w:t>,</w:t>
      </w:r>
      <w:r w:rsidR="00F3565E">
        <w:t xml:space="preserve"> and in a selected ZIP, </w:t>
      </w:r>
      <w:r w:rsidR="00C2353F" w:rsidRPr="00C2353F">
        <w:t xml:space="preserve">listed stations will be sorted by a random number generated for each station. The </w:t>
      </w:r>
      <w:r w:rsidR="009A5C36">
        <w:t xml:space="preserve">first </w:t>
      </w:r>
      <w:r w:rsidR="00C2353F" w:rsidRPr="00C2353F">
        <w:t xml:space="preserve">sampled station will be the first station in the random sort that fulfills the following </w:t>
      </w:r>
      <w:r w:rsidR="00E7141E">
        <w:t xml:space="preserve">sampling and </w:t>
      </w:r>
      <w:r w:rsidR="00C2353F" w:rsidRPr="00C2353F">
        <w:t xml:space="preserve">operational viability requirements:  </w:t>
      </w:r>
    </w:p>
    <w:p w14:paraId="1E0F3578" w14:textId="77777777" w:rsidR="00096F8E" w:rsidRPr="007F64C3" w:rsidRDefault="00096F8E" w:rsidP="00714091"/>
    <w:p w14:paraId="2139C284" w14:textId="77777777" w:rsidR="007F64C3" w:rsidRPr="009A73CC" w:rsidRDefault="007F64C3" w:rsidP="00096F8E">
      <w:pPr>
        <w:pStyle w:val="ListParagraph"/>
        <w:numPr>
          <w:ilvl w:val="0"/>
          <w:numId w:val="21"/>
        </w:numPr>
        <w:ind w:left="720"/>
        <w:rPr>
          <w:sz w:val="22"/>
          <w:szCs w:val="22"/>
        </w:rPr>
      </w:pPr>
      <w:r w:rsidRPr="009A73CC">
        <w:t>station traffic flow enables vehicle sampling requirements (sufficient flow of vehicles MY 2006 or newer</w:t>
      </w:r>
      <w:r w:rsidR="00DB0BA0">
        <w:t>)</w:t>
      </w:r>
      <w:r w:rsidRPr="009A73CC">
        <w:t xml:space="preserve"> and periodic flow counts; </w:t>
      </w:r>
    </w:p>
    <w:p w14:paraId="3FE80BAF" w14:textId="77777777" w:rsidR="007F64C3" w:rsidRPr="009A73CC" w:rsidRDefault="007F64C3" w:rsidP="00096F8E">
      <w:pPr>
        <w:numPr>
          <w:ilvl w:val="0"/>
          <w:numId w:val="21"/>
        </w:numPr>
        <w:autoSpaceDE w:val="0"/>
        <w:autoSpaceDN w:val="0"/>
        <w:ind w:left="720"/>
        <w:rPr>
          <w:sz w:val="22"/>
          <w:szCs w:val="22"/>
        </w:rPr>
      </w:pPr>
      <w:r w:rsidRPr="007F64C3">
        <w:t xml:space="preserve">adequate visibility and space exist to safely conduct the interviews and observations; </w:t>
      </w:r>
    </w:p>
    <w:p w14:paraId="44150839" w14:textId="77777777" w:rsidR="007F64C3" w:rsidRPr="009A73CC" w:rsidRDefault="007F64C3" w:rsidP="00096F8E">
      <w:pPr>
        <w:pStyle w:val="ListParagraph"/>
        <w:numPr>
          <w:ilvl w:val="0"/>
          <w:numId w:val="21"/>
        </w:numPr>
        <w:autoSpaceDE w:val="0"/>
        <w:autoSpaceDN w:val="0"/>
        <w:ind w:left="720"/>
      </w:pPr>
      <w:r w:rsidRPr="009A73CC">
        <w:t xml:space="preserve">station clientele has reasonable local representation; </w:t>
      </w:r>
    </w:p>
    <w:p w14:paraId="75E94FC4" w14:textId="77777777" w:rsidR="007F64C3" w:rsidRPr="009A73CC" w:rsidRDefault="007F64C3" w:rsidP="00096F8E">
      <w:pPr>
        <w:pStyle w:val="ListParagraph"/>
        <w:numPr>
          <w:ilvl w:val="0"/>
          <w:numId w:val="21"/>
        </w:numPr>
        <w:autoSpaceDE w:val="0"/>
        <w:autoSpaceDN w:val="0"/>
        <w:ind w:left="720"/>
      </w:pPr>
      <w:r w:rsidRPr="009A73CC">
        <w:t>permission can be obtained from the site’s proprietor or manager to conduct the survey; and</w:t>
      </w:r>
    </w:p>
    <w:p w14:paraId="12A602F9" w14:textId="77777777" w:rsidR="007F64C3" w:rsidRPr="009A73CC" w:rsidRDefault="007F64C3" w:rsidP="00096F8E">
      <w:pPr>
        <w:pStyle w:val="ListParagraph"/>
        <w:numPr>
          <w:ilvl w:val="0"/>
          <w:numId w:val="21"/>
        </w:numPr>
        <w:autoSpaceDE w:val="0"/>
        <w:autoSpaceDN w:val="0"/>
        <w:ind w:left="720"/>
      </w:pPr>
      <w:r w:rsidRPr="009A73CC">
        <w:t>the</w:t>
      </w:r>
      <w:r>
        <w:t>re exists at</w:t>
      </w:r>
      <w:r w:rsidRPr="009A73CC">
        <w:t xml:space="preserve"> least one other viable station within a 15-minute driving distance.</w:t>
      </w:r>
    </w:p>
    <w:p w14:paraId="05CCCC2C" w14:textId="77777777" w:rsidR="009A5C36" w:rsidRPr="007F64C3" w:rsidRDefault="009A5C36" w:rsidP="009A73CC">
      <w:pPr>
        <w:ind w:left="144"/>
      </w:pPr>
    </w:p>
    <w:p w14:paraId="1CC172ED" w14:textId="77777777" w:rsidR="00C2353F" w:rsidRDefault="00985476" w:rsidP="00D6712F">
      <w:r>
        <w:t xml:space="preserve">If the first station in the random sort cannot fulfill viability requirements, we will move to the second, and so on.  </w:t>
      </w:r>
      <w:r w:rsidR="00761545">
        <w:t xml:space="preserve">The </w:t>
      </w:r>
      <w:r w:rsidR="001C5E04">
        <w:t>general viability</w:t>
      </w:r>
      <w:r w:rsidR="00F3565E">
        <w:t xml:space="preserve"> requirements </w:t>
      </w:r>
      <w:r w:rsidR="00390693">
        <w:t xml:space="preserve">build on reasoning used in the 2010 study (Sivinski, 2012).  The </w:t>
      </w:r>
      <w:r w:rsidR="00F3565E">
        <w:t xml:space="preserve">last </w:t>
      </w:r>
      <w:r w:rsidR="00292E10">
        <w:t>requirement</w:t>
      </w:r>
      <w:r w:rsidR="00F3565E">
        <w:t xml:space="preserve"> </w:t>
      </w:r>
      <w:r w:rsidR="009A5C36">
        <w:t xml:space="preserve">sets up the selection of the second station in the ZIP, </w:t>
      </w:r>
      <w:r w:rsidR="00C2353F" w:rsidRPr="00C2353F">
        <w:t>allow</w:t>
      </w:r>
      <w:r w:rsidR="009A5C36">
        <w:t>ing</w:t>
      </w:r>
      <w:r w:rsidR="00C2353F" w:rsidRPr="00C2353F">
        <w:t xml:space="preserve"> the data collection supervisor to travel between the two </w:t>
      </w:r>
      <w:r w:rsidR="009A5C36">
        <w:t xml:space="preserve">selected </w:t>
      </w:r>
      <w:r w:rsidR="00C2353F" w:rsidRPr="00C2353F">
        <w:t xml:space="preserve">stations </w:t>
      </w:r>
      <w:r w:rsidR="00A919E2">
        <w:t xml:space="preserve">and monitor activity </w:t>
      </w:r>
      <w:r w:rsidR="00C2353F" w:rsidRPr="00C2353F">
        <w:t xml:space="preserve">throughout the day.  To choose the second station in the ZIP, stations within </w:t>
      </w:r>
      <w:r w:rsidR="00C2353F">
        <w:t>15</w:t>
      </w:r>
      <w:r w:rsidR="00C2353F" w:rsidRPr="00C2353F">
        <w:t xml:space="preserve"> driving minutes of the first station will be listed and again the first viable station in a random sort will become in-sample.  </w:t>
      </w:r>
      <w:r w:rsidR="008612FC">
        <w:t>T</w:t>
      </w:r>
      <w:r w:rsidR="00C2353F" w:rsidRPr="00C2353F">
        <w:t xml:space="preserve">he probability of selection for each sample station in a given ZIP area will be approximated by 2/m where </w:t>
      </w:r>
      <w:r w:rsidR="00EB0962">
        <w:t>“</w:t>
      </w:r>
      <w:r w:rsidR="00C2353F" w:rsidRPr="00C2353F">
        <w:t>m</w:t>
      </w:r>
      <w:r w:rsidR="00EB0962">
        <w:t>”</w:t>
      </w:r>
      <w:r w:rsidR="00C2353F" w:rsidRPr="00C2353F">
        <w:t xml:space="preserve"> is the number of stations originally listed in the ZIP area.  If teams go to more than one viable station in each sort due to cooperation issues or other complications, station probabilities will be calculated accordingly.  We anticipate that teams will spend </w:t>
      </w:r>
      <w:r w:rsidR="00A919E2">
        <w:t xml:space="preserve">two </w:t>
      </w:r>
      <w:r w:rsidR="00C2353F" w:rsidRPr="00C2353F">
        <w:t xml:space="preserve">or </w:t>
      </w:r>
      <w:r w:rsidR="00A919E2">
        <w:t>three</w:t>
      </w:r>
      <w:r w:rsidR="00C2353F" w:rsidRPr="00C2353F">
        <w:t xml:space="preserve"> days in one ZIP, as needed, to collect approximately half the PSU quota, then switch.</w:t>
      </w:r>
    </w:p>
    <w:p w14:paraId="4462B7C1" w14:textId="77777777" w:rsidR="00714091" w:rsidRDefault="00714091" w:rsidP="00D6712F"/>
    <w:p w14:paraId="1A302FCC" w14:textId="0E62E4DE" w:rsidR="00714091" w:rsidRDefault="00714091" w:rsidP="00714091">
      <w:r w:rsidRPr="00D6712F">
        <w:rPr>
          <w:u w:val="single"/>
        </w:rPr>
        <w:t>The fourth stage</w:t>
      </w:r>
      <w:r w:rsidR="00E921A0">
        <w:rPr>
          <w:u w:val="single"/>
        </w:rPr>
        <w:t xml:space="preserve"> of selection</w:t>
      </w:r>
      <w:r>
        <w:t xml:space="preserve"> will be vehicles at the fuel station.  In a survey such as this one, it may be necessary to get as many cooperative respondents as possible at a station.  However, to avoid selection bias by data collectors, a particular pump island will be selected as the focal sampling area. Teams will approach every </w:t>
      </w:r>
      <w:r w:rsidR="00293360">
        <w:t xml:space="preserve">in-state-plate </w:t>
      </w:r>
      <w:r>
        <w:t xml:space="preserve">driver who can be eligible and safely approached using that island.  Exceptions to approaching every driver include safety issues, surplus vehicle volume where a vehicle departs while the team is busy surveying another vehicle, out of state vehicles, and vehicles outside the scope of the study—passenger vehicles that are obviously older than </w:t>
      </w:r>
      <w:r w:rsidR="00BD026A">
        <w:t>MY</w:t>
      </w:r>
      <w:r>
        <w:t xml:space="preserve"> 2006.  Beyond that island, </w:t>
      </w:r>
      <w:r w:rsidR="00BD026A">
        <w:t>we</w:t>
      </w:r>
      <w:r>
        <w:t xml:space="preserve"> will </w:t>
      </w:r>
      <w:r w:rsidR="00BD026A">
        <w:t>have</w:t>
      </w:r>
      <w:r>
        <w:t xml:space="preserve"> a hierarchy </w:t>
      </w:r>
      <w:r w:rsidR="00BD026A">
        <w:t xml:space="preserve">of approach as </w:t>
      </w:r>
      <w:r>
        <w:t>follows:</w:t>
      </w:r>
    </w:p>
    <w:p w14:paraId="45A65FEE" w14:textId="77777777" w:rsidR="001218BB" w:rsidRDefault="001218BB" w:rsidP="00714091"/>
    <w:p w14:paraId="1ABAF77E" w14:textId="77777777" w:rsidR="00057241" w:rsidRDefault="00057241" w:rsidP="000B6E47">
      <w:pPr>
        <w:pStyle w:val="ListParagraph"/>
        <w:numPr>
          <w:ilvl w:val="0"/>
          <w:numId w:val="22"/>
        </w:numPr>
        <w:contextualSpacing w:val="0"/>
        <w:rPr>
          <w:szCs w:val="20"/>
        </w:rPr>
      </w:pPr>
      <w:r>
        <w:t xml:space="preserve">Focal island – </w:t>
      </w:r>
      <w:r w:rsidR="00B1778A">
        <w:t>first in</w:t>
      </w:r>
      <w:r>
        <w:t xml:space="preserve"> hierarchy when (2) and (3) not in effect</w:t>
      </w:r>
    </w:p>
    <w:p w14:paraId="11B561EF" w14:textId="77777777" w:rsidR="00057241" w:rsidRDefault="00057241" w:rsidP="000B6E47">
      <w:pPr>
        <w:pStyle w:val="ListParagraph"/>
        <w:numPr>
          <w:ilvl w:val="0"/>
          <w:numId w:val="22"/>
        </w:numPr>
        <w:contextualSpacing w:val="0"/>
      </w:pPr>
      <w:r>
        <w:t>Indirect TPMS vehicle off the island (</w:t>
      </w:r>
      <w:r w:rsidR="001218BB">
        <w:t xml:space="preserve">based on known makes and models such as </w:t>
      </w:r>
      <w:r>
        <w:t>VW, AUDI, new</w:t>
      </w:r>
      <w:r w:rsidR="001218BB">
        <w:t>er</w:t>
      </w:r>
      <w:r>
        <w:t xml:space="preserve"> HONDA) – as many as seen</w:t>
      </w:r>
      <w:r w:rsidR="00EE4E1F">
        <w:t>, since indirect are uncommon but needed for the survey</w:t>
      </w:r>
      <w:r>
        <w:t>.</w:t>
      </w:r>
    </w:p>
    <w:p w14:paraId="767ADA66" w14:textId="77777777" w:rsidR="00057241" w:rsidRDefault="00057241" w:rsidP="000B6E47">
      <w:pPr>
        <w:pStyle w:val="ListParagraph"/>
        <w:numPr>
          <w:ilvl w:val="0"/>
          <w:numId w:val="22"/>
        </w:numPr>
        <w:contextualSpacing w:val="0"/>
      </w:pPr>
      <w:r>
        <w:t>Diesel pump – if one is available, approach when used</w:t>
      </w:r>
      <w:r w:rsidR="00EE4E1F">
        <w:t>, since rarer in our population but may have indirect TPMS</w:t>
      </w:r>
      <w:r>
        <w:t>.</w:t>
      </w:r>
    </w:p>
    <w:p w14:paraId="62196D52" w14:textId="77777777" w:rsidR="00057241" w:rsidRDefault="00057241" w:rsidP="000B6E47">
      <w:pPr>
        <w:pStyle w:val="ListParagraph"/>
        <w:numPr>
          <w:ilvl w:val="0"/>
          <w:numId w:val="22"/>
        </w:numPr>
        <w:contextualSpacing w:val="0"/>
      </w:pPr>
      <w:r>
        <w:t>If focal island empty, other islands in pre-determined order</w:t>
      </w:r>
      <w:r w:rsidR="00A751CA">
        <w:t>.</w:t>
      </w:r>
    </w:p>
    <w:p w14:paraId="0483BCC8" w14:textId="77777777" w:rsidR="00057241" w:rsidRDefault="00057241" w:rsidP="000B6E47">
      <w:pPr>
        <w:pStyle w:val="ListParagraph"/>
        <w:numPr>
          <w:ilvl w:val="0"/>
          <w:numId w:val="22"/>
        </w:numPr>
        <w:contextualSpacing w:val="0"/>
      </w:pPr>
      <w:r>
        <w:t>If all islands empty, convenience store customers and inspection-line if available.</w:t>
      </w:r>
    </w:p>
    <w:p w14:paraId="4CEDFDE7" w14:textId="77777777" w:rsidR="001218BB" w:rsidRDefault="001218BB" w:rsidP="009A73CC">
      <w:pPr>
        <w:ind w:left="360"/>
      </w:pPr>
    </w:p>
    <w:p w14:paraId="61325810" w14:textId="5818DC49" w:rsidR="00985476" w:rsidRDefault="00057241" w:rsidP="0088682F">
      <w:r>
        <w:t>Using this hierarchy</w:t>
      </w:r>
      <w:r w:rsidR="00FD2E8A">
        <w:t>,</w:t>
      </w:r>
      <w:r>
        <w:t xml:space="preserve"> the probability of selection will be considered </w:t>
      </w:r>
      <w:r w:rsidRPr="00605E3D">
        <w:t>pseudo-random</w:t>
      </w:r>
      <w:r>
        <w:t xml:space="preserve"> except for the indirect systems, which will be close to 100 percent.  For </w:t>
      </w:r>
      <w:r w:rsidR="00E921A0">
        <w:t xml:space="preserve">the </w:t>
      </w:r>
      <w:r w:rsidR="009C4096">
        <w:t>probability</w:t>
      </w:r>
      <w:r w:rsidR="00E921A0">
        <w:t xml:space="preserve"> </w:t>
      </w:r>
      <w:r>
        <w:t xml:space="preserve">denominator, teams will stop collection for 15 minutes every hour and log counts of all </w:t>
      </w:r>
      <w:r w:rsidR="00FD2E8A">
        <w:t xml:space="preserve">passenger </w:t>
      </w:r>
      <w:r>
        <w:t xml:space="preserve">vehicles by vehicle type </w:t>
      </w:r>
      <w:r w:rsidR="00FD2E8A">
        <w:t>(car, SUV, light truck, van) at</w:t>
      </w:r>
      <w:r>
        <w:t xml:space="preserve"> the station </w:t>
      </w:r>
      <w:r w:rsidR="00FD2E8A" w:rsidRPr="00FD2E8A">
        <w:t xml:space="preserve">- </w:t>
      </w:r>
      <w:r w:rsidRPr="00D6712F">
        <w:t>islands, pumps, store, service.</w:t>
      </w:r>
      <w:r w:rsidR="00FD2E8A" w:rsidRPr="00D6712F">
        <w:t xml:space="preserve">  The counts will be used to estimate </w:t>
      </w:r>
      <w:r w:rsidR="00216C6D">
        <w:t xml:space="preserve">station daily </w:t>
      </w:r>
      <w:r w:rsidR="009C4096">
        <w:t>sampling time</w:t>
      </w:r>
      <w:r w:rsidR="00FD2E8A" w:rsidRPr="00D6712F">
        <w:t xml:space="preserve"> </w:t>
      </w:r>
      <w:r w:rsidR="009C4096">
        <w:t>flow-through</w:t>
      </w:r>
      <w:r w:rsidR="00FD2E8A" w:rsidRPr="00D6712F">
        <w:t xml:space="preserve"> as [sum of counts]*3 giving the estimated total for the six hours of collection </w:t>
      </w:r>
      <w:r w:rsidR="009C4096">
        <w:t xml:space="preserve">– eight hours minus eight 15-minute periods </w:t>
      </w:r>
      <w:r w:rsidR="00FD2E8A" w:rsidRPr="00D6712F">
        <w:t>(</w:t>
      </w:r>
      <w:r w:rsidR="00FD2E8A" w:rsidRPr="00605E3D">
        <w:t>the time of counting is not included in the total since there is no probability of selection in those periods).</w:t>
      </w:r>
      <w:r w:rsidR="00FD2E8A">
        <w:t xml:space="preserve">  </w:t>
      </w:r>
      <w:r w:rsidR="009C4096">
        <w:t>The vehicle probability of selection will be computed as observations divided by daily estimates; a s</w:t>
      </w:r>
      <w:r w:rsidR="00985476">
        <w:t>imilar method</w:t>
      </w:r>
      <w:r w:rsidR="00FD2E8A">
        <w:t xml:space="preserve"> </w:t>
      </w:r>
      <w:r w:rsidR="007C1A95">
        <w:t>was</w:t>
      </w:r>
      <w:r w:rsidR="00FD2E8A">
        <w:t xml:space="preserve"> used </w:t>
      </w:r>
      <w:r w:rsidR="001F0CB5">
        <w:t xml:space="preserve">successfully </w:t>
      </w:r>
      <w:r w:rsidR="00FD2E8A">
        <w:t xml:space="preserve">in </w:t>
      </w:r>
      <w:r w:rsidR="001F0CB5">
        <w:t>the earlier study (</w:t>
      </w:r>
      <w:r w:rsidR="00FD2E8A">
        <w:t>Sivinski</w:t>
      </w:r>
      <w:r w:rsidR="001F0CB5">
        <w:t>, 2012</w:t>
      </w:r>
      <w:r w:rsidR="00FD2E8A">
        <w:t>).</w:t>
      </w:r>
      <w:r w:rsidR="00A63F03">
        <w:t xml:space="preserve">  </w:t>
      </w:r>
      <w:r w:rsidR="00E921A0">
        <w:t>D</w:t>
      </w:r>
      <w:r w:rsidR="00E921A0" w:rsidRPr="0010708A">
        <w:t xml:space="preserve">ata collection teams will </w:t>
      </w:r>
      <w:r w:rsidR="00E921A0">
        <w:t xml:space="preserve">approach vehicles as much as possible in the order in which they enter the focal </w:t>
      </w:r>
      <w:r w:rsidR="00216C6D">
        <w:t>hierarchy</w:t>
      </w:r>
      <w:r w:rsidR="00E921A0">
        <w:t xml:space="preserve">; this will be considered random and is expected to allow for a vehicle mix reflective of the population.  </w:t>
      </w:r>
      <w:r w:rsidR="00216C6D">
        <w:t>However, if need becomes apparent, v</w:t>
      </w:r>
      <w:r w:rsidR="00E921A0" w:rsidRPr="0088682F">
        <w:t xml:space="preserve">ehicle </w:t>
      </w:r>
      <w:r w:rsidR="00EA3C47">
        <w:t>selections</w:t>
      </w:r>
      <w:r w:rsidR="00E921A0" w:rsidRPr="0088682F">
        <w:t xml:space="preserve"> may be </w:t>
      </w:r>
      <w:r w:rsidR="001F0CB5" w:rsidRPr="0088682F">
        <w:t xml:space="preserve">purposively </w:t>
      </w:r>
      <w:r w:rsidR="00E921A0" w:rsidRPr="0088682F">
        <w:t xml:space="preserve">rebalanced </w:t>
      </w:r>
      <w:r w:rsidR="00216C6D">
        <w:t>t</w:t>
      </w:r>
      <w:r w:rsidR="00E921A0" w:rsidRPr="0088682F">
        <w:t xml:space="preserve">o ensure that a minimum number of vehicles are surveyed for each vehicle type and model year </w:t>
      </w:r>
      <w:r w:rsidR="00F451E7">
        <w:t>group (2006 and later)</w:t>
      </w:r>
      <w:r w:rsidR="0088682F" w:rsidRPr="009A73CC">
        <w:t xml:space="preserve">; our initial goal </w:t>
      </w:r>
      <w:r w:rsidR="00216C6D">
        <w:t xml:space="preserve">over all PSUs </w:t>
      </w:r>
      <w:r w:rsidR="0088682F" w:rsidRPr="009A73CC">
        <w:t xml:space="preserve">is at least 300 </w:t>
      </w:r>
      <w:r w:rsidR="00EA3C47">
        <w:t>for each</w:t>
      </w:r>
      <w:r w:rsidR="0088682F" w:rsidRPr="009A73CC">
        <w:t xml:space="preserve"> </w:t>
      </w:r>
      <w:r w:rsidR="00216C6D">
        <w:t>cell of</w:t>
      </w:r>
      <w:r w:rsidR="00EA3C47">
        <w:t xml:space="preserve"> vehicle type </w:t>
      </w:r>
      <w:r w:rsidR="00F451E7" w:rsidRPr="007725B3">
        <w:t>(</w:t>
      </w:r>
      <w:r w:rsidR="00F451E7">
        <w:t xml:space="preserve">passenger car vs. </w:t>
      </w:r>
      <w:r w:rsidR="00F451E7" w:rsidRPr="007725B3">
        <w:t>SUV/light truck/van)</w:t>
      </w:r>
      <w:r w:rsidR="00F451E7">
        <w:t xml:space="preserve"> </w:t>
      </w:r>
      <w:r w:rsidR="0088682F" w:rsidRPr="009A73CC">
        <w:t>by model year group</w:t>
      </w:r>
      <w:r w:rsidR="00216C6D">
        <w:t xml:space="preserve">s of </w:t>
      </w:r>
      <w:r w:rsidR="0088682F" w:rsidRPr="0088682F">
        <w:t>2006-2008</w:t>
      </w:r>
      <w:r w:rsidR="00EB0962">
        <w:t>/</w:t>
      </w:r>
      <w:r w:rsidR="0088682F" w:rsidRPr="0088682F">
        <w:t>2009-2011/2012-</w:t>
      </w:r>
      <w:r w:rsidR="0088682F" w:rsidRPr="005F3164">
        <w:t>2014/2015-201</w:t>
      </w:r>
      <w:r w:rsidR="009438CC" w:rsidRPr="005F3164">
        <w:t>6</w:t>
      </w:r>
      <w:r w:rsidR="00E921A0" w:rsidRPr="005F3164">
        <w:t>.</w:t>
      </w:r>
      <w:r w:rsidR="00E921A0">
        <w:t xml:space="preserve"> </w:t>
      </w:r>
      <w:r w:rsidR="00F451E7">
        <w:t xml:space="preserve"> </w:t>
      </w:r>
      <w:r w:rsidR="00EA3C47">
        <w:t xml:space="preserve">If vehicles flow in at proportions similar to the national population (see “Expected Sample Sizes and Precision”), the minima should be met without any purposive rebalancing.  </w:t>
      </w:r>
      <w:r w:rsidR="00CD4F81">
        <w:t>As also</w:t>
      </w:r>
      <w:r w:rsidR="00A63F03">
        <w:t xml:space="preserve"> conducted in </w:t>
      </w:r>
      <w:r w:rsidR="00390693">
        <w:t>the earlier study</w:t>
      </w:r>
      <w:r w:rsidR="00A63F03">
        <w:t>, working hours will be daytime (8 AM to 5 PM or 9 AM to 6 PM) under the assumption that topics of our study are well-represented in those hours and would not vary by fuel-buying outside of those hours</w:t>
      </w:r>
      <w:r w:rsidR="00390693">
        <w:t xml:space="preserve"> (Sivinski, 2012)</w:t>
      </w:r>
      <w:r w:rsidR="002E4E69">
        <w:t xml:space="preserve">.  </w:t>
      </w:r>
    </w:p>
    <w:p w14:paraId="63695326" w14:textId="77777777" w:rsidR="00A63F03" w:rsidRDefault="00A63F03" w:rsidP="00A63F03"/>
    <w:p w14:paraId="5AA7C3E0" w14:textId="77777777" w:rsidR="00E921A0" w:rsidRDefault="00A63F03" w:rsidP="008E6930">
      <w:r w:rsidRPr="00D6712F">
        <w:rPr>
          <w:u w:val="single"/>
        </w:rPr>
        <w:t>A fifth stage of selection</w:t>
      </w:r>
      <w:r>
        <w:t xml:space="preserve">, leading </w:t>
      </w:r>
      <w:r w:rsidR="009C4096">
        <w:t xml:space="preserve">only </w:t>
      </w:r>
      <w:r>
        <w:t xml:space="preserve">certain </w:t>
      </w:r>
      <w:r w:rsidR="00795086">
        <w:t>sub</w:t>
      </w:r>
      <w:r w:rsidR="009C4096">
        <w:t>groups of</w:t>
      </w:r>
      <w:r w:rsidR="00795086">
        <w:t xml:space="preserve"> </w:t>
      </w:r>
      <w:r>
        <w:t>respondents to extended interviews, will be conducted at the vehicle subgroup level.</w:t>
      </w:r>
    </w:p>
    <w:p w14:paraId="711257DE" w14:textId="77777777" w:rsidR="00C8225D" w:rsidRDefault="00C8225D" w:rsidP="008E6930"/>
    <w:p w14:paraId="67C1C446" w14:textId="7E458845" w:rsidR="00ED3959" w:rsidRDefault="00AD077C" w:rsidP="00ED3959">
      <w:pPr>
        <w:rPr>
          <w:szCs w:val="22"/>
        </w:rPr>
      </w:pPr>
      <w:r w:rsidRPr="00AD077C">
        <w:t xml:space="preserve">Subgroup 1: If a vehicle has a TPMS malfunction (expected to be 5 to 10 percent of vehicles with direct TPMS, and very rare in indirect TPMS), we will sample with certainty for an extended interview.  In the unlikely event that we are collecting more Subgroup 1 extended interviews than our budget can support, we will switch to systematic sampling in later PSUs. </w:t>
      </w:r>
      <w:r w:rsidR="00ED3959">
        <w:t xml:space="preserve">For example, our upper bound estimate in budgeting for Subgroup 1 was 630 (see “Expected Sample Sizes and Precision”, below).  We could likely absorb a small </w:t>
      </w:r>
      <w:r w:rsidR="00CD4F81">
        <w:t>number</w:t>
      </w:r>
      <w:r w:rsidR="00ED3959">
        <w:t xml:space="preserve"> of extras, such as 10 percent, but if we are going beyond that rate in early PSUs and our budget cannot sustain the amount, we would institute a subsampling interval in later PSUs to bring us back to about 600-700 total malfunction extended interviews.  One example would be that if the first 12 PSUs have produced about 400 malfunctions, we may seek about 300 in the second 12 PSUs by administering the extended interview in only ¾ of the malfunctions, to be carried out by omitting it in every fourth malfunction case (with a random start).  If in that situation we decided we could only handle 200, we would program the extended interview for every second case; in general, we would apply the rate needed to keep us within our quota and</w:t>
      </w:r>
      <w:r w:rsidR="00910703">
        <w:t xml:space="preserve"> budget.  The instrument tablets will be </w:t>
      </w:r>
      <w:r w:rsidR="00ED3959">
        <w:t>programmed to allow changes in sampling intervals to be pushed from a central source.  Our quantitative estimates of malfunction by vehicle type and age will not be affected by this subsampling, since only qualitative questions are involved in the extended interviews.</w:t>
      </w:r>
    </w:p>
    <w:p w14:paraId="0F93AF8A" w14:textId="77777777" w:rsidR="00C46D60" w:rsidRDefault="00C46D60" w:rsidP="00B1778A"/>
    <w:p w14:paraId="2FC1E925" w14:textId="77777777" w:rsidR="007B3EB2" w:rsidRDefault="00AD077C" w:rsidP="00B1778A">
      <w:r w:rsidRPr="00AD077C">
        <w:t>Subgroup 2: For those vehicles with a functioning direct TPMS, expected to be the bulk</w:t>
      </w:r>
      <w:r w:rsidR="00EB0962">
        <w:t xml:space="preserve"> of cases</w:t>
      </w:r>
      <w:r w:rsidRPr="00AD077C">
        <w:t xml:space="preserve">, most (Subgroup 2a) will receive the base inspection and very brief interview.  We also desire 350 extended interviews (Subgroup 2b), preferably collected at different times of day to mitigate potential for time-of-day bias.  We will program the survey instrument to distribute the selection for, and collection of, extended interviews across two day parts: 1) AM; and 2) PM.  Approximately four days of data collection in a PSU results in allocating approximately four Subgroup 2 extended interviews per day, or two per station per day, to achieve the quota.  Subgroup 2 extended interviews will be considered simple random samples for analytical purposes; the questions are qualitative and do not contribute to our quantitative analysis.  </w:t>
      </w:r>
    </w:p>
    <w:p w14:paraId="3D1A0A22" w14:textId="77777777" w:rsidR="00C46D60" w:rsidRDefault="00C46D60" w:rsidP="00B1778A"/>
    <w:p w14:paraId="2B037E17" w14:textId="77777777" w:rsidR="00B1778A" w:rsidRDefault="00E921A0" w:rsidP="00B1778A">
      <w:r>
        <w:t xml:space="preserve">Subgroup 3:  </w:t>
      </w:r>
      <w:r w:rsidR="00BC7029">
        <w:t>For those</w:t>
      </w:r>
      <w:r>
        <w:t xml:space="preserve"> vehicle</w:t>
      </w:r>
      <w:r w:rsidR="00BC7029">
        <w:t>s</w:t>
      </w:r>
      <w:r>
        <w:t xml:space="preserve"> </w:t>
      </w:r>
      <w:r w:rsidR="00BC7029">
        <w:t>with</w:t>
      </w:r>
      <w:r>
        <w:t xml:space="preserve"> </w:t>
      </w:r>
      <w:r w:rsidR="00BC7029">
        <w:t xml:space="preserve">a </w:t>
      </w:r>
      <w:r>
        <w:t xml:space="preserve">functioning indirect </w:t>
      </w:r>
      <w:r w:rsidR="00A174AB">
        <w:t xml:space="preserve">TPMS </w:t>
      </w:r>
      <w:r>
        <w:t>(expected to be about 5</w:t>
      </w:r>
      <w:r w:rsidR="00C46D60">
        <w:t xml:space="preserve"> to 6</w:t>
      </w:r>
      <w:r>
        <w:t xml:space="preserve"> percent), we will sample with certainty for </w:t>
      </w:r>
      <w:r w:rsidR="007A0B96">
        <w:t xml:space="preserve">a </w:t>
      </w:r>
      <w:r w:rsidR="001F0CB5">
        <w:t xml:space="preserve">brief </w:t>
      </w:r>
      <w:r>
        <w:t>extended interview</w:t>
      </w:r>
      <w:r w:rsidR="00BC7029">
        <w:t xml:space="preserve"> and</w:t>
      </w:r>
      <w:r>
        <w:t xml:space="preserve"> </w:t>
      </w:r>
      <w:r w:rsidR="001F0CB5">
        <w:t xml:space="preserve">tire pressure </w:t>
      </w:r>
      <w:r w:rsidR="00BC7029">
        <w:t>measure</w:t>
      </w:r>
      <w:r w:rsidR="001F0CB5">
        <w:t>ment.</w:t>
      </w:r>
      <w:r>
        <w:t xml:space="preserve">  </w:t>
      </w:r>
      <w:r w:rsidR="00B1778A">
        <w:t xml:space="preserve">In the unlikely event </w:t>
      </w:r>
      <w:r w:rsidR="00BC7029">
        <w:t xml:space="preserve">that </w:t>
      </w:r>
      <w:r w:rsidR="00B1778A">
        <w:t xml:space="preserve">we </w:t>
      </w:r>
      <w:r w:rsidR="00ED3959">
        <w:t xml:space="preserve">find we </w:t>
      </w:r>
      <w:r w:rsidR="00B1778A">
        <w:t xml:space="preserve">are </w:t>
      </w:r>
      <w:r w:rsidR="00ED3959">
        <w:t>acquiring</w:t>
      </w:r>
      <w:r w:rsidR="00B1778A">
        <w:t xml:space="preserve"> more </w:t>
      </w:r>
      <w:r w:rsidR="00BC7029">
        <w:t xml:space="preserve">Subgroup 3 extended interviews </w:t>
      </w:r>
      <w:r w:rsidR="00B1778A">
        <w:t xml:space="preserve">than our budget can </w:t>
      </w:r>
      <w:r w:rsidR="00BC7029">
        <w:t>support</w:t>
      </w:r>
      <w:r w:rsidR="00AF1968">
        <w:t xml:space="preserve"> (we planned for 320, as detailed in “Expected Sample Sizes and Precision,” below)</w:t>
      </w:r>
      <w:r w:rsidR="00B1778A">
        <w:t>, we w</w:t>
      </w:r>
      <w:r w:rsidR="00ED3959">
        <w:t>ould</w:t>
      </w:r>
      <w:r w:rsidR="00B1778A">
        <w:t xml:space="preserve"> switch to systematic sampling in later PSUs</w:t>
      </w:r>
      <w:r w:rsidR="00ED3959">
        <w:t xml:space="preserve"> </w:t>
      </w:r>
      <w:r w:rsidR="00910703">
        <w:t>i</w:t>
      </w:r>
      <w:r w:rsidR="00ED3959">
        <w:t>n the manner described for Subgroup 1</w:t>
      </w:r>
      <w:r w:rsidR="00B1778A">
        <w:t xml:space="preserve">. </w:t>
      </w:r>
    </w:p>
    <w:p w14:paraId="4008F3A0" w14:textId="77777777" w:rsidR="001F6FFA" w:rsidRDefault="001F6FFA" w:rsidP="00B1778A"/>
    <w:p w14:paraId="32770E9A" w14:textId="77777777" w:rsidR="00B00EFE" w:rsidRDefault="00B00EFE" w:rsidP="00B00EFE">
      <w:r>
        <w:t>Since a limited number of available traveling supervisors (planned as up to five) will be hiring temporary data collectors in each PSU, the PSUs will not all be surveyed in one compressed time period; up to five PSUs will be in operation in any given week, with a planned overall survey period of about 14 to 20 weeks.  We will consider all survey observations as equally representative of the overall survey period.</w:t>
      </w:r>
    </w:p>
    <w:p w14:paraId="1C77FCBE" w14:textId="77777777" w:rsidR="009F66F8" w:rsidRDefault="009F66F8" w:rsidP="009F66F8"/>
    <w:p w14:paraId="4227D3D9" w14:textId="77777777" w:rsidR="000956C8" w:rsidRDefault="00FE6146" w:rsidP="008E6930">
      <w:pPr>
        <w:rPr>
          <w:u w:val="single"/>
        </w:rPr>
      </w:pPr>
      <w:r w:rsidRPr="007C1A95">
        <w:rPr>
          <w:u w:val="single"/>
        </w:rPr>
        <w:t>Survey Weights</w:t>
      </w:r>
    </w:p>
    <w:p w14:paraId="0CF708F9" w14:textId="77777777" w:rsidR="00E9126F" w:rsidRDefault="00E9126F" w:rsidP="00856D99"/>
    <w:p w14:paraId="7C1FE376" w14:textId="77777777" w:rsidR="00856D99" w:rsidRPr="005B107E" w:rsidRDefault="00856D99" w:rsidP="00856D99">
      <w:r w:rsidRPr="005B107E">
        <w:t xml:space="preserve">The base weight (BW), or design sampling weight, for each vehicle in the study can be computed in the following way, which reflects the multistage sampling design:          </w:t>
      </w:r>
    </w:p>
    <w:p w14:paraId="6E66301B" w14:textId="77777777" w:rsidR="00856D99" w:rsidRPr="005B107E" w:rsidRDefault="00856D99" w:rsidP="00856D99"/>
    <w:p w14:paraId="615080F4" w14:textId="77777777" w:rsidR="00856D99" w:rsidRPr="005B107E" w:rsidRDefault="00856D99" w:rsidP="00BB73C8">
      <w:pPr>
        <w:ind w:left="720"/>
      </w:pPr>
      <w:r w:rsidRPr="005B107E">
        <w:t>BW</w:t>
      </w:r>
      <w:r w:rsidRPr="005B107E">
        <w:rPr>
          <w:vertAlign w:val="subscript"/>
        </w:rPr>
        <w:t>ijkl</w:t>
      </w:r>
      <w:r w:rsidRPr="005B107E">
        <w:t xml:space="preserve"> = [P(PSU</w:t>
      </w:r>
      <w:r w:rsidRPr="005B107E">
        <w:rPr>
          <w:vertAlign w:val="subscript"/>
        </w:rPr>
        <w:t>i</w:t>
      </w:r>
      <w:r w:rsidRPr="005B107E">
        <w:t>) * P(ZIP</w:t>
      </w:r>
      <w:r w:rsidRPr="005B107E">
        <w:rPr>
          <w:vertAlign w:val="subscript"/>
        </w:rPr>
        <w:t>j|i</w:t>
      </w:r>
      <w:r w:rsidRPr="005B107E">
        <w:t>) * P(GS</w:t>
      </w:r>
      <w:r w:rsidRPr="005B107E">
        <w:rPr>
          <w:vertAlign w:val="subscript"/>
        </w:rPr>
        <w:t>k|ij</w:t>
      </w:r>
      <w:r w:rsidRPr="005B107E">
        <w:t>) * P(vehicle</w:t>
      </w:r>
      <w:r w:rsidRPr="005B107E">
        <w:rPr>
          <w:vertAlign w:val="subscript"/>
        </w:rPr>
        <w:t>l|ijk</w:t>
      </w:r>
      <w:r w:rsidRPr="005B107E">
        <w:t>)]</w:t>
      </w:r>
      <w:r w:rsidR="00C82FBC" w:rsidRPr="009A73CC">
        <w:rPr>
          <w:vertAlign w:val="superscript"/>
        </w:rPr>
        <w:t>-1</w:t>
      </w:r>
    </w:p>
    <w:p w14:paraId="6870084D" w14:textId="77777777" w:rsidR="00856D99" w:rsidRPr="005B107E" w:rsidRDefault="00856D99" w:rsidP="00856D99">
      <w:r w:rsidRPr="005B107E">
        <w:t xml:space="preserve">where         </w:t>
      </w:r>
    </w:p>
    <w:p w14:paraId="2CFB4EE3" w14:textId="77777777" w:rsidR="00856D99" w:rsidRPr="005B107E" w:rsidRDefault="00856D99" w:rsidP="00BB73C8">
      <w:pPr>
        <w:ind w:left="720"/>
      </w:pPr>
      <w:r w:rsidRPr="005B107E">
        <w:t>BW</w:t>
      </w:r>
      <w:r w:rsidRPr="005B107E">
        <w:rPr>
          <w:vertAlign w:val="subscript"/>
        </w:rPr>
        <w:t>ijkl</w:t>
      </w:r>
      <w:r w:rsidRPr="005B107E">
        <w:t xml:space="preserve"> is the sampling weight for Vehicle l at Gas Station k in ZIP j in PSU i</w:t>
      </w:r>
    </w:p>
    <w:p w14:paraId="400E16EF" w14:textId="77777777" w:rsidR="00856D99" w:rsidRPr="005B107E" w:rsidRDefault="00856D99" w:rsidP="00BB73C8">
      <w:pPr>
        <w:ind w:left="720"/>
      </w:pPr>
      <w:r w:rsidRPr="005B107E">
        <w:t>P(PSU</w:t>
      </w:r>
      <w:r w:rsidRPr="005B107E">
        <w:rPr>
          <w:vertAlign w:val="subscript"/>
        </w:rPr>
        <w:t>i</w:t>
      </w:r>
      <w:r w:rsidRPr="005B107E">
        <w:t>) is the probability of selecting PSU indexed i</w:t>
      </w:r>
    </w:p>
    <w:p w14:paraId="779298B3" w14:textId="77777777" w:rsidR="00856D99" w:rsidRPr="005B107E" w:rsidRDefault="00856D99" w:rsidP="00BB73C8">
      <w:pPr>
        <w:ind w:left="720"/>
      </w:pPr>
      <w:r w:rsidRPr="005B107E">
        <w:t>P(ZIP</w:t>
      </w:r>
      <w:r w:rsidRPr="005B107E">
        <w:rPr>
          <w:vertAlign w:val="subscript"/>
        </w:rPr>
        <w:t>j|i</w:t>
      </w:r>
      <w:r w:rsidRPr="005B107E">
        <w:t>) is the probability of selecting ZIP Code indexed j in PSU i</w:t>
      </w:r>
    </w:p>
    <w:p w14:paraId="4DF90EFA" w14:textId="77777777" w:rsidR="00856D99" w:rsidRPr="005B107E" w:rsidRDefault="00856D99" w:rsidP="00BB73C8">
      <w:pPr>
        <w:ind w:left="720"/>
      </w:pPr>
      <w:r w:rsidRPr="005B107E">
        <w:t>P(GS</w:t>
      </w:r>
      <w:r w:rsidRPr="005B107E">
        <w:rPr>
          <w:vertAlign w:val="subscript"/>
        </w:rPr>
        <w:t>k|ij</w:t>
      </w:r>
      <w:r w:rsidRPr="005B107E">
        <w:t>) is the probability of selecting Gas Station indexed k in ZIP j in PSU i</w:t>
      </w:r>
    </w:p>
    <w:p w14:paraId="66C061B6" w14:textId="77777777" w:rsidR="00856D99" w:rsidRPr="005B107E" w:rsidRDefault="00856D99" w:rsidP="00BB73C8">
      <w:pPr>
        <w:ind w:left="720"/>
      </w:pPr>
      <w:r w:rsidRPr="005B107E">
        <w:t>P(vehicle</w:t>
      </w:r>
      <w:r w:rsidRPr="005B107E">
        <w:rPr>
          <w:vertAlign w:val="subscript"/>
        </w:rPr>
        <w:t>l|ijk</w:t>
      </w:r>
      <w:r w:rsidRPr="005B107E">
        <w:t>) is the probability of selecting Vehicle l at Gas Station k in ZIP j in PSU i</w:t>
      </w:r>
    </w:p>
    <w:p w14:paraId="7D717B99" w14:textId="77777777" w:rsidR="000969F6" w:rsidRDefault="000969F6" w:rsidP="008E6930">
      <w:pPr>
        <w:rPr>
          <w:u w:val="single"/>
        </w:rPr>
      </w:pPr>
    </w:p>
    <w:p w14:paraId="059F9FC9" w14:textId="77777777" w:rsidR="00BB4EAE" w:rsidRDefault="00BB4EAE" w:rsidP="00BB4EAE">
      <w:r>
        <w:t xml:space="preserve">An equivalent way of expressing the base weight is as the product of sampling weights for PSUs, ZIP Code areas, gas stations and vehicles, </w:t>
      </w:r>
      <w:r w:rsidR="00F4452D">
        <w:t xml:space="preserve">with </w:t>
      </w:r>
      <w:r>
        <w:t xml:space="preserve">each of these factors </w:t>
      </w:r>
      <w:r w:rsidR="00BF27F5">
        <w:t xml:space="preserve">being the inverse of the probability of selection </w:t>
      </w:r>
      <w:r>
        <w:t>corresponding to one stage in the sample selection process.</w:t>
      </w:r>
    </w:p>
    <w:p w14:paraId="57C19798" w14:textId="77777777" w:rsidR="00BB4EAE" w:rsidRDefault="00BB4EAE" w:rsidP="00BB4EAE"/>
    <w:p w14:paraId="38E17730" w14:textId="77777777" w:rsidR="00BB4EAE" w:rsidRDefault="00063D8B" w:rsidP="00BB4EAE">
      <w:r>
        <w:t>A</w:t>
      </w:r>
      <w:r w:rsidR="00E14F8A">
        <w:t>s</w:t>
      </w:r>
      <w:r>
        <w:t xml:space="preserve"> we are recording certain observable aspects of refusals, th</w:t>
      </w:r>
      <w:r w:rsidR="00BB4EAE">
        <w:t xml:space="preserve">e vehicle base weight </w:t>
      </w:r>
      <w:r>
        <w:t xml:space="preserve">may </w:t>
      </w:r>
      <w:r w:rsidR="00BB4EAE">
        <w:t xml:space="preserve">incorporate a non-response adjustment at </w:t>
      </w:r>
      <w:r w:rsidR="00F4452D">
        <w:t>the vehicle stage</w:t>
      </w:r>
      <w:r w:rsidR="00E7141E">
        <w:t xml:space="preserve"> if a non-response analysis indicates it</w:t>
      </w:r>
      <w:r w:rsidR="00234F2E">
        <w:t xml:space="preserve"> (further details are given in B.3)</w:t>
      </w:r>
      <w:r w:rsidR="00E7141E">
        <w:t>.</w:t>
      </w:r>
      <w:r w:rsidR="00F4452D">
        <w:t xml:space="preserve">  The subsampled subgroups described above as the fifth stage will have an extra factor based on their subsampling probabilities</w:t>
      </w:r>
      <w:r w:rsidR="00BF27F5">
        <w:t xml:space="preserve">, but the extra factor would apply </w:t>
      </w:r>
      <w:r w:rsidR="00E7141E">
        <w:t xml:space="preserve">only </w:t>
      </w:r>
      <w:r w:rsidR="00BF27F5">
        <w:t xml:space="preserve">to their </w:t>
      </w:r>
      <w:r w:rsidR="00C82FBC">
        <w:t>extended interview questions</w:t>
      </w:r>
      <w:r w:rsidR="00BF27F5">
        <w:t>.</w:t>
      </w:r>
    </w:p>
    <w:p w14:paraId="3CA64587" w14:textId="77777777" w:rsidR="00B737A1" w:rsidRDefault="00B737A1" w:rsidP="00BB4EAE"/>
    <w:p w14:paraId="51C624C2" w14:textId="77777777" w:rsidR="009F66F8" w:rsidRDefault="009F66F8" w:rsidP="009F66F8">
      <w:r w:rsidRPr="009F66F8">
        <w:t>Registration</w:t>
      </w:r>
      <w:r>
        <w:t xml:space="preserve"> totals for PSUs, obtained by aggregating county or ZIP-level registration data, will be available to provide benchmarks for registration totals by PSU.  Calibrating base weights to known registration totals would be expected to reduce the variability between final weights, since we are using equal sample sizes within PSUs, and thus help to mitigate design effects and overly influential points.  For these reasons, we plan to post-stratify and calibrate the base weights using known vehicle type and model year registration counts within PSUs, using the quarterly snapshot of registrations closest to the overall survey period.  The scaling factor for each cell (vehicle MY group by vehicle type by PSU) will be the ratio of the cell’s number of registrations to the sum of the cell’s base weights (excluding PSU weight), so the differences in the base weights due to selection probabilities will be preserved.   </w:t>
      </w:r>
    </w:p>
    <w:p w14:paraId="397D02B7" w14:textId="77777777" w:rsidR="00293360" w:rsidRDefault="00293360" w:rsidP="00237F6F"/>
    <w:p w14:paraId="0BDDF0F6" w14:textId="77777777" w:rsidR="00237F6F" w:rsidRPr="009A73CC" w:rsidRDefault="00237F6F" w:rsidP="00237F6F">
      <w:r w:rsidRPr="009A73CC">
        <w:t xml:space="preserve">An issue with the calibration to the PSU could be that some in our sample </w:t>
      </w:r>
      <w:r w:rsidR="00293360">
        <w:t>may be</w:t>
      </w:r>
      <w:r w:rsidRPr="009A73CC">
        <w:t xml:space="preserve"> </w:t>
      </w:r>
      <w:r w:rsidR="007A0C06">
        <w:t>“</w:t>
      </w:r>
      <w:r w:rsidRPr="009A73CC">
        <w:t>drive through</w:t>
      </w:r>
      <w:r w:rsidR="00DD3645">
        <w:t>,</w:t>
      </w:r>
      <w:r w:rsidR="007A0C06">
        <w:t>”</w:t>
      </w:r>
      <w:r w:rsidRPr="009A73CC">
        <w:t xml:space="preserve"> </w:t>
      </w:r>
      <w:r w:rsidR="00DD3645">
        <w:t xml:space="preserve">meaning </w:t>
      </w:r>
      <w:r w:rsidRPr="009A73CC">
        <w:t>not from the PSU.  D</w:t>
      </w:r>
      <w:r w:rsidR="009C00EC" w:rsidRPr="00293360">
        <w:t xml:space="preserve">rive-through should be essentially zero-sum </w:t>
      </w:r>
      <w:r w:rsidRPr="009A73CC">
        <w:t xml:space="preserve">nationally </w:t>
      </w:r>
      <w:r w:rsidR="009C00EC" w:rsidRPr="00293360">
        <w:t>in that to be in a non-native PSU means one is out of one’s own native PSU</w:t>
      </w:r>
      <w:r w:rsidRPr="009A73CC">
        <w:t>; but to help mitigate the effect in our PSUs, we have a s</w:t>
      </w:r>
      <w:r w:rsidR="00293360">
        <w:t xml:space="preserve">tation </w:t>
      </w:r>
      <w:r w:rsidRPr="009A73CC">
        <w:t xml:space="preserve">viability requirement </w:t>
      </w:r>
      <w:r w:rsidR="00293360">
        <w:t>to be</w:t>
      </w:r>
      <w:r w:rsidRPr="009A73CC">
        <w:t xml:space="preserve"> relatively well-representative of local clientele; also, </w:t>
      </w:r>
      <w:r w:rsidR="00293360" w:rsidRPr="009A73CC">
        <w:t>we will</w:t>
      </w:r>
      <w:r w:rsidRPr="009A73CC">
        <w:t xml:space="preserve"> screen out out-of-state plates (which can be done visually causing no respondent burden), </w:t>
      </w:r>
      <w:r w:rsidR="00293360" w:rsidRPr="009A73CC">
        <w:t>giving</w:t>
      </w:r>
      <w:r w:rsidRPr="009A73CC">
        <w:t xml:space="preserve"> a greater likelihood that the respondent is from the present PSU</w:t>
      </w:r>
      <w:r w:rsidR="00293360" w:rsidRPr="009A73CC">
        <w:t>.</w:t>
      </w:r>
      <w:r w:rsidRPr="009A73CC">
        <w:t>  If the respondent is not from the present PSU, but is in-state, we will accept the respondent as a proxy for a PSU resident.</w:t>
      </w:r>
      <w:r w:rsidR="00293360" w:rsidRPr="009A73CC">
        <w:rPr>
          <w:rStyle w:val="FootnoteReference"/>
        </w:rPr>
        <w:footnoteReference w:id="5"/>
      </w:r>
      <w:r w:rsidRPr="009A73CC">
        <w:t xml:space="preserve">  </w:t>
      </w:r>
    </w:p>
    <w:p w14:paraId="5C71D5F9" w14:textId="77777777" w:rsidR="00237F6F" w:rsidRPr="009A73CC" w:rsidRDefault="00237F6F" w:rsidP="00BB4EAE">
      <w:r w:rsidRPr="009A73CC">
        <w:t xml:space="preserve"> </w:t>
      </w:r>
    </w:p>
    <w:p w14:paraId="162A8BAC" w14:textId="77777777" w:rsidR="004B4489" w:rsidRPr="009A73CC" w:rsidRDefault="004B4489" w:rsidP="00BB4EAE">
      <w:r w:rsidRPr="00293360">
        <w:t>In addition, national registration totals will be available for more accurate estimation at the national level enabling a final post-stratification step at that level, ensuring that weighted estimates sum to known population control totals available by model year.</w:t>
      </w:r>
    </w:p>
    <w:p w14:paraId="793D13A2" w14:textId="77777777" w:rsidR="00CE37A6" w:rsidRDefault="00CE37A6" w:rsidP="008E6930">
      <w:pPr>
        <w:rPr>
          <w:u w:val="single"/>
        </w:rPr>
      </w:pPr>
    </w:p>
    <w:p w14:paraId="37271900" w14:textId="77777777" w:rsidR="00B156C6" w:rsidRDefault="00E921A0" w:rsidP="008E6930">
      <w:r w:rsidRPr="007C1A95">
        <w:rPr>
          <w:u w:val="single"/>
        </w:rPr>
        <w:t>Expected Sample Sizes and Precision</w:t>
      </w:r>
    </w:p>
    <w:p w14:paraId="71F6E53F" w14:textId="77777777" w:rsidR="00E9126F" w:rsidRDefault="00E9126F" w:rsidP="00233EED"/>
    <w:p w14:paraId="27C59055" w14:textId="77777777" w:rsidR="00233EED" w:rsidRDefault="00233EED" w:rsidP="00233EED">
      <w:r>
        <w:t xml:space="preserve">We will </w:t>
      </w:r>
      <w:r w:rsidR="00262BE6">
        <w:t>target</w:t>
      </w:r>
      <w:r>
        <w:t xml:space="preserve"> approximately </w:t>
      </w:r>
      <w:r w:rsidRPr="00605E3D">
        <w:t>equal sample sizes</w:t>
      </w:r>
      <w:r>
        <w:t xml:space="preserve"> in each PSU.  Selecting samples of equal size from PSUs </w:t>
      </w:r>
      <w:r w:rsidR="00744B6E">
        <w:t>that</w:t>
      </w:r>
      <w:r>
        <w:t xml:space="preserve"> are selected with PPS leads to samples with equal probabilities of selection (“epsem”), or self-weighting samples.  These samples are statistically optimal in the sense of minimizing variances as they include no (or little) variance impacts due to unequal weighting effects.</w:t>
      </w:r>
      <w:r w:rsidR="00E45ADA">
        <w:rPr>
          <w:rStyle w:val="FootnoteReference"/>
        </w:rPr>
        <w:footnoteReference w:id="6"/>
      </w:r>
      <w:r>
        <w:t xml:space="preserve"> </w:t>
      </w:r>
    </w:p>
    <w:p w14:paraId="613EDCD3" w14:textId="77777777" w:rsidR="00233EED" w:rsidRDefault="00233EED" w:rsidP="008E6930"/>
    <w:p w14:paraId="43AA8396" w14:textId="77777777" w:rsidR="003519C4" w:rsidRDefault="00912237" w:rsidP="008E6930">
      <w:r>
        <w:t xml:space="preserve">As noted above, from the supporting statement for OMB 2127-0706 (CISS sample design), </w:t>
      </w:r>
      <w:r w:rsidR="00D01088">
        <w:t xml:space="preserve">the </w:t>
      </w:r>
      <w:r w:rsidR="00D01088" w:rsidRPr="00605E3D">
        <w:t>CISS PSU design was optimized</w:t>
      </w:r>
      <w:r w:rsidR="00D01088">
        <w:t xml:space="preserve"> to </w:t>
      </w:r>
      <w:r w:rsidRPr="007F6C4F">
        <w:t>ensure the corresponding degree of accuracy under CISS will be</w:t>
      </w:r>
      <w:r>
        <w:t xml:space="preserve"> at least as good as under </w:t>
      </w:r>
      <w:r w:rsidR="00D01088">
        <w:t xml:space="preserve">its predecessor </w:t>
      </w:r>
      <w:r>
        <w:t>CDS.</w:t>
      </w:r>
      <w:r w:rsidR="00D01088">
        <w:t xml:space="preserve"> </w:t>
      </w:r>
      <w:r w:rsidR="003519C4" w:rsidRPr="007F6C4F">
        <w:t>An analysis of data from the TPMS Special Study</w:t>
      </w:r>
      <w:r>
        <w:t xml:space="preserve">, conducted in the 24 PSUs of the CDS design, </w:t>
      </w:r>
      <w:r w:rsidR="003519C4" w:rsidRPr="007F6C4F">
        <w:t xml:space="preserve">estimated average design effect </w:t>
      </w:r>
      <w:r w:rsidR="003519C4">
        <w:t xml:space="preserve">(DEFF) </w:t>
      </w:r>
      <w:r w:rsidR="003519C4" w:rsidRPr="007F6C4F">
        <w:t xml:space="preserve">of approximately 2.0; the minimum and maximum estimated </w:t>
      </w:r>
      <w:r w:rsidR="00233EED">
        <w:t>DEFFs</w:t>
      </w:r>
      <w:r w:rsidR="003519C4" w:rsidRPr="007F6C4F">
        <w:t xml:space="preserve"> were 0.19 and 5.90, respectively. Because the design of the new TPMS-ORRC sample </w:t>
      </w:r>
      <w:r>
        <w:t xml:space="preserve">using CISS PSUs is </w:t>
      </w:r>
      <w:r w:rsidR="003519C4" w:rsidRPr="007F6C4F">
        <w:t>expected</w:t>
      </w:r>
      <w:r>
        <w:t xml:space="preserve">, based on the CISS design, </w:t>
      </w:r>
      <w:r w:rsidR="003519C4" w:rsidRPr="007F6C4F">
        <w:t xml:space="preserve">to be at least as efficient as the </w:t>
      </w:r>
      <w:r w:rsidR="00337FA9" w:rsidRPr="007F6C4F">
        <w:t>TPMS Special Study</w:t>
      </w:r>
      <w:r w:rsidR="00337FA9">
        <w:t xml:space="preserve"> </w:t>
      </w:r>
      <w:r w:rsidR="00337FA9" w:rsidRPr="007F6C4F">
        <w:t>under the</w:t>
      </w:r>
      <w:r w:rsidR="00337FA9">
        <w:t xml:space="preserve"> </w:t>
      </w:r>
      <w:r>
        <w:t xml:space="preserve">CDS </w:t>
      </w:r>
      <w:r w:rsidR="003519C4" w:rsidRPr="007F6C4F">
        <w:t xml:space="preserve">design, the </w:t>
      </w:r>
      <w:r w:rsidR="003519C4">
        <w:t>DEFFs</w:t>
      </w:r>
      <w:r w:rsidR="003519C4" w:rsidRPr="007F6C4F">
        <w:t xml:space="preserve"> under the new TPMS-ORRC sample are expected to be </w:t>
      </w:r>
      <w:r>
        <w:t>no higher than</w:t>
      </w:r>
      <w:r w:rsidR="003519C4" w:rsidRPr="007F6C4F">
        <w:t xml:space="preserve">, </w:t>
      </w:r>
      <w:r>
        <w:t xml:space="preserve">and likely </w:t>
      </w:r>
      <w:r w:rsidR="003519C4" w:rsidRPr="007F6C4F">
        <w:t>lower</w:t>
      </w:r>
      <w:r>
        <w:t>,</w:t>
      </w:r>
      <w:r w:rsidR="003519C4" w:rsidRPr="007F6C4F">
        <w:t xml:space="preserve"> than the </w:t>
      </w:r>
      <w:r w:rsidR="003519C4">
        <w:t>DEFFs</w:t>
      </w:r>
      <w:r w:rsidR="003519C4" w:rsidRPr="007F6C4F">
        <w:t xml:space="preserve"> under the TPMS Special Study (i.e., average values of 2</w:t>
      </w:r>
      <w:r w:rsidR="00262BE6">
        <w:t>)</w:t>
      </w:r>
      <w:r w:rsidR="003519C4" w:rsidRPr="007F6C4F">
        <w:t xml:space="preserve">.  </w:t>
      </w:r>
      <w:r w:rsidR="003519C4">
        <w:t xml:space="preserve">We also expect that by using equal </w:t>
      </w:r>
      <w:r w:rsidR="00193FEA">
        <w:t>sampling</w:t>
      </w:r>
      <w:r w:rsidR="003519C4">
        <w:t xml:space="preserve"> </w:t>
      </w:r>
      <w:r w:rsidR="00193FEA">
        <w:t xml:space="preserve">within PSUs </w:t>
      </w:r>
      <w:r w:rsidR="003519C4">
        <w:t xml:space="preserve">and </w:t>
      </w:r>
      <w:r w:rsidR="00193FEA">
        <w:t xml:space="preserve">weight calibration with </w:t>
      </w:r>
      <w:r w:rsidR="003519C4">
        <w:t xml:space="preserve">post-stratification, </w:t>
      </w:r>
      <w:r w:rsidR="00233EED">
        <w:t xml:space="preserve">we will find that </w:t>
      </w:r>
      <w:r w:rsidR="00337FA9">
        <w:t xml:space="preserve">while the DEFF component due to clustering will be similar to the previous study, the DEFF component due to unequal weighting may well be </w:t>
      </w:r>
      <w:r w:rsidR="00744B6E">
        <w:t>noticeably</w:t>
      </w:r>
      <w:r w:rsidR="00337FA9">
        <w:t xml:space="preserve"> smaller.</w:t>
      </w:r>
      <w:r w:rsidR="003519C4">
        <w:t xml:space="preserve"> </w:t>
      </w:r>
    </w:p>
    <w:p w14:paraId="7F86F1C6" w14:textId="77777777" w:rsidR="003519C4" w:rsidRDefault="003519C4" w:rsidP="008E6930"/>
    <w:p w14:paraId="76F6226D" w14:textId="4CD65619" w:rsidR="00233EED" w:rsidRDefault="00D403A2" w:rsidP="00233EED">
      <w:pPr>
        <w:rPr>
          <w:w w:val="102"/>
        </w:rPr>
      </w:pPr>
      <w:r>
        <w:t>A</w:t>
      </w:r>
      <w:r w:rsidR="00233EED">
        <w:t xml:space="preserve"> </w:t>
      </w:r>
      <w:r w:rsidR="00600BCD">
        <w:t>key</w:t>
      </w:r>
      <w:r w:rsidR="00233EED">
        <w:t xml:space="preserve"> quantitative estimate </w:t>
      </w:r>
      <w:r w:rsidR="00814314">
        <w:t>fro</w:t>
      </w:r>
      <w:r w:rsidR="00600BCD">
        <w:t xml:space="preserve">m the study </w:t>
      </w:r>
      <w:r w:rsidR="00233EED">
        <w:t xml:space="preserve">will be malfunction rates by vehicle age and type. Because of engineering aspects of TPMS, we expect most malfunctions to be in direct systems.  </w:t>
      </w:r>
      <w:r w:rsidR="00233EED">
        <w:rPr>
          <w:w w:val="102"/>
        </w:rPr>
        <w:t xml:space="preserve">We used national registration data to </w:t>
      </w:r>
      <w:r w:rsidR="00600BCD">
        <w:rPr>
          <w:w w:val="102"/>
        </w:rPr>
        <w:t>generate</w:t>
      </w:r>
      <w:r w:rsidR="00233EED">
        <w:rPr>
          <w:w w:val="102"/>
        </w:rPr>
        <w:t xml:space="preserve"> expected </w:t>
      </w:r>
      <w:r w:rsidR="00600BCD">
        <w:rPr>
          <w:w w:val="102"/>
        </w:rPr>
        <w:t xml:space="preserve">sample </w:t>
      </w:r>
      <w:r w:rsidR="00233EED">
        <w:rPr>
          <w:w w:val="102"/>
        </w:rPr>
        <w:t xml:space="preserve">cell </w:t>
      </w:r>
      <w:r>
        <w:rPr>
          <w:w w:val="102"/>
        </w:rPr>
        <w:t>counts</w:t>
      </w:r>
      <w:r w:rsidR="00600BCD">
        <w:rPr>
          <w:w w:val="102"/>
        </w:rPr>
        <w:t xml:space="preserve"> for direct TPMS vehicles by age and type, shown in Table B-</w:t>
      </w:r>
      <w:r w:rsidR="008B5089">
        <w:rPr>
          <w:w w:val="102"/>
        </w:rPr>
        <w:t>2</w:t>
      </w:r>
      <w:r w:rsidR="00600BCD">
        <w:rPr>
          <w:w w:val="102"/>
        </w:rPr>
        <w:t>.</w:t>
      </w:r>
      <w:r w:rsidR="00233EED">
        <w:rPr>
          <w:w w:val="102"/>
        </w:rPr>
        <w:t xml:space="preserve"> </w:t>
      </w:r>
      <w:r w:rsidR="00600BCD">
        <w:rPr>
          <w:w w:val="102"/>
        </w:rPr>
        <w:t xml:space="preserve"> Note that because only a subset of MY 2006-2007 vehicle models are known to be equipped with compliant TPMS and malfunction indicators, the cell counts for MY 2006 and MY 2007 are expected to be considerably smaller than other model years; we include them in our survey to get some measure of the malfunction rates in the oldest TPMS-compliant vehicles.</w:t>
      </w:r>
      <w:r w:rsidR="00814314">
        <w:rPr>
          <w:rStyle w:val="FootnoteReference"/>
          <w:w w:val="102"/>
        </w:rPr>
        <w:footnoteReference w:id="7"/>
      </w:r>
      <w:r w:rsidR="00814314">
        <w:rPr>
          <w:w w:val="102"/>
        </w:rPr>
        <w:t xml:space="preserve"> </w:t>
      </w:r>
    </w:p>
    <w:p w14:paraId="1AA2F109" w14:textId="77777777" w:rsidR="00260B9E" w:rsidRDefault="00260B9E" w:rsidP="00233EED">
      <w:pPr>
        <w:tabs>
          <w:tab w:val="center" w:pos="4316"/>
          <w:tab w:val="right" w:pos="8632"/>
        </w:tabs>
        <w:spacing w:before="14" w:line="250" w:lineRule="auto"/>
        <w:ind w:right="728"/>
        <w:rPr>
          <w:w w:val="102"/>
          <w:sz w:val="22"/>
        </w:rPr>
      </w:pPr>
    </w:p>
    <w:p w14:paraId="7805A522" w14:textId="655F13A1" w:rsidR="005764E7" w:rsidRPr="009A73CC" w:rsidRDefault="00233EED" w:rsidP="00233EED">
      <w:pPr>
        <w:tabs>
          <w:tab w:val="center" w:pos="4316"/>
          <w:tab w:val="right" w:pos="8632"/>
        </w:tabs>
        <w:spacing w:before="14" w:line="250" w:lineRule="auto"/>
        <w:ind w:right="728"/>
        <w:rPr>
          <w:w w:val="102"/>
          <w:sz w:val="22"/>
          <w:u w:val="single"/>
        </w:rPr>
      </w:pPr>
      <w:r w:rsidRPr="009A73CC">
        <w:rPr>
          <w:w w:val="102"/>
          <w:sz w:val="22"/>
        </w:rPr>
        <w:t>Table B-</w:t>
      </w:r>
      <w:r w:rsidR="008B5089">
        <w:rPr>
          <w:w w:val="102"/>
          <w:sz w:val="22"/>
        </w:rPr>
        <w:t>2</w:t>
      </w:r>
      <w:r w:rsidRPr="009A73CC">
        <w:rPr>
          <w:w w:val="102"/>
          <w:sz w:val="22"/>
        </w:rPr>
        <w:t>:  Expected Sample Sizes by Model Year and Vehicle Type, Direct TPMS</w:t>
      </w:r>
    </w:p>
    <w:tbl>
      <w:tblPr>
        <w:tblStyle w:val="TableGrid"/>
        <w:tblW w:w="8322" w:type="dxa"/>
        <w:tblInd w:w="-5" w:type="dxa"/>
        <w:tblLook w:val="04A0" w:firstRow="1" w:lastRow="0" w:firstColumn="1" w:lastColumn="0" w:noHBand="0" w:noVBand="1"/>
      </w:tblPr>
      <w:tblGrid>
        <w:gridCol w:w="756"/>
        <w:gridCol w:w="630"/>
        <w:gridCol w:w="630"/>
        <w:gridCol w:w="630"/>
        <w:gridCol w:w="630"/>
        <w:gridCol w:w="630"/>
        <w:gridCol w:w="630"/>
        <w:gridCol w:w="630"/>
        <w:gridCol w:w="630"/>
        <w:gridCol w:w="630"/>
        <w:gridCol w:w="630"/>
        <w:gridCol w:w="630"/>
        <w:gridCol w:w="636"/>
      </w:tblGrid>
      <w:tr w:rsidR="005F3164" w:rsidRPr="00D371E4" w14:paraId="24D33594" w14:textId="77777777" w:rsidTr="005F3164">
        <w:tc>
          <w:tcPr>
            <w:tcW w:w="756" w:type="dxa"/>
          </w:tcPr>
          <w:p w14:paraId="0B9CF268"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Model</w:t>
            </w:r>
          </w:p>
          <w:p w14:paraId="1F0C265F"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Year</w:t>
            </w:r>
          </w:p>
        </w:tc>
        <w:tc>
          <w:tcPr>
            <w:tcW w:w="630" w:type="dxa"/>
          </w:tcPr>
          <w:p w14:paraId="3028D2E5"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2006</w:t>
            </w:r>
          </w:p>
        </w:tc>
        <w:tc>
          <w:tcPr>
            <w:tcW w:w="630" w:type="dxa"/>
          </w:tcPr>
          <w:p w14:paraId="292F6080"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2007</w:t>
            </w:r>
          </w:p>
        </w:tc>
        <w:tc>
          <w:tcPr>
            <w:tcW w:w="630" w:type="dxa"/>
          </w:tcPr>
          <w:p w14:paraId="1995E904"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2008</w:t>
            </w:r>
          </w:p>
        </w:tc>
        <w:tc>
          <w:tcPr>
            <w:tcW w:w="630" w:type="dxa"/>
          </w:tcPr>
          <w:p w14:paraId="2719021D"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2009</w:t>
            </w:r>
          </w:p>
        </w:tc>
        <w:tc>
          <w:tcPr>
            <w:tcW w:w="630" w:type="dxa"/>
          </w:tcPr>
          <w:p w14:paraId="0572ED34"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2010</w:t>
            </w:r>
          </w:p>
        </w:tc>
        <w:tc>
          <w:tcPr>
            <w:tcW w:w="630" w:type="dxa"/>
          </w:tcPr>
          <w:p w14:paraId="25028F20"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2011</w:t>
            </w:r>
          </w:p>
        </w:tc>
        <w:tc>
          <w:tcPr>
            <w:tcW w:w="630" w:type="dxa"/>
          </w:tcPr>
          <w:p w14:paraId="6E39910B"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2012</w:t>
            </w:r>
          </w:p>
        </w:tc>
        <w:tc>
          <w:tcPr>
            <w:tcW w:w="630" w:type="dxa"/>
          </w:tcPr>
          <w:p w14:paraId="317E4BB5"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2013</w:t>
            </w:r>
          </w:p>
        </w:tc>
        <w:tc>
          <w:tcPr>
            <w:tcW w:w="630" w:type="dxa"/>
          </w:tcPr>
          <w:p w14:paraId="552B2A35"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2014</w:t>
            </w:r>
          </w:p>
        </w:tc>
        <w:tc>
          <w:tcPr>
            <w:tcW w:w="630" w:type="dxa"/>
          </w:tcPr>
          <w:p w14:paraId="73FF09B8"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2015</w:t>
            </w:r>
          </w:p>
        </w:tc>
        <w:tc>
          <w:tcPr>
            <w:tcW w:w="630" w:type="dxa"/>
          </w:tcPr>
          <w:p w14:paraId="1A24C937"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2016</w:t>
            </w:r>
          </w:p>
        </w:tc>
        <w:tc>
          <w:tcPr>
            <w:tcW w:w="636" w:type="dxa"/>
          </w:tcPr>
          <w:p w14:paraId="32C403D1"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Total</w:t>
            </w:r>
          </w:p>
        </w:tc>
      </w:tr>
      <w:tr w:rsidR="005F3164" w:rsidRPr="00D371E4" w14:paraId="15240FE7" w14:textId="77777777" w:rsidTr="005F3164">
        <w:tc>
          <w:tcPr>
            <w:tcW w:w="756" w:type="dxa"/>
          </w:tcPr>
          <w:p w14:paraId="55BB41A3"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Car</w:t>
            </w:r>
          </w:p>
        </w:tc>
        <w:tc>
          <w:tcPr>
            <w:tcW w:w="630" w:type="dxa"/>
          </w:tcPr>
          <w:p w14:paraId="0BD1E003" w14:textId="4F2C945C"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 xml:space="preserve"> 23</w:t>
            </w:r>
          </w:p>
        </w:tc>
        <w:tc>
          <w:tcPr>
            <w:tcW w:w="630" w:type="dxa"/>
          </w:tcPr>
          <w:p w14:paraId="3C969BC5"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80</w:t>
            </w:r>
          </w:p>
        </w:tc>
        <w:tc>
          <w:tcPr>
            <w:tcW w:w="630" w:type="dxa"/>
          </w:tcPr>
          <w:p w14:paraId="2C43B234"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298</w:t>
            </w:r>
          </w:p>
        </w:tc>
        <w:tc>
          <w:tcPr>
            <w:tcW w:w="630" w:type="dxa"/>
          </w:tcPr>
          <w:p w14:paraId="09860525"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237</w:t>
            </w:r>
          </w:p>
        </w:tc>
        <w:tc>
          <w:tcPr>
            <w:tcW w:w="630" w:type="dxa"/>
          </w:tcPr>
          <w:p w14:paraId="5008D859"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260</w:t>
            </w:r>
          </w:p>
        </w:tc>
        <w:tc>
          <w:tcPr>
            <w:tcW w:w="630" w:type="dxa"/>
          </w:tcPr>
          <w:p w14:paraId="5F1A5AE5"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244</w:t>
            </w:r>
          </w:p>
        </w:tc>
        <w:tc>
          <w:tcPr>
            <w:tcW w:w="630" w:type="dxa"/>
          </w:tcPr>
          <w:p w14:paraId="4233C7E3"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312</w:t>
            </w:r>
          </w:p>
        </w:tc>
        <w:tc>
          <w:tcPr>
            <w:tcW w:w="630" w:type="dxa"/>
          </w:tcPr>
          <w:p w14:paraId="1F2695AE"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332</w:t>
            </w:r>
          </w:p>
        </w:tc>
        <w:tc>
          <w:tcPr>
            <w:tcW w:w="630" w:type="dxa"/>
          </w:tcPr>
          <w:p w14:paraId="5956F54B"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301</w:t>
            </w:r>
          </w:p>
        </w:tc>
        <w:tc>
          <w:tcPr>
            <w:tcW w:w="630" w:type="dxa"/>
          </w:tcPr>
          <w:p w14:paraId="2B4A7FAE"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298</w:t>
            </w:r>
          </w:p>
        </w:tc>
        <w:tc>
          <w:tcPr>
            <w:tcW w:w="630" w:type="dxa"/>
          </w:tcPr>
          <w:p w14:paraId="7C0F267F" w14:textId="77777777" w:rsidR="005F3164" w:rsidRPr="005F3164" w:rsidRDefault="005F3164" w:rsidP="00F93E81">
            <w:pPr>
              <w:tabs>
                <w:tab w:val="center" w:pos="4316"/>
                <w:tab w:val="right" w:pos="8632"/>
              </w:tabs>
              <w:rPr>
                <w:rFonts w:asciiTheme="minorHAnsi" w:hAnsiTheme="minorHAnsi"/>
                <w:sz w:val="20"/>
                <w:szCs w:val="20"/>
              </w:rPr>
            </w:pPr>
            <w:r w:rsidRPr="005F3164">
              <w:rPr>
                <w:rFonts w:asciiTheme="minorHAnsi" w:hAnsiTheme="minorHAnsi"/>
                <w:sz w:val="20"/>
                <w:szCs w:val="20"/>
              </w:rPr>
              <w:t>299</w:t>
            </w:r>
          </w:p>
        </w:tc>
        <w:tc>
          <w:tcPr>
            <w:tcW w:w="636" w:type="dxa"/>
            <w:vMerge w:val="restart"/>
            <w:vAlign w:val="center"/>
          </w:tcPr>
          <w:p w14:paraId="4FE4BC99" w14:textId="77777777" w:rsidR="005F3164" w:rsidRPr="00D371E4" w:rsidRDefault="005F3164" w:rsidP="00F93E81">
            <w:pPr>
              <w:tabs>
                <w:tab w:val="center" w:pos="4316"/>
                <w:tab w:val="right" w:pos="8632"/>
              </w:tabs>
              <w:rPr>
                <w:rFonts w:ascii="Calibri" w:hAnsi="Calibri"/>
                <w:w w:val="102"/>
                <w:sz w:val="20"/>
                <w:highlight w:val="yellow"/>
              </w:rPr>
            </w:pPr>
            <w:r w:rsidRPr="00D371E4">
              <w:rPr>
                <w:rFonts w:ascii="Calibri" w:hAnsi="Calibri"/>
                <w:w w:val="102"/>
                <w:sz w:val="20"/>
              </w:rPr>
              <w:t>5980</w:t>
            </w:r>
          </w:p>
        </w:tc>
      </w:tr>
      <w:tr w:rsidR="005F3164" w:rsidRPr="005764E7" w14:paraId="3CEB76F0" w14:textId="77777777" w:rsidTr="005F3164">
        <w:tc>
          <w:tcPr>
            <w:tcW w:w="756" w:type="dxa"/>
          </w:tcPr>
          <w:p w14:paraId="2382CDFD" w14:textId="77777777" w:rsidR="005F3164" w:rsidRPr="00D371E4" w:rsidRDefault="005F3164" w:rsidP="00F93E81">
            <w:pPr>
              <w:tabs>
                <w:tab w:val="center" w:pos="4316"/>
                <w:tab w:val="right" w:pos="8632"/>
              </w:tabs>
              <w:rPr>
                <w:rFonts w:ascii="Calibri" w:hAnsi="Calibri"/>
                <w:w w:val="102"/>
                <w:sz w:val="20"/>
              </w:rPr>
            </w:pPr>
            <w:r w:rsidRPr="00D371E4">
              <w:rPr>
                <w:rFonts w:ascii="Calibri" w:hAnsi="Calibri"/>
                <w:w w:val="102"/>
                <w:sz w:val="20"/>
              </w:rPr>
              <w:t>LTV</w:t>
            </w:r>
            <w:r w:rsidRPr="00CD4F81">
              <w:rPr>
                <w:rFonts w:ascii="Calibri" w:hAnsi="Calibri"/>
                <w:w w:val="102"/>
                <w:sz w:val="20"/>
                <w:vertAlign w:val="superscript"/>
              </w:rPr>
              <w:t>a</w:t>
            </w:r>
          </w:p>
        </w:tc>
        <w:tc>
          <w:tcPr>
            <w:tcW w:w="630" w:type="dxa"/>
          </w:tcPr>
          <w:p w14:paraId="660F432D"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35</w:t>
            </w:r>
          </w:p>
        </w:tc>
        <w:tc>
          <w:tcPr>
            <w:tcW w:w="630" w:type="dxa"/>
          </w:tcPr>
          <w:p w14:paraId="42A9D742"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122</w:t>
            </w:r>
          </w:p>
        </w:tc>
        <w:tc>
          <w:tcPr>
            <w:tcW w:w="630" w:type="dxa"/>
          </w:tcPr>
          <w:p w14:paraId="754FAA14"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346</w:t>
            </w:r>
          </w:p>
        </w:tc>
        <w:tc>
          <w:tcPr>
            <w:tcW w:w="630" w:type="dxa"/>
          </w:tcPr>
          <w:p w14:paraId="11F3A90D"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196</w:t>
            </w:r>
          </w:p>
        </w:tc>
        <w:tc>
          <w:tcPr>
            <w:tcW w:w="630" w:type="dxa"/>
          </w:tcPr>
          <w:p w14:paraId="2FAC4EDD"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259</w:t>
            </w:r>
          </w:p>
        </w:tc>
        <w:tc>
          <w:tcPr>
            <w:tcW w:w="630" w:type="dxa"/>
          </w:tcPr>
          <w:p w14:paraId="21DEA589"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331</w:t>
            </w:r>
          </w:p>
        </w:tc>
        <w:tc>
          <w:tcPr>
            <w:tcW w:w="630" w:type="dxa"/>
          </w:tcPr>
          <w:p w14:paraId="7851A405"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324</w:t>
            </w:r>
          </w:p>
        </w:tc>
        <w:tc>
          <w:tcPr>
            <w:tcW w:w="630" w:type="dxa"/>
          </w:tcPr>
          <w:p w14:paraId="109539C7"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363</w:t>
            </w:r>
          </w:p>
        </w:tc>
        <w:tc>
          <w:tcPr>
            <w:tcW w:w="630" w:type="dxa"/>
          </w:tcPr>
          <w:p w14:paraId="020958B0"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401</w:t>
            </w:r>
          </w:p>
        </w:tc>
        <w:tc>
          <w:tcPr>
            <w:tcW w:w="630" w:type="dxa"/>
          </w:tcPr>
          <w:p w14:paraId="6DCD6367" w14:textId="77777777" w:rsidR="005F3164" w:rsidRPr="005F3164" w:rsidRDefault="005F3164" w:rsidP="00F93E81">
            <w:pPr>
              <w:tabs>
                <w:tab w:val="center" w:pos="4316"/>
                <w:tab w:val="right" w:pos="8632"/>
              </w:tabs>
              <w:rPr>
                <w:rFonts w:asciiTheme="minorHAnsi" w:hAnsiTheme="minorHAnsi"/>
                <w:w w:val="102"/>
                <w:sz w:val="20"/>
                <w:szCs w:val="20"/>
              </w:rPr>
            </w:pPr>
            <w:r w:rsidRPr="005F3164">
              <w:rPr>
                <w:rFonts w:asciiTheme="minorHAnsi" w:hAnsiTheme="minorHAnsi"/>
                <w:sz w:val="20"/>
                <w:szCs w:val="20"/>
              </w:rPr>
              <w:t>464</w:t>
            </w:r>
          </w:p>
        </w:tc>
        <w:tc>
          <w:tcPr>
            <w:tcW w:w="630" w:type="dxa"/>
          </w:tcPr>
          <w:p w14:paraId="5F52F5DA" w14:textId="77777777" w:rsidR="005F3164" w:rsidRPr="005F3164" w:rsidRDefault="005F3164" w:rsidP="00F93E81">
            <w:pPr>
              <w:tabs>
                <w:tab w:val="center" w:pos="4316"/>
                <w:tab w:val="right" w:pos="8632"/>
              </w:tabs>
              <w:rPr>
                <w:rFonts w:asciiTheme="minorHAnsi" w:hAnsiTheme="minorHAnsi"/>
                <w:sz w:val="20"/>
                <w:szCs w:val="20"/>
              </w:rPr>
            </w:pPr>
            <w:r w:rsidRPr="005F3164">
              <w:rPr>
                <w:rFonts w:asciiTheme="minorHAnsi" w:hAnsiTheme="minorHAnsi"/>
                <w:sz w:val="20"/>
                <w:szCs w:val="20"/>
              </w:rPr>
              <w:t>455</w:t>
            </w:r>
          </w:p>
        </w:tc>
        <w:tc>
          <w:tcPr>
            <w:tcW w:w="636" w:type="dxa"/>
            <w:vMerge/>
          </w:tcPr>
          <w:p w14:paraId="3D0D2905" w14:textId="77777777" w:rsidR="005F3164" w:rsidRPr="005764E7" w:rsidRDefault="005F3164" w:rsidP="00F93E81">
            <w:pPr>
              <w:tabs>
                <w:tab w:val="center" w:pos="4316"/>
                <w:tab w:val="right" w:pos="8632"/>
              </w:tabs>
              <w:rPr>
                <w:rFonts w:ascii="Calibri" w:hAnsi="Calibri"/>
                <w:w w:val="102"/>
                <w:sz w:val="20"/>
              </w:rPr>
            </w:pPr>
          </w:p>
        </w:tc>
      </w:tr>
    </w:tbl>
    <w:p w14:paraId="303EB206" w14:textId="1312BCA2" w:rsidR="00C94F03" w:rsidRPr="00CD4F81" w:rsidRDefault="00094806" w:rsidP="00262BE6">
      <w:pPr>
        <w:spacing w:line="250" w:lineRule="auto"/>
        <w:rPr>
          <w:rFonts w:asciiTheme="minorHAnsi" w:hAnsiTheme="minorHAnsi" w:cs="Arial"/>
          <w:w w:val="102"/>
          <w:sz w:val="20"/>
          <w:szCs w:val="20"/>
        </w:rPr>
      </w:pPr>
      <w:r w:rsidRPr="00CD4F81">
        <w:rPr>
          <w:rFonts w:asciiTheme="minorHAnsi" w:hAnsiTheme="minorHAnsi" w:cs="Arial"/>
          <w:w w:val="102"/>
          <w:sz w:val="20"/>
          <w:szCs w:val="20"/>
          <w:vertAlign w:val="superscript"/>
        </w:rPr>
        <w:t>a</w:t>
      </w:r>
      <w:r w:rsidRPr="00CD4F81">
        <w:rPr>
          <w:rFonts w:asciiTheme="minorHAnsi" w:hAnsiTheme="minorHAnsi" w:cs="Arial"/>
          <w:w w:val="102"/>
          <w:sz w:val="20"/>
          <w:szCs w:val="20"/>
        </w:rPr>
        <w:t>Light Tr</w:t>
      </w:r>
      <w:r w:rsidR="00CD4F81">
        <w:rPr>
          <w:rFonts w:asciiTheme="minorHAnsi" w:hAnsiTheme="minorHAnsi" w:cs="Arial"/>
          <w:w w:val="102"/>
          <w:sz w:val="20"/>
          <w:szCs w:val="20"/>
        </w:rPr>
        <w:t>ucks and Vans</w:t>
      </w:r>
      <w:r w:rsidRPr="00CD4F81">
        <w:rPr>
          <w:rFonts w:asciiTheme="minorHAnsi" w:hAnsiTheme="minorHAnsi" w:cs="Arial"/>
          <w:w w:val="102"/>
          <w:sz w:val="20"/>
          <w:szCs w:val="20"/>
        </w:rPr>
        <w:t xml:space="preserve"> (LTV) </w:t>
      </w:r>
      <w:r w:rsidR="00BA3A33" w:rsidRPr="00BA3A33">
        <w:rPr>
          <w:rFonts w:asciiTheme="minorHAnsi" w:hAnsiTheme="minorHAnsi" w:cs="Arial"/>
          <w:w w:val="102"/>
          <w:sz w:val="20"/>
          <w:szCs w:val="20"/>
        </w:rPr>
        <w:t>includes pickup trucks, SUVs, CUVs, minivans and full-sized vans with GVWR of 10,000 pounds or less</w:t>
      </w:r>
    </w:p>
    <w:p w14:paraId="70406C0A" w14:textId="77777777" w:rsidR="00094806" w:rsidRDefault="00094806" w:rsidP="00262BE6">
      <w:pPr>
        <w:spacing w:line="250" w:lineRule="auto"/>
        <w:rPr>
          <w:w w:val="102"/>
        </w:rPr>
      </w:pPr>
    </w:p>
    <w:p w14:paraId="727DAFFE" w14:textId="6FA509FC" w:rsidR="00D403A2" w:rsidRDefault="00262BE6" w:rsidP="00262BE6">
      <w:pPr>
        <w:spacing w:line="250" w:lineRule="auto"/>
        <w:rPr>
          <w:w w:val="102"/>
        </w:rPr>
      </w:pPr>
      <w:r>
        <w:rPr>
          <w:w w:val="102"/>
        </w:rPr>
        <w:t>Cells</w:t>
      </w:r>
      <w:r w:rsidR="00D403A2">
        <w:rPr>
          <w:w w:val="102"/>
        </w:rPr>
        <w:t xml:space="preserve"> </w:t>
      </w:r>
      <w:r>
        <w:rPr>
          <w:w w:val="102"/>
        </w:rPr>
        <w:t>a</w:t>
      </w:r>
      <w:r w:rsidR="00D403A2">
        <w:rPr>
          <w:w w:val="102"/>
        </w:rPr>
        <w:t xml:space="preserve">re collapsed into larger groups for </w:t>
      </w:r>
      <w:r>
        <w:rPr>
          <w:w w:val="102"/>
        </w:rPr>
        <w:t xml:space="preserve">planned </w:t>
      </w:r>
      <w:r w:rsidR="00D403A2">
        <w:rPr>
          <w:w w:val="102"/>
        </w:rPr>
        <w:t xml:space="preserve">analytic </w:t>
      </w:r>
      <w:r>
        <w:rPr>
          <w:w w:val="102"/>
        </w:rPr>
        <w:t>p</w:t>
      </w:r>
      <w:r w:rsidR="00D403A2">
        <w:rPr>
          <w:w w:val="102"/>
        </w:rPr>
        <w:t>urposes</w:t>
      </w:r>
      <w:r>
        <w:rPr>
          <w:w w:val="102"/>
        </w:rPr>
        <w:t xml:space="preserve"> in Table B-</w:t>
      </w:r>
      <w:r w:rsidR="008B5089">
        <w:rPr>
          <w:w w:val="102"/>
        </w:rPr>
        <w:t>3</w:t>
      </w:r>
      <w:r w:rsidR="00D403A2">
        <w:rPr>
          <w:w w:val="102"/>
        </w:rPr>
        <w:t>.</w:t>
      </w:r>
    </w:p>
    <w:p w14:paraId="5AD5A6EC" w14:textId="77777777" w:rsidR="00CE37A6" w:rsidRDefault="00CE37A6" w:rsidP="00D403A2">
      <w:pPr>
        <w:tabs>
          <w:tab w:val="center" w:pos="4316"/>
          <w:tab w:val="right" w:pos="8632"/>
        </w:tabs>
        <w:spacing w:before="14" w:line="250" w:lineRule="auto"/>
        <w:ind w:right="728"/>
        <w:rPr>
          <w:w w:val="102"/>
          <w:sz w:val="22"/>
        </w:rPr>
      </w:pPr>
    </w:p>
    <w:p w14:paraId="51718B1E" w14:textId="3AC0000D" w:rsidR="005764E7" w:rsidRPr="009A73CC" w:rsidRDefault="00D403A2" w:rsidP="00D403A2">
      <w:pPr>
        <w:tabs>
          <w:tab w:val="center" w:pos="4316"/>
          <w:tab w:val="right" w:pos="8632"/>
        </w:tabs>
        <w:spacing w:before="14" w:line="250" w:lineRule="auto"/>
        <w:ind w:right="728"/>
        <w:rPr>
          <w:w w:val="102"/>
          <w:sz w:val="22"/>
        </w:rPr>
      </w:pPr>
      <w:r w:rsidRPr="009A73CC">
        <w:rPr>
          <w:w w:val="102"/>
          <w:sz w:val="22"/>
        </w:rPr>
        <w:t>Table B-</w:t>
      </w:r>
      <w:r w:rsidR="008B5089">
        <w:rPr>
          <w:w w:val="102"/>
          <w:sz w:val="22"/>
        </w:rPr>
        <w:t>3</w:t>
      </w:r>
      <w:r w:rsidRPr="009A73CC">
        <w:rPr>
          <w:w w:val="102"/>
          <w:sz w:val="22"/>
        </w:rPr>
        <w:t>:  Likely Analytical Groupings, Direct TPMS</w:t>
      </w:r>
    </w:p>
    <w:tbl>
      <w:tblPr>
        <w:tblStyle w:val="TableGrid"/>
        <w:tblW w:w="5674" w:type="dxa"/>
        <w:tblInd w:w="-5" w:type="dxa"/>
        <w:tblLook w:val="04A0" w:firstRow="1" w:lastRow="0" w:firstColumn="1" w:lastColumn="0" w:noHBand="0" w:noVBand="1"/>
      </w:tblPr>
      <w:tblGrid>
        <w:gridCol w:w="1549"/>
        <w:gridCol w:w="1343"/>
        <w:gridCol w:w="1391"/>
        <w:gridCol w:w="1391"/>
      </w:tblGrid>
      <w:tr w:rsidR="0096510C" w:rsidRPr="00262BE6" w14:paraId="2C0BA8EA" w14:textId="77777777" w:rsidTr="00CD4F81">
        <w:trPr>
          <w:trHeight w:val="300"/>
        </w:trPr>
        <w:tc>
          <w:tcPr>
            <w:tcW w:w="1549" w:type="dxa"/>
            <w:noWrap/>
            <w:hideMark/>
          </w:tcPr>
          <w:p w14:paraId="0BF2E082" w14:textId="77777777" w:rsidR="0096510C" w:rsidRPr="005F3164" w:rsidRDefault="0096510C" w:rsidP="00F3565E">
            <w:pPr>
              <w:rPr>
                <w:rFonts w:asciiTheme="minorHAnsi" w:hAnsiTheme="minorHAnsi"/>
                <w:color w:val="000000"/>
                <w:sz w:val="20"/>
                <w:szCs w:val="22"/>
              </w:rPr>
            </w:pPr>
            <w:r w:rsidRPr="005F3164">
              <w:rPr>
                <w:rFonts w:asciiTheme="minorHAnsi" w:hAnsiTheme="minorHAnsi"/>
                <w:color w:val="000000"/>
                <w:sz w:val="20"/>
                <w:szCs w:val="22"/>
              </w:rPr>
              <w:t> </w:t>
            </w:r>
            <w:r w:rsidR="00094806" w:rsidRPr="005F3164">
              <w:rPr>
                <w:rFonts w:asciiTheme="minorHAnsi" w:hAnsiTheme="minorHAnsi"/>
                <w:color w:val="000000"/>
                <w:sz w:val="20"/>
                <w:szCs w:val="22"/>
              </w:rPr>
              <w:t>MY Group</w:t>
            </w:r>
          </w:p>
        </w:tc>
        <w:tc>
          <w:tcPr>
            <w:tcW w:w="1343" w:type="dxa"/>
            <w:noWrap/>
            <w:hideMark/>
          </w:tcPr>
          <w:p w14:paraId="7F9B9033" w14:textId="77777777" w:rsidR="0096510C" w:rsidRPr="005F3164" w:rsidRDefault="0096510C" w:rsidP="00F3565E">
            <w:pPr>
              <w:jc w:val="center"/>
              <w:rPr>
                <w:rFonts w:asciiTheme="minorHAnsi" w:hAnsiTheme="minorHAnsi"/>
                <w:color w:val="000000"/>
                <w:sz w:val="20"/>
                <w:szCs w:val="22"/>
              </w:rPr>
            </w:pPr>
            <w:r w:rsidRPr="005F3164">
              <w:rPr>
                <w:rFonts w:asciiTheme="minorHAnsi" w:hAnsiTheme="minorHAnsi"/>
                <w:color w:val="000000"/>
                <w:sz w:val="20"/>
                <w:szCs w:val="22"/>
              </w:rPr>
              <w:t>Car</w:t>
            </w:r>
          </w:p>
        </w:tc>
        <w:tc>
          <w:tcPr>
            <w:tcW w:w="1391" w:type="dxa"/>
            <w:noWrap/>
            <w:hideMark/>
          </w:tcPr>
          <w:p w14:paraId="0DF7DE7B" w14:textId="77777777" w:rsidR="0096510C" w:rsidRPr="005F3164" w:rsidRDefault="0096510C" w:rsidP="00F3565E">
            <w:pPr>
              <w:jc w:val="center"/>
              <w:rPr>
                <w:rFonts w:asciiTheme="minorHAnsi" w:hAnsiTheme="minorHAnsi"/>
                <w:color w:val="000000"/>
                <w:sz w:val="20"/>
                <w:szCs w:val="22"/>
              </w:rPr>
            </w:pPr>
            <w:r w:rsidRPr="005F3164">
              <w:rPr>
                <w:rFonts w:asciiTheme="minorHAnsi" w:hAnsiTheme="minorHAnsi"/>
                <w:color w:val="000000"/>
                <w:sz w:val="20"/>
                <w:szCs w:val="22"/>
              </w:rPr>
              <w:t>LTV</w:t>
            </w:r>
            <w:r w:rsidR="00094806" w:rsidRPr="005F3164">
              <w:rPr>
                <w:rFonts w:asciiTheme="minorHAnsi" w:hAnsiTheme="minorHAnsi"/>
                <w:color w:val="000000"/>
                <w:sz w:val="20"/>
                <w:szCs w:val="22"/>
                <w:vertAlign w:val="superscript"/>
              </w:rPr>
              <w:t>a</w:t>
            </w:r>
          </w:p>
        </w:tc>
        <w:tc>
          <w:tcPr>
            <w:tcW w:w="1391" w:type="dxa"/>
            <w:tcBorders>
              <w:bottom w:val="single" w:sz="4" w:space="0" w:color="auto"/>
            </w:tcBorders>
          </w:tcPr>
          <w:p w14:paraId="791EC229" w14:textId="77777777" w:rsidR="0096510C" w:rsidRPr="005F3164" w:rsidRDefault="0096510C" w:rsidP="0096510C">
            <w:pPr>
              <w:jc w:val="center"/>
              <w:rPr>
                <w:rFonts w:asciiTheme="minorHAnsi" w:hAnsiTheme="minorHAnsi"/>
                <w:color w:val="000000"/>
                <w:sz w:val="20"/>
                <w:szCs w:val="22"/>
              </w:rPr>
            </w:pPr>
            <w:r w:rsidRPr="005F3164">
              <w:rPr>
                <w:rFonts w:asciiTheme="minorHAnsi" w:hAnsiTheme="minorHAnsi"/>
                <w:color w:val="000000"/>
                <w:sz w:val="20"/>
                <w:szCs w:val="22"/>
              </w:rPr>
              <w:t>Total</w:t>
            </w:r>
          </w:p>
        </w:tc>
      </w:tr>
      <w:tr w:rsidR="0096510C" w:rsidRPr="00262BE6" w14:paraId="428886A2" w14:textId="77777777" w:rsidTr="00CD4F81">
        <w:trPr>
          <w:trHeight w:val="300"/>
        </w:trPr>
        <w:tc>
          <w:tcPr>
            <w:tcW w:w="1549" w:type="dxa"/>
            <w:noWrap/>
            <w:hideMark/>
          </w:tcPr>
          <w:p w14:paraId="565BE2F6" w14:textId="77777777" w:rsidR="0096510C" w:rsidRPr="005F3164" w:rsidRDefault="0096510C" w:rsidP="00F3565E">
            <w:pPr>
              <w:rPr>
                <w:rFonts w:asciiTheme="minorHAnsi" w:hAnsiTheme="minorHAnsi"/>
                <w:color w:val="000000"/>
                <w:sz w:val="20"/>
                <w:szCs w:val="22"/>
              </w:rPr>
            </w:pPr>
            <w:r w:rsidRPr="005F3164">
              <w:rPr>
                <w:rFonts w:asciiTheme="minorHAnsi" w:hAnsiTheme="minorHAnsi"/>
                <w:color w:val="000000"/>
                <w:sz w:val="20"/>
                <w:szCs w:val="22"/>
              </w:rPr>
              <w:t>2006-2008</w:t>
            </w:r>
          </w:p>
        </w:tc>
        <w:tc>
          <w:tcPr>
            <w:tcW w:w="1343" w:type="dxa"/>
            <w:noWrap/>
            <w:hideMark/>
          </w:tcPr>
          <w:p w14:paraId="1E1EDBEC" w14:textId="1942D096" w:rsidR="0096510C" w:rsidRPr="005F3164" w:rsidRDefault="00E45CDC" w:rsidP="00F3565E">
            <w:pPr>
              <w:jc w:val="center"/>
              <w:rPr>
                <w:rFonts w:asciiTheme="minorHAnsi" w:hAnsiTheme="minorHAnsi"/>
                <w:color w:val="000000"/>
                <w:sz w:val="20"/>
                <w:szCs w:val="22"/>
              </w:rPr>
            </w:pPr>
            <w:r w:rsidRPr="005F3164">
              <w:rPr>
                <w:rFonts w:asciiTheme="minorHAnsi" w:hAnsiTheme="minorHAnsi"/>
                <w:color w:val="000000"/>
                <w:sz w:val="20"/>
                <w:szCs w:val="22"/>
              </w:rPr>
              <w:t>401</w:t>
            </w:r>
          </w:p>
        </w:tc>
        <w:tc>
          <w:tcPr>
            <w:tcW w:w="1391" w:type="dxa"/>
            <w:noWrap/>
            <w:hideMark/>
          </w:tcPr>
          <w:p w14:paraId="20E7BD6F" w14:textId="309F83B4" w:rsidR="0096510C" w:rsidRPr="005F3164" w:rsidRDefault="00E45CDC" w:rsidP="00F3565E">
            <w:pPr>
              <w:jc w:val="center"/>
              <w:rPr>
                <w:rFonts w:asciiTheme="minorHAnsi" w:hAnsiTheme="minorHAnsi"/>
                <w:color w:val="000000"/>
                <w:sz w:val="20"/>
                <w:szCs w:val="22"/>
              </w:rPr>
            </w:pPr>
            <w:r w:rsidRPr="005F3164">
              <w:rPr>
                <w:rFonts w:asciiTheme="minorHAnsi" w:hAnsiTheme="minorHAnsi"/>
                <w:color w:val="000000"/>
                <w:sz w:val="20"/>
                <w:szCs w:val="22"/>
              </w:rPr>
              <w:t>502</w:t>
            </w:r>
          </w:p>
        </w:tc>
        <w:tc>
          <w:tcPr>
            <w:tcW w:w="1391" w:type="dxa"/>
            <w:vMerge w:val="restart"/>
            <w:shd w:val="clear" w:color="auto" w:fill="EEECE1" w:themeFill="background2"/>
            <w:vAlign w:val="center"/>
          </w:tcPr>
          <w:p w14:paraId="755B16D9" w14:textId="153D557B" w:rsidR="0096510C" w:rsidRPr="005F3164" w:rsidRDefault="00E45CDC" w:rsidP="00F3565E">
            <w:pPr>
              <w:jc w:val="center"/>
              <w:rPr>
                <w:rFonts w:asciiTheme="minorHAnsi" w:hAnsiTheme="minorHAnsi"/>
                <w:color w:val="000000"/>
                <w:sz w:val="20"/>
                <w:szCs w:val="22"/>
              </w:rPr>
            </w:pPr>
            <w:r w:rsidRPr="005F3164">
              <w:rPr>
                <w:rFonts w:asciiTheme="minorHAnsi" w:hAnsiTheme="minorHAnsi"/>
                <w:color w:val="000000"/>
                <w:sz w:val="20"/>
                <w:szCs w:val="22"/>
              </w:rPr>
              <w:t>243</w:t>
            </w:r>
            <w:r w:rsidR="0055426E" w:rsidRPr="005F3164">
              <w:rPr>
                <w:rFonts w:asciiTheme="minorHAnsi" w:hAnsiTheme="minorHAnsi"/>
                <w:color w:val="000000"/>
                <w:sz w:val="20"/>
                <w:szCs w:val="22"/>
              </w:rPr>
              <w:t>0</w:t>
            </w:r>
          </w:p>
        </w:tc>
      </w:tr>
      <w:tr w:rsidR="0096510C" w:rsidRPr="00262BE6" w14:paraId="28E62316" w14:textId="77777777" w:rsidTr="00CD4F81">
        <w:trPr>
          <w:trHeight w:val="300"/>
        </w:trPr>
        <w:tc>
          <w:tcPr>
            <w:tcW w:w="1549" w:type="dxa"/>
            <w:noWrap/>
            <w:hideMark/>
          </w:tcPr>
          <w:p w14:paraId="0AA1BBD0" w14:textId="77777777" w:rsidR="0096510C" w:rsidRPr="005F3164" w:rsidRDefault="0096510C" w:rsidP="00F3565E">
            <w:pPr>
              <w:rPr>
                <w:rFonts w:asciiTheme="minorHAnsi" w:hAnsiTheme="minorHAnsi"/>
                <w:color w:val="000000"/>
                <w:sz w:val="20"/>
                <w:szCs w:val="22"/>
              </w:rPr>
            </w:pPr>
            <w:r w:rsidRPr="005F3164">
              <w:rPr>
                <w:rFonts w:asciiTheme="minorHAnsi" w:hAnsiTheme="minorHAnsi"/>
                <w:color w:val="000000"/>
                <w:sz w:val="20"/>
                <w:szCs w:val="22"/>
              </w:rPr>
              <w:t>2009-2011</w:t>
            </w:r>
          </w:p>
        </w:tc>
        <w:tc>
          <w:tcPr>
            <w:tcW w:w="1343" w:type="dxa"/>
            <w:noWrap/>
            <w:hideMark/>
          </w:tcPr>
          <w:p w14:paraId="79AECE8F" w14:textId="59255771" w:rsidR="0096510C" w:rsidRPr="005F3164" w:rsidRDefault="00E45CDC" w:rsidP="00F3565E">
            <w:pPr>
              <w:jc w:val="center"/>
              <w:rPr>
                <w:rFonts w:asciiTheme="minorHAnsi" w:hAnsiTheme="minorHAnsi"/>
                <w:color w:val="000000"/>
                <w:sz w:val="20"/>
                <w:szCs w:val="22"/>
              </w:rPr>
            </w:pPr>
            <w:r w:rsidRPr="005F3164">
              <w:rPr>
                <w:rFonts w:asciiTheme="minorHAnsi" w:hAnsiTheme="minorHAnsi"/>
                <w:color w:val="000000"/>
                <w:sz w:val="20"/>
                <w:szCs w:val="22"/>
              </w:rPr>
              <w:t>74</w:t>
            </w:r>
            <w:r w:rsidR="00A62C5B" w:rsidRPr="005F3164">
              <w:rPr>
                <w:rFonts w:asciiTheme="minorHAnsi" w:hAnsiTheme="minorHAnsi"/>
                <w:color w:val="000000"/>
                <w:sz w:val="20"/>
                <w:szCs w:val="22"/>
              </w:rPr>
              <w:t>2</w:t>
            </w:r>
          </w:p>
        </w:tc>
        <w:tc>
          <w:tcPr>
            <w:tcW w:w="1391" w:type="dxa"/>
            <w:noWrap/>
            <w:hideMark/>
          </w:tcPr>
          <w:p w14:paraId="42374666" w14:textId="32B66782" w:rsidR="0096510C" w:rsidRPr="005F3164" w:rsidRDefault="00E45CDC" w:rsidP="00F3565E">
            <w:pPr>
              <w:jc w:val="center"/>
              <w:rPr>
                <w:rFonts w:asciiTheme="minorHAnsi" w:hAnsiTheme="minorHAnsi"/>
                <w:color w:val="000000"/>
                <w:sz w:val="20"/>
                <w:szCs w:val="22"/>
              </w:rPr>
            </w:pPr>
            <w:r w:rsidRPr="005F3164">
              <w:rPr>
                <w:rFonts w:asciiTheme="minorHAnsi" w:hAnsiTheme="minorHAnsi"/>
                <w:color w:val="000000"/>
                <w:sz w:val="20"/>
                <w:szCs w:val="22"/>
              </w:rPr>
              <w:t>786</w:t>
            </w:r>
          </w:p>
        </w:tc>
        <w:tc>
          <w:tcPr>
            <w:tcW w:w="1391" w:type="dxa"/>
            <w:vMerge/>
            <w:shd w:val="clear" w:color="auto" w:fill="EEECE1" w:themeFill="background2"/>
            <w:vAlign w:val="center"/>
          </w:tcPr>
          <w:p w14:paraId="5D949A09" w14:textId="77777777" w:rsidR="0096510C" w:rsidRPr="005F3164" w:rsidRDefault="0096510C" w:rsidP="00F3565E">
            <w:pPr>
              <w:jc w:val="center"/>
              <w:rPr>
                <w:rFonts w:asciiTheme="minorHAnsi" w:hAnsiTheme="minorHAnsi"/>
                <w:color w:val="000000"/>
                <w:sz w:val="20"/>
                <w:szCs w:val="22"/>
              </w:rPr>
            </w:pPr>
          </w:p>
        </w:tc>
      </w:tr>
      <w:tr w:rsidR="0096510C" w:rsidRPr="00262BE6" w14:paraId="6FEEB165" w14:textId="77777777" w:rsidTr="00CD4F81">
        <w:trPr>
          <w:trHeight w:val="300"/>
        </w:trPr>
        <w:tc>
          <w:tcPr>
            <w:tcW w:w="1549" w:type="dxa"/>
            <w:noWrap/>
            <w:hideMark/>
          </w:tcPr>
          <w:p w14:paraId="1FDCD856" w14:textId="77777777" w:rsidR="0096510C" w:rsidRPr="005F3164" w:rsidRDefault="0096510C" w:rsidP="00F3565E">
            <w:pPr>
              <w:rPr>
                <w:rFonts w:asciiTheme="minorHAnsi" w:hAnsiTheme="minorHAnsi"/>
                <w:color w:val="000000"/>
                <w:sz w:val="20"/>
                <w:szCs w:val="22"/>
              </w:rPr>
            </w:pPr>
            <w:r w:rsidRPr="005F3164">
              <w:rPr>
                <w:rFonts w:asciiTheme="minorHAnsi" w:hAnsiTheme="minorHAnsi"/>
                <w:color w:val="000000"/>
                <w:sz w:val="20"/>
                <w:szCs w:val="22"/>
              </w:rPr>
              <w:t>2012-2014</w:t>
            </w:r>
          </w:p>
        </w:tc>
        <w:tc>
          <w:tcPr>
            <w:tcW w:w="1343" w:type="dxa"/>
            <w:noWrap/>
            <w:hideMark/>
          </w:tcPr>
          <w:p w14:paraId="766430CF" w14:textId="7AA1141F" w:rsidR="0096510C" w:rsidRPr="005F3164" w:rsidRDefault="00E45CDC" w:rsidP="00F3565E">
            <w:pPr>
              <w:jc w:val="center"/>
              <w:rPr>
                <w:rFonts w:asciiTheme="minorHAnsi" w:hAnsiTheme="minorHAnsi"/>
                <w:color w:val="000000"/>
                <w:sz w:val="20"/>
                <w:szCs w:val="22"/>
              </w:rPr>
            </w:pPr>
            <w:r w:rsidRPr="005F3164">
              <w:rPr>
                <w:rFonts w:asciiTheme="minorHAnsi" w:hAnsiTheme="minorHAnsi"/>
                <w:color w:val="000000"/>
                <w:sz w:val="20"/>
                <w:szCs w:val="22"/>
              </w:rPr>
              <w:t>94</w:t>
            </w:r>
            <w:r w:rsidR="00A62C5B" w:rsidRPr="005F3164">
              <w:rPr>
                <w:rFonts w:asciiTheme="minorHAnsi" w:hAnsiTheme="minorHAnsi"/>
                <w:color w:val="000000"/>
                <w:sz w:val="20"/>
                <w:szCs w:val="22"/>
              </w:rPr>
              <w:t>6</w:t>
            </w:r>
          </w:p>
        </w:tc>
        <w:tc>
          <w:tcPr>
            <w:tcW w:w="1391" w:type="dxa"/>
            <w:noWrap/>
            <w:hideMark/>
          </w:tcPr>
          <w:p w14:paraId="7CB15FAB" w14:textId="13573F24" w:rsidR="0096510C" w:rsidRPr="005F3164" w:rsidRDefault="00E45CDC" w:rsidP="00F3565E">
            <w:pPr>
              <w:jc w:val="center"/>
              <w:rPr>
                <w:rFonts w:asciiTheme="minorHAnsi" w:hAnsiTheme="minorHAnsi"/>
                <w:color w:val="000000"/>
                <w:sz w:val="20"/>
                <w:szCs w:val="22"/>
              </w:rPr>
            </w:pPr>
            <w:r w:rsidRPr="005F3164">
              <w:rPr>
                <w:rFonts w:asciiTheme="minorHAnsi" w:hAnsiTheme="minorHAnsi"/>
                <w:color w:val="000000"/>
                <w:sz w:val="20"/>
                <w:szCs w:val="22"/>
              </w:rPr>
              <w:t>10</w:t>
            </w:r>
            <w:r w:rsidR="0055426E" w:rsidRPr="005F3164">
              <w:rPr>
                <w:rFonts w:asciiTheme="minorHAnsi" w:hAnsiTheme="minorHAnsi"/>
                <w:color w:val="000000"/>
                <w:sz w:val="20"/>
                <w:szCs w:val="22"/>
              </w:rPr>
              <w:t>90</w:t>
            </w:r>
          </w:p>
        </w:tc>
        <w:tc>
          <w:tcPr>
            <w:tcW w:w="1391" w:type="dxa"/>
            <w:vMerge w:val="restart"/>
            <w:shd w:val="clear" w:color="auto" w:fill="EEECE1" w:themeFill="background2"/>
            <w:vAlign w:val="center"/>
          </w:tcPr>
          <w:p w14:paraId="3BB027AB" w14:textId="5FE5C205" w:rsidR="0096510C" w:rsidRPr="005F3164" w:rsidRDefault="0036131D" w:rsidP="00F3565E">
            <w:pPr>
              <w:jc w:val="center"/>
              <w:rPr>
                <w:rFonts w:asciiTheme="minorHAnsi" w:hAnsiTheme="minorHAnsi"/>
                <w:color w:val="000000"/>
                <w:sz w:val="20"/>
                <w:szCs w:val="22"/>
              </w:rPr>
            </w:pPr>
            <w:r w:rsidRPr="005F3164">
              <w:rPr>
                <w:rFonts w:asciiTheme="minorHAnsi" w:hAnsiTheme="minorHAnsi"/>
                <w:color w:val="000000"/>
                <w:sz w:val="20"/>
                <w:szCs w:val="22"/>
              </w:rPr>
              <w:t>3</w:t>
            </w:r>
            <w:r w:rsidR="0055426E" w:rsidRPr="005F3164">
              <w:rPr>
                <w:rFonts w:asciiTheme="minorHAnsi" w:hAnsiTheme="minorHAnsi"/>
                <w:color w:val="000000"/>
                <w:sz w:val="20"/>
                <w:szCs w:val="22"/>
              </w:rPr>
              <w:t>550</w:t>
            </w:r>
          </w:p>
        </w:tc>
      </w:tr>
      <w:tr w:rsidR="0096510C" w:rsidRPr="00262BE6" w14:paraId="45F2B737" w14:textId="77777777" w:rsidTr="00CD4F81">
        <w:trPr>
          <w:trHeight w:val="300"/>
        </w:trPr>
        <w:tc>
          <w:tcPr>
            <w:tcW w:w="1549" w:type="dxa"/>
            <w:noWrap/>
            <w:hideMark/>
          </w:tcPr>
          <w:p w14:paraId="33186D92" w14:textId="77777777" w:rsidR="0096510C" w:rsidRPr="005F3164" w:rsidRDefault="0096510C" w:rsidP="00F3565E">
            <w:pPr>
              <w:rPr>
                <w:rFonts w:asciiTheme="minorHAnsi" w:hAnsiTheme="minorHAnsi"/>
                <w:color w:val="000000"/>
                <w:sz w:val="20"/>
                <w:szCs w:val="22"/>
              </w:rPr>
            </w:pPr>
            <w:r w:rsidRPr="005F3164">
              <w:rPr>
                <w:rFonts w:asciiTheme="minorHAnsi" w:hAnsiTheme="minorHAnsi"/>
                <w:color w:val="000000"/>
                <w:sz w:val="20"/>
                <w:szCs w:val="22"/>
              </w:rPr>
              <w:t>2015-201</w:t>
            </w:r>
            <w:r w:rsidR="009438CC" w:rsidRPr="005F3164">
              <w:rPr>
                <w:rFonts w:asciiTheme="minorHAnsi" w:hAnsiTheme="minorHAnsi"/>
                <w:color w:val="000000"/>
                <w:sz w:val="20"/>
                <w:szCs w:val="22"/>
              </w:rPr>
              <w:t>6</w:t>
            </w:r>
          </w:p>
        </w:tc>
        <w:tc>
          <w:tcPr>
            <w:tcW w:w="1343" w:type="dxa"/>
            <w:noWrap/>
            <w:hideMark/>
          </w:tcPr>
          <w:p w14:paraId="4B3059DF" w14:textId="332B302E" w:rsidR="0096510C" w:rsidRPr="005F3164" w:rsidRDefault="00E45CDC" w:rsidP="00F3565E">
            <w:pPr>
              <w:jc w:val="center"/>
              <w:rPr>
                <w:rFonts w:asciiTheme="minorHAnsi" w:hAnsiTheme="minorHAnsi"/>
                <w:color w:val="000000"/>
                <w:sz w:val="20"/>
                <w:szCs w:val="22"/>
              </w:rPr>
            </w:pPr>
            <w:r w:rsidRPr="005F3164">
              <w:rPr>
                <w:rFonts w:asciiTheme="minorHAnsi" w:hAnsiTheme="minorHAnsi"/>
                <w:color w:val="000000"/>
                <w:sz w:val="20"/>
                <w:szCs w:val="22"/>
              </w:rPr>
              <w:t>59</w:t>
            </w:r>
            <w:r w:rsidR="0055426E" w:rsidRPr="005F3164">
              <w:rPr>
                <w:rFonts w:asciiTheme="minorHAnsi" w:hAnsiTheme="minorHAnsi"/>
                <w:color w:val="000000"/>
                <w:sz w:val="20"/>
                <w:szCs w:val="22"/>
              </w:rPr>
              <w:t>7</w:t>
            </w:r>
          </w:p>
        </w:tc>
        <w:tc>
          <w:tcPr>
            <w:tcW w:w="1391" w:type="dxa"/>
            <w:noWrap/>
            <w:hideMark/>
          </w:tcPr>
          <w:p w14:paraId="18F4A611" w14:textId="5BDECDC9" w:rsidR="0096510C" w:rsidRPr="005F3164" w:rsidRDefault="0055426E" w:rsidP="00F3565E">
            <w:pPr>
              <w:jc w:val="center"/>
              <w:rPr>
                <w:rFonts w:asciiTheme="minorHAnsi" w:hAnsiTheme="minorHAnsi"/>
                <w:color w:val="000000"/>
                <w:sz w:val="20"/>
                <w:szCs w:val="22"/>
              </w:rPr>
            </w:pPr>
            <w:r w:rsidRPr="005F3164">
              <w:rPr>
                <w:rFonts w:asciiTheme="minorHAnsi" w:hAnsiTheme="minorHAnsi"/>
                <w:color w:val="000000"/>
                <w:sz w:val="20"/>
                <w:szCs w:val="22"/>
              </w:rPr>
              <w:t>919</w:t>
            </w:r>
          </w:p>
        </w:tc>
        <w:tc>
          <w:tcPr>
            <w:tcW w:w="1391" w:type="dxa"/>
            <w:vMerge/>
            <w:shd w:val="clear" w:color="auto" w:fill="EEECE1" w:themeFill="background2"/>
          </w:tcPr>
          <w:p w14:paraId="7C939CC9" w14:textId="77777777" w:rsidR="0096510C" w:rsidRPr="005F3164" w:rsidRDefault="0096510C" w:rsidP="00F3565E">
            <w:pPr>
              <w:jc w:val="center"/>
              <w:rPr>
                <w:rFonts w:asciiTheme="minorHAnsi" w:hAnsiTheme="minorHAnsi"/>
                <w:color w:val="000000"/>
                <w:sz w:val="20"/>
                <w:szCs w:val="22"/>
              </w:rPr>
            </w:pPr>
          </w:p>
        </w:tc>
      </w:tr>
      <w:tr w:rsidR="0096510C" w:rsidRPr="00262BE6" w14:paraId="03762CC2" w14:textId="77777777" w:rsidTr="00CD4F81">
        <w:trPr>
          <w:trHeight w:val="300"/>
        </w:trPr>
        <w:tc>
          <w:tcPr>
            <w:tcW w:w="1549" w:type="dxa"/>
            <w:noWrap/>
          </w:tcPr>
          <w:p w14:paraId="0B6B9DEA" w14:textId="77777777" w:rsidR="0096510C" w:rsidRPr="005F3164" w:rsidRDefault="0096510C" w:rsidP="00F3565E">
            <w:pPr>
              <w:rPr>
                <w:rFonts w:asciiTheme="minorHAnsi" w:hAnsiTheme="minorHAnsi"/>
                <w:color w:val="000000"/>
                <w:sz w:val="20"/>
                <w:szCs w:val="22"/>
              </w:rPr>
            </w:pPr>
            <w:r w:rsidRPr="005F3164">
              <w:rPr>
                <w:rFonts w:asciiTheme="minorHAnsi" w:hAnsiTheme="minorHAnsi"/>
                <w:color w:val="000000"/>
                <w:sz w:val="20"/>
                <w:szCs w:val="22"/>
              </w:rPr>
              <w:t>Total</w:t>
            </w:r>
          </w:p>
        </w:tc>
        <w:tc>
          <w:tcPr>
            <w:tcW w:w="1343" w:type="dxa"/>
            <w:shd w:val="clear" w:color="auto" w:fill="EEECE1" w:themeFill="background2"/>
            <w:noWrap/>
          </w:tcPr>
          <w:p w14:paraId="3A95C0D2" w14:textId="482CD0ED" w:rsidR="0096510C" w:rsidRPr="005F3164" w:rsidRDefault="0036131D" w:rsidP="00F3565E">
            <w:pPr>
              <w:jc w:val="center"/>
              <w:rPr>
                <w:rFonts w:asciiTheme="minorHAnsi" w:hAnsiTheme="minorHAnsi"/>
                <w:color w:val="000000"/>
                <w:sz w:val="20"/>
                <w:szCs w:val="22"/>
              </w:rPr>
            </w:pPr>
            <w:r w:rsidRPr="005F3164">
              <w:rPr>
                <w:rFonts w:asciiTheme="minorHAnsi" w:hAnsiTheme="minorHAnsi"/>
                <w:color w:val="000000"/>
                <w:sz w:val="20"/>
                <w:szCs w:val="22"/>
              </w:rPr>
              <w:t>268</w:t>
            </w:r>
            <w:r w:rsidR="0055426E" w:rsidRPr="005F3164">
              <w:rPr>
                <w:rFonts w:asciiTheme="minorHAnsi" w:hAnsiTheme="minorHAnsi"/>
                <w:color w:val="000000"/>
                <w:sz w:val="20"/>
                <w:szCs w:val="22"/>
              </w:rPr>
              <w:t>4</w:t>
            </w:r>
          </w:p>
        </w:tc>
        <w:tc>
          <w:tcPr>
            <w:tcW w:w="1391" w:type="dxa"/>
            <w:shd w:val="clear" w:color="auto" w:fill="EEECE1" w:themeFill="background2"/>
            <w:noWrap/>
          </w:tcPr>
          <w:p w14:paraId="1E131594" w14:textId="0145DEF2" w:rsidR="0096510C" w:rsidRPr="005F3164" w:rsidRDefault="0036131D" w:rsidP="00F3565E">
            <w:pPr>
              <w:jc w:val="center"/>
              <w:rPr>
                <w:rFonts w:asciiTheme="minorHAnsi" w:hAnsiTheme="minorHAnsi"/>
                <w:color w:val="000000"/>
                <w:sz w:val="20"/>
                <w:szCs w:val="22"/>
              </w:rPr>
            </w:pPr>
            <w:r w:rsidRPr="005F3164">
              <w:rPr>
                <w:rFonts w:asciiTheme="minorHAnsi" w:hAnsiTheme="minorHAnsi"/>
                <w:color w:val="000000"/>
                <w:sz w:val="20"/>
                <w:szCs w:val="22"/>
              </w:rPr>
              <w:t>32</w:t>
            </w:r>
            <w:r w:rsidR="0055426E" w:rsidRPr="005F3164">
              <w:rPr>
                <w:rFonts w:asciiTheme="minorHAnsi" w:hAnsiTheme="minorHAnsi"/>
                <w:color w:val="000000"/>
                <w:sz w:val="20"/>
                <w:szCs w:val="22"/>
              </w:rPr>
              <w:t>86</w:t>
            </w:r>
          </w:p>
        </w:tc>
        <w:tc>
          <w:tcPr>
            <w:tcW w:w="1391" w:type="dxa"/>
          </w:tcPr>
          <w:p w14:paraId="5D2F87B6" w14:textId="77777777" w:rsidR="0096510C" w:rsidRPr="005F3164" w:rsidRDefault="0096510C" w:rsidP="00F3565E">
            <w:pPr>
              <w:jc w:val="center"/>
              <w:rPr>
                <w:rFonts w:asciiTheme="minorHAnsi" w:hAnsiTheme="minorHAnsi"/>
                <w:color w:val="000000"/>
                <w:sz w:val="20"/>
                <w:szCs w:val="22"/>
              </w:rPr>
            </w:pPr>
            <w:r w:rsidRPr="005F3164">
              <w:rPr>
                <w:rFonts w:asciiTheme="minorHAnsi" w:hAnsiTheme="minorHAnsi"/>
                <w:color w:val="000000"/>
                <w:sz w:val="20"/>
                <w:szCs w:val="22"/>
              </w:rPr>
              <w:t>5980</w:t>
            </w:r>
          </w:p>
        </w:tc>
      </w:tr>
    </w:tbl>
    <w:p w14:paraId="1F738688" w14:textId="7270E426" w:rsidR="00CD4F81" w:rsidRPr="00481053" w:rsidRDefault="00CD4F81" w:rsidP="00CD4F81">
      <w:pPr>
        <w:spacing w:line="250" w:lineRule="auto"/>
        <w:rPr>
          <w:rFonts w:asciiTheme="minorHAnsi" w:hAnsiTheme="minorHAnsi" w:cs="Arial"/>
          <w:w w:val="102"/>
          <w:sz w:val="20"/>
          <w:szCs w:val="20"/>
        </w:rPr>
      </w:pPr>
      <w:r w:rsidRPr="00481053">
        <w:rPr>
          <w:rFonts w:asciiTheme="minorHAnsi" w:hAnsiTheme="minorHAnsi" w:cs="Arial"/>
          <w:w w:val="102"/>
          <w:sz w:val="20"/>
          <w:szCs w:val="20"/>
          <w:vertAlign w:val="superscript"/>
        </w:rPr>
        <w:t>a</w:t>
      </w:r>
      <w:r w:rsidRPr="00481053">
        <w:rPr>
          <w:rFonts w:asciiTheme="minorHAnsi" w:hAnsiTheme="minorHAnsi" w:cs="Arial"/>
          <w:w w:val="102"/>
          <w:sz w:val="20"/>
          <w:szCs w:val="20"/>
        </w:rPr>
        <w:t>Light Tr</w:t>
      </w:r>
      <w:r>
        <w:rPr>
          <w:rFonts w:asciiTheme="minorHAnsi" w:hAnsiTheme="minorHAnsi" w:cs="Arial"/>
          <w:w w:val="102"/>
          <w:sz w:val="20"/>
          <w:szCs w:val="20"/>
        </w:rPr>
        <w:t>ucks and Vans</w:t>
      </w:r>
      <w:r w:rsidRPr="00481053">
        <w:rPr>
          <w:rFonts w:asciiTheme="minorHAnsi" w:hAnsiTheme="minorHAnsi" w:cs="Arial"/>
          <w:w w:val="102"/>
          <w:sz w:val="20"/>
          <w:szCs w:val="20"/>
        </w:rPr>
        <w:t xml:space="preserve"> (LTV)</w:t>
      </w:r>
      <w:r w:rsidR="00BA3A33" w:rsidRPr="00BA3A33">
        <w:rPr>
          <w:rFonts w:asciiTheme="minorHAnsi" w:hAnsiTheme="minorHAnsi" w:cs="Arial"/>
          <w:w w:val="102"/>
          <w:sz w:val="20"/>
          <w:szCs w:val="20"/>
        </w:rPr>
        <w:t xml:space="preserve"> includes pickup trucks, SUVs, CUVs, minivans and full-sized vans with GVWR of 10,000 pounds or less</w:t>
      </w:r>
    </w:p>
    <w:p w14:paraId="77B8159C" w14:textId="77777777" w:rsidR="00D403A2" w:rsidRDefault="00D403A2" w:rsidP="00CD4F81">
      <w:pPr>
        <w:spacing w:line="250" w:lineRule="auto"/>
        <w:rPr>
          <w:w w:val="102"/>
        </w:rPr>
      </w:pPr>
    </w:p>
    <w:p w14:paraId="6C21FF40" w14:textId="01532607" w:rsidR="00D403A2" w:rsidRPr="00D20885" w:rsidRDefault="00D20885" w:rsidP="00D403A2">
      <w:pPr>
        <w:spacing w:before="14" w:line="250" w:lineRule="auto"/>
        <w:ind w:right="728"/>
        <w:rPr>
          <w:w w:val="102"/>
        </w:rPr>
      </w:pPr>
      <w:r>
        <w:rPr>
          <w:w w:val="102"/>
        </w:rPr>
        <w:t>Interest will lie in differences between malfunction rates by vehicle age and type.</w:t>
      </w:r>
      <w:r w:rsidR="00D403A2">
        <w:rPr>
          <w:w w:val="102"/>
        </w:rPr>
        <w:t xml:space="preserve"> </w:t>
      </w:r>
      <w:r>
        <w:rPr>
          <w:w w:val="102"/>
        </w:rPr>
        <w:t>For expected rates of 0.</w:t>
      </w:r>
      <w:r w:rsidRPr="005F3164">
        <w:rPr>
          <w:w w:val="102"/>
        </w:rPr>
        <w:t xml:space="preserve">10 or smaller, </w:t>
      </w:r>
      <w:r w:rsidR="00D403A2" w:rsidRPr="005F3164">
        <w:rPr>
          <w:w w:val="102"/>
        </w:rPr>
        <w:t xml:space="preserve">we can identify statistically significant differences among the groups </w:t>
      </w:r>
      <w:r w:rsidRPr="005F3164">
        <w:rPr>
          <w:w w:val="102"/>
        </w:rPr>
        <w:t xml:space="preserve">with </w:t>
      </w:r>
      <w:r w:rsidR="00D403A2" w:rsidRPr="005F3164">
        <w:rPr>
          <w:w w:val="102"/>
        </w:rPr>
        <w:t xml:space="preserve">alpha </w:t>
      </w:r>
      <w:r w:rsidRPr="005F3164">
        <w:rPr>
          <w:w w:val="102"/>
        </w:rPr>
        <w:t>of</w:t>
      </w:r>
      <w:r w:rsidR="00D403A2" w:rsidRPr="005F3164">
        <w:rPr>
          <w:w w:val="102"/>
        </w:rPr>
        <w:t xml:space="preserve"> 0.05 and </w:t>
      </w:r>
      <w:r w:rsidRPr="005F3164">
        <w:rPr>
          <w:w w:val="102"/>
        </w:rPr>
        <w:t>power of</w:t>
      </w:r>
      <w:r w:rsidR="00D403A2" w:rsidRPr="005F3164">
        <w:rPr>
          <w:w w:val="102"/>
        </w:rPr>
        <w:t xml:space="preserve"> 0.80</w:t>
      </w:r>
      <w:r w:rsidRPr="005F3164">
        <w:rPr>
          <w:w w:val="102"/>
        </w:rPr>
        <w:t xml:space="preserve">.  </w:t>
      </w:r>
      <w:r w:rsidR="00D403A2" w:rsidRPr="005F3164">
        <w:rPr>
          <w:w w:val="102"/>
        </w:rPr>
        <w:t xml:space="preserve">A </w:t>
      </w:r>
      <w:r w:rsidRPr="005F3164">
        <w:rPr>
          <w:w w:val="102"/>
        </w:rPr>
        <w:t>d</w:t>
      </w:r>
      <w:r w:rsidR="00D403A2" w:rsidRPr="005F3164">
        <w:rPr>
          <w:w w:val="102"/>
        </w:rPr>
        <w:t xml:space="preserve">ifference in proportions test allows detection of differences of 2.5 percent for our effective </w:t>
      </w:r>
      <w:r w:rsidRPr="005F3164">
        <w:rPr>
          <w:w w:val="102"/>
        </w:rPr>
        <w:t xml:space="preserve">row </w:t>
      </w:r>
      <w:r w:rsidR="00D403A2" w:rsidRPr="005F3164">
        <w:rPr>
          <w:w w:val="102"/>
        </w:rPr>
        <w:t xml:space="preserve">sample sizes of </w:t>
      </w:r>
      <w:r w:rsidR="00A62C5B" w:rsidRPr="005F3164">
        <w:rPr>
          <w:w w:val="102"/>
        </w:rPr>
        <w:t xml:space="preserve">1215 </w:t>
      </w:r>
      <w:r w:rsidR="00D403A2" w:rsidRPr="005F3164">
        <w:rPr>
          <w:w w:val="102"/>
        </w:rPr>
        <w:t xml:space="preserve">and </w:t>
      </w:r>
      <w:r w:rsidR="00A62C5B" w:rsidRPr="005F3164">
        <w:rPr>
          <w:w w:val="102"/>
        </w:rPr>
        <w:t>17</w:t>
      </w:r>
      <w:r w:rsidR="0055426E" w:rsidRPr="005F3164">
        <w:rPr>
          <w:w w:val="102"/>
        </w:rPr>
        <w:t>75</w:t>
      </w:r>
      <w:r w:rsidR="00A62C5B" w:rsidRPr="005F3164">
        <w:rPr>
          <w:w w:val="102"/>
        </w:rPr>
        <w:t xml:space="preserve"> </w:t>
      </w:r>
      <w:r w:rsidR="00D403A2" w:rsidRPr="005F3164">
        <w:rPr>
          <w:w w:val="102"/>
        </w:rPr>
        <w:t>(cell counts divided by design effect).</w:t>
      </w:r>
      <w:r w:rsidR="00D403A2" w:rsidRPr="005F3164">
        <w:rPr>
          <w:rStyle w:val="FootnoteReference"/>
          <w:w w:val="102"/>
        </w:rPr>
        <w:footnoteReference w:id="8"/>
      </w:r>
      <w:r w:rsidR="00D403A2" w:rsidRPr="005F3164">
        <w:t xml:space="preserve"> </w:t>
      </w:r>
      <w:r w:rsidR="00D403A2" w:rsidRPr="005F3164">
        <w:rPr>
          <w:w w:val="102"/>
        </w:rPr>
        <w:t xml:space="preserve"> For the column totals the effective sample sizes (</w:t>
      </w:r>
      <w:r w:rsidR="00A62C5B" w:rsidRPr="005F3164">
        <w:rPr>
          <w:w w:val="102"/>
        </w:rPr>
        <w:t>134</w:t>
      </w:r>
      <w:r w:rsidR="0055426E" w:rsidRPr="005F3164">
        <w:rPr>
          <w:w w:val="102"/>
        </w:rPr>
        <w:t>2</w:t>
      </w:r>
      <w:r w:rsidR="00D403A2" w:rsidRPr="005F3164">
        <w:rPr>
          <w:w w:val="102"/>
        </w:rPr>
        <w:t>,</w:t>
      </w:r>
      <w:r w:rsidR="00A62C5B" w:rsidRPr="005F3164">
        <w:rPr>
          <w:w w:val="102"/>
        </w:rPr>
        <w:t>16</w:t>
      </w:r>
      <w:r w:rsidR="0055426E" w:rsidRPr="005F3164">
        <w:rPr>
          <w:w w:val="102"/>
        </w:rPr>
        <w:t>43</w:t>
      </w:r>
      <w:r w:rsidR="00D403A2" w:rsidRPr="005F3164">
        <w:rPr>
          <w:w w:val="102"/>
        </w:rPr>
        <w:t>) allow</w:t>
      </w:r>
      <w:r w:rsidR="00D403A2">
        <w:rPr>
          <w:w w:val="102"/>
        </w:rPr>
        <w:t xml:space="preserve"> a similar detectable difference. </w:t>
      </w:r>
      <w:r w:rsidR="00E45ADA" w:rsidRPr="00E45ADA">
        <w:rPr>
          <w:w w:val="102"/>
        </w:rPr>
        <w:t>Statistically significant</w:t>
      </w:r>
      <w:r w:rsidR="00E45ADA">
        <w:rPr>
          <w:w w:val="102"/>
        </w:rPr>
        <w:t xml:space="preserve"> d</w:t>
      </w:r>
      <w:r w:rsidR="00D403A2">
        <w:rPr>
          <w:w w:val="102"/>
        </w:rPr>
        <w:t xml:space="preserve">ifferences under 2.5 percent may not be detectable, but also may not be meaningful in the context of this study. It is also possible that trends will be detectable in the individual model years or groups such as the groups shown in Table </w:t>
      </w:r>
      <w:r w:rsidR="00D371E4" w:rsidRPr="0036131D">
        <w:rPr>
          <w:w w:val="102"/>
        </w:rPr>
        <w:t>B-</w:t>
      </w:r>
      <w:r w:rsidR="00D403A2" w:rsidRPr="0036131D">
        <w:rPr>
          <w:w w:val="102"/>
        </w:rPr>
        <w:t>2</w:t>
      </w:r>
      <w:r w:rsidR="00D403A2">
        <w:rPr>
          <w:w w:val="102"/>
        </w:rPr>
        <w:t>.  In that case</w:t>
      </w:r>
      <w:r w:rsidR="00304FA5">
        <w:rPr>
          <w:w w:val="102"/>
        </w:rPr>
        <w:t>,</w:t>
      </w:r>
      <w:r w:rsidR="00D403A2">
        <w:rPr>
          <w:w w:val="102"/>
        </w:rPr>
        <w:t xml:space="preserve"> the trend observed may be of note even if each group is not </w:t>
      </w:r>
      <w:r w:rsidR="00304FA5">
        <w:rPr>
          <w:w w:val="102"/>
        </w:rPr>
        <w:t xml:space="preserve">found to be </w:t>
      </w:r>
      <w:r w:rsidR="00D403A2">
        <w:rPr>
          <w:w w:val="102"/>
        </w:rPr>
        <w:t xml:space="preserve">statistically significantly different from </w:t>
      </w:r>
      <w:r w:rsidR="00304FA5">
        <w:rPr>
          <w:w w:val="102"/>
        </w:rPr>
        <w:t>one another</w:t>
      </w:r>
      <w:r w:rsidR="00D403A2">
        <w:rPr>
          <w:w w:val="102"/>
        </w:rPr>
        <w:t xml:space="preserve">. </w:t>
      </w:r>
    </w:p>
    <w:p w14:paraId="6F4A2492" w14:textId="77777777" w:rsidR="00D403A2" w:rsidRDefault="00D403A2" w:rsidP="00D403A2">
      <w:pPr>
        <w:spacing w:before="14" w:line="250" w:lineRule="auto"/>
        <w:ind w:right="728"/>
        <w:rPr>
          <w:w w:val="102"/>
        </w:rPr>
      </w:pPr>
    </w:p>
    <w:p w14:paraId="0A69EBA7" w14:textId="44838A8B" w:rsidR="00F41727" w:rsidRDefault="00F41727" w:rsidP="008E6930">
      <w:r>
        <w:t>For the subgroups assigned in sampling stage 5, expected sample sizes and maximum standard errors for categorical proportion variables are shown in Table B-</w:t>
      </w:r>
      <w:r w:rsidR="00C455C9">
        <w:t>4</w:t>
      </w:r>
      <w:r>
        <w:t>.</w:t>
      </w:r>
      <w:r w:rsidR="00A80367">
        <w:t xml:space="preserve"> </w:t>
      </w:r>
      <w:r w:rsidR="00E921A0">
        <w:t xml:space="preserve"> </w:t>
      </w:r>
    </w:p>
    <w:p w14:paraId="1C822DD4" w14:textId="77777777" w:rsidR="005764E7" w:rsidRDefault="005764E7">
      <w:r>
        <w:br w:type="page"/>
      </w:r>
    </w:p>
    <w:p w14:paraId="4924CE6B" w14:textId="5A9E3E63" w:rsidR="00F41727" w:rsidRPr="00DD5502" w:rsidRDefault="00F41727" w:rsidP="00F41727">
      <w:pPr>
        <w:spacing w:before="14" w:line="250" w:lineRule="auto"/>
        <w:ind w:right="728"/>
      </w:pPr>
      <w:r w:rsidRPr="009A73CC">
        <w:rPr>
          <w:w w:val="102"/>
          <w:sz w:val="22"/>
          <w:szCs w:val="22"/>
        </w:rPr>
        <w:t>Table B-</w:t>
      </w:r>
      <w:r w:rsidR="00C455C9">
        <w:rPr>
          <w:w w:val="102"/>
          <w:sz w:val="22"/>
          <w:szCs w:val="22"/>
        </w:rPr>
        <w:t>4</w:t>
      </w:r>
      <w:r w:rsidRPr="009A73CC">
        <w:rPr>
          <w:w w:val="102"/>
          <w:sz w:val="22"/>
          <w:szCs w:val="22"/>
        </w:rPr>
        <w:t>:  Field Survey subgroups by analytical measures, derivation of subgroup size, expected subgroup size, and expected maximum standard errors for percentages</w:t>
      </w:r>
    </w:p>
    <w:tbl>
      <w:tblPr>
        <w:tblW w:w="9090" w:type="dxa"/>
        <w:tblInd w:w="-5" w:type="dxa"/>
        <w:tblLook w:val="04A0" w:firstRow="1" w:lastRow="0" w:firstColumn="1" w:lastColumn="0" w:noHBand="0" w:noVBand="1"/>
      </w:tblPr>
      <w:tblGrid>
        <w:gridCol w:w="2340"/>
        <w:gridCol w:w="2250"/>
        <w:gridCol w:w="1530"/>
        <w:gridCol w:w="1440"/>
        <w:gridCol w:w="1530"/>
      </w:tblGrid>
      <w:tr w:rsidR="00F41727" w:rsidRPr="00E73FE7" w14:paraId="42C51738" w14:textId="77777777" w:rsidTr="00CD4F81">
        <w:trPr>
          <w:trHeight w:val="818"/>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240FC5C0" w14:textId="77777777" w:rsidR="00F41727" w:rsidRPr="006E57DF" w:rsidRDefault="00F41727" w:rsidP="00F3565E">
            <w:pPr>
              <w:rPr>
                <w:rFonts w:ascii="Calibri" w:hAnsi="Calibri"/>
                <w:color w:val="000000"/>
                <w:sz w:val="20"/>
                <w:szCs w:val="22"/>
              </w:rPr>
            </w:pPr>
            <w:r w:rsidRPr="006E57DF">
              <w:rPr>
                <w:rFonts w:ascii="Calibri" w:hAnsi="Calibri"/>
                <w:color w:val="000000"/>
                <w:sz w:val="20"/>
                <w:szCs w:val="22"/>
              </w:rPr>
              <w:t>Subgroup</w:t>
            </w:r>
          </w:p>
        </w:tc>
        <w:tc>
          <w:tcPr>
            <w:tcW w:w="2250" w:type="dxa"/>
            <w:tcBorders>
              <w:top w:val="single" w:sz="4" w:space="0" w:color="auto"/>
              <w:left w:val="nil"/>
              <w:bottom w:val="single" w:sz="4" w:space="0" w:color="auto"/>
              <w:right w:val="single" w:sz="4" w:space="0" w:color="auto"/>
            </w:tcBorders>
            <w:shd w:val="clear" w:color="auto" w:fill="auto"/>
            <w:hideMark/>
          </w:tcPr>
          <w:p w14:paraId="0C22194A" w14:textId="77777777" w:rsidR="00F41727" w:rsidRPr="006E57DF" w:rsidRDefault="00F41727" w:rsidP="00F3565E">
            <w:pPr>
              <w:rPr>
                <w:rFonts w:ascii="Calibri" w:hAnsi="Calibri"/>
                <w:color w:val="000000"/>
                <w:sz w:val="20"/>
                <w:szCs w:val="22"/>
              </w:rPr>
            </w:pPr>
            <w:r w:rsidRPr="006E57DF">
              <w:rPr>
                <w:rFonts w:ascii="Calibri" w:hAnsi="Calibri"/>
                <w:color w:val="000000"/>
                <w:sz w:val="20"/>
                <w:szCs w:val="22"/>
              </w:rPr>
              <w:t>Analytical Measures</w:t>
            </w:r>
          </w:p>
        </w:tc>
        <w:tc>
          <w:tcPr>
            <w:tcW w:w="1530" w:type="dxa"/>
            <w:tcBorders>
              <w:top w:val="single" w:sz="4" w:space="0" w:color="auto"/>
              <w:left w:val="nil"/>
              <w:bottom w:val="single" w:sz="4" w:space="0" w:color="auto"/>
              <w:right w:val="single" w:sz="4" w:space="0" w:color="auto"/>
            </w:tcBorders>
          </w:tcPr>
          <w:p w14:paraId="1330EAC0" w14:textId="77777777" w:rsidR="00F41727" w:rsidRPr="006E57DF" w:rsidRDefault="00E73FE7" w:rsidP="00F3565E">
            <w:pPr>
              <w:rPr>
                <w:rFonts w:ascii="Calibri" w:hAnsi="Calibri"/>
                <w:color w:val="000000"/>
                <w:sz w:val="20"/>
                <w:szCs w:val="22"/>
              </w:rPr>
            </w:pPr>
            <w:r w:rsidRPr="006E57DF">
              <w:rPr>
                <w:rFonts w:ascii="Calibri" w:hAnsi="Calibri"/>
                <w:color w:val="000000"/>
                <w:sz w:val="20"/>
                <w:szCs w:val="22"/>
              </w:rPr>
              <w:t>Derivation of Subgroup Size</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6AA8A6F" w14:textId="77777777" w:rsidR="00F41727" w:rsidRPr="006E57DF" w:rsidRDefault="00F41727" w:rsidP="00F3565E">
            <w:pPr>
              <w:rPr>
                <w:rFonts w:ascii="Calibri" w:hAnsi="Calibri"/>
                <w:color w:val="000000"/>
                <w:sz w:val="20"/>
                <w:szCs w:val="22"/>
              </w:rPr>
            </w:pPr>
            <w:r w:rsidRPr="006E57DF">
              <w:rPr>
                <w:rFonts w:ascii="Calibri" w:hAnsi="Calibri"/>
                <w:color w:val="000000"/>
                <w:sz w:val="20"/>
                <w:szCs w:val="22"/>
              </w:rPr>
              <w:t>Expected Subgroup Size</w:t>
            </w:r>
          </w:p>
        </w:tc>
        <w:tc>
          <w:tcPr>
            <w:tcW w:w="1530" w:type="dxa"/>
            <w:tcBorders>
              <w:top w:val="single" w:sz="4" w:space="0" w:color="auto"/>
              <w:left w:val="nil"/>
              <w:bottom w:val="single" w:sz="4" w:space="0" w:color="auto"/>
              <w:right w:val="single" w:sz="4" w:space="0" w:color="auto"/>
            </w:tcBorders>
            <w:shd w:val="clear" w:color="auto" w:fill="auto"/>
            <w:hideMark/>
          </w:tcPr>
          <w:p w14:paraId="678DB77D" w14:textId="77777777" w:rsidR="00F41727" w:rsidRPr="006E57DF" w:rsidRDefault="00F41727" w:rsidP="00E73FE7">
            <w:pPr>
              <w:rPr>
                <w:rFonts w:ascii="Calibri" w:hAnsi="Calibri"/>
                <w:color w:val="000000"/>
                <w:sz w:val="20"/>
                <w:szCs w:val="22"/>
              </w:rPr>
            </w:pPr>
            <w:r w:rsidRPr="006E57DF">
              <w:rPr>
                <w:rFonts w:ascii="Calibri" w:hAnsi="Calibri"/>
                <w:color w:val="000000"/>
                <w:sz w:val="20"/>
                <w:szCs w:val="22"/>
              </w:rPr>
              <w:t>Expected Max</w:t>
            </w:r>
            <w:r w:rsidR="00E73FE7" w:rsidRPr="006E57DF">
              <w:rPr>
                <w:rFonts w:ascii="Calibri" w:hAnsi="Calibri"/>
                <w:color w:val="000000"/>
                <w:sz w:val="20"/>
                <w:szCs w:val="22"/>
              </w:rPr>
              <w:t>.</w:t>
            </w:r>
            <w:r w:rsidRPr="006E57DF">
              <w:rPr>
                <w:rFonts w:ascii="Calibri" w:hAnsi="Calibri"/>
                <w:color w:val="000000"/>
                <w:sz w:val="20"/>
                <w:szCs w:val="22"/>
              </w:rPr>
              <w:t xml:space="preserve"> Standard Error of Percent</w:t>
            </w:r>
          </w:p>
        </w:tc>
      </w:tr>
      <w:tr w:rsidR="00F41727" w:rsidRPr="00E73FE7" w14:paraId="760F6CEF" w14:textId="77777777" w:rsidTr="00CD4F81">
        <w:trPr>
          <w:trHeight w:val="600"/>
        </w:trPr>
        <w:tc>
          <w:tcPr>
            <w:tcW w:w="2340" w:type="dxa"/>
            <w:tcBorders>
              <w:top w:val="nil"/>
              <w:left w:val="single" w:sz="4" w:space="0" w:color="auto"/>
              <w:bottom w:val="single" w:sz="4" w:space="0" w:color="auto"/>
              <w:right w:val="single" w:sz="4" w:space="0" w:color="auto"/>
            </w:tcBorders>
            <w:shd w:val="clear" w:color="auto" w:fill="auto"/>
            <w:hideMark/>
          </w:tcPr>
          <w:p w14:paraId="1E188CE6" w14:textId="77777777" w:rsidR="00F41727" w:rsidRPr="006E57DF" w:rsidRDefault="00F41727" w:rsidP="00F3565E">
            <w:pPr>
              <w:rPr>
                <w:rFonts w:ascii="Calibri" w:hAnsi="Calibri"/>
                <w:color w:val="000000"/>
                <w:sz w:val="20"/>
                <w:szCs w:val="22"/>
              </w:rPr>
            </w:pPr>
            <w:r w:rsidRPr="006E57DF">
              <w:rPr>
                <w:rFonts w:ascii="Calibri" w:hAnsi="Calibri"/>
                <w:color w:val="000000"/>
                <w:sz w:val="20"/>
                <w:szCs w:val="22"/>
              </w:rPr>
              <w:t>Subgroup 1: Malfunctioning TPMS</w:t>
            </w:r>
          </w:p>
        </w:tc>
        <w:tc>
          <w:tcPr>
            <w:tcW w:w="2250" w:type="dxa"/>
            <w:tcBorders>
              <w:top w:val="nil"/>
              <w:left w:val="nil"/>
              <w:bottom w:val="single" w:sz="4" w:space="0" w:color="auto"/>
              <w:right w:val="single" w:sz="4" w:space="0" w:color="auto"/>
            </w:tcBorders>
            <w:shd w:val="clear" w:color="auto" w:fill="auto"/>
            <w:hideMark/>
          </w:tcPr>
          <w:p w14:paraId="2EE206F5" w14:textId="77777777" w:rsidR="00F41727" w:rsidRPr="006E57DF" w:rsidRDefault="00F41727" w:rsidP="00F3565E">
            <w:pPr>
              <w:rPr>
                <w:rFonts w:ascii="Calibri" w:hAnsi="Calibri"/>
                <w:color w:val="000000"/>
                <w:sz w:val="20"/>
                <w:szCs w:val="22"/>
              </w:rPr>
            </w:pPr>
            <w:r w:rsidRPr="006E57DF">
              <w:rPr>
                <w:rFonts w:ascii="Calibri" w:hAnsi="Calibri"/>
                <w:color w:val="000000"/>
                <w:sz w:val="20"/>
                <w:szCs w:val="22"/>
              </w:rPr>
              <w:t>Knowledge of, and experience with, TPMS systems</w:t>
            </w:r>
          </w:p>
        </w:tc>
        <w:tc>
          <w:tcPr>
            <w:tcW w:w="1530" w:type="dxa"/>
            <w:tcBorders>
              <w:top w:val="single" w:sz="4" w:space="0" w:color="auto"/>
              <w:left w:val="nil"/>
              <w:bottom w:val="single" w:sz="4" w:space="0" w:color="auto"/>
              <w:right w:val="single" w:sz="4" w:space="0" w:color="auto"/>
            </w:tcBorders>
          </w:tcPr>
          <w:p w14:paraId="3031AFB5" w14:textId="77777777" w:rsidR="00F41727" w:rsidRPr="006E57DF" w:rsidRDefault="00E73FE7" w:rsidP="00F3565E">
            <w:pPr>
              <w:jc w:val="right"/>
              <w:rPr>
                <w:rFonts w:ascii="Calibri" w:hAnsi="Calibri"/>
                <w:color w:val="000000"/>
                <w:sz w:val="20"/>
                <w:szCs w:val="22"/>
              </w:rPr>
            </w:pPr>
            <w:r w:rsidRPr="006E57DF">
              <w:rPr>
                <w:rFonts w:ascii="Calibri" w:hAnsi="Calibri"/>
                <w:color w:val="000000"/>
                <w:sz w:val="20"/>
                <w:szCs w:val="22"/>
              </w:rPr>
              <w:t>5-10 percent of direct TPMS</w:t>
            </w:r>
          </w:p>
        </w:tc>
        <w:tc>
          <w:tcPr>
            <w:tcW w:w="1440" w:type="dxa"/>
            <w:tcBorders>
              <w:top w:val="nil"/>
              <w:left w:val="single" w:sz="4" w:space="0" w:color="auto"/>
              <w:bottom w:val="single" w:sz="4" w:space="0" w:color="auto"/>
              <w:right w:val="single" w:sz="4" w:space="0" w:color="auto"/>
            </w:tcBorders>
            <w:shd w:val="clear" w:color="auto" w:fill="auto"/>
            <w:hideMark/>
          </w:tcPr>
          <w:p w14:paraId="7D2E9043" w14:textId="77777777" w:rsidR="00F41727" w:rsidRPr="006E57DF" w:rsidRDefault="00F41727" w:rsidP="00F3565E">
            <w:pPr>
              <w:jc w:val="right"/>
              <w:rPr>
                <w:rFonts w:ascii="Calibri" w:hAnsi="Calibri"/>
                <w:color w:val="000000"/>
                <w:sz w:val="20"/>
                <w:szCs w:val="22"/>
              </w:rPr>
            </w:pPr>
            <w:r w:rsidRPr="006E57DF">
              <w:rPr>
                <w:rFonts w:ascii="Calibri" w:hAnsi="Calibri"/>
                <w:color w:val="000000"/>
                <w:sz w:val="20"/>
                <w:szCs w:val="22"/>
              </w:rPr>
              <w:t>315-630</w:t>
            </w:r>
          </w:p>
        </w:tc>
        <w:tc>
          <w:tcPr>
            <w:tcW w:w="1530" w:type="dxa"/>
            <w:tcBorders>
              <w:top w:val="nil"/>
              <w:left w:val="nil"/>
              <w:bottom w:val="single" w:sz="4" w:space="0" w:color="auto"/>
              <w:right w:val="single" w:sz="4" w:space="0" w:color="auto"/>
            </w:tcBorders>
            <w:shd w:val="clear" w:color="auto" w:fill="auto"/>
            <w:hideMark/>
          </w:tcPr>
          <w:p w14:paraId="7E614E8D" w14:textId="77777777" w:rsidR="00F41727" w:rsidRPr="006E57DF" w:rsidRDefault="00F41727" w:rsidP="00F3565E">
            <w:pPr>
              <w:jc w:val="right"/>
              <w:rPr>
                <w:rFonts w:ascii="Calibri" w:hAnsi="Calibri"/>
                <w:color w:val="000000"/>
                <w:sz w:val="20"/>
                <w:szCs w:val="22"/>
              </w:rPr>
            </w:pPr>
            <w:r w:rsidRPr="006E57DF">
              <w:rPr>
                <w:rFonts w:ascii="Calibri" w:hAnsi="Calibri"/>
                <w:color w:val="000000"/>
                <w:sz w:val="20"/>
                <w:szCs w:val="22"/>
              </w:rPr>
              <w:t>2.82%</w:t>
            </w:r>
          </w:p>
        </w:tc>
      </w:tr>
      <w:tr w:rsidR="00F41727" w:rsidRPr="00E73FE7" w14:paraId="2BAD468B" w14:textId="77777777" w:rsidTr="00CD4F81">
        <w:trPr>
          <w:trHeight w:val="600"/>
        </w:trPr>
        <w:tc>
          <w:tcPr>
            <w:tcW w:w="2340" w:type="dxa"/>
            <w:tcBorders>
              <w:top w:val="nil"/>
              <w:left w:val="single" w:sz="4" w:space="0" w:color="auto"/>
              <w:bottom w:val="single" w:sz="4" w:space="0" w:color="auto"/>
              <w:right w:val="single" w:sz="4" w:space="0" w:color="auto"/>
            </w:tcBorders>
            <w:shd w:val="clear" w:color="auto" w:fill="auto"/>
            <w:hideMark/>
          </w:tcPr>
          <w:p w14:paraId="48D2F473" w14:textId="77777777" w:rsidR="00F41727" w:rsidRPr="006E57DF" w:rsidRDefault="00F41727" w:rsidP="00F3565E">
            <w:pPr>
              <w:rPr>
                <w:rFonts w:ascii="Calibri" w:hAnsi="Calibri"/>
                <w:color w:val="000000"/>
                <w:sz w:val="20"/>
                <w:szCs w:val="22"/>
              </w:rPr>
            </w:pPr>
            <w:r w:rsidRPr="006E57DF">
              <w:rPr>
                <w:rFonts w:ascii="Calibri" w:hAnsi="Calibri"/>
                <w:color w:val="000000"/>
                <w:sz w:val="20"/>
                <w:szCs w:val="22"/>
              </w:rPr>
              <w:t>Subgroup 2a: Functioning Direct TPMS</w:t>
            </w:r>
          </w:p>
        </w:tc>
        <w:tc>
          <w:tcPr>
            <w:tcW w:w="2250" w:type="dxa"/>
            <w:tcBorders>
              <w:top w:val="nil"/>
              <w:left w:val="nil"/>
              <w:bottom w:val="single" w:sz="4" w:space="0" w:color="auto"/>
              <w:right w:val="single" w:sz="4" w:space="0" w:color="auto"/>
            </w:tcBorders>
            <w:shd w:val="clear" w:color="auto" w:fill="auto"/>
            <w:hideMark/>
          </w:tcPr>
          <w:p w14:paraId="5FF8C1B5" w14:textId="77777777" w:rsidR="00F41727" w:rsidRPr="006E57DF" w:rsidRDefault="00F41727" w:rsidP="00F3565E">
            <w:pPr>
              <w:rPr>
                <w:rFonts w:ascii="Calibri" w:hAnsi="Calibri"/>
                <w:color w:val="000000"/>
                <w:sz w:val="20"/>
                <w:szCs w:val="22"/>
              </w:rPr>
            </w:pPr>
            <w:r w:rsidRPr="006E57DF">
              <w:rPr>
                <w:rFonts w:ascii="Calibri" w:hAnsi="Calibri"/>
                <w:color w:val="000000"/>
                <w:sz w:val="20"/>
                <w:szCs w:val="22"/>
              </w:rPr>
              <w:t>Direct TPMS Malfunction Rate (with Subgroups 1 and 2b)</w:t>
            </w:r>
          </w:p>
        </w:tc>
        <w:tc>
          <w:tcPr>
            <w:tcW w:w="1530" w:type="dxa"/>
            <w:tcBorders>
              <w:top w:val="single" w:sz="4" w:space="0" w:color="auto"/>
              <w:left w:val="nil"/>
              <w:bottom w:val="single" w:sz="4" w:space="0" w:color="auto"/>
              <w:right w:val="single" w:sz="4" w:space="0" w:color="auto"/>
            </w:tcBorders>
          </w:tcPr>
          <w:p w14:paraId="652C261A" w14:textId="77777777" w:rsidR="00F41727" w:rsidRPr="006E57DF" w:rsidRDefault="00E73FE7" w:rsidP="00E73FE7">
            <w:pPr>
              <w:jc w:val="right"/>
              <w:rPr>
                <w:rFonts w:ascii="Calibri" w:hAnsi="Calibri"/>
                <w:color w:val="000000"/>
                <w:sz w:val="20"/>
                <w:szCs w:val="22"/>
              </w:rPr>
            </w:pPr>
            <w:r w:rsidRPr="006E57DF">
              <w:rPr>
                <w:rFonts w:ascii="Calibri" w:hAnsi="Calibri"/>
                <w:color w:val="000000"/>
                <w:sz w:val="20"/>
                <w:szCs w:val="22"/>
              </w:rPr>
              <w:t>All respondents not in Subgroup 1, 2b or 3</w:t>
            </w:r>
          </w:p>
        </w:tc>
        <w:tc>
          <w:tcPr>
            <w:tcW w:w="1440" w:type="dxa"/>
            <w:tcBorders>
              <w:top w:val="nil"/>
              <w:left w:val="single" w:sz="4" w:space="0" w:color="auto"/>
              <w:bottom w:val="single" w:sz="4" w:space="0" w:color="auto"/>
              <w:right w:val="single" w:sz="4" w:space="0" w:color="auto"/>
            </w:tcBorders>
            <w:shd w:val="clear" w:color="auto" w:fill="auto"/>
            <w:hideMark/>
          </w:tcPr>
          <w:p w14:paraId="69BE9C1E" w14:textId="77777777" w:rsidR="00F41727" w:rsidRPr="006E57DF" w:rsidRDefault="00F41727" w:rsidP="00F3565E">
            <w:pPr>
              <w:jc w:val="right"/>
              <w:rPr>
                <w:rFonts w:ascii="Calibri" w:hAnsi="Calibri"/>
                <w:color w:val="000000"/>
                <w:sz w:val="20"/>
                <w:szCs w:val="22"/>
              </w:rPr>
            </w:pPr>
            <w:r w:rsidRPr="006E57DF">
              <w:rPr>
                <w:rFonts w:ascii="Calibri" w:hAnsi="Calibri"/>
                <w:color w:val="000000"/>
                <w:sz w:val="20"/>
                <w:szCs w:val="22"/>
              </w:rPr>
              <w:t>5045-5360</w:t>
            </w:r>
          </w:p>
        </w:tc>
        <w:tc>
          <w:tcPr>
            <w:tcW w:w="1530" w:type="dxa"/>
            <w:tcBorders>
              <w:top w:val="nil"/>
              <w:left w:val="nil"/>
              <w:bottom w:val="single" w:sz="4" w:space="0" w:color="auto"/>
              <w:right w:val="single" w:sz="4" w:space="0" w:color="auto"/>
            </w:tcBorders>
            <w:shd w:val="clear" w:color="auto" w:fill="auto"/>
            <w:hideMark/>
          </w:tcPr>
          <w:p w14:paraId="50782196" w14:textId="77777777" w:rsidR="00F41727" w:rsidRPr="006E57DF" w:rsidRDefault="00F41727" w:rsidP="00F3565E">
            <w:pPr>
              <w:jc w:val="right"/>
              <w:rPr>
                <w:rFonts w:ascii="Calibri" w:hAnsi="Calibri"/>
                <w:color w:val="000000"/>
                <w:sz w:val="20"/>
                <w:szCs w:val="22"/>
              </w:rPr>
            </w:pPr>
            <w:r w:rsidRPr="006E57DF">
              <w:rPr>
                <w:rFonts w:ascii="Calibri" w:hAnsi="Calibri"/>
                <w:color w:val="000000"/>
                <w:sz w:val="20"/>
                <w:szCs w:val="22"/>
              </w:rPr>
              <w:t>0.97%</w:t>
            </w:r>
          </w:p>
        </w:tc>
      </w:tr>
      <w:tr w:rsidR="00F41727" w:rsidRPr="00E73FE7" w14:paraId="0351F34F" w14:textId="77777777" w:rsidTr="00CD4F81">
        <w:trPr>
          <w:trHeight w:val="782"/>
        </w:trPr>
        <w:tc>
          <w:tcPr>
            <w:tcW w:w="2340" w:type="dxa"/>
            <w:tcBorders>
              <w:top w:val="nil"/>
              <w:left w:val="single" w:sz="4" w:space="0" w:color="auto"/>
              <w:bottom w:val="single" w:sz="4" w:space="0" w:color="auto"/>
              <w:right w:val="single" w:sz="4" w:space="0" w:color="auto"/>
            </w:tcBorders>
            <w:shd w:val="clear" w:color="auto" w:fill="auto"/>
            <w:hideMark/>
          </w:tcPr>
          <w:p w14:paraId="31780E2D" w14:textId="77777777" w:rsidR="00F41727" w:rsidRPr="006E57DF" w:rsidRDefault="00F41727" w:rsidP="00F3565E">
            <w:pPr>
              <w:rPr>
                <w:rFonts w:ascii="Calibri" w:hAnsi="Calibri"/>
                <w:color w:val="000000"/>
                <w:sz w:val="20"/>
                <w:szCs w:val="22"/>
              </w:rPr>
            </w:pPr>
            <w:r w:rsidRPr="006E57DF">
              <w:rPr>
                <w:rFonts w:ascii="Calibri" w:hAnsi="Calibri"/>
                <w:color w:val="000000"/>
                <w:sz w:val="20"/>
                <w:szCs w:val="22"/>
              </w:rPr>
              <w:t>Subgroup 2b: Functioning Direct TPMS – Extended Interview</w:t>
            </w:r>
          </w:p>
        </w:tc>
        <w:tc>
          <w:tcPr>
            <w:tcW w:w="2250" w:type="dxa"/>
            <w:tcBorders>
              <w:top w:val="nil"/>
              <w:left w:val="nil"/>
              <w:bottom w:val="single" w:sz="4" w:space="0" w:color="auto"/>
              <w:right w:val="single" w:sz="4" w:space="0" w:color="auto"/>
            </w:tcBorders>
            <w:shd w:val="clear" w:color="auto" w:fill="auto"/>
            <w:hideMark/>
          </w:tcPr>
          <w:p w14:paraId="65C4995B" w14:textId="77777777" w:rsidR="00F41727" w:rsidRPr="006E57DF" w:rsidRDefault="00F41727" w:rsidP="00F3565E">
            <w:pPr>
              <w:rPr>
                <w:rFonts w:ascii="Calibri" w:hAnsi="Calibri"/>
                <w:color w:val="000000"/>
                <w:sz w:val="20"/>
                <w:szCs w:val="22"/>
              </w:rPr>
            </w:pPr>
            <w:r w:rsidRPr="006E57DF">
              <w:rPr>
                <w:rFonts w:ascii="Calibri" w:hAnsi="Calibri"/>
                <w:color w:val="000000"/>
                <w:sz w:val="20"/>
                <w:szCs w:val="22"/>
              </w:rPr>
              <w:t>Knowledge of, and experience with, TPMS systems</w:t>
            </w:r>
          </w:p>
        </w:tc>
        <w:tc>
          <w:tcPr>
            <w:tcW w:w="1530" w:type="dxa"/>
            <w:tcBorders>
              <w:top w:val="single" w:sz="4" w:space="0" w:color="auto"/>
              <w:left w:val="nil"/>
              <w:bottom w:val="single" w:sz="4" w:space="0" w:color="auto"/>
              <w:right w:val="single" w:sz="4" w:space="0" w:color="auto"/>
            </w:tcBorders>
          </w:tcPr>
          <w:p w14:paraId="423C1D10" w14:textId="77777777" w:rsidR="00F41727" w:rsidRPr="006E57DF" w:rsidRDefault="00E73FE7" w:rsidP="00F3565E">
            <w:pPr>
              <w:jc w:val="right"/>
              <w:rPr>
                <w:rFonts w:ascii="Calibri" w:hAnsi="Calibri"/>
                <w:color w:val="000000"/>
                <w:sz w:val="20"/>
                <w:szCs w:val="22"/>
              </w:rPr>
            </w:pPr>
            <w:r w:rsidRPr="006E57DF">
              <w:rPr>
                <w:rFonts w:ascii="Calibri" w:hAnsi="Calibri"/>
                <w:color w:val="000000"/>
                <w:sz w:val="20"/>
                <w:szCs w:val="22"/>
              </w:rPr>
              <w:t>350 by design</w:t>
            </w:r>
          </w:p>
        </w:tc>
        <w:tc>
          <w:tcPr>
            <w:tcW w:w="1440" w:type="dxa"/>
            <w:tcBorders>
              <w:top w:val="nil"/>
              <w:left w:val="single" w:sz="4" w:space="0" w:color="auto"/>
              <w:bottom w:val="single" w:sz="4" w:space="0" w:color="auto"/>
              <w:right w:val="single" w:sz="4" w:space="0" w:color="auto"/>
            </w:tcBorders>
            <w:shd w:val="clear" w:color="auto" w:fill="auto"/>
            <w:hideMark/>
          </w:tcPr>
          <w:p w14:paraId="1733C2F6" w14:textId="77777777" w:rsidR="00F41727" w:rsidRPr="006E57DF" w:rsidRDefault="00F41727" w:rsidP="00F3565E">
            <w:pPr>
              <w:jc w:val="right"/>
              <w:rPr>
                <w:rFonts w:ascii="Calibri" w:hAnsi="Calibri"/>
                <w:color w:val="000000"/>
                <w:sz w:val="20"/>
                <w:szCs w:val="22"/>
              </w:rPr>
            </w:pPr>
            <w:r w:rsidRPr="006E57DF">
              <w:rPr>
                <w:rFonts w:ascii="Calibri" w:hAnsi="Calibri"/>
                <w:color w:val="000000"/>
                <w:sz w:val="20"/>
                <w:szCs w:val="22"/>
              </w:rPr>
              <w:t>350</w:t>
            </w:r>
          </w:p>
        </w:tc>
        <w:tc>
          <w:tcPr>
            <w:tcW w:w="1530" w:type="dxa"/>
            <w:tcBorders>
              <w:top w:val="nil"/>
              <w:left w:val="nil"/>
              <w:bottom w:val="single" w:sz="4" w:space="0" w:color="auto"/>
              <w:right w:val="single" w:sz="4" w:space="0" w:color="auto"/>
            </w:tcBorders>
            <w:shd w:val="clear" w:color="auto" w:fill="auto"/>
            <w:hideMark/>
          </w:tcPr>
          <w:p w14:paraId="37CB0A2B" w14:textId="77777777" w:rsidR="00F41727" w:rsidRPr="006E57DF" w:rsidRDefault="00F41727" w:rsidP="00F3565E">
            <w:pPr>
              <w:jc w:val="right"/>
              <w:rPr>
                <w:rFonts w:ascii="Calibri" w:hAnsi="Calibri"/>
                <w:color w:val="000000"/>
                <w:sz w:val="20"/>
                <w:szCs w:val="22"/>
              </w:rPr>
            </w:pPr>
            <w:r w:rsidRPr="006E57DF">
              <w:rPr>
                <w:rFonts w:ascii="Calibri" w:hAnsi="Calibri"/>
                <w:color w:val="000000"/>
                <w:sz w:val="20"/>
                <w:szCs w:val="22"/>
              </w:rPr>
              <w:t>3.78%</w:t>
            </w:r>
          </w:p>
        </w:tc>
      </w:tr>
      <w:tr w:rsidR="00F41727" w:rsidRPr="00E73FE7" w14:paraId="592E3CF5" w14:textId="77777777" w:rsidTr="00CD4F81">
        <w:trPr>
          <w:trHeight w:val="600"/>
        </w:trPr>
        <w:tc>
          <w:tcPr>
            <w:tcW w:w="2340" w:type="dxa"/>
            <w:tcBorders>
              <w:top w:val="nil"/>
              <w:left w:val="single" w:sz="4" w:space="0" w:color="auto"/>
              <w:bottom w:val="single" w:sz="4" w:space="0" w:color="auto"/>
              <w:right w:val="single" w:sz="4" w:space="0" w:color="auto"/>
            </w:tcBorders>
            <w:shd w:val="clear" w:color="auto" w:fill="auto"/>
            <w:hideMark/>
          </w:tcPr>
          <w:p w14:paraId="79EFCF73" w14:textId="77777777" w:rsidR="00F41727" w:rsidRPr="006E57DF" w:rsidRDefault="00F41727" w:rsidP="00F3565E">
            <w:pPr>
              <w:rPr>
                <w:rFonts w:ascii="Calibri" w:hAnsi="Calibri"/>
                <w:color w:val="000000"/>
                <w:sz w:val="20"/>
                <w:szCs w:val="22"/>
              </w:rPr>
            </w:pPr>
            <w:r w:rsidRPr="006E57DF">
              <w:rPr>
                <w:rFonts w:ascii="Calibri" w:hAnsi="Calibri"/>
                <w:color w:val="000000"/>
                <w:sz w:val="20"/>
                <w:szCs w:val="22"/>
              </w:rPr>
              <w:t>Subgroup 3:  Functioning Indirect TPMS</w:t>
            </w:r>
          </w:p>
        </w:tc>
        <w:tc>
          <w:tcPr>
            <w:tcW w:w="2250" w:type="dxa"/>
            <w:tcBorders>
              <w:top w:val="nil"/>
              <w:left w:val="nil"/>
              <w:bottom w:val="single" w:sz="4" w:space="0" w:color="auto"/>
              <w:right w:val="single" w:sz="4" w:space="0" w:color="auto"/>
            </w:tcBorders>
            <w:shd w:val="clear" w:color="auto" w:fill="auto"/>
            <w:hideMark/>
          </w:tcPr>
          <w:p w14:paraId="7FF65FFE" w14:textId="77777777" w:rsidR="00F41727" w:rsidRPr="006E57DF" w:rsidRDefault="00F41727" w:rsidP="00F3565E">
            <w:pPr>
              <w:rPr>
                <w:rFonts w:ascii="Calibri" w:hAnsi="Calibri"/>
                <w:color w:val="000000"/>
                <w:sz w:val="20"/>
                <w:szCs w:val="22"/>
              </w:rPr>
            </w:pPr>
            <w:r w:rsidRPr="006E57DF">
              <w:rPr>
                <w:rFonts w:ascii="Calibri" w:hAnsi="Calibri"/>
                <w:color w:val="000000"/>
                <w:sz w:val="20"/>
                <w:szCs w:val="22"/>
              </w:rPr>
              <w:t>Indirect TPMS miscalibration rate, and knowledge of calibration issues with indirect TPMS</w:t>
            </w:r>
          </w:p>
        </w:tc>
        <w:tc>
          <w:tcPr>
            <w:tcW w:w="1530" w:type="dxa"/>
            <w:tcBorders>
              <w:top w:val="single" w:sz="4" w:space="0" w:color="auto"/>
              <w:left w:val="nil"/>
              <w:bottom w:val="single" w:sz="4" w:space="0" w:color="auto"/>
              <w:right w:val="single" w:sz="4" w:space="0" w:color="auto"/>
            </w:tcBorders>
          </w:tcPr>
          <w:p w14:paraId="29CD95BA" w14:textId="77777777" w:rsidR="00F41727" w:rsidRPr="006E57DF" w:rsidRDefault="00E73FE7" w:rsidP="00F3565E">
            <w:pPr>
              <w:jc w:val="right"/>
              <w:rPr>
                <w:rFonts w:ascii="Calibri" w:hAnsi="Calibri"/>
                <w:color w:val="000000"/>
                <w:sz w:val="20"/>
                <w:szCs w:val="22"/>
              </w:rPr>
            </w:pPr>
            <w:r w:rsidRPr="006E57DF">
              <w:rPr>
                <w:rFonts w:ascii="Calibri" w:hAnsi="Calibri"/>
                <w:color w:val="000000"/>
                <w:sz w:val="20"/>
                <w:szCs w:val="22"/>
              </w:rPr>
              <w:t>5 – 6 percent of fleet</w:t>
            </w:r>
            <w:r w:rsidRPr="006E57DF">
              <w:rPr>
                <w:rStyle w:val="FootnoteReference"/>
                <w:rFonts w:ascii="Calibri" w:hAnsi="Calibri"/>
                <w:color w:val="000000"/>
                <w:sz w:val="20"/>
                <w:szCs w:val="22"/>
              </w:rPr>
              <w:footnoteReference w:id="9"/>
            </w:r>
          </w:p>
        </w:tc>
        <w:tc>
          <w:tcPr>
            <w:tcW w:w="1440" w:type="dxa"/>
            <w:tcBorders>
              <w:top w:val="nil"/>
              <w:left w:val="single" w:sz="4" w:space="0" w:color="auto"/>
              <w:bottom w:val="single" w:sz="4" w:space="0" w:color="auto"/>
              <w:right w:val="single" w:sz="4" w:space="0" w:color="auto"/>
            </w:tcBorders>
            <w:shd w:val="clear" w:color="auto" w:fill="auto"/>
            <w:hideMark/>
          </w:tcPr>
          <w:p w14:paraId="4EF5BD30" w14:textId="77777777" w:rsidR="00F41727" w:rsidRPr="006E57DF" w:rsidRDefault="00F41727" w:rsidP="00F3565E">
            <w:pPr>
              <w:jc w:val="right"/>
              <w:rPr>
                <w:rFonts w:ascii="Calibri" w:hAnsi="Calibri"/>
                <w:color w:val="000000"/>
                <w:sz w:val="20"/>
                <w:szCs w:val="22"/>
              </w:rPr>
            </w:pPr>
            <w:r w:rsidRPr="006E57DF">
              <w:rPr>
                <w:rFonts w:ascii="Calibri" w:hAnsi="Calibri"/>
                <w:color w:val="000000"/>
                <w:sz w:val="20"/>
                <w:szCs w:val="22"/>
              </w:rPr>
              <w:t>320</w:t>
            </w:r>
          </w:p>
        </w:tc>
        <w:tc>
          <w:tcPr>
            <w:tcW w:w="1530" w:type="dxa"/>
            <w:tcBorders>
              <w:top w:val="nil"/>
              <w:left w:val="nil"/>
              <w:bottom w:val="single" w:sz="4" w:space="0" w:color="auto"/>
              <w:right w:val="single" w:sz="4" w:space="0" w:color="auto"/>
            </w:tcBorders>
            <w:shd w:val="clear" w:color="auto" w:fill="auto"/>
            <w:hideMark/>
          </w:tcPr>
          <w:p w14:paraId="4467B241" w14:textId="77777777" w:rsidR="00F41727" w:rsidRPr="006E57DF" w:rsidRDefault="00F41727" w:rsidP="00F3565E">
            <w:pPr>
              <w:jc w:val="right"/>
              <w:rPr>
                <w:rFonts w:ascii="Calibri" w:hAnsi="Calibri"/>
                <w:color w:val="000000"/>
                <w:sz w:val="20"/>
                <w:szCs w:val="22"/>
              </w:rPr>
            </w:pPr>
            <w:r w:rsidRPr="006E57DF">
              <w:rPr>
                <w:rFonts w:ascii="Calibri" w:hAnsi="Calibri"/>
                <w:color w:val="000000"/>
                <w:sz w:val="20"/>
                <w:szCs w:val="22"/>
              </w:rPr>
              <w:t>3.95%</w:t>
            </w:r>
          </w:p>
        </w:tc>
      </w:tr>
    </w:tbl>
    <w:p w14:paraId="5DE55892" w14:textId="77777777" w:rsidR="005764E7" w:rsidRDefault="005764E7" w:rsidP="008E6930"/>
    <w:p w14:paraId="4283C383" w14:textId="77777777" w:rsidR="00E47889" w:rsidRDefault="00E47889" w:rsidP="008E6930">
      <w:r>
        <w:t xml:space="preserve">For subgroup 3, the overall miscalibration of indirect TPMS is the </w:t>
      </w:r>
      <w:r w:rsidR="0093602D">
        <w:t xml:space="preserve">primary quantitative interest, </w:t>
      </w:r>
      <w:r w:rsidR="000B65AD">
        <w:t>so model year differences, which would have very small cells, are not key analyses</w:t>
      </w:r>
      <w:r>
        <w:t>.</w:t>
      </w:r>
    </w:p>
    <w:p w14:paraId="53F056B3" w14:textId="77777777" w:rsidR="00EF4624" w:rsidRDefault="00EF4624" w:rsidP="008E6930">
      <w:pPr>
        <w:rPr>
          <w:u w:val="single"/>
        </w:rPr>
      </w:pPr>
    </w:p>
    <w:p w14:paraId="463AF043" w14:textId="77777777" w:rsidR="008B79FD" w:rsidRPr="00063BC6" w:rsidRDefault="008B79FD" w:rsidP="008E6930">
      <w:pPr>
        <w:rPr>
          <w:u w:val="single"/>
        </w:rPr>
      </w:pPr>
      <w:r w:rsidRPr="00063BC6">
        <w:rPr>
          <w:u w:val="single"/>
        </w:rPr>
        <w:t>Suppliers Survey and Repair Facilities Survey</w:t>
      </w:r>
    </w:p>
    <w:p w14:paraId="0EECA34F" w14:textId="77777777" w:rsidR="00A32710" w:rsidRPr="00063BC6" w:rsidRDefault="007C036E" w:rsidP="004B7F13">
      <w:r w:rsidRPr="00063BC6">
        <w:t xml:space="preserve">The TPMS-ORRC </w:t>
      </w:r>
      <w:r w:rsidR="00B252D4" w:rsidRPr="00063BC6">
        <w:t>Suppliers</w:t>
      </w:r>
      <w:r w:rsidR="001C1DEA" w:rsidRPr="00063BC6">
        <w:t xml:space="preserve"> Survey</w:t>
      </w:r>
      <w:r w:rsidR="007D1F3B" w:rsidRPr="00063BC6">
        <w:t xml:space="preserve"> </w:t>
      </w:r>
      <w:r w:rsidR="00AA4BDB" w:rsidRPr="00063BC6">
        <w:t>and Repair Facilities Survey were</w:t>
      </w:r>
      <w:r w:rsidR="007D1F3B" w:rsidRPr="00063BC6">
        <w:t xml:space="preserve"> previously approved in OMB 2127-0626</w:t>
      </w:r>
      <w:r w:rsidR="00F853C3" w:rsidRPr="00063BC6">
        <w:t>, have been conducted,</w:t>
      </w:r>
      <w:r w:rsidR="007D1F3B" w:rsidRPr="00063BC6">
        <w:t xml:space="preserve"> and </w:t>
      </w:r>
      <w:r w:rsidR="00AA4BDB" w:rsidRPr="00063BC6">
        <w:t>are</w:t>
      </w:r>
      <w:r w:rsidR="007D1F3B" w:rsidRPr="00063BC6">
        <w:t xml:space="preserve"> </w:t>
      </w:r>
      <w:r w:rsidR="00F853C3" w:rsidRPr="00063BC6">
        <w:t xml:space="preserve">therefore </w:t>
      </w:r>
      <w:r w:rsidR="007D1F3B" w:rsidRPr="00063BC6">
        <w:t>not repeated here.</w:t>
      </w:r>
    </w:p>
    <w:p w14:paraId="2741D089" w14:textId="77777777" w:rsidR="00AA4BDB" w:rsidRDefault="00AA4BDB" w:rsidP="0032175C">
      <w:pPr>
        <w:widowControl w:val="0"/>
        <w:autoSpaceDE w:val="0"/>
        <w:autoSpaceDN w:val="0"/>
        <w:adjustRightInd w:val="0"/>
        <w:outlineLvl w:val="1"/>
        <w:rPr>
          <w:b/>
          <w:bCs/>
        </w:rPr>
      </w:pPr>
      <w:bookmarkStart w:id="9" w:name="_Toc230056345"/>
    </w:p>
    <w:p w14:paraId="22E9F283" w14:textId="77777777" w:rsidR="006E57DF" w:rsidRDefault="006E57DF" w:rsidP="0032175C">
      <w:pPr>
        <w:widowControl w:val="0"/>
        <w:autoSpaceDE w:val="0"/>
        <w:autoSpaceDN w:val="0"/>
        <w:adjustRightInd w:val="0"/>
        <w:outlineLvl w:val="1"/>
        <w:rPr>
          <w:b/>
          <w:bCs/>
        </w:rPr>
      </w:pPr>
    </w:p>
    <w:p w14:paraId="04093DCC" w14:textId="77777777" w:rsidR="0032175C" w:rsidRDefault="0032175C" w:rsidP="0032175C">
      <w:pPr>
        <w:widowControl w:val="0"/>
        <w:autoSpaceDE w:val="0"/>
        <w:autoSpaceDN w:val="0"/>
        <w:adjustRightInd w:val="0"/>
        <w:outlineLvl w:val="1"/>
        <w:rPr>
          <w:b/>
          <w:bCs/>
        </w:rPr>
      </w:pPr>
      <w:bookmarkStart w:id="10" w:name="_Toc480558244"/>
      <w:r w:rsidRPr="00AF59FD">
        <w:rPr>
          <w:b/>
          <w:bCs/>
        </w:rPr>
        <w:t>B.2.</w:t>
      </w:r>
      <w:r w:rsidRPr="00AF59FD">
        <w:rPr>
          <w:b/>
          <w:bCs/>
        </w:rPr>
        <w:tab/>
        <w:t>Describe the procedures for the collection of information.</w:t>
      </w:r>
      <w:bookmarkEnd w:id="9"/>
      <w:bookmarkEnd w:id="10"/>
    </w:p>
    <w:p w14:paraId="7194630B" w14:textId="77777777" w:rsidR="008C3BAF" w:rsidRDefault="008C3BAF" w:rsidP="0032175C">
      <w:pPr>
        <w:widowControl w:val="0"/>
        <w:autoSpaceDE w:val="0"/>
        <w:autoSpaceDN w:val="0"/>
        <w:adjustRightInd w:val="0"/>
        <w:outlineLvl w:val="1"/>
        <w:rPr>
          <w:b/>
          <w:bCs/>
        </w:rPr>
      </w:pPr>
    </w:p>
    <w:p w14:paraId="64A89614" w14:textId="77777777" w:rsidR="005C2B91" w:rsidRDefault="004F6CFE" w:rsidP="00E92D95">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Data will be collected by teams of two </w:t>
      </w:r>
      <w:r w:rsidR="0019652D">
        <w:t xml:space="preserve">data collectors, designated as the “interviewer” and the “inspector.” </w:t>
      </w:r>
      <w:r>
        <w:t xml:space="preserve"> T</w:t>
      </w:r>
      <w:r w:rsidR="0019652D">
        <w:t xml:space="preserve">he </w:t>
      </w:r>
      <w:r w:rsidR="00B7421A">
        <w:t>team will</w:t>
      </w:r>
      <w:r>
        <w:t xml:space="preserve"> identify and approach vehicles of model years 200</w:t>
      </w:r>
      <w:r w:rsidR="001117B1">
        <w:t>6</w:t>
      </w:r>
      <w:r>
        <w:t xml:space="preserve"> or newer to assess the operational status of </w:t>
      </w:r>
      <w:r w:rsidR="001117B1">
        <w:t>FMVSS</w:t>
      </w:r>
      <w:r w:rsidR="00CA1A3B">
        <w:t>-</w:t>
      </w:r>
      <w:r w:rsidR="001117B1">
        <w:t xml:space="preserve">138-compliant </w:t>
      </w:r>
      <w:r>
        <w:t xml:space="preserve">direct TPMS or indirect TPMS.  </w:t>
      </w:r>
    </w:p>
    <w:p w14:paraId="32926B7C" w14:textId="77777777" w:rsidR="005C2B91" w:rsidRDefault="005C2B91" w:rsidP="00E92D95">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32554E" w14:textId="77777777" w:rsidR="005C2B91" w:rsidRDefault="005C2B91" w:rsidP="00E92D95">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C1A95">
        <w:rPr>
          <w:b/>
        </w:rPr>
        <w:t>The interviewer</w:t>
      </w:r>
      <w:r>
        <w:t xml:space="preserve"> will </w:t>
      </w:r>
      <w:r w:rsidRPr="000C6C75">
        <w:t>approach the driver</w:t>
      </w:r>
      <w:r>
        <w:t xml:space="preserve"> and</w:t>
      </w:r>
      <w:r w:rsidRPr="000C6C75">
        <w:t xml:space="preserve"> solicit cooperation</w:t>
      </w:r>
      <w:r>
        <w:t xml:space="preserve">. </w:t>
      </w:r>
      <w:r w:rsidR="00A02B7D">
        <w:t>The interviewer will administer a</w:t>
      </w:r>
      <w:r w:rsidR="00D6305D">
        <w:t xml:space="preserve"> driver interview to each cooperating</w:t>
      </w:r>
      <w:r w:rsidR="00A02B7D">
        <w:t xml:space="preserve"> </w:t>
      </w:r>
      <w:r w:rsidR="00D6305D">
        <w:t>driver</w:t>
      </w:r>
      <w:r w:rsidR="00A02B7D">
        <w:t xml:space="preserve">. </w:t>
      </w:r>
      <w:r w:rsidR="00F03531">
        <w:t xml:space="preserve">Since our population of interest begins with model year 2006, </w:t>
      </w:r>
      <w:r>
        <w:t>field teams</w:t>
      </w:r>
      <w:r w:rsidR="00F03531" w:rsidRPr="00AF59FD">
        <w:t xml:space="preserve"> will not approach drivers </w:t>
      </w:r>
      <w:r w:rsidR="00F03531">
        <w:t>whose</w:t>
      </w:r>
      <w:r w:rsidR="00F03531" w:rsidRPr="00AF59FD">
        <w:t xml:space="preserve"> vehicles appear to be </w:t>
      </w:r>
      <w:r w:rsidR="00F03531">
        <w:t xml:space="preserve">obviously </w:t>
      </w:r>
      <w:r w:rsidR="00F03531" w:rsidRPr="00AF59FD">
        <w:t>older than model year 200</w:t>
      </w:r>
      <w:r w:rsidR="00F03531">
        <w:t xml:space="preserve">6; however, since it may be hard to tell, there may be some pre-2006 vehicles </w:t>
      </w:r>
      <w:r w:rsidR="00F03531" w:rsidRPr="000C6C75">
        <w:t>approached.</w:t>
      </w:r>
      <w:r w:rsidR="001117B1">
        <w:t xml:space="preserve">  </w:t>
      </w:r>
    </w:p>
    <w:p w14:paraId="43FF6255" w14:textId="77777777" w:rsidR="005C2B91" w:rsidRDefault="005C2B91" w:rsidP="00E92D95">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6C3E48" w14:textId="77777777" w:rsidR="00A02B7D" w:rsidRDefault="00A02B7D" w:rsidP="00E92D95">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C1A95">
        <w:rPr>
          <w:b/>
        </w:rPr>
        <w:t>T</w:t>
      </w:r>
      <w:r w:rsidR="005C2B91" w:rsidRPr="007C1A95">
        <w:rPr>
          <w:b/>
        </w:rPr>
        <w:t>he inspector</w:t>
      </w:r>
      <w:r w:rsidR="005C2B91">
        <w:t xml:space="preserve"> will scan (or manually enter, if necessary) the</w:t>
      </w:r>
      <w:r w:rsidR="005C2B91" w:rsidRPr="000C6C75">
        <w:t xml:space="preserve"> VIN of each </w:t>
      </w:r>
      <w:r w:rsidR="00D6305D">
        <w:t xml:space="preserve">cooperating driver’s </w:t>
      </w:r>
      <w:r w:rsidR="005C2B91" w:rsidRPr="000C6C75">
        <w:t>vehicle, and match</w:t>
      </w:r>
      <w:r w:rsidR="005C2B91">
        <w:t xml:space="preserve"> it</w:t>
      </w:r>
      <w:r w:rsidR="005C2B91" w:rsidRPr="000C6C75">
        <w:t xml:space="preserve"> against NHTSA’s VIN decode</w:t>
      </w:r>
      <w:r w:rsidR="005C2B91">
        <w:t>rs</w:t>
      </w:r>
      <w:r>
        <w:t xml:space="preserve"> to determine eligibility</w:t>
      </w:r>
      <w:r w:rsidR="005C2B91">
        <w:t>.</w:t>
      </w:r>
      <w:r w:rsidR="005C2B91" w:rsidRPr="000C6C75">
        <w:t xml:space="preserve"> </w:t>
      </w:r>
      <w:r>
        <w:t xml:space="preserve">The inspector will </w:t>
      </w:r>
      <w:r w:rsidR="00D6305D">
        <w:t>then</w:t>
      </w:r>
      <w:r>
        <w:t xml:space="preserve"> check for the operational status of each eligible vehicle’s TPMS. </w:t>
      </w:r>
    </w:p>
    <w:p w14:paraId="4E9E1D1B" w14:textId="77777777" w:rsidR="00A02B7D" w:rsidRDefault="00A02B7D" w:rsidP="00E92D95">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CF838E" w14:textId="1F1F4AE2" w:rsidR="00BD7106" w:rsidRDefault="00D6305D" w:rsidP="00E92D95">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9361A">
        <w:t xml:space="preserve">NHTSA’s </w:t>
      </w:r>
      <w:r>
        <w:t xml:space="preserve">Vehicle Product Information Catalog (vPIC), an online VIN decoder, </w:t>
      </w:r>
      <w:r w:rsidRPr="0059361A">
        <w:t xml:space="preserve">will be </w:t>
      </w:r>
      <w:r>
        <w:t>accessed by</w:t>
      </w:r>
      <w:r w:rsidRPr="0059361A">
        <w:t xml:space="preserve"> the survey instrument to identify vehicles</w:t>
      </w:r>
      <w:r>
        <w:t xml:space="preserve">. </w:t>
      </w:r>
      <w:r w:rsidR="00DE1B96">
        <w:t>VIN</w:t>
      </w:r>
      <w:r w:rsidR="00DE1B96" w:rsidRPr="000C6C75">
        <w:t xml:space="preserve"> decode</w:t>
      </w:r>
      <w:r w:rsidR="00DE1B96">
        <w:t>r</w:t>
      </w:r>
      <w:r w:rsidR="00DE1B96" w:rsidRPr="000C6C75">
        <w:t xml:space="preserve">s </w:t>
      </w:r>
      <w:r w:rsidR="00DE1B96">
        <w:t>provide</w:t>
      </w:r>
      <w:r w:rsidR="00DE1B96" w:rsidRPr="000C6C75">
        <w:t xml:space="preserve"> accurate identification of model year, make</w:t>
      </w:r>
      <w:r w:rsidR="00DE1B96">
        <w:t>,</w:t>
      </w:r>
      <w:r w:rsidR="00DE1B96" w:rsidRPr="000C6C75">
        <w:t xml:space="preserve"> and model.</w:t>
      </w:r>
      <w:r w:rsidR="00DE1B96">
        <w:t xml:space="preserve"> </w:t>
      </w:r>
      <w:r w:rsidR="007C1A95">
        <w:t xml:space="preserve">The </w:t>
      </w:r>
      <w:r w:rsidR="00760E37">
        <w:t xml:space="preserve">vPIC </w:t>
      </w:r>
      <w:r w:rsidR="00E47889">
        <w:t xml:space="preserve">database </w:t>
      </w:r>
      <w:r w:rsidR="00760E37">
        <w:t xml:space="preserve">will also </w:t>
      </w:r>
      <w:r w:rsidR="007C1A95">
        <w:t xml:space="preserve">be programmed to </w:t>
      </w:r>
      <w:r w:rsidR="00760E37">
        <w:t xml:space="preserve">identify the type of TPMS (i.e., indirect versus direct TPMS) for each vehicle. </w:t>
      </w:r>
      <w:r w:rsidR="005C2B91">
        <w:t xml:space="preserve">Any passenger car or SUV/light truck/van of model year </w:t>
      </w:r>
      <w:r w:rsidR="005C2B91" w:rsidRPr="005F3164">
        <w:t>2008</w:t>
      </w:r>
      <w:r w:rsidR="009438CC" w:rsidRPr="005F3164">
        <w:t>-2016</w:t>
      </w:r>
      <w:r w:rsidR="005C2B91">
        <w:t xml:space="preserve"> will be considered eligible (since TPMS is required at 100 percent).  </w:t>
      </w:r>
      <w:r w:rsidR="005C2B91" w:rsidRPr="0059361A">
        <w:t xml:space="preserve">For MY 2006 and 2007 only FMVSS 138-compliant vehicles will be considered eligible. </w:t>
      </w:r>
      <w:r w:rsidR="00A02B7D">
        <w:t xml:space="preserve">The VIN will also determine overall eligibility and applicability of Subgroup 3. For encounters that are not classified as Subgroup 3, the TPMS indicator dashboard inspection will determine Subgroup 1 or 2. </w:t>
      </w:r>
      <w:r w:rsidR="001117B1">
        <w:t xml:space="preserve">  </w:t>
      </w:r>
    </w:p>
    <w:p w14:paraId="0DF6A3E6" w14:textId="77777777" w:rsidR="00BD7106" w:rsidRDefault="00BD7106" w:rsidP="00E92D95">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FA62B4" w14:textId="77777777" w:rsidR="00E92D95" w:rsidRDefault="00E92D95" w:rsidP="00E92D95">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421A">
        <w:t xml:space="preserve">The </w:t>
      </w:r>
      <w:r w:rsidR="0019652D" w:rsidRPr="00B7421A">
        <w:t xml:space="preserve">team </w:t>
      </w:r>
      <w:r w:rsidRPr="00B7421A">
        <w:t xml:space="preserve">will </w:t>
      </w:r>
      <w:r w:rsidR="0019652D" w:rsidRPr="00B7421A">
        <w:t xml:space="preserve">collect a </w:t>
      </w:r>
      <w:r w:rsidR="005A1A64" w:rsidRPr="00B7421A">
        <w:t xml:space="preserve">minimal </w:t>
      </w:r>
      <w:r w:rsidR="0019652D" w:rsidRPr="00B7421A">
        <w:t>set of information from all approached drivers and vehicles</w:t>
      </w:r>
      <w:r w:rsidR="003C1E63" w:rsidRPr="00B7421A">
        <w:t>, including</w:t>
      </w:r>
      <w:r w:rsidR="005A1A64" w:rsidRPr="00B7421A">
        <w:t xml:space="preserve">, for tracking purposes, </w:t>
      </w:r>
      <w:r w:rsidR="003C1E63" w:rsidRPr="00B7421A">
        <w:t xml:space="preserve">those who </w:t>
      </w:r>
      <w:r w:rsidR="005A1A64" w:rsidRPr="00B7421A">
        <w:t xml:space="preserve">refuse or are not </w:t>
      </w:r>
      <w:r w:rsidR="003C1E63" w:rsidRPr="00B7421A">
        <w:t>eligible</w:t>
      </w:r>
      <w:r w:rsidR="005A1A64" w:rsidRPr="00B7421A">
        <w:t>.</w:t>
      </w:r>
      <w:r w:rsidRPr="00B7421A">
        <w:t xml:space="preserve">  </w:t>
      </w:r>
      <w:r w:rsidR="00DD4D6B" w:rsidRPr="00B7421A">
        <w:t xml:space="preserve">Data obtained from </w:t>
      </w:r>
      <w:r w:rsidR="00DD4D6B" w:rsidRPr="00710DB3">
        <w:t xml:space="preserve">the </w:t>
      </w:r>
      <w:r w:rsidR="0019652D">
        <w:t>team</w:t>
      </w:r>
      <w:r w:rsidR="00DD4D6B" w:rsidRPr="00710DB3">
        <w:t xml:space="preserve"> will be entered via hand-held electronic devices (i.e., tablets) and sent to a FedRAMP</w:t>
      </w:r>
      <w:r w:rsidR="00082A21">
        <w:t>-</w:t>
      </w:r>
      <w:r w:rsidR="00DD4D6B" w:rsidRPr="00710DB3">
        <w:t>approved cloud data storage service</w:t>
      </w:r>
      <w:r w:rsidR="00BC2A75">
        <w:t>. The tablets offer advantages over paper and pencil data collection methods by</w:t>
      </w:r>
      <w:r w:rsidR="00DD4D6B" w:rsidRPr="00710DB3">
        <w:t xml:space="preserve"> </w:t>
      </w:r>
      <w:r w:rsidR="00BC2A75">
        <w:t>controlling survey skip logic that improves quality control and reduces survey administration burden and data processing time</w:t>
      </w:r>
      <w:r w:rsidR="00B16A00">
        <w:t xml:space="preserve">. </w:t>
      </w:r>
      <w:r w:rsidR="00DD4D6B">
        <w:t xml:space="preserve"> </w:t>
      </w:r>
      <w:r w:rsidR="00BC2A75">
        <w:t>The FedRAMP-approved environment reinforces data security.</w:t>
      </w:r>
      <w:r w:rsidR="00DD4D6B">
        <w:t xml:space="preserve"> </w:t>
      </w:r>
    </w:p>
    <w:p w14:paraId="25A97D6B" w14:textId="77777777" w:rsidR="00831D66" w:rsidRDefault="00831D66" w:rsidP="00E92D95">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23D262B" w14:textId="77777777" w:rsidR="00E72D17" w:rsidRDefault="00E72D17" w:rsidP="00831D66">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 each PSU one supervisor will oversee two 2-person teams.  The CISS PSUs are relatively large, with travel time within some measured in hours.  Therefore, stations being worked concurrently (one by each 2-person team) will be constrained by sampling to be within 15 minutes driving time of each other, so that the supervisor can travel and exercise control. A given team will work a selected fuel station for a few days and move to another selected station at least once during the fielding period. There will be backup stations on the selected list, in case a given station withdraws or there are internet connectivity issues.</w:t>
      </w:r>
    </w:p>
    <w:p w14:paraId="2EEE3795" w14:textId="77777777" w:rsidR="00831D66" w:rsidRDefault="00831D66" w:rsidP="00831D66">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D721A1" w14:textId="77777777" w:rsidR="00831D66" w:rsidRDefault="00831D66" w:rsidP="00831D66">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field protocol will incorporate the following elements:</w:t>
      </w:r>
    </w:p>
    <w:p w14:paraId="6F31D070" w14:textId="77777777" w:rsidR="00831D66" w:rsidRDefault="00831D66" w:rsidP="00831D66">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16464E" w14:textId="77777777" w:rsidR="00831D66" w:rsidRDefault="00DF3F14" w:rsidP="00CD4F81">
      <w:pPr>
        <w:pStyle w:val="ListParagraph"/>
        <w:numPr>
          <w:ilvl w:val="0"/>
          <w:numId w:val="15"/>
        </w:numPr>
        <w:ind w:hanging="360"/>
      </w:pPr>
      <w:r w:rsidRPr="009A73CC">
        <w:t>Each team’s two members will work together to</w:t>
      </w:r>
      <w:r w:rsidR="00831D66" w:rsidRPr="00DF3F14">
        <w:t xml:space="preserve"> </w:t>
      </w:r>
      <w:r w:rsidR="00831D66">
        <w:t xml:space="preserve">identify and approach vehicles in the target range (screening for model years </w:t>
      </w:r>
      <w:r w:rsidR="00831D66" w:rsidRPr="005F3164">
        <w:t>2006</w:t>
      </w:r>
      <w:r w:rsidR="00260B9E" w:rsidRPr="005F3164">
        <w:t>-2016</w:t>
      </w:r>
      <w:r w:rsidR="00831D66">
        <w:t>) to identify the TPMS type (direct vs. indirect) and assess the operational status of the TPMS system</w:t>
      </w:r>
    </w:p>
    <w:p w14:paraId="229414A6" w14:textId="77777777" w:rsidR="00831D66" w:rsidRDefault="00831D66" w:rsidP="00CD4F81">
      <w:pPr>
        <w:pStyle w:val="ListParagraph"/>
        <w:numPr>
          <w:ilvl w:val="0"/>
          <w:numId w:val="15"/>
        </w:numPr>
        <w:ind w:hanging="360"/>
      </w:pPr>
      <w:r>
        <w:t>At fuel stations potential respondents will be approached before fueling has begun, so that if participation is obtained, the interviewer performing vehicle inspection can run ignition tests to determine operational status of TPMS prior to the gas cap being opened</w:t>
      </w:r>
    </w:p>
    <w:p w14:paraId="25E8F6E1" w14:textId="77777777" w:rsidR="00831D66" w:rsidRDefault="00831D66" w:rsidP="00CD4F81">
      <w:pPr>
        <w:pStyle w:val="ListParagraph"/>
        <w:numPr>
          <w:ilvl w:val="0"/>
          <w:numId w:val="15"/>
        </w:numPr>
        <w:ind w:hanging="360"/>
      </w:pPr>
      <w:r>
        <w:t>Operational status of TPMS systems will be determined by examining the dash lights when the ignition is in both the LOCK and ON positions</w:t>
      </w:r>
    </w:p>
    <w:p w14:paraId="7553CFA8" w14:textId="77777777" w:rsidR="00831D66" w:rsidRDefault="00831D66" w:rsidP="00CD4F81">
      <w:pPr>
        <w:pStyle w:val="ListParagraph"/>
        <w:numPr>
          <w:ilvl w:val="0"/>
          <w:numId w:val="15"/>
        </w:numPr>
        <w:ind w:hanging="360"/>
      </w:pPr>
      <w:r>
        <w:t>Participating respondents will then be allowed to begin refueling their vehicle before the driver interviewer continues with</w:t>
      </w:r>
      <w:r w:rsidR="001E3924">
        <w:t xml:space="preserve"> the</w:t>
      </w:r>
      <w:r>
        <w:t xml:space="preserve"> survey (to be completed, along with vehicle inspection, during refueling)</w:t>
      </w:r>
    </w:p>
    <w:p w14:paraId="2B524988" w14:textId="77777777" w:rsidR="00831D66" w:rsidRDefault="00831D66" w:rsidP="00CD4F81">
      <w:pPr>
        <w:pStyle w:val="ListParagraph"/>
        <w:numPr>
          <w:ilvl w:val="0"/>
          <w:numId w:val="15"/>
        </w:numPr>
        <w:ind w:hanging="360"/>
      </w:pPr>
      <w:r>
        <w:t>Teams will intercept vehicles roughly in the order they enter an area of the station, in order to collect data from a representative mix of different vehicle body types</w:t>
      </w:r>
    </w:p>
    <w:p w14:paraId="0EDBB6A8" w14:textId="77777777" w:rsidR="00831D66" w:rsidRDefault="00831D66" w:rsidP="00CD4F81">
      <w:pPr>
        <w:pStyle w:val="ListParagraph"/>
        <w:numPr>
          <w:ilvl w:val="0"/>
          <w:numId w:val="15"/>
        </w:numPr>
        <w:ind w:hanging="360"/>
      </w:pPr>
      <w:r>
        <w:t>Teams will operate at establishments during normal daytime hours (e.</w:t>
      </w:r>
      <w:r w:rsidR="001E3924">
        <w:t>g.</w:t>
      </w:r>
      <w:r>
        <w:t xml:space="preserve">, 8 a.m. to 5 p.m.) for safety considerations. </w:t>
      </w:r>
    </w:p>
    <w:p w14:paraId="1DFB131D" w14:textId="77777777" w:rsidR="00831D66" w:rsidRDefault="00831D66" w:rsidP="00CD4F81">
      <w:pPr>
        <w:pStyle w:val="ListParagraph"/>
        <w:numPr>
          <w:ilvl w:val="0"/>
          <w:numId w:val="14"/>
        </w:numPr>
        <w:ind w:left="720"/>
      </w:pPr>
      <w:r>
        <w:t xml:space="preserve">Teams will operate at each PSU for </w:t>
      </w:r>
      <w:r w:rsidR="000B6BEE">
        <w:t xml:space="preserve">up to </w:t>
      </w:r>
      <w:r>
        <w:t>2 weeks (includes training</w:t>
      </w:r>
      <w:r w:rsidR="000B6BEE">
        <w:t xml:space="preserve"> and </w:t>
      </w:r>
      <w:r w:rsidR="001E3924">
        <w:t>time</w:t>
      </w:r>
      <w:r w:rsidR="000B6BEE">
        <w:t xml:space="preserve"> off</w:t>
      </w:r>
      <w:r>
        <w:t>), covering weekdays and weekends</w:t>
      </w:r>
      <w:r w:rsidR="00B1778A">
        <w:t xml:space="preserve">, with </w:t>
      </w:r>
      <w:r w:rsidR="001E3924">
        <w:t>approximately</w:t>
      </w:r>
      <w:r w:rsidR="00B1778A">
        <w:t xml:space="preserve"> </w:t>
      </w:r>
      <w:r w:rsidR="007731D5">
        <w:t>4</w:t>
      </w:r>
      <w:r w:rsidR="00B1778A">
        <w:t xml:space="preserve"> to 7 </w:t>
      </w:r>
      <w:r w:rsidR="001E3924">
        <w:t xml:space="preserve">data </w:t>
      </w:r>
      <w:r w:rsidR="00B1778A">
        <w:t>collection days</w:t>
      </w:r>
      <w:r>
        <w:t>.</w:t>
      </w:r>
    </w:p>
    <w:p w14:paraId="44190F55" w14:textId="77777777" w:rsidR="009461F8" w:rsidRDefault="009461F8" w:rsidP="00CD4F81">
      <w:pPr>
        <w:pStyle w:val="ListParagraph"/>
        <w:numPr>
          <w:ilvl w:val="0"/>
          <w:numId w:val="14"/>
        </w:numPr>
        <w:ind w:left="720"/>
      </w:pPr>
      <w:r>
        <w:t>Teams will collect 15</w:t>
      </w:r>
      <w:r w:rsidR="00323DD1">
        <w:t>-</w:t>
      </w:r>
      <w:r>
        <w:t xml:space="preserve">minute traffic volume counts </w:t>
      </w:r>
      <w:r w:rsidR="002E3516">
        <w:t>every hour</w:t>
      </w:r>
      <w:r>
        <w:t xml:space="preserve"> </w:t>
      </w:r>
      <w:r w:rsidR="002E3516">
        <w:t>at each station</w:t>
      </w:r>
      <w:r>
        <w:t xml:space="preserve">. </w:t>
      </w:r>
      <w:r w:rsidR="00342FEE">
        <w:t xml:space="preserve">These counts </w:t>
      </w:r>
      <w:r w:rsidR="00E47889">
        <w:t>will</w:t>
      </w:r>
      <w:r w:rsidR="00342FEE">
        <w:t xml:space="preserve"> be used to </w:t>
      </w:r>
      <w:r w:rsidR="0077553E">
        <w:t>estimate vehicle population totals in support of weighting.</w:t>
      </w:r>
    </w:p>
    <w:p w14:paraId="106E1AE1" w14:textId="77777777" w:rsidR="00831D66" w:rsidRDefault="00831D66" w:rsidP="00CD4F81">
      <w:pPr>
        <w:pStyle w:val="ListParagraph"/>
        <w:numPr>
          <w:ilvl w:val="0"/>
          <w:numId w:val="14"/>
        </w:numPr>
        <w:ind w:left="720"/>
      </w:pPr>
      <w:r>
        <w:t>Teams will capture observational data from all vehicles that are approached, including those drivers who decline to participate and those who are screened out as ineligible.</w:t>
      </w:r>
    </w:p>
    <w:p w14:paraId="6B09EBE6" w14:textId="77777777" w:rsidR="00831D66" w:rsidRDefault="00831D66" w:rsidP="00831D66">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ABBF4D" w14:textId="77777777" w:rsidR="006E57DF" w:rsidRDefault="006E57DF" w:rsidP="0032175C">
      <w:pPr>
        <w:widowControl w:val="0"/>
        <w:autoSpaceDE w:val="0"/>
        <w:autoSpaceDN w:val="0"/>
        <w:adjustRightInd w:val="0"/>
        <w:outlineLvl w:val="1"/>
        <w:rPr>
          <w:b/>
          <w:bCs/>
        </w:rPr>
      </w:pPr>
      <w:bookmarkStart w:id="11" w:name="_Toc230056346"/>
    </w:p>
    <w:p w14:paraId="35D6EAC7" w14:textId="77777777" w:rsidR="00E76E20" w:rsidRPr="00201762" w:rsidRDefault="0032175C" w:rsidP="0052155F">
      <w:pPr>
        <w:widowControl w:val="0"/>
        <w:autoSpaceDE w:val="0"/>
        <w:autoSpaceDN w:val="0"/>
        <w:adjustRightInd w:val="0"/>
        <w:ind w:left="720" w:hanging="720"/>
        <w:outlineLvl w:val="1"/>
        <w:rPr>
          <w:b/>
          <w:bCs/>
        </w:rPr>
      </w:pPr>
      <w:bookmarkStart w:id="12" w:name="_Toc480558245"/>
      <w:r w:rsidRPr="00AF59FD">
        <w:rPr>
          <w:b/>
          <w:bCs/>
        </w:rPr>
        <w:t>B.3.</w:t>
      </w:r>
      <w:r w:rsidRPr="00AF59FD">
        <w:rPr>
          <w:b/>
          <w:bCs/>
        </w:rPr>
        <w:tab/>
        <w:t>Describe methods to maximize response rates and to deal with issues of non-response.</w:t>
      </w:r>
      <w:bookmarkEnd w:id="11"/>
      <w:bookmarkEnd w:id="12"/>
    </w:p>
    <w:p w14:paraId="10F9AD3C" w14:textId="77777777" w:rsidR="00E76E20" w:rsidRDefault="00E76E20" w:rsidP="00E76E20"/>
    <w:p w14:paraId="5577A193" w14:textId="77777777" w:rsidR="00201762" w:rsidRDefault="00201762" w:rsidP="00E76E20">
      <w:r>
        <w:t xml:space="preserve">In the 2010-2011 TPMS Special Study, the final data set shows 6516 interviewed, 2567 refused, and 1807 ineligible, for a total of 10,890 approaches.  Thus the refusal rate was 2567/10890 = 24 percent (76 percent response rate).  This is our best evidence-based estimate for the new survey response rate, but we will work to improve rates and analyses as follows.     </w:t>
      </w:r>
    </w:p>
    <w:p w14:paraId="697E68E1" w14:textId="77777777" w:rsidR="00201762" w:rsidRDefault="00201762" w:rsidP="00E76E20"/>
    <w:p w14:paraId="318A6FD5" w14:textId="77777777" w:rsidR="00E76E20" w:rsidRDefault="00E76E20" w:rsidP="00E76E20">
      <w:r>
        <w:t xml:space="preserve">Several aspects of the data collection are designed to maximize the response rate. </w:t>
      </w:r>
      <w:r w:rsidR="004C0030">
        <w:t xml:space="preserve">The contractor will provide training to the data collectors </w:t>
      </w:r>
      <w:r w:rsidR="004C0030" w:rsidRPr="000C6C75">
        <w:t xml:space="preserve">on all aspects of the </w:t>
      </w:r>
      <w:r w:rsidR="00DF3F14" w:rsidRPr="009A73CC">
        <w:t>use of the tablet software</w:t>
      </w:r>
      <w:r w:rsidR="00DF3F14" w:rsidRPr="00DF3F14">
        <w:t xml:space="preserve"> </w:t>
      </w:r>
      <w:r w:rsidR="004C0030" w:rsidRPr="000C6C75">
        <w:t>and the field procedures.</w:t>
      </w:r>
      <w:r w:rsidRPr="000C6C75">
        <w:t xml:space="preserve"> </w:t>
      </w:r>
      <w:r w:rsidR="002E3516">
        <w:t>Training will provide teams with study content knowledge and an approach to interact with the public</w:t>
      </w:r>
      <w:r w:rsidR="002E3516" w:rsidRPr="000C6C75">
        <w:t xml:space="preserve">. </w:t>
      </w:r>
      <w:r w:rsidRPr="000C6C75">
        <w:t>Candidate drivers will be approached in a non-threatening way</w:t>
      </w:r>
      <w:r w:rsidR="00652318" w:rsidRPr="000C6C75">
        <w:t>, provided information about the survey</w:t>
      </w:r>
      <w:r w:rsidR="00E15690" w:rsidRPr="000C6C75">
        <w:t xml:space="preserve">, </w:t>
      </w:r>
      <w:r w:rsidR="00187B2E" w:rsidRPr="000C6C75">
        <w:t xml:space="preserve">given </w:t>
      </w:r>
      <w:r w:rsidR="00E15690" w:rsidRPr="000C6C75">
        <w:t xml:space="preserve">handout materials on tire safety, </w:t>
      </w:r>
      <w:r w:rsidR="00652318" w:rsidRPr="000C6C75">
        <w:t>and asked if they would be willing to participate in the study.</w:t>
      </w:r>
      <w:r w:rsidR="00CB7E2A" w:rsidRPr="000C6C75">
        <w:t xml:space="preserve">  </w:t>
      </w:r>
      <w:r w:rsidR="004C0030" w:rsidRPr="000C6C75">
        <w:t xml:space="preserve">The design of the survey using two-person data collection teams allows </w:t>
      </w:r>
      <w:r w:rsidR="00E15690" w:rsidRPr="000C6C75">
        <w:t xml:space="preserve">the </w:t>
      </w:r>
      <w:r w:rsidR="00CB7E2A" w:rsidRPr="000C6C75">
        <w:t>extended</w:t>
      </w:r>
      <w:r w:rsidR="00E15690" w:rsidRPr="000C6C75">
        <w:t xml:space="preserve"> interviews to </w:t>
      </w:r>
      <w:r w:rsidR="004C0030" w:rsidRPr="000C6C75">
        <w:t>be completed in approximately 1</w:t>
      </w:r>
      <w:r w:rsidR="003542C4">
        <w:t>2</w:t>
      </w:r>
      <w:r w:rsidR="004C0030" w:rsidRPr="000C6C75">
        <w:t xml:space="preserve"> </w:t>
      </w:r>
      <w:r w:rsidR="003542C4">
        <w:t xml:space="preserve">to 15 </w:t>
      </w:r>
      <w:r w:rsidR="004C0030" w:rsidRPr="000C6C75">
        <w:t>minutes for each vehicle</w:t>
      </w:r>
      <w:r w:rsidR="00E15690" w:rsidRPr="000C6C75">
        <w:t xml:space="preserve">, with most </w:t>
      </w:r>
      <w:r w:rsidR="00CB7E2A" w:rsidRPr="000C6C75">
        <w:t>interviews</w:t>
      </w:r>
      <w:r w:rsidR="00E15690" w:rsidRPr="000C6C75">
        <w:t xml:space="preserve"> </w:t>
      </w:r>
      <w:r w:rsidR="00187B2E" w:rsidRPr="000C6C75">
        <w:t xml:space="preserve">completed in </w:t>
      </w:r>
      <w:r w:rsidR="00E15690" w:rsidRPr="000C6C75">
        <w:t>about 8 min</w:t>
      </w:r>
      <w:r w:rsidR="00CB7E2A" w:rsidRPr="000C6C75">
        <w:t>utes</w:t>
      </w:r>
      <w:r w:rsidR="004C0030" w:rsidRPr="000C6C75">
        <w:t xml:space="preserve">.  </w:t>
      </w:r>
      <w:r w:rsidR="00DD4D6B" w:rsidRPr="000C6C75">
        <w:t>Data obtained from the interviews will be entered via hand-held electronic devices (i.e., tablets) and sent to a FedRAMP</w:t>
      </w:r>
      <w:r w:rsidR="00215F21">
        <w:t>-</w:t>
      </w:r>
      <w:r w:rsidR="00DD4D6B" w:rsidRPr="00710DB3">
        <w:t>approved cloud data storage service</w:t>
      </w:r>
      <w:r w:rsidR="00215F21">
        <w:t>,</w:t>
      </w:r>
      <w:r w:rsidR="00DD4D6B" w:rsidRPr="00710DB3">
        <w:t xml:space="preserve"> thereby reducing</w:t>
      </w:r>
      <w:r w:rsidR="00215F21">
        <w:t xml:space="preserve"> both the</w:t>
      </w:r>
      <w:r w:rsidR="00DD4D6B" w:rsidRPr="00710DB3">
        <w:t xml:space="preserve"> burden on the respondents </w:t>
      </w:r>
      <w:r w:rsidR="00215F21">
        <w:t>and</w:t>
      </w:r>
      <w:r w:rsidR="00DD137B">
        <w:t xml:space="preserve"> </w:t>
      </w:r>
      <w:r w:rsidR="00DD4D6B" w:rsidRPr="00710DB3">
        <w:t>the time needed to process the data.</w:t>
      </w:r>
      <w:r w:rsidR="00DD4D6B">
        <w:t xml:space="preserve">  </w:t>
      </w:r>
    </w:p>
    <w:p w14:paraId="26F10E08" w14:textId="77777777" w:rsidR="003542C4" w:rsidRDefault="003542C4" w:rsidP="00E76E20"/>
    <w:p w14:paraId="08B3FF9C" w14:textId="77777777" w:rsidR="003858D2" w:rsidRDefault="003858D2" w:rsidP="003858D2">
      <w:r>
        <w:t>A Spanish language instrument was not developed due to budget limitations, but in at least some PSUs with a Spanish-language presence, the survey contractor will recruit bilingual temporary data collectors who can translate at the time of interview for Spanish-speaking respondents. We will also observe and record language status for all respondents and refusals to enable special estimates or non-response adjustments as needed, based on Spanish-speaking respondents with data recorded.</w:t>
      </w:r>
    </w:p>
    <w:p w14:paraId="7C61A7B6" w14:textId="77777777" w:rsidR="00C94F03" w:rsidRDefault="00C94F03" w:rsidP="003858D2"/>
    <w:p w14:paraId="496BD91E" w14:textId="77777777" w:rsidR="004600FC" w:rsidRDefault="004600FC" w:rsidP="004600FC">
      <w:pPr>
        <w:ind w:right="288"/>
      </w:pPr>
      <w:r>
        <w:t xml:space="preserve">To encourage participation, we plan to offer participating drivers a check on open recalls for their vehicle via NHTSA’s SaferCar.gov web site. </w:t>
      </w:r>
      <w:r w:rsidRPr="004158BA">
        <w:t xml:space="preserve"> If there is no </w:t>
      </w:r>
      <w:r>
        <w:t>i</w:t>
      </w:r>
      <w:r w:rsidRPr="004158BA">
        <w:t>nternet connection</w:t>
      </w:r>
      <w:r>
        <w:t>, we will</w:t>
      </w:r>
      <w:r w:rsidRPr="004158BA">
        <w:t xml:space="preserve"> distribute wallet cards with instructions on how to access the information</w:t>
      </w:r>
      <w:r>
        <w:t>.</w:t>
      </w:r>
    </w:p>
    <w:p w14:paraId="4975323C" w14:textId="77777777" w:rsidR="00201762" w:rsidRDefault="00201762" w:rsidP="004600FC">
      <w:pPr>
        <w:ind w:right="288"/>
      </w:pPr>
    </w:p>
    <w:p w14:paraId="3014F593" w14:textId="77777777" w:rsidR="00201762" w:rsidRDefault="00201762" w:rsidP="00201762">
      <w:r>
        <w:t xml:space="preserve">Teams will collect a minimal amount of information from each driver and vehicle that is approached, including, for tracking purposes, those who refuse or are not eligible for the full interview.  Analysis will be conducted on the refusals versus the participants for the observation variables, and if shown necessary, weights may be adjusted for non-response.  Variables to be collected observationally from all vehicles approached include vehicle body type and make, driver language spoken, driver age, driver sex, number of adult occupants and child occupants, and presence of vehicle damage.  </w:t>
      </w:r>
      <w:r w:rsidRPr="009A73CC">
        <w:t>We will use the residential ZIP information collected from all respondents to analyze malfunction rates by ZIP median income, as a proxy for socio-economic status, so that we are not limited to analyzing by the median income of the sampled ZIP, in the event that there are enough out-of-ZIP respondents to make a difference.</w:t>
      </w:r>
    </w:p>
    <w:p w14:paraId="2F1DD0B6" w14:textId="77777777" w:rsidR="00D37904" w:rsidRDefault="00D37904" w:rsidP="003858D2"/>
    <w:p w14:paraId="25DC9476" w14:textId="77777777" w:rsidR="00D37904" w:rsidRDefault="00EF4624" w:rsidP="00D37904">
      <w:r>
        <w:t>D</w:t>
      </w:r>
      <w:r w:rsidR="00D37904">
        <w:t xml:space="preserve">ata imputation is </w:t>
      </w:r>
      <w:r>
        <w:t xml:space="preserve">not </w:t>
      </w:r>
      <w:r w:rsidR="00D37904">
        <w:t>planned for the final data set.</w:t>
      </w:r>
    </w:p>
    <w:p w14:paraId="1A382B24" w14:textId="77777777" w:rsidR="003858D2" w:rsidRDefault="003858D2" w:rsidP="00E76E20"/>
    <w:p w14:paraId="77DBC75C" w14:textId="77777777" w:rsidR="004600FC" w:rsidRDefault="004600FC" w:rsidP="00E76E20"/>
    <w:p w14:paraId="457C18F8" w14:textId="77777777" w:rsidR="0032175C" w:rsidRPr="00AF59FD" w:rsidRDefault="0032175C" w:rsidP="0032175C">
      <w:pPr>
        <w:keepNext/>
        <w:widowControl w:val="0"/>
        <w:autoSpaceDE w:val="0"/>
        <w:autoSpaceDN w:val="0"/>
        <w:adjustRightInd w:val="0"/>
        <w:outlineLvl w:val="1"/>
      </w:pPr>
      <w:bookmarkStart w:id="13" w:name="_Toc230056347"/>
      <w:bookmarkStart w:id="14" w:name="_Toc480558246"/>
      <w:r w:rsidRPr="00AF59FD">
        <w:rPr>
          <w:b/>
          <w:bCs/>
        </w:rPr>
        <w:t>B.4.</w:t>
      </w:r>
      <w:r w:rsidRPr="00AF59FD">
        <w:rPr>
          <w:b/>
          <w:bCs/>
        </w:rPr>
        <w:tab/>
        <w:t>Describe any tests of procedures or methods to be undertaken.</w:t>
      </w:r>
      <w:bookmarkEnd w:id="13"/>
      <w:bookmarkEnd w:id="14"/>
    </w:p>
    <w:p w14:paraId="44D6C85F" w14:textId="77777777" w:rsidR="0032175C" w:rsidRDefault="0032175C" w:rsidP="0032175C">
      <w:pPr>
        <w:keepNext/>
        <w:widowControl w:val="0"/>
        <w:autoSpaceDE w:val="0"/>
        <w:autoSpaceDN w:val="0"/>
        <w:adjustRightInd w:val="0"/>
      </w:pPr>
    </w:p>
    <w:p w14:paraId="7ED1BC06" w14:textId="77777777" w:rsidR="007763BF" w:rsidRDefault="00070138" w:rsidP="007763BF">
      <w:r w:rsidRPr="00AF59FD">
        <w:t xml:space="preserve">Data collection forms and instructions </w:t>
      </w:r>
      <w:r w:rsidR="00943274">
        <w:t>have been</w:t>
      </w:r>
      <w:r w:rsidRPr="00AF59FD">
        <w:t xml:space="preserve"> developed by staff in NHTSA’s Office of Regulatory Analysis and Evaluation</w:t>
      </w:r>
      <w:r>
        <w:t xml:space="preserve"> and ICF</w:t>
      </w:r>
      <w:r w:rsidR="000D30D2">
        <w:t>, the contracted vendor</w:t>
      </w:r>
      <w:r w:rsidRPr="00AF59FD">
        <w:t xml:space="preserve">.  </w:t>
      </w:r>
      <w:r w:rsidR="007763BF" w:rsidRPr="00CB7115">
        <w:t xml:space="preserve">The data collection forms are included as Attachment </w:t>
      </w:r>
      <w:r w:rsidR="007763BF">
        <w:t>B in Part A</w:t>
      </w:r>
      <w:r w:rsidR="007763BF" w:rsidRPr="00CB7115">
        <w:t>.</w:t>
      </w:r>
    </w:p>
    <w:p w14:paraId="4F273860" w14:textId="77777777" w:rsidR="007763BF" w:rsidRDefault="007763BF" w:rsidP="00064A70"/>
    <w:p w14:paraId="2EAAA101" w14:textId="77777777" w:rsidR="006A5C76" w:rsidRPr="00AF3830" w:rsidRDefault="004849F1" w:rsidP="006A5C76">
      <w:pPr>
        <w:rPr>
          <w:u w:val="single"/>
        </w:rPr>
      </w:pPr>
      <w:r>
        <w:rPr>
          <w:bCs/>
          <w:u w:val="single"/>
        </w:rPr>
        <w:t>Field</w:t>
      </w:r>
      <w:r w:rsidR="006A5C76">
        <w:rPr>
          <w:bCs/>
          <w:u w:val="single"/>
        </w:rPr>
        <w:t xml:space="preserve"> Survey</w:t>
      </w:r>
    </w:p>
    <w:p w14:paraId="62EF6CF1" w14:textId="77777777" w:rsidR="007763BF" w:rsidRDefault="007763BF" w:rsidP="00064A70"/>
    <w:p w14:paraId="163341A1" w14:textId="77777777" w:rsidR="00592BB5" w:rsidRDefault="00943274" w:rsidP="00064A70">
      <w:r>
        <w:t>Under the previous ICR, a pilot test was conducted in Suffolk County, NY, and additional test data were collected in Denver, CO.  The Suffolk test found a re</w:t>
      </w:r>
      <w:r w:rsidR="00FE7EA0">
        <w:t>s</w:t>
      </w:r>
      <w:r>
        <w:t>ponse rate of about 85 perc</w:t>
      </w:r>
      <w:r w:rsidR="00FE7EA0">
        <w:t>ent</w:t>
      </w:r>
      <w:r>
        <w:t xml:space="preserve">, but the </w:t>
      </w:r>
      <w:r w:rsidR="00215F21">
        <w:t xml:space="preserve">response rate in the </w:t>
      </w:r>
      <w:r>
        <w:t xml:space="preserve">Denver test was lower.  Revisions have been made to the survey instrument </w:t>
      </w:r>
      <w:r w:rsidR="00FE7EA0">
        <w:t>since those pilots, and the indirect module (</w:t>
      </w:r>
      <w:r w:rsidR="0059361A">
        <w:t>Subgroup</w:t>
      </w:r>
      <w:r w:rsidR="00FE7EA0">
        <w:t xml:space="preserve"> 3) has been added.  Therefore</w:t>
      </w:r>
      <w:r w:rsidR="00215F21">
        <w:t>,</w:t>
      </w:r>
      <w:r w:rsidR="00FE7EA0">
        <w:t xml:space="preserve"> a new pilot will be conducted.  </w:t>
      </w:r>
      <w:r w:rsidR="00215F21">
        <w:t>The new pilot</w:t>
      </w:r>
      <w:r w:rsidR="00FE7EA0">
        <w:t xml:space="preserve"> will </w:t>
      </w:r>
      <w:r w:rsidR="003D3AB0">
        <w:t>assess</w:t>
      </w:r>
      <w:r w:rsidR="00215F21">
        <w:t>:</w:t>
      </w:r>
      <w:r w:rsidR="003D3AB0">
        <w:t xml:space="preserve"> </w:t>
      </w:r>
      <w:r w:rsidR="000909C1">
        <w:t>whether the training provided was adequate</w:t>
      </w:r>
      <w:r w:rsidR="003D3AB0">
        <w:t xml:space="preserve"> in conveying </w:t>
      </w:r>
      <w:r w:rsidR="000909C1">
        <w:t>team members their responsibilities</w:t>
      </w:r>
      <w:r w:rsidR="003D3AB0">
        <w:t>;</w:t>
      </w:r>
      <w:r w:rsidR="000909C1">
        <w:t xml:space="preserve"> </w:t>
      </w:r>
      <w:r w:rsidR="003D3AB0">
        <w:t>how</w:t>
      </w:r>
      <w:r w:rsidR="000909C1">
        <w:t xml:space="preserve"> survey procedures work in the field</w:t>
      </w:r>
      <w:r w:rsidR="00FE7EA0">
        <w:t xml:space="preserve">, including </w:t>
      </w:r>
      <w:r w:rsidR="0059361A">
        <w:t>Subgroup</w:t>
      </w:r>
      <w:r w:rsidR="00FE7EA0">
        <w:t xml:space="preserve"> 3 with the tire pressure taken;</w:t>
      </w:r>
      <w:r w:rsidR="003D3AB0">
        <w:t xml:space="preserve"> and whether</w:t>
      </w:r>
      <w:r w:rsidR="000909C1">
        <w:t xml:space="preserve"> the wording, question flow, formatting, and other characteristics of the draft forms work well.</w:t>
      </w:r>
      <w:r w:rsidR="003D3AB0">
        <w:t xml:space="preserve"> </w:t>
      </w:r>
      <w:r w:rsidR="00070138" w:rsidRPr="00CB7115">
        <w:t xml:space="preserve">This </w:t>
      </w:r>
      <w:r w:rsidR="0035723F">
        <w:t>pilot</w:t>
      </w:r>
      <w:r w:rsidR="0035723F" w:rsidRPr="00CB7115">
        <w:t xml:space="preserve"> </w:t>
      </w:r>
      <w:r w:rsidR="000D30D2">
        <w:t>is expected to</w:t>
      </w:r>
      <w:r w:rsidR="00070138" w:rsidRPr="00CB7115">
        <w:t xml:space="preserve"> help refine procedures, forms, and cooperation for the start of the full study.  Minor modifications to the data collection forms, as well as some changes in procedures</w:t>
      </w:r>
      <w:r w:rsidR="00215F21">
        <w:t>,</w:t>
      </w:r>
      <w:r w:rsidR="00070138" w:rsidRPr="00CB7115">
        <w:t xml:space="preserve"> may result. </w:t>
      </w:r>
    </w:p>
    <w:p w14:paraId="47697C6E" w14:textId="77777777" w:rsidR="00F740F4" w:rsidRDefault="00F740F4" w:rsidP="00AE5FB8"/>
    <w:p w14:paraId="34D7519E" w14:textId="77777777" w:rsidR="00BD7106" w:rsidRDefault="00BD7106" w:rsidP="00B051C9">
      <w:pPr>
        <w:widowControl w:val="0"/>
        <w:autoSpaceDE w:val="0"/>
        <w:autoSpaceDN w:val="0"/>
        <w:adjustRightInd w:val="0"/>
        <w:outlineLvl w:val="1"/>
        <w:rPr>
          <w:b/>
          <w:bCs/>
        </w:rPr>
      </w:pPr>
    </w:p>
    <w:p w14:paraId="4362E314" w14:textId="77777777" w:rsidR="00B051C9" w:rsidRPr="00AF59FD" w:rsidRDefault="00B051C9" w:rsidP="00B051C9">
      <w:pPr>
        <w:widowControl w:val="0"/>
        <w:autoSpaceDE w:val="0"/>
        <w:autoSpaceDN w:val="0"/>
        <w:adjustRightInd w:val="0"/>
        <w:outlineLvl w:val="1"/>
      </w:pPr>
      <w:bookmarkStart w:id="15" w:name="_Toc480558247"/>
      <w:r w:rsidRPr="00AF59FD">
        <w:rPr>
          <w:b/>
          <w:bCs/>
        </w:rPr>
        <w:t>B.5.</w:t>
      </w:r>
      <w:r w:rsidRPr="00AF59FD">
        <w:rPr>
          <w:b/>
          <w:bCs/>
        </w:rPr>
        <w:tab/>
      </w:r>
      <w:r w:rsidRPr="00AF59FD">
        <w:rPr>
          <w:b/>
        </w:rPr>
        <w:t>Provide the name and telephone number of individuals consulted on statistical aspects of the design and the name of the agency unit, contractor(s), grantee(s), or other person(s) who will actually collect and/or analyze the information for the agency</w:t>
      </w:r>
      <w:r w:rsidRPr="00AF59FD">
        <w:rPr>
          <w:b/>
          <w:bCs/>
        </w:rPr>
        <w:t>.</w:t>
      </w:r>
      <w:bookmarkEnd w:id="15"/>
    </w:p>
    <w:p w14:paraId="43AE5773" w14:textId="77777777" w:rsidR="00856D99" w:rsidRPr="00AF59FD" w:rsidRDefault="00856D99" w:rsidP="00B051C9">
      <w:pPr>
        <w:widowControl w:val="0"/>
        <w:autoSpaceDE w:val="0"/>
        <w:autoSpaceDN w:val="0"/>
        <w:adjustRightInd w:val="0"/>
      </w:pPr>
    </w:p>
    <w:p w14:paraId="125DA0CF" w14:textId="77777777" w:rsidR="00B051C9" w:rsidRDefault="00B051C9" w:rsidP="002854B6">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59FD">
        <w:t>Survey Design:</w:t>
      </w:r>
      <w:r w:rsidRPr="00AF59FD">
        <w:tab/>
      </w:r>
      <w:r>
        <w:tab/>
      </w:r>
      <w:r>
        <w:tab/>
        <w:t>John Kindelberger, NHTSA</w:t>
      </w:r>
      <w:r w:rsidR="00856D99">
        <w:t xml:space="preserve">, </w:t>
      </w:r>
      <w:r>
        <w:t>N</w:t>
      </w:r>
      <w:r w:rsidR="001D3442">
        <w:t>SA-310</w:t>
      </w:r>
      <w:r w:rsidR="00856D99">
        <w:t xml:space="preserve">, </w:t>
      </w:r>
      <w:r>
        <w:t>202.366.4696</w:t>
      </w:r>
    </w:p>
    <w:p w14:paraId="2CEEEA5C" w14:textId="77777777" w:rsidR="00856D99" w:rsidRDefault="00856D99" w:rsidP="00856D9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pPr>
      <w:r w:rsidRPr="000D2253">
        <w:t>Sean Puckett, NHTSA</w:t>
      </w:r>
      <w:r>
        <w:t xml:space="preserve">, </w:t>
      </w:r>
      <w:r w:rsidRPr="000D2253">
        <w:t>NSA-320</w:t>
      </w:r>
      <w:r>
        <w:t xml:space="preserve">, </w:t>
      </w:r>
      <w:r w:rsidRPr="000D2253">
        <w:t>202.366.8571</w:t>
      </w:r>
    </w:p>
    <w:p w14:paraId="64A197FF" w14:textId="77777777" w:rsidR="00E47889" w:rsidRPr="00AF59FD" w:rsidRDefault="00E4788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pPr>
      <w:r w:rsidRPr="00E47889">
        <w:t>Ronaldo Iachan</w:t>
      </w:r>
      <w:r>
        <w:t>, ICF</w:t>
      </w:r>
      <w:r w:rsidR="00856D99">
        <w:t>,</w:t>
      </w:r>
      <w:r w:rsidRPr="00AF59FD">
        <w:t xml:space="preserve"> </w:t>
      </w:r>
      <w:r>
        <w:t>802.264.3726</w:t>
      </w:r>
    </w:p>
    <w:p w14:paraId="265103E7" w14:textId="77777777" w:rsidR="00B051C9"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p>
    <w:p w14:paraId="0D0F8ED6" w14:textId="77777777" w:rsidR="00856D99" w:rsidRDefault="00B051C9" w:rsidP="00856D9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Data</w:t>
      </w:r>
      <w:r w:rsidRPr="00AF59FD">
        <w:t xml:space="preserve"> </w:t>
      </w:r>
      <w:r>
        <w:t>Analysis</w:t>
      </w:r>
      <w:r>
        <w:tab/>
      </w:r>
      <w:r>
        <w:tab/>
      </w:r>
      <w:r>
        <w:tab/>
      </w:r>
      <w:r>
        <w:tab/>
      </w:r>
      <w:r w:rsidR="00856D99">
        <w:t>John Kindelberger, NHTSA, NSA-310, 202.366.4696</w:t>
      </w:r>
    </w:p>
    <w:p w14:paraId="28E75A05" w14:textId="77777777" w:rsidR="00856D99" w:rsidRDefault="00856D99" w:rsidP="00856D9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pPr>
      <w:r w:rsidRPr="000D2253">
        <w:t>Sean Puckett, NHTSA</w:t>
      </w:r>
      <w:r>
        <w:t xml:space="preserve">, </w:t>
      </w:r>
      <w:r w:rsidRPr="000D2253">
        <w:t>NSA-320</w:t>
      </w:r>
      <w:r>
        <w:t xml:space="preserve">, </w:t>
      </w:r>
      <w:r w:rsidRPr="000D2253">
        <w:t>202.366.8571</w:t>
      </w:r>
    </w:p>
    <w:p w14:paraId="4E754716" w14:textId="77777777" w:rsidR="001D3442" w:rsidRPr="00AF59FD" w:rsidRDefault="001D3442" w:rsidP="00856D9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p>
    <w:p w14:paraId="0434E599" w14:textId="77777777" w:rsidR="00B051C9"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F59FD">
        <w:t xml:space="preserve">Data Collection </w:t>
      </w:r>
    </w:p>
    <w:p w14:paraId="7C58C072" w14:textId="77777777" w:rsidR="00B051C9" w:rsidRPr="00AF59FD"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tab/>
      </w:r>
      <w:r w:rsidRPr="00AF59FD">
        <w:t>Contractor:</w:t>
      </w:r>
      <w:r w:rsidRPr="00AF59FD">
        <w:tab/>
      </w:r>
      <w:r>
        <w:tab/>
      </w:r>
      <w:r w:rsidRPr="00AF59FD">
        <w:tab/>
      </w:r>
      <w:r>
        <w:t>ICF</w:t>
      </w:r>
      <w:r w:rsidRPr="00AF59FD">
        <w:t xml:space="preserve"> </w:t>
      </w:r>
      <w:r>
        <w:t>(802.264.3726)</w:t>
      </w:r>
    </w:p>
    <w:p w14:paraId="73DBD983" w14:textId="77777777" w:rsidR="00F125E0" w:rsidRDefault="00B051C9" w:rsidP="00B16A00">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tab/>
        <w:t>Sub-</w:t>
      </w:r>
      <w:r w:rsidRPr="00AF59FD">
        <w:t>Contractor</w:t>
      </w:r>
      <w:r>
        <w:t xml:space="preserve"> (to ICF)</w:t>
      </w:r>
      <w:r w:rsidRPr="00AF59FD">
        <w:t>:</w:t>
      </w:r>
      <w:r>
        <w:tab/>
      </w:r>
      <w:r w:rsidRPr="00AF59FD">
        <w:t>KLD Associates, Inc.</w:t>
      </w:r>
      <w:r w:rsidRPr="005A654F">
        <w:t xml:space="preserve"> </w:t>
      </w:r>
    </w:p>
    <w:sectPr w:rsidR="00F125E0" w:rsidSect="00536B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06B4A" w14:textId="77777777" w:rsidR="00E9126F" w:rsidRDefault="00E9126F" w:rsidP="0032175C">
      <w:r>
        <w:separator/>
      </w:r>
    </w:p>
  </w:endnote>
  <w:endnote w:type="continuationSeparator" w:id="0">
    <w:p w14:paraId="05262795" w14:textId="77777777" w:rsidR="00E9126F" w:rsidRDefault="00E9126F" w:rsidP="0032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655BB" w14:textId="77777777" w:rsidR="00E9126F" w:rsidRDefault="00E91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53A581" w14:textId="77777777" w:rsidR="00E9126F" w:rsidRDefault="00E91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48623" w14:textId="214B1BA4" w:rsidR="00E9126F" w:rsidRDefault="00E91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6E6">
      <w:rPr>
        <w:rStyle w:val="PageNumber"/>
        <w:noProof/>
      </w:rPr>
      <w:t>ii</w:t>
    </w:r>
    <w:r>
      <w:rPr>
        <w:rStyle w:val="PageNumber"/>
      </w:rPr>
      <w:fldChar w:fldCharType="end"/>
    </w:r>
  </w:p>
  <w:p w14:paraId="461AB129" w14:textId="77777777" w:rsidR="00E9126F" w:rsidRDefault="00E91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00568" w14:textId="77777777" w:rsidR="00E9126F" w:rsidRDefault="00E9126F" w:rsidP="0032175C">
      <w:r>
        <w:separator/>
      </w:r>
    </w:p>
  </w:footnote>
  <w:footnote w:type="continuationSeparator" w:id="0">
    <w:p w14:paraId="45D60D0D" w14:textId="77777777" w:rsidR="00E9126F" w:rsidRDefault="00E9126F" w:rsidP="0032175C">
      <w:r>
        <w:continuationSeparator/>
      </w:r>
    </w:p>
  </w:footnote>
  <w:footnote w:id="1">
    <w:p w14:paraId="42CE2E1D" w14:textId="52370000" w:rsidR="00E9126F" w:rsidRDefault="00E9126F" w:rsidP="0031762F">
      <w:pPr>
        <w:pStyle w:val="FootnoteText"/>
      </w:pPr>
      <w:r>
        <w:rPr>
          <w:rStyle w:val="FootnoteReference"/>
        </w:rPr>
        <w:footnoteRef/>
      </w:r>
      <w:r>
        <w:t xml:space="preserve"> </w:t>
      </w:r>
      <w:r w:rsidRPr="00F33F46">
        <w:t xml:space="preserve">Registered </w:t>
      </w:r>
      <w:r>
        <w:t>passenger vehicle</w:t>
      </w:r>
      <w:r w:rsidR="00CD4F81">
        <w:t xml:space="preserve"> counts</w:t>
      </w:r>
      <w:r w:rsidRPr="00F33F46">
        <w:t xml:space="preserve"> include</w:t>
      </w:r>
      <w:r w:rsidR="00CD4F81">
        <w:t>s</w:t>
      </w:r>
      <w:r w:rsidRPr="00F33F46">
        <w:t xml:space="preserve"> content furnished under license to the U.S. Department of Transportation, and subject to restrictions on disclosure, by R.L. Polk &amp; Co. Polk data are a foundation of IHS Markit automotive solutions; Copyright © R.L. Polk &amp; Co./IHS Markit automotive solutions, </w:t>
      </w:r>
      <w:r>
        <w:t>2017</w:t>
      </w:r>
      <w:r w:rsidRPr="00F33F46">
        <w:t>. All rights reserved.</w:t>
      </w:r>
    </w:p>
  </w:footnote>
  <w:footnote w:id="2">
    <w:p w14:paraId="7ACBF795" w14:textId="77777777" w:rsidR="00E9126F" w:rsidRDefault="00E9126F" w:rsidP="00E45ADA">
      <w:pPr>
        <w:pStyle w:val="FootnoteText"/>
      </w:pPr>
      <w:r>
        <w:rPr>
          <w:rStyle w:val="FootnoteReference"/>
        </w:rPr>
        <w:footnoteRef/>
      </w:r>
      <w:r>
        <w:t xml:space="preserve"> Sivinski, R. (2012, November). Evaluation of the effectiveness of TPMS in proper tire pressure</w:t>
      </w:r>
    </w:p>
    <w:p w14:paraId="7DE6024A" w14:textId="77777777" w:rsidR="00E9126F" w:rsidRDefault="00E9126F" w:rsidP="00E45ADA">
      <w:pPr>
        <w:pStyle w:val="FootnoteText"/>
      </w:pPr>
      <w:r>
        <w:t>maintenance. (Report No. DOT HS 811 681). Washington, DC: National Highway Traffic Safety</w:t>
      </w:r>
    </w:p>
    <w:p w14:paraId="7BF2D820" w14:textId="77777777" w:rsidR="00E9126F" w:rsidRDefault="00E9126F" w:rsidP="00E45ADA">
      <w:pPr>
        <w:pStyle w:val="FootnoteText"/>
      </w:pPr>
      <w:r>
        <w:t>Administration.</w:t>
      </w:r>
    </w:p>
  </w:footnote>
  <w:footnote w:id="3">
    <w:p w14:paraId="2E5A3E95" w14:textId="77777777" w:rsidR="00E9126F" w:rsidRDefault="00E9126F" w:rsidP="00E95BCA">
      <w:pPr>
        <w:pStyle w:val="FootnoteText"/>
      </w:pPr>
      <w:r>
        <w:rPr>
          <w:rStyle w:val="FootnoteReference"/>
        </w:rPr>
        <w:footnoteRef/>
      </w:r>
      <w:r>
        <w:t xml:space="preserve"> Note that equal probability sampling will facilitate the computation of the selection probabilities for the second ZIP.  If a ZIP lacks a feasibly near neighbor of other income group, then it will be replaced in the selection procedure.</w:t>
      </w:r>
    </w:p>
  </w:footnote>
  <w:footnote w:id="4">
    <w:p w14:paraId="571FB6D0" w14:textId="77777777" w:rsidR="00E9126F" w:rsidRDefault="00E9126F">
      <w:pPr>
        <w:pStyle w:val="FootnoteText"/>
      </w:pPr>
      <w:r>
        <w:rPr>
          <w:rStyle w:val="FootnoteReference"/>
        </w:rPr>
        <w:footnoteRef/>
      </w:r>
      <w:r>
        <w:t xml:space="preserve"> If a sample ZIP does not have two suitable stations, then it will be replaced in the selection procedure.</w:t>
      </w:r>
    </w:p>
  </w:footnote>
  <w:footnote w:id="5">
    <w:p w14:paraId="76B53DD9" w14:textId="77777777" w:rsidR="00E9126F" w:rsidRDefault="00E9126F">
      <w:pPr>
        <w:pStyle w:val="FootnoteText"/>
      </w:pPr>
      <w:r>
        <w:rPr>
          <w:rStyle w:val="FootnoteReference"/>
        </w:rPr>
        <w:footnoteRef/>
      </w:r>
      <w:r>
        <w:t xml:space="preserve"> </w:t>
      </w:r>
      <w:r w:rsidRPr="009A73CC">
        <w:t>Additionally, the PSU measures of size used in CISS have a heavy component (80 percent) based on crash counts, an indication of exposure that reflects true PSU traffic; therefore, PSU weights will help adjust for over-coverage or under-coverage due to drive-through</w:t>
      </w:r>
    </w:p>
  </w:footnote>
  <w:footnote w:id="6">
    <w:p w14:paraId="2212AA71" w14:textId="77777777" w:rsidR="00E9126F" w:rsidRDefault="00E9126F">
      <w:pPr>
        <w:pStyle w:val="FootnoteText"/>
      </w:pPr>
      <w:r>
        <w:rPr>
          <w:rStyle w:val="FootnoteReference"/>
        </w:rPr>
        <w:footnoteRef/>
      </w:r>
      <w:r>
        <w:t xml:space="preserve"> </w:t>
      </w:r>
      <w:r w:rsidRPr="00E45ADA">
        <w:t>Lehtonen, R. and Pahkinen, E. (2004). Practical Methods for Design and Analysis of Complex Surveys. Second Edition, John Wiley and Sons: Chichester, England.</w:t>
      </w:r>
    </w:p>
  </w:footnote>
  <w:footnote w:id="7">
    <w:p w14:paraId="41216739" w14:textId="60A93DEF" w:rsidR="00E9126F" w:rsidRDefault="00E9126F">
      <w:pPr>
        <w:pStyle w:val="FootnoteText"/>
      </w:pPr>
      <w:r>
        <w:rPr>
          <w:rStyle w:val="FootnoteReference"/>
        </w:rPr>
        <w:footnoteRef/>
      </w:r>
      <w:r>
        <w:t xml:space="preserve"> </w:t>
      </w:r>
      <w:r>
        <w:rPr>
          <w:w w:val="102"/>
        </w:rPr>
        <w:t>In Tables B-</w:t>
      </w:r>
      <w:r w:rsidR="00C455C9">
        <w:rPr>
          <w:w w:val="102"/>
        </w:rPr>
        <w:t xml:space="preserve">2 </w:t>
      </w:r>
      <w:r>
        <w:rPr>
          <w:w w:val="102"/>
        </w:rPr>
        <w:t>through B-</w:t>
      </w:r>
      <w:r w:rsidR="00C455C9">
        <w:rPr>
          <w:w w:val="102"/>
        </w:rPr>
        <w:t>4</w:t>
      </w:r>
      <w:r>
        <w:rPr>
          <w:w w:val="102"/>
        </w:rPr>
        <w:t>, some sums are slightly affected by rounding.</w:t>
      </w:r>
    </w:p>
  </w:footnote>
  <w:footnote w:id="8">
    <w:p w14:paraId="3981DC0F" w14:textId="77777777" w:rsidR="00E9126F" w:rsidRDefault="00E9126F" w:rsidP="00D403A2">
      <w:pPr>
        <w:pStyle w:val="FootnoteText"/>
      </w:pPr>
      <w:r>
        <w:rPr>
          <w:rStyle w:val="FootnoteReference"/>
        </w:rPr>
        <w:footnoteRef/>
      </w:r>
      <w:r>
        <w:t xml:space="preserve"> </w:t>
      </w:r>
      <w:hyperlink r:id="rId1" w:history="1">
        <w:r w:rsidRPr="001C65B8">
          <w:rPr>
            <w:rStyle w:val="Hyperlink"/>
          </w:rPr>
          <w:t>http://powerandsamplesize.com/Calculators/</w:t>
        </w:r>
      </w:hyperlink>
    </w:p>
  </w:footnote>
  <w:footnote w:id="9">
    <w:p w14:paraId="45E409EF" w14:textId="484F5A28" w:rsidR="00E9126F" w:rsidRDefault="00E9126F">
      <w:pPr>
        <w:pStyle w:val="FootnoteText"/>
      </w:pPr>
      <w:r>
        <w:rPr>
          <w:rStyle w:val="FootnoteReference"/>
        </w:rPr>
        <w:footnoteRef/>
      </w:r>
      <w:r>
        <w:t xml:space="preserve"> </w:t>
      </w:r>
      <w:r w:rsidRPr="00E73FE7">
        <w:t>Based on production and sales figures, we estimate that about 5-6 percent of passenger vehicles in model years 2009-201</w:t>
      </w:r>
      <w:r w:rsidR="00CD4F81">
        <w:t>6</w:t>
      </w:r>
      <w:r w:rsidRPr="00E73FE7">
        <w:t xml:space="preserve"> have indirect TPMS (no compliant indirect systems existed prior to model year 2009).  Our expected sample size for years 2009-201</w:t>
      </w:r>
      <w:r w:rsidR="00CD4F81">
        <w:t>6</w:t>
      </w:r>
      <w:r w:rsidRPr="00E73FE7">
        <w:t xml:space="preserve"> is 5,980; </w:t>
      </w:r>
      <w:r>
        <w:t xml:space="preserve">thus </w:t>
      </w:r>
      <w:r w:rsidRPr="00E73FE7">
        <w:t>we expect an indirect sample size of about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5301" w14:textId="77777777" w:rsidR="00E9126F" w:rsidRDefault="00E9126F" w:rsidP="00B051C9">
    <w:pPr>
      <w:pStyle w:val="Header"/>
    </w:pPr>
    <w:r>
      <w:t>Part B for NHTSA revised ICR for TPMS-ORRC Field Survey</w:t>
    </w:r>
  </w:p>
  <w:p w14:paraId="2A223B0F" w14:textId="77777777" w:rsidR="00E9126F" w:rsidRDefault="00E91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4122"/>
    <w:multiLevelType w:val="hybridMultilevel"/>
    <w:tmpl w:val="EFE0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621D9"/>
    <w:multiLevelType w:val="hybridMultilevel"/>
    <w:tmpl w:val="6C509A50"/>
    <w:lvl w:ilvl="0" w:tplc="01FA1E62">
      <w:start w:val="1"/>
      <w:numFmt w:val="bullet"/>
      <w:lvlText w:val=""/>
      <w:lvlJc w:val="left"/>
      <w:pPr>
        <w:ind w:left="57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B37D3"/>
    <w:multiLevelType w:val="hybridMultilevel"/>
    <w:tmpl w:val="7CEA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F27F0"/>
    <w:multiLevelType w:val="hybridMultilevel"/>
    <w:tmpl w:val="9CB0A430"/>
    <w:lvl w:ilvl="0" w:tplc="0CAED86C">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80D1A"/>
    <w:multiLevelType w:val="hybridMultilevel"/>
    <w:tmpl w:val="9036E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4B57615"/>
    <w:multiLevelType w:val="hybridMultilevel"/>
    <w:tmpl w:val="CB702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F7960C4"/>
    <w:multiLevelType w:val="hybridMultilevel"/>
    <w:tmpl w:val="F9EA319A"/>
    <w:lvl w:ilvl="0" w:tplc="E084AE2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E5453E0"/>
    <w:multiLevelType w:val="hybridMultilevel"/>
    <w:tmpl w:val="F5E8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E85338"/>
    <w:multiLevelType w:val="hybridMultilevel"/>
    <w:tmpl w:val="91E4583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4D65813"/>
    <w:multiLevelType w:val="hybridMultilevel"/>
    <w:tmpl w:val="69461518"/>
    <w:lvl w:ilvl="0" w:tplc="5D26D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4A6742"/>
    <w:multiLevelType w:val="hybridMultilevel"/>
    <w:tmpl w:val="5ACA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6166A2"/>
    <w:multiLevelType w:val="hybridMultilevel"/>
    <w:tmpl w:val="54AA6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C311D56"/>
    <w:multiLevelType w:val="hybridMultilevel"/>
    <w:tmpl w:val="600A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F5847"/>
    <w:multiLevelType w:val="hybridMultilevel"/>
    <w:tmpl w:val="CD688D8C"/>
    <w:lvl w:ilvl="0" w:tplc="709468DA">
      <w:start w:val="1"/>
      <w:numFmt w:val="bullet"/>
      <w:lvlText w:val=""/>
      <w:lvlJc w:val="left"/>
      <w:pPr>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5A5C20"/>
    <w:multiLevelType w:val="hybridMultilevel"/>
    <w:tmpl w:val="F6CC956E"/>
    <w:lvl w:ilvl="0" w:tplc="0409000F">
      <w:start w:val="1"/>
      <w:numFmt w:val="decimal"/>
      <w:lvlText w:val="%1."/>
      <w:lvlJc w:val="left"/>
      <w:pPr>
        <w:ind w:left="853" w:hanging="360"/>
      </w:p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15">
    <w:nsid w:val="68567041"/>
    <w:multiLevelType w:val="hybridMultilevel"/>
    <w:tmpl w:val="769836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DC8676C"/>
    <w:multiLevelType w:val="hybridMultilevel"/>
    <w:tmpl w:val="E092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B722BB"/>
    <w:multiLevelType w:val="hybridMultilevel"/>
    <w:tmpl w:val="4AFAB8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6F32449"/>
    <w:multiLevelType w:val="hybridMultilevel"/>
    <w:tmpl w:val="722EF044"/>
    <w:lvl w:ilvl="0" w:tplc="C680B5D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4924EB"/>
    <w:multiLevelType w:val="hybridMultilevel"/>
    <w:tmpl w:val="0022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7"/>
  </w:num>
  <w:num w:numId="7">
    <w:abstractNumId w:val="16"/>
  </w:num>
  <w:num w:numId="8">
    <w:abstractNumId w:val="15"/>
  </w:num>
  <w:num w:numId="9">
    <w:abstractNumId w:val="12"/>
  </w:num>
  <w:num w:numId="10">
    <w:abstractNumId w:val="10"/>
  </w:num>
  <w:num w:numId="11">
    <w:abstractNumId w:val="19"/>
  </w:num>
  <w:num w:numId="12">
    <w:abstractNumId w:val="14"/>
  </w:num>
  <w:num w:numId="13">
    <w:abstractNumId w:val="2"/>
  </w:num>
  <w:num w:numId="14">
    <w:abstractNumId w:val="11"/>
  </w:num>
  <w:num w:numId="15">
    <w:abstractNumId w:val="3"/>
  </w:num>
  <w:num w:numId="16">
    <w:abstractNumId w:val="5"/>
  </w:num>
  <w:num w:numId="17">
    <w:abstractNumId w:val="17"/>
  </w:num>
  <w:num w:numId="18">
    <w:abstractNumId w:val="8"/>
  </w:num>
  <w:num w:numId="19">
    <w:abstractNumId w:val="1"/>
  </w:num>
  <w:num w:numId="20">
    <w:abstractNumId w:val="13"/>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75C"/>
    <w:rsid w:val="000005ED"/>
    <w:rsid w:val="00000B5C"/>
    <w:rsid w:val="000118F3"/>
    <w:rsid w:val="0001353F"/>
    <w:rsid w:val="000135D4"/>
    <w:rsid w:val="0001570E"/>
    <w:rsid w:val="00015C7B"/>
    <w:rsid w:val="00043AED"/>
    <w:rsid w:val="00051CA2"/>
    <w:rsid w:val="00053DDA"/>
    <w:rsid w:val="00057241"/>
    <w:rsid w:val="00063BC6"/>
    <w:rsid w:val="00063D8B"/>
    <w:rsid w:val="00064A70"/>
    <w:rsid w:val="000653F5"/>
    <w:rsid w:val="00070138"/>
    <w:rsid w:val="00073E27"/>
    <w:rsid w:val="00073E9C"/>
    <w:rsid w:val="000746EE"/>
    <w:rsid w:val="00074DCF"/>
    <w:rsid w:val="00076638"/>
    <w:rsid w:val="000811DC"/>
    <w:rsid w:val="00082A21"/>
    <w:rsid w:val="00083784"/>
    <w:rsid w:val="000854D0"/>
    <w:rsid w:val="0008643C"/>
    <w:rsid w:val="000909C1"/>
    <w:rsid w:val="00091F6C"/>
    <w:rsid w:val="00092431"/>
    <w:rsid w:val="00094521"/>
    <w:rsid w:val="00094806"/>
    <w:rsid w:val="000956C8"/>
    <w:rsid w:val="000969F6"/>
    <w:rsid w:val="00096F8E"/>
    <w:rsid w:val="00096FC7"/>
    <w:rsid w:val="000A0007"/>
    <w:rsid w:val="000A047B"/>
    <w:rsid w:val="000A5A88"/>
    <w:rsid w:val="000A5D37"/>
    <w:rsid w:val="000A78CE"/>
    <w:rsid w:val="000B1C20"/>
    <w:rsid w:val="000B2A2C"/>
    <w:rsid w:val="000B2DF3"/>
    <w:rsid w:val="000B65AD"/>
    <w:rsid w:val="000B6BEE"/>
    <w:rsid w:val="000B6E47"/>
    <w:rsid w:val="000C0658"/>
    <w:rsid w:val="000C096D"/>
    <w:rsid w:val="000C3C0A"/>
    <w:rsid w:val="000C6C75"/>
    <w:rsid w:val="000D1059"/>
    <w:rsid w:val="000D16EA"/>
    <w:rsid w:val="000D2253"/>
    <w:rsid w:val="000D30D2"/>
    <w:rsid w:val="000D3383"/>
    <w:rsid w:val="000D4C33"/>
    <w:rsid w:val="000D70EA"/>
    <w:rsid w:val="000D7616"/>
    <w:rsid w:val="000D795A"/>
    <w:rsid w:val="000E037E"/>
    <w:rsid w:val="000E1473"/>
    <w:rsid w:val="000F0F47"/>
    <w:rsid w:val="000F0FC7"/>
    <w:rsid w:val="000F75BD"/>
    <w:rsid w:val="00101307"/>
    <w:rsid w:val="00103F05"/>
    <w:rsid w:val="00105A01"/>
    <w:rsid w:val="0010708A"/>
    <w:rsid w:val="001076FF"/>
    <w:rsid w:val="001117B1"/>
    <w:rsid w:val="00114E86"/>
    <w:rsid w:val="001161C6"/>
    <w:rsid w:val="001218BB"/>
    <w:rsid w:val="001240DC"/>
    <w:rsid w:val="00133120"/>
    <w:rsid w:val="00133B13"/>
    <w:rsid w:val="001375DF"/>
    <w:rsid w:val="00141072"/>
    <w:rsid w:val="00142BEF"/>
    <w:rsid w:val="00145B09"/>
    <w:rsid w:val="00146CDF"/>
    <w:rsid w:val="0015316D"/>
    <w:rsid w:val="0015544D"/>
    <w:rsid w:val="00157CAC"/>
    <w:rsid w:val="00157E0F"/>
    <w:rsid w:val="00160C8C"/>
    <w:rsid w:val="0016103C"/>
    <w:rsid w:val="001622A8"/>
    <w:rsid w:val="00166EB6"/>
    <w:rsid w:val="00167ADB"/>
    <w:rsid w:val="0017048E"/>
    <w:rsid w:val="00172277"/>
    <w:rsid w:val="001864A9"/>
    <w:rsid w:val="00186F93"/>
    <w:rsid w:val="00187B2E"/>
    <w:rsid w:val="0019217A"/>
    <w:rsid w:val="00193FEA"/>
    <w:rsid w:val="00194E4C"/>
    <w:rsid w:val="0019652D"/>
    <w:rsid w:val="00197B1F"/>
    <w:rsid w:val="00197C7E"/>
    <w:rsid w:val="001A6668"/>
    <w:rsid w:val="001A71A8"/>
    <w:rsid w:val="001A7A05"/>
    <w:rsid w:val="001B0D19"/>
    <w:rsid w:val="001B162A"/>
    <w:rsid w:val="001B4158"/>
    <w:rsid w:val="001B6E94"/>
    <w:rsid w:val="001C0D86"/>
    <w:rsid w:val="001C1DEA"/>
    <w:rsid w:val="001C1E09"/>
    <w:rsid w:val="001C5C54"/>
    <w:rsid w:val="001C5E04"/>
    <w:rsid w:val="001C7215"/>
    <w:rsid w:val="001D119A"/>
    <w:rsid w:val="001D1631"/>
    <w:rsid w:val="001D1AAB"/>
    <w:rsid w:val="001D3442"/>
    <w:rsid w:val="001D3870"/>
    <w:rsid w:val="001D535D"/>
    <w:rsid w:val="001E113C"/>
    <w:rsid w:val="001E1E43"/>
    <w:rsid w:val="001E3924"/>
    <w:rsid w:val="001E4CD4"/>
    <w:rsid w:val="001E5D50"/>
    <w:rsid w:val="001E7A19"/>
    <w:rsid w:val="001F03A9"/>
    <w:rsid w:val="001F0CB5"/>
    <w:rsid w:val="001F38AC"/>
    <w:rsid w:val="001F4839"/>
    <w:rsid w:val="001F52A7"/>
    <w:rsid w:val="001F6FFA"/>
    <w:rsid w:val="001F73F9"/>
    <w:rsid w:val="00201762"/>
    <w:rsid w:val="002029B4"/>
    <w:rsid w:val="00207A55"/>
    <w:rsid w:val="00213459"/>
    <w:rsid w:val="00215F21"/>
    <w:rsid w:val="00216AAF"/>
    <w:rsid w:val="00216C6D"/>
    <w:rsid w:val="002217C1"/>
    <w:rsid w:val="0022315E"/>
    <w:rsid w:val="00223181"/>
    <w:rsid w:val="00223B30"/>
    <w:rsid w:val="00224C87"/>
    <w:rsid w:val="0022711B"/>
    <w:rsid w:val="00233EED"/>
    <w:rsid w:val="00234F2E"/>
    <w:rsid w:val="00235037"/>
    <w:rsid w:val="00237F6F"/>
    <w:rsid w:val="0024050E"/>
    <w:rsid w:val="00240B6C"/>
    <w:rsid w:val="00245975"/>
    <w:rsid w:val="00250A77"/>
    <w:rsid w:val="00260B9E"/>
    <w:rsid w:val="00261A86"/>
    <w:rsid w:val="00261E67"/>
    <w:rsid w:val="00262BE6"/>
    <w:rsid w:val="002644EB"/>
    <w:rsid w:val="00270675"/>
    <w:rsid w:val="00271E24"/>
    <w:rsid w:val="002825D1"/>
    <w:rsid w:val="002854B6"/>
    <w:rsid w:val="00287C4A"/>
    <w:rsid w:val="00292E10"/>
    <w:rsid w:val="00293181"/>
    <w:rsid w:val="00293360"/>
    <w:rsid w:val="00297A6E"/>
    <w:rsid w:val="002A2BDA"/>
    <w:rsid w:val="002A4A4F"/>
    <w:rsid w:val="002A50C4"/>
    <w:rsid w:val="002A7897"/>
    <w:rsid w:val="002B04C3"/>
    <w:rsid w:val="002B21F4"/>
    <w:rsid w:val="002B254B"/>
    <w:rsid w:val="002C4F98"/>
    <w:rsid w:val="002C53AE"/>
    <w:rsid w:val="002C684F"/>
    <w:rsid w:val="002D3999"/>
    <w:rsid w:val="002E2B68"/>
    <w:rsid w:val="002E3516"/>
    <w:rsid w:val="002E4AC4"/>
    <w:rsid w:val="002E4C86"/>
    <w:rsid w:val="002E4E69"/>
    <w:rsid w:val="002E5D1E"/>
    <w:rsid w:val="002E7B85"/>
    <w:rsid w:val="002F5A4C"/>
    <w:rsid w:val="00301D9C"/>
    <w:rsid w:val="003023A8"/>
    <w:rsid w:val="00304AE5"/>
    <w:rsid w:val="00304FA5"/>
    <w:rsid w:val="00305DCE"/>
    <w:rsid w:val="00306FBC"/>
    <w:rsid w:val="003104B3"/>
    <w:rsid w:val="00310536"/>
    <w:rsid w:val="00317131"/>
    <w:rsid w:val="0031762F"/>
    <w:rsid w:val="0032175C"/>
    <w:rsid w:val="00323DD1"/>
    <w:rsid w:val="00325707"/>
    <w:rsid w:val="003306D7"/>
    <w:rsid w:val="00330F5D"/>
    <w:rsid w:val="00334B8C"/>
    <w:rsid w:val="00334CAA"/>
    <w:rsid w:val="00336A9A"/>
    <w:rsid w:val="00337FA9"/>
    <w:rsid w:val="00342FEE"/>
    <w:rsid w:val="00343926"/>
    <w:rsid w:val="00351806"/>
    <w:rsid w:val="003519C4"/>
    <w:rsid w:val="00352B33"/>
    <w:rsid w:val="003542C4"/>
    <w:rsid w:val="0035723F"/>
    <w:rsid w:val="00361041"/>
    <w:rsid w:val="0036131D"/>
    <w:rsid w:val="00365CAA"/>
    <w:rsid w:val="0036623D"/>
    <w:rsid w:val="00372159"/>
    <w:rsid w:val="00376EAA"/>
    <w:rsid w:val="00376F88"/>
    <w:rsid w:val="00377571"/>
    <w:rsid w:val="00383BEE"/>
    <w:rsid w:val="003858D2"/>
    <w:rsid w:val="00385DC7"/>
    <w:rsid w:val="00386BC8"/>
    <w:rsid w:val="00386E60"/>
    <w:rsid w:val="00390693"/>
    <w:rsid w:val="00392810"/>
    <w:rsid w:val="003936E6"/>
    <w:rsid w:val="00394E3D"/>
    <w:rsid w:val="00396374"/>
    <w:rsid w:val="003B03A6"/>
    <w:rsid w:val="003B3599"/>
    <w:rsid w:val="003B7E72"/>
    <w:rsid w:val="003C1E63"/>
    <w:rsid w:val="003C2EEB"/>
    <w:rsid w:val="003C3DDC"/>
    <w:rsid w:val="003D1209"/>
    <w:rsid w:val="003D1211"/>
    <w:rsid w:val="003D3AB0"/>
    <w:rsid w:val="003D3ABD"/>
    <w:rsid w:val="003E1020"/>
    <w:rsid w:val="003E416E"/>
    <w:rsid w:val="003E6B2C"/>
    <w:rsid w:val="003F3123"/>
    <w:rsid w:val="003F321D"/>
    <w:rsid w:val="003F4B39"/>
    <w:rsid w:val="003F7B03"/>
    <w:rsid w:val="00404B4C"/>
    <w:rsid w:val="00405439"/>
    <w:rsid w:val="00406786"/>
    <w:rsid w:val="004149D6"/>
    <w:rsid w:val="00414AD3"/>
    <w:rsid w:val="00420819"/>
    <w:rsid w:val="0042371B"/>
    <w:rsid w:val="00425044"/>
    <w:rsid w:val="00425405"/>
    <w:rsid w:val="004255CC"/>
    <w:rsid w:val="00431577"/>
    <w:rsid w:val="00432727"/>
    <w:rsid w:val="00436F51"/>
    <w:rsid w:val="0043790C"/>
    <w:rsid w:val="00440DA6"/>
    <w:rsid w:val="00440E6B"/>
    <w:rsid w:val="00441C52"/>
    <w:rsid w:val="004557CA"/>
    <w:rsid w:val="004600FC"/>
    <w:rsid w:val="00460E7A"/>
    <w:rsid w:val="00461723"/>
    <w:rsid w:val="00462AC9"/>
    <w:rsid w:val="00467FC2"/>
    <w:rsid w:val="004707E1"/>
    <w:rsid w:val="00470FA7"/>
    <w:rsid w:val="004715C2"/>
    <w:rsid w:val="00480093"/>
    <w:rsid w:val="00480C7C"/>
    <w:rsid w:val="00483A1D"/>
    <w:rsid w:val="004849F1"/>
    <w:rsid w:val="004903C8"/>
    <w:rsid w:val="00490674"/>
    <w:rsid w:val="00494366"/>
    <w:rsid w:val="004A179C"/>
    <w:rsid w:val="004A45F3"/>
    <w:rsid w:val="004B4489"/>
    <w:rsid w:val="004B4906"/>
    <w:rsid w:val="004B492E"/>
    <w:rsid w:val="004B5F61"/>
    <w:rsid w:val="004B6525"/>
    <w:rsid w:val="004B66A8"/>
    <w:rsid w:val="004B6FE4"/>
    <w:rsid w:val="004B7F13"/>
    <w:rsid w:val="004C0030"/>
    <w:rsid w:val="004D3296"/>
    <w:rsid w:val="004E0EAD"/>
    <w:rsid w:val="004E24CA"/>
    <w:rsid w:val="004E47C7"/>
    <w:rsid w:val="004E51B7"/>
    <w:rsid w:val="004E6452"/>
    <w:rsid w:val="004E7908"/>
    <w:rsid w:val="004F22EE"/>
    <w:rsid w:val="004F24CC"/>
    <w:rsid w:val="004F2CDF"/>
    <w:rsid w:val="004F3413"/>
    <w:rsid w:val="004F4009"/>
    <w:rsid w:val="004F6CFE"/>
    <w:rsid w:val="005017A0"/>
    <w:rsid w:val="00506FC0"/>
    <w:rsid w:val="00511077"/>
    <w:rsid w:val="00514E1A"/>
    <w:rsid w:val="0052155F"/>
    <w:rsid w:val="00521F5A"/>
    <w:rsid w:val="00524EC9"/>
    <w:rsid w:val="005259D3"/>
    <w:rsid w:val="00527E79"/>
    <w:rsid w:val="00533A46"/>
    <w:rsid w:val="005341D2"/>
    <w:rsid w:val="005344A7"/>
    <w:rsid w:val="00536B6C"/>
    <w:rsid w:val="00537ED0"/>
    <w:rsid w:val="0054167A"/>
    <w:rsid w:val="0054329F"/>
    <w:rsid w:val="00545DDA"/>
    <w:rsid w:val="005475AE"/>
    <w:rsid w:val="005501D7"/>
    <w:rsid w:val="0055426E"/>
    <w:rsid w:val="005572F3"/>
    <w:rsid w:val="0056037C"/>
    <w:rsid w:val="005613CE"/>
    <w:rsid w:val="00562826"/>
    <w:rsid w:val="00563372"/>
    <w:rsid w:val="00563765"/>
    <w:rsid w:val="00564021"/>
    <w:rsid w:val="0056438C"/>
    <w:rsid w:val="0057271E"/>
    <w:rsid w:val="005764E7"/>
    <w:rsid w:val="005815C0"/>
    <w:rsid w:val="0058283C"/>
    <w:rsid w:val="005839FD"/>
    <w:rsid w:val="00584E3E"/>
    <w:rsid w:val="005874ED"/>
    <w:rsid w:val="005903E8"/>
    <w:rsid w:val="00590A42"/>
    <w:rsid w:val="00592BB5"/>
    <w:rsid w:val="0059361A"/>
    <w:rsid w:val="00595CF0"/>
    <w:rsid w:val="005A097A"/>
    <w:rsid w:val="005A1A64"/>
    <w:rsid w:val="005A2527"/>
    <w:rsid w:val="005A5A93"/>
    <w:rsid w:val="005B44B7"/>
    <w:rsid w:val="005B4EC4"/>
    <w:rsid w:val="005C2B91"/>
    <w:rsid w:val="005D1423"/>
    <w:rsid w:val="005D1A38"/>
    <w:rsid w:val="005E4040"/>
    <w:rsid w:val="005E6CDF"/>
    <w:rsid w:val="005E7A05"/>
    <w:rsid w:val="005F3164"/>
    <w:rsid w:val="005F4392"/>
    <w:rsid w:val="005F456E"/>
    <w:rsid w:val="00600BCD"/>
    <w:rsid w:val="00603CEE"/>
    <w:rsid w:val="00604030"/>
    <w:rsid w:val="0060425E"/>
    <w:rsid w:val="00605250"/>
    <w:rsid w:val="00605E3D"/>
    <w:rsid w:val="00607415"/>
    <w:rsid w:val="00607467"/>
    <w:rsid w:val="00611300"/>
    <w:rsid w:val="0061626A"/>
    <w:rsid w:val="00621999"/>
    <w:rsid w:val="00626050"/>
    <w:rsid w:val="0062648E"/>
    <w:rsid w:val="0062747B"/>
    <w:rsid w:val="00631A01"/>
    <w:rsid w:val="00632DCA"/>
    <w:rsid w:val="00637C3A"/>
    <w:rsid w:val="00640307"/>
    <w:rsid w:val="0064156A"/>
    <w:rsid w:val="00643AD7"/>
    <w:rsid w:val="00643DA5"/>
    <w:rsid w:val="006448C1"/>
    <w:rsid w:val="00652318"/>
    <w:rsid w:val="00652AE5"/>
    <w:rsid w:val="006558CB"/>
    <w:rsid w:val="00665E64"/>
    <w:rsid w:val="00666A87"/>
    <w:rsid w:val="0067004D"/>
    <w:rsid w:val="006724A3"/>
    <w:rsid w:val="006773FF"/>
    <w:rsid w:val="00677809"/>
    <w:rsid w:val="00680BC0"/>
    <w:rsid w:val="00686BB5"/>
    <w:rsid w:val="00690DD4"/>
    <w:rsid w:val="00695A0E"/>
    <w:rsid w:val="00696386"/>
    <w:rsid w:val="00697FC8"/>
    <w:rsid w:val="006A00E0"/>
    <w:rsid w:val="006A0F15"/>
    <w:rsid w:val="006A5C76"/>
    <w:rsid w:val="006A76AF"/>
    <w:rsid w:val="006B185E"/>
    <w:rsid w:val="006C0A13"/>
    <w:rsid w:val="006C1BBE"/>
    <w:rsid w:val="006C4192"/>
    <w:rsid w:val="006C616E"/>
    <w:rsid w:val="006D2CA3"/>
    <w:rsid w:val="006D6344"/>
    <w:rsid w:val="006D6560"/>
    <w:rsid w:val="006E11F1"/>
    <w:rsid w:val="006E3B1E"/>
    <w:rsid w:val="006E57DF"/>
    <w:rsid w:val="006E7114"/>
    <w:rsid w:val="006E7CE1"/>
    <w:rsid w:val="006F46AE"/>
    <w:rsid w:val="006F4B57"/>
    <w:rsid w:val="006F683B"/>
    <w:rsid w:val="006F7465"/>
    <w:rsid w:val="007012FA"/>
    <w:rsid w:val="00704D5F"/>
    <w:rsid w:val="007068FC"/>
    <w:rsid w:val="00710DB3"/>
    <w:rsid w:val="00711A14"/>
    <w:rsid w:val="00713D0A"/>
    <w:rsid w:val="00714091"/>
    <w:rsid w:val="0071676E"/>
    <w:rsid w:val="007167EC"/>
    <w:rsid w:val="00721F1C"/>
    <w:rsid w:val="00723F80"/>
    <w:rsid w:val="00724E81"/>
    <w:rsid w:val="00725F14"/>
    <w:rsid w:val="00726699"/>
    <w:rsid w:val="00727D58"/>
    <w:rsid w:val="007339C7"/>
    <w:rsid w:val="00734884"/>
    <w:rsid w:val="00737180"/>
    <w:rsid w:val="0073760F"/>
    <w:rsid w:val="00737DD4"/>
    <w:rsid w:val="00741FC0"/>
    <w:rsid w:val="00744A5F"/>
    <w:rsid w:val="00744B6E"/>
    <w:rsid w:val="00747BEA"/>
    <w:rsid w:val="00751774"/>
    <w:rsid w:val="00757240"/>
    <w:rsid w:val="00757321"/>
    <w:rsid w:val="00757BB9"/>
    <w:rsid w:val="00760119"/>
    <w:rsid w:val="007603AB"/>
    <w:rsid w:val="00760CEB"/>
    <w:rsid w:val="00760E37"/>
    <w:rsid w:val="00761545"/>
    <w:rsid w:val="00761D97"/>
    <w:rsid w:val="00762E42"/>
    <w:rsid w:val="007647C8"/>
    <w:rsid w:val="0076727D"/>
    <w:rsid w:val="00771596"/>
    <w:rsid w:val="00772E84"/>
    <w:rsid w:val="007731D5"/>
    <w:rsid w:val="007731F0"/>
    <w:rsid w:val="0077553E"/>
    <w:rsid w:val="00775905"/>
    <w:rsid w:val="007763BF"/>
    <w:rsid w:val="0077686D"/>
    <w:rsid w:val="00777DF4"/>
    <w:rsid w:val="00780E79"/>
    <w:rsid w:val="0079173D"/>
    <w:rsid w:val="00791FAF"/>
    <w:rsid w:val="0079452F"/>
    <w:rsid w:val="00794D0B"/>
    <w:rsid w:val="00795086"/>
    <w:rsid w:val="00795632"/>
    <w:rsid w:val="007A0B96"/>
    <w:rsid w:val="007A0C06"/>
    <w:rsid w:val="007A2A0B"/>
    <w:rsid w:val="007A44B6"/>
    <w:rsid w:val="007B0AE3"/>
    <w:rsid w:val="007B2865"/>
    <w:rsid w:val="007B3EB2"/>
    <w:rsid w:val="007C036E"/>
    <w:rsid w:val="007C1A95"/>
    <w:rsid w:val="007C4789"/>
    <w:rsid w:val="007D1F3B"/>
    <w:rsid w:val="007D53C0"/>
    <w:rsid w:val="007E644D"/>
    <w:rsid w:val="007F1829"/>
    <w:rsid w:val="007F1AAA"/>
    <w:rsid w:val="007F29D1"/>
    <w:rsid w:val="007F64C3"/>
    <w:rsid w:val="007F6C4F"/>
    <w:rsid w:val="007F7C3E"/>
    <w:rsid w:val="00805F70"/>
    <w:rsid w:val="008107BB"/>
    <w:rsid w:val="0081102F"/>
    <w:rsid w:val="0081139F"/>
    <w:rsid w:val="0081270C"/>
    <w:rsid w:val="00814314"/>
    <w:rsid w:val="0081613E"/>
    <w:rsid w:val="00816471"/>
    <w:rsid w:val="00822A09"/>
    <w:rsid w:val="008232C9"/>
    <w:rsid w:val="00824241"/>
    <w:rsid w:val="00831D66"/>
    <w:rsid w:val="00831E99"/>
    <w:rsid w:val="008340F0"/>
    <w:rsid w:val="008352B4"/>
    <w:rsid w:val="00837252"/>
    <w:rsid w:val="008456FB"/>
    <w:rsid w:val="00846C23"/>
    <w:rsid w:val="0084779C"/>
    <w:rsid w:val="0085153A"/>
    <w:rsid w:val="00853BDE"/>
    <w:rsid w:val="00856D99"/>
    <w:rsid w:val="008612FC"/>
    <w:rsid w:val="008618A3"/>
    <w:rsid w:val="00862BE5"/>
    <w:rsid w:val="008631B9"/>
    <w:rsid w:val="00863EAC"/>
    <w:rsid w:val="00864F55"/>
    <w:rsid w:val="00865850"/>
    <w:rsid w:val="0088069C"/>
    <w:rsid w:val="00882C44"/>
    <w:rsid w:val="00883A1D"/>
    <w:rsid w:val="0088682F"/>
    <w:rsid w:val="008A1043"/>
    <w:rsid w:val="008A2AC6"/>
    <w:rsid w:val="008A30B2"/>
    <w:rsid w:val="008A3B05"/>
    <w:rsid w:val="008A3C18"/>
    <w:rsid w:val="008A71FE"/>
    <w:rsid w:val="008B1EEA"/>
    <w:rsid w:val="008B35CC"/>
    <w:rsid w:val="008B3963"/>
    <w:rsid w:val="008B4E82"/>
    <w:rsid w:val="008B5089"/>
    <w:rsid w:val="008B6852"/>
    <w:rsid w:val="008B79FD"/>
    <w:rsid w:val="008C11A5"/>
    <w:rsid w:val="008C159B"/>
    <w:rsid w:val="008C3BAF"/>
    <w:rsid w:val="008C4045"/>
    <w:rsid w:val="008D09B9"/>
    <w:rsid w:val="008D3DDD"/>
    <w:rsid w:val="008D6BE9"/>
    <w:rsid w:val="008D7507"/>
    <w:rsid w:val="008D76D4"/>
    <w:rsid w:val="008E022F"/>
    <w:rsid w:val="008E1248"/>
    <w:rsid w:val="008E2883"/>
    <w:rsid w:val="008E4351"/>
    <w:rsid w:val="008E4E56"/>
    <w:rsid w:val="008E6930"/>
    <w:rsid w:val="008E7718"/>
    <w:rsid w:val="008F3927"/>
    <w:rsid w:val="008F636E"/>
    <w:rsid w:val="00910703"/>
    <w:rsid w:val="00912237"/>
    <w:rsid w:val="009138B9"/>
    <w:rsid w:val="0091398F"/>
    <w:rsid w:val="009220E3"/>
    <w:rsid w:val="0092563F"/>
    <w:rsid w:val="009268D0"/>
    <w:rsid w:val="009325DF"/>
    <w:rsid w:val="009345D0"/>
    <w:rsid w:val="0093513C"/>
    <w:rsid w:val="0093517A"/>
    <w:rsid w:val="0093602D"/>
    <w:rsid w:val="00936DE3"/>
    <w:rsid w:val="00937BE1"/>
    <w:rsid w:val="00940678"/>
    <w:rsid w:val="00943274"/>
    <w:rsid w:val="009438CC"/>
    <w:rsid w:val="009459CC"/>
    <w:rsid w:val="00945DCA"/>
    <w:rsid w:val="009461F8"/>
    <w:rsid w:val="00947709"/>
    <w:rsid w:val="00957E39"/>
    <w:rsid w:val="00960D2F"/>
    <w:rsid w:val="0096477E"/>
    <w:rsid w:val="0096510C"/>
    <w:rsid w:val="00965239"/>
    <w:rsid w:val="00967D51"/>
    <w:rsid w:val="00967FF4"/>
    <w:rsid w:val="0097369D"/>
    <w:rsid w:val="0097541D"/>
    <w:rsid w:val="00982622"/>
    <w:rsid w:val="00984133"/>
    <w:rsid w:val="00985476"/>
    <w:rsid w:val="00986C63"/>
    <w:rsid w:val="00996A0D"/>
    <w:rsid w:val="009A5C36"/>
    <w:rsid w:val="009A6C9C"/>
    <w:rsid w:val="009A73CC"/>
    <w:rsid w:val="009B39C9"/>
    <w:rsid w:val="009B76F0"/>
    <w:rsid w:val="009C00EC"/>
    <w:rsid w:val="009C100F"/>
    <w:rsid w:val="009C4096"/>
    <w:rsid w:val="009D2216"/>
    <w:rsid w:val="009D2487"/>
    <w:rsid w:val="009E2BB5"/>
    <w:rsid w:val="009E5447"/>
    <w:rsid w:val="009E74C9"/>
    <w:rsid w:val="009F26B5"/>
    <w:rsid w:val="009F2A46"/>
    <w:rsid w:val="009F5C66"/>
    <w:rsid w:val="009F6051"/>
    <w:rsid w:val="009F66F8"/>
    <w:rsid w:val="00A0004B"/>
    <w:rsid w:val="00A013C4"/>
    <w:rsid w:val="00A014A6"/>
    <w:rsid w:val="00A02B7D"/>
    <w:rsid w:val="00A0304C"/>
    <w:rsid w:val="00A06E32"/>
    <w:rsid w:val="00A11919"/>
    <w:rsid w:val="00A15F8B"/>
    <w:rsid w:val="00A174AB"/>
    <w:rsid w:val="00A2078E"/>
    <w:rsid w:val="00A223B5"/>
    <w:rsid w:val="00A22502"/>
    <w:rsid w:val="00A22904"/>
    <w:rsid w:val="00A264ED"/>
    <w:rsid w:val="00A26DBD"/>
    <w:rsid w:val="00A279FB"/>
    <w:rsid w:val="00A27CA6"/>
    <w:rsid w:val="00A32313"/>
    <w:rsid w:val="00A32710"/>
    <w:rsid w:val="00A41C6F"/>
    <w:rsid w:val="00A45544"/>
    <w:rsid w:val="00A46269"/>
    <w:rsid w:val="00A46D9F"/>
    <w:rsid w:val="00A53414"/>
    <w:rsid w:val="00A621DA"/>
    <w:rsid w:val="00A62C5B"/>
    <w:rsid w:val="00A63F03"/>
    <w:rsid w:val="00A656F1"/>
    <w:rsid w:val="00A6734D"/>
    <w:rsid w:val="00A67B36"/>
    <w:rsid w:val="00A71F16"/>
    <w:rsid w:val="00A751CA"/>
    <w:rsid w:val="00A76023"/>
    <w:rsid w:val="00A76870"/>
    <w:rsid w:val="00A76C6F"/>
    <w:rsid w:val="00A80367"/>
    <w:rsid w:val="00A810EA"/>
    <w:rsid w:val="00A81992"/>
    <w:rsid w:val="00A83428"/>
    <w:rsid w:val="00A83DDB"/>
    <w:rsid w:val="00A919E2"/>
    <w:rsid w:val="00A94EF9"/>
    <w:rsid w:val="00A95303"/>
    <w:rsid w:val="00AA4BDB"/>
    <w:rsid w:val="00AA5915"/>
    <w:rsid w:val="00AA7EAF"/>
    <w:rsid w:val="00AB4DEA"/>
    <w:rsid w:val="00AB4FFB"/>
    <w:rsid w:val="00AC1542"/>
    <w:rsid w:val="00AC400B"/>
    <w:rsid w:val="00AC5DFE"/>
    <w:rsid w:val="00AD016E"/>
    <w:rsid w:val="00AD077C"/>
    <w:rsid w:val="00AD49F5"/>
    <w:rsid w:val="00AD52AD"/>
    <w:rsid w:val="00AD6115"/>
    <w:rsid w:val="00AD767E"/>
    <w:rsid w:val="00AE2200"/>
    <w:rsid w:val="00AE4FE8"/>
    <w:rsid w:val="00AE5FB8"/>
    <w:rsid w:val="00AE604E"/>
    <w:rsid w:val="00AE6218"/>
    <w:rsid w:val="00AF03F0"/>
    <w:rsid w:val="00AF0C38"/>
    <w:rsid w:val="00AF1968"/>
    <w:rsid w:val="00AF1AA1"/>
    <w:rsid w:val="00AF3830"/>
    <w:rsid w:val="00AF49A9"/>
    <w:rsid w:val="00AF74BE"/>
    <w:rsid w:val="00B00118"/>
    <w:rsid w:val="00B00DD2"/>
    <w:rsid w:val="00B00EFE"/>
    <w:rsid w:val="00B0199F"/>
    <w:rsid w:val="00B01C19"/>
    <w:rsid w:val="00B03A98"/>
    <w:rsid w:val="00B04CA6"/>
    <w:rsid w:val="00B051C9"/>
    <w:rsid w:val="00B06B1B"/>
    <w:rsid w:val="00B07B75"/>
    <w:rsid w:val="00B07D8A"/>
    <w:rsid w:val="00B10FDE"/>
    <w:rsid w:val="00B156C6"/>
    <w:rsid w:val="00B16A00"/>
    <w:rsid w:val="00B1778A"/>
    <w:rsid w:val="00B17CAC"/>
    <w:rsid w:val="00B2069A"/>
    <w:rsid w:val="00B21C4E"/>
    <w:rsid w:val="00B22884"/>
    <w:rsid w:val="00B232BA"/>
    <w:rsid w:val="00B252D4"/>
    <w:rsid w:val="00B33B1A"/>
    <w:rsid w:val="00B354D6"/>
    <w:rsid w:val="00B35DA8"/>
    <w:rsid w:val="00B35FA3"/>
    <w:rsid w:val="00B6083C"/>
    <w:rsid w:val="00B624F1"/>
    <w:rsid w:val="00B641F9"/>
    <w:rsid w:val="00B64357"/>
    <w:rsid w:val="00B7001B"/>
    <w:rsid w:val="00B703ED"/>
    <w:rsid w:val="00B737A1"/>
    <w:rsid w:val="00B7421A"/>
    <w:rsid w:val="00B74876"/>
    <w:rsid w:val="00B74A54"/>
    <w:rsid w:val="00B75588"/>
    <w:rsid w:val="00B757A4"/>
    <w:rsid w:val="00B8017C"/>
    <w:rsid w:val="00B80479"/>
    <w:rsid w:val="00B81532"/>
    <w:rsid w:val="00B81E92"/>
    <w:rsid w:val="00B81EA6"/>
    <w:rsid w:val="00B81F00"/>
    <w:rsid w:val="00B85188"/>
    <w:rsid w:val="00B868E4"/>
    <w:rsid w:val="00B91292"/>
    <w:rsid w:val="00B9224A"/>
    <w:rsid w:val="00B93035"/>
    <w:rsid w:val="00BA1A2E"/>
    <w:rsid w:val="00BA1E87"/>
    <w:rsid w:val="00BA1F73"/>
    <w:rsid w:val="00BA37BB"/>
    <w:rsid w:val="00BA3A33"/>
    <w:rsid w:val="00BA4A4E"/>
    <w:rsid w:val="00BB0F9C"/>
    <w:rsid w:val="00BB4EAE"/>
    <w:rsid w:val="00BB73C8"/>
    <w:rsid w:val="00BC01F4"/>
    <w:rsid w:val="00BC0F47"/>
    <w:rsid w:val="00BC2A75"/>
    <w:rsid w:val="00BC41EF"/>
    <w:rsid w:val="00BC4E05"/>
    <w:rsid w:val="00BC5289"/>
    <w:rsid w:val="00BC5E90"/>
    <w:rsid w:val="00BC7029"/>
    <w:rsid w:val="00BD026A"/>
    <w:rsid w:val="00BD1BA5"/>
    <w:rsid w:val="00BD5E42"/>
    <w:rsid w:val="00BD7106"/>
    <w:rsid w:val="00BE3E44"/>
    <w:rsid w:val="00BE6257"/>
    <w:rsid w:val="00BF093F"/>
    <w:rsid w:val="00BF0C1D"/>
    <w:rsid w:val="00BF2146"/>
    <w:rsid w:val="00BF27F5"/>
    <w:rsid w:val="00BF52F9"/>
    <w:rsid w:val="00C00928"/>
    <w:rsid w:val="00C01D82"/>
    <w:rsid w:val="00C0778C"/>
    <w:rsid w:val="00C14C33"/>
    <w:rsid w:val="00C16CC2"/>
    <w:rsid w:val="00C20A74"/>
    <w:rsid w:val="00C231CF"/>
    <w:rsid w:val="00C2353F"/>
    <w:rsid w:val="00C255E5"/>
    <w:rsid w:val="00C44328"/>
    <w:rsid w:val="00C449B3"/>
    <w:rsid w:val="00C455C9"/>
    <w:rsid w:val="00C46D60"/>
    <w:rsid w:val="00C47261"/>
    <w:rsid w:val="00C52E00"/>
    <w:rsid w:val="00C56320"/>
    <w:rsid w:val="00C564C1"/>
    <w:rsid w:val="00C60D57"/>
    <w:rsid w:val="00C63AD5"/>
    <w:rsid w:val="00C65200"/>
    <w:rsid w:val="00C6798C"/>
    <w:rsid w:val="00C70091"/>
    <w:rsid w:val="00C70EAE"/>
    <w:rsid w:val="00C76304"/>
    <w:rsid w:val="00C8225D"/>
    <w:rsid w:val="00C82FBC"/>
    <w:rsid w:val="00C901B1"/>
    <w:rsid w:val="00C902C4"/>
    <w:rsid w:val="00C91916"/>
    <w:rsid w:val="00C94F03"/>
    <w:rsid w:val="00C97927"/>
    <w:rsid w:val="00CA0398"/>
    <w:rsid w:val="00CA1A3B"/>
    <w:rsid w:val="00CA2F60"/>
    <w:rsid w:val="00CB1E5A"/>
    <w:rsid w:val="00CB4589"/>
    <w:rsid w:val="00CB7E2A"/>
    <w:rsid w:val="00CC0329"/>
    <w:rsid w:val="00CC1F30"/>
    <w:rsid w:val="00CC2B99"/>
    <w:rsid w:val="00CC449D"/>
    <w:rsid w:val="00CC4998"/>
    <w:rsid w:val="00CC5114"/>
    <w:rsid w:val="00CC58ED"/>
    <w:rsid w:val="00CC5A2B"/>
    <w:rsid w:val="00CD4F81"/>
    <w:rsid w:val="00CD549F"/>
    <w:rsid w:val="00CE0EAF"/>
    <w:rsid w:val="00CE2DA1"/>
    <w:rsid w:val="00CE37A6"/>
    <w:rsid w:val="00CE497A"/>
    <w:rsid w:val="00CE4B28"/>
    <w:rsid w:val="00CF03D4"/>
    <w:rsid w:val="00CF1BBC"/>
    <w:rsid w:val="00CF229D"/>
    <w:rsid w:val="00CF26F2"/>
    <w:rsid w:val="00D01088"/>
    <w:rsid w:val="00D02504"/>
    <w:rsid w:val="00D06C94"/>
    <w:rsid w:val="00D07051"/>
    <w:rsid w:val="00D07928"/>
    <w:rsid w:val="00D11D3F"/>
    <w:rsid w:val="00D151E5"/>
    <w:rsid w:val="00D17EB8"/>
    <w:rsid w:val="00D207EC"/>
    <w:rsid w:val="00D20885"/>
    <w:rsid w:val="00D22305"/>
    <w:rsid w:val="00D27755"/>
    <w:rsid w:val="00D27C69"/>
    <w:rsid w:val="00D27F85"/>
    <w:rsid w:val="00D32B48"/>
    <w:rsid w:val="00D3580B"/>
    <w:rsid w:val="00D371E4"/>
    <w:rsid w:val="00D37904"/>
    <w:rsid w:val="00D403A2"/>
    <w:rsid w:val="00D45F7C"/>
    <w:rsid w:val="00D46247"/>
    <w:rsid w:val="00D6305D"/>
    <w:rsid w:val="00D667ED"/>
    <w:rsid w:val="00D6712F"/>
    <w:rsid w:val="00D745EB"/>
    <w:rsid w:val="00D7520C"/>
    <w:rsid w:val="00D76D8C"/>
    <w:rsid w:val="00D77191"/>
    <w:rsid w:val="00D80591"/>
    <w:rsid w:val="00D8130C"/>
    <w:rsid w:val="00D93A52"/>
    <w:rsid w:val="00D963F8"/>
    <w:rsid w:val="00DA17A5"/>
    <w:rsid w:val="00DA4049"/>
    <w:rsid w:val="00DB0BA0"/>
    <w:rsid w:val="00DB143C"/>
    <w:rsid w:val="00DB1738"/>
    <w:rsid w:val="00DB1E61"/>
    <w:rsid w:val="00DB4934"/>
    <w:rsid w:val="00DB6AEF"/>
    <w:rsid w:val="00DB6DD4"/>
    <w:rsid w:val="00DC189C"/>
    <w:rsid w:val="00DC684F"/>
    <w:rsid w:val="00DC77FB"/>
    <w:rsid w:val="00DD137B"/>
    <w:rsid w:val="00DD26D9"/>
    <w:rsid w:val="00DD27FF"/>
    <w:rsid w:val="00DD3573"/>
    <w:rsid w:val="00DD3645"/>
    <w:rsid w:val="00DD4D6B"/>
    <w:rsid w:val="00DD5502"/>
    <w:rsid w:val="00DD5986"/>
    <w:rsid w:val="00DE04E1"/>
    <w:rsid w:val="00DE0C52"/>
    <w:rsid w:val="00DE1B96"/>
    <w:rsid w:val="00DE1CC2"/>
    <w:rsid w:val="00DE2485"/>
    <w:rsid w:val="00DF0E1D"/>
    <w:rsid w:val="00DF10D5"/>
    <w:rsid w:val="00DF3458"/>
    <w:rsid w:val="00DF3B43"/>
    <w:rsid w:val="00DF3F14"/>
    <w:rsid w:val="00DF5F95"/>
    <w:rsid w:val="00DF76BC"/>
    <w:rsid w:val="00E0529A"/>
    <w:rsid w:val="00E064F3"/>
    <w:rsid w:val="00E06F7F"/>
    <w:rsid w:val="00E07309"/>
    <w:rsid w:val="00E0757E"/>
    <w:rsid w:val="00E11421"/>
    <w:rsid w:val="00E12C79"/>
    <w:rsid w:val="00E147F2"/>
    <w:rsid w:val="00E14F8A"/>
    <w:rsid w:val="00E15690"/>
    <w:rsid w:val="00E15C34"/>
    <w:rsid w:val="00E17758"/>
    <w:rsid w:val="00E20760"/>
    <w:rsid w:val="00E220A8"/>
    <w:rsid w:val="00E237F3"/>
    <w:rsid w:val="00E30DAA"/>
    <w:rsid w:val="00E31495"/>
    <w:rsid w:val="00E33831"/>
    <w:rsid w:val="00E33E90"/>
    <w:rsid w:val="00E3504F"/>
    <w:rsid w:val="00E356CB"/>
    <w:rsid w:val="00E41663"/>
    <w:rsid w:val="00E429A1"/>
    <w:rsid w:val="00E4326F"/>
    <w:rsid w:val="00E45ADA"/>
    <w:rsid w:val="00E45CDC"/>
    <w:rsid w:val="00E47889"/>
    <w:rsid w:val="00E52528"/>
    <w:rsid w:val="00E545DB"/>
    <w:rsid w:val="00E54EA6"/>
    <w:rsid w:val="00E54FED"/>
    <w:rsid w:val="00E553C0"/>
    <w:rsid w:val="00E60882"/>
    <w:rsid w:val="00E7141E"/>
    <w:rsid w:val="00E72193"/>
    <w:rsid w:val="00E72CE3"/>
    <w:rsid w:val="00E72D0D"/>
    <w:rsid w:val="00E72D17"/>
    <w:rsid w:val="00E73FE7"/>
    <w:rsid w:val="00E76E20"/>
    <w:rsid w:val="00E826F4"/>
    <w:rsid w:val="00E8310E"/>
    <w:rsid w:val="00E844EA"/>
    <w:rsid w:val="00E9126F"/>
    <w:rsid w:val="00E921A0"/>
    <w:rsid w:val="00E92B26"/>
    <w:rsid w:val="00E92D95"/>
    <w:rsid w:val="00E92FF3"/>
    <w:rsid w:val="00E955A1"/>
    <w:rsid w:val="00E95BCA"/>
    <w:rsid w:val="00EA3C47"/>
    <w:rsid w:val="00EA659D"/>
    <w:rsid w:val="00EA75B6"/>
    <w:rsid w:val="00EB0962"/>
    <w:rsid w:val="00EC1842"/>
    <w:rsid w:val="00EC363E"/>
    <w:rsid w:val="00EC3814"/>
    <w:rsid w:val="00ED1F47"/>
    <w:rsid w:val="00ED3959"/>
    <w:rsid w:val="00EE3833"/>
    <w:rsid w:val="00EE40C5"/>
    <w:rsid w:val="00EE4E1F"/>
    <w:rsid w:val="00EE638E"/>
    <w:rsid w:val="00EE7DBD"/>
    <w:rsid w:val="00EF1812"/>
    <w:rsid w:val="00EF4624"/>
    <w:rsid w:val="00F03531"/>
    <w:rsid w:val="00F0438B"/>
    <w:rsid w:val="00F05CD6"/>
    <w:rsid w:val="00F125E0"/>
    <w:rsid w:val="00F14B62"/>
    <w:rsid w:val="00F1718E"/>
    <w:rsid w:val="00F233BE"/>
    <w:rsid w:val="00F23827"/>
    <w:rsid w:val="00F24DCB"/>
    <w:rsid w:val="00F256A0"/>
    <w:rsid w:val="00F25725"/>
    <w:rsid w:val="00F3043C"/>
    <w:rsid w:val="00F33F46"/>
    <w:rsid w:val="00F3565E"/>
    <w:rsid w:val="00F36744"/>
    <w:rsid w:val="00F374E8"/>
    <w:rsid w:val="00F411E9"/>
    <w:rsid w:val="00F41727"/>
    <w:rsid w:val="00F422CE"/>
    <w:rsid w:val="00F4249F"/>
    <w:rsid w:val="00F4452D"/>
    <w:rsid w:val="00F451E7"/>
    <w:rsid w:val="00F472D1"/>
    <w:rsid w:val="00F51CCF"/>
    <w:rsid w:val="00F545EA"/>
    <w:rsid w:val="00F54ED1"/>
    <w:rsid w:val="00F60101"/>
    <w:rsid w:val="00F633C8"/>
    <w:rsid w:val="00F64C43"/>
    <w:rsid w:val="00F740F4"/>
    <w:rsid w:val="00F749D4"/>
    <w:rsid w:val="00F77E2F"/>
    <w:rsid w:val="00F853C3"/>
    <w:rsid w:val="00F857FD"/>
    <w:rsid w:val="00F86CA4"/>
    <w:rsid w:val="00F86E90"/>
    <w:rsid w:val="00F87136"/>
    <w:rsid w:val="00F8720B"/>
    <w:rsid w:val="00F90041"/>
    <w:rsid w:val="00F93E81"/>
    <w:rsid w:val="00FA23C9"/>
    <w:rsid w:val="00FA7F2E"/>
    <w:rsid w:val="00FB431D"/>
    <w:rsid w:val="00FB560B"/>
    <w:rsid w:val="00FC64B0"/>
    <w:rsid w:val="00FD149B"/>
    <w:rsid w:val="00FD2E8A"/>
    <w:rsid w:val="00FD74F5"/>
    <w:rsid w:val="00FE054E"/>
    <w:rsid w:val="00FE3297"/>
    <w:rsid w:val="00FE3F0F"/>
    <w:rsid w:val="00FE6146"/>
    <w:rsid w:val="00FE71EE"/>
    <w:rsid w:val="00FE7787"/>
    <w:rsid w:val="00FE7EA0"/>
    <w:rsid w:val="00FF19D0"/>
    <w:rsid w:val="00FF3825"/>
    <w:rsid w:val="00FF42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DA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75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175C"/>
    <w:pPr>
      <w:tabs>
        <w:tab w:val="center" w:pos="4320"/>
        <w:tab w:val="right" w:pos="8640"/>
      </w:tabs>
    </w:pPr>
  </w:style>
  <w:style w:type="character" w:customStyle="1" w:styleId="FooterChar">
    <w:name w:val="Footer Char"/>
    <w:basedOn w:val="DefaultParagraphFont"/>
    <w:link w:val="Footer"/>
    <w:rsid w:val="0032175C"/>
    <w:rPr>
      <w:rFonts w:eastAsia="Times New Roman" w:cs="Times New Roman"/>
      <w:szCs w:val="24"/>
    </w:rPr>
  </w:style>
  <w:style w:type="paragraph" w:styleId="Header">
    <w:name w:val="header"/>
    <w:basedOn w:val="Normal"/>
    <w:link w:val="HeaderChar"/>
    <w:rsid w:val="0032175C"/>
    <w:pPr>
      <w:tabs>
        <w:tab w:val="center" w:pos="4320"/>
        <w:tab w:val="right" w:pos="8640"/>
      </w:tabs>
    </w:pPr>
  </w:style>
  <w:style w:type="character" w:customStyle="1" w:styleId="HeaderChar">
    <w:name w:val="Header Char"/>
    <w:basedOn w:val="DefaultParagraphFont"/>
    <w:link w:val="Header"/>
    <w:rsid w:val="0032175C"/>
    <w:rPr>
      <w:rFonts w:eastAsia="Times New Roman" w:cs="Times New Roman"/>
      <w:szCs w:val="24"/>
    </w:rPr>
  </w:style>
  <w:style w:type="character" w:styleId="Hyperlink">
    <w:name w:val="Hyperlink"/>
    <w:basedOn w:val="DefaultParagraphFont"/>
    <w:uiPriority w:val="99"/>
    <w:rsid w:val="0032175C"/>
    <w:rPr>
      <w:color w:val="0000FF"/>
      <w:u w:val="single"/>
    </w:rPr>
  </w:style>
  <w:style w:type="character" w:styleId="PageNumber">
    <w:name w:val="page number"/>
    <w:basedOn w:val="DefaultParagraphFont"/>
    <w:rsid w:val="0032175C"/>
  </w:style>
  <w:style w:type="paragraph" w:styleId="TOC1">
    <w:name w:val="toc 1"/>
    <w:basedOn w:val="Normal"/>
    <w:next w:val="Normal"/>
    <w:autoRedefine/>
    <w:uiPriority w:val="39"/>
    <w:rsid w:val="0032175C"/>
    <w:pPr>
      <w:tabs>
        <w:tab w:val="right" w:leader="dot" w:pos="720"/>
        <w:tab w:val="right" w:leader="dot" w:pos="9350"/>
      </w:tabs>
      <w:spacing w:before="100" w:beforeAutospacing="1" w:after="100" w:afterAutospacing="1"/>
      <w:ind w:right="1800"/>
    </w:pPr>
  </w:style>
  <w:style w:type="paragraph" w:styleId="TOC2">
    <w:name w:val="toc 2"/>
    <w:basedOn w:val="Normal"/>
    <w:next w:val="Normal"/>
    <w:autoRedefine/>
    <w:uiPriority w:val="39"/>
    <w:rsid w:val="0032175C"/>
    <w:pPr>
      <w:tabs>
        <w:tab w:val="left" w:pos="216"/>
        <w:tab w:val="left" w:pos="720"/>
        <w:tab w:val="left" w:pos="960"/>
        <w:tab w:val="right" w:leader="dot" w:pos="9350"/>
      </w:tabs>
      <w:spacing w:line="288" w:lineRule="auto"/>
      <w:ind w:left="734" w:right="432" w:hanging="619"/>
    </w:pPr>
  </w:style>
  <w:style w:type="paragraph" w:styleId="BodyTextIndent">
    <w:name w:val="Body Text Indent"/>
    <w:basedOn w:val="Normal"/>
    <w:link w:val="BodyTextIndentChar"/>
    <w:semiHidden/>
    <w:rsid w:val="0032175C"/>
    <w:pPr>
      <w:ind w:firstLine="720"/>
    </w:pPr>
    <w:rPr>
      <w:szCs w:val="20"/>
    </w:rPr>
  </w:style>
  <w:style w:type="character" w:customStyle="1" w:styleId="BodyTextIndentChar">
    <w:name w:val="Body Text Indent Char"/>
    <w:basedOn w:val="DefaultParagraphFont"/>
    <w:link w:val="BodyTextIndent"/>
    <w:semiHidden/>
    <w:rsid w:val="0032175C"/>
    <w:rPr>
      <w:rFonts w:eastAsia="Times New Roman" w:cs="Times New Roman"/>
      <w:szCs w:val="20"/>
    </w:rPr>
  </w:style>
  <w:style w:type="paragraph" w:styleId="ListParagraph">
    <w:name w:val="List Paragraph"/>
    <w:basedOn w:val="Normal"/>
    <w:link w:val="ListParagraphChar"/>
    <w:uiPriority w:val="34"/>
    <w:qFormat/>
    <w:rsid w:val="0032175C"/>
    <w:pPr>
      <w:ind w:left="720"/>
      <w:contextualSpacing/>
    </w:pPr>
  </w:style>
  <w:style w:type="paragraph" w:styleId="BalloonText">
    <w:name w:val="Balloon Text"/>
    <w:basedOn w:val="Normal"/>
    <w:link w:val="BalloonTextChar"/>
    <w:uiPriority w:val="99"/>
    <w:semiHidden/>
    <w:unhideWhenUsed/>
    <w:rsid w:val="0032175C"/>
    <w:rPr>
      <w:rFonts w:ascii="Tahoma" w:hAnsi="Tahoma" w:cs="Tahoma"/>
      <w:sz w:val="16"/>
      <w:szCs w:val="16"/>
    </w:rPr>
  </w:style>
  <w:style w:type="character" w:customStyle="1" w:styleId="BalloonTextChar">
    <w:name w:val="Balloon Text Char"/>
    <w:basedOn w:val="DefaultParagraphFont"/>
    <w:link w:val="BalloonText"/>
    <w:uiPriority w:val="99"/>
    <w:semiHidden/>
    <w:rsid w:val="003217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D52AD"/>
    <w:rPr>
      <w:sz w:val="16"/>
      <w:szCs w:val="16"/>
    </w:rPr>
  </w:style>
  <w:style w:type="paragraph" w:styleId="CommentText">
    <w:name w:val="annotation text"/>
    <w:basedOn w:val="Normal"/>
    <w:link w:val="CommentTextChar"/>
    <w:uiPriority w:val="99"/>
    <w:semiHidden/>
    <w:unhideWhenUsed/>
    <w:rsid w:val="00AD52AD"/>
    <w:rPr>
      <w:sz w:val="20"/>
      <w:szCs w:val="20"/>
    </w:rPr>
  </w:style>
  <w:style w:type="character" w:customStyle="1" w:styleId="CommentTextChar">
    <w:name w:val="Comment Text Char"/>
    <w:basedOn w:val="DefaultParagraphFont"/>
    <w:link w:val="CommentText"/>
    <w:uiPriority w:val="99"/>
    <w:semiHidden/>
    <w:rsid w:val="00AD52A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52AD"/>
    <w:rPr>
      <w:b/>
      <w:bCs/>
    </w:rPr>
  </w:style>
  <w:style w:type="character" w:customStyle="1" w:styleId="CommentSubjectChar">
    <w:name w:val="Comment Subject Char"/>
    <w:basedOn w:val="CommentTextChar"/>
    <w:link w:val="CommentSubject"/>
    <w:uiPriority w:val="99"/>
    <w:semiHidden/>
    <w:rsid w:val="00AD52AD"/>
    <w:rPr>
      <w:rFonts w:eastAsia="Times New Roman" w:cs="Times New Roman"/>
      <w:b/>
      <w:bCs/>
      <w:sz w:val="20"/>
      <w:szCs w:val="20"/>
    </w:rPr>
  </w:style>
  <w:style w:type="table" w:styleId="TableGrid">
    <w:name w:val="Table Grid"/>
    <w:basedOn w:val="TableNormal"/>
    <w:uiPriority w:val="59"/>
    <w:rsid w:val="00E95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33C8"/>
    <w:rPr>
      <w:rFonts w:eastAsia="Times New Roman" w:cs="Times New Roman"/>
      <w:szCs w:val="24"/>
    </w:rPr>
  </w:style>
  <w:style w:type="character" w:customStyle="1" w:styleId="ListParagraphChar">
    <w:name w:val="List Paragraph Char"/>
    <w:link w:val="ListParagraph"/>
    <w:uiPriority w:val="34"/>
    <w:locked/>
    <w:rsid w:val="00D07051"/>
    <w:rPr>
      <w:rFonts w:eastAsia="Times New Roman" w:cs="Times New Roman"/>
      <w:szCs w:val="24"/>
    </w:rPr>
  </w:style>
  <w:style w:type="paragraph" w:styleId="NoSpacing">
    <w:name w:val="No Spacing"/>
    <w:uiPriority w:val="1"/>
    <w:qFormat/>
    <w:rsid w:val="00AA4BDB"/>
    <w:rPr>
      <w:rFonts w:eastAsia="Times New Roman" w:cs="Times New Roman"/>
      <w:szCs w:val="24"/>
    </w:rPr>
  </w:style>
  <w:style w:type="character" w:styleId="PlaceholderText">
    <w:name w:val="Placeholder Text"/>
    <w:basedOn w:val="DefaultParagraphFont"/>
    <w:uiPriority w:val="99"/>
    <w:semiHidden/>
    <w:rsid w:val="00DF0E1D"/>
    <w:rPr>
      <w:color w:val="808080"/>
    </w:rPr>
  </w:style>
  <w:style w:type="paragraph" w:styleId="FootnoteText">
    <w:name w:val="footnote text"/>
    <w:basedOn w:val="Normal"/>
    <w:link w:val="FootnoteTextChar"/>
    <w:uiPriority w:val="99"/>
    <w:semiHidden/>
    <w:unhideWhenUsed/>
    <w:rsid w:val="00794D0B"/>
    <w:rPr>
      <w:sz w:val="20"/>
      <w:szCs w:val="20"/>
    </w:rPr>
  </w:style>
  <w:style w:type="character" w:customStyle="1" w:styleId="FootnoteTextChar">
    <w:name w:val="Footnote Text Char"/>
    <w:basedOn w:val="DefaultParagraphFont"/>
    <w:link w:val="FootnoteText"/>
    <w:uiPriority w:val="99"/>
    <w:semiHidden/>
    <w:rsid w:val="00794D0B"/>
    <w:rPr>
      <w:rFonts w:eastAsia="Times New Roman" w:cs="Times New Roman"/>
      <w:sz w:val="20"/>
      <w:szCs w:val="20"/>
    </w:rPr>
  </w:style>
  <w:style w:type="character" w:styleId="FootnoteReference">
    <w:name w:val="footnote reference"/>
    <w:basedOn w:val="DefaultParagraphFont"/>
    <w:uiPriority w:val="99"/>
    <w:semiHidden/>
    <w:unhideWhenUsed/>
    <w:rsid w:val="00794D0B"/>
    <w:rPr>
      <w:vertAlign w:val="superscript"/>
    </w:rPr>
  </w:style>
  <w:style w:type="paragraph" w:styleId="EndnoteText">
    <w:name w:val="endnote text"/>
    <w:basedOn w:val="Normal"/>
    <w:link w:val="EndnoteTextChar"/>
    <w:uiPriority w:val="99"/>
    <w:semiHidden/>
    <w:unhideWhenUsed/>
    <w:rsid w:val="00814314"/>
    <w:rPr>
      <w:sz w:val="20"/>
      <w:szCs w:val="20"/>
    </w:rPr>
  </w:style>
  <w:style w:type="character" w:customStyle="1" w:styleId="EndnoteTextChar">
    <w:name w:val="Endnote Text Char"/>
    <w:basedOn w:val="DefaultParagraphFont"/>
    <w:link w:val="EndnoteText"/>
    <w:uiPriority w:val="99"/>
    <w:semiHidden/>
    <w:rsid w:val="00814314"/>
    <w:rPr>
      <w:rFonts w:eastAsia="Times New Roman" w:cs="Times New Roman"/>
      <w:sz w:val="20"/>
      <w:szCs w:val="20"/>
    </w:rPr>
  </w:style>
  <w:style w:type="character" w:styleId="EndnoteReference">
    <w:name w:val="endnote reference"/>
    <w:basedOn w:val="DefaultParagraphFont"/>
    <w:uiPriority w:val="99"/>
    <w:semiHidden/>
    <w:unhideWhenUsed/>
    <w:rsid w:val="008143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75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175C"/>
    <w:pPr>
      <w:tabs>
        <w:tab w:val="center" w:pos="4320"/>
        <w:tab w:val="right" w:pos="8640"/>
      </w:tabs>
    </w:pPr>
  </w:style>
  <w:style w:type="character" w:customStyle="1" w:styleId="FooterChar">
    <w:name w:val="Footer Char"/>
    <w:basedOn w:val="DefaultParagraphFont"/>
    <w:link w:val="Footer"/>
    <w:rsid w:val="0032175C"/>
    <w:rPr>
      <w:rFonts w:eastAsia="Times New Roman" w:cs="Times New Roman"/>
      <w:szCs w:val="24"/>
    </w:rPr>
  </w:style>
  <w:style w:type="paragraph" w:styleId="Header">
    <w:name w:val="header"/>
    <w:basedOn w:val="Normal"/>
    <w:link w:val="HeaderChar"/>
    <w:rsid w:val="0032175C"/>
    <w:pPr>
      <w:tabs>
        <w:tab w:val="center" w:pos="4320"/>
        <w:tab w:val="right" w:pos="8640"/>
      </w:tabs>
    </w:pPr>
  </w:style>
  <w:style w:type="character" w:customStyle="1" w:styleId="HeaderChar">
    <w:name w:val="Header Char"/>
    <w:basedOn w:val="DefaultParagraphFont"/>
    <w:link w:val="Header"/>
    <w:rsid w:val="0032175C"/>
    <w:rPr>
      <w:rFonts w:eastAsia="Times New Roman" w:cs="Times New Roman"/>
      <w:szCs w:val="24"/>
    </w:rPr>
  </w:style>
  <w:style w:type="character" w:styleId="Hyperlink">
    <w:name w:val="Hyperlink"/>
    <w:basedOn w:val="DefaultParagraphFont"/>
    <w:uiPriority w:val="99"/>
    <w:rsid w:val="0032175C"/>
    <w:rPr>
      <w:color w:val="0000FF"/>
      <w:u w:val="single"/>
    </w:rPr>
  </w:style>
  <w:style w:type="character" w:styleId="PageNumber">
    <w:name w:val="page number"/>
    <w:basedOn w:val="DefaultParagraphFont"/>
    <w:rsid w:val="0032175C"/>
  </w:style>
  <w:style w:type="paragraph" w:styleId="TOC1">
    <w:name w:val="toc 1"/>
    <w:basedOn w:val="Normal"/>
    <w:next w:val="Normal"/>
    <w:autoRedefine/>
    <w:uiPriority w:val="39"/>
    <w:rsid w:val="0032175C"/>
    <w:pPr>
      <w:tabs>
        <w:tab w:val="right" w:leader="dot" w:pos="720"/>
        <w:tab w:val="right" w:leader="dot" w:pos="9350"/>
      </w:tabs>
      <w:spacing w:before="100" w:beforeAutospacing="1" w:after="100" w:afterAutospacing="1"/>
      <w:ind w:right="1800"/>
    </w:pPr>
  </w:style>
  <w:style w:type="paragraph" w:styleId="TOC2">
    <w:name w:val="toc 2"/>
    <w:basedOn w:val="Normal"/>
    <w:next w:val="Normal"/>
    <w:autoRedefine/>
    <w:uiPriority w:val="39"/>
    <w:rsid w:val="0032175C"/>
    <w:pPr>
      <w:tabs>
        <w:tab w:val="left" w:pos="216"/>
        <w:tab w:val="left" w:pos="720"/>
        <w:tab w:val="left" w:pos="960"/>
        <w:tab w:val="right" w:leader="dot" w:pos="9350"/>
      </w:tabs>
      <w:spacing w:line="288" w:lineRule="auto"/>
      <w:ind w:left="734" w:right="432" w:hanging="619"/>
    </w:pPr>
  </w:style>
  <w:style w:type="paragraph" w:styleId="BodyTextIndent">
    <w:name w:val="Body Text Indent"/>
    <w:basedOn w:val="Normal"/>
    <w:link w:val="BodyTextIndentChar"/>
    <w:semiHidden/>
    <w:rsid w:val="0032175C"/>
    <w:pPr>
      <w:ind w:firstLine="720"/>
    </w:pPr>
    <w:rPr>
      <w:szCs w:val="20"/>
    </w:rPr>
  </w:style>
  <w:style w:type="character" w:customStyle="1" w:styleId="BodyTextIndentChar">
    <w:name w:val="Body Text Indent Char"/>
    <w:basedOn w:val="DefaultParagraphFont"/>
    <w:link w:val="BodyTextIndent"/>
    <w:semiHidden/>
    <w:rsid w:val="0032175C"/>
    <w:rPr>
      <w:rFonts w:eastAsia="Times New Roman" w:cs="Times New Roman"/>
      <w:szCs w:val="20"/>
    </w:rPr>
  </w:style>
  <w:style w:type="paragraph" w:styleId="ListParagraph">
    <w:name w:val="List Paragraph"/>
    <w:basedOn w:val="Normal"/>
    <w:link w:val="ListParagraphChar"/>
    <w:uiPriority w:val="34"/>
    <w:qFormat/>
    <w:rsid w:val="0032175C"/>
    <w:pPr>
      <w:ind w:left="720"/>
      <w:contextualSpacing/>
    </w:pPr>
  </w:style>
  <w:style w:type="paragraph" w:styleId="BalloonText">
    <w:name w:val="Balloon Text"/>
    <w:basedOn w:val="Normal"/>
    <w:link w:val="BalloonTextChar"/>
    <w:uiPriority w:val="99"/>
    <w:semiHidden/>
    <w:unhideWhenUsed/>
    <w:rsid w:val="0032175C"/>
    <w:rPr>
      <w:rFonts w:ascii="Tahoma" w:hAnsi="Tahoma" w:cs="Tahoma"/>
      <w:sz w:val="16"/>
      <w:szCs w:val="16"/>
    </w:rPr>
  </w:style>
  <w:style w:type="character" w:customStyle="1" w:styleId="BalloonTextChar">
    <w:name w:val="Balloon Text Char"/>
    <w:basedOn w:val="DefaultParagraphFont"/>
    <w:link w:val="BalloonText"/>
    <w:uiPriority w:val="99"/>
    <w:semiHidden/>
    <w:rsid w:val="003217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D52AD"/>
    <w:rPr>
      <w:sz w:val="16"/>
      <w:szCs w:val="16"/>
    </w:rPr>
  </w:style>
  <w:style w:type="paragraph" w:styleId="CommentText">
    <w:name w:val="annotation text"/>
    <w:basedOn w:val="Normal"/>
    <w:link w:val="CommentTextChar"/>
    <w:uiPriority w:val="99"/>
    <w:semiHidden/>
    <w:unhideWhenUsed/>
    <w:rsid w:val="00AD52AD"/>
    <w:rPr>
      <w:sz w:val="20"/>
      <w:szCs w:val="20"/>
    </w:rPr>
  </w:style>
  <w:style w:type="character" w:customStyle="1" w:styleId="CommentTextChar">
    <w:name w:val="Comment Text Char"/>
    <w:basedOn w:val="DefaultParagraphFont"/>
    <w:link w:val="CommentText"/>
    <w:uiPriority w:val="99"/>
    <w:semiHidden/>
    <w:rsid w:val="00AD52A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52AD"/>
    <w:rPr>
      <w:b/>
      <w:bCs/>
    </w:rPr>
  </w:style>
  <w:style w:type="character" w:customStyle="1" w:styleId="CommentSubjectChar">
    <w:name w:val="Comment Subject Char"/>
    <w:basedOn w:val="CommentTextChar"/>
    <w:link w:val="CommentSubject"/>
    <w:uiPriority w:val="99"/>
    <w:semiHidden/>
    <w:rsid w:val="00AD52AD"/>
    <w:rPr>
      <w:rFonts w:eastAsia="Times New Roman" w:cs="Times New Roman"/>
      <w:b/>
      <w:bCs/>
      <w:sz w:val="20"/>
      <w:szCs w:val="20"/>
    </w:rPr>
  </w:style>
  <w:style w:type="table" w:styleId="TableGrid">
    <w:name w:val="Table Grid"/>
    <w:basedOn w:val="TableNormal"/>
    <w:uiPriority w:val="59"/>
    <w:rsid w:val="00E95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33C8"/>
    <w:rPr>
      <w:rFonts w:eastAsia="Times New Roman" w:cs="Times New Roman"/>
      <w:szCs w:val="24"/>
    </w:rPr>
  </w:style>
  <w:style w:type="character" w:customStyle="1" w:styleId="ListParagraphChar">
    <w:name w:val="List Paragraph Char"/>
    <w:link w:val="ListParagraph"/>
    <w:uiPriority w:val="34"/>
    <w:locked/>
    <w:rsid w:val="00D07051"/>
    <w:rPr>
      <w:rFonts w:eastAsia="Times New Roman" w:cs="Times New Roman"/>
      <w:szCs w:val="24"/>
    </w:rPr>
  </w:style>
  <w:style w:type="paragraph" w:styleId="NoSpacing">
    <w:name w:val="No Spacing"/>
    <w:uiPriority w:val="1"/>
    <w:qFormat/>
    <w:rsid w:val="00AA4BDB"/>
    <w:rPr>
      <w:rFonts w:eastAsia="Times New Roman" w:cs="Times New Roman"/>
      <w:szCs w:val="24"/>
    </w:rPr>
  </w:style>
  <w:style w:type="character" w:styleId="PlaceholderText">
    <w:name w:val="Placeholder Text"/>
    <w:basedOn w:val="DefaultParagraphFont"/>
    <w:uiPriority w:val="99"/>
    <w:semiHidden/>
    <w:rsid w:val="00DF0E1D"/>
    <w:rPr>
      <w:color w:val="808080"/>
    </w:rPr>
  </w:style>
  <w:style w:type="paragraph" w:styleId="FootnoteText">
    <w:name w:val="footnote text"/>
    <w:basedOn w:val="Normal"/>
    <w:link w:val="FootnoteTextChar"/>
    <w:uiPriority w:val="99"/>
    <w:semiHidden/>
    <w:unhideWhenUsed/>
    <w:rsid w:val="00794D0B"/>
    <w:rPr>
      <w:sz w:val="20"/>
      <w:szCs w:val="20"/>
    </w:rPr>
  </w:style>
  <w:style w:type="character" w:customStyle="1" w:styleId="FootnoteTextChar">
    <w:name w:val="Footnote Text Char"/>
    <w:basedOn w:val="DefaultParagraphFont"/>
    <w:link w:val="FootnoteText"/>
    <w:uiPriority w:val="99"/>
    <w:semiHidden/>
    <w:rsid w:val="00794D0B"/>
    <w:rPr>
      <w:rFonts w:eastAsia="Times New Roman" w:cs="Times New Roman"/>
      <w:sz w:val="20"/>
      <w:szCs w:val="20"/>
    </w:rPr>
  </w:style>
  <w:style w:type="character" w:styleId="FootnoteReference">
    <w:name w:val="footnote reference"/>
    <w:basedOn w:val="DefaultParagraphFont"/>
    <w:uiPriority w:val="99"/>
    <w:semiHidden/>
    <w:unhideWhenUsed/>
    <w:rsid w:val="00794D0B"/>
    <w:rPr>
      <w:vertAlign w:val="superscript"/>
    </w:rPr>
  </w:style>
  <w:style w:type="paragraph" w:styleId="EndnoteText">
    <w:name w:val="endnote text"/>
    <w:basedOn w:val="Normal"/>
    <w:link w:val="EndnoteTextChar"/>
    <w:uiPriority w:val="99"/>
    <w:semiHidden/>
    <w:unhideWhenUsed/>
    <w:rsid w:val="00814314"/>
    <w:rPr>
      <w:sz w:val="20"/>
      <w:szCs w:val="20"/>
    </w:rPr>
  </w:style>
  <w:style w:type="character" w:customStyle="1" w:styleId="EndnoteTextChar">
    <w:name w:val="Endnote Text Char"/>
    <w:basedOn w:val="DefaultParagraphFont"/>
    <w:link w:val="EndnoteText"/>
    <w:uiPriority w:val="99"/>
    <w:semiHidden/>
    <w:rsid w:val="00814314"/>
    <w:rPr>
      <w:rFonts w:eastAsia="Times New Roman" w:cs="Times New Roman"/>
      <w:sz w:val="20"/>
      <w:szCs w:val="20"/>
    </w:rPr>
  </w:style>
  <w:style w:type="character" w:styleId="EndnoteReference">
    <w:name w:val="endnote reference"/>
    <w:basedOn w:val="DefaultParagraphFont"/>
    <w:uiPriority w:val="99"/>
    <w:semiHidden/>
    <w:unhideWhenUsed/>
    <w:rsid w:val="00814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8879">
      <w:bodyDiv w:val="1"/>
      <w:marLeft w:val="0"/>
      <w:marRight w:val="0"/>
      <w:marTop w:val="0"/>
      <w:marBottom w:val="0"/>
      <w:divBdr>
        <w:top w:val="none" w:sz="0" w:space="0" w:color="auto"/>
        <w:left w:val="none" w:sz="0" w:space="0" w:color="auto"/>
        <w:bottom w:val="none" w:sz="0" w:space="0" w:color="auto"/>
        <w:right w:val="none" w:sz="0" w:space="0" w:color="auto"/>
      </w:divBdr>
    </w:div>
    <w:div w:id="68431274">
      <w:bodyDiv w:val="1"/>
      <w:marLeft w:val="0"/>
      <w:marRight w:val="0"/>
      <w:marTop w:val="0"/>
      <w:marBottom w:val="0"/>
      <w:divBdr>
        <w:top w:val="none" w:sz="0" w:space="0" w:color="auto"/>
        <w:left w:val="none" w:sz="0" w:space="0" w:color="auto"/>
        <w:bottom w:val="none" w:sz="0" w:space="0" w:color="auto"/>
        <w:right w:val="none" w:sz="0" w:space="0" w:color="auto"/>
      </w:divBdr>
    </w:div>
    <w:div w:id="196241165">
      <w:bodyDiv w:val="1"/>
      <w:marLeft w:val="0"/>
      <w:marRight w:val="0"/>
      <w:marTop w:val="0"/>
      <w:marBottom w:val="0"/>
      <w:divBdr>
        <w:top w:val="none" w:sz="0" w:space="0" w:color="auto"/>
        <w:left w:val="none" w:sz="0" w:space="0" w:color="auto"/>
        <w:bottom w:val="none" w:sz="0" w:space="0" w:color="auto"/>
        <w:right w:val="none" w:sz="0" w:space="0" w:color="auto"/>
      </w:divBdr>
    </w:div>
    <w:div w:id="418528908">
      <w:bodyDiv w:val="1"/>
      <w:marLeft w:val="0"/>
      <w:marRight w:val="0"/>
      <w:marTop w:val="0"/>
      <w:marBottom w:val="0"/>
      <w:divBdr>
        <w:top w:val="none" w:sz="0" w:space="0" w:color="auto"/>
        <w:left w:val="none" w:sz="0" w:space="0" w:color="auto"/>
        <w:bottom w:val="none" w:sz="0" w:space="0" w:color="auto"/>
        <w:right w:val="none" w:sz="0" w:space="0" w:color="auto"/>
      </w:divBdr>
    </w:div>
    <w:div w:id="442961096">
      <w:bodyDiv w:val="1"/>
      <w:marLeft w:val="0"/>
      <w:marRight w:val="0"/>
      <w:marTop w:val="0"/>
      <w:marBottom w:val="0"/>
      <w:divBdr>
        <w:top w:val="none" w:sz="0" w:space="0" w:color="auto"/>
        <w:left w:val="none" w:sz="0" w:space="0" w:color="auto"/>
        <w:bottom w:val="none" w:sz="0" w:space="0" w:color="auto"/>
        <w:right w:val="none" w:sz="0" w:space="0" w:color="auto"/>
      </w:divBdr>
    </w:div>
    <w:div w:id="536822551">
      <w:bodyDiv w:val="1"/>
      <w:marLeft w:val="0"/>
      <w:marRight w:val="0"/>
      <w:marTop w:val="0"/>
      <w:marBottom w:val="0"/>
      <w:divBdr>
        <w:top w:val="none" w:sz="0" w:space="0" w:color="auto"/>
        <w:left w:val="none" w:sz="0" w:space="0" w:color="auto"/>
        <w:bottom w:val="none" w:sz="0" w:space="0" w:color="auto"/>
        <w:right w:val="none" w:sz="0" w:space="0" w:color="auto"/>
      </w:divBdr>
    </w:div>
    <w:div w:id="568923289">
      <w:bodyDiv w:val="1"/>
      <w:marLeft w:val="0"/>
      <w:marRight w:val="0"/>
      <w:marTop w:val="0"/>
      <w:marBottom w:val="0"/>
      <w:divBdr>
        <w:top w:val="none" w:sz="0" w:space="0" w:color="auto"/>
        <w:left w:val="none" w:sz="0" w:space="0" w:color="auto"/>
        <w:bottom w:val="none" w:sz="0" w:space="0" w:color="auto"/>
        <w:right w:val="none" w:sz="0" w:space="0" w:color="auto"/>
      </w:divBdr>
    </w:div>
    <w:div w:id="611086237">
      <w:bodyDiv w:val="1"/>
      <w:marLeft w:val="0"/>
      <w:marRight w:val="0"/>
      <w:marTop w:val="0"/>
      <w:marBottom w:val="0"/>
      <w:divBdr>
        <w:top w:val="none" w:sz="0" w:space="0" w:color="auto"/>
        <w:left w:val="none" w:sz="0" w:space="0" w:color="auto"/>
        <w:bottom w:val="none" w:sz="0" w:space="0" w:color="auto"/>
        <w:right w:val="none" w:sz="0" w:space="0" w:color="auto"/>
      </w:divBdr>
    </w:div>
    <w:div w:id="676158727">
      <w:bodyDiv w:val="1"/>
      <w:marLeft w:val="0"/>
      <w:marRight w:val="0"/>
      <w:marTop w:val="0"/>
      <w:marBottom w:val="0"/>
      <w:divBdr>
        <w:top w:val="none" w:sz="0" w:space="0" w:color="auto"/>
        <w:left w:val="none" w:sz="0" w:space="0" w:color="auto"/>
        <w:bottom w:val="none" w:sz="0" w:space="0" w:color="auto"/>
        <w:right w:val="none" w:sz="0" w:space="0" w:color="auto"/>
      </w:divBdr>
    </w:div>
    <w:div w:id="729230347">
      <w:bodyDiv w:val="1"/>
      <w:marLeft w:val="0"/>
      <w:marRight w:val="0"/>
      <w:marTop w:val="0"/>
      <w:marBottom w:val="0"/>
      <w:divBdr>
        <w:top w:val="none" w:sz="0" w:space="0" w:color="auto"/>
        <w:left w:val="none" w:sz="0" w:space="0" w:color="auto"/>
        <w:bottom w:val="none" w:sz="0" w:space="0" w:color="auto"/>
        <w:right w:val="none" w:sz="0" w:space="0" w:color="auto"/>
      </w:divBdr>
    </w:div>
    <w:div w:id="748356092">
      <w:bodyDiv w:val="1"/>
      <w:marLeft w:val="0"/>
      <w:marRight w:val="0"/>
      <w:marTop w:val="0"/>
      <w:marBottom w:val="0"/>
      <w:divBdr>
        <w:top w:val="none" w:sz="0" w:space="0" w:color="auto"/>
        <w:left w:val="none" w:sz="0" w:space="0" w:color="auto"/>
        <w:bottom w:val="none" w:sz="0" w:space="0" w:color="auto"/>
        <w:right w:val="none" w:sz="0" w:space="0" w:color="auto"/>
      </w:divBdr>
    </w:div>
    <w:div w:id="871918658">
      <w:bodyDiv w:val="1"/>
      <w:marLeft w:val="0"/>
      <w:marRight w:val="0"/>
      <w:marTop w:val="0"/>
      <w:marBottom w:val="0"/>
      <w:divBdr>
        <w:top w:val="none" w:sz="0" w:space="0" w:color="auto"/>
        <w:left w:val="none" w:sz="0" w:space="0" w:color="auto"/>
        <w:bottom w:val="none" w:sz="0" w:space="0" w:color="auto"/>
        <w:right w:val="none" w:sz="0" w:space="0" w:color="auto"/>
      </w:divBdr>
    </w:div>
    <w:div w:id="885528776">
      <w:bodyDiv w:val="1"/>
      <w:marLeft w:val="0"/>
      <w:marRight w:val="0"/>
      <w:marTop w:val="0"/>
      <w:marBottom w:val="0"/>
      <w:divBdr>
        <w:top w:val="none" w:sz="0" w:space="0" w:color="auto"/>
        <w:left w:val="none" w:sz="0" w:space="0" w:color="auto"/>
        <w:bottom w:val="none" w:sz="0" w:space="0" w:color="auto"/>
        <w:right w:val="none" w:sz="0" w:space="0" w:color="auto"/>
      </w:divBdr>
    </w:div>
    <w:div w:id="1060638128">
      <w:bodyDiv w:val="1"/>
      <w:marLeft w:val="0"/>
      <w:marRight w:val="0"/>
      <w:marTop w:val="0"/>
      <w:marBottom w:val="0"/>
      <w:divBdr>
        <w:top w:val="none" w:sz="0" w:space="0" w:color="auto"/>
        <w:left w:val="none" w:sz="0" w:space="0" w:color="auto"/>
        <w:bottom w:val="none" w:sz="0" w:space="0" w:color="auto"/>
        <w:right w:val="none" w:sz="0" w:space="0" w:color="auto"/>
      </w:divBdr>
    </w:div>
    <w:div w:id="1107770550">
      <w:bodyDiv w:val="1"/>
      <w:marLeft w:val="0"/>
      <w:marRight w:val="0"/>
      <w:marTop w:val="0"/>
      <w:marBottom w:val="0"/>
      <w:divBdr>
        <w:top w:val="none" w:sz="0" w:space="0" w:color="auto"/>
        <w:left w:val="none" w:sz="0" w:space="0" w:color="auto"/>
        <w:bottom w:val="none" w:sz="0" w:space="0" w:color="auto"/>
        <w:right w:val="none" w:sz="0" w:space="0" w:color="auto"/>
      </w:divBdr>
    </w:div>
    <w:div w:id="1150098192">
      <w:bodyDiv w:val="1"/>
      <w:marLeft w:val="0"/>
      <w:marRight w:val="0"/>
      <w:marTop w:val="0"/>
      <w:marBottom w:val="0"/>
      <w:divBdr>
        <w:top w:val="none" w:sz="0" w:space="0" w:color="auto"/>
        <w:left w:val="none" w:sz="0" w:space="0" w:color="auto"/>
        <w:bottom w:val="none" w:sz="0" w:space="0" w:color="auto"/>
        <w:right w:val="none" w:sz="0" w:space="0" w:color="auto"/>
      </w:divBdr>
    </w:div>
    <w:div w:id="1161385989">
      <w:bodyDiv w:val="1"/>
      <w:marLeft w:val="0"/>
      <w:marRight w:val="0"/>
      <w:marTop w:val="0"/>
      <w:marBottom w:val="0"/>
      <w:divBdr>
        <w:top w:val="none" w:sz="0" w:space="0" w:color="auto"/>
        <w:left w:val="none" w:sz="0" w:space="0" w:color="auto"/>
        <w:bottom w:val="none" w:sz="0" w:space="0" w:color="auto"/>
        <w:right w:val="none" w:sz="0" w:space="0" w:color="auto"/>
      </w:divBdr>
    </w:div>
    <w:div w:id="1250041381">
      <w:bodyDiv w:val="1"/>
      <w:marLeft w:val="0"/>
      <w:marRight w:val="0"/>
      <w:marTop w:val="0"/>
      <w:marBottom w:val="0"/>
      <w:divBdr>
        <w:top w:val="none" w:sz="0" w:space="0" w:color="auto"/>
        <w:left w:val="none" w:sz="0" w:space="0" w:color="auto"/>
        <w:bottom w:val="none" w:sz="0" w:space="0" w:color="auto"/>
        <w:right w:val="none" w:sz="0" w:space="0" w:color="auto"/>
      </w:divBdr>
    </w:div>
    <w:div w:id="1633097867">
      <w:bodyDiv w:val="1"/>
      <w:marLeft w:val="0"/>
      <w:marRight w:val="0"/>
      <w:marTop w:val="0"/>
      <w:marBottom w:val="0"/>
      <w:divBdr>
        <w:top w:val="none" w:sz="0" w:space="0" w:color="auto"/>
        <w:left w:val="none" w:sz="0" w:space="0" w:color="auto"/>
        <w:bottom w:val="none" w:sz="0" w:space="0" w:color="auto"/>
        <w:right w:val="none" w:sz="0" w:space="0" w:color="auto"/>
      </w:divBdr>
    </w:div>
    <w:div w:id="1667393117">
      <w:bodyDiv w:val="1"/>
      <w:marLeft w:val="0"/>
      <w:marRight w:val="0"/>
      <w:marTop w:val="0"/>
      <w:marBottom w:val="0"/>
      <w:divBdr>
        <w:top w:val="none" w:sz="0" w:space="0" w:color="auto"/>
        <w:left w:val="none" w:sz="0" w:space="0" w:color="auto"/>
        <w:bottom w:val="none" w:sz="0" w:space="0" w:color="auto"/>
        <w:right w:val="none" w:sz="0" w:space="0" w:color="auto"/>
      </w:divBdr>
    </w:div>
    <w:div w:id="1875270350">
      <w:bodyDiv w:val="1"/>
      <w:marLeft w:val="0"/>
      <w:marRight w:val="0"/>
      <w:marTop w:val="0"/>
      <w:marBottom w:val="0"/>
      <w:divBdr>
        <w:top w:val="none" w:sz="0" w:space="0" w:color="auto"/>
        <w:left w:val="none" w:sz="0" w:space="0" w:color="auto"/>
        <w:bottom w:val="none" w:sz="0" w:space="0" w:color="auto"/>
        <w:right w:val="none" w:sz="0" w:space="0" w:color="auto"/>
      </w:divBdr>
    </w:div>
    <w:div w:id="1910964325">
      <w:bodyDiv w:val="1"/>
      <w:marLeft w:val="0"/>
      <w:marRight w:val="0"/>
      <w:marTop w:val="0"/>
      <w:marBottom w:val="0"/>
      <w:divBdr>
        <w:top w:val="none" w:sz="0" w:space="0" w:color="auto"/>
        <w:left w:val="none" w:sz="0" w:space="0" w:color="auto"/>
        <w:bottom w:val="none" w:sz="0" w:space="0" w:color="auto"/>
        <w:right w:val="none" w:sz="0" w:space="0" w:color="auto"/>
      </w:divBdr>
    </w:div>
    <w:div w:id="1944651986">
      <w:bodyDiv w:val="1"/>
      <w:marLeft w:val="0"/>
      <w:marRight w:val="0"/>
      <w:marTop w:val="0"/>
      <w:marBottom w:val="0"/>
      <w:divBdr>
        <w:top w:val="none" w:sz="0" w:space="0" w:color="auto"/>
        <w:left w:val="none" w:sz="0" w:space="0" w:color="auto"/>
        <w:bottom w:val="none" w:sz="0" w:space="0" w:color="auto"/>
        <w:right w:val="none" w:sz="0" w:space="0" w:color="auto"/>
      </w:divBdr>
    </w:div>
    <w:div w:id="1946184087">
      <w:bodyDiv w:val="1"/>
      <w:marLeft w:val="0"/>
      <w:marRight w:val="0"/>
      <w:marTop w:val="0"/>
      <w:marBottom w:val="0"/>
      <w:divBdr>
        <w:top w:val="none" w:sz="0" w:space="0" w:color="auto"/>
        <w:left w:val="none" w:sz="0" w:space="0" w:color="auto"/>
        <w:bottom w:val="none" w:sz="0" w:space="0" w:color="auto"/>
        <w:right w:val="none" w:sz="0" w:space="0" w:color="auto"/>
      </w:divBdr>
    </w:div>
    <w:div w:id="201819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owerandsamplesize.com/Calcul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ADD33-60AD-4296-A886-1E925D92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5444</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Kindelberger</dc:creator>
  <cp:lastModifiedBy>SYSTEM</cp:lastModifiedBy>
  <cp:revision>2</cp:revision>
  <cp:lastPrinted>2017-06-21T14:40:00Z</cp:lastPrinted>
  <dcterms:created xsi:type="dcterms:W3CDTF">2018-02-14T00:18:00Z</dcterms:created>
  <dcterms:modified xsi:type="dcterms:W3CDTF">2018-02-14T00:18:00Z</dcterms:modified>
</cp:coreProperties>
</file>