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E61B9" w14:textId="77777777" w:rsidR="00A72BB9" w:rsidRPr="009B6785" w:rsidRDefault="00A72BB9" w:rsidP="005845C5">
      <w:pPr>
        <w:spacing w:after="0" w:line="240" w:lineRule="auto"/>
        <w:jc w:val="center"/>
        <w:rPr>
          <w:rFonts w:ascii="Times New Roman" w:hAnsi="Times New Roman" w:cs="Times New Roman"/>
          <w:sz w:val="26"/>
          <w:szCs w:val="26"/>
        </w:rPr>
      </w:pPr>
      <w:bookmarkStart w:id="0" w:name="_GoBack"/>
      <w:bookmarkEnd w:id="0"/>
      <w:r w:rsidRPr="009B6785">
        <w:rPr>
          <w:rFonts w:ascii="Times New Roman" w:hAnsi="Times New Roman" w:cs="Times New Roman"/>
          <w:sz w:val="26"/>
          <w:szCs w:val="26"/>
        </w:rPr>
        <w:t>Supporting Statement</w:t>
      </w:r>
    </w:p>
    <w:p w14:paraId="10579FF2" w14:textId="3F5728A7" w:rsidR="00A72BB9" w:rsidRPr="009B6785" w:rsidRDefault="00A72BB9" w:rsidP="005845C5">
      <w:pPr>
        <w:spacing w:after="0" w:line="240" w:lineRule="auto"/>
        <w:jc w:val="center"/>
        <w:rPr>
          <w:rFonts w:ascii="Times New Roman" w:hAnsi="Times New Roman" w:cs="Times New Roman"/>
          <w:b/>
          <w:sz w:val="26"/>
          <w:szCs w:val="26"/>
        </w:rPr>
      </w:pPr>
      <w:r w:rsidRPr="009B6785">
        <w:rPr>
          <w:rFonts w:ascii="Times New Roman" w:hAnsi="Times New Roman" w:cs="Times New Roman"/>
          <w:b/>
          <w:sz w:val="26"/>
          <w:szCs w:val="26"/>
        </w:rPr>
        <w:t>FERC-588</w:t>
      </w:r>
      <w:r w:rsidR="00826AEB">
        <w:rPr>
          <w:rFonts w:ascii="Times New Roman" w:hAnsi="Times New Roman" w:cs="Times New Roman"/>
          <w:b/>
          <w:sz w:val="26"/>
          <w:szCs w:val="26"/>
        </w:rPr>
        <w:t>,</w:t>
      </w:r>
      <w:r w:rsidRPr="009B6785">
        <w:rPr>
          <w:rFonts w:ascii="Times New Roman" w:hAnsi="Times New Roman" w:cs="Times New Roman"/>
          <w:b/>
          <w:sz w:val="26"/>
          <w:szCs w:val="26"/>
        </w:rPr>
        <w:t xml:space="preserve"> Emergency Natural Gas Transportation, </w:t>
      </w:r>
      <w:r w:rsidR="003E402D" w:rsidRPr="009B6785">
        <w:rPr>
          <w:rFonts w:ascii="Times New Roman" w:hAnsi="Times New Roman" w:cs="Times New Roman"/>
          <w:b/>
          <w:sz w:val="26"/>
          <w:szCs w:val="26"/>
        </w:rPr>
        <w:t xml:space="preserve">Sale, </w:t>
      </w:r>
      <w:r w:rsidRPr="009B6785">
        <w:rPr>
          <w:rFonts w:ascii="Times New Roman" w:hAnsi="Times New Roman" w:cs="Times New Roman"/>
          <w:b/>
          <w:sz w:val="26"/>
          <w:szCs w:val="26"/>
        </w:rPr>
        <w:t>and Exchange Transactions</w:t>
      </w:r>
    </w:p>
    <w:p w14:paraId="0C9FC110" w14:textId="77777777" w:rsidR="00A72BB9" w:rsidRPr="009B6785" w:rsidRDefault="009B6785" w:rsidP="005845C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00A72BB9" w:rsidRPr="009B6785">
        <w:rPr>
          <w:rFonts w:ascii="Times New Roman" w:hAnsi="Times New Roman" w:cs="Times New Roman"/>
          <w:sz w:val="26"/>
          <w:szCs w:val="26"/>
        </w:rPr>
        <w:t>Three-year approval for extension requested</w:t>
      </w:r>
      <w:r>
        <w:rPr>
          <w:rFonts w:ascii="Times New Roman" w:hAnsi="Times New Roman" w:cs="Times New Roman"/>
          <w:sz w:val="26"/>
          <w:szCs w:val="26"/>
        </w:rPr>
        <w:t>)</w:t>
      </w:r>
    </w:p>
    <w:p w14:paraId="67BE347D" w14:textId="77777777" w:rsidR="00A72BB9" w:rsidRPr="009B6785" w:rsidRDefault="00A72BB9" w:rsidP="005845C5">
      <w:pPr>
        <w:spacing w:after="0" w:line="240" w:lineRule="auto"/>
        <w:jc w:val="center"/>
        <w:rPr>
          <w:rFonts w:ascii="Times New Roman" w:hAnsi="Times New Roman" w:cs="Times New Roman"/>
          <w:sz w:val="26"/>
          <w:szCs w:val="26"/>
        </w:rPr>
      </w:pPr>
    </w:p>
    <w:p w14:paraId="06F089AA" w14:textId="650E06BB"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Federal Energy Regulatory Commission (FERC </w:t>
      </w:r>
      <w:r w:rsidR="003E402D" w:rsidRPr="009B6785">
        <w:rPr>
          <w:rFonts w:ascii="Times New Roman" w:hAnsi="Times New Roman" w:cs="Times New Roman"/>
          <w:sz w:val="26"/>
          <w:szCs w:val="26"/>
        </w:rPr>
        <w:t>o</w:t>
      </w:r>
      <w:r w:rsidR="003E402D">
        <w:rPr>
          <w:rFonts w:ascii="Times New Roman" w:hAnsi="Times New Roman" w:cs="Times New Roman"/>
          <w:sz w:val="26"/>
          <w:szCs w:val="26"/>
        </w:rPr>
        <w:t>r</w:t>
      </w:r>
      <w:r w:rsidR="003E402D" w:rsidRPr="009B6785">
        <w:rPr>
          <w:rFonts w:ascii="Times New Roman" w:hAnsi="Times New Roman" w:cs="Times New Roman"/>
          <w:sz w:val="26"/>
          <w:szCs w:val="26"/>
        </w:rPr>
        <w:t xml:space="preserve"> </w:t>
      </w:r>
      <w:r w:rsidRPr="009B6785">
        <w:rPr>
          <w:rFonts w:ascii="Times New Roman" w:hAnsi="Times New Roman" w:cs="Times New Roman"/>
          <w:sz w:val="26"/>
          <w:szCs w:val="26"/>
        </w:rPr>
        <w:t xml:space="preserve">Commission) requests the Office of Management and Budget (OMB) </w:t>
      </w:r>
      <w:r w:rsidR="009B6785">
        <w:rPr>
          <w:rFonts w:ascii="Times New Roman" w:hAnsi="Times New Roman" w:cs="Times New Roman"/>
          <w:sz w:val="26"/>
          <w:szCs w:val="26"/>
        </w:rPr>
        <w:t xml:space="preserve">extend its </w:t>
      </w:r>
      <w:r w:rsidRPr="009B6785">
        <w:rPr>
          <w:rFonts w:ascii="Times New Roman" w:hAnsi="Times New Roman" w:cs="Times New Roman"/>
          <w:sz w:val="26"/>
          <w:szCs w:val="26"/>
        </w:rPr>
        <w:t>approv</w:t>
      </w:r>
      <w:r w:rsidR="003E402D">
        <w:rPr>
          <w:rFonts w:ascii="Times New Roman" w:hAnsi="Times New Roman" w:cs="Times New Roman"/>
          <w:sz w:val="26"/>
          <w:szCs w:val="26"/>
        </w:rPr>
        <w:t>al</w:t>
      </w:r>
      <w:r w:rsidRPr="009B6785">
        <w:rPr>
          <w:rFonts w:ascii="Times New Roman" w:hAnsi="Times New Roman" w:cs="Times New Roman"/>
          <w:sz w:val="26"/>
          <w:szCs w:val="26"/>
        </w:rPr>
        <w:t xml:space="preserve"> </w:t>
      </w:r>
      <w:r w:rsidR="003E402D">
        <w:rPr>
          <w:rFonts w:ascii="Times New Roman" w:hAnsi="Times New Roman" w:cs="Times New Roman"/>
          <w:sz w:val="26"/>
          <w:szCs w:val="26"/>
        </w:rPr>
        <w:t xml:space="preserve">of </w:t>
      </w:r>
      <w:r w:rsidRPr="009B6785">
        <w:rPr>
          <w:rFonts w:ascii="Times New Roman" w:hAnsi="Times New Roman" w:cs="Times New Roman"/>
          <w:sz w:val="26"/>
          <w:szCs w:val="26"/>
        </w:rPr>
        <w:t>the FERC-588</w:t>
      </w:r>
      <w:r w:rsidR="009B6785">
        <w:rPr>
          <w:rFonts w:ascii="Times New Roman" w:hAnsi="Times New Roman" w:cs="Times New Roman"/>
          <w:sz w:val="26"/>
          <w:szCs w:val="26"/>
        </w:rPr>
        <w:t xml:space="preserve">, </w:t>
      </w:r>
      <w:r w:rsidRPr="009B6785">
        <w:rPr>
          <w:rFonts w:ascii="Times New Roman" w:hAnsi="Times New Roman" w:cs="Times New Roman"/>
          <w:sz w:val="26"/>
          <w:szCs w:val="26"/>
        </w:rPr>
        <w:t xml:space="preserve">Emergency Natural Gas Transportation, </w:t>
      </w:r>
      <w:r w:rsidR="003E402D" w:rsidRPr="009B6785">
        <w:rPr>
          <w:rFonts w:ascii="Times New Roman" w:hAnsi="Times New Roman" w:cs="Times New Roman"/>
          <w:sz w:val="26"/>
          <w:szCs w:val="26"/>
        </w:rPr>
        <w:t xml:space="preserve">Sale, </w:t>
      </w:r>
      <w:r w:rsidRPr="009B6785">
        <w:rPr>
          <w:rFonts w:ascii="Times New Roman" w:hAnsi="Times New Roman" w:cs="Times New Roman"/>
          <w:sz w:val="26"/>
          <w:szCs w:val="26"/>
        </w:rPr>
        <w:t>and Exchange Transactions</w:t>
      </w:r>
      <w:r w:rsidR="009B6785">
        <w:rPr>
          <w:rFonts w:ascii="Times New Roman" w:hAnsi="Times New Roman" w:cs="Times New Roman"/>
          <w:sz w:val="26"/>
          <w:szCs w:val="26"/>
        </w:rPr>
        <w:t>, for an additional three years.  FERC-588 is an existing</w:t>
      </w:r>
      <w:r w:rsidRPr="009B6785">
        <w:rPr>
          <w:rFonts w:ascii="Times New Roman" w:hAnsi="Times New Roman" w:cs="Times New Roman"/>
          <w:sz w:val="26"/>
          <w:szCs w:val="26"/>
        </w:rPr>
        <w:t xml:space="preserve"> information collection </w:t>
      </w:r>
      <w:r w:rsidR="009B6785">
        <w:rPr>
          <w:rFonts w:ascii="Times New Roman" w:hAnsi="Times New Roman" w:cs="Times New Roman"/>
          <w:sz w:val="26"/>
          <w:szCs w:val="26"/>
        </w:rPr>
        <w:t>(</w:t>
      </w:r>
      <w:r w:rsidRPr="009B6785">
        <w:rPr>
          <w:rFonts w:ascii="Times New Roman" w:hAnsi="Times New Roman" w:cs="Times New Roman"/>
          <w:sz w:val="26"/>
          <w:szCs w:val="26"/>
        </w:rPr>
        <w:t>OMB Control No. 1902-0144</w:t>
      </w:r>
      <w:r w:rsidR="009B6785">
        <w:rPr>
          <w:rFonts w:ascii="Times New Roman" w:hAnsi="Times New Roman" w:cs="Times New Roman"/>
          <w:sz w:val="26"/>
          <w:szCs w:val="26"/>
        </w:rPr>
        <w:t>)</w:t>
      </w:r>
      <w:r w:rsidR="00992DE5">
        <w:rPr>
          <w:rFonts w:ascii="Times New Roman" w:hAnsi="Times New Roman" w:cs="Times New Roman"/>
          <w:sz w:val="26"/>
          <w:szCs w:val="26"/>
        </w:rPr>
        <w:t xml:space="preserve"> consisting of filing requirements and notice procedures as contained in </w:t>
      </w:r>
      <w:r w:rsidRPr="009B6785">
        <w:rPr>
          <w:rFonts w:ascii="Times New Roman" w:hAnsi="Times New Roman" w:cs="Times New Roman"/>
          <w:sz w:val="26"/>
          <w:szCs w:val="26"/>
        </w:rPr>
        <w:t>18 Code of Federal Regulations (CFR) 284.262 and 284.270.</w:t>
      </w:r>
    </w:p>
    <w:p w14:paraId="54DDE199" w14:textId="77777777" w:rsidR="00A72BB9" w:rsidRPr="009B6785" w:rsidRDefault="00A72BB9" w:rsidP="005845C5">
      <w:pPr>
        <w:spacing w:after="0" w:line="240" w:lineRule="auto"/>
        <w:rPr>
          <w:rFonts w:ascii="Times New Roman" w:hAnsi="Times New Roman" w:cs="Times New Roman"/>
          <w:sz w:val="26"/>
          <w:szCs w:val="26"/>
        </w:rPr>
      </w:pPr>
    </w:p>
    <w:p w14:paraId="5F24962D"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CIRCUMSTANCES THAT MAKE THE COLLECTION OF INFORMATION NECESSARY</w:t>
      </w:r>
    </w:p>
    <w:p w14:paraId="19A23642" w14:textId="77777777" w:rsidR="00A72BB9" w:rsidRPr="009B6785" w:rsidRDefault="00A72BB9" w:rsidP="005845C5">
      <w:pPr>
        <w:spacing w:after="0" w:line="240" w:lineRule="auto"/>
        <w:rPr>
          <w:rFonts w:ascii="Times New Roman" w:hAnsi="Times New Roman" w:cs="Times New Roman"/>
          <w:sz w:val="26"/>
          <w:szCs w:val="26"/>
        </w:rPr>
      </w:pPr>
    </w:p>
    <w:p w14:paraId="7F0849C1"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Section 7(c) of the Natural Gas Act (NGA)</w:t>
      </w:r>
      <w:r w:rsidRPr="009B6785">
        <w:rPr>
          <w:rStyle w:val="FootnoteReference"/>
          <w:rFonts w:ascii="Times New Roman" w:hAnsi="Times New Roman" w:cs="Times New Roman"/>
          <w:sz w:val="26"/>
          <w:szCs w:val="26"/>
          <w:vertAlign w:val="superscript"/>
        </w:rPr>
        <w:footnoteReference w:id="2"/>
      </w:r>
      <w:r w:rsidRPr="009B6785">
        <w:rPr>
          <w:rFonts w:ascii="Times New Roman" w:hAnsi="Times New Roman" w:cs="Times New Roman"/>
          <w:sz w:val="26"/>
          <w:szCs w:val="26"/>
          <w:vertAlign w:val="superscript"/>
        </w:rPr>
        <w:t xml:space="preserve"> </w:t>
      </w:r>
      <w:r w:rsidRPr="009B6785">
        <w:rPr>
          <w:rFonts w:ascii="Times New Roman" w:hAnsi="Times New Roman" w:cs="Times New Roman"/>
          <w:sz w:val="26"/>
          <w:szCs w:val="26"/>
        </w:rPr>
        <w:t>provides that every jurisdictional natural gas company must obtain Commission authorization of a certificate of public convenience and necessity before transporting or selling gas, or constructing or operating facilities.</w:t>
      </w:r>
    </w:p>
    <w:p w14:paraId="7C0271C3" w14:textId="77777777" w:rsidR="00A72BB9" w:rsidRPr="009B6785" w:rsidRDefault="00A72BB9" w:rsidP="005845C5">
      <w:pPr>
        <w:spacing w:after="0" w:line="240" w:lineRule="auto"/>
        <w:rPr>
          <w:rFonts w:ascii="Times New Roman" w:hAnsi="Times New Roman" w:cs="Times New Roman"/>
          <w:sz w:val="26"/>
          <w:szCs w:val="26"/>
        </w:rPr>
      </w:pPr>
    </w:p>
    <w:p w14:paraId="04D34167" w14:textId="17EC8BB3"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However, Section 7(c)(1)(b) of the NGA provides two exceptions to this certificate requirement:</w:t>
      </w:r>
    </w:p>
    <w:p w14:paraId="3780ADC3" w14:textId="77777777" w:rsidR="00A72BB9" w:rsidRPr="009B6785" w:rsidRDefault="00A72BB9" w:rsidP="005845C5">
      <w:pPr>
        <w:pStyle w:val="ListParagraph"/>
        <w:numPr>
          <w:ilvl w:val="0"/>
          <w:numId w:val="2"/>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Authorization of the issuance of a temporary certificate during emergencies pending a determination of a regular application; and</w:t>
      </w:r>
    </w:p>
    <w:p w14:paraId="5E96E529" w14:textId="77777777" w:rsidR="00A72BB9" w:rsidRPr="009B6785" w:rsidRDefault="00A72BB9" w:rsidP="005845C5">
      <w:pPr>
        <w:pStyle w:val="ListParagraph"/>
        <w:numPr>
          <w:ilvl w:val="0"/>
          <w:numId w:val="2"/>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Exemption from the certificate requirements during which temporary acts or operations for which the issuance of a certificate will not be required in the public interest.”</w:t>
      </w:r>
      <w:r w:rsidRPr="009B6785">
        <w:rPr>
          <w:rFonts w:ascii="Times New Roman" w:hAnsi="Times New Roman" w:cs="Times New Roman"/>
          <w:b/>
          <w:sz w:val="26"/>
          <w:szCs w:val="26"/>
          <w:vertAlign w:val="superscript"/>
        </w:rPr>
        <w:footnoteReference w:id="3"/>
      </w:r>
      <w:r w:rsidRPr="009B6785">
        <w:rPr>
          <w:rFonts w:ascii="Times New Roman" w:hAnsi="Times New Roman" w:cs="Times New Roman"/>
          <w:sz w:val="26"/>
          <w:szCs w:val="26"/>
        </w:rPr>
        <w:t xml:space="preserve">  </w:t>
      </w:r>
    </w:p>
    <w:p w14:paraId="5DE22F22" w14:textId="77777777" w:rsidR="00A72BB9" w:rsidRPr="009B6785" w:rsidRDefault="00A72BB9" w:rsidP="005845C5">
      <w:pPr>
        <w:spacing w:after="0" w:line="240" w:lineRule="auto"/>
        <w:rPr>
          <w:rFonts w:ascii="Times New Roman" w:hAnsi="Times New Roman" w:cs="Times New Roman"/>
          <w:sz w:val="26"/>
          <w:szCs w:val="26"/>
        </w:rPr>
      </w:pPr>
    </w:p>
    <w:p w14:paraId="49371201"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Emergency is defined as any situation in which an actual or expected shortage of gas supply would require an interstate pipeline company, intrastate pipeline, local distribution company, or Hinshaw pipeline to curtail deliveries of gas or provide less than the projected level of service to any customer.  A sudden unanticipated loss of natural gas </w:t>
      </w:r>
      <w:r w:rsidRPr="009B6785">
        <w:rPr>
          <w:rFonts w:ascii="Times New Roman" w:hAnsi="Times New Roman" w:cs="Times New Roman"/>
          <w:sz w:val="26"/>
          <w:szCs w:val="26"/>
        </w:rPr>
        <w:lastRenderedPageBreak/>
        <w:t xml:space="preserve">supply or sudden unanticipated increase in demand or any situation in which the participant, in good faith, determines that immediate action is required for the protection of life or health or the maintenance of physical property are also emergencies.  </w:t>
      </w:r>
    </w:p>
    <w:p w14:paraId="60BA845B" w14:textId="77777777" w:rsidR="00A72BB9" w:rsidRPr="009B6785" w:rsidRDefault="00A72BB9" w:rsidP="005845C5">
      <w:pPr>
        <w:spacing w:after="0" w:line="240" w:lineRule="auto"/>
        <w:rPr>
          <w:rFonts w:ascii="Times New Roman" w:hAnsi="Times New Roman" w:cs="Times New Roman"/>
          <w:sz w:val="26"/>
          <w:szCs w:val="26"/>
        </w:rPr>
      </w:pPr>
    </w:p>
    <w:p w14:paraId="6E7488A6"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HOW, BY WHOM, AND FOR WHAT PURPOSE THE INFORMATION IS TO BE USED AND THE CONSEQUENCES OF NOT COLLECTING THE INFORMATION</w:t>
      </w:r>
    </w:p>
    <w:p w14:paraId="07AB303C" w14:textId="77777777" w:rsidR="00A72BB9" w:rsidRPr="009B6785" w:rsidRDefault="00A72BB9" w:rsidP="005845C5">
      <w:pPr>
        <w:spacing w:after="0" w:line="240" w:lineRule="auto"/>
        <w:rPr>
          <w:rFonts w:ascii="Times New Roman" w:hAnsi="Times New Roman" w:cs="Times New Roman"/>
          <w:sz w:val="26"/>
          <w:szCs w:val="26"/>
        </w:rPr>
      </w:pPr>
    </w:p>
    <w:p w14:paraId="4D661EE0"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natural gas companies file the necessary information with the Commission so that Commission staff can determine from the data if the transaction qualifies for exemption.  There are three elements to the collection: </w:t>
      </w:r>
    </w:p>
    <w:p w14:paraId="61BB503D" w14:textId="77777777" w:rsidR="00A72BB9" w:rsidRPr="009B6785" w:rsidRDefault="00A72BB9" w:rsidP="005845C5">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A report within forty-eight hours of the commencement of the transportation, sale, or exchange;</w:t>
      </w:r>
    </w:p>
    <w:p w14:paraId="6A021E55" w14:textId="77777777" w:rsidR="00A72BB9" w:rsidRPr="009B6785" w:rsidRDefault="00A72BB9" w:rsidP="005845C5">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A request to extend the sixty-day term of the emergency transportation, if needed; and </w:t>
      </w:r>
    </w:p>
    <w:p w14:paraId="6E528B7A" w14:textId="77777777" w:rsidR="00A72BB9" w:rsidRPr="009B6785" w:rsidRDefault="00A72BB9" w:rsidP="005845C5">
      <w:pPr>
        <w:pStyle w:val="ListParagraph"/>
        <w:numPr>
          <w:ilvl w:val="0"/>
          <w:numId w:val="3"/>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A termination report.  </w:t>
      </w:r>
    </w:p>
    <w:p w14:paraId="6FBDB709" w14:textId="77777777" w:rsidR="00A72BB9" w:rsidRPr="009B6785" w:rsidRDefault="00A72BB9" w:rsidP="005845C5">
      <w:pPr>
        <w:spacing w:after="0" w:line="240" w:lineRule="auto"/>
        <w:rPr>
          <w:rFonts w:ascii="Times New Roman" w:hAnsi="Times New Roman" w:cs="Times New Roman"/>
          <w:sz w:val="26"/>
          <w:szCs w:val="26"/>
        </w:rPr>
      </w:pPr>
    </w:p>
    <w:p w14:paraId="5C23CDE0"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data required to be filed for the 48-hour report and the termination report consist of: </w:t>
      </w:r>
    </w:p>
    <w:p w14:paraId="649E0315" w14:textId="77777777" w:rsidR="00A72BB9" w:rsidRPr="009B6785" w:rsidRDefault="00A72BB9" w:rsidP="005845C5">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dates the transaction commenced and terminated; </w:t>
      </w:r>
    </w:p>
    <w:p w14:paraId="1CE92E5F" w14:textId="77777777" w:rsidR="00A72BB9" w:rsidRPr="009B6785" w:rsidRDefault="00A72BB9" w:rsidP="005845C5">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nature of the emergency;</w:t>
      </w:r>
    </w:p>
    <w:p w14:paraId="38A4C203" w14:textId="77777777" w:rsidR="00A72BB9" w:rsidRPr="009B6785" w:rsidRDefault="00A72BB9" w:rsidP="005845C5">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total amount and average daily amount of emergency natural gas to be or that was purchased, exchanged or transported;</w:t>
      </w:r>
    </w:p>
    <w:p w14:paraId="23B3BC37" w14:textId="77777777" w:rsidR="00A72BB9" w:rsidRPr="009B6785" w:rsidRDefault="00A72BB9" w:rsidP="005845C5">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purchase price of the gas; </w:t>
      </w:r>
    </w:p>
    <w:p w14:paraId="41485CA0" w14:textId="77777777" w:rsidR="00A72BB9" w:rsidRPr="009B6785" w:rsidRDefault="00A72BB9" w:rsidP="005845C5">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transportation rate; </w:t>
      </w:r>
    </w:p>
    <w:p w14:paraId="10164D61" w14:textId="77777777" w:rsidR="00A72BB9" w:rsidRPr="009B6785" w:rsidRDefault="00A72BB9" w:rsidP="005845C5">
      <w:pPr>
        <w:pStyle w:val="ListParagraph"/>
        <w:numPr>
          <w:ilvl w:val="0"/>
          <w:numId w:val="4"/>
        </w:num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identity of all the participants.</w:t>
      </w:r>
    </w:p>
    <w:p w14:paraId="42A34141" w14:textId="77777777" w:rsidR="00A72BB9" w:rsidRPr="009B6785" w:rsidRDefault="00A72BB9" w:rsidP="005845C5">
      <w:pPr>
        <w:pStyle w:val="ListParagraph"/>
        <w:spacing w:after="0" w:line="240" w:lineRule="auto"/>
        <w:rPr>
          <w:rFonts w:ascii="Times New Roman" w:hAnsi="Times New Roman" w:cs="Times New Roman"/>
          <w:sz w:val="26"/>
          <w:szCs w:val="26"/>
        </w:rPr>
      </w:pPr>
    </w:p>
    <w:p w14:paraId="0C0B2B3D"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Commission’s Office of Energy Market Regulation (OEMR) is responsible for evaluation and processing of data related to service emergencies under Section 375.307(a)(9)(v) of the regulations.  The Office of Energy Projects (OEP) is responsible for evaluation and processing of data related to facility emergencies under Section 375.308(w)(3) of the Commission’s regulations.  The consequence of not collecting FERC-588 data is that these offices will be unable to fulfill their statutory obligations per Section 7(c) of the NGA.</w:t>
      </w:r>
    </w:p>
    <w:p w14:paraId="238687B9" w14:textId="77777777" w:rsidR="00A72BB9" w:rsidRPr="009B6785" w:rsidRDefault="00A72BB9" w:rsidP="005845C5">
      <w:pPr>
        <w:spacing w:after="0" w:line="240" w:lineRule="auto"/>
        <w:rPr>
          <w:rFonts w:ascii="Times New Roman" w:hAnsi="Times New Roman" w:cs="Times New Roman"/>
          <w:sz w:val="26"/>
          <w:szCs w:val="26"/>
        </w:rPr>
      </w:pPr>
    </w:p>
    <w:p w14:paraId="7B117F66"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ANY CONSIDERATION OF THE USE OF IMPROVED INFORMATION TECHNOLOGY TO REDUCE THE BURDEN AND TECHNICAL OR LEGAL OBSTACLES TO REDUCING BURDEN</w:t>
      </w:r>
    </w:p>
    <w:p w14:paraId="695158EC" w14:textId="77777777" w:rsidR="00A72BB9" w:rsidRPr="009B6785" w:rsidRDefault="00A72BB9" w:rsidP="005845C5">
      <w:pPr>
        <w:spacing w:after="0" w:line="240" w:lineRule="auto"/>
        <w:rPr>
          <w:rFonts w:ascii="Times New Roman" w:hAnsi="Times New Roman" w:cs="Times New Roman"/>
          <w:sz w:val="26"/>
          <w:szCs w:val="26"/>
        </w:rPr>
      </w:pPr>
    </w:p>
    <w:p w14:paraId="70CD5316"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FERC continually considers the use of improved information technology to reduce burden in the filing requirements for submission of information.</w:t>
      </w:r>
    </w:p>
    <w:p w14:paraId="0FF96EC7" w14:textId="77777777" w:rsidR="00A72BB9" w:rsidRPr="009B6785" w:rsidRDefault="00A72BB9" w:rsidP="005845C5">
      <w:pPr>
        <w:spacing w:after="0" w:line="240" w:lineRule="auto"/>
        <w:rPr>
          <w:rFonts w:ascii="Times New Roman" w:hAnsi="Times New Roman" w:cs="Times New Roman"/>
          <w:sz w:val="26"/>
          <w:szCs w:val="26"/>
        </w:rPr>
      </w:pPr>
    </w:p>
    <w:p w14:paraId="6F1B7E77"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lastRenderedPageBreak/>
        <w:t xml:space="preserve">The FERC-588 application can be submitted via FERC’s eFiling system.  See </w:t>
      </w:r>
      <w:hyperlink r:id="rId13" w:history="1">
        <w:r w:rsidRPr="009B6785">
          <w:rPr>
            <w:rStyle w:val="Hyperlink"/>
            <w:rFonts w:ascii="Times New Roman" w:hAnsi="Times New Roman" w:cs="Times New Roman"/>
            <w:sz w:val="26"/>
            <w:szCs w:val="26"/>
          </w:rPr>
          <w:t>http://www.ferc.gov/docs-filing/efiling.asp</w:t>
        </w:r>
      </w:hyperlink>
      <w:r w:rsidRPr="009B6785">
        <w:rPr>
          <w:rFonts w:ascii="Times New Roman" w:hAnsi="Times New Roman" w:cs="Times New Roman"/>
          <w:sz w:val="26"/>
          <w:szCs w:val="26"/>
        </w:rPr>
        <w:t xml:space="preserve"> for more details and information.</w:t>
      </w:r>
    </w:p>
    <w:p w14:paraId="0CCF8196" w14:textId="77777777" w:rsidR="00A72BB9" w:rsidRPr="009B6785" w:rsidRDefault="00A72BB9" w:rsidP="005845C5">
      <w:pPr>
        <w:spacing w:after="0" w:line="240" w:lineRule="auto"/>
        <w:rPr>
          <w:rFonts w:ascii="Times New Roman" w:hAnsi="Times New Roman" w:cs="Times New Roman"/>
          <w:sz w:val="26"/>
          <w:szCs w:val="26"/>
        </w:rPr>
      </w:pPr>
    </w:p>
    <w:p w14:paraId="0FAB0FC4"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3088957D" w14:textId="77777777" w:rsidR="00A72BB9" w:rsidRPr="009B6785" w:rsidRDefault="00A72BB9" w:rsidP="005845C5">
      <w:pPr>
        <w:spacing w:after="0" w:line="240" w:lineRule="auto"/>
        <w:rPr>
          <w:rFonts w:ascii="Times New Roman" w:hAnsi="Times New Roman" w:cs="Times New Roman"/>
          <w:sz w:val="26"/>
          <w:szCs w:val="26"/>
        </w:rPr>
      </w:pPr>
    </w:p>
    <w:p w14:paraId="02DBBA99" w14:textId="787D61FA"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Commission periodically reviews filing requirements as OMB review dates arise, expiration dates approach, or as the Commission may deem necessary in carrying out its responsibilities under the</w:t>
      </w:r>
      <w:r w:rsidR="00AE1426" w:rsidRPr="00AE1426">
        <w:rPr>
          <w:sz w:val="26"/>
          <w:szCs w:val="26"/>
        </w:rPr>
        <w:t xml:space="preserve"> </w:t>
      </w:r>
      <w:r w:rsidR="00AE1426" w:rsidRPr="009B6785">
        <w:rPr>
          <w:sz w:val="26"/>
          <w:szCs w:val="26"/>
        </w:rPr>
        <w:t>Natural Gas Policy Act</w:t>
      </w:r>
      <w:r w:rsidRPr="009B6785">
        <w:rPr>
          <w:rFonts w:ascii="Times New Roman" w:hAnsi="Times New Roman" w:cs="Times New Roman"/>
          <w:sz w:val="26"/>
          <w:szCs w:val="26"/>
        </w:rPr>
        <w:t xml:space="preserve"> </w:t>
      </w:r>
      <w:r w:rsidR="00AE1426">
        <w:rPr>
          <w:rFonts w:ascii="Times New Roman" w:hAnsi="Times New Roman" w:cs="Times New Roman"/>
          <w:sz w:val="26"/>
          <w:szCs w:val="26"/>
        </w:rPr>
        <w:t>(</w:t>
      </w:r>
      <w:r w:rsidRPr="009B6785">
        <w:rPr>
          <w:rFonts w:ascii="Times New Roman" w:hAnsi="Times New Roman" w:cs="Times New Roman"/>
          <w:sz w:val="26"/>
          <w:szCs w:val="26"/>
        </w:rPr>
        <w:t>NGPA</w:t>
      </w:r>
      <w:r w:rsidR="00AE1426">
        <w:rPr>
          <w:rFonts w:ascii="Times New Roman" w:hAnsi="Times New Roman" w:cs="Times New Roman"/>
          <w:sz w:val="26"/>
          <w:szCs w:val="26"/>
        </w:rPr>
        <w:t>)</w:t>
      </w:r>
      <w:r w:rsidRPr="009B6785">
        <w:rPr>
          <w:rFonts w:ascii="Times New Roman" w:hAnsi="Times New Roman" w:cs="Times New Roman"/>
          <w:sz w:val="26"/>
          <w:szCs w:val="26"/>
        </w:rPr>
        <w:t xml:space="preserve"> and NGA in order to eliminate duplication and ensure that filing burden is minimized.  No other forms collect data similar to that collected/filed under FERC-588.</w:t>
      </w:r>
    </w:p>
    <w:p w14:paraId="42923F6C" w14:textId="77777777" w:rsidR="00A72BB9" w:rsidRPr="009B6785" w:rsidRDefault="00A72BB9" w:rsidP="005845C5">
      <w:pPr>
        <w:spacing w:after="0" w:line="240" w:lineRule="auto"/>
        <w:rPr>
          <w:rFonts w:ascii="Times New Roman" w:hAnsi="Times New Roman" w:cs="Times New Roman"/>
          <w:sz w:val="26"/>
          <w:szCs w:val="26"/>
        </w:rPr>
      </w:pPr>
    </w:p>
    <w:p w14:paraId="7F97E2C8"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METHODS USED TO MINIMIZE THE BURDEN IN COLLECTION OF INFORMATION INVOLVING SMALL ENTITIES</w:t>
      </w:r>
    </w:p>
    <w:p w14:paraId="00E40D9E" w14:textId="77777777" w:rsidR="00A72BB9" w:rsidRPr="009B6785" w:rsidRDefault="00A72BB9" w:rsidP="005845C5">
      <w:pPr>
        <w:spacing w:after="0" w:line="240" w:lineRule="auto"/>
        <w:rPr>
          <w:rFonts w:ascii="Times New Roman" w:hAnsi="Times New Roman" w:cs="Times New Roman"/>
          <w:sz w:val="26"/>
          <w:szCs w:val="26"/>
        </w:rPr>
      </w:pPr>
    </w:p>
    <w:p w14:paraId="47EB1CB9"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Commission collects FERC-588 data from interstate pipelines, intrastate pipelines or natural gas distributors (including Hinshaw pipelines) some of which may be small businesses.  The amount of reported data is the same for large and small businesses.  However, this is already the minimum that the Commission requires to determine that the transaction is authorized.  </w:t>
      </w:r>
    </w:p>
    <w:p w14:paraId="21B9B323" w14:textId="77777777" w:rsidR="00A72BB9" w:rsidRPr="009B6785" w:rsidRDefault="00A72BB9" w:rsidP="005845C5">
      <w:pPr>
        <w:spacing w:after="0" w:line="240" w:lineRule="auto"/>
        <w:rPr>
          <w:rFonts w:ascii="Times New Roman" w:hAnsi="Times New Roman" w:cs="Times New Roman"/>
          <w:sz w:val="26"/>
          <w:szCs w:val="26"/>
        </w:rPr>
      </w:pPr>
    </w:p>
    <w:p w14:paraId="6C1A010E"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CONSEQUENCE TO FEDERAL PROGRAM IF COLLECTION WERE CONDUCTED LESS FREQUENTLY</w:t>
      </w:r>
    </w:p>
    <w:p w14:paraId="3CA770E5" w14:textId="77777777" w:rsidR="00A72BB9" w:rsidRPr="009B6785" w:rsidRDefault="00A72BB9" w:rsidP="005845C5">
      <w:pPr>
        <w:spacing w:after="0" w:line="240" w:lineRule="auto"/>
        <w:rPr>
          <w:rFonts w:ascii="Times New Roman" w:hAnsi="Times New Roman" w:cs="Times New Roman"/>
          <w:sz w:val="26"/>
          <w:szCs w:val="26"/>
        </w:rPr>
      </w:pPr>
    </w:p>
    <w:p w14:paraId="7EA2CFF0"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information collection cannot be discontinued nor collected less frequently because of statutory requirements to monitor emergency transactions.  Without such information, the Commission would be unable to fulfill its statutory responsibilities under both the NGA and NGPA to exempt natural gas companies transporting, selling, or exchanging emergency natural gas.</w:t>
      </w:r>
    </w:p>
    <w:p w14:paraId="471026B8" w14:textId="77777777" w:rsidR="00A72BB9" w:rsidRPr="009B6785" w:rsidRDefault="00A72BB9" w:rsidP="005845C5">
      <w:pPr>
        <w:spacing w:after="0" w:line="240" w:lineRule="auto"/>
        <w:rPr>
          <w:rFonts w:ascii="Times New Roman" w:hAnsi="Times New Roman" w:cs="Times New Roman"/>
          <w:sz w:val="26"/>
          <w:szCs w:val="26"/>
        </w:rPr>
      </w:pPr>
    </w:p>
    <w:p w14:paraId="51AA367C"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EXPLAIN ANY SPECIAL CIRCUMSTANCES RELATING TO THE INFORMATION COLLECTION</w:t>
      </w:r>
    </w:p>
    <w:p w14:paraId="09F9247E" w14:textId="77777777" w:rsidR="00A72BB9" w:rsidRPr="009B6785" w:rsidRDefault="00A72BB9" w:rsidP="005845C5">
      <w:pPr>
        <w:spacing w:after="0" w:line="240" w:lineRule="auto"/>
        <w:rPr>
          <w:rFonts w:ascii="Times New Roman" w:hAnsi="Times New Roman" w:cs="Times New Roman"/>
          <w:sz w:val="26"/>
          <w:szCs w:val="26"/>
        </w:rPr>
      </w:pPr>
    </w:p>
    <w:p w14:paraId="35F9A966"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This collection does not have any special circumstances.</w:t>
      </w:r>
    </w:p>
    <w:p w14:paraId="45E48DAA" w14:textId="77777777" w:rsidR="00A72BB9" w:rsidRPr="009B6785" w:rsidRDefault="00A72BB9" w:rsidP="005845C5">
      <w:pPr>
        <w:spacing w:after="0" w:line="240" w:lineRule="auto"/>
        <w:rPr>
          <w:rFonts w:ascii="Times New Roman" w:hAnsi="Times New Roman" w:cs="Times New Roman"/>
          <w:sz w:val="26"/>
          <w:szCs w:val="26"/>
        </w:rPr>
      </w:pPr>
    </w:p>
    <w:p w14:paraId="6C1B83E7"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EFFORTS TO CONSULT OUTSIDE THE AGENCY: SUMMARIZE PUBLIC COMMENTS AND THE AGENCY’S RESPONSE</w:t>
      </w:r>
    </w:p>
    <w:p w14:paraId="76A02A41" w14:textId="77777777" w:rsidR="00A72BB9" w:rsidRPr="009B6785" w:rsidRDefault="00A72BB9" w:rsidP="005845C5">
      <w:pPr>
        <w:spacing w:after="0" w:line="240" w:lineRule="auto"/>
        <w:rPr>
          <w:rFonts w:ascii="Times New Roman" w:hAnsi="Times New Roman" w:cs="Times New Roman"/>
          <w:sz w:val="26"/>
          <w:szCs w:val="26"/>
        </w:rPr>
      </w:pPr>
    </w:p>
    <w:p w14:paraId="7981EAD5"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In accordance with OMB requirements, the Commission published a 60-day notice</w:t>
      </w:r>
      <w:r w:rsidRPr="009B6785">
        <w:rPr>
          <w:rStyle w:val="FootnoteReference"/>
          <w:rFonts w:ascii="Times New Roman" w:hAnsi="Times New Roman" w:cs="Times New Roman"/>
          <w:sz w:val="26"/>
          <w:szCs w:val="26"/>
          <w:vertAlign w:val="superscript"/>
        </w:rPr>
        <w:footnoteReference w:id="4"/>
      </w:r>
      <w:r w:rsidRPr="009B6785">
        <w:rPr>
          <w:rFonts w:ascii="Times New Roman" w:hAnsi="Times New Roman" w:cs="Times New Roman"/>
          <w:sz w:val="26"/>
          <w:szCs w:val="26"/>
        </w:rPr>
        <w:t xml:space="preserve"> and a 30-day notice</w:t>
      </w:r>
      <w:r w:rsidRPr="009B6785">
        <w:rPr>
          <w:rStyle w:val="FootnoteReference"/>
          <w:rFonts w:ascii="Times New Roman" w:hAnsi="Times New Roman" w:cs="Times New Roman"/>
          <w:sz w:val="26"/>
          <w:szCs w:val="26"/>
          <w:vertAlign w:val="superscript"/>
        </w:rPr>
        <w:footnoteReference w:id="5"/>
      </w:r>
      <w:r w:rsidRPr="009B6785">
        <w:rPr>
          <w:rFonts w:ascii="Times New Roman" w:hAnsi="Times New Roman" w:cs="Times New Roman"/>
          <w:sz w:val="26"/>
          <w:szCs w:val="26"/>
        </w:rPr>
        <w:t xml:space="preserve"> to the public regarding this information collection on </w:t>
      </w:r>
      <w:r w:rsidR="00D15728" w:rsidRPr="009B6785">
        <w:rPr>
          <w:rFonts w:ascii="Times New Roman" w:hAnsi="Times New Roman" w:cs="Times New Roman"/>
          <w:sz w:val="26"/>
          <w:szCs w:val="26"/>
        </w:rPr>
        <w:t>03/23/2017</w:t>
      </w:r>
      <w:r w:rsidRPr="009B6785">
        <w:rPr>
          <w:rFonts w:ascii="Times New Roman" w:hAnsi="Times New Roman" w:cs="Times New Roman"/>
          <w:sz w:val="26"/>
          <w:szCs w:val="26"/>
        </w:rPr>
        <w:t xml:space="preserve"> and </w:t>
      </w:r>
      <w:r w:rsidR="00D15728" w:rsidRPr="009B6785">
        <w:rPr>
          <w:rFonts w:ascii="Times New Roman" w:hAnsi="Times New Roman" w:cs="Times New Roman"/>
          <w:sz w:val="26"/>
          <w:szCs w:val="26"/>
        </w:rPr>
        <w:t>5/31/2017</w:t>
      </w:r>
      <w:r w:rsidRPr="009B6785">
        <w:rPr>
          <w:rFonts w:ascii="Times New Roman" w:hAnsi="Times New Roman" w:cs="Times New Roman"/>
          <w:sz w:val="26"/>
          <w:szCs w:val="26"/>
        </w:rPr>
        <w:t xml:space="preserve"> respectively.  Within the public notices, the Commission noted that it would be requesting a three-year extension of the public reporting burden.  The Commission received no comments from the public regarding this information collection.</w:t>
      </w:r>
    </w:p>
    <w:p w14:paraId="081AEAE3" w14:textId="77777777" w:rsidR="00A72BB9" w:rsidRPr="009B6785" w:rsidRDefault="00A72BB9" w:rsidP="005845C5">
      <w:pPr>
        <w:spacing w:after="0" w:line="240" w:lineRule="auto"/>
        <w:rPr>
          <w:rFonts w:ascii="Times New Roman" w:hAnsi="Times New Roman" w:cs="Times New Roman"/>
          <w:sz w:val="26"/>
          <w:szCs w:val="26"/>
        </w:rPr>
      </w:pPr>
    </w:p>
    <w:p w14:paraId="0BB1C389"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EXPLAIN ANY PAYMENT OR GIFTS TO RESPONDENTS</w:t>
      </w:r>
    </w:p>
    <w:p w14:paraId="3DA713AB" w14:textId="77777777" w:rsidR="00D15728" w:rsidRPr="009B6785" w:rsidRDefault="00D15728" w:rsidP="005845C5">
      <w:pPr>
        <w:spacing w:after="0" w:line="240" w:lineRule="auto"/>
        <w:rPr>
          <w:rFonts w:ascii="Times New Roman" w:hAnsi="Times New Roman" w:cs="Times New Roman"/>
          <w:sz w:val="26"/>
          <w:szCs w:val="26"/>
        </w:rPr>
      </w:pPr>
    </w:p>
    <w:p w14:paraId="4DAA6A1A" w14:textId="77777777" w:rsidR="00D15728" w:rsidRPr="009B6785" w:rsidRDefault="00D15728"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There are no gifts or payments given to the respondents.</w:t>
      </w:r>
    </w:p>
    <w:p w14:paraId="1DB53F44" w14:textId="77777777" w:rsidR="00A72BB9" w:rsidRPr="009B6785" w:rsidRDefault="00A72BB9" w:rsidP="005845C5">
      <w:pPr>
        <w:spacing w:after="0" w:line="240" w:lineRule="auto"/>
        <w:rPr>
          <w:rFonts w:ascii="Times New Roman" w:hAnsi="Times New Roman" w:cs="Times New Roman"/>
          <w:sz w:val="26"/>
          <w:szCs w:val="26"/>
        </w:rPr>
      </w:pPr>
    </w:p>
    <w:p w14:paraId="4D48C2AF" w14:textId="375F39AA" w:rsidR="00A72BB9" w:rsidRPr="009B6785" w:rsidRDefault="00A72BB9" w:rsidP="005845C5">
      <w:pPr>
        <w:spacing w:after="0" w:line="240" w:lineRule="auto"/>
        <w:rPr>
          <w:rFonts w:ascii="Times New Roman" w:hAnsi="Times New Roman" w:cs="Times New Roman"/>
          <w:sz w:val="26"/>
          <w:szCs w:val="26"/>
        </w:rPr>
      </w:pPr>
    </w:p>
    <w:p w14:paraId="7B618924"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DESCRIBE ANY ASSURANCE OF CONFIDENTIALITY PROVIDED TO RESPONDENTS</w:t>
      </w:r>
    </w:p>
    <w:p w14:paraId="67D7148D" w14:textId="77777777" w:rsidR="00A72BB9" w:rsidRPr="009B6785" w:rsidRDefault="00A72BB9" w:rsidP="005845C5">
      <w:pPr>
        <w:spacing w:after="0" w:line="240" w:lineRule="auto"/>
        <w:rPr>
          <w:rFonts w:ascii="Times New Roman" w:hAnsi="Times New Roman" w:cs="Times New Roman"/>
          <w:sz w:val="26"/>
          <w:szCs w:val="26"/>
        </w:rPr>
      </w:pPr>
    </w:p>
    <w:p w14:paraId="413C4368"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FERC- 588 information submitted to the Commission is made publically available.  Specific requests for confidential treatment to the extent permitted by law are considered pursuant to 18 CFR 388.112.  </w:t>
      </w:r>
    </w:p>
    <w:p w14:paraId="3FF2D2FC" w14:textId="77777777" w:rsidR="00A72BB9" w:rsidRPr="009B6785" w:rsidRDefault="00A72BB9" w:rsidP="005845C5">
      <w:pPr>
        <w:spacing w:after="0" w:line="240" w:lineRule="auto"/>
        <w:rPr>
          <w:rFonts w:ascii="Times New Roman" w:hAnsi="Times New Roman" w:cs="Times New Roman"/>
          <w:sz w:val="26"/>
          <w:szCs w:val="26"/>
        </w:rPr>
      </w:pPr>
    </w:p>
    <w:p w14:paraId="6194DE18" w14:textId="5F7F88F0" w:rsidR="00A72BB9" w:rsidRPr="009B6785" w:rsidRDefault="00A72BB9" w:rsidP="005845C5">
      <w:pPr>
        <w:spacing w:after="0" w:line="240" w:lineRule="auto"/>
        <w:rPr>
          <w:rFonts w:ascii="Times New Roman" w:hAnsi="Times New Roman" w:cs="Times New Roman"/>
          <w:sz w:val="26"/>
          <w:szCs w:val="26"/>
        </w:rPr>
      </w:pPr>
    </w:p>
    <w:p w14:paraId="271922AD"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0A54062A" w14:textId="77777777" w:rsidR="00A72BB9" w:rsidRPr="009B6785" w:rsidRDefault="00A72BB9" w:rsidP="005845C5">
      <w:pPr>
        <w:spacing w:after="0" w:line="240" w:lineRule="auto"/>
        <w:rPr>
          <w:rFonts w:ascii="Times New Roman" w:hAnsi="Times New Roman" w:cs="Times New Roman"/>
          <w:sz w:val="26"/>
          <w:szCs w:val="26"/>
        </w:rPr>
      </w:pPr>
    </w:p>
    <w:p w14:paraId="547D3F64"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There are no questions of a sensitive nature associated with the FERC-588. </w:t>
      </w:r>
    </w:p>
    <w:p w14:paraId="63F5B9C4" w14:textId="77777777" w:rsidR="00A72BB9" w:rsidRPr="009B6785" w:rsidRDefault="00A72BB9" w:rsidP="005845C5">
      <w:pPr>
        <w:spacing w:after="0" w:line="240" w:lineRule="auto"/>
        <w:rPr>
          <w:rFonts w:ascii="Times New Roman" w:hAnsi="Times New Roman" w:cs="Times New Roman"/>
          <w:sz w:val="26"/>
          <w:szCs w:val="26"/>
        </w:rPr>
      </w:pPr>
    </w:p>
    <w:p w14:paraId="64E47742"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ESTIMATED BURDEN OF COLLECTION OF INFORMATION</w:t>
      </w:r>
    </w:p>
    <w:p w14:paraId="2BBFFDC3" w14:textId="77777777" w:rsidR="00A72BB9" w:rsidRPr="009B6785" w:rsidRDefault="00A72BB9" w:rsidP="005845C5">
      <w:pPr>
        <w:spacing w:after="0" w:line="240" w:lineRule="auto"/>
        <w:rPr>
          <w:rFonts w:ascii="Times New Roman" w:hAnsi="Times New Roman" w:cs="Times New Roman"/>
          <w:sz w:val="26"/>
          <w:szCs w:val="26"/>
        </w:rPr>
      </w:pPr>
    </w:p>
    <w:p w14:paraId="7F76F30F"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 Commission estimates the Public Reporting burden for the FERC-588 information collection as follows:</w:t>
      </w:r>
    </w:p>
    <w:p w14:paraId="115782C2" w14:textId="77777777" w:rsidR="00A72BB9" w:rsidRPr="009B6785" w:rsidRDefault="00A72BB9" w:rsidP="005845C5">
      <w:pPr>
        <w:spacing w:after="0" w:line="240" w:lineRule="auto"/>
        <w:rPr>
          <w:rFonts w:ascii="Times New Roman" w:hAnsi="Times New Roman" w:cs="Times New Roman"/>
          <w:sz w:val="26"/>
          <w:szCs w:val="26"/>
        </w:rPr>
      </w:pPr>
    </w:p>
    <w:tbl>
      <w:tblPr>
        <w:tblW w:w="516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1439"/>
        <w:gridCol w:w="1439"/>
        <w:gridCol w:w="1348"/>
        <w:gridCol w:w="2431"/>
        <w:gridCol w:w="1709"/>
      </w:tblGrid>
      <w:tr w:rsidR="00A72BB9" w:rsidRPr="009B6785" w14:paraId="6544EE8D" w14:textId="77777777" w:rsidTr="005A34C3">
        <w:trPr>
          <w:cantSplit/>
        </w:trPr>
        <w:tc>
          <w:tcPr>
            <w:tcW w:w="5000" w:type="pct"/>
            <w:gridSpan w:val="6"/>
            <w:tcBorders>
              <w:bottom w:val="single" w:sz="4" w:space="0" w:color="auto"/>
            </w:tcBorders>
            <w:shd w:val="clear" w:color="auto" w:fill="D9D9D9"/>
          </w:tcPr>
          <w:p w14:paraId="65400D23"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FERC-588: Emergency Natural Gas Transportation, Sale, and Exchange Transportation</w:t>
            </w:r>
          </w:p>
        </w:tc>
      </w:tr>
      <w:tr w:rsidR="00A72BB9" w:rsidRPr="009B6785" w14:paraId="41A18794" w14:textId="77777777" w:rsidTr="005A34C3">
        <w:trPr>
          <w:cantSplit/>
        </w:trPr>
        <w:tc>
          <w:tcPr>
            <w:tcW w:w="774" w:type="pct"/>
            <w:shd w:val="clear" w:color="auto" w:fill="D9D9D9"/>
            <w:vAlign w:val="bottom"/>
          </w:tcPr>
          <w:p w14:paraId="20807436"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Number of Respondents</w:t>
            </w:r>
            <w:r w:rsidRPr="009B6785">
              <w:rPr>
                <w:rFonts w:ascii="Times New Roman" w:eastAsia="Calibri" w:hAnsi="Times New Roman" w:cs="Times New Roman"/>
                <w:b/>
                <w:sz w:val="26"/>
                <w:szCs w:val="26"/>
              </w:rPr>
              <w:br/>
              <w:t>(1)</w:t>
            </w:r>
          </w:p>
        </w:tc>
        <w:tc>
          <w:tcPr>
            <w:tcW w:w="727" w:type="pct"/>
            <w:shd w:val="clear" w:color="auto" w:fill="D9D9D9"/>
            <w:vAlign w:val="bottom"/>
          </w:tcPr>
          <w:p w14:paraId="7AF6FF0D"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Annual Number of Responses per Respondent</w:t>
            </w:r>
          </w:p>
          <w:p w14:paraId="70A381D7"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(2)</w:t>
            </w:r>
          </w:p>
        </w:tc>
        <w:tc>
          <w:tcPr>
            <w:tcW w:w="727" w:type="pct"/>
            <w:shd w:val="clear" w:color="auto" w:fill="D9D9D9"/>
            <w:vAlign w:val="bottom"/>
          </w:tcPr>
          <w:p w14:paraId="4BB91981"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Total Number of Responses (1)*(2)=(3)</w:t>
            </w:r>
          </w:p>
        </w:tc>
        <w:tc>
          <w:tcPr>
            <w:tcW w:w="681" w:type="pct"/>
            <w:shd w:val="clear" w:color="auto" w:fill="D9D9D9"/>
            <w:vAlign w:val="bottom"/>
          </w:tcPr>
          <w:p w14:paraId="17144235" w14:textId="37C1C8C4"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 xml:space="preserve">Average Burden </w:t>
            </w:r>
            <w:r w:rsidR="00934467">
              <w:rPr>
                <w:rFonts w:ascii="Times New Roman" w:eastAsia="Calibri" w:hAnsi="Times New Roman" w:cs="Times New Roman"/>
                <w:b/>
                <w:sz w:val="26"/>
                <w:szCs w:val="26"/>
              </w:rPr>
              <w:t>&amp; Cost</w:t>
            </w:r>
            <w:r w:rsidRPr="009B6785">
              <w:rPr>
                <w:rFonts w:ascii="Times New Roman" w:eastAsia="Calibri" w:hAnsi="Times New Roman" w:cs="Times New Roman"/>
                <w:b/>
                <w:sz w:val="26"/>
                <w:szCs w:val="26"/>
              </w:rPr>
              <w:t xml:space="preserve"> Per Response</w:t>
            </w:r>
            <w:r w:rsidRPr="009B6785">
              <w:rPr>
                <w:rFonts w:ascii="Times New Roman" w:eastAsia="Calibri" w:hAnsi="Times New Roman" w:cs="Times New Roman"/>
                <w:b/>
                <w:sz w:val="26"/>
                <w:szCs w:val="26"/>
                <w:vertAlign w:val="superscript"/>
              </w:rPr>
              <w:footnoteReference w:id="6"/>
            </w:r>
          </w:p>
          <w:p w14:paraId="7F3CA4A5"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(4)</w:t>
            </w:r>
          </w:p>
        </w:tc>
        <w:tc>
          <w:tcPr>
            <w:tcW w:w="1228" w:type="pct"/>
            <w:shd w:val="clear" w:color="auto" w:fill="D9D9D9"/>
            <w:vAlign w:val="bottom"/>
          </w:tcPr>
          <w:p w14:paraId="19DCEA23" w14:textId="22C7AF6C"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 xml:space="preserve">Total Annual Burden </w:t>
            </w:r>
            <w:r w:rsidR="00934467">
              <w:rPr>
                <w:rFonts w:ascii="Times New Roman" w:eastAsia="Calibri" w:hAnsi="Times New Roman" w:cs="Times New Roman"/>
                <w:b/>
                <w:sz w:val="26"/>
                <w:szCs w:val="26"/>
              </w:rPr>
              <w:t xml:space="preserve">&amp; </w:t>
            </w:r>
            <w:r w:rsidRPr="009B6785">
              <w:rPr>
                <w:rFonts w:ascii="Times New Roman" w:eastAsia="Calibri" w:hAnsi="Times New Roman" w:cs="Times New Roman"/>
                <w:b/>
                <w:sz w:val="26"/>
                <w:szCs w:val="26"/>
              </w:rPr>
              <w:t>Total Annual Cost</w:t>
            </w:r>
          </w:p>
          <w:p w14:paraId="4B0F0D24"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(3)*(4)=(5)</w:t>
            </w:r>
          </w:p>
        </w:tc>
        <w:tc>
          <w:tcPr>
            <w:tcW w:w="864" w:type="pct"/>
            <w:shd w:val="clear" w:color="auto" w:fill="D9D9D9"/>
            <w:vAlign w:val="bottom"/>
          </w:tcPr>
          <w:p w14:paraId="1B780269"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Cost per Respondent</w:t>
            </w:r>
          </w:p>
          <w:p w14:paraId="660131EF"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 xml:space="preserve"> ($)</w:t>
            </w:r>
          </w:p>
          <w:p w14:paraId="56E59C14" w14:textId="77777777" w:rsidR="00A72BB9" w:rsidRPr="009B6785" w:rsidRDefault="00A72BB9" w:rsidP="005845C5">
            <w:pPr>
              <w:spacing w:after="0" w:line="240" w:lineRule="auto"/>
              <w:jc w:val="center"/>
              <w:rPr>
                <w:rFonts w:ascii="Times New Roman" w:eastAsia="Calibri" w:hAnsi="Times New Roman" w:cs="Times New Roman"/>
                <w:b/>
                <w:sz w:val="26"/>
                <w:szCs w:val="26"/>
              </w:rPr>
            </w:pPr>
            <w:r w:rsidRPr="009B6785">
              <w:rPr>
                <w:rFonts w:ascii="Times New Roman" w:eastAsia="Calibri" w:hAnsi="Times New Roman" w:cs="Times New Roman"/>
                <w:b/>
                <w:sz w:val="26"/>
                <w:szCs w:val="26"/>
              </w:rPr>
              <w:t>(5)÷(1)</w:t>
            </w:r>
          </w:p>
        </w:tc>
      </w:tr>
      <w:tr w:rsidR="00A72BB9" w:rsidRPr="009B6785" w14:paraId="5871E851" w14:textId="77777777" w:rsidTr="005A34C3">
        <w:trPr>
          <w:cantSplit/>
        </w:trPr>
        <w:tc>
          <w:tcPr>
            <w:tcW w:w="774" w:type="pct"/>
          </w:tcPr>
          <w:p w14:paraId="6CDB0A36" w14:textId="77777777" w:rsidR="00A72BB9" w:rsidRPr="009B6785" w:rsidRDefault="00C35724" w:rsidP="005845C5">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10</w:t>
            </w:r>
          </w:p>
          <w:p w14:paraId="2A23A477" w14:textId="77777777" w:rsidR="00A72BB9" w:rsidRPr="009B6785" w:rsidRDefault="00A72BB9" w:rsidP="005845C5">
            <w:pPr>
              <w:spacing w:after="0" w:line="240" w:lineRule="auto"/>
              <w:jc w:val="right"/>
              <w:rPr>
                <w:rFonts w:ascii="Times New Roman" w:eastAsia="Calibri" w:hAnsi="Times New Roman" w:cs="Times New Roman"/>
                <w:sz w:val="26"/>
                <w:szCs w:val="26"/>
              </w:rPr>
            </w:pPr>
          </w:p>
        </w:tc>
        <w:tc>
          <w:tcPr>
            <w:tcW w:w="727" w:type="pct"/>
          </w:tcPr>
          <w:p w14:paraId="346943F8" w14:textId="77777777" w:rsidR="00A72BB9" w:rsidRPr="009B6785" w:rsidRDefault="00C35724" w:rsidP="005845C5">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727" w:type="pct"/>
          </w:tcPr>
          <w:p w14:paraId="456159A9" w14:textId="77777777" w:rsidR="00A72BB9" w:rsidRPr="009B6785" w:rsidRDefault="00C35724" w:rsidP="005845C5">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30</w:t>
            </w:r>
          </w:p>
        </w:tc>
        <w:tc>
          <w:tcPr>
            <w:tcW w:w="681" w:type="pct"/>
          </w:tcPr>
          <w:p w14:paraId="42B976B2" w14:textId="71C031F2" w:rsidR="00A72BB9" w:rsidRPr="00C35724" w:rsidRDefault="00A72BB9" w:rsidP="005845C5">
            <w:pPr>
              <w:spacing w:after="0" w:line="240" w:lineRule="auto"/>
              <w:jc w:val="right"/>
              <w:rPr>
                <w:rFonts w:ascii="Times New Roman" w:eastAsia="Calibri" w:hAnsi="Times New Roman" w:cs="Times New Roman"/>
                <w:sz w:val="26"/>
                <w:szCs w:val="26"/>
              </w:rPr>
            </w:pPr>
            <w:r w:rsidRPr="00C35724">
              <w:rPr>
                <w:rFonts w:ascii="Times New Roman" w:eastAsia="Calibri" w:hAnsi="Times New Roman" w:cs="Times New Roman"/>
                <w:sz w:val="26"/>
                <w:szCs w:val="26"/>
              </w:rPr>
              <w:t>10</w:t>
            </w:r>
            <w:r w:rsidR="00C35724">
              <w:rPr>
                <w:rFonts w:ascii="Times New Roman" w:eastAsia="Calibri" w:hAnsi="Times New Roman" w:cs="Times New Roman"/>
                <w:sz w:val="26"/>
                <w:szCs w:val="26"/>
              </w:rPr>
              <w:t xml:space="preserve"> hrs</w:t>
            </w:r>
            <w:r w:rsidR="00934467">
              <w:rPr>
                <w:rFonts w:ascii="Times New Roman" w:eastAsia="Calibri" w:hAnsi="Times New Roman" w:cs="Times New Roman"/>
                <w:sz w:val="26"/>
                <w:szCs w:val="26"/>
              </w:rPr>
              <w:t>.;</w:t>
            </w:r>
          </w:p>
          <w:p w14:paraId="600B5D62" w14:textId="77777777" w:rsidR="00A72BB9" w:rsidRPr="00C35724" w:rsidRDefault="00C35724" w:rsidP="005845C5">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$765</w:t>
            </w:r>
          </w:p>
        </w:tc>
        <w:tc>
          <w:tcPr>
            <w:tcW w:w="1228" w:type="pct"/>
          </w:tcPr>
          <w:p w14:paraId="2F0A66D3" w14:textId="2113C77E" w:rsidR="00A72BB9" w:rsidRPr="00C35724" w:rsidRDefault="00C35724" w:rsidP="005845C5">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 300 hrs</w:t>
            </w:r>
            <w:r w:rsidR="00934467">
              <w:rPr>
                <w:rFonts w:ascii="Times New Roman" w:eastAsia="Calibri" w:hAnsi="Times New Roman" w:cs="Times New Roman"/>
                <w:sz w:val="26"/>
                <w:szCs w:val="26"/>
              </w:rPr>
              <w:t xml:space="preserve">.; </w:t>
            </w:r>
          </w:p>
          <w:p w14:paraId="3D17678C" w14:textId="61A18A50" w:rsidR="00A72BB9" w:rsidRPr="00C35724" w:rsidRDefault="00C35724" w:rsidP="001E698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$22,9</w:t>
            </w:r>
            <w:r w:rsidR="001E6987">
              <w:rPr>
                <w:rFonts w:ascii="Times New Roman" w:eastAsia="Calibri" w:hAnsi="Times New Roman" w:cs="Times New Roman"/>
                <w:sz w:val="26"/>
                <w:szCs w:val="26"/>
              </w:rPr>
              <w:t>5</w:t>
            </w:r>
            <w:r>
              <w:rPr>
                <w:rFonts w:ascii="Times New Roman" w:eastAsia="Calibri" w:hAnsi="Times New Roman" w:cs="Times New Roman"/>
                <w:sz w:val="26"/>
                <w:szCs w:val="26"/>
              </w:rPr>
              <w:t>0</w:t>
            </w:r>
          </w:p>
        </w:tc>
        <w:tc>
          <w:tcPr>
            <w:tcW w:w="864" w:type="pct"/>
          </w:tcPr>
          <w:p w14:paraId="45EC36DB" w14:textId="77777777" w:rsidR="00A72BB9" w:rsidRPr="00C35724" w:rsidRDefault="00C35724" w:rsidP="005845C5">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$2,295</w:t>
            </w:r>
            <w:r w:rsidR="00A72BB9" w:rsidRPr="00C35724">
              <w:rPr>
                <w:rFonts w:ascii="Times New Roman" w:eastAsia="Calibri" w:hAnsi="Times New Roman" w:cs="Times New Roman"/>
                <w:sz w:val="26"/>
                <w:szCs w:val="26"/>
              </w:rPr>
              <w:t xml:space="preserve"> </w:t>
            </w:r>
          </w:p>
          <w:p w14:paraId="120156F6" w14:textId="77777777" w:rsidR="00A72BB9" w:rsidRPr="00C35724" w:rsidRDefault="00A72BB9" w:rsidP="005845C5">
            <w:pPr>
              <w:spacing w:after="0" w:line="240" w:lineRule="auto"/>
              <w:jc w:val="right"/>
              <w:rPr>
                <w:rFonts w:ascii="Times New Roman" w:eastAsia="Calibri" w:hAnsi="Times New Roman" w:cs="Times New Roman"/>
                <w:sz w:val="26"/>
                <w:szCs w:val="26"/>
              </w:rPr>
            </w:pPr>
          </w:p>
        </w:tc>
      </w:tr>
    </w:tbl>
    <w:p w14:paraId="24EA5A2C" w14:textId="77777777" w:rsidR="00A72BB9" w:rsidRPr="009B6785" w:rsidRDefault="00A72BB9" w:rsidP="005845C5">
      <w:pPr>
        <w:spacing w:after="0" w:line="240" w:lineRule="auto"/>
        <w:rPr>
          <w:rFonts w:ascii="Times New Roman" w:hAnsi="Times New Roman" w:cs="Times New Roman"/>
          <w:sz w:val="26"/>
          <w:szCs w:val="26"/>
        </w:rPr>
      </w:pPr>
    </w:p>
    <w:p w14:paraId="4D920F4B"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ESTIMATE OF THE TOTAL ANNUAL COST BURDEN TO RESPONDENTS</w:t>
      </w:r>
    </w:p>
    <w:p w14:paraId="77618AC2" w14:textId="77777777" w:rsidR="00A72BB9" w:rsidRPr="009B6785" w:rsidRDefault="00A72BB9" w:rsidP="005845C5">
      <w:pPr>
        <w:spacing w:after="0" w:line="240" w:lineRule="auto"/>
        <w:rPr>
          <w:rFonts w:ascii="Times New Roman" w:hAnsi="Times New Roman" w:cs="Times New Roman"/>
          <w:sz w:val="26"/>
          <w:szCs w:val="26"/>
        </w:rPr>
      </w:pPr>
    </w:p>
    <w:p w14:paraId="74151E7F" w14:textId="2B4F68B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There are no capital or start-up costs associated with</w:t>
      </w:r>
      <w:r w:rsidR="00934467">
        <w:rPr>
          <w:rFonts w:ascii="Times New Roman" w:hAnsi="Times New Roman" w:cs="Times New Roman"/>
          <w:sz w:val="26"/>
          <w:szCs w:val="26"/>
        </w:rPr>
        <w:t xml:space="preserve"> </w:t>
      </w:r>
      <w:r w:rsidRPr="009B6785">
        <w:rPr>
          <w:rFonts w:ascii="Times New Roman" w:hAnsi="Times New Roman" w:cs="Times New Roman"/>
          <w:sz w:val="26"/>
          <w:szCs w:val="26"/>
        </w:rPr>
        <w:t>FERC-588.  All of the costs are associated with the burden hours and accounted for in Questions #12 and #15.</w:t>
      </w:r>
    </w:p>
    <w:p w14:paraId="693FEF3C" w14:textId="77777777" w:rsidR="00A72BB9" w:rsidRPr="009B6785" w:rsidRDefault="00A72BB9" w:rsidP="005845C5">
      <w:pPr>
        <w:spacing w:after="0" w:line="240" w:lineRule="auto"/>
        <w:rPr>
          <w:rFonts w:ascii="Times New Roman" w:hAnsi="Times New Roman" w:cs="Times New Roman"/>
          <w:sz w:val="26"/>
          <w:szCs w:val="26"/>
        </w:rPr>
      </w:pPr>
    </w:p>
    <w:p w14:paraId="54C9CFCD"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ESTIMATED ANNUALIZED COST TO FEDERAL GOVERNMENT</w:t>
      </w:r>
    </w:p>
    <w:p w14:paraId="5D35C0BD" w14:textId="77777777" w:rsidR="00A72BB9" w:rsidRPr="009B6785" w:rsidRDefault="00A72BB9" w:rsidP="005845C5">
      <w:pPr>
        <w:spacing w:after="0" w:line="240" w:lineRule="auto"/>
        <w:rPr>
          <w:rFonts w:ascii="Times New Roman" w:hAnsi="Times New Roman" w:cs="Times New Roman"/>
          <w:sz w:val="26"/>
          <w:szCs w:val="26"/>
        </w:rPr>
      </w:pPr>
    </w:p>
    <w:p w14:paraId="7230079F"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following table contains the annualized effort and cost for FERC Form 588.  </w:t>
      </w:r>
    </w:p>
    <w:p w14:paraId="37A14D5B" w14:textId="77777777" w:rsidR="00A72BB9" w:rsidRPr="009B6785" w:rsidRDefault="00A72BB9" w:rsidP="005845C5">
      <w:pPr>
        <w:spacing w:after="0" w:line="240" w:lineRule="auto"/>
        <w:rPr>
          <w:rFonts w:ascii="Times New Roman" w:hAnsi="Times New Roman" w:cs="Times New Roman"/>
          <w:sz w:val="26"/>
          <w:szCs w:val="26"/>
        </w:rPr>
      </w:pPr>
    </w:p>
    <w:p w14:paraId="422179CB" w14:textId="77777777" w:rsidR="00A72BB9" w:rsidRPr="009B6785" w:rsidRDefault="00A72BB9" w:rsidP="005845C5">
      <w:pPr>
        <w:spacing w:after="0" w:line="240" w:lineRule="auto"/>
        <w:rPr>
          <w:rFonts w:ascii="Times New Roman" w:hAnsi="Times New Roman" w:cs="Times New Roman"/>
          <w:sz w:val="26"/>
          <w:szCs w:val="26"/>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3062"/>
      </w:tblGrid>
      <w:tr w:rsidR="00A72BB9" w:rsidRPr="009B6785" w14:paraId="2C80D8A9" w14:textId="77777777" w:rsidTr="00992DE5">
        <w:tc>
          <w:tcPr>
            <w:tcW w:w="3182" w:type="dxa"/>
            <w:shd w:val="clear" w:color="auto" w:fill="CCCCCC"/>
          </w:tcPr>
          <w:p w14:paraId="194A4381" w14:textId="77777777" w:rsidR="00A72BB9" w:rsidRPr="009B6785" w:rsidRDefault="00A72BB9" w:rsidP="005845C5">
            <w:pPr>
              <w:spacing w:after="0" w:line="240" w:lineRule="auto"/>
              <w:rPr>
                <w:rFonts w:ascii="Times New Roman" w:hAnsi="Times New Roman" w:cs="Times New Roman"/>
                <w:sz w:val="26"/>
                <w:szCs w:val="26"/>
              </w:rPr>
            </w:pPr>
          </w:p>
        </w:tc>
        <w:tc>
          <w:tcPr>
            <w:tcW w:w="3201" w:type="dxa"/>
            <w:shd w:val="clear" w:color="auto" w:fill="CCCCCC"/>
          </w:tcPr>
          <w:p w14:paraId="510C6EC6" w14:textId="77777777" w:rsidR="00A72BB9" w:rsidRPr="009B6785" w:rsidRDefault="00A72BB9" w:rsidP="005845C5">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Number of Employees (FTEs)</w:t>
            </w:r>
          </w:p>
        </w:tc>
        <w:tc>
          <w:tcPr>
            <w:tcW w:w="3062" w:type="dxa"/>
            <w:shd w:val="clear" w:color="auto" w:fill="CCCCCC"/>
          </w:tcPr>
          <w:p w14:paraId="650283A2" w14:textId="77777777" w:rsidR="00A72BB9" w:rsidRPr="009B6785" w:rsidRDefault="00A72BB9" w:rsidP="005845C5">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Estimated Annual Federal Cost</w:t>
            </w:r>
          </w:p>
        </w:tc>
      </w:tr>
      <w:tr w:rsidR="00A72BB9" w:rsidRPr="009B6785" w14:paraId="0A64A790" w14:textId="77777777" w:rsidTr="00992DE5">
        <w:tc>
          <w:tcPr>
            <w:tcW w:w="3182" w:type="dxa"/>
            <w:shd w:val="clear" w:color="auto" w:fill="auto"/>
          </w:tcPr>
          <w:p w14:paraId="66049A11" w14:textId="7777777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Analysis and Processing of filings</w:t>
            </w:r>
            <w:r w:rsidRPr="009B6785">
              <w:rPr>
                <w:rFonts w:ascii="Times New Roman" w:hAnsi="Times New Roman" w:cs="Times New Roman"/>
                <w:sz w:val="26"/>
                <w:szCs w:val="26"/>
                <w:vertAlign w:val="superscript"/>
              </w:rPr>
              <w:footnoteReference w:id="7"/>
            </w:r>
          </w:p>
        </w:tc>
        <w:tc>
          <w:tcPr>
            <w:tcW w:w="3201" w:type="dxa"/>
            <w:tcBorders>
              <w:bottom w:val="single" w:sz="4" w:space="0" w:color="auto"/>
            </w:tcBorders>
            <w:shd w:val="clear" w:color="auto" w:fill="auto"/>
            <w:vAlign w:val="center"/>
          </w:tcPr>
          <w:p w14:paraId="599773BD" w14:textId="77777777" w:rsidR="00A72BB9" w:rsidRPr="009B6785" w:rsidRDefault="00992DE5" w:rsidP="005845C5">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0.50</w:t>
            </w:r>
          </w:p>
        </w:tc>
        <w:tc>
          <w:tcPr>
            <w:tcW w:w="3062" w:type="dxa"/>
            <w:shd w:val="clear" w:color="auto" w:fill="auto"/>
            <w:vAlign w:val="center"/>
          </w:tcPr>
          <w:p w14:paraId="223FF347" w14:textId="77777777" w:rsidR="00A72BB9" w:rsidRPr="009B6785" w:rsidRDefault="00992DE5" w:rsidP="005845C5">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w:t>
            </w:r>
            <w:r w:rsidR="005704D2">
              <w:rPr>
                <w:rFonts w:ascii="Times New Roman" w:hAnsi="Times New Roman" w:cs="Times New Roman"/>
                <w:sz w:val="26"/>
                <w:szCs w:val="26"/>
              </w:rPr>
              <w:t>79,377</w:t>
            </w:r>
          </w:p>
        </w:tc>
      </w:tr>
      <w:tr w:rsidR="00A72BB9" w:rsidRPr="009B6785" w14:paraId="312F99C9" w14:textId="77777777" w:rsidTr="00992DE5">
        <w:tc>
          <w:tcPr>
            <w:tcW w:w="3182" w:type="dxa"/>
            <w:shd w:val="clear" w:color="auto" w:fill="auto"/>
          </w:tcPr>
          <w:p w14:paraId="527CFEB3" w14:textId="77777777" w:rsidR="00A72BB9" w:rsidRPr="009B6785" w:rsidRDefault="00A72BB9" w:rsidP="005845C5">
            <w:pPr>
              <w:spacing w:line="240" w:lineRule="auto"/>
              <w:rPr>
                <w:rFonts w:ascii="Times New Roman" w:hAnsi="Times New Roman" w:cs="Times New Roman"/>
                <w:sz w:val="26"/>
                <w:szCs w:val="26"/>
              </w:rPr>
            </w:pPr>
            <w:r w:rsidRPr="009B6785">
              <w:rPr>
                <w:rFonts w:ascii="Times New Roman" w:hAnsi="Times New Roman" w:cs="Times New Roman"/>
                <w:sz w:val="26"/>
                <w:szCs w:val="26"/>
              </w:rPr>
              <w:t>PRA</w:t>
            </w:r>
            <w:r w:rsidRPr="009B6785">
              <w:rPr>
                <w:rFonts w:ascii="Times New Roman" w:hAnsi="Times New Roman" w:cs="Times New Roman"/>
                <w:sz w:val="26"/>
                <w:szCs w:val="26"/>
                <w:vertAlign w:val="superscript"/>
              </w:rPr>
              <w:footnoteReference w:id="8"/>
            </w:r>
            <w:r w:rsidRPr="009B6785">
              <w:rPr>
                <w:rFonts w:ascii="Times New Roman" w:hAnsi="Times New Roman" w:cs="Times New Roman"/>
                <w:sz w:val="26"/>
                <w:szCs w:val="26"/>
              </w:rPr>
              <w:t xml:space="preserve"> Administrative Cost</w:t>
            </w:r>
            <w:r w:rsidRPr="009B6785">
              <w:rPr>
                <w:rFonts w:ascii="Times New Roman" w:hAnsi="Times New Roman" w:cs="Times New Roman"/>
                <w:sz w:val="26"/>
                <w:szCs w:val="26"/>
                <w:vertAlign w:val="superscript"/>
              </w:rPr>
              <w:footnoteReference w:id="9"/>
            </w:r>
            <w:r w:rsidRPr="009B6785">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14:paraId="20440C7E" w14:textId="77777777" w:rsidR="00A72BB9" w:rsidRPr="009B6785" w:rsidRDefault="00A72BB9" w:rsidP="005845C5">
            <w:pPr>
              <w:spacing w:after="0" w:line="240" w:lineRule="auto"/>
              <w:jc w:val="right"/>
              <w:rPr>
                <w:rFonts w:ascii="Times New Roman" w:hAnsi="Times New Roman" w:cs="Times New Roman"/>
                <w:sz w:val="26"/>
                <w:szCs w:val="26"/>
                <w:highlight w:val="yellow"/>
              </w:rPr>
            </w:pPr>
          </w:p>
        </w:tc>
        <w:tc>
          <w:tcPr>
            <w:tcW w:w="3062" w:type="dxa"/>
            <w:shd w:val="clear" w:color="auto" w:fill="auto"/>
            <w:vAlign w:val="center"/>
          </w:tcPr>
          <w:p w14:paraId="6DA01417" w14:textId="77777777" w:rsidR="00A72BB9" w:rsidRPr="009B6785" w:rsidRDefault="00992DE5" w:rsidP="005845C5">
            <w:pPr>
              <w:spacing w:after="0"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$5,723</w:t>
            </w:r>
          </w:p>
        </w:tc>
      </w:tr>
      <w:tr w:rsidR="00A72BB9" w:rsidRPr="009B6785" w14:paraId="0E2524F5" w14:textId="77777777" w:rsidTr="00992DE5">
        <w:tc>
          <w:tcPr>
            <w:tcW w:w="3182" w:type="dxa"/>
            <w:shd w:val="clear" w:color="auto" w:fill="auto"/>
          </w:tcPr>
          <w:p w14:paraId="0A2B8F5C" w14:textId="77777777" w:rsidR="00A72BB9" w:rsidRPr="009B6785" w:rsidRDefault="00A72BB9" w:rsidP="005845C5">
            <w:pPr>
              <w:spacing w:after="0" w:line="240" w:lineRule="auto"/>
              <w:rPr>
                <w:rFonts w:ascii="Times New Roman" w:hAnsi="Times New Roman" w:cs="Times New Roman"/>
                <w:b/>
                <w:sz w:val="26"/>
                <w:szCs w:val="26"/>
              </w:rPr>
            </w:pPr>
            <w:r w:rsidRPr="009B6785">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14:paraId="44278002" w14:textId="77777777" w:rsidR="00A72BB9" w:rsidRPr="009B6785" w:rsidRDefault="00A72BB9" w:rsidP="005845C5">
            <w:pPr>
              <w:spacing w:after="0" w:line="240" w:lineRule="auto"/>
              <w:jc w:val="right"/>
              <w:rPr>
                <w:rFonts w:ascii="Times New Roman" w:hAnsi="Times New Roman" w:cs="Times New Roman"/>
                <w:sz w:val="26"/>
                <w:szCs w:val="26"/>
                <w:highlight w:val="yellow"/>
              </w:rPr>
            </w:pPr>
          </w:p>
        </w:tc>
        <w:tc>
          <w:tcPr>
            <w:tcW w:w="3062" w:type="dxa"/>
            <w:shd w:val="clear" w:color="auto" w:fill="auto"/>
            <w:vAlign w:val="center"/>
          </w:tcPr>
          <w:p w14:paraId="3A66A06C" w14:textId="77777777" w:rsidR="00A72BB9" w:rsidRPr="009B6785" w:rsidRDefault="005704D2" w:rsidP="005845C5">
            <w:pPr>
              <w:spacing w:after="0" w:line="240" w:lineRule="auto"/>
              <w:jc w:val="right"/>
              <w:rPr>
                <w:rFonts w:ascii="Times New Roman" w:hAnsi="Times New Roman" w:cs="Times New Roman"/>
                <w:sz w:val="26"/>
                <w:szCs w:val="26"/>
                <w:highlight w:val="yellow"/>
              </w:rPr>
            </w:pPr>
            <w:r w:rsidRPr="005704D2">
              <w:rPr>
                <w:rFonts w:ascii="Times New Roman" w:hAnsi="Times New Roman" w:cs="Times New Roman"/>
                <w:sz w:val="26"/>
                <w:szCs w:val="26"/>
              </w:rPr>
              <w:t>$85,100</w:t>
            </w:r>
          </w:p>
        </w:tc>
      </w:tr>
    </w:tbl>
    <w:p w14:paraId="420776B0" w14:textId="77777777" w:rsidR="00A72BB9" w:rsidRPr="009B6785" w:rsidRDefault="00A72BB9" w:rsidP="005845C5">
      <w:pPr>
        <w:spacing w:after="0" w:line="240" w:lineRule="auto"/>
        <w:rPr>
          <w:rFonts w:ascii="Times New Roman" w:hAnsi="Times New Roman" w:cs="Times New Roman"/>
          <w:sz w:val="26"/>
          <w:szCs w:val="26"/>
        </w:rPr>
      </w:pPr>
    </w:p>
    <w:p w14:paraId="336113CE"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REASONS FOR CHANGES IN BURDEN INCLUDING THE NEED FOR ANY INCREASE</w:t>
      </w:r>
    </w:p>
    <w:p w14:paraId="2E41A5D2" w14:textId="77777777" w:rsidR="00A72BB9" w:rsidRPr="009B6785" w:rsidRDefault="00A72BB9" w:rsidP="005845C5">
      <w:pPr>
        <w:spacing w:after="0" w:line="240" w:lineRule="auto"/>
        <w:rPr>
          <w:rFonts w:ascii="Times New Roman" w:hAnsi="Times New Roman" w:cs="Times New Roman"/>
          <w:sz w:val="26"/>
          <w:szCs w:val="26"/>
        </w:rPr>
      </w:pPr>
    </w:p>
    <w:p w14:paraId="278336EB" w14:textId="7A46DFEA" w:rsidR="00A72BB9" w:rsidRPr="009B6785" w:rsidRDefault="00AE7AD4" w:rsidP="005845C5">
      <w:pPr>
        <w:spacing w:after="0" w:line="240" w:lineRule="auto"/>
        <w:rPr>
          <w:rFonts w:ascii="Times New Roman" w:hAnsi="Times New Roman" w:cs="Times New Roman"/>
          <w:sz w:val="26"/>
          <w:szCs w:val="26"/>
        </w:rPr>
      </w:pPr>
      <w:r>
        <w:rPr>
          <w:rFonts w:ascii="Times New Roman" w:hAnsi="Times New Roman" w:cs="Times New Roman"/>
          <w:sz w:val="26"/>
          <w:szCs w:val="26"/>
        </w:rPr>
        <w:t>T</w:t>
      </w:r>
      <w:r w:rsidR="00A72BB9" w:rsidRPr="009B6785">
        <w:rPr>
          <w:rFonts w:ascii="Times New Roman" w:hAnsi="Times New Roman" w:cs="Times New Roman"/>
          <w:sz w:val="26"/>
          <w:szCs w:val="26"/>
        </w:rPr>
        <w:t>here is a slight increase in total burden due entirely to better estimates of average burden per response.</w:t>
      </w:r>
    </w:p>
    <w:p w14:paraId="6FDE8FBD" w14:textId="77777777" w:rsidR="00A72BB9" w:rsidRPr="009B6785" w:rsidRDefault="00A72BB9" w:rsidP="005845C5">
      <w:pPr>
        <w:spacing w:after="0" w:line="240" w:lineRule="auto"/>
        <w:rPr>
          <w:rFonts w:ascii="Times New Roman" w:hAnsi="Times New Roman" w:cs="Times New Roman"/>
          <w:sz w:val="26"/>
          <w:szCs w:val="26"/>
        </w:rPr>
      </w:pPr>
    </w:p>
    <w:p w14:paraId="483D329B" w14:textId="4B19913C"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following </w:t>
      </w:r>
      <w:r w:rsidRPr="009B6785">
        <w:rPr>
          <w:rFonts w:ascii="Times New Roman" w:hAnsi="Times New Roman" w:cs="Times New Roman"/>
          <w:bCs/>
          <w:sz w:val="26"/>
          <w:szCs w:val="26"/>
        </w:rPr>
        <w:t>table shows the changes to burden hours</w:t>
      </w:r>
      <w:r w:rsidR="00B10F83">
        <w:rPr>
          <w:rFonts w:ascii="Times New Roman" w:hAnsi="Times New Roman" w:cs="Times New Roman"/>
          <w:bCs/>
          <w:sz w:val="26"/>
          <w:szCs w:val="26"/>
        </w:rPr>
        <w:t xml:space="preserve"> caused by market influx.</w:t>
      </w:r>
      <w:r w:rsidRPr="009B6785">
        <w:rPr>
          <w:rFonts w:ascii="Times New Roman" w:hAnsi="Times New Roman" w:cs="Times New Roman"/>
          <w:bCs/>
          <w:sz w:val="26"/>
          <w:szCs w:val="26"/>
        </w:rPr>
        <w:t>, current OMB-approved inventory (‘previously approved’), and the ‘total request’ for this supporting statement (as listed in ROCIS and reginfo.gov):</w:t>
      </w:r>
    </w:p>
    <w:p w14:paraId="6ECB4257" w14:textId="77777777" w:rsidR="00A72BB9" w:rsidRPr="009B6785" w:rsidRDefault="00A72BB9" w:rsidP="005845C5">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72BB9" w:rsidRPr="009B6785" w14:paraId="2BB4C859" w14:textId="77777777" w:rsidTr="005A34C3">
        <w:trPr>
          <w:trHeight w:val="870"/>
        </w:trPr>
        <w:tc>
          <w:tcPr>
            <w:tcW w:w="2679" w:type="dxa"/>
            <w:shd w:val="clear" w:color="auto" w:fill="D9D9D9"/>
            <w:vAlign w:val="bottom"/>
          </w:tcPr>
          <w:p w14:paraId="06BD023D" w14:textId="77777777" w:rsidR="00A72BB9" w:rsidRPr="009B6785" w:rsidRDefault="00A72BB9" w:rsidP="005845C5">
            <w:pPr>
              <w:spacing w:after="0" w:line="240" w:lineRule="auto"/>
              <w:jc w:val="center"/>
              <w:rPr>
                <w:rFonts w:ascii="Times New Roman" w:hAnsi="Times New Roman" w:cs="Times New Roman"/>
                <w:b/>
                <w:sz w:val="26"/>
                <w:szCs w:val="26"/>
              </w:rPr>
            </w:pPr>
            <w:r w:rsidRPr="009B6785">
              <w:rPr>
                <w:rFonts w:ascii="Times New Roman" w:hAnsi="Times New Roman" w:cs="Times New Roman"/>
                <w:b/>
                <w:sz w:val="26"/>
                <w:szCs w:val="26"/>
              </w:rPr>
              <w:t>FERC-588</w:t>
            </w:r>
          </w:p>
        </w:tc>
        <w:tc>
          <w:tcPr>
            <w:tcW w:w="1461" w:type="dxa"/>
            <w:shd w:val="clear" w:color="auto" w:fill="D9D9D9"/>
            <w:vAlign w:val="bottom"/>
          </w:tcPr>
          <w:p w14:paraId="1C0B90BD" w14:textId="77777777" w:rsidR="00A72BB9" w:rsidRPr="009B6785" w:rsidRDefault="00A72BB9" w:rsidP="005845C5">
            <w:pPr>
              <w:spacing w:after="0" w:line="240" w:lineRule="auto"/>
              <w:jc w:val="center"/>
              <w:rPr>
                <w:rFonts w:ascii="Times New Roman" w:hAnsi="Times New Roman" w:cs="Times New Roman"/>
                <w:b/>
                <w:sz w:val="26"/>
                <w:szCs w:val="26"/>
              </w:rPr>
            </w:pPr>
            <w:r w:rsidRPr="009B6785">
              <w:rPr>
                <w:rFonts w:ascii="Times New Roman" w:hAnsi="Times New Roman" w:cs="Times New Roman"/>
                <w:b/>
                <w:sz w:val="26"/>
                <w:szCs w:val="26"/>
              </w:rPr>
              <w:t>Total Request</w:t>
            </w:r>
          </w:p>
        </w:tc>
        <w:tc>
          <w:tcPr>
            <w:tcW w:w="1620" w:type="dxa"/>
            <w:shd w:val="clear" w:color="auto" w:fill="D9D9D9"/>
            <w:vAlign w:val="bottom"/>
          </w:tcPr>
          <w:p w14:paraId="02BC6D71" w14:textId="77777777" w:rsidR="00A72BB9" w:rsidRPr="009B6785" w:rsidRDefault="00A72BB9" w:rsidP="005845C5">
            <w:pPr>
              <w:spacing w:after="0" w:line="240" w:lineRule="auto"/>
              <w:jc w:val="center"/>
              <w:rPr>
                <w:rFonts w:ascii="Times New Roman" w:hAnsi="Times New Roman" w:cs="Times New Roman"/>
                <w:b/>
                <w:sz w:val="26"/>
                <w:szCs w:val="26"/>
              </w:rPr>
            </w:pPr>
            <w:r w:rsidRPr="009B6785">
              <w:rPr>
                <w:rFonts w:ascii="Times New Roman" w:hAnsi="Times New Roman" w:cs="Times New Roman"/>
                <w:b/>
                <w:sz w:val="26"/>
                <w:szCs w:val="26"/>
              </w:rPr>
              <w:t>Previously Approved</w:t>
            </w:r>
          </w:p>
        </w:tc>
        <w:tc>
          <w:tcPr>
            <w:tcW w:w="1800" w:type="dxa"/>
            <w:shd w:val="clear" w:color="auto" w:fill="D9D9D9"/>
            <w:vAlign w:val="bottom"/>
          </w:tcPr>
          <w:p w14:paraId="11BF462B" w14:textId="77777777" w:rsidR="00A72BB9" w:rsidRPr="009B6785" w:rsidRDefault="00A72BB9" w:rsidP="005845C5">
            <w:pPr>
              <w:spacing w:after="0" w:line="240" w:lineRule="auto"/>
              <w:jc w:val="center"/>
              <w:rPr>
                <w:rFonts w:ascii="Times New Roman" w:hAnsi="Times New Roman" w:cs="Times New Roman"/>
                <w:b/>
                <w:sz w:val="26"/>
                <w:szCs w:val="26"/>
              </w:rPr>
            </w:pPr>
            <w:r w:rsidRPr="009B6785">
              <w:rPr>
                <w:rFonts w:ascii="Times New Roman" w:hAnsi="Times New Roman" w:cs="Times New Roman"/>
                <w:b/>
                <w:sz w:val="26"/>
                <w:szCs w:val="26"/>
              </w:rPr>
              <w:t>Change due to Adjustment in Estimate</w:t>
            </w:r>
          </w:p>
        </w:tc>
        <w:tc>
          <w:tcPr>
            <w:tcW w:w="1800" w:type="dxa"/>
            <w:shd w:val="clear" w:color="auto" w:fill="D9D9D9"/>
            <w:vAlign w:val="bottom"/>
          </w:tcPr>
          <w:p w14:paraId="71F3A95A" w14:textId="77777777" w:rsidR="00A72BB9" w:rsidRPr="009B6785" w:rsidRDefault="00A72BB9" w:rsidP="005845C5">
            <w:pPr>
              <w:spacing w:after="0" w:line="240" w:lineRule="auto"/>
              <w:jc w:val="center"/>
              <w:rPr>
                <w:rFonts w:ascii="Times New Roman" w:hAnsi="Times New Roman" w:cs="Times New Roman"/>
                <w:b/>
                <w:sz w:val="26"/>
                <w:szCs w:val="26"/>
              </w:rPr>
            </w:pPr>
            <w:r w:rsidRPr="009B6785">
              <w:rPr>
                <w:rFonts w:ascii="Times New Roman" w:hAnsi="Times New Roman" w:cs="Times New Roman"/>
                <w:b/>
                <w:sz w:val="26"/>
                <w:szCs w:val="26"/>
              </w:rPr>
              <w:t>Change Due to Agency Discretion</w:t>
            </w:r>
          </w:p>
        </w:tc>
      </w:tr>
      <w:tr w:rsidR="00A72BB9" w:rsidRPr="009B6785" w14:paraId="2AAE88DA" w14:textId="77777777" w:rsidTr="005A34C3">
        <w:trPr>
          <w:trHeight w:val="591"/>
        </w:trPr>
        <w:tc>
          <w:tcPr>
            <w:tcW w:w="2679" w:type="dxa"/>
            <w:shd w:val="clear" w:color="auto" w:fill="auto"/>
          </w:tcPr>
          <w:p w14:paraId="5176D27A" w14:textId="77777777" w:rsidR="00A72BB9" w:rsidRPr="009B6785" w:rsidRDefault="00A72BB9" w:rsidP="005845C5">
            <w:pPr>
              <w:spacing w:after="0" w:line="240" w:lineRule="auto"/>
              <w:jc w:val="center"/>
              <w:rPr>
                <w:rFonts w:ascii="Times New Roman" w:hAnsi="Times New Roman" w:cs="Times New Roman"/>
                <w:sz w:val="26"/>
                <w:szCs w:val="26"/>
              </w:rPr>
            </w:pPr>
            <w:r w:rsidRPr="009B6785">
              <w:rPr>
                <w:rFonts w:ascii="Times New Roman" w:hAnsi="Times New Roman" w:cs="Times New Roman"/>
                <w:sz w:val="26"/>
                <w:szCs w:val="26"/>
              </w:rPr>
              <w:t>Annual Number of Responses</w:t>
            </w:r>
          </w:p>
        </w:tc>
        <w:tc>
          <w:tcPr>
            <w:tcW w:w="1461" w:type="dxa"/>
            <w:shd w:val="clear" w:color="auto" w:fill="auto"/>
            <w:vAlign w:val="center"/>
          </w:tcPr>
          <w:p w14:paraId="56756B7C" w14:textId="77777777" w:rsidR="00A72BB9" w:rsidRPr="00E277DD" w:rsidRDefault="00E277DD" w:rsidP="005845C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30</w:t>
            </w:r>
          </w:p>
        </w:tc>
        <w:tc>
          <w:tcPr>
            <w:tcW w:w="1620" w:type="dxa"/>
            <w:shd w:val="clear" w:color="auto" w:fill="auto"/>
            <w:vAlign w:val="center"/>
          </w:tcPr>
          <w:p w14:paraId="71A953BA" w14:textId="77777777" w:rsidR="00A72BB9" w:rsidRPr="00E277DD" w:rsidRDefault="00A72BB9" w:rsidP="005845C5">
            <w:pPr>
              <w:spacing w:after="0" w:line="240" w:lineRule="auto"/>
              <w:jc w:val="right"/>
              <w:rPr>
                <w:rFonts w:ascii="Times New Roman" w:hAnsi="Times New Roman" w:cs="Times New Roman"/>
                <w:sz w:val="26"/>
                <w:szCs w:val="26"/>
              </w:rPr>
            </w:pPr>
            <w:r w:rsidRPr="00E277DD">
              <w:rPr>
                <w:rFonts w:ascii="Times New Roman" w:hAnsi="Times New Roman" w:cs="Times New Roman"/>
                <w:sz w:val="26"/>
                <w:szCs w:val="26"/>
              </w:rPr>
              <w:t>8</w:t>
            </w:r>
          </w:p>
        </w:tc>
        <w:tc>
          <w:tcPr>
            <w:tcW w:w="1800" w:type="dxa"/>
            <w:shd w:val="clear" w:color="auto" w:fill="auto"/>
            <w:vAlign w:val="center"/>
          </w:tcPr>
          <w:p w14:paraId="07FE050E" w14:textId="42764823" w:rsidR="00A72BB9" w:rsidRPr="00E277DD" w:rsidRDefault="008A4655" w:rsidP="005845C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+22</w:t>
            </w:r>
          </w:p>
        </w:tc>
        <w:tc>
          <w:tcPr>
            <w:tcW w:w="1800" w:type="dxa"/>
            <w:shd w:val="clear" w:color="auto" w:fill="auto"/>
            <w:vAlign w:val="center"/>
          </w:tcPr>
          <w:p w14:paraId="37148E94" w14:textId="7B728297" w:rsidR="00A72BB9" w:rsidRPr="00E277DD" w:rsidRDefault="008A4655" w:rsidP="001E698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A72BB9" w:rsidRPr="009B6785" w14:paraId="6F017198" w14:textId="77777777" w:rsidTr="005A34C3">
        <w:trPr>
          <w:trHeight w:val="575"/>
        </w:trPr>
        <w:tc>
          <w:tcPr>
            <w:tcW w:w="2679" w:type="dxa"/>
            <w:shd w:val="clear" w:color="auto" w:fill="auto"/>
          </w:tcPr>
          <w:p w14:paraId="04C4D8CF" w14:textId="441FBA97" w:rsidR="00A72BB9" w:rsidRPr="009B6785" w:rsidRDefault="00A72BB9" w:rsidP="005845C5">
            <w:pPr>
              <w:spacing w:after="0" w:line="240" w:lineRule="auto"/>
              <w:jc w:val="center"/>
              <w:rPr>
                <w:rFonts w:ascii="Times New Roman" w:hAnsi="Times New Roman" w:cs="Times New Roman"/>
                <w:sz w:val="26"/>
                <w:szCs w:val="26"/>
              </w:rPr>
            </w:pPr>
            <w:r w:rsidRPr="009B6785">
              <w:rPr>
                <w:rFonts w:ascii="Times New Roman" w:hAnsi="Times New Roman" w:cs="Times New Roman"/>
                <w:sz w:val="26"/>
                <w:szCs w:val="26"/>
              </w:rPr>
              <w:t>Annual Time Burden (Hr</w:t>
            </w:r>
            <w:r w:rsidR="0065491E">
              <w:rPr>
                <w:rFonts w:ascii="Times New Roman" w:hAnsi="Times New Roman" w:cs="Times New Roman"/>
                <w:sz w:val="26"/>
                <w:szCs w:val="26"/>
              </w:rPr>
              <w:t>.</w:t>
            </w:r>
            <w:r w:rsidRPr="009B6785">
              <w:rPr>
                <w:rFonts w:ascii="Times New Roman" w:hAnsi="Times New Roman" w:cs="Times New Roman"/>
                <w:sz w:val="26"/>
                <w:szCs w:val="26"/>
              </w:rPr>
              <w:t>)</w:t>
            </w:r>
          </w:p>
        </w:tc>
        <w:tc>
          <w:tcPr>
            <w:tcW w:w="1461" w:type="dxa"/>
            <w:shd w:val="clear" w:color="auto" w:fill="auto"/>
            <w:vAlign w:val="center"/>
          </w:tcPr>
          <w:p w14:paraId="0EBE26DD" w14:textId="77777777" w:rsidR="00A72BB9" w:rsidRPr="00E277DD" w:rsidRDefault="00E277DD" w:rsidP="005845C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30</w:t>
            </w:r>
            <w:r w:rsidR="00A72BB9" w:rsidRPr="00E277DD">
              <w:rPr>
                <w:rFonts w:ascii="Times New Roman" w:hAnsi="Times New Roman" w:cs="Times New Roman"/>
                <w:sz w:val="26"/>
                <w:szCs w:val="26"/>
              </w:rPr>
              <w:t>0</w:t>
            </w:r>
          </w:p>
        </w:tc>
        <w:tc>
          <w:tcPr>
            <w:tcW w:w="1620" w:type="dxa"/>
            <w:shd w:val="clear" w:color="auto" w:fill="auto"/>
            <w:vAlign w:val="center"/>
          </w:tcPr>
          <w:p w14:paraId="2FE59F76" w14:textId="77777777" w:rsidR="00A72BB9" w:rsidRPr="00E277DD" w:rsidRDefault="00AF5023" w:rsidP="005845C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80</w:t>
            </w:r>
          </w:p>
        </w:tc>
        <w:tc>
          <w:tcPr>
            <w:tcW w:w="1800" w:type="dxa"/>
            <w:shd w:val="clear" w:color="auto" w:fill="auto"/>
            <w:vAlign w:val="center"/>
          </w:tcPr>
          <w:p w14:paraId="17234E08" w14:textId="4EBA364A" w:rsidR="00A72BB9" w:rsidRPr="00E277DD" w:rsidRDefault="008A4655" w:rsidP="005845C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+22</w:t>
            </w:r>
            <w:r w:rsidR="001E6987">
              <w:rPr>
                <w:rFonts w:ascii="Times New Roman" w:hAnsi="Times New Roman" w:cs="Times New Roman"/>
                <w:sz w:val="26"/>
                <w:szCs w:val="26"/>
              </w:rPr>
              <w:t>0</w:t>
            </w:r>
          </w:p>
        </w:tc>
        <w:tc>
          <w:tcPr>
            <w:tcW w:w="1800" w:type="dxa"/>
            <w:shd w:val="clear" w:color="auto" w:fill="auto"/>
            <w:vAlign w:val="center"/>
          </w:tcPr>
          <w:p w14:paraId="40754C6B" w14:textId="58C18AF9" w:rsidR="00A72BB9" w:rsidRPr="00E277DD" w:rsidRDefault="001E6987" w:rsidP="001E698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A72BB9" w:rsidRPr="009B6785" w14:paraId="79EBC45B" w14:textId="77777777" w:rsidTr="005A34C3">
        <w:trPr>
          <w:trHeight w:val="295"/>
        </w:trPr>
        <w:tc>
          <w:tcPr>
            <w:tcW w:w="2679" w:type="dxa"/>
            <w:tcBorders>
              <w:bottom w:val="single" w:sz="4" w:space="0" w:color="auto"/>
            </w:tcBorders>
            <w:shd w:val="clear" w:color="auto" w:fill="auto"/>
          </w:tcPr>
          <w:p w14:paraId="256FD46C" w14:textId="77777777" w:rsidR="00A72BB9" w:rsidRPr="009B6785" w:rsidRDefault="00A72BB9" w:rsidP="005845C5">
            <w:pPr>
              <w:spacing w:after="0" w:line="240" w:lineRule="auto"/>
              <w:jc w:val="center"/>
              <w:rPr>
                <w:rFonts w:ascii="Times New Roman" w:hAnsi="Times New Roman" w:cs="Times New Roman"/>
                <w:sz w:val="26"/>
                <w:szCs w:val="26"/>
              </w:rPr>
            </w:pPr>
            <w:r w:rsidRPr="009B6785">
              <w:rPr>
                <w:rFonts w:ascii="Times New Roman" w:hAnsi="Times New Roman" w:cs="Times New Roman"/>
                <w:sz w:val="26"/>
                <w:szCs w:val="26"/>
              </w:rPr>
              <w:t>Annual Cost Burden ($)</w:t>
            </w:r>
          </w:p>
        </w:tc>
        <w:tc>
          <w:tcPr>
            <w:tcW w:w="1461" w:type="dxa"/>
            <w:tcBorders>
              <w:bottom w:val="single" w:sz="4" w:space="0" w:color="auto"/>
            </w:tcBorders>
            <w:shd w:val="clear" w:color="auto" w:fill="auto"/>
            <w:vAlign w:val="center"/>
          </w:tcPr>
          <w:p w14:paraId="4E3504FB" w14:textId="77777777" w:rsidR="00A72BB9" w:rsidRPr="00E277DD" w:rsidRDefault="00A72BB9" w:rsidP="005845C5">
            <w:pPr>
              <w:spacing w:after="0" w:line="240" w:lineRule="auto"/>
              <w:jc w:val="right"/>
              <w:rPr>
                <w:rFonts w:ascii="Times New Roman" w:hAnsi="Times New Roman" w:cs="Times New Roman"/>
                <w:sz w:val="26"/>
                <w:szCs w:val="26"/>
              </w:rPr>
            </w:pPr>
            <w:r w:rsidRPr="00E277DD">
              <w:rPr>
                <w:rFonts w:ascii="Times New Roman" w:hAnsi="Times New Roman" w:cs="Times New Roman"/>
                <w:sz w:val="26"/>
                <w:szCs w:val="26"/>
              </w:rPr>
              <w:t>$ 0</w:t>
            </w:r>
          </w:p>
        </w:tc>
        <w:tc>
          <w:tcPr>
            <w:tcW w:w="1620" w:type="dxa"/>
            <w:tcBorders>
              <w:bottom w:val="single" w:sz="4" w:space="0" w:color="auto"/>
            </w:tcBorders>
            <w:shd w:val="clear" w:color="auto" w:fill="auto"/>
            <w:vAlign w:val="center"/>
          </w:tcPr>
          <w:p w14:paraId="630CF18A" w14:textId="77777777" w:rsidR="00A72BB9" w:rsidRPr="00E277DD" w:rsidRDefault="00A72BB9" w:rsidP="005845C5">
            <w:pPr>
              <w:spacing w:after="0" w:line="240" w:lineRule="auto"/>
              <w:jc w:val="right"/>
              <w:rPr>
                <w:rFonts w:ascii="Times New Roman" w:hAnsi="Times New Roman" w:cs="Times New Roman"/>
                <w:sz w:val="26"/>
                <w:szCs w:val="26"/>
              </w:rPr>
            </w:pPr>
            <w:r w:rsidRPr="00E277DD">
              <w:rPr>
                <w:rFonts w:ascii="Times New Roman" w:hAnsi="Times New Roman" w:cs="Times New Roman"/>
                <w:sz w:val="26"/>
                <w:szCs w:val="26"/>
              </w:rPr>
              <w:t>$ 0</w:t>
            </w:r>
          </w:p>
        </w:tc>
        <w:tc>
          <w:tcPr>
            <w:tcW w:w="1800" w:type="dxa"/>
            <w:tcBorders>
              <w:bottom w:val="single" w:sz="4" w:space="0" w:color="auto"/>
            </w:tcBorders>
            <w:shd w:val="clear" w:color="auto" w:fill="auto"/>
            <w:vAlign w:val="center"/>
          </w:tcPr>
          <w:p w14:paraId="029B2B9B" w14:textId="77777777" w:rsidR="00A72BB9" w:rsidRPr="00E277DD" w:rsidRDefault="00A72BB9" w:rsidP="005845C5">
            <w:pPr>
              <w:spacing w:after="0" w:line="240" w:lineRule="auto"/>
              <w:jc w:val="right"/>
              <w:rPr>
                <w:rFonts w:ascii="Times New Roman" w:hAnsi="Times New Roman" w:cs="Times New Roman"/>
                <w:sz w:val="26"/>
                <w:szCs w:val="26"/>
              </w:rPr>
            </w:pPr>
            <w:r w:rsidRPr="00E277DD">
              <w:rPr>
                <w:rFonts w:ascii="Times New Roman" w:hAnsi="Times New Roman" w:cs="Times New Roman"/>
                <w:sz w:val="26"/>
                <w:szCs w:val="26"/>
              </w:rPr>
              <w:t>$ 0</w:t>
            </w:r>
          </w:p>
        </w:tc>
        <w:tc>
          <w:tcPr>
            <w:tcW w:w="1800" w:type="dxa"/>
            <w:tcBorders>
              <w:bottom w:val="single" w:sz="4" w:space="0" w:color="auto"/>
            </w:tcBorders>
            <w:shd w:val="clear" w:color="auto" w:fill="auto"/>
            <w:vAlign w:val="center"/>
          </w:tcPr>
          <w:p w14:paraId="15E47F13" w14:textId="77777777" w:rsidR="00A72BB9" w:rsidRPr="00E277DD" w:rsidRDefault="00A72BB9" w:rsidP="005845C5">
            <w:pPr>
              <w:spacing w:after="0" w:line="240" w:lineRule="auto"/>
              <w:jc w:val="right"/>
              <w:rPr>
                <w:rFonts w:ascii="Times New Roman" w:hAnsi="Times New Roman" w:cs="Times New Roman"/>
                <w:sz w:val="26"/>
                <w:szCs w:val="26"/>
              </w:rPr>
            </w:pPr>
            <w:r w:rsidRPr="00E277DD">
              <w:rPr>
                <w:rFonts w:ascii="Times New Roman" w:hAnsi="Times New Roman" w:cs="Times New Roman"/>
                <w:sz w:val="26"/>
                <w:szCs w:val="26"/>
              </w:rPr>
              <w:t>$ 0</w:t>
            </w:r>
          </w:p>
        </w:tc>
      </w:tr>
    </w:tbl>
    <w:p w14:paraId="64D8E0B3" w14:textId="77777777" w:rsidR="00A72BB9" w:rsidRPr="009B6785" w:rsidRDefault="00A72BB9" w:rsidP="005845C5">
      <w:pPr>
        <w:spacing w:after="0" w:line="240" w:lineRule="auto"/>
        <w:rPr>
          <w:rFonts w:ascii="Times New Roman" w:hAnsi="Times New Roman" w:cs="Times New Roman"/>
          <w:sz w:val="26"/>
          <w:szCs w:val="26"/>
        </w:rPr>
      </w:pPr>
    </w:p>
    <w:p w14:paraId="6F3126CA"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TIME SCHEDULE FOR PUBLICATION OF DATA</w:t>
      </w:r>
    </w:p>
    <w:p w14:paraId="4BAA0593" w14:textId="77777777" w:rsidR="00A72BB9" w:rsidRPr="009B6785" w:rsidRDefault="00A72BB9" w:rsidP="005845C5">
      <w:pPr>
        <w:spacing w:after="0" w:line="240" w:lineRule="auto"/>
        <w:rPr>
          <w:rFonts w:ascii="Times New Roman" w:hAnsi="Times New Roman" w:cs="Times New Roman"/>
          <w:sz w:val="26"/>
          <w:szCs w:val="26"/>
        </w:rPr>
      </w:pPr>
    </w:p>
    <w:p w14:paraId="54A4AB59" w14:textId="14EA9337" w:rsidR="00A72BB9" w:rsidRPr="009B6785" w:rsidRDefault="00A72BB9" w:rsidP="005845C5">
      <w:pPr>
        <w:spacing w:after="0"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There are no publication plans for this collection of information.  </w:t>
      </w:r>
    </w:p>
    <w:p w14:paraId="4C4E5218" w14:textId="77777777" w:rsidR="00A72BB9" w:rsidRPr="009B6785" w:rsidRDefault="00A72BB9" w:rsidP="005845C5">
      <w:pPr>
        <w:spacing w:after="0" w:line="240" w:lineRule="auto"/>
        <w:rPr>
          <w:rFonts w:ascii="Times New Roman" w:hAnsi="Times New Roman" w:cs="Times New Roman"/>
          <w:sz w:val="26"/>
          <w:szCs w:val="26"/>
        </w:rPr>
      </w:pPr>
    </w:p>
    <w:p w14:paraId="73B0379C"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DISPLAY OF EXPIRATION DATE</w:t>
      </w:r>
    </w:p>
    <w:p w14:paraId="4A525428" w14:textId="77777777" w:rsidR="005845C5" w:rsidRPr="009B6785" w:rsidRDefault="005845C5" w:rsidP="005845C5">
      <w:pPr>
        <w:spacing w:line="240" w:lineRule="auto"/>
        <w:rPr>
          <w:rFonts w:ascii="Times New Roman" w:hAnsi="Times New Roman" w:cs="Times New Roman"/>
          <w:sz w:val="26"/>
          <w:szCs w:val="26"/>
        </w:rPr>
      </w:pPr>
    </w:p>
    <w:p w14:paraId="53735F5E" w14:textId="77777777" w:rsidR="00A72BB9" w:rsidRPr="009B6785" w:rsidRDefault="00A72BB9" w:rsidP="005845C5">
      <w:pPr>
        <w:spacing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expiration date is displayed in a table posted on ferc.gov at </w:t>
      </w:r>
      <w:hyperlink r:id="rId14" w:history="1">
        <w:r w:rsidRPr="009B6785">
          <w:rPr>
            <w:rStyle w:val="Hyperlink"/>
            <w:rFonts w:ascii="Times New Roman" w:hAnsi="Times New Roman" w:cs="Times New Roman"/>
            <w:sz w:val="26"/>
            <w:szCs w:val="26"/>
          </w:rPr>
          <w:t>http://www.ferc.gov/docs-filing/info-collections.asp</w:t>
        </w:r>
      </w:hyperlink>
      <w:r w:rsidRPr="009B6785">
        <w:rPr>
          <w:rFonts w:ascii="Times New Roman" w:hAnsi="Times New Roman" w:cs="Times New Roman"/>
          <w:sz w:val="26"/>
          <w:szCs w:val="26"/>
        </w:rPr>
        <w:t>.</w:t>
      </w:r>
    </w:p>
    <w:p w14:paraId="0C1E7504" w14:textId="77777777" w:rsidR="00A72BB9" w:rsidRPr="009B6785" w:rsidRDefault="00A72BB9" w:rsidP="005845C5">
      <w:pPr>
        <w:spacing w:after="0" w:line="240" w:lineRule="auto"/>
        <w:rPr>
          <w:rFonts w:ascii="Times New Roman" w:hAnsi="Times New Roman" w:cs="Times New Roman"/>
          <w:sz w:val="26"/>
          <w:szCs w:val="26"/>
        </w:rPr>
      </w:pPr>
    </w:p>
    <w:p w14:paraId="077BC218" w14:textId="77777777" w:rsidR="00A72BB9" w:rsidRPr="009B6785" w:rsidRDefault="00A72BB9" w:rsidP="005845C5">
      <w:pPr>
        <w:pStyle w:val="ListParagraph"/>
        <w:numPr>
          <w:ilvl w:val="0"/>
          <w:numId w:val="1"/>
        </w:numPr>
        <w:spacing w:after="0" w:line="240" w:lineRule="auto"/>
        <w:ind w:left="360"/>
        <w:rPr>
          <w:rFonts w:ascii="Times New Roman" w:hAnsi="Times New Roman" w:cs="Times New Roman"/>
          <w:b/>
          <w:sz w:val="26"/>
          <w:szCs w:val="26"/>
        </w:rPr>
      </w:pPr>
      <w:r w:rsidRPr="009B6785">
        <w:rPr>
          <w:rFonts w:ascii="Times New Roman" w:hAnsi="Times New Roman" w:cs="Times New Roman"/>
          <w:b/>
          <w:sz w:val="26"/>
          <w:szCs w:val="26"/>
        </w:rPr>
        <w:t>EXCEPTIONS TO THE CERTIFICATION STATEMENT</w:t>
      </w:r>
    </w:p>
    <w:p w14:paraId="31D1C991" w14:textId="77777777" w:rsidR="00A72BB9" w:rsidRPr="009B6785" w:rsidRDefault="00A72BB9" w:rsidP="005845C5">
      <w:pPr>
        <w:spacing w:after="0" w:line="240" w:lineRule="auto"/>
        <w:rPr>
          <w:rFonts w:ascii="Times New Roman" w:hAnsi="Times New Roman" w:cs="Times New Roman"/>
          <w:b/>
          <w:sz w:val="26"/>
          <w:szCs w:val="26"/>
        </w:rPr>
      </w:pPr>
    </w:p>
    <w:p w14:paraId="582E9804" w14:textId="5DC2348C" w:rsidR="00A72BB9" w:rsidRPr="009B6785" w:rsidRDefault="00A72BB9" w:rsidP="005845C5">
      <w:pPr>
        <w:tabs>
          <w:tab w:val="left" w:pos="-1440"/>
        </w:tabs>
        <w:spacing w:line="240" w:lineRule="auto"/>
        <w:rPr>
          <w:rFonts w:ascii="Times New Roman" w:hAnsi="Times New Roman" w:cs="Times New Roman"/>
          <w:sz w:val="26"/>
          <w:szCs w:val="26"/>
        </w:rPr>
      </w:pPr>
      <w:r w:rsidRPr="009B6785">
        <w:rPr>
          <w:rFonts w:ascii="Times New Roman" w:hAnsi="Times New Roman" w:cs="Times New Roman"/>
          <w:sz w:val="26"/>
          <w:szCs w:val="26"/>
        </w:rPr>
        <w:t>The data collected for this reporting requirement is not used for statistical purposes.</w:t>
      </w:r>
    </w:p>
    <w:p w14:paraId="0E8AB137" w14:textId="77777777" w:rsidR="00A72BB9" w:rsidRPr="009B6785" w:rsidRDefault="00A72BB9" w:rsidP="005845C5">
      <w:pPr>
        <w:spacing w:after="0" w:line="240" w:lineRule="auto"/>
        <w:rPr>
          <w:rFonts w:ascii="Times New Roman" w:hAnsi="Times New Roman" w:cs="Times New Roman"/>
          <w:sz w:val="26"/>
          <w:szCs w:val="26"/>
        </w:rPr>
      </w:pPr>
    </w:p>
    <w:p w14:paraId="79BD43B3" w14:textId="77777777" w:rsidR="005A34C3" w:rsidRPr="009B6785" w:rsidRDefault="005A34C3" w:rsidP="009B6785">
      <w:pPr>
        <w:spacing w:after="0" w:line="240" w:lineRule="auto"/>
        <w:rPr>
          <w:rFonts w:ascii="Times New Roman" w:hAnsi="Times New Roman" w:cs="Times New Roman"/>
          <w:sz w:val="26"/>
          <w:szCs w:val="26"/>
        </w:rPr>
      </w:pPr>
    </w:p>
    <w:sectPr w:rsidR="005A34C3" w:rsidRPr="009B678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0D382" w14:textId="77777777" w:rsidR="00EA6593" w:rsidRDefault="00EA6593" w:rsidP="00A72BB9">
      <w:pPr>
        <w:spacing w:after="0" w:line="240" w:lineRule="auto"/>
      </w:pPr>
      <w:r>
        <w:separator/>
      </w:r>
    </w:p>
  </w:endnote>
  <w:endnote w:type="continuationSeparator" w:id="0">
    <w:p w14:paraId="1DA48EB1" w14:textId="77777777" w:rsidR="00EA6593" w:rsidRDefault="00EA6593" w:rsidP="00A72BB9">
      <w:pPr>
        <w:spacing w:after="0" w:line="240" w:lineRule="auto"/>
      </w:pPr>
      <w:r>
        <w:continuationSeparator/>
      </w:r>
    </w:p>
  </w:endnote>
  <w:endnote w:type="continuationNotice" w:id="1">
    <w:p w14:paraId="02623A84" w14:textId="77777777" w:rsidR="00EA6593" w:rsidRDefault="00EA6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1B5398EC" w14:textId="77777777" w:rsidR="005A34C3" w:rsidRDefault="005A34C3">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532F98">
          <w:rPr>
            <w:rFonts w:ascii="Times New Roman" w:hAnsi="Times New Roman" w:cs="Times New Roman"/>
            <w:noProof/>
          </w:rPr>
          <w:t>1</w:t>
        </w:r>
        <w:r w:rsidRPr="000A75C0">
          <w:rPr>
            <w:rFonts w:ascii="Times New Roman" w:hAnsi="Times New Roman" w:cs="Times New Roman"/>
            <w:noProof/>
          </w:rPr>
          <w:fldChar w:fldCharType="end"/>
        </w:r>
      </w:p>
    </w:sdtContent>
  </w:sdt>
  <w:p w14:paraId="711E5AF7" w14:textId="77777777" w:rsidR="005A34C3" w:rsidRDefault="005A3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73A85" w14:textId="77777777" w:rsidR="00EA6593" w:rsidRDefault="00EA6593" w:rsidP="00A72BB9">
      <w:pPr>
        <w:spacing w:after="0" w:line="240" w:lineRule="auto"/>
      </w:pPr>
      <w:r>
        <w:separator/>
      </w:r>
    </w:p>
  </w:footnote>
  <w:footnote w:type="continuationSeparator" w:id="0">
    <w:p w14:paraId="26AFF9C3" w14:textId="77777777" w:rsidR="00EA6593" w:rsidRDefault="00EA6593" w:rsidP="00A72BB9">
      <w:pPr>
        <w:spacing w:after="0" w:line="240" w:lineRule="auto"/>
      </w:pPr>
      <w:r>
        <w:continuationSeparator/>
      </w:r>
    </w:p>
  </w:footnote>
  <w:footnote w:type="continuationNotice" w:id="1">
    <w:p w14:paraId="44DF6C26" w14:textId="77777777" w:rsidR="00EA6593" w:rsidRDefault="00EA6593">
      <w:pPr>
        <w:spacing w:after="0" w:line="240" w:lineRule="auto"/>
      </w:pPr>
    </w:p>
  </w:footnote>
  <w:footnote w:id="2">
    <w:p w14:paraId="2221F995" w14:textId="77777777" w:rsidR="005A34C3" w:rsidRPr="009B6785" w:rsidRDefault="005A34C3" w:rsidP="00A72BB9">
      <w:pPr>
        <w:pStyle w:val="FootnoteText"/>
        <w:rPr>
          <w:sz w:val="26"/>
          <w:szCs w:val="26"/>
        </w:rPr>
      </w:pPr>
      <w:r w:rsidRPr="00424073">
        <w:rPr>
          <w:rStyle w:val="FootnoteReference"/>
        </w:rPr>
        <w:footnoteRef/>
      </w:r>
      <w:r w:rsidRPr="00424073">
        <w:t xml:space="preserve"> </w:t>
      </w:r>
      <w:r w:rsidRPr="009B6785">
        <w:rPr>
          <w:sz w:val="26"/>
          <w:szCs w:val="26"/>
        </w:rPr>
        <w:t>(Public Law 75-688)(15 U.S.C. 717f)</w:t>
      </w:r>
    </w:p>
  </w:footnote>
  <w:footnote w:id="3">
    <w:p w14:paraId="0C709A21" w14:textId="77777777" w:rsidR="005A34C3" w:rsidRPr="009B6785" w:rsidRDefault="005A34C3" w:rsidP="00A72BB9">
      <w:pPr>
        <w:pStyle w:val="FootnoteText"/>
        <w:rPr>
          <w:sz w:val="26"/>
          <w:szCs w:val="26"/>
        </w:rPr>
      </w:pPr>
      <w:r w:rsidRPr="009B6785">
        <w:rPr>
          <w:rStyle w:val="FootnoteReference"/>
        </w:rPr>
        <w:footnoteRef/>
      </w:r>
      <w:r w:rsidRPr="009B6785">
        <w:rPr>
          <w:sz w:val="26"/>
          <w:szCs w:val="26"/>
        </w:rPr>
        <w:t xml:space="preserve"> The Natural Gas Policy Act (NGPA) (Public Law 95-621), most significantly, sections 311 and 312 provide an alternative to section 7(c)(1)b) of the NGA for the following transactions in interstate commerce: sales, assignments, and/or transportation of intrastate natural gas by intrastate pipelines on behalf of interstate pipelines and local distribution companies served by interstate pipelines and transportation by interstate pipelines on behalf of intrastate pipeline and local distribution companies.  Therefore, as a result of the NGPA, these transaction have been authorized to proceed, subject to certain limitations, for longer periods than would be appropriate or permissible under NGA section 7(c)(1)(b).</w:t>
      </w:r>
    </w:p>
  </w:footnote>
  <w:footnote w:id="4">
    <w:p w14:paraId="56D5A506" w14:textId="283E92BA" w:rsidR="005A34C3" w:rsidRPr="00424073" w:rsidRDefault="005A34C3" w:rsidP="00A72BB9">
      <w:pPr>
        <w:pStyle w:val="FootnoteText"/>
      </w:pPr>
      <w:r w:rsidRPr="00424073">
        <w:rPr>
          <w:rStyle w:val="FootnoteReference"/>
        </w:rPr>
        <w:footnoteRef/>
      </w:r>
      <w:r w:rsidRPr="00424073">
        <w:t xml:space="preserve"> </w:t>
      </w:r>
      <w:r w:rsidRPr="009B6785">
        <w:rPr>
          <w:sz w:val="26"/>
          <w:szCs w:val="26"/>
        </w:rPr>
        <w:t>82 FR 14888</w:t>
      </w:r>
    </w:p>
  </w:footnote>
  <w:footnote w:id="5">
    <w:p w14:paraId="5D28CA7E" w14:textId="723A0859" w:rsidR="005A34C3" w:rsidRPr="00424073" w:rsidRDefault="005A34C3" w:rsidP="00A72BB9">
      <w:pPr>
        <w:pStyle w:val="FootnoteText"/>
      </w:pPr>
      <w:r w:rsidRPr="00424073">
        <w:rPr>
          <w:rStyle w:val="FootnoteReference"/>
        </w:rPr>
        <w:footnoteRef/>
      </w:r>
      <w:r w:rsidRPr="00424073">
        <w:t xml:space="preserve"> </w:t>
      </w:r>
      <w:r w:rsidRPr="009B6785">
        <w:rPr>
          <w:sz w:val="26"/>
          <w:szCs w:val="26"/>
        </w:rPr>
        <w:t>82 FR 24959</w:t>
      </w:r>
    </w:p>
  </w:footnote>
  <w:footnote w:id="6">
    <w:p w14:paraId="00ED3286" w14:textId="77777777" w:rsidR="005A34C3" w:rsidRPr="00424073" w:rsidRDefault="005A34C3" w:rsidP="00A72BB9">
      <w:pPr>
        <w:pStyle w:val="FootnoteText"/>
      </w:pPr>
      <w:r w:rsidRPr="00424073">
        <w:rPr>
          <w:rStyle w:val="FootnoteReference"/>
        </w:rPr>
        <w:footnoteRef/>
      </w:r>
      <w:r w:rsidRPr="00424073">
        <w:t>.</w:t>
      </w:r>
      <w:r w:rsidRPr="00992DE5">
        <w:rPr>
          <w:sz w:val="26"/>
          <w:szCs w:val="26"/>
        </w:rPr>
        <w:t xml:space="preserve"> </w:t>
      </w:r>
      <w:r w:rsidRPr="00CA1735">
        <w:rPr>
          <w:sz w:val="26"/>
          <w:szCs w:val="26"/>
        </w:rPr>
        <w:t xml:space="preserve">The Commission staff thinks that the average respondent for this collection is similarly situated to the Commission, in terms of salary plus benefits.  Based upon FERC’s 2017 annual average </w:t>
      </w:r>
      <w:r>
        <w:rPr>
          <w:sz w:val="26"/>
          <w:szCs w:val="26"/>
        </w:rPr>
        <w:t xml:space="preserve">full-time equivalent (FTE) </w:t>
      </w:r>
      <w:r w:rsidRPr="00CA1735">
        <w:rPr>
          <w:sz w:val="26"/>
          <w:szCs w:val="26"/>
        </w:rPr>
        <w:t>of $158,754 (for salary plus benefits), the average hourly cost is $76.50/hour.</w:t>
      </w:r>
    </w:p>
  </w:footnote>
  <w:footnote w:id="7">
    <w:p w14:paraId="26B7DDA0" w14:textId="77777777" w:rsidR="005A34C3" w:rsidRPr="005845C5" w:rsidRDefault="005A34C3" w:rsidP="00A72BB9">
      <w:pPr>
        <w:pStyle w:val="FootnoteText"/>
        <w:rPr>
          <w:sz w:val="26"/>
          <w:szCs w:val="26"/>
        </w:rPr>
      </w:pPr>
      <w:r w:rsidRPr="00424073">
        <w:rPr>
          <w:rStyle w:val="FootnoteReference"/>
        </w:rPr>
        <w:footnoteRef/>
      </w:r>
      <w:r w:rsidRPr="00424073">
        <w:t xml:space="preserve"> </w:t>
      </w:r>
      <w:r w:rsidRPr="005845C5">
        <w:rPr>
          <w:sz w:val="26"/>
          <w:szCs w:val="26"/>
        </w:rPr>
        <w:t>Based upon 2017 FTE average salary plus benefits ($158,754)</w:t>
      </w:r>
    </w:p>
  </w:footnote>
  <w:footnote w:id="8">
    <w:p w14:paraId="76BE1DA3" w14:textId="77777777" w:rsidR="005A34C3" w:rsidRPr="00424073" w:rsidRDefault="005A34C3" w:rsidP="00A72BB9">
      <w:pPr>
        <w:pStyle w:val="FootnoteText"/>
      </w:pPr>
      <w:r w:rsidRPr="00424073">
        <w:rPr>
          <w:rStyle w:val="FootnoteReference"/>
        </w:rPr>
        <w:footnoteRef/>
      </w:r>
      <w:r w:rsidRPr="00424073">
        <w:t xml:space="preserve"> </w:t>
      </w:r>
      <w:r w:rsidRPr="005845C5">
        <w:rPr>
          <w:sz w:val="26"/>
          <w:szCs w:val="26"/>
        </w:rPr>
        <w:t>Paperwork Reduction Act of 1995</w:t>
      </w:r>
    </w:p>
  </w:footnote>
  <w:footnote w:id="9">
    <w:p w14:paraId="7683EBBD" w14:textId="77777777" w:rsidR="005A34C3" w:rsidRPr="00424073" w:rsidRDefault="005A34C3" w:rsidP="00A72BB9">
      <w:pPr>
        <w:pStyle w:val="FootnoteText"/>
      </w:pPr>
      <w:r w:rsidRPr="009B6785">
        <w:rPr>
          <w:rStyle w:val="FootnoteReference"/>
        </w:rPr>
        <w:footnoteRef/>
      </w:r>
      <w:r w:rsidRPr="009B6785">
        <w:t xml:space="preserve"> </w:t>
      </w:r>
      <w:r w:rsidRPr="009B6785">
        <w:rPr>
          <w:sz w:val="26"/>
          <w:szCs w:val="26"/>
        </w:rPr>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57240" w14:textId="77777777" w:rsidR="005A34C3" w:rsidRDefault="005A34C3">
    <w:pPr>
      <w:pStyle w:val="Header"/>
      <w:rPr>
        <w:rFonts w:ascii="Times New Roman" w:hAnsi="Times New Roman" w:cs="Times New Roman"/>
        <w:sz w:val="24"/>
        <w:szCs w:val="24"/>
      </w:rPr>
    </w:pPr>
    <w:r>
      <w:rPr>
        <w:rFonts w:ascii="Times New Roman" w:hAnsi="Times New Roman" w:cs="Times New Roman"/>
        <w:sz w:val="24"/>
        <w:szCs w:val="24"/>
      </w:rPr>
      <w:t>FERC-588 (OMB Control No. 1902-0144)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649CB"/>
    <w:multiLevelType w:val="hybridMultilevel"/>
    <w:tmpl w:val="6C7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AE3DDA"/>
    <w:multiLevelType w:val="hybridMultilevel"/>
    <w:tmpl w:val="127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F2792"/>
    <w:multiLevelType w:val="hybridMultilevel"/>
    <w:tmpl w:val="917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B9"/>
    <w:rsid w:val="0002729E"/>
    <w:rsid w:val="000743FC"/>
    <w:rsid w:val="00137AF8"/>
    <w:rsid w:val="00152387"/>
    <w:rsid w:val="00173CA3"/>
    <w:rsid w:val="001E6987"/>
    <w:rsid w:val="002623E4"/>
    <w:rsid w:val="002A4E71"/>
    <w:rsid w:val="003A3EC0"/>
    <w:rsid w:val="003A65F9"/>
    <w:rsid w:val="003D6E3E"/>
    <w:rsid w:val="003E402D"/>
    <w:rsid w:val="00401E6C"/>
    <w:rsid w:val="004441F1"/>
    <w:rsid w:val="00532F98"/>
    <w:rsid w:val="005704D2"/>
    <w:rsid w:val="005845C5"/>
    <w:rsid w:val="005A34C3"/>
    <w:rsid w:val="005A4385"/>
    <w:rsid w:val="005D1DEB"/>
    <w:rsid w:val="00600E68"/>
    <w:rsid w:val="0065491E"/>
    <w:rsid w:val="006916A3"/>
    <w:rsid w:val="007A3197"/>
    <w:rsid w:val="00826AEB"/>
    <w:rsid w:val="00856323"/>
    <w:rsid w:val="008A4655"/>
    <w:rsid w:val="00934467"/>
    <w:rsid w:val="00992DE5"/>
    <w:rsid w:val="00993C5D"/>
    <w:rsid w:val="009B0110"/>
    <w:rsid w:val="009B6785"/>
    <w:rsid w:val="009F2533"/>
    <w:rsid w:val="00A3288D"/>
    <w:rsid w:val="00A72BB9"/>
    <w:rsid w:val="00AE1426"/>
    <w:rsid w:val="00AE7AD4"/>
    <w:rsid w:val="00AF5023"/>
    <w:rsid w:val="00B10F83"/>
    <w:rsid w:val="00BC40BD"/>
    <w:rsid w:val="00C349AD"/>
    <w:rsid w:val="00C35724"/>
    <w:rsid w:val="00D15728"/>
    <w:rsid w:val="00E277DD"/>
    <w:rsid w:val="00EA6593"/>
    <w:rsid w:val="00EB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B9"/>
  </w:style>
  <w:style w:type="paragraph" w:styleId="Footer">
    <w:name w:val="footer"/>
    <w:basedOn w:val="Normal"/>
    <w:link w:val="FooterChar"/>
    <w:uiPriority w:val="99"/>
    <w:unhideWhenUsed/>
    <w:rsid w:val="00A7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B9"/>
  </w:style>
  <w:style w:type="paragraph" w:styleId="ListParagraph">
    <w:name w:val="List Paragraph"/>
    <w:basedOn w:val="Normal"/>
    <w:uiPriority w:val="34"/>
    <w:qFormat/>
    <w:rsid w:val="00A72BB9"/>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A72BB9"/>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A72BB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A72BB9"/>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rsid w:val="00A72BB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72BB9"/>
    <w:rPr>
      <w:color w:val="0563C1" w:themeColor="hyperlink"/>
      <w:u w:val="single"/>
    </w:rPr>
  </w:style>
  <w:style w:type="character" w:styleId="CommentReference">
    <w:name w:val="annotation reference"/>
    <w:basedOn w:val="DefaultParagraphFont"/>
    <w:uiPriority w:val="99"/>
    <w:semiHidden/>
    <w:unhideWhenUsed/>
    <w:rsid w:val="00856323"/>
    <w:rPr>
      <w:sz w:val="16"/>
      <w:szCs w:val="16"/>
    </w:rPr>
  </w:style>
  <w:style w:type="paragraph" w:styleId="CommentText">
    <w:name w:val="annotation text"/>
    <w:basedOn w:val="Normal"/>
    <w:link w:val="CommentTextChar"/>
    <w:uiPriority w:val="99"/>
    <w:semiHidden/>
    <w:unhideWhenUsed/>
    <w:rsid w:val="00856323"/>
    <w:pPr>
      <w:spacing w:line="240" w:lineRule="auto"/>
    </w:pPr>
    <w:rPr>
      <w:sz w:val="20"/>
      <w:szCs w:val="20"/>
    </w:rPr>
  </w:style>
  <w:style w:type="character" w:customStyle="1" w:styleId="CommentTextChar">
    <w:name w:val="Comment Text Char"/>
    <w:basedOn w:val="DefaultParagraphFont"/>
    <w:link w:val="CommentText"/>
    <w:uiPriority w:val="99"/>
    <w:semiHidden/>
    <w:rsid w:val="00856323"/>
    <w:rPr>
      <w:sz w:val="20"/>
      <w:szCs w:val="20"/>
    </w:rPr>
  </w:style>
  <w:style w:type="paragraph" w:styleId="CommentSubject">
    <w:name w:val="annotation subject"/>
    <w:basedOn w:val="CommentText"/>
    <w:next w:val="CommentText"/>
    <w:link w:val="CommentSubjectChar"/>
    <w:uiPriority w:val="99"/>
    <w:semiHidden/>
    <w:unhideWhenUsed/>
    <w:rsid w:val="00856323"/>
    <w:rPr>
      <w:b/>
      <w:bCs/>
    </w:rPr>
  </w:style>
  <w:style w:type="character" w:customStyle="1" w:styleId="CommentSubjectChar">
    <w:name w:val="Comment Subject Char"/>
    <w:basedOn w:val="CommentTextChar"/>
    <w:link w:val="CommentSubject"/>
    <w:uiPriority w:val="99"/>
    <w:semiHidden/>
    <w:rsid w:val="00856323"/>
    <w:rPr>
      <w:b/>
      <w:bCs/>
      <w:sz w:val="20"/>
      <w:szCs w:val="20"/>
    </w:rPr>
  </w:style>
  <w:style w:type="paragraph" w:styleId="BalloonText">
    <w:name w:val="Balloon Text"/>
    <w:basedOn w:val="Normal"/>
    <w:link w:val="BalloonTextChar"/>
    <w:uiPriority w:val="99"/>
    <w:semiHidden/>
    <w:unhideWhenUsed/>
    <w:rsid w:val="0085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23"/>
    <w:rPr>
      <w:rFonts w:ascii="Segoe UI" w:hAnsi="Segoe UI" w:cs="Segoe UI"/>
      <w:sz w:val="18"/>
      <w:szCs w:val="18"/>
    </w:rPr>
  </w:style>
  <w:style w:type="paragraph" w:styleId="Revision">
    <w:name w:val="Revision"/>
    <w:hidden/>
    <w:uiPriority w:val="99"/>
    <w:semiHidden/>
    <w:rsid w:val="00BC40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B9"/>
  </w:style>
  <w:style w:type="paragraph" w:styleId="Footer">
    <w:name w:val="footer"/>
    <w:basedOn w:val="Normal"/>
    <w:link w:val="FooterChar"/>
    <w:uiPriority w:val="99"/>
    <w:unhideWhenUsed/>
    <w:rsid w:val="00A7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B9"/>
  </w:style>
  <w:style w:type="paragraph" w:styleId="ListParagraph">
    <w:name w:val="List Paragraph"/>
    <w:basedOn w:val="Normal"/>
    <w:uiPriority w:val="34"/>
    <w:qFormat/>
    <w:rsid w:val="00A72BB9"/>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A72BB9"/>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A72BB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A72BB9"/>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rsid w:val="00A72BB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72BB9"/>
    <w:rPr>
      <w:color w:val="0563C1" w:themeColor="hyperlink"/>
      <w:u w:val="single"/>
    </w:rPr>
  </w:style>
  <w:style w:type="character" w:styleId="CommentReference">
    <w:name w:val="annotation reference"/>
    <w:basedOn w:val="DefaultParagraphFont"/>
    <w:uiPriority w:val="99"/>
    <w:semiHidden/>
    <w:unhideWhenUsed/>
    <w:rsid w:val="00856323"/>
    <w:rPr>
      <w:sz w:val="16"/>
      <w:szCs w:val="16"/>
    </w:rPr>
  </w:style>
  <w:style w:type="paragraph" w:styleId="CommentText">
    <w:name w:val="annotation text"/>
    <w:basedOn w:val="Normal"/>
    <w:link w:val="CommentTextChar"/>
    <w:uiPriority w:val="99"/>
    <w:semiHidden/>
    <w:unhideWhenUsed/>
    <w:rsid w:val="00856323"/>
    <w:pPr>
      <w:spacing w:line="240" w:lineRule="auto"/>
    </w:pPr>
    <w:rPr>
      <w:sz w:val="20"/>
      <w:szCs w:val="20"/>
    </w:rPr>
  </w:style>
  <w:style w:type="character" w:customStyle="1" w:styleId="CommentTextChar">
    <w:name w:val="Comment Text Char"/>
    <w:basedOn w:val="DefaultParagraphFont"/>
    <w:link w:val="CommentText"/>
    <w:uiPriority w:val="99"/>
    <w:semiHidden/>
    <w:rsid w:val="00856323"/>
    <w:rPr>
      <w:sz w:val="20"/>
      <w:szCs w:val="20"/>
    </w:rPr>
  </w:style>
  <w:style w:type="paragraph" w:styleId="CommentSubject">
    <w:name w:val="annotation subject"/>
    <w:basedOn w:val="CommentText"/>
    <w:next w:val="CommentText"/>
    <w:link w:val="CommentSubjectChar"/>
    <w:uiPriority w:val="99"/>
    <w:semiHidden/>
    <w:unhideWhenUsed/>
    <w:rsid w:val="00856323"/>
    <w:rPr>
      <w:b/>
      <w:bCs/>
    </w:rPr>
  </w:style>
  <w:style w:type="character" w:customStyle="1" w:styleId="CommentSubjectChar">
    <w:name w:val="Comment Subject Char"/>
    <w:basedOn w:val="CommentTextChar"/>
    <w:link w:val="CommentSubject"/>
    <w:uiPriority w:val="99"/>
    <w:semiHidden/>
    <w:rsid w:val="00856323"/>
    <w:rPr>
      <w:b/>
      <w:bCs/>
      <w:sz w:val="20"/>
      <w:szCs w:val="20"/>
    </w:rPr>
  </w:style>
  <w:style w:type="paragraph" w:styleId="BalloonText">
    <w:name w:val="Balloon Text"/>
    <w:basedOn w:val="Normal"/>
    <w:link w:val="BalloonTextChar"/>
    <w:uiPriority w:val="99"/>
    <w:semiHidden/>
    <w:unhideWhenUsed/>
    <w:rsid w:val="0085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23"/>
    <w:rPr>
      <w:rFonts w:ascii="Segoe UI" w:hAnsi="Segoe UI" w:cs="Segoe UI"/>
      <w:sz w:val="18"/>
      <w:szCs w:val="18"/>
    </w:rPr>
  </w:style>
  <w:style w:type="paragraph" w:styleId="Revision">
    <w:name w:val="Revision"/>
    <w:hidden/>
    <w:uiPriority w:val="99"/>
    <w:semiHidden/>
    <w:rsid w:val="00BC4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588</_x0031__x002e__x0020_Collection_x0020_Number>
    <Date xmlns="d6eefc7d-9817-4fa6-84d5-3bc009be21b8">2017-07-19T04:00:00+00:00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IC17-5</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6FC92-0EF9-4979-B3BF-9F7DEEC46549}">
  <ds:schemaRefs>
    <ds:schemaRef ds:uri="http://schemas.microsoft.com/office/2006/metadata/customXsn"/>
  </ds:schemaRefs>
</ds:datastoreItem>
</file>

<file path=customXml/itemProps2.xml><?xml version="1.0" encoding="utf-8"?>
<ds:datastoreItem xmlns:ds="http://schemas.openxmlformats.org/officeDocument/2006/customXml" ds:itemID="{D59AF9A0-DEC0-489F-A3DA-028A58B31590}">
  <ds:schemaRefs>
    <ds:schemaRef ds:uri="Microsoft.SharePoint.Taxonomy.ContentTypeSync"/>
  </ds:schemaRefs>
</ds:datastoreItem>
</file>

<file path=customXml/itemProps3.xml><?xml version="1.0" encoding="utf-8"?>
<ds:datastoreItem xmlns:ds="http://schemas.openxmlformats.org/officeDocument/2006/customXml" ds:itemID="{2DF82025-0C4B-4E6A-BFAE-6F70CAA8077F}">
  <ds:schemaRefs>
    <ds:schemaRef ds:uri="http://schemas.microsoft.com/sharepoint/v3/contenttype/forms"/>
  </ds:schemaRefs>
</ds:datastoreItem>
</file>

<file path=customXml/itemProps4.xml><?xml version="1.0" encoding="utf-8"?>
<ds:datastoreItem xmlns:ds="http://schemas.openxmlformats.org/officeDocument/2006/customXml" ds:itemID="{0B07CEFF-BE68-4E11-926B-8805A678945A}">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DA67D75B-4CAB-4939-83DB-1EBB14C4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2017-07-20T17:46:00Z</dcterms:created>
  <dcterms:modified xsi:type="dcterms:W3CDTF">2017-07-20T17:46:00Z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