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4344C"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jc w:val="center"/>
        <w:rPr>
          <w:rFonts w:ascii="Times New Roman" w:hAnsi="Times New Roman"/>
          <w:sz w:val="26"/>
          <w:szCs w:val="26"/>
        </w:rPr>
      </w:pPr>
      <w:r w:rsidRPr="009B56B7">
        <w:rPr>
          <w:rFonts w:ascii="Times New Roman" w:hAnsi="Times New Roman"/>
          <w:sz w:val="26"/>
          <w:szCs w:val="26"/>
        </w:rPr>
        <w:t>UNITED STATES OF AMERICA</w:t>
      </w:r>
    </w:p>
    <w:p w14:paraId="0664344D"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FEDERAL ENERGY REGULATORY COMMISSION</w:t>
      </w:r>
    </w:p>
    <w:p w14:paraId="0664344E"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p w14:paraId="0664344F"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[Docket No. IC17-</w:t>
      </w:r>
      <w:r w:rsidR="009B56B7" w:rsidRPr="009B56B7">
        <w:rPr>
          <w:rFonts w:ascii="Times New Roman" w:hAnsi="Times New Roman"/>
          <w:sz w:val="26"/>
          <w:szCs w:val="26"/>
        </w:rPr>
        <w:t>5</w:t>
      </w:r>
      <w:r w:rsidRPr="009B56B7">
        <w:rPr>
          <w:rFonts w:ascii="Times New Roman" w:hAnsi="Times New Roman"/>
          <w:sz w:val="26"/>
          <w:szCs w:val="26"/>
        </w:rPr>
        <w:t>-000]</w:t>
      </w:r>
    </w:p>
    <w:p w14:paraId="06643450"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p w14:paraId="06643451"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 xml:space="preserve">COMMISION INFORMATION COLLECTION ACTIVITIES (FERC-588), </w:t>
      </w:r>
    </w:p>
    <w:p w14:paraId="06643452"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COMMENT REQUEST; EXTENSION</w:t>
      </w:r>
    </w:p>
    <w:p w14:paraId="06643453"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r>
    </w:p>
    <w:p w14:paraId="06643455" w14:textId="346F9687" w:rsidR="0024023D" w:rsidRDefault="00C952B0" w:rsidP="00C952B0">
      <w:pPr>
        <w:widowControl/>
        <w:tabs>
          <w:tab w:val="center" w:pos="4846"/>
          <w:tab w:val="left" w:pos="5040"/>
          <w:tab w:val="left" w:pos="5760"/>
          <w:tab w:val="left" w:pos="6480"/>
          <w:tab w:val="left" w:pos="7200"/>
          <w:tab w:val="left" w:pos="7920"/>
          <w:tab w:val="left" w:pos="8640"/>
          <w:tab w:val="left" w:pos="9360"/>
        </w:tabs>
        <w:jc w:val="center"/>
        <w:rPr>
          <w:rFonts w:ascii="Times New Roman" w:hAnsi="Times New Roman"/>
          <w:sz w:val="26"/>
          <w:szCs w:val="26"/>
        </w:rPr>
      </w:pPr>
      <w:r w:rsidRPr="00C952B0">
        <w:rPr>
          <w:rFonts w:ascii="Times New Roman" w:hAnsi="Times New Roman"/>
          <w:sz w:val="26"/>
          <w:szCs w:val="26"/>
        </w:rPr>
        <w:t>(March 17, 2017)</w:t>
      </w:r>
    </w:p>
    <w:p w14:paraId="37EE8519" w14:textId="77777777" w:rsidR="00C952B0" w:rsidRPr="00C952B0" w:rsidRDefault="00C952B0" w:rsidP="00C952B0">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bookmarkStart w:id="0" w:name="_GoBack"/>
      <w:bookmarkEnd w:id="0"/>
    </w:p>
    <w:p w14:paraId="06643456"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AGENCY:  </w:t>
      </w:r>
      <w:r w:rsidRPr="009B56B7">
        <w:rPr>
          <w:rFonts w:ascii="Times New Roman" w:hAnsi="Times New Roman"/>
          <w:sz w:val="26"/>
          <w:szCs w:val="26"/>
        </w:rPr>
        <w:t>Federal Energy Regulatory Commission.</w:t>
      </w:r>
    </w:p>
    <w:p w14:paraId="06643457"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ACTION:  </w:t>
      </w:r>
      <w:r w:rsidRPr="009B56B7">
        <w:rPr>
          <w:rFonts w:ascii="Times New Roman" w:hAnsi="Times New Roman"/>
          <w:sz w:val="26"/>
          <w:szCs w:val="26"/>
        </w:rPr>
        <w:t>Notice of information collection and request for comments.</w:t>
      </w:r>
    </w:p>
    <w:p w14:paraId="06643458" w14:textId="77777777" w:rsidR="0024023D" w:rsidRPr="009B56B7" w:rsidRDefault="0024023D" w:rsidP="0024023D">
      <w:pPr>
        <w:spacing w:line="480" w:lineRule="auto"/>
        <w:rPr>
          <w:rFonts w:ascii="Times New Roman" w:hAnsi="Times New Roman"/>
          <w:sz w:val="26"/>
          <w:szCs w:val="26"/>
        </w:rPr>
      </w:pPr>
      <w:r w:rsidRPr="009B56B7">
        <w:rPr>
          <w:rFonts w:ascii="Times New Roman" w:hAnsi="Times New Roman"/>
          <w:b/>
          <w:bCs/>
          <w:sz w:val="26"/>
          <w:szCs w:val="26"/>
        </w:rPr>
        <w:t xml:space="preserve">SUMMARY:  </w:t>
      </w:r>
      <w:r w:rsidRPr="009B56B7">
        <w:rPr>
          <w:rFonts w:ascii="Times New Roman" w:hAnsi="Times New Roman"/>
          <w:sz w:val="26"/>
          <w:szCs w:val="26"/>
        </w:rPr>
        <w:t xml:space="preserve">In compliance with the requirements of the Paperwork Reduction Act of 1995, 44 USC 3506(c)(2)(A), the Federal Energy Regulatory Commission (Commission or FERC) is </w:t>
      </w:r>
      <w:r w:rsidR="006E42AF">
        <w:rPr>
          <w:rFonts w:ascii="Times New Roman" w:hAnsi="Times New Roman"/>
          <w:sz w:val="26"/>
          <w:szCs w:val="26"/>
        </w:rPr>
        <w:t xml:space="preserve">soliciting public comment on the information </w:t>
      </w:r>
      <w:r w:rsidRPr="009B56B7">
        <w:rPr>
          <w:rFonts w:ascii="Times New Roman" w:hAnsi="Times New Roman"/>
          <w:sz w:val="26"/>
          <w:szCs w:val="26"/>
        </w:rPr>
        <w:t>collection FERC-588 (Emergency Natural Gas Transportation, Sale and Exchange Transactions)</w:t>
      </w:r>
      <w:r w:rsidR="006E42AF">
        <w:rPr>
          <w:rFonts w:ascii="Times New Roman" w:hAnsi="Times New Roman"/>
          <w:sz w:val="26"/>
          <w:szCs w:val="26"/>
        </w:rPr>
        <w:t xml:space="preserve"> and will be submitting FERC-588</w:t>
      </w:r>
      <w:r w:rsidRPr="009B56B7">
        <w:rPr>
          <w:rFonts w:ascii="Times New Roman" w:hAnsi="Times New Roman"/>
          <w:sz w:val="26"/>
          <w:szCs w:val="26"/>
        </w:rPr>
        <w:t xml:space="preserve"> to the Office of Management and Budget (OMB) for review of the information collection requirements.  </w:t>
      </w:r>
    </w:p>
    <w:p w14:paraId="06643459" w14:textId="5474D192" w:rsidR="0024023D" w:rsidRPr="006E42AF"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6"/>
          <w:szCs w:val="26"/>
        </w:rPr>
      </w:pPr>
      <w:r w:rsidRPr="009B56B7">
        <w:rPr>
          <w:rFonts w:ascii="Times New Roman" w:hAnsi="Times New Roman"/>
          <w:b/>
          <w:bCs/>
          <w:sz w:val="26"/>
          <w:szCs w:val="26"/>
        </w:rPr>
        <w:t>DATES:</w:t>
      </w:r>
      <w:r w:rsidRPr="009B56B7">
        <w:rPr>
          <w:rFonts w:ascii="Times New Roman" w:hAnsi="Times New Roman"/>
          <w:sz w:val="26"/>
          <w:szCs w:val="26"/>
        </w:rPr>
        <w:t xml:space="preserve">  Comments in consideration of the collection of information are due </w:t>
      </w:r>
      <w:r w:rsidRPr="006E42AF">
        <w:rPr>
          <w:rFonts w:ascii="Times New Roman" w:hAnsi="Times New Roman"/>
          <w:b/>
          <w:sz w:val="26"/>
          <w:szCs w:val="26"/>
        </w:rPr>
        <w:t>[</w:t>
      </w:r>
      <w:r w:rsidR="00C952B0">
        <w:rPr>
          <w:rFonts w:ascii="Times New Roman" w:hAnsi="Times New Roman"/>
          <w:b/>
          <w:sz w:val="26"/>
          <w:szCs w:val="26"/>
        </w:rPr>
        <w:t xml:space="preserve">INSERT DATE that is </w:t>
      </w:r>
      <w:r w:rsidRPr="006E42AF">
        <w:rPr>
          <w:rFonts w:ascii="Times New Roman" w:hAnsi="Times New Roman"/>
          <w:b/>
          <w:sz w:val="26"/>
          <w:szCs w:val="26"/>
        </w:rPr>
        <w:t>60 days after publication of this Notice in the Federal Register]. </w:t>
      </w:r>
    </w:p>
    <w:p w14:paraId="0664345A" w14:textId="77777777" w:rsidR="003B5AD8" w:rsidRPr="009B56B7" w:rsidRDefault="0024023D" w:rsidP="003B5AD8">
      <w:pPr>
        <w:spacing w:line="480" w:lineRule="auto"/>
        <w:rPr>
          <w:rFonts w:ascii="Times New Roman" w:hAnsi="Times New Roman"/>
          <w:sz w:val="26"/>
          <w:szCs w:val="26"/>
        </w:rPr>
      </w:pPr>
      <w:r w:rsidRPr="009B56B7">
        <w:rPr>
          <w:rFonts w:ascii="Times New Roman" w:hAnsi="Times New Roman"/>
          <w:b/>
          <w:bCs/>
          <w:sz w:val="26"/>
          <w:szCs w:val="26"/>
        </w:rPr>
        <w:t>ADDRESSES:</w:t>
      </w:r>
      <w:r w:rsidRPr="009B56B7">
        <w:rPr>
          <w:rFonts w:ascii="Times New Roman" w:hAnsi="Times New Roman"/>
          <w:sz w:val="26"/>
          <w:szCs w:val="26"/>
        </w:rPr>
        <w:t xml:space="preserve">  </w:t>
      </w:r>
      <w:r w:rsidR="006C13F1">
        <w:rPr>
          <w:rFonts w:ascii="Times New Roman" w:hAnsi="Times New Roman"/>
          <w:sz w:val="26"/>
          <w:szCs w:val="26"/>
        </w:rPr>
        <w:t xml:space="preserve">You may submit comments identified by Docket No. IC17-5-000 by either of the following methods: </w:t>
      </w:r>
    </w:p>
    <w:p w14:paraId="0664345B" w14:textId="77777777" w:rsidR="003B5AD8" w:rsidRPr="009B56B7" w:rsidRDefault="003B5AD8" w:rsidP="003B5AD8">
      <w:pPr>
        <w:pStyle w:val="ListParagraph"/>
        <w:widowControl/>
        <w:numPr>
          <w:ilvl w:val="0"/>
          <w:numId w:val="2"/>
        </w:numPr>
        <w:autoSpaceDE/>
        <w:autoSpaceDN/>
        <w:adjustRightInd/>
        <w:spacing w:line="480" w:lineRule="auto"/>
        <w:rPr>
          <w:rFonts w:ascii="Times New Roman" w:hAnsi="Times New Roman"/>
          <w:sz w:val="26"/>
          <w:szCs w:val="26"/>
        </w:rPr>
      </w:pPr>
      <w:bookmarkStart w:id="1" w:name="OLE_LINK1"/>
      <w:r w:rsidRPr="009B56B7">
        <w:rPr>
          <w:rFonts w:ascii="Times New Roman" w:hAnsi="Times New Roman"/>
          <w:sz w:val="26"/>
          <w:szCs w:val="26"/>
        </w:rPr>
        <w:t xml:space="preserve">eFiling at Commission’s Web Site: </w:t>
      </w:r>
      <w:hyperlink r:id="rId11" w:history="1">
        <w:r w:rsidRPr="009B56B7">
          <w:rPr>
            <w:rFonts w:ascii="Times New Roman" w:hAnsi="Times New Roman"/>
            <w:color w:val="0000FF"/>
            <w:sz w:val="26"/>
            <w:szCs w:val="26"/>
            <w:u w:val="single"/>
          </w:rPr>
          <w:t>http://www.ferc.gov/docs-filing/efiling.asp</w:t>
        </w:r>
      </w:hyperlink>
    </w:p>
    <w:p w14:paraId="0664345C" w14:textId="77777777" w:rsidR="003B5AD8" w:rsidRPr="009B56B7" w:rsidRDefault="003B5AD8" w:rsidP="003B5AD8">
      <w:pPr>
        <w:widowControl/>
        <w:numPr>
          <w:ilvl w:val="0"/>
          <w:numId w:val="1"/>
        </w:numPr>
        <w:tabs>
          <w:tab w:val="num" w:pos="1080"/>
        </w:tabs>
        <w:autoSpaceDE/>
        <w:autoSpaceDN/>
        <w:adjustRightInd/>
        <w:spacing w:line="480" w:lineRule="auto"/>
        <w:ind w:left="1080"/>
        <w:rPr>
          <w:rFonts w:ascii="Times New Roman" w:hAnsi="Times New Roman"/>
          <w:sz w:val="26"/>
          <w:szCs w:val="26"/>
        </w:rPr>
      </w:pPr>
      <w:r w:rsidRPr="009B56B7">
        <w:rPr>
          <w:rFonts w:ascii="Times New Roman" w:hAnsi="Times New Roman"/>
          <w:sz w:val="26"/>
          <w:szCs w:val="26"/>
        </w:rPr>
        <w:t>Mail/Hand Delivery/Courier: Federal Energy Regulatory Commission, Secretary of the Commission, 888 First Street, NE, Washington, DC 20426.</w:t>
      </w:r>
    </w:p>
    <w:p w14:paraId="0664345D" w14:textId="77777777" w:rsidR="00C164B1"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 xml:space="preserve">Instructions: </w:t>
      </w:r>
      <w:r w:rsidRPr="009B56B7">
        <w:rPr>
          <w:rFonts w:ascii="Times New Roman" w:hAnsi="Times New Roman"/>
          <w:sz w:val="26"/>
          <w:szCs w:val="26"/>
        </w:rPr>
        <w:t xml:space="preserve">All submissions must be formatted and filed in accordance with submission guidelines at: </w:t>
      </w:r>
      <w:hyperlink r:id="rId12" w:history="1">
        <w:r w:rsidRPr="009B56B7">
          <w:rPr>
            <w:rFonts w:ascii="Times New Roman" w:hAnsi="Times New Roman"/>
            <w:color w:val="0000FF"/>
            <w:sz w:val="26"/>
            <w:szCs w:val="26"/>
            <w:u w:val="single"/>
          </w:rPr>
          <w:t>http://www.ferc.gov/help/submission-guide.asp</w:t>
        </w:r>
      </w:hyperlink>
      <w:r w:rsidRPr="009B56B7">
        <w:rPr>
          <w:rFonts w:ascii="Times New Roman" w:hAnsi="Times New Roman"/>
          <w:sz w:val="26"/>
          <w:szCs w:val="26"/>
        </w:rPr>
        <w:t xml:space="preserve">.  For user assistance </w:t>
      </w:r>
    </w:p>
    <w:p w14:paraId="0664345E" w14:textId="77777777"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sz w:val="26"/>
          <w:szCs w:val="26"/>
        </w:rPr>
        <w:lastRenderedPageBreak/>
        <w:t>contact FERC Online Support by e-mail at ferconlinesupport@ferc.gov, or by phone at:  (866) 208-3676 (toll-free), or (202) 502-8659 for TTY.</w:t>
      </w:r>
    </w:p>
    <w:p w14:paraId="0664345F" w14:textId="77777777"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Docket:</w:t>
      </w:r>
      <w:r w:rsidRPr="009B56B7">
        <w:rPr>
          <w:rFonts w:ascii="Times New Roman" w:hAnsi="Times New Roman"/>
          <w:sz w:val="26"/>
          <w:szCs w:val="26"/>
        </w:rPr>
        <w:t xml:space="preserve"> Users interested in receiving automatic notification of activity in this docket or in viewing/downloading comments and issuances in this docket may do so at </w:t>
      </w:r>
      <w:hyperlink r:id="rId13" w:history="1">
        <w:r w:rsidRPr="009B56B7">
          <w:rPr>
            <w:rFonts w:ascii="Times New Roman" w:hAnsi="Times New Roman"/>
            <w:color w:val="0000FF"/>
            <w:sz w:val="26"/>
            <w:szCs w:val="26"/>
            <w:u w:val="single"/>
          </w:rPr>
          <w:t>http://www.ferc.gov/docs-filing/docs-filing.asp</w:t>
        </w:r>
      </w:hyperlink>
      <w:r w:rsidRPr="009B56B7">
        <w:rPr>
          <w:rFonts w:ascii="Times New Roman" w:hAnsi="Times New Roman"/>
          <w:sz w:val="26"/>
          <w:szCs w:val="26"/>
        </w:rPr>
        <w:t xml:space="preserve">. </w:t>
      </w:r>
    </w:p>
    <w:bookmarkEnd w:id="1"/>
    <w:p w14:paraId="06643460" w14:textId="77777777" w:rsidR="000251F6"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6"/>
          <w:szCs w:val="26"/>
        </w:rPr>
      </w:pPr>
      <w:r w:rsidRPr="009B56B7">
        <w:rPr>
          <w:rFonts w:ascii="Times New Roman" w:hAnsi="Times New Roman"/>
          <w:b/>
          <w:bCs/>
          <w:sz w:val="26"/>
          <w:szCs w:val="26"/>
        </w:rPr>
        <w:t xml:space="preserve">FOR FURTHER INFORMATION CONTACT: </w:t>
      </w:r>
      <w:r w:rsidRPr="009B56B7">
        <w:rPr>
          <w:rFonts w:ascii="Times New Roman" w:hAnsi="Times New Roman"/>
          <w:sz w:val="26"/>
          <w:szCs w:val="26"/>
        </w:rPr>
        <w:t xml:space="preserve"> </w:t>
      </w:r>
      <w:r w:rsidRPr="009B56B7">
        <w:rPr>
          <w:rFonts w:ascii="Times New Roman" w:hAnsi="Times New Roman"/>
          <w:bCs/>
          <w:sz w:val="26"/>
          <w:szCs w:val="26"/>
        </w:rPr>
        <w:t xml:space="preserve">Ellen Brown may be reached by e-mail at </w:t>
      </w:r>
      <w:hyperlink r:id="rId14" w:history="1">
        <w:r w:rsidRPr="009B56B7">
          <w:rPr>
            <w:rStyle w:val="Hyperlink"/>
            <w:rFonts w:ascii="Times New Roman" w:hAnsi="Times New Roman"/>
            <w:bCs/>
            <w:sz w:val="26"/>
            <w:szCs w:val="26"/>
          </w:rPr>
          <w:t>DataClearance@FERC.gov</w:t>
        </w:r>
      </w:hyperlink>
      <w:r w:rsidRPr="009B56B7">
        <w:rPr>
          <w:rFonts w:ascii="Times New Roman" w:hAnsi="Times New Roman"/>
          <w:bCs/>
          <w:sz w:val="26"/>
          <w:szCs w:val="26"/>
        </w:rPr>
        <w:t>, telephone at (202) 502-8663, and fax at (202) 273-0873.</w:t>
      </w:r>
    </w:p>
    <w:p w14:paraId="06643461" w14:textId="77777777" w:rsidR="003B5AD8"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SUPPLEMENTARY INFORMATION: </w:t>
      </w:r>
      <w:r w:rsidRPr="009B56B7">
        <w:rPr>
          <w:rFonts w:ascii="Times New Roman" w:hAnsi="Times New Roman"/>
          <w:sz w:val="26"/>
          <w:szCs w:val="26"/>
        </w:rPr>
        <w:t xml:space="preserve"> </w:t>
      </w:r>
    </w:p>
    <w:p w14:paraId="06643462" w14:textId="77777777" w:rsidR="003B5AD8" w:rsidRPr="009B56B7" w:rsidRDefault="003B5AD8"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t>Title:</w:t>
      </w:r>
      <w:r w:rsidRPr="009B56B7">
        <w:rPr>
          <w:rFonts w:ascii="Times New Roman" w:hAnsi="Times New Roman"/>
          <w:sz w:val="26"/>
          <w:szCs w:val="26"/>
        </w:rPr>
        <w:t xml:space="preserve">  FERC-588, Emergency Natural Gas Transportation, Sale and Exchange Transactions</w:t>
      </w:r>
    </w:p>
    <w:p w14:paraId="06643463" w14:textId="77777777" w:rsidR="003B5AD8"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t xml:space="preserve">OMB </w:t>
      </w:r>
      <w:r w:rsidR="003B5AD8" w:rsidRPr="009B56B7">
        <w:rPr>
          <w:rFonts w:ascii="Times New Roman" w:hAnsi="Times New Roman"/>
          <w:i/>
          <w:sz w:val="26"/>
          <w:szCs w:val="26"/>
        </w:rPr>
        <w:t xml:space="preserve">Control </w:t>
      </w:r>
      <w:r w:rsidRPr="009B56B7">
        <w:rPr>
          <w:rFonts w:ascii="Times New Roman" w:hAnsi="Times New Roman"/>
          <w:i/>
          <w:sz w:val="26"/>
          <w:szCs w:val="26"/>
        </w:rPr>
        <w:t>No.</w:t>
      </w:r>
      <w:r w:rsidR="003B5AD8" w:rsidRPr="009B56B7">
        <w:rPr>
          <w:rFonts w:ascii="Times New Roman" w:hAnsi="Times New Roman"/>
          <w:i/>
          <w:sz w:val="26"/>
          <w:szCs w:val="26"/>
        </w:rPr>
        <w:t>:</w:t>
      </w:r>
      <w:r w:rsidRPr="009B56B7">
        <w:rPr>
          <w:rFonts w:ascii="Times New Roman" w:hAnsi="Times New Roman"/>
          <w:sz w:val="26"/>
          <w:szCs w:val="26"/>
        </w:rPr>
        <w:t xml:space="preserve"> 1902-0144</w:t>
      </w:r>
    </w:p>
    <w:p w14:paraId="06643464" w14:textId="77777777"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Type of Request:</w:t>
      </w:r>
      <w:r w:rsidRPr="009B56B7">
        <w:rPr>
          <w:rFonts w:ascii="Times New Roman" w:hAnsi="Times New Roman"/>
          <w:sz w:val="26"/>
          <w:szCs w:val="26"/>
        </w:rPr>
        <w:t xml:space="preserve"> Three-year extension of the FERC-588 information collection requirements with no changes to the reporting requirements. </w:t>
      </w:r>
    </w:p>
    <w:p w14:paraId="06643465" w14:textId="1A0304B5" w:rsidR="0024023D" w:rsidRPr="009B56B7" w:rsidRDefault="003B5AD8"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t>Abstract:</w:t>
      </w:r>
      <w:r w:rsidRPr="009B56B7">
        <w:rPr>
          <w:rFonts w:ascii="Times New Roman" w:hAnsi="Times New Roman"/>
          <w:sz w:val="26"/>
          <w:szCs w:val="26"/>
        </w:rPr>
        <w:t xml:space="preserve"> The FERC-588 </w:t>
      </w:r>
      <w:r w:rsidR="0024023D" w:rsidRPr="009B56B7">
        <w:rPr>
          <w:rFonts w:ascii="Times New Roman" w:hAnsi="Times New Roman"/>
          <w:sz w:val="26"/>
          <w:szCs w:val="26"/>
        </w:rPr>
        <w:t xml:space="preserve">is used by the Commission to implement the statutory provisions of </w:t>
      </w:r>
      <w:r w:rsidR="00C952B0">
        <w:rPr>
          <w:rFonts w:ascii="Times New Roman" w:hAnsi="Times New Roman"/>
          <w:sz w:val="26"/>
          <w:szCs w:val="26"/>
        </w:rPr>
        <w:t>s</w:t>
      </w:r>
      <w:r w:rsidR="0024023D" w:rsidRPr="009B56B7">
        <w:rPr>
          <w:rFonts w:ascii="Times New Roman" w:hAnsi="Times New Roman"/>
          <w:sz w:val="26"/>
          <w:szCs w:val="26"/>
        </w:rPr>
        <w:t xml:space="preserve">ections 7(c) of the Natural Gas Act (NGA) (P.L. 75-688) (15 U.S.C. 717-717w) and provisions of the Natural Gas Policy Act of 1978 (NGPA), 15 U.S.C. 3301-3432.  Under the NGA, a natural gas company must obtain Commission approval to engage in the transportation, sale or exchange of natural gas in interstate commerce.  However, section 7(c) exempts from certificate requirements "temporary acts or operations for which the issuance of a certificate will not be required in the public </w:t>
      </w:r>
      <w:r w:rsidR="0024023D" w:rsidRPr="009B56B7">
        <w:rPr>
          <w:rFonts w:ascii="Times New Roman" w:hAnsi="Times New Roman"/>
          <w:sz w:val="26"/>
          <w:szCs w:val="26"/>
        </w:rPr>
        <w:lastRenderedPageBreak/>
        <w:t>interest."  The NGPA also provides for non-certificated interstate transactions involving intrastate pipelines and local distribution companies.</w:t>
      </w:r>
    </w:p>
    <w:p w14:paraId="06643466" w14:textId="77777777" w:rsidR="0024023D" w:rsidRPr="009B56B7" w:rsidRDefault="0024023D" w:rsidP="002402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FF0000"/>
          <w:sz w:val="26"/>
          <w:szCs w:val="26"/>
        </w:rPr>
      </w:pPr>
      <w:r w:rsidRPr="009B56B7">
        <w:rPr>
          <w:rFonts w:ascii="Times New Roman" w:hAnsi="Times New Roman"/>
          <w:sz w:val="26"/>
          <w:szCs w:val="26"/>
        </w:rPr>
        <w:tab/>
        <w:t>A temporary operation, or emergency, is defined as any situation in which an actual or expected shortage of gas supply would require an interstate pipeline company, intrastate pipeline, or local distribution company, or Hinshaw pipeline to curtail deliveries of gas or provide less than the projected level of service to the customer.  The natural gas companies which provide the temporary assistance to the companies which are having the “emergency” must file the necessary information described in Part 284, Subpart I of the Commission’s Regulations with the Commission</w:t>
      </w:r>
      <w:r w:rsidR="00CC2F19">
        <w:rPr>
          <w:rFonts w:ascii="Times New Roman" w:hAnsi="Times New Roman"/>
          <w:sz w:val="26"/>
          <w:szCs w:val="26"/>
        </w:rPr>
        <w:t>,</w:t>
      </w:r>
      <w:r w:rsidRPr="009B56B7">
        <w:rPr>
          <w:rFonts w:ascii="Times New Roman" w:hAnsi="Times New Roman"/>
          <w:sz w:val="26"/>
          <w:szCs w:val="26"/>
        </w:rPr>
        <w:t xml:space="preserve"> so that it may determine if their assisting transaction/operation qualifies for exemption.  The assisting company may or may not be under the Commission’s jurisdiction and if their assisting actions qualify for the exemption, they will not become subject to the Commission’s jurisdiction for such actions.</w:t>
      </w:r>
    </w:p>
    <w:p w14:paraId="06643467"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sz w:val="26"/>
          <w:szCs w:val="26"/>
        </w:rPr>
      </w:pPr>
      <w:r w:rsidRPr="009B56B7">
        <w:rPr>
          <w:rFonts w:ascii="Times New Roman" w:hAnsi="Times New Roman"/>
          <w:sz w:val="26"/>
          <w:szCs w:val="26"/>
        </w:rPr>
        <w:t>A report within forty-eight hours of the commencement of the transportation, sale or exchange, a request to extend the sixty-day term of the emergency transportation, if needed, and a termination report are required.  The data required to be filed for the forty-eight hour rep</w:t>
      </w:r>
      <w:r w:rsidRPr="00FD4AF5">
        <w:rPr>
          <w:rFonts w:ascii="Times New Roman" w:hAnsi="Times New Roman"/>
          <w:sz w:val="26"/>
          <w:szCs w:val="26"/>
        </w:rPr>
        <w:t>ort is specified by 18 CFR 284.270.</w:t>
      </w:r>
      <w:r w:rsidRPr="009B56B7">
        <w:rPr>
          <w:rFonts w:ascii="Times New Roman" w:hAnsi="Times New Roman"/>
          <w:sz w:val="26"/>
          <w:szCs w:val="26"/>
        </w:rPr>
        <w:t xml:space="preserve"> </w:t>
      </w:r>
    </w:p>
    <w:p w14:paraId="06643468" w14:textId="77777777" w:rsidR="000251F6" w:rsidRDefault="000251F6"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6"/>
          <w:szCs w:val="26"/>
        </w:rPr>
      </w:pPr>
      <w:r w:rsidRPr="00FD4AF5">
        <w:rPr>
          <w:rFonts w:ascii="Times New Roman" w:hAnsi="Times New Roman"/>
          <w:i/>
          <w:sz w:val="26"/>
          <w:szCs w:val="26"/>
        </w:rPr>
        <w:t>Type of Respondents:</w:t>
      </w:r>
      <w:r w:rsidR="00FD4AF5">
        <w:rPr>
          <w:rFonts w:ascii="Times New Roman" w:hAnsi="Times New Roman"/>
          <w:i/>
          <w:sz w:val="26"/>
          <w:szCs w:val="26"/>
        </w:rPr>
        <w:t xml:space="preserve"> </w:t>
      </w:r>
      <w:r w:rsidR="00FD4AF5">
        <w:rPr>
          <w:rFonts w:ascii="Times New Roman" w:hAnsi="Times New Roman"/>
          <w:sz w:val="26"/>
          <w:szCs w:val="26"/>
        </w:rPr>
        <w:t>Natural Gas Pipelines</w:t>
      </w:r>
      <w:r w:rsidR="00FD4AF5">
        <w:rPr>
          <w:rFonts w:ascii="Times New Roman" w:hAnsi="Times New Roman"/>
          <w:i/>
          <w:sz w:val="26"/>
          <w:szCs w:val="26"/>
        </w:rPr>
        <w:t xml:space="preserve"> </w:t>
      </w:r>
    </w:p>
    <w:p w14:paraId="06643469" w14:textId="77777777" w:rsidR="006C13F1" w:rsidRPr="009B56B7" w:rsidRDefault="006C13F1"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6"/>
          <w:szCs w:val="26"/>
        </w:rPr>
      </w:pPr>
    </w:p>
    <w:p w14:paraId="0664346A" w14:textId="6D98719D" w:rsidR="0024023D" w:rsidRDefault="00522A31"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i/>
          <w:sz w:val="26"/>
          <w:szCs w:val="26"/>
        </w:rPr>
        <w:t>Estimate of Annual Burden</w:t>
      </w:r>
      <w:r>
        <w:rPr>
          <w:rStyle w:val="FootnoteReference"/>
          <w:i/>
        </w:rPr>
        <w:footnoteReference w:id="2"/>
      </w:r>
      <w:r w:rsidR="003B5AD8" w:rsidRPr="009B56B7">
        <w:rPr>
          <w:rFonts w:ascii="Times New Roman" w:hAnsi="Times New Roman"/>
          <w:i/>
          <w:sz w:val="26"/>
          <w:szCs w:val="26"/>
        </w:rPr>
        <w:t xml:space="preserve">: </w:t>
      </w:r>
      <w:r w:rsidR="003B5AD8" w:rsidRPr="009B56B7">
        <w:rPr>
          <w:rFonts w:ascii="Times New Roman" w:hAnsi="Times New Roman"/>
          <w:sz w:val="26"/>
          <w:szCs w:val="26"/>
        </w:rPr>
        <w:t>The Commission estimates the P</w:t>
      </w:r>
      <w:r w:rsidR="0024023D" w:rsidRPr="009B56B7">
        <w:rPr>
          <w:rFonts w:ascii="Times New Roman" w:hAnsi="Times New Roman"/>
          <w:sz w:val="26"/>
          <w:szCs w:val="26"/>
        </w:rPr>
        <w:t>ublic</w:t>
      </w:r>
      <w:r w:rsidR="003B5AD8" w:rsidRPr="009B56B7">
        <w:rPr>
          <w:rFonts w:ascii="Times New Roman" w:hAnsi="Times New Roman"/>
          <w:sz w:val="26"/>
          <w:szCs w:val="26"/>
        </w:rPr>
        <w:t xml:space="preserve"> R</w:t>
      </w:r>
      <w:r w:rsidR="0024023D" w:rsidRPr="009B56B7">
        <w:rPr>
          <w:rFonts w:ascii="Times New Roman" w:hAnsi="Times New Roman"/>
          <w:sz w:val="26"/>
          <w:szCs w:val="26"/>
        </w:rPr>
        <w:t xml:space="preserve">eporting </w:t>
      </w:r>
      <w:r w:rsidR="003B5AD8" w:rsidRPr="009B56B7">
        <w:rPr>
          <w:rFonts w:ascii="Times New Roman" w:hAnsi="Times New Roman"/>
          <w:sz w:val="26"/>
          <w:szCs w:val="26"/>
        </w:rPr>
        <w:t>B</w:t>
      </w:r>
      <w:r w:rsidR="0024023D" w:rsidRPr="009B56B7">
        <w:rPr>
          <w:rFonts w:ascii="Times New Roman" w:hAnsi="Times New Roman"/>
          <w:sz w:val="26"/>
          <w:szCs w:val="26"/>
        </w:rPr>
        <w:t xml:space="preserve">urden for this </w:t>
      </w:r>
      <w:r w:rsidR="000251F6" w:rsidRPr="009B56B7">
        <w:rPr>
          <w:rFonts w:ascii="Times New Roman" w:hAnsi="Times New Roman"/>
          <w:sz w:val="26"/>
          <w:szCs w:val="26"/>
        </w:rPr>
        <w:t xml:space="preserve">information </w:t>
      </w:r>
      <w:r w:rsidR="0024023D" w:rsidRPr="009B56B7">
        <w:rPr>
          <w:rFonts w:ascii="Times New Roman" w:hAnsi="Times New Roman"/>
          <w:sz w:val="26"/>
          <w:szCs w:val="26"/>
        </w:rPr>
        <w:t xml:space="preserve">collection </w:t>
      </w:r>
      <w:r w:rsidR="000251F6" w:rsidRPr="009B56B7">
        <w:rPr>
          <w:rFonts w:ascii="Times New Roman" w:hAnsi="Times New Roman"/>
          <w:sz w:val="26"/>
          <w:szCs w:val="26"/>
        </w:rPr>
        <w:t>as</w:t>
      </w:r>
      <w:r w:rsidR="0024023D" w:rsidRPr="009B56B7">
        <w:rPr>
          <w:rFonts w:ascii="Times New Roman" w:hAnsi="Times New Roman"/>
          <w:sz w:val="26"/>
          <w:szCs w:val="26"/>
        </w:rPr>
        <w:t>:</w:t>
      </w:r>
    </w:p>
    <w:p w14:paraId="0664346B"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tbl>
      <w:tblPr>
        <w:tblW w:w="55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913"/>
        <w:gridCol w:w="1260"/>
        <w:gridCol w:w="1171"/>
        <w:gridCol w:w="1439"/>
        <w:gridCol w:w="1801"/>
        <w:gridCol w:w="2249"/>
      </w:tblGrid>
      <w:tr w:rsidR="00BC44B3" w:rsidRPr="009B56B7" w14:paraId="0664346D" w14:textId="77777777" w:rsidTr="00BC44B3">
        <w:trPr>
          <w:cantSplit/>
        </w:trPr>
        <w:tc>
          <w:tcPr>
            <w:tcW w:w="5000" w:type="pct"/>
            <w:gridSpan w:val="7"/>
            <w:tcBorders>
              <w:bottom w:val="single" w:sz="4" w:space="0" w:color="auto"/>
            </w:tcBorders>
            <w:shd w:val="clear" w:color="auto" w:fill="D9D9D9"/>
          </w:tcPr>
          <w:p w14:paraId="0664346C" w14:textId="77777777" w:rsidR="00BC44B3" w:rsidRPr="009B56B7" w:rsidRDefault="00BC44B3" w:rsidP="009B56B7">
            <w:pPr>
              <w:widowControl/>
              <w:autoSpaceDE/>
              <w:autoSpaceDN/>
              <w:adjustRightInd/>
              <w:jc w:val="center"/>
              <w:rPr>
                <w:rFonts w:ascii="Times New Roman" w:eastAsia="Calibri" w:hAnsi="Times New Roman"/>
                <w:b/>
                <w:sz w:val="26"/>
                <w:szCs w:val="26"/>
              </w:rPr>
            </w:pPr>
            <w:r w:rsidRPr="009B56B7">
              <w:rPr>
                <w:rFonts w:ascii="Times New Roman" w:eastAsia="Calibri" w:hAnsi="Times New Roman"/>
                <w:b/>
                <w:sz w:val="26"/>
                <w:szCs w:val="26"/>
              </w:rPr>
              <w:t xml:space="preserve">FERC-588: </w:t>
            </w:r>
            <w:r w:rsidRPr="009B6260">
              <w:rPr>
                <w:rFonts w:ascii="Times New Roman" w:eastAsia="Calibri" w:hAnsi="Times New Roman"/>
                <w:b/>
                <w:sz w:val="26"/>
                <w:szCs w:val="26"/>
              </w:rPr>
              <w:t>Emergency Natural Gas Transportation, Sale and Exchange Transactions</w:t>
            </w:r>
          </w:p>
        </w:tc>
      </w:tr>
      <w:tr w:rsidR="009B56B7" w:rsidRPr="009B56B7" w14:paraId="0664347A" w14:textId="77777777" w:rsidTr="00066053">
        <w:trPr>
          <w:cantSplit/>
        </w:trPr>
        <w:tc>
          <w:tcPr>
            <w:tcW w:w="723" w:type="pct"/>
            <w:shd w:val="clear" w:color="auto" w:fill="D9D9D9"/>
          </w:tcPr>
          <w:p w14:paraId="0664346E" w14:textId="77777777" w:rsidR="009B56B7" w:rsidRPr="009B56B7" w:rsidRDefault="009B56B7" w:rsidP="009B56B7">
            <w:pPr>
              <w:widowControl/>
              <w:autoSpaceDE/>
              <w:autoSpaceDN/>
              <w:adjustRightInd/>
              <w:jc w:val="center"/>
              <w:rPr>
                <w:rFonts w:ascii="Times New Roman" w:eastAsia="Calibri" w:hAnsi="Times New Roman"/>
                <w:b/>
                <w:sz w:val="26"/>
                <w:szCs w:val="26"/>
              </w:rPr>
            </w:pPr>
          </w:p>
        </w:tc>
        <w:tc>
          <w:tcPr>
            <w:tcW w:w="442" w:type="pct"/>
            <w:shd w:val="clear" w:color="auto" w:fill="D9D9D9"/>
            <w:vAlign w:val="bottom"/>
          </w:tcPr>
          <w:p w14:paraId="0664346F"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Number of Respondents</w:t>
            </w:r>
            <w:r w:rsidRPr="00FD4AF5">
              <w:rPr>
                <w:rFonts w:ascii="Times New Roman" w:eastAsia="Calibri" w:hAnsi="Times New Roman"/>
                <w:b/>
                <w:sz w:val="26"/>
                <w:szCs w:val="26"/>
              </w:rPr>
              <w:br/>
              <w:t>(1)</w:t>
            </w:r>
          </w:p>
        </w:tc>
        <w:tc>
          <w:tcPr>
            <w:tcW w:w="610" w:type="pct"/>
            <w:shd w:val="clear" w:color="auto" w:fill="D9D9D9"/>
            <w:vAlign w:val="bottom"/>
          </w:tcPr>
          <w:p w14:paraId="06643470"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Annual Number of Responses per Respondent</w:t>
            </w:r>
          </w:p>
          <w:p w14:paraId="06643471"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(2)</w:t>
            </w:r>
          </w:p>
        </w:tc>
        <w:tc>
          <w:tcPr>
            <w:tcW w:w="567" w:type="pct"/>
            <w:shd w:val="clear" w:color="auto" w:fill="D9D9D9"/>
            <w:vAlign w:val="bottom"/>
          </w:tcPr>
          <w:p w14:paraId="06643472"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Total Number of Responses (1)*(2)=(3)</w:t>
            </w:r>
          </w:p>
        </w:tc>
        <w:tc>
          <w:tcPr>
            <w:tcW w:w="697" w:type="pct"/>
            <w:shd w:val="clear" w:color="auto" w:fill="D9D9D9"/>
            <w:vAlign w:val="bottom"/>
          </w:tcPr>
          <w:p w14:paraId="06643473" w14:textId="50772441"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Average Burden &amp; Cost Per Response</w:t>
            </w:r>
            <w:r w:rsidR="00522A31">
              <w:rPr>
                <w:rStyle w:val="FootnoteReference"/>
                <w:rFonts w:eastAsia="Calibri"/>
                <w:b w:val="0"/>
              </w:rPr>
              <w:footnoteReference w:id="3"/>
            </w:r>
          </w:p>
          <w:p w14:paraId="06643474"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(4)</w:t>
            </w:r>
          </w:p>
        </w:tc>
        <w:tc>
          <w:tcPr>
            <w:tcW w:w="872" w:type="pct"/>
            <w:shd w:val="clear" w:color="auto" w:fill="D9D9D9"/>
            <w:vAlign w:val="bottom"/>
          </w:tcPr>
          <w:p w14:paraId="06643475"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Total Annual Burden Hours &amp; Total Annual Cost</w:t>
            </w:r>
          </w:p>
          <w:p w14:paraId="06643476"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(3)*(4)=(5)</w:t>
            </w:r>
          </w:p>
        </w:tc>
        <w:tc>
          <w:tcPr>
            <w:tcW w:w="1089" w:type="pct"/>
            <w:shd w:val="clear" w:color="auto" w:fill="D9D9D9"/>
            <w:vAlign w:val="bottom"/>
          </w:tcPr>
          <w:p w14:paraId="06643477"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Cost per Respondent</w:t>
            </w:r>
          </w:p>
          <w:p w14:paraId="06643478"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 xml:space="preserve"> ($)</w:t>
            </w:r>
          </w:p>
          <w:p w14:paraId="06643479"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(5)÷(1)</w:t>
            </w:r>
          </w:p>
        </w:tc>
      </w:tr>
      <w:tr w:rsidR="009B56B7" w:rsidRPr="009B56B7" w14:paraId="0664348E" w14:textId="77777777" w:rsidTr="00066053">
        <w:trPr>
          <w:cantSplit/>
        </w:trPr>
        <w:tc>
          <w:tcPr>
            <w:tcW w:w="723" w:type="pct"/>
          </w:tcPr>
          <w:p w14:paraId="0664347B" w14:textId="77777777" w:rsidR="009B56B7" w:rsidRPr="009B56B7" w:rsidRDefault="006C13F1" w:rsidP="009B56B7">
            <w:pPr>
              <w:widowControl/>
              <w:autoSpaceDE/>
              <w:autoSpaceDN/>
              <w:adjustRightInd/>
              <w:jc w:val="right"/>
              <w:rPr>
                <w:rFonts w:ascii="Times New Roman" w:eastAsia="Calibri" w:hAnsi="Times New Roman"/>
                <w:sz w:val="26"/>
                <w:szCs w:val="26"/>
              </w:rPr>
            </w:pPr>
            <w:r>
              <w:rPr>
                <w:rFonts w:ascii="Times New Roman" w:hAnsi="Times New Roman"/>
                <w:sz w:val="26"/>
                <w:szCs w:val="26"/>
              </w:rPr>
              <w:t>Natural Gas Pipelines</w:t>
            </w:r>
          </w:p>
        </w:tc>
        <w:tc>
          <w:tcPr>
            <w:tcW w:w="442" w:type="pct"/>
          </w:tcPr>
          <w:p w14:paraId="0664347C"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7D"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7E" w14:textId="77777777" w:rsidR="009B56B7" w:rsidRPr="00640FD7" w:rsidRDefault="000029DE" w:rsidP="00240D06">
            <w:pPr>
              <w:widowControl/>
              <w:autoSpaceDE/>
              <w:autoSpaceDN/>
              <w:adjustRightInd/>
              <w:jc w:val="center"/>
              <w:rPr>
                <w:rFonts w:ascii="Times New Roman" w:eastAsia="Calibri" w:hAnsi="Times New Roman"/>
                <w:sz w:val="26"/>
                <w:szCs w:val="26"/>
              </w:rPr>
            </w:pPr>
            <w:r>
              <w:rPr>
                <w:rFonts w:ascii="Times New Roman" w:eastAsia="Calibri" w:hAnsi="Times New Roman"/>
                <w:sz w:val="26"/>
                <w:szCs w:val="26"/>
              </w:rPr>
              <w:t>1</w:t>
            </w:r>
            <w:r w:rsidR="00BE4776" w:rsidRPr="00640FD7">
              <w:rPr>
                <w:rFonts w:ascii="Times New Roman" w:eastAsia="Calibri" w:hAnsi="Times New Roman"/>
                <w:sz w:val="26"/>
                <w:szCs w:val="26"/>
              </w:rPr>
              <w:t>0</w:t>
            </w:r>
          </w:p>
        </w:tc>
        <w:tc>
          <w:tcPr>
            <w:tcW w:w="610" w:type="pct"/>
          </w:tcPr>
          <w:p w14:paraId="0664347F"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80"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81" w14:textId="77777777" w:rsidR="009B56B7" w:rsidRPr="00640FD7" w:rsidRDefault="00BE4776" w:rsidP="00240D06">
            <w:pPr>
              <w:widowControl/>
              <w:autoSpaceDE/>
              <w:autoSpaceDN/>
              <w:adjustRightInd/>
              <w:jc w:val="center"/>
              <w:rPr>
                <w:rFonts w:ascii="Times New Roman" w:eastAsia="Calibri" w:hAnsi="Times New Roman"/>
                <w:sz w:val="26"/>
                <w:szCs w:val="26"/>
              </w:rPr>
            </w:pPr>
            <w:r w:rsidRPr="00640FD7">
              <w:rPr>
                <w:rFonts w:ascii="Times New Roman" w:eastAsia="Calibri" w:hAnsi="Times New Roman"/>
                <w:sz w:val="26"/>
                <w:szCs w:val="26"/>
              </w:rPr>
              <w:t>3</w:t>
            </w:r>
          </w:p>
        </w:tc>
        <w:tc>
          <w:tcPr>
            <w:tcW w:w="567" w:type="pct"/>
          </w:tcPr>
          <w:p w14:paraId="06643482"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83" w14:textId="77777777" w:rsidR="00240D06" w:rsidRPr="00640FD7" w:rsidRDefault="00240D06" w:rsidP="00240D06">
            <w:pPr>
              <w:widowControl/>
              <w:autoSpaceDE/>
              <w:autoSpaceDN/>
              <w:adjustRightInd/>
              <w:jc w:val="center"/>
              <w:rPr>
                <w:rFonts w:ascii="Times New Roman" w:eastAsia="Calibri" w:hAnsi="Times New Roman"/>
                <w:sz w:val="26"/>
                <w:szCs w:val="26"/>
              </w:rPr>
            </w:pPr>
          </w:p>
          <w:p w14:paraId="06643484" w14:textId="77777777" w:rsidR="009B56B7" w:rsidRPr="00640FD7" w:rsidRDefault="000029DE" w:rsidP="00240D06">
            <w:pPr>
              <w:widowControl/>
              <w:autoSpaceDE/>
              <w:autoSpaceDN/>
              <w:adjustRightInd/>
              <w:jc w:val="center"/>
              <w:rPr>
                <w:rFonts w:ascii="Times New Roman" w:eastAsia="Calibri" w:hAnsi="Times New Roman"/>
                <w:sz w:val="26"/>
                <w:szCs w:val="26"/>
              </w:rPr>
            </w:pPr>
            <w:r>
              <w:rPr>
                <w:rFonts w:ascii="Times New Roman" w:eastAsia="Calibri" w:hAnsi="Times New Roman"/>
                <w:sz w:val="26"/>
                <w:szCs w:val="26"/>
              </w:rPr>
              <w:t>3</w:t>
            </w:r>
            <w:r w:rsidR="00BE4776" w:rsidRPr="00640FD7">
              <w:rPr>
                <w:rFonts w:ascii="Times New Roman" w:eastAsia="Calibri" w:hAnsi="Times New Roman"/>
                <w:sz w:val="26"/>
                <w:szCs w:val="26"/>
              </w:rPr>
              <w:t>0</w:t>
            </w:r>
          </w:p>
        </w:tc>
        <w:tc>
          <w:tcPr>
            <w:tcW w:w="697" w:type="pct"/>
          </w:tcPr>
          <w:p w14:paraId="06643485" w14:textId="77777777" w:rsidR="000B60C0" w:rsidRPr="00640FD7" w:rsidRDefault="000B60C0" w:rsidP="000B60C0">
            <w:pPr>
              <w:widowControl/>
              <w:autoSpaceDE/>
              <w:autoSpaceDN/>
              <w:adjustRightInd/>
              <w:jc w:val="center"/>
              <w:rPr>
                <w:rFonts w:ascii="Times New Roman" w:eastAsia="Calibri" w:hAnsi="Times New Roman"/>
                <w:sz w:val="26"/>
                <w:szCs w:val="26"/>
              </w:rPr>
            </w:pPr>
          </w:p>
          <w:p w14:paraId="06643486" w14:textId="77777777" w:rsidR="000B60C0" w:rsidRPr="00640FD7" w:rsidRDefault="00640FD7" w:rsidP="00902AB5">
            <w:pPr>
              <w:widowControl/>
              <w:autoSpaceDE/>
              <w:autoSpaceDN/>
              <w:adjustRightInd/>
              <w:jc w:val="center"/>
              <w:rPr>
                <w:rFonts w:ascii="Times New Roman" w:eastAsia="Calibri" w:hAnsi="Times New Roman"/>
                <w:sz w:val="26"/>
                <w:szCs w:val="26"/>
              </w:rPr>
            </w:pPr>
            <w:r w:rsidRPr="00640FD7">
              <w:rPr>
                <w:rFonts w:ascii="Times New Roman" w:eastAsia="Calibri" w:hAnsi="Times New Roman"/>
                <w:sz w:val="26"/>
                <w:szCs w:val="26"/>
              </w:rPr>
              <w:t xml:space="preserve">10 </w:t>
            </w:r>
            <w:r w:rsidR="006C13F1">
              <w:rPr>
                <w:rFonts w:ascii="Times New Roman" w:eastAsia="Calibri" w:hAnsi="Times New Roman"/>
                <w:sz w:val="26"/>
                <w:szCs w:val="26"/>
              </w:rPr>
              <w:t>hrs</w:t>
            </w:r>
            <w:r w:rsidR="00CC2F19">
              <w:rPr>
                <w:rFonts w:ascii="Times New Roman" w:eastAsia="Calibri" w:hAnsi="Times New Roman"/>
                <w:sz w:val="26"/>
                <w:szCs w:val="26"/>
              </w:rPr>
              <w:t>.;</w:t>
            </w:r>
          </w:p>
          <w:p w14:paraId="06643487" w14:textId="77777777" w:rsidR="009B56B7" w:rsidRPr="00640FD7" w:rsidRDefault="00640FD7" w:rsidP="00902AB5">
            <w:pPr>
              <w:widowControl/>
              <w:autoSpaceDE/>
              <w:autoSpaceDN/>
              <w:adjustRightInd/>
              <w:jc w:val="center"/>
              <w:rPr>
                <w:rFonts w:ascii="Times New Roman" w:eastAsia="Calibri" w:hAnsi="Times New Roman"/>
                <w:sz w:val="26"/>
                <w:szCs w:val="26"/>
              </w:rPr>
            </w:pPr>
            <w:r w:rsidRPr="00640FD7">
              <w:rPr>
                <w:rFonts w:ascii="Times New Roman" w:eastAsia="Calibri" w:hAnsi="Times New Roman"/>
                <w:sz w:val="26"/>
                <w:szCs w:val="26"/>
              </w:rPr>
              <w:t>$</w:t>
            </w:r>
            <w:r w:rsidR="000029DE">
              <w:rPr>
                <w:rFonts w:ascii="Times New Roman" w:eastAsia="Calibri" w:hAnsi="Times New Roman"/>
                <w:sz w:val="26"/>
                <w:szCs w:val="26"/>
              </w:rPr>
              <w:t>765.00</w:t>
            </w:r>
          </w:p>
        </w:tc>
        <w:tc>
          <w:tcPr>
            <w:tcW w:w="872" w:type="pct"/>
          </w:tcPr>
          <w:p w14:paraId="06643488" w14:textId="77777777" w:rsidR="009B56B7" w:rsidRPr="00640FD7" w:rsidRDefault="009B56B7" w:rsidP="00902AB5">
            <w:pPr>
              <w:widowControl/>
              <w:autoSpaceDE/>
              <w:autoSpaceDN/>
              <w:adjustRightInd/>
              <w:jc w:val="center"/>
              <w:rPr>
                <w:rFonts w:ascii="Times New Roman" w:eastAsia="Calibri" w:hAnsi="Times New Roman"/>
                <w:sz w:val="26"/>
                <w:szCs w:val="26"/>
              </w:rPr>
            </w:pPr>
          </w:p>
          <w:p w14:paraId="06643489" w14:textId="77777777" w:rsidR="000B60C0" w:rsidRPr="00640FD7" w:rsidRDefault="000029DE" w:rsidP="00902AB5">
            <w:pPr>
              <w:widowControl/>
              <w:autoSpaceDE/>
              <w:autoSpaceDN/>
              <w:adjustRightInd/>
              <w:jc w:val="center"/>
              <w:rPr>
                <w:rFonts w:ascii="Times New Roman" w:eastAsia="Calibri" w:hAnsi="Times New Roman"/>
                <w:sz w:val="26"/>
                <w:szCs w:val="26"/>
              </w:rPr>
            </w:pPr>
            <w:r>
              <w:rPr>
                <w:rFonts w:ascii="Times New Roman" w:eastAsia="Calibri" w:hAnsi="Times New Roman"/>
                <w:sz w:val="26"/>
                <w:szCs w:val="26"/>
              </w:rPr>
              <w:t>3</w:t>
            </w:r>
            <w:r w:rsidR="00640FD7" w:rsidRPr="00640FD7">
              <w:rPr>
                <w:rFonts w:ascii="Times New Roman" w:eastAsia="Calibri" w:hAnsi="Times New Roman"/>
                <w:sz w:val="26"/>
                <w:szCs w:val="26"/>
              </w:rPr>
              <w:t>0</w:t>
            </w:r>
            <w:r w:rsidR="006C13F1">
              <w:rPr>
                <w:rFonts w:ascii="Times New Roman" w:eastAsia="Calibri" w:hAnsi="Times New Roman"/>
                <w:sz w:val="26"/>
                <w:szCs w:val="26"/>
              </w:rPr>
              <w:t>0 hrs</w:t>
            </w:r>
          </w:p>
          <w:p w14:paraId="0664348A" w14:textId="77777777" w:rsidR="000B60C0" w:rsidRPr="00640FD7" w:rsidRDefault="000B60C0" w:rsidP="00902AB5">
            <w:pPr>
              <w:widowControl/>
              <w:autoSpaceDE/>
              <w:autoSpaceDN/>
              <w:adjustRightInd/>
              <w:jc w:val="center"/>
              <w:rPr>
                <w:rFonts w:ascii="Times New Roman" w:eastAsia="Calibri" w:hAnsi="Times New Roman"/>
                <w:sz w:val="26"/>
                <w:szCs w:val="26"/>
              </w:rPr>
            </w:pPr>
            <w:r w:rsidRPr="00640FD7">
              <w:rPr>
                <w:rFonts w:ascii="Times New Roman" w:eastAsia="Calibri" w:hAnsi="Times New Roman"/>
                <w:sz w:val="26"/>
                <w:szCs w:val="26"/>
              </w:rPr>
              <w:t>$</w:t>
            </w:r>
            <w:r w:rsidR="004711AF">
              <w:rPr>
                <w:rFonts w:ascii="Times New Roman" w:eastAsia="Calibri" w:hAnsi="Times New Roman"/>
                <w:sz w:val="26"/>
                <w:szCs w:val="26"/>
              </w:rPr>
              <w:t>22,950.0</w:t>
            </w:r>
            <w:r w:rsidR="000029DE">
              <w:rPr>
                <w:rFonts w:ascii="Times New Roman" w:eastAsia="Calibri" w:hAnsi="Times New Roman"/>
                <w:sz w:val="26"/>
                <w:szCs w:val="26"/>
              </w:rPr>
              <w:t>0</w:t>
            </w:r>
          </w:p>
        </w:tc>
        <w:tc>
          <w:tcPr>
            <w:tcW w:w="1089" w:type="pct"/>
          </w:tcPr>
          <w:p w14:paraId="0664348B" w14:textId="77777777" w:rsidR="009B56B7" w:rsidRPr="00640FD7" w:rsidRDefault="009B56B7" w:rsidP="00902AB5">
            <w:pPr>
              <w:widowControl/>
              <w:autoSpaceDE/>
              <w:autoSpaceDN/>
              <w:adjustRightInd/>
              <w:jc w:val="center"/>
              <w:rPr>
                <w:rFonts w:ascii="Times New Roman" w:eastAsia="Calibri" w:hAnsi="Times New Roman"/>
                <w:sz w:val="26"/>
                <w:szCs w:val="26"/>
              </w:rPr>
            </w:pPr>
          </w:p>
          <w:p w14:paraId="0664348C" w14:textId="77777777" w:rsidR="000B60C0" w:rsidRPr="00640FD7" w:rsidRDefault="000B60C0" w:rsidP="00902AB5">
            <w:pPr>
              <w:widowControl/>
              <w:autoSpaceDE/>
              <w:autoSpaceDN/>
              <w:adjustRightInd/>
              <w:jc w:val="center"/>
              <w:rPr>
                <w:rFonts w:ascii="Times New Roman" w:eastAsia="Calibri" w:hAnsi="Times New Roman"/>
                <w:sz w:val="26"/>
                <w:szCs w:val="26"/>
              </w:rPr>
            </w:pPr>
          </w:p>
          <w:p w14:paraId="0664348D" w14:textId="77777777" w:rsidR="000B60C0" w:rsidRPr="00640FD7" w:rsidRDefault="00640FD7" w:rsidP="00902AB5">
            <w:pPr>
              <w:widowControl/>
              <w:autoSpaceDE/>
              <w:autoSpaceDN/>
              <w:adjustRightInd/>
              <w:jc w:val="center"/>
              <w:rPr>
                <w:rFonts w:ascii="Times New Roman" w:eastAsia="Calibri" w:hAnsi="Times New Roman"/>
                <w:sz w:val="26"/>
                <w:szCs w:val="26"/>
              </w:rPr>
            </w:pPr>
            <w:r w:rsidRPr="00640FD7">
              <w:rPr>
                <w:rFonts w:ascii="Times New Roman" w:eastAsia="Calibri" w:hAnsi="Times New Roman"/>
                <w:sz w:val="26"/>
                <w:szCs w:val="26"/>
              </w:rPr>
              <w:t>$</w:t>
            </w:r>
            <w:r w:rsidR="004711AF">
              <w:rPr>
                <w:rFonts w:ascii="Times New Roman" w:eastAsia="Calibri" w:hAnsi="Times New Roman"/>
                <w:sz w:val="26"/>
                <w:szCs w:val="26"/>
              </w:rPr>
              <w:t>2295.00</w:t>
            </w:r>
          </w:p>
        </w:tc>
      </w:tr>
    </w:tbl>
    <w:p w14:paraId="0664348F" w14:textId="77777777" w:rsidR="009D56EE" w:rsidRDefault="009D56EE" w:rsidP="000251F6">
      <w:pPr>
        <w:widowControl/>
        <w:autoSpaceDE/>
        <w:autoSpaceDN/>
        <w:adjustRightInd/>
        <w:spacing w:line="480" w:lineRule="auto"/>
        <w:rPr>
          <w:rFonts w:ascii="Times New Roman" w:hAnsi="Times New Roman"/>
          <w:i/>
          <w:sz w:val="26"/>
          <w:szCs w:val="26"/>
        </w:rPr>
      </w:pPr>
    </w:p>
    <w:p w14:paraId="06643490" w14:textId="77777777" w:rsidR="000251F6" w:rsidRPr="009B56B7" w:rsidRDefault="000251F6" w:rsidP="000251F6">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 xml:space="preserve">Comments:  </w:t>
      </w:r>
      <w:r w:rsidRPr="009B56B7">
        <w:rPr>
          <w:rFonts w:ascii="Times New Roman" w:hAnsi="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71A804E" w14:textId="1EB8E46A" w:rsidR="00C952B0" w:rsidRDefault="00C952B0" w:rsidP="00C952B0">
      <w:pPr>
        <w:widowControl/>
        <w:autoSpaceDE/>
        <w:autoSpaceDN/>
        <w:adjustRightInd/>
        <w:rPr>
          <w:rFonts w:ascii="Times New Roman" w:hAnsi="Times New Roman"/>
          <w:sz w:val="26"/>
          <w:szCs w:val="26"/>
        </w:rPr>
      </w:pPr>
    </w:p>
    <w:p w14:paraId="460974CB" w14:textId="77777777" w:rsidR="00522A31" w:rsidRDefault="00522A31" w:rsidP="00C952B0">
      <w:pPr>
        <w:widowControl/>
        <w:autoSpaceDE/>
        <w:autoSpaceDN/>
        <w:adjustRightInd/>
        <w:rPr>
          <w:rFonts w:ascii="Times New Roman" w:eastAsiaTheme="minorHAnsi" w:hAnsi="Times New Roman"/>
          <w:sz w:val="26"/>
          <w:szCs w:val="26"/>
        </w:rPr>
      </w:pPr>
    </w:p>
    <w:p w14:paraId="73D2708D" w14:textId="77777777" w:rsidR="00522A31" w:rsidRDefault="00522A31" w:rsidP="00C952B0">
      <w:pPr>
        <w:widowControl/>
        <w:autoSpaceDE/>
        <w:autoSpaceDN/>
        <w:adjustRightInd/>
        <w:rPr>
          <w:rFonts w:ascii="Times New Roman" w:hAnsi="Times New Roman"/>
          <w:sz w:val="26"/>
          <w:szCs w:val="26"/>
        </w:rPr>
      </w:pPr>
    </w:p>
    <w:p w14:paraId="361F7333" w14:textId="58B0544B" w:rsidR="00C952B0" w:rsidRPr="00C952B0" w:rsidRDefault="00C952B0" w:rsidP="00C952B0">
      <w:pPr>
        <w:widowControl/>
        <w:ind w:firstLine="2174"/>
        <w:jc w:val="center"/>
        <w:rPr>
          <w:rFonts w:ascii="Times New Roman" w:hAnsi="Times New Roman"/>
          <w:sz w:val="26"/>
        </w:rPr>
      </w:pPr>
      <w:r w:rsidRPr="00C952B0">
        <w:rPr>
          <w:rFonts w:ascii="Times New Roman" w:hAnsi="Times New Roman"/>
          <w:sz w:val="26"/>
        </w:rPr>
        <w:t>Kimberly D. Bose,</w:t>
      </w:r>
    </w:p>
    <w:p w14:paraId="0096B04A" w14:textId="7F9EB100" w:rsidR="00C952B0" w:rsidRPr="00C952B0" w:rsidRDefault="00C952B0" w:rsidP="00C952B0">
      <w:pPr>
        <w:widowControl/>
        <w:ind w:firstLine="2174"/>
        <w:jc w:val="center"/>
      </w:pPr>
      <w:r w:rsidRPr="00C952B0">
        <w:rPr>
          <w:rFonts w:ascii="Times New Roman" w:hAnsi="Times New Roman"/>
          <w:sz w:val="26"/>
        </w:rPr>
        <w:t>Secretary.</w:t>
      </w:r>
    </w:p>
    <w:sectPr w:rsidR="00C952B0" w:rsidRPr="00C952B0" w:rsidSect="00146BBA">
      <w:headerReference w:type="default" r:id="rId15"/>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09174" w14:textId="77777777" w:rsidR="00931C0B" w:rsidRDefault="00931C0B" w:rsidP="003B5AD8">
      <w:r>
        <w:separator/>
      </w:r>
    </w:p>
  </w:endnote>
  <w:endnote w:type="continuationSeparator" w:id="0">
    <w:p w14:paraId="2E5E3013" w14:textId="77777777" w:rsidR="00931C0B" w:rsidRDefault="00931C0B" w:rsidP="003B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D9B8C" w14:textId="77777777" w:rsidR="00931C0B" w:rsidRDefault="00931C0B" w:rsidP="003B5AD8">
      <w:r>
        <w:separator/>
      </w:r>
    </w:p>
  </w:footnote>
  <w:footnote w:type="continuationSeparator" w:id="0">
    <w:p w14:paraId="6675C75A" w14:textId="77777777" w:rsidR="00931C0B" w:rsidRDefault="00931C0B" w:rsidP="003B5AD8">
      <w:r>
        <w:continuationSeparator/>
      </w:r>
    </w:p>
  </w:footnote>
  <w:footnote w:type="continuationNotice" w:id="1">
    <w:p w14:paraId="40A07F7A" w14:textId="77777777" w:rsidR="00931C0B" w:rsidRDefault="00931C0B"/>
  </w:footnote>
  <w:footnote w:id="2">
    <w:p w14:paraId="4D2411F9" w14:textId="77777777" w:rsidR="00522A31" w:rsidRPr="009B56B7" w:rsidRDefault="00522A31" w:rsidP="00522A31">
      <w:pPr>
        <w:ind w:firstLine="720"/>
        <w:rPr>
          <w:rFonts w:ascii="Times New Roman" w:eastAsiaTheme="minorHAnsi" w:hAnsi="Times New Roman"/>
          <w:sz w:val="26"/>
          <w:szCs w:val="26"/>
        </w:rPr>
      </w:pPr>
      <w:r>
        <w:rPr>
          <w:rStyle w:val="FootnoteReference"/>
        </w:rPr>
        <w:footnoteRef/>
      </w:r>
      <w:r>
        <w:t xml:space="preserve"> </w:t>
      </w:r>
      <w:r w:rsidRPr="009B56B7">
        <w:rPr>
          <w:rFonts w:ascii="Times New Roman" w:eastAsiaTheme="minorHAnsi" w:hAnsi="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0C4B7E96" w14:textId="16A82F1C" w:rsidR="00522A31" w:rsidRDefault="00522A31">
      <w:pPr>
        <w:pStyle w:val="FootnoteText"/>
      </w:pPr>
    </w:p>
  </w:footnote>
  <w:footnote w:id="3">
    <w:p w14:paraId="05B6AB75" w14:textId="336E6276" w:rsidR="00522A31" w:rsidRDefault="00522A31" w:rsidP="00522A31">
      <w:pPr>
        <w:widowControl/>
        <w:autoSpaceDE/>
        <w:autoSpaceDN/>
        <w:adjustRightInd/>
        <w:ind w:firstLine="720"/>
      </w:pPr>
      <w:r>
        <w:rPr>
          <w:rStyle w:val="FootnoteReference"/>
        </w:rPr>
        <w:footnoteRef/>
      </w:r>
      <w:r>
        <w:rPr>
          <w:rFonts w:ascii="Times New Roman" w:eastAsiaTheme="minorHAnsi" w:hAnsi="Times New Roman"/>
          <w:sz w:val="26"/>
          <w:szCs w:val="26"/>
        </w:rPr>
        <w:t xml:space="preserve"> </w:t>
      </w:r>
      <w:r w:rsidRPr="009B56B7">
        <w:rPr>
          <w:rFonts w:ascii="Times New Roman" w:eastAsiaTheme="minorHAnsi" w:hAnsi="Times New Roman"/>
          <w:sz w:val="26"/>
          <w:szCs w:val="26"/>
        </w:rPr>
        <w:t>The estimates for cost per response are derived using the 20</w:t>
      </w:r>
      <w:r>
        <w:rPr>
          <w:rFonts w:ascii="Times New Roman" w:eastAsiaTheme="minorHAnsi" w:hAnsi="Times New Roman"/>
          <w:sz w:val="26"/>
          <w:szCs w:val="26"/>
        </w:rPr>
        <w:t>17</w:t>
      </w:r>
      <w:r w:rsidRPr="009B56B7">
        <w:rPr>
          <w:rFonts w:ascii="Times New Roman" w:eastAsiaTheme="minorHAnsi" w:hAnsi="Times New Roman"/>
          <w:sz w:val="26"/>
          <w:szCs w:val="26"/>
        </w:rPr>
        <w:t xml:space="preserve"> FERC average salary plus benefits of $15</w:t>
      </w:r>
      <w:r>
        <w:rPr>
          <w:rFonts w:ascii="Times New Roman" w:eastAsiaTheme="minorHAnsi" w:hAnsi="Times New Roman"/>
          <w:sz w:val="26"/>
          <w:szCs w:val="26"/>
        </w:rPr>
        <w:t>8</w:t>
      </w:r>
      <w:r w:rsidRPr="009B56B7">
        <w:rPr>
          <w:rFonts w:ascii="Times New Roman" w:eastAsiaTheme="minorHAnsi" w:hAnsi="Times New Roman"/>
          <w:sz w:val="26"/>
          <w:szCs w:val="26"/>
        </w:rPr>
        <w:t>,7</w:t>
      </w:r>
      <w:r>
        <w:rPr>
          <w:rFonts w:ascii="Times New Roman" w:eastAsiaTheme="minorHAnsi" w:hAnsi="Times New Roman"/>
          <w:sz w:val="26"/>
          <w:szCs w:val="26"/>
        </w:rPr>
        <w:t>54</w:t>
      </w:r>
      <w:r w:rsidRPr="009B56B7">
        <w:rPr>
          <w:rFonts w:ascii="Times New Roman" w:eastAsiaTheme="minorHAnsi" w:hAnsi="Times New Roman"/>
          <w:sz w:val="26"/>
          <w:szCs w:val="26"/>
        </w:rPr>
        <w:t>/year (or $7</w:t>
      </w:r>
      <w:r>
        <w:rPr>
          <w:rFonts w:ascii="Times New Roman" w:eastAsiaTheme="minorHAnsi" w:hAnsi="Times New Roman"/>
          <w:sz w:val="26"/>
          <w:szCs w:val="26"/>
        </w:rPr>
        <w:t>6</w:t>
      </w:r>
      <w:r w:rsidRPr="009B56B7">
        <w:rPr>
          <w:rFonts w:ascii="Times New Roman" w:eastAsiaTheme="minorHAnsi" w:hAnsi="Times New Roman"/>
          <w:sz w:val="26"/>
          <w:szCs w:val="26"/>
        </w:rPr>
        <w:t>.50/hour). Commission staff finds that the work done for this information collection is typically done by wage categories similar to those at FERC.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971255"/>
      <w:docPartObj>
        <w:docPartGallery w:val="Page Numbers (Top of Page)"/>
        <w:docPartUnique/>
      </w:docPartObj>
    </w:sdtPr>
    <w:sdtEndPr>
      <w:rPr>
        <w:rFonts w:ascii="Times New Roman" w:hAnsi="Times New Roman"/>
        <w:noProof/>
        <w:sz w:val="26"/>
        <w:szCs w:val="26"/>
      </w:rPr>
    </w:sdtEndPr>
    <w:sdtContent>
      <w:p w14:paraId="0664349D" w14:textId="7D36ECB8" w:rsidR="00417BE1" w:rsidRDefault="00146BBA">
        <w:pPr>
          <w:spacing w:line="240" w:lineRule="exact"/>
          <w:rPr>
            <w:rFonts w:ascii="Times New Roman" w:hAnsi="Times New Roman"/>
            <w:sz w:val="26"/>
            <w:szCs w:val="26"/>
          </w:rPr>
        </w:pPr>
        <w:r>
          <w:rPr>
            <w:rFonts w:ascii="Times New Roman" w:hAnsi="Times New Roman"/>
            <w:sz w:val="26"/>
            <w:szCs w:val="26"/>
          </w:rPr>
          <w:t>Docket No. IC17-5-000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46BBA">
          <w:rPr>
            <w:rFonts w:ascii="Times New Roman" w:hAnsi="Times New Roman"/>
            <w:sz w:val="26"/>
            <w:szCs w:val="26"/>
          </w:rPr>
          <w:fldChar w:fldCharType="begin"/>
        </w:r>
        <w:r w:rsidRPr="00146BBA">
          <w:rPr>
            <w:rFonts w:ascii="Times New Roman" w:hAnsi="Times New Roman"/>
            <w:sz w:val="26"/>
            <w:szCs w:val="26"/>
          </w:rPr>
          <w:instrText xml:space="preserve"> PAGE   \* MERGEFORMAT </w:instrText>
        </w:r>
        <w:r w:rsidRPr="00146BBA">
          <w:rPr>
            <w:rFonts w:ascii="Times New Roman" w:hAnsi="Times New Roman"/>
            <w:sz w:val="26"/>
            <w:szCs w:val="26"/>
          </w:rPr>
          <w:fldChar w:fldCharType="separate"/>
        </w:r>
        <w:r w:rsidR="009C6E3A">
          <w:rPr>
            <w:rFonts w:ascii="Times New Roman" w:hAnsi="Times New Roman"/>
            <w:noProof/>
            <w:sz w:val="26"/>
            <w:szCs w:val="26"/>
          </w:rPr>
          <w:t>2</w:t>
        </w:r>
        <w:r w:rsidRPr="00146BBA">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C1B"/>
    <w:multiLevelType w:val="hybridMultilevel"/>
    <w:tmpl w:val="D750B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2940"/>
        </w:tabs>
        <w:ind w:left="2940" w:hanging="360"/>
      </w:pPr>
      <w:rPr>
        <w:rFonts w:ascii="Symbol" w:hAnsi="Symbol" w:hint="default"/>
        <w:color w:val="auto"/>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3D"/>
    <w:rsid w:val="000029DE"/>
    <w:rsid w:val="000251F6"/>
    <w:rsid w:val="00046A49"/>
    <w:rsid w:val="000B60C0"/>
    <w:rsid w:val="0013104A"/>
    <w:rsid w:val="00146BBA"/>
    <w:rsid w:val="00173CA3"/>
    <w:rsid w:val="001C1249"/>
    <w:rsid w:val="002342B2"/>
    <w:rsid w:val="0024023D"/>
    <w:rsid w:val="00240D06"/>
    <w:rsid w:val="00355BAF"/>
    <w:rsid w:val="003837A0"/>
    <w:rsid w:val="003B5AD8"/>
    <w:rsid w:val="004711AF"/>
    <w:rsid w:val="00484BFC"/>
    <w:rsid w:val="00497509"/>
    <w:rsid w:val="00522A31"/>
    <w:rsid w:val="005476A1"/>
    <w:rsid w:val="00562B82"/>
    <w:rsid w:val="00640FD7"/>
    <w:rsid w:val="006C13F1"/>
    <w:rsid w:val="006E42AF"/>
    <w:rsid w:val="00777290"/>
    <w:rsid w:val="00781AF5"/>
    <w:rsid w:val="007A3197"/>
    <w:rsid w:val="00902AB5"/>
    <w:rsid w:val="00931C0B"/>
    <w:rsid w:val="009B56B7"/>
    <w:rsid w:val="009B6260"/>
    <w:rsid w:val="009C6E3A"/>
    <w:rsid w:val="009D56EE"/>
    <w:rsid w:val="00A63C15"/>
    <w:rsid w:val="00A929B1"/>
    <w:rsid w:val="00AE1AD1"/>
    <w:rsid w:val="00AE549B"/>
    <w:rsid w:val="00B651A1"/>
    <w:rsid w:val="00BC44B3"/>
    <w:rsid w:val="00BE4776"/>
    <w:rsid w:val="00C164B1"/>
    <w:rsid w:val="00C952B0"/>
    <w:rsid w:val="00CC2F19"/>
    <w:rsid w:val="00CE46B8"/>
    <w:rsid w:val="00D739C9"/>
    <w:rsid w:val="00D742F4"/>
    <w:rsid w:val="00DA24AC"/>
    <w:rsid w:val="00E337CB"/>
    <w:rsid w:val="00EE6BFA"/>
    <w:rsid w:val="00EF03E8"/>
    <w:rsid w:val="00FA4C5B"/>
    <w:rsid w:val="00FD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344C"/>
  <w15:chartTrackingRefBased/>
  <w15:docId w15:val="{5B847F06-E9A9-4A79-8C2F-7AEC4C76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3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023D"/>
    <w:rPr>
      <w:color w:val="0000FF"/>
      <w:u w:val="single"/>
    </w:rPr>
  </w:style>
  <w:style w:type="paragraph" w:styleId="Header">
    <w:name w:val="header"/>
    <w:basedOn w:val="Normal"/>
    <w:link w:val="HeaderChar"/>
    <w:uiPriority w:val="99"/>
    <w:rsid w:val="0024023D"/>
    <w:pPr>
      <w:tabs>
        <w:tab w:val="center" w:pos="4320"/>
        <w:tab w:val="right" w:pos="8640"/>
      </w:tabs>
    </w:pPr>
  </w:style>
  <w:style w:type="character" w:customStyle="1" w:styleId="HeaderChar">
    <w:name w:val="Header Char"/>
    <w:basedOn w:val="DefaultParagraphFont"/>
    <w:link w:val="Header"/>
    <w:uiPriority w:val="99"/>
    <w:rsid w:val="0024023D"/>
    <w:rPr>
      <w:rFonts w:ascii="Courier" w:eastAsia="Times New Roman" w:hAnsi="Courier" w:cs="Times New Roman"/>
      <w:sz w:val="24"/>
      <w:szCs w:val="24"/>
    </w:rPr>
  </w:style>
  <w:style w:type="character" w:styleId="PageNumber">
    <w:name w:val="page number"/>
    <w:basedOn w:val="DefaultParagraphFont"/>
    <w:rsid w:val="0024023D"/>
  </w:style>
  <w:style w:type="paragraph" w:styleId="ListParagraph">
    <w:name w:val="List Paragraph"/>
    <w:basedOn w:val="Normal"/>
    <w:uiPriority w:val="34"/>
    <w:qFormat/>
    <w:rsid w:val="003B5AD8"/>
    <w:pPr>
      <w:ind w:left="720"/>
      <w:contextualSpacing/>
    </w:pPr>
  </w:style>
  <w:style w:type="paragraph" w:styleId="FootnoteText">
    <w:name w:val="footnote text"/>
    <w:basedOn w:val="Normal"/>
    <w:link w:val="FootnoteTextChar"/>
    <w:uiPriority w:val="99"/>
    <w:semiHidden/>
    <w:unhideWhenUsed/>
    <w:rsid w:val="003B5AD8"/>
    <w:rPr>
      <w:sz w:val="20"/>
      <w:szCs w:val="20"/>
    </w:rPr>
  </w:style>
  <w:style w:type="character" w:customStyle="1" w:styleId="FootnoteTextChar">
    <w:name w:val="Footnote Text Char"/>
    <w:basedOn w:val="DefaultParagraphFont"/>
    <w:link w:val="FootnoteText"/>
    <w:uiPriority w:val="99"/>
    <w:semiHidden/>
    <w:rsid w:val="003B5AD8"/>
    <w:rPr>
      <w:rFonts w:ascii="Courier" w:eastAsia="Times New Roman" w:hAnsi="Courier" w:cs="Times New Roman"/>
      <w:sz w:val="20"/>
      <w:szCs w:val="20"/>
    </w:rPr>
  </w:style>
  <w:style w:type="paragraph" w:styleId="Footer">
    <w:name w:val="footer"/>
    <w:basedOn w:val="Normal"/>
    <w:link w:val="FooterChar"/>
    <w:uiPriority w:val="99"/>
    <w:unhideWhenUsed/>
    <w:rsid w:val="000251F6"/>
    <w:pPr>
      <w:tabs>
        <w:tab w:val="center" w:pos="4680"/>
        <w:tab w:val="right" w:pos="9360"/>
      </w:tabs>
    </w:pPr>
  </w:style>
  <w:style w:type="character" w:customStyle="1" w:styleId="FooterChar">
    <w:name w:val="Footer Char"/>
    <w:basedOn w:val="DefaultParagraphFont"/>
    <w:link w:val="Footer"/>
    <w:uiPriority w:val="99"/>
    <w:rsid w:val="000251F6"/>
    <w:rPr>
      <w:rFonts w:ascii="Courier" w:eastAsia="Times New Roman" w:hAnsi="Courier" w:cs="Times New Roman"/>
      <w:sz w:val="24"/>
      <w:szCs w:val="24"/>
    </w:rPr>
  </w:style>
  <w:style w:type="character" w:styleId="FootnoteReference">
    <w:name w:val="footnote reference"/>
    <w:aliases w:val="o,fr,Style 13,Style 12,Style 15,Style 17,Style 9,o1,fr1,o2,fr2,o3,fr3,Style 18,(NECG) Footnote Reference,Style 20,Style 7,Style 8,Style 19,Style 28,Styl,Style 11,Style 16"/>
    <w:rsid w:val="009B56B7"/>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AE1AD1"/>
    <w:rPr>
      <w:sz w:val="16"/>
      <w:szCs w:val="16"/>
    </w:rPr>
  </w:style>
  <w:style w:type="paragraph" w:styleId="CommentText">
    <w:name w:val="annotation text"/>
    <w:basedOn w:val="Normal"/>
    <w:link w:val="CommentTextChar"/>
    <w:uiPriority w:val="99"/>
    <w:semiHidden/>
    <w:unhideWhenUsed/>
    <w:rsid w:val="00AE1AD1"/>
    <w:rPr>
      <w:sz w:val="20"/>
      <w:szCs w:val="20"/>
    </w:rPr>
  </w:style>
  <w:style w:type="character" w:customStyle="1" w:styleId="CommentTextChar">
    <w:name w:val="Comment Text Char"/>
    <w:basedOn w:val="DefaultParagraphFont"/>
    <w:link w:val="CommentText"/>
    <w:uiPriority w:val="99"/>
    <w:semiHidden/>
    <w:rsid w:val="00AE1AD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AD1"/>
    <w:rPr>
      <w:b/>
      <w:bCs/>
    </w:rPr>
  </w:style>
  <w:style w:type="character" w:customStyle="1" w:styleId="CommentSubjectChar">
    <w:name w:val="Comment Subject Char"/>
    <w:basedOn w:val="CommentTextChar"/>
    <w:link w:val="CommentSubject"/>
    <w:uiPriority w:val="99"/>
    <w:semiHidden/>
    <w:rsid w:val="00AE1AD1"/>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AE1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A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docs-filing/docs-filing.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help/submission-guid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docs-filing/efiling.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E3C09-2400-4E53-9431-C93FD7249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E18C91-CC74-4FAE-A3A0-B479F629B230}">
  <ds:schemaRefs>
    <ds:schemaRef ds:uri="http://schemas.microsoft.com/sharepoint/v3/contenttype/forms"/>
  </ds:schemaRefs>
</ds:datastoreItem>
</file>

<file path=customXml/itemProps3.xml><?xml version="1.0" encoding="utf-8"?>
<ds:datastoreItem xmlns:ds="http://schemas.openxmlformats.org/officeDocument/2006/customXml" ds:itemID="{E8E6D5D6-6B4C-45CB-80A1-A74E24389616}">
  <ds:schemaRefs>
    <ds:schemaRef ds:uri="http://schemas.microsoft.com/office/2006/metadata/properties"/>
  </ds:schemaRefs>
</ds:datastoreItem>
</file>

<file path=customXml/itemProps4.xml><?xml version="1.0" encoding="utf-8"?>
<ds:datastoreItem xmlns:ds="http://schemas.openxmlformats.org/officeDocument/2006/customXml" ds:itemID="{DE0E5B10-13FF-4D1A-93EA-78099C24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2017-06-20T14:29:00Z</dcterms:created>
  <dcterms:modified xsi:type="dcterms:W3CDTF">2017-06-20T14:29:00Z</dcterms:modified>
  <cp:category/>
  <dc:identifier/>
  <cp:contentStatus/>
  <cp:version/>
</cp:coreProperties>
</file>