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87555B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4E0C4B" w:rsidP="00434E33" w:rsidRDefault="004E0C4B" w14:paraId="24497714" w14:textId="77777777">
      <w:pPr>
        <w:rPr>
          <w:b/>
        </w:rPr>
      </w:pPr>
    </w:p>
    <w:p w:rsidR="00E50293" w:rsidP="00434E33" w:rsidRDefault="006526A6" w14:paraId="587555B7" w14:textId="3169F1B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8755639" wp14:anchorId="587556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3B817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44116C" w14:paraId="587555B8" w14:textId="10A3D050">
      <w:r w:rsidRPr="0044116C">
        <w:rPr>
          <w:color w:val="365F91" w:themeColor="accent1" w:themeShade="BF"/>
        </w:rPr>
        <w:t>WWC Interviews with K-12 Education Leaders</w:t>
      </w:r>
    </w:p>
    <w:p w:rsidR="0044116C" w:rsidRDefault="0044116C" w14:paraId="4F285724" w14:textId="77777777">
      <w:pPr>
        <w:rPr>
          <w:b/>
        </w:rPr>
      </w:pPr>
    </w:p>
    <w:p w:rsidR="001B0AAA" w:rsidRDefault="00F15956" w14:paraId="587555B9" w14:textId="777B458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87555BA" w14:textId="77777777"/>
    <w:p w:rsidRPr="000B5CEA" w:rsidR="00C8488C" w:rsidP="00973F1E" w:rsidRDefault="00B762E4" w14:paraId="587555BF" w14:textId="603495F4">
      <w:pPr>
        <w:rPr>
          <w:b/>
          <w:color w:val="365F91" w:themeColor="accent1" w:themeShade="BF"/>
        </w:rPr>
      </w:pPr>
      <w:r w:rsidRPr="000B5CEA">
        <w:rPr>
          <w:color w:val="365F91" w:themeColor="accent1" w:themeShade="BF"/>
        </w:rPr>
        <w:t xml:space="preserve">The Institute of Education Sciences (IES) </w:t>
      </w:r>
      <w:r w:rsidRPr="000B5CEA" w:rsidR="005A74B9">
        <w:rPr>
          <w:color w:val="365F91" w:themeColor="accent1" w:themeShade="BF"/>
        </w:rPr>
        <w:t>wants</w:t>
      </w:r>
      <w:r w:rsidRPr="000B5CEA">
        <w:rPr>
          <w:color w:val="365F91" w:themeColor="accent1" w:themeShade="BF"/>
        </w:rPr>
        <w:t xml:space="preserve"> to </w:t>
      </w:r>
      <w:r w:rsidRPr="000B5CEA" w:rsidR="0057325E">
        <w:rPr>
          <w:color w:val="365F91" w:themeColor="accent1" w:themeShade="BF"/>
        </w:rPr>
        <w:t>collect data about</w:t>
      </w:r>
      <w:r w:rsidRPr="000B5CEA" w:rsidR="00C734A1">
        <w:rPr>
          <w:color w:val="365F91" w:themeColor="accent1" w:themeShade="BF"/>
        </w:rPr>
        <w:t xml:space="preserve"> how K–12 education leaders use the What Works Clearinghouse </w:t>
      </w:r>
      <w:r w:rsidR="00662BD0">
        <w:rPr>
          <w:color w:val="365F91" w:themeColor="accent1" w:themeShade="BF"/>
        </w:rPr>
        <w:t xml:space="preserve">(WWC) </w:t>
      </w:r>
      <w:r w:rsidRPr="000B5CEA" w:rsidR="00C734A1">
        <w:rPr>
          <w:color w:val="365F91" w:themeColor="accent1" w:themeShade="BF"/>
        </w:rPr>
        <w:t>website</w:t>
      </w:r>
      <w:r w:rsidRPr="000B5CEA" w:rsidR="00222B16">
        <w:rPr>
          <w:color w:val="365F91" w:themeColor="accent1" w:themeShade="BF"/>
        </w:rPr>
        <w:t xml:space="preserve">. </w:t>
      </w:r>
      <w:r w:rsidRPr="000B5CEA" w:rsidR="0057325E">
        <w:rPr>
          <w:color w:val="365F91" w:themeColor="accent1" w:themeShade="BF"/>
        </w:rPr>
        <w:t>The purpose of this data collection is</w:t>
      </w:r>
      <w:r w:rsidRPr="000B5CEA" w:rsidR="00973F1E">
        <w:rPr>
          <w:color w:val="365F91" w:themeColor="accent1" w:themeShade="BF"/>
        </w:rPr>
        <w:t xml:space="preserve"> to determine how </w:t>
      </w:r>
      <w:r w:rsidRPr="000B5CEA" w:rsidR="0057325E">
        <w:rPr>
          <w:color w:val="365F91" w:themeColor="accent1" w:themeShade="BF"/>
        </w:rPr>
        <w:t>IES</w:t>
      </w:r>
      <w:r w:rsidRPr="000B5CEA" w:rsidR="00973F1E">
        <w:rPr>
          <w:color w:val="365F91" w:themeColor="accent1" w:themeShade="BF"/>
        </w:rPr>
        <w:t xml:space="preserve"> can improve the </w:t>
      </w:r>
      <w:r w:rsidRPr="000B5CEA" w:rsidR="008B224A">
        <w:rPr>
          <w:color w:val="365F91" w:themeColor="accent1" w:themeShade="BF"/>
        </w:rPr>
        <w:t xml:space="preserve">WWC website to make it more useful to </w:t>
      </w:r>
      <w:r w:rsidRPr="000B5CEA" w:rsidR="00973F1E">
        <w:rPr>
          <w:color w:val="365F91" w:themeColor="accent1" w:themeShade="BF"/>
        </w:rPr>
        <w:t>K–12 education leaders</w:t>
      </w:r>
      <w:r w:rsidRPr="000B5CEA" w:rsidR="007502DF">
        <w:rPr>
          <w:color w:val="365F91" w:themeColor="accent1" w:themeShade="BF"/>
        </w:rPr>
        <w:t xml:space="preserve"> who are </w:t>
      </w:r>
      <w:r w:rsidRPr="000B5CEA" w:rsidR="00105936">
        <w:rPr>
          <w:color w:val="365F91" w:themeColor="accent1" w:themeShade="BF"/>
        </w:rPr>
        <w:t>the primary customers of WWC.</w:t>
      </w:r>
    </w:p>
    <w:p w:rsidR="00C8488C" w:rsidP="00434E33" w:rsidRDefault="00C8488C" w14:paraId="587555C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87555C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87555C2" w14:textId="77777777"/>
    <w:p w:rsidR="00C8488C" w:rsidRDefault="008B224A" w14:paraId="587555C3" w14:textId="3265BDF4">
      <w:r>
        <w:t xml:space="preserve">Respondents are </w:t>
      </w:r>
      <w:r w:rsidR="00E415B7">
        <w:t xml:space="preserve">representatives from </w:t>
      </w:r>
      <w:r w:rsidR="00170BE3">
        <w:t xml:space="preserve">state </w:t>
      </w:r>
      <w:r w:rsidR="00847D68">
        <w:t>education agencies</w:t>
      </w:r>
      <w:r w:rsidR="00170BE3">
        <w:t xml:space="preserve"> and </w:t>
      </w:r>
      <w:r w:rsidR="003314E0">
        <w:t>local education agencies</w:t>
      </w:r>
      <w:r w:rsidR="00170BE3">
        <w:t xml:space="preserve"> who make decisions about </w:t>
      </w:r>
      <w:r w:rsidR="00646DC6">
        <w:t xml:space="preserve">educational improvements. </w:t>
      </w:r>
      <w:r w:rsidR="00BB66D5">
        <w:t xml:space="preserve">These individuals </w:t>
      </w:r>
      <w:r w:rsidR="00E73B98">
        <w:t xml:space="preserve">usually oversee teaching and learning </w:t>
      </w:r>
      <w:r w:rsidR="00BB66D5">
        <w:t>in mid to upper management roles</w:t>
      </w:r>
      <w:r w:rsidR="00CD5D96">
        <w:t xml:space="preserve">. </w:t>
      </w:r>
    </w:p>
    <w:p w:rsidR="00F15956" w:rsidRDefault="00F15956" w14:paraId="587555C4" w14:textId="77777777"/>
    <w:p w:rsidRPr="00F06866" w:rsidR="00F06866" w:rsidRDefault="00F06866" w14:paraId="587555C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87555C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7555C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87555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87555CC" w14:textId="121BC6B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Pr="000B5CEA" w:rsidR="00630FAF">
        <w:rPr>
          <w:bCs/>
          <w:color w:val="365F91" w:themeColor="accent1" w:themeShade="BF"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630FAF">
        <w:rPr>
          <w:bCs/>
          <w:sz w:val="24"/>
          <w:u w:val="single"/>
        </w:rPr>
        <w:t>Interviews</w:t>
      </w:r>
    </w:p>
    <w:p w:rsidR="00434E33" w:rsidRDefault="00434E33" w14:paraId="587555C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87555C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87555CF" w14:textId="77777777">
      <w:pPr>
        <w:rPr>
          <w:sz w:val="16"/>
          <w:szCs w:val="16"/>
        </w:rPr>
      </w:pPr>
    </w:p>
    <w:p w:rsidRPr="009C13B9" w:rsidR="008101A5" w:rsidP="008101A5" w:rsidRDefault="008101A5" w14:paraId="587555D0" w14:textId="77777777">
      <w:r>
        <w:t xml:space="preserve">I certify the following to be true: </w:t>
      </w:r>
    </w:p>
    <w:p w:rsidR="008101A5" w:rsidP="008101A5" w:rsidRDefault="008101A5" w14:paraId="587555D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87555D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87555D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87555D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87555D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87555D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87555D7" w14:textId="77777777"/>
    <w:p w:rsidR="009C13B9" w:rsidP="009C13B9" w:rsidRDefault="009C13B9" w14:paraId="587555D8" w14:textId="544C2EA8">
      <w:r>
        <w:t>Name:</w:t>
      </w:r>
      <w:r w:rsidRPr="0060064D" w:rsidR="0060064D">
        <w:t xml:space="preserve"> </w:t>
      </w:r>
      <w:r w:rsidRPr="000B5CEA" w:rsidR="0060064D">
        <w:rPr>
          <w:color w:val="365F91" w:themeColor="accent1" w:themeShade="BF"/>
          <w:u w:val="single"/>
        </w:rPr>
        <w:t>Erin Pollard, Education Research Analyst, Knowledge Use Division, Institute of Education Science, US Department of Education</w:t>
      </w:r>
    </w:p>
    <w:p w:rsidR="009C13B9" w:rsidP="009C13B9" w:rsidRDefault="009C13B9" w14:paraId="587555D9" w14:textId="77777777">
      <w:pPr>
        <w:pStyle w:val="ListParagraph"/>
        <w:ind w:left="360"/>
      </w:pPr>
    </w:p>
    <w:p w:rsidR="009C13B9" w:rsidP="009C13B9" w:rsidRDefault="009C13B9" w14:paraId="587555DA" w14:textId="77777777">
      <w:r>
        <w:t>To assist review, please provide answers to the following question:</w:t>
      </w:r>
    </w:p>
    <w:p w:rsidR="009C13B9" w:rsidP="009C13B9" w:rsidRDefault="009C13B9" w14:paraId="587555DB" w14:textId="77777777">
      <w:pPr>
        <w:pStyle w:val="ListParagraph"/>
        <w:ind w:left="360"/>
      </w:pPr>
    </w:p>
    <w:p w:rsidRPr="00C86E91" w:rsidR="009C13B9" w:rsidP="00C86E91" w:rsidRDefault="00C86E91" w14:paraId="587555DC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87555DD" w14:textId="0181F38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0B5CEA" w:rsidR="0009252C">
        <w:rPr>
          <w:color w:val="365F91" w:themeColor="accent1" w:themeShade="BF"/>
        </w:rPr>
        <w:t>X</w:t>
      </w:r>
      <w:r w:rsidR="009239AA">
        <w:t xml:space="preserve">]  No </w:t>
      </w:r>
    </w:p>
    <w:p w:rsidR="00C86E91" w:rsidP="00C86E91" w:rsidRDefault="009C13B9" w14:paraId="587555DE" w14:textId="5571515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Pr="000B5CEA" w:rsidR="0009252C">
        <w:rPr>
          <w:color w:val="365F91" w:themeColor="accent1" w:themeShade="BF"/>
        </w:rPr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587555DF" w14:textId="05192FFA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Pr="000B5CEA" w:rsidR="00371C98">
        <w:rPr>
          <w:color w:val="365F91" w:themeColor="accent1" w:themeShade="BF"/>
        </w:rPr>
        <w:t>X</w:t>
      </w:r>
      <w:r>
        <w:t>] No</w:t>
      </w:r>
    </w:p>
    <w:p w:rsidR="00371C98" w:rsidP="00C86E91" w:rsidRDefault="00371C98" w14:paraId="186AF9C2" w14:textId="77777777">
      <w:pPr>
        <w:pStyle w:val="ListParagraph"/>
        <w:ind w:left="0"/>
        <w:rPr>
          <w:b/>
        </w:rPr>
      </w:pPr>
    </w:p>
    <w:p w:rsidR="00371C98" w:rsidP="00C86E91" w:rsidRDefault="00371C98" w14:paraId="1ABEC52F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87555E0" w14:textId="5AFC43B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87555E1" w14:textId="4A7CDC63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0B5CEA" w:rsidR="0012377C">
        <w:rPr>
          <w:color w:val="365F91" w:themeColor="accent1" w:themeShade="BF"/>
        </w:rPr>
        <w:t>X</w:t>
      </w:r>
      <w:r>
        <w:t xml:space="preserve">] No  </w:t>
      </w:r>
    </w:p>
    <w:p w:rsidR="00C86E91" w:rsidRDefault="00C86E91" w14:paraId="587555E5" w14:textId="77777777">
      <w:pPr>
        <w:rPr>
          <w:b/>
        </w:rPr>
      </w:pPr>
    </w:p>
    <w:p w:rsidR="005E714A" w:rsidP="00C86E91" w:rsidRDefault="005E714A" w14:paraId="587555E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87555E7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675"/>
        <w:gridCol w:w="1710"/>
        <w:gridCol w:w="1800"/>
        <w:gridCol w:w="1476"/>
      </w:tblGrid>
      <w:tr w:rsidR="00EF2095" w:rsidTr="00AE1F62" w14:paraId="587555EC" w14:textId="77777777">
        <w:trPr>
          <w:trHeight w:val="274"/>
        </w:trPr>
        <w:tc>
          <w:tcPr>
            <w:tcW w:w="4675" w:type="dxa"/>
          </w:tcPr>
          <w:p w:rsidRPr="00F6240A" w:rsidR="006832D9" w:rsidP="00C8488C" w:rsidRDefault="00E40B50" w14:paraId="587555E8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Pr="00F6240A" w:rsidR="006832D9" w:rsidP="00843796" w:rsidRDefault="006832D9" w14:paraId="587555E9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Pr="00F6240A" w:rsidR="006832D9" w:rsidP="00843796" w:rsidRDefault="006832D9" w14:paraId="587555EA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76" w:type="dxa"/>
          </w:tcPr>
          <w:p w:rsidRPr="00F6240A" w:rsidR="006832D9" w:rsidP="00843796" w:rsidRDefault="006832D9" w14:paraId="587555EB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AE1F62" w14:paraId="587555F1" w14:textId="77777777">
        <w:trPr>
          <w:trHeight w:val="274"/>
        </w:trPr>
        <w:tc>
          <w:tcPr>
            <w:tcW w:w="4675" w:type="dxa"/>
          </w:tcPr>
          <w:p w:rsidRPr="000B5CEA" w:rsidR="006832D9" w:rsidP="00843796" w:rsidRDefault="004A4B81" w14:paraId="587555ED" w14:textId="53180570">
            <w:pPr>
              <w:rPr>
                <w:color w:val="365F91" w:themeColor="accent1" w:themeShade="BF"/>
              </w:rPr>
            </w:pPr>
            <w:r w:rsidRPr="000B5CEA">
              <w:rPr>
                <w:color w:val="365F91" w:themeColor="accent1" w:themeShade="BF"/>
              </w:rPr>
              <w:t xml:space="preserve">(3) </w:t>
            </w:r>
            <w:r w:rsidRPr="000B5CEA" w:rsidR="00033F77">
              <w:rPr>
                <w:color w:val="365F91" w:themeColor="accent1" w:themeShade="BF"/>
              </w:rPr>
              <w:t>State, local, or tribal governments</w:t>
            </w:r>
          </w:p>
        </w:tc>
        <w:tc>
          <w:tcPr>
            <w:tcW w:w="1710" w:type="dxa"/>
          </w:tcPr>
          <w:p w:rsidRPr="000B5CEA" w:rsidR="006832D9" w:rsidP="009E2E88" w:rsidRDefault="00AE1F62" w14:paraId="587555EE" w14:textId="5E0698A8">
            <w:pPr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135</w:t>
            </w:r>
          </w:p>
        </w:tc>
        <w:tc>
          <w:tcPr>
            <w:tcW w:w="1800" w:type="dxa"/>
          </w:tcPr>
          <w:p w:rsidRPr="000B5CEA" w:rsidR="006832D9" w:rsidP="009E2E88" w:rsidRDefault="00401177" w14:paraId="587555EF" w14:textId="582F442B">
            <w:pPr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0.5</w:t>
            </w:r>
            <w:r w:rsidR="009662A0">
              <w:rPr>
                <w:color w:val="365F91" w:themeColor="accent1" w:themeShade="BF"/>
              </w:rPr>
              <w:t>4</w:t>
            </w:r>
            <w:r>
              <w:rPr>
                <w:color w:val="365F91" w:themeColor="accent1" w:themeShade="BF"/>
              </w:rPr>
              <w:t xml:space="preserve"> hours</w:t>
            </w:r>
          </w:p>
        </w:tc>
        <w:tc>
          <w:tcPr>
            <w:tcW w:w="1476" w:type="dxa"/>
          </w:tcPr>
          <w:p w:rsidRPr="000B5CEA" w:rsidR="006832D9" w:rsidP="009E2E88" w:rsidRDefault="00AE1F62" w14:paraId="587555F0" w14:textId="4DF36CD7">
            <w:pPr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7</w:t>
            </w:r>
            <w:r w:rsidR="00737854">
              <w:rPr>
                <w:color w:val="365F91" w:themeColor="accent1" w:themeShade="BF"/>
              </w:rPr>
              <w:t>3</w:t>
            </w:r>
            <w:r>
              <w:rPr>
                <w:color w:val="365F91" w:themeColor="accent1" w:themeShade="BF"/>
              </w:rPr>
              <w:t xml:space="preserve"> hours</w:t>
            </w:r>
          </w:p>
        </w:tc>
      </w:tr>
      <w:tr w:rsidR="00EF2095" w:rsidTr="00AE1F62" w14:paraId="587555F6" w14:textId="77777777">
        <w:trPr>
          <w:trHeight w:val="274"/>
        </w:trPr>
        <w:tc>
          <w:tcPr>
            <w:tcW w:w="4675" w:type="dxa"/>
          </w:tcPr>
          <w:p w:rsidR="006832D9" w:rsidP="00843796" w:rsidRDefault="006832D9" w14:paraId="587555F2" w14:textId="5BE9550F"/>
        </w:tc>
        <w:tc>
          <w:tcPr>
            <w:tcW w:w="1710" w:type="dxa"/>
          </w:tcPr>
          <w:p w:rsidR="006832D9" w:rsidP="009E2E88" w:rsidRDefault="006832D9" w14:paraId="587555F3" w14:textId="2170F606">
            <w:pPr>
              <w:jc w:val="center"/>
            </w:pPr>
          </w:p>
        </w:tc>
        <w:tc>
          <w:tcPr>
            <w:tcW w:w="1800" w:type="dxa"/>
          </w:tcPr>
          <w:p w:rsidR="006832D9" w:rsidP="009E2E88" w:rsidRDefault="006832D9" w14:paraId="587555F4" w14:textId="059AF8EF">
            <w:pPr>
              <w:jc w:val="center"/>
            </w:pPr>
          </w:p>
        </w:tc>
        <w:tc>
          <w:tcPr>
            <w:tcW w:w="1476" w:type="dxa"/>
          </w:tcPr>
          <w:p w:rsidR="006832D9" w:rsidP="009E2E88" w:rsidRDefault="006832D9" w14:paraId="587555F5" w14:textId="77777777">
            <w:pPr>
              <w:jc w:val="center"/>
            </w:pPr>
          </w:p>
        </w:tc>
      </w:tr>
      <w:tr w:rsidR="00EF2095" w:rsidTr="00AE1F62" w14:paraId="587555FB" w14:textId="77777777">
        <w:trPr>
          <w:trHeight w:val="289"/>
        </w:trPr>
        <w:tc>
          <w:tcPr>
            <w:tcW w:w="4675" w:type="dxa"/>
          </w:tcPr>
          <w:p w:rsidRPr="00F6240A" w:rsidR="006832D9" w:rsidP="00843796" w:rsidRDefault="006832D9" w14:paraId="587555F7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:rsidRPr="000B5CEA" w:rsidR="006832D9" w:rsidP="009E2E88" w:rsidRDefault="006B683D" w14:paraId="587555F8" w14:textId="72E0D84A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135</w:t>
            </w:r>
          </w:p>
        </w:tc>
        <w:tc>
          <w:tcPr>
            <w:tcW w:w="1800" w:type="dxa"/>
          </w:tcPr>
          <w:p w:rsidRPr="000B5CEA" w:rsidR="006832D9" w:rsidP="009E2E88" w:rsidRDefault="006B683D" w14:paraId="587555F9" w14:textId="2F8441A8">
            <w:pPr>
              <w:jc w:val="center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0.5</w:t>
            </w:r>
            <w:r w:rsidR="009662A0">
              <w:rPr>
                <w:color w:val="365F91" w:themeColor="accent1" w:themeShade="BF"/>
              </w:rPr>
              <w:t>4</w:t>
            </w:r>
            <w:r>
              <w:rPr>
                <w:color w:val="365F91" w:themeColor="accent1" w:themeShade="BF"/>
              </w:rPr>
              <w:t xml:space="preserve"> hours</w:t>
            </w:r>
          </w:p>
        </w:tc>
        <w:tc>
          <w:tcPr>
            <w:tcW w:w="1476" w:type="dxa"/>
          </w:tcPr>
          <w:p w:rsidRPr="000B5CEA" w:rsidR="006832D9" w:rsidP="009E2E88" w:rsidRDefault="006B683D" w14:paraId="587555FA" w14:textId="56A9A252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7</w:t>
            </w:r>
            <w:r w:rsidR="00737854">
              <w:rPr>
                <w:b/>
                <w:color w:val="365F91" w:themeColor="accent1" w:themeShade="BF"/>
              </w:rPr>
              <w:t>3</w:t>
            </w:r>
            <w:r>
              <w:rPr>
                <w:b/>
                <w:color w:val="365F91" w:themeColor="accent1" w:themeShade="BF"/>
              </w:rPr>
              <w:t xml:space="preserve"> hours</w:t>
            </w:r>
          </w:p>
        </w:tc>
      </w:tr>
    </w:tbl>
    <w:p w:rsidR="00F3170F" w:rsidP="00F3170F" w:rsidRDefault="00F3170F" w14:paraId="587555FC" w14:textId="77777777"/>
    <w:p w:rsidR="00441434" w:rsidP="00F3170F" w:rsidRDefault="00441434" w14:paraId="587555FD" w14:textId="77777777"/>
    <w:p w:rsidR="005E714A" w:rsidRDefault="001C39F7" w14:paraId="587555FE" w14:textId="4F957DC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</w:t>
      </w:r>
      <w:bookmarkStart w:name="_GoBack" w:id="0"/>
      <w:bookmarkEnd w:id="0"/>
      <w:r w:rsidR="00C86E91">
        <w:t xml:space="preserve">ent is </w:t>
      </w:r>
      <w:r w:rsidR="00171A05">
        <w:t>$</w:t>
      </w:r>
      <w:r w:rsidRPr="00171A05" w:rsidR="00171A05">
        <w:t>168,</w:t>
      </w:r>
      <w:r w:rsidR="00731CE3">
        <w:t>000</w:t>
      </w:r>
      <w:r w:rsidR="00171A05">
        <w:t>.</w:t>
      </w:r>
    </w:p>
    <w:p w:rsidR="00ED6492" w:rsidRDefault="00ED6492" w14:paraId="587555FF" w14:textId="77777777">
      <w:pPr>
        <w:rPr>
          <w:b/>
          <w:bCs/>
          <w:u w:val="single"/>
        </w:rPr>
      </w:pPr>
    </w:p>
    <w:p w:rsidR="0069403B" w:rsidP="00F06866" w:rsidRDefault="00ED6492" w14:paraId="5875560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8755601" w14:textId="77777777">
      <w:pPr>
        <w:rPr>
          <w:b/>
        </w:rPr>
      </w:pPr>
    </w:p>
    <w:p w:rsidR="00F06866" w:rsidP="00F06866" w:rsidRDefault="00636621" w14:paraId="5875560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755603" w14:textId="3856163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0B5CEA" w:rsidR="003C282F">
        <w:rPr>
          <w:color w:val="365F91" w:themeColor="accent1" w:themeShade="BF"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8755604" w14:textId="77777777">
      <w:pPr>
        <w:pStyle w:val="ListParagraph"/>
      </w:pPr>
    </w:p>
    <w:p w:rsidR="00636621" w:rsidP="001B0AAA" w:rsidRDefault="00636621" w14:paraId="58755605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8755606" w14:textId="77777777">
      <w:pPr>
        <w:pStyle w:val="ListParagraph"/>
      </w:pPr>
    </w:p>
    <w:p w:rsidRPr="000B5CEA" w:rsidR="00A403BB" w:rsidP="00A403BB" w:rsidRDefault="001A5AAF" w14:paraId="58755607" w14:textId="78B096B7">
      <w:pPr>
        <w:rPr>
          <w:color w:val="365F91" w:themeColor="accent1" w:themeShade="BF"/>
        </w:rPr>
      </w:pPr>
      <w:r w:rsidRPr="000B5CEA">
        <w:rPr>
          <w:color w:val="365F91" w:themeColor="accent1" w:themeShade="BF"/>
        </w:rPr>
        <w:t>Sampling for the data collection is a two-step process</w:t>
      </w:r>
      <w:r w:rsidRPr="000B5CEA" w:rsidR="003137FF">
        <w:rPr>
          <w:color w:val="365F91" w:themeColor="accent1" w:themeShade="BF"/>
        </w:rPr>
        <w:t xml:space="preserve">. Step one is </w:t>
      </w:r>
      <w:r w:rsidRPr="000B5CEA" w:rsidR="00717F89">
        <w:rPr>
          <w:color w:val="365F91" w:themeColor="accent1" w:themeShade="BF"/>
        </w:rPr>
        <w:t xml:space="preserve">identifying a sample of organizations </w:t>
      </w:r>
      <w:r w:rsidRPr="000B5CEA" w:rsidR="00F94050">
        <w:rPr>
          <w:color w:val="365F91" w:themeColor="accent1" w:themeShade="BF"/>
        </w:rPr>
        <w:t>that employ K-12 education leaders</w:t>
      </w:r>
      <w:r w:rsidR="0027633C">
        <w:rPr>
          <w:color w:val="365F91" w:themeColor="accent1" w:themeShade="BF"/>
        </w:rPr>
        <w:t xml:space="preserve"> (i.e., state and local education agencies)</w:t>
      </w:r>
      <w:r w:rsidRPr="000B5CEA" w:rsidR="00F94050">
        <w:rPr>
          <w:color w:val="365F91" w:themeColor="accent1" w:themeShade="BF"/>
        </w:rPr>
        <w:t>. Step two is i</w:t>
      </w:r>
      <w:r w:rsidRPr="000B5CEA" w:rsidR="00145C1B">
        <w:rPr>
          <w:color w:val="365F91" w:themeColor="accent1" w:themeShade="BF"/>
        </w:rPr>
        <w:t xml:space="preserve">dentifying individuals within the organizations who will be included in the sample. </w:t>
      </w:r>
      <w:r w:rsidR="00C80404">
        <w:rPr>
          <w:color w:val="365F91" w:themeColor="accent1" w:themeShade="BF"/>
        </w:rPr>
        <w:t xml:space="preserve">We will use </w:t>
      </w:r>
      <w:r w:rsidRPr="000B5CEA" w:rsidR="00892B61">
        <w:rPr>
          <w:color w:val="365F91" w:themeColor="accent1" w:themeShade="BF"/>
        </w:rPr>
        <w:t xml:space="preserve">the Common Core of Data </w:t>
      </w:r>
      <w:r w:rsidRPr="000B5CEA" w:rsidR="008B7F96">
        <w:rPr>
          <w:color w:val="365F91" w:themeColor="accent1" w:themeShade="BF"/>
        </w:rPr>
        <w:t xml:space="preserve">database </w:t>
      </w:r>
      <w:r w:rsidR="00C80404">
        <w:rPr>
          <w:color w:val="365F91" w:themeColor="accent1" w:themeShade="BF"/>
        </w:rPr>
        <w:t xml:space="preserve">for step one, because it </w:t>
      </w:r>
      <w:r w:rsidRPr="000B5CEA" w:rsidR="002C6855">
        <w:rPr>
          <w:color w:val="365F91" w:themeColor="accent1" w:themeShade="BF"/>
        </w:rPr>
        <w:t xml:space="preserve">includes the universe of </w:t>
      </w:r>
      <w:r w:rsidRPr="000B5CEA" w:rsidR="006C60DE">
        <w:rPr>
          <w:color w:val="365F91" w:themeColor="accent1" w:themeShade="BF"/>
        </w:rPr>
        <w:t>organizations</w:t>
      </w:r>
      <w:r w:rsidRPr="000B5CEA" w:rsidR="00790815">
        <w:rPr>
          <w:color w:val="365F91" w:themeColor="accent1" w:themeShade="BF"/>
        </w:rPr>
        <w:t xml:space="preserve">. </w:t>
      </w:r>
      <w:r w:rsidRPr="000B5CEA" w:rsidR="001A27CF">
        <w:rPr>
          <w:color w:val="365F91" w:themeColor="accent1" w:themeShade="BF"/>
        </w:rPr>
        <w:t>We will use</w:t>
      </w:r>
      <w:r w:rsidRPr="000B5CEA" w:rsidR="00C56B6A">
        <w:rPr>
          <w:color w:val="365F91" w:themeColor="accent1" w:themeShade="BF"/>
        </w:rPr>
        <w:t xml:space="preserve"> the da</w:t>
      </w:r>
      <w:r w:rsidRPr="000B5CEA" w:rsidR="00852734">
        <w:rPr>
          <w:color w:val="365F91" w:themeColor="accent1" w:themeShade="BF"/>
        </w:rPr>
        <w:t xml:space="preserve">tabase to select a random sample of </w:t>
      </w:r>
      <w:r w:rsidRPr="000B5CEA" w:rsidR="00846EC4">
        <w:rPr>
          <w:color w:val="365F91" w:themeColor="accent1" w:themeShade="BF"/>
        </w:rPr>
        <w:t xml:space="preserve">15 </w:t>
      </w:r>
      <w:r w:rsidRPr="000B5CEA" w:rsidR="00544F06">
        <w:rPr>
          <w:color w:val="365F91" w:themeColor="accent1" w:themeShade="BF"/>
        </w:rPr>
        <w:t xml:space="preserve">state education agencies </w:t>
      </w:r>
      <w:r w:rsidRPr="000B5CEA" w:rsidR="00846EC4">
        <w:rPr>
          <w:color w:val="365F91" w:themeColor="accent1" w:themeShade="BF"/>
        </w:rPr>
        <w:t xml:space="preserve">and </w:t>
      </w:r>
      <w:r w:rsidRPr="000B5CEA" w:rsidR="009D36E9">
        <w:rPr>
          <w:color w:val="365F91" w:themeColor="accent1" w:themeShade="BF"/>
        </w:rPr>
        <w:t xml:space="preserve">50 local education agencies. The sample will be stratified on region, </w:t>
      </w:r>
      <w:r w:rsidRPr="000B5CEA" w:rsidR="0043316E">
        <w:rPr>
          <w:color w:val="365F91" w:themeColor="accent1" w:themeShade="BF"/>
        </w:rPr>
        <w:t xml:space="preserve">locale, </w:t>
      </w:r>
      <w:r w:rsidRPr="000B5CEA" w:rsidR="00203F11">
        <w:rPr>
          <w:color w:val="365F91" w:themeColor="accent1" w:themeShade="BF"/>
        </w:rPr>
        <w:t>per-pupil expenditure (for states)</w:t>
      </w:r>
      <w:r w:rsidRPr="000B5CEA" w:rsidR="00E50D56">
        <w:rPr>
          <w:color w:val="365F91" w:themeColor="accent1" w:themeShade="BF"/>
        </w:rPr>
        <w:t xml:space="preserve">, </w:t>
      </w:r>
      <w:r w:rsidR="00DA6BB8">
        <w:rPr>
          <w:color w:val="365F91" w:themeColor="accent1" w:themeShade="BF"/>
        </w:rPr>
        <w:t xml:space="preserve">and </w:t>
      </w:r>
      <w:r w:rsidRPr="000B5CEA" w:rsidR="0043316E">
        <w:rPr>
          <w:color w:val="365F91" w:themeColor="accent1" w:themeShade="BF"/>
        </w:rPr>
        <w:t>enrollment (</w:t>
      </w:r>
      <w:r w:rsidRPr="000B5CEA" w:rsidR="009952F6">
        <w:rPr>
          <w:color w:val="365F91" w:themeColor="accent1" w:themeShade="BF"/>
        </w:rPr>
        <w:t xml:space="preserve">for </w:t>
      </w:r>
      <w:r w:rsidRPr="000B5CEA" w:rsidR="0043316E">
        <w:rPr>
          <w:color w:val="365F91" w:themeColor="accent1" w:themeShade="BF"/>
        </w:rPr>
        <w:t>districts)</w:t>
      </w:r>
      <w:r w:rsidRPr="000B5CEA" w:rsidR="009952F6">
        <w:rPr>
          <w:color w:val="365F91" w:themeColor="accent1" w:themeShade="BF"/>
        </w:rPr>
        <w:t>.</w:t>
      </w:r>
    </w:p>
    <w:p w:rsidRPr="000B5CEA" w:rsidR="00A403BB" w:rsidP="00A403BB" w:rsidRDefault="00A403BB" w14:paraId="58755608" w14:textId="77777777">
      <w:pPr>
        <w:rPr>
          <w:color w:val="365F91" w:themeColor="accent1" w:themeShade="BF"/>
        </w:rPr>
      </w:pPr>
    </w:p>
    <w:p w:rsidR="00A403BB" w:rsidP="00A403BB" w:rsidRDefault="00DE7AD3" w14:paraId="5875560A" w14:textId="5437D2D5">
      <w:pPr>
        <w:rPr>
          <w:color w:val="365F91" w:themeColor="accent1" w:themeShade="BF"/>
        </w:rPr>
      </w:pPr>
      <w:r w:rsidRPr="000B5CEA">
        <w:rPr>
          <w:color w:val="365F91" w:themeColor="accent1" w:themeShade="BF"/>
        </w:rPr>
        <w:t xml:space="preserve">For step two, we will search </w:t>
      </w:r>
      <w:r w:rsidRPr="000B5CEA" w:rsidR="00155AC1">
        <w:rPr>
          <w:color w:val="365F91" w:themeColor="accent1" w:themeShade="BF"/>
        </w:rPr>
        <w:t xml:space="preserve">public </w:t>
      </w:r>
      <w:r w:rsidRPr="000B5CEA" w:rsidR="00D24210">
        <w:rPr>
          <w:color w:val="365F91" w:themeColor="accent1" w:themeShade="BF"/>
        </w:rPr>
        <w:t xml:space="preserve">websites of </w:t>
      </w:r>
      <w:r w:rsidRPr="000B5CEA" w:rsidR="002D7C93">
        <w:rPr>
          <w:color w:val="365F91" w:themeColor="accent1" w:themeShade="BF"/>
        </w:rPr>
        <w:t xml:space="preserve">organizations identified in step one to locate individuals </w:t>
      </w:r>
      <w:r w:rsidRPr="000B5CEA" w:rsidR="000900BB">
        <w:rPr>
          <w:color w:val="365F91" w:themeColor="accent1" w:themeShade="BF"/>
        </w:rPr>
        <w:t xml:space="preserve">responsible for educational improvements </w:t>
      </w:r>
      <w:r w:rsidRPr="000B5CEA" w:rsidR="00462ADE">
        <w:rPr>
          <w:color w:val="365F91" w:themeColor="accent1" w:themeShade="BF"/>
        </w:rPr>
        <w:t>and their contact information</w:t>
      </w:r>
      <w:r w:rsidRPr="000B5CEA" w:rsidR="00634133">
        <w:rPr>
          <w:color w:val="365F91" w:themeColor="accent1" w:themeShade="BF"/>
        </w:rPr>
        <w:t xml:space="preserve">. </w:t>
      </w:r>
      <w:r w:rsidRPr="000B5CEA" w:rsidR="008D1F73">
        <w:rPr>
          <w:color w:val="365F91" w:themeColor="accent1" w:themeShade="BF"/>
        </w:rPr>
        <w:t xml:space="preserve">Our goal is to identify two </w:t>
      </w:r>
      <w:r w:rsidRPr="000B5CEA" w:rsidR="008E135B">
        <w:rPr>
          <w:color w:val="365F91" w:themeColor="accent1" w:themeShade="BF"/>
        </w:rPr>
        <w:t>individuals per organization</w:t>
      </w:r>
      <w:r w:rsidR="000C6524">
        <w:rPr>
          <w:color w:val="365F91" w:themeColor="accent1" w:themeShade="BF"/>
        </w:rPr>
        <w:t xml:space="preserve"> for the total of </w:t>
      </w:r>
      <w:r w:rsidRPr="000B5CEA" w:rsidR="008E135B">
        <w:rPr>
          <w:color w:val="365F91" w:themeColor="accent1" w:themeShade="BF"/>
        </w:rPr>
        <w:t xml:space="preserve">135 individuals. </w:t>
      </w:r>
      <w:r w:rsidR="00D039A2">
        <w:rPr>
          <w:color w:val="365F91" w:themeColor="accent1" w:themeShade="BF"/>
        </w:rPr>
        <w:t>From these, w</w:t>
      </w:r>
      <w:r w:rsidRPr="000B5CEA" w:rsidR="005637C5">
        <w:rPr>
          <w:color w:val="365F91" w:themeColor="accent1" w:themeShade="BF"/>
        </w:rPr>
        <w:t xml:space="preserve">e will randomly select </w:t>
      </w:r>
      <w:r w:rsidRPr="000B5CEA" w:rsidR="00914508">
        <w:rPr>
          <w:color w:val="365F91" w:themeColor="accent1" w:themeShade="BF"/>
        </w:rPr>
        <w:t xml:space="preserve">65 individuals who will be invited to participate in </w:t>
      </w:r>
      <w:r w:rsidRPr="000B5CEA" w:rsidR="00777CB3">
        <w:rPr>
          <w:color w:val="365F91" w:themeColor="accent1" w:themeShade="BF"/>
        </w:rPr>
        <w:t xml:space="preserve">an interview. </w:t>
      </w:r>
      <w:r w:rsidRPr="000B5CEA" w:rsidR="00D469CF">
        <w:rPr>
          <w:color w:val="365F91" w:themeColor="accent1" w:themeShade="BF"/>
        </w:rPr>
        <w:t xml:space="preserve">Our goal is to interview 50 individuals. We will reach out to 65 under the assumption that at least 15 will not respond to the invitation or decline participation. </w:t>
      </w:r>
      <w:r w:rsidRPr="000B5CEA" w:rsidR="00DA4B18">
        <w:rPr>
          <w:color w:val="365F91" w:themeColor="accent1" w:themeShade="BF"/>
        </w:rPr>
        <w:t xml:space="preserve">The remaining 65 individuals </w:t>
      </w:r>
      <w:r w:rsidR="00E02223">
        <w:rPr>
          <w:color w:val="365F91" w:themeColor="accent1" w:themeShade="BF"/>
        </w:rPr>
        <w:t xml:space="preserve">not initially invited to participate </w:t>
      </w:r>
      <w:r w:rsidRPr="000B5CEA" w:rsidR="00DA4B18">
        <w:rPr>
          <w:color w:val="365F91" w:themeColor="accent1" w:themeShade="BF"/>
        </w:rPr>
        <w:t>will serve as alternates</w:t>
      </w:r>
      <w:r w:rsidRPr="000B5CEA" w:rsidR="00927853">
        <w:rPr>
          <w:color w:val="365F91" w:themeColor="accent1" w:themeShade="BF"/>
        </w:rPr>
        <w:t xml:space="preserve">. </w:t>
      </w:r>
      <w:r w:rsidR="006233BD">
        <w:rPr>
          <w:color w:val="365F91" w:themeColor="accent1" w:themeShade="BF"/>
        </w:rPr>
        <w:t>We will recruit from the pool of alternates</w:t>
      </w:r>
      <w:r w:rsidR="00E02223">
        <w:rPr>
          <w:color w:val="365F91" w:themeColor="accent1" w:themeShade="BF"/>
        </w:rPr>
        <w:t xml:space="preserve"> </w:t>
      </w:r>
      <w:r w:rsidR="00D0010B">
        <w:rPr>
          <w:color w:val="365F91" w:themeColor="accent1" w:themeShade="BF"/>
        </w:rPr>
        <w:t xml:space="preserve">if </w:t>
      </w:r>
      <w:r w:rsidR="006A0FFE">
        <w:rPr>
          <w:color w:val="365F91" w:themeColor="accent1" w:themeShade="BF"/>
        </w:rPr>
        <w:t xml:space="preserve">we </w:t>
      </w:r>
      <w:r w:rsidR="00EF135D">
        <w:rPr>
          <w:color w:val="365F91" w:themeColor="accent1" w:themeShade="BF"/>
        </w:rPr>
        <w:t xml:space="preserve">are unable to reach the sample of 50 from the original </w:t>
      </w:r>
      <w:r w:rsidR="00221303">
        <w:rPr>
          <w:color w:val="365F91" w:themeColor="accent1" w:themeShade="BF"/>
        </w:rPr>
        <w:t xml:space="preserve">group of 65. </w:t>
      </w:r>
    </w:p>
    <w:p w:rsidR="00823F3A" w:rsidP="00A403BB" w:rsidRDefault="00823F3A" w14:paraId="7CA023D2" w14:textId="268B2574">
      <w:pPr>
        <w:rPr>
          <w:color w:val="365F91" w:themeColor="accent1" w:themeShade="BF"/>
        </w:rPr>
      </w:pPr>
    </w:p>
    <w:p w:rsidRPr="000B5CEA" w:rsidR="00823F3A" w:rsidP="00A403BB" w:rsidRDefault="00823F3A" w14:paraId="432897DA" w14:textId="2828A55B">
      <w:pPr>
        <w:rPr>
          <w:color w:val="365F91" w:themeColor="accent1" w:themeShade="BF"/>
        </w:rPr>
      </w:pPr>
      <w:r>
        <w:rPr>
          <w:color w:val="365F91" w:themeColor="accent1" w:themeShade="BF"/>
        </w:rPr>
        <w:t>Data collection will occur between April 15 and August 31, 2020.</w:t>
      </w:r>
    </w:p>
    <w:p w:rsidRPr="000B5CEA" w:rsidR="004D6E14" w:rsidP="00A403BB" w:rsidRDefault="004D6E14" w14:paraId="5875560B" w14:textId="77777777">
      <w:pPr>
        <w:rPr>
          <w:b/>
          <w:color w:val="365F91" w:themeColor="accent1" w:themeShade="BF"/>
        </w:rPr>
      </w:pPr>
    </w:p>
    <w:p w:rsidR="00A403BB" w:rsidP="00A403BB" w:rsidRDefault="00A403BB" w14:paraId="5875560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875560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875560E" w14:textId="24771E0F">
      <w:pPr>
        <w:ind w:left="720"/>
      </w:pPr>
      <w:proofErr w:type="gramStart"/>
      <w:r>
        <w:t>[</w:t>
      </w:r>
      <w:r w:rsidR="007E6EBB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875560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8755610" w14:textId="77777777">
      <w:pPr>
        <w:ind w:left="720"/>
      </w:pPr>
      <w:proofErr w:type="gramStart"/>
      <w:r>
        <w:lastRenderedPageBreak/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875561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Pr="009243A1" w:rsidR="001B0AAA" w:rsidP="001B0AAA" w:rsidRDefault="00A403BB" w14:paraId="58755612" w14:textId="1411DCB6">
      <w:pPr>
        <w:ind w:left="720"/>
        <w:rPr>
          <w:u w:val="single"/>
        </w:rPr>
      </w:pPr>
      <w:r>
        <w:t>[</w:t>
      </w:r>
      <w:r w:rsidRPr="006A0FFE" w:rsidR="007E6EBB">
        <w:rPr>
          <w:color w:val="365F91" w:themeColor="accent1" w:themeShade="BF"/>
        </w:rPr>
        <w:t>X</w:t>
      </w:r>
      <w:r>
        <w:t xml:space="preserve">] Other, </w:t>
      </w:r>
      <w:proofErr w:type="gramStart"/>
      <w:r>
        <w:t>Explain</w:t>
      </w:r>
      <w:proofErr w:type="gramEnd"/>
      <w:r w:rsidR="007E6EBB">
        <w:t xml:space="preserve">: </w:t>
      </w:r>
      <w:r w:rsidRPr="006A0FFE" w:rsidR="009243A1">
        <w:rPr>
          <w:color w:val="365F91" w:themeColor="accent1" w:themeShade="BF"/>
          <w:u w:val="single"/>
        </w:rPr>
        <w:t>We will collect data through virtual interviews.</w:t>
      </w:r>
    </w:p>
    <w:p w:rsidR="009243A1" w:rsidP="001B0AAA" w:rsidRDefault="009243A1" w14:paraId="0C4D00F2" w14:textId="77777777">
      <w:pPr>
        <w:ind w:left="720"/>
      </w:pPr>
    </w:p>
    <w:p w:rsidR="00F24CFC" w:rsidP="00F24CFC" w:rsidRDefault="00F24CFC" w14:paraId="58755613" w14:textId="5C31E2E5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Pr="007F120B" w:rsidR="00B57842">
        <w:rPr>
          <w:color w:val="365F91" w:themeColor="accent1" w:themeShade="BF"/>
        </w:rPr>
        <w:t>X</w:t>
      </w:r>
      <w:r>
        <w:t xml:space="preserve">] Yes </w:t>
      </w:r>
      <w:proofErr w:type="gramStart"/>
      <w:r>
        <w:t>[  ]</w:t>
      </w:r>
      <w:proofErr w:type="gramEnd"/>
      <w:r>
        <w:t xml:space="preserve"> No</w:t>
      </w:r>
    </w:p>
    <w:p w:rsidR="00F24CFC" w:rsidP="00F24CFC" w:rsidRDefault="00F24CFC" w14:paraId="58755614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875561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7805" w:rsidRDefault="00CE7805" w14:paraId="58755616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5875561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58755618" w14:textId="77777777">
      <w:pPr>
        <w:rPr>
          <w:b/>
        </w:rPr>
      </w:pPr>
    </w:p>
    <w:p w:rsidR="00F24CFC" w:rsidP="00F24CFC" w:rsidRDefault="006526A6" w14:paraId="5875561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5875563B" wp14:anchorId="58755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EC0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5875561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5875561B" w14:textId="77777777"/>
    <w:p w:rsidRPr="008F50D4" w:rsidR="00F24CFC" w:rsidP="00F24CFC" w:rsidRDefault="00F24CFC" w14:paraId="5875561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87556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87556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5875561F" w14:textId="77777777">
      <w:pPr>
        <w:rPr>
          <w:b/>
        </w:rPr>
      </w:pPr>
    </w:p>
    <w:p w:rsidRPr="008F50D4" w:rsidR="00F24CFC" w:rsidP="00F24CFC" w:rsidRDefault="00F24CFC" w14:paraId="5875562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5875562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58755622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8755623" w14:textId="77777777">
      <w:pPr>
        <w:rPr>
          <w:sz w:val="16"/>
          <w:szCs w:val="16"/>
        </w:rPr>
      </w:pPr>
    </w:p>
    <w:p w:rsidR="00F24CFC" w:rsidP="00F24CFC" w:rsidRDefault="00F24CFC" w14:paraId="58755624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8755625" w14:textId="77777777"/>
    <w:p w:rsidRPr="008F50D4" w:rsidR="00F24CFC" w:rsidP="008F50D4" w:rsidRDefault="00CB1078" w14:paraId="5875562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8755627" w14:textId="77777777">
      <w:pPr>
        <w:rPr>
          <w:b/>
        </w:rPr>
      </w:pPr>
    </w:p>
    <w:p w:rsidR="008F50D4" w:rsidP="00F24CFC" w:rsidRDefault="00F24CFC" w14:paraId="58755628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58755629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5875562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5875562B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5875562C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875562D" w14:textId="77777777">
      <w:pPr>
        <w:keepNext/>
        <w:keepLines/>
        <w:rPr>
          <w:b/>
        </w:rPr>
      </w:pPr>
    </w:p>
    <w:p w:rsidR="00F24CFC" w:rsidP="00F24CFC" w:rsidRDefault="00F24CFC" w14:paraId="5875562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5875562F" w14:textId="77777777">
      <w:pPr>
        <w:rPr>
          <w:b/>
          <w:bCs/>
          <w:u w:val="single"/>
        </w:rPr>
      </w:pPr>
    </w:p>
    <w:p w:rsidR="00F24CFC" w:rsidP="00F24CFC" w:rsidRDefault="00F24CFC" w14:paraId="5875563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58755631" w14:textId="77777777">
      <w:pPr>
        <w:rPr>
          <w:b/>
        </w:rPr>
      </w:pPr>
    </w:p>
    <w:p w:rsidR="00F24CFC" w:rsidP="00F24CFC" w:rsidRDefault="00F24CFC" w14:paraId="5875563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58755633" w14:textId="77777777">
      <w:pPr>
        <w:rPr>
          <w:b/>
        </w:rPr>
      </w:pPr>
    </w:p>
    <w:p w:rsidRPr="003F1C5B" w:rsidR="00F24CFC" w:rsidP="00F24CFC" w:rsidRDefault="00F24CFC" w14:paraId="5875563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8755635" w14:textId="77777777">
      <w:pPr>
        <w:pStyle w:val="ListParagraph"/>
        <w:ind w:left="360"/>
      </w:pPr>
    </w:p>
    <w:p w:rsidRPr="00F24CFC" w:rsidR="00F24CFC" w:rsidP="00F24CFC" w:rsidRDefault="00F24CFC" w14:paraId="5875563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58755637" w14:textId="77777777">
      <w:pPr>
        <w:tabs>
          <w:tab w:val="left" w:pos="5670"/>
        </w:tabs>
        <w:suppressAutoHyphens/>
      </w:pPr>
    </w:p>
    <w:sectPr w:rsidR="005E714A" w:rsidSect="00CE7805">
      <w:headerReference w:type="default" r:id="rId11"/>
      <w:footerReference w:type="default" r:id="rId12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931B4" w14:textId="77777777" w:rsidR="00A96AFB" w:rsidRDefault="00A96AFB">
      <w:r>
        <w:separator/>
      </w:r>
    </w:p>
  </w:endnote>
  <w:endnote w:type="continuationSeparator" w:id="0">
    <w:p w14:paraId="47F9C0A9" w14:textId="77777777" w:rsidR="00A96AFB" w:rsidRDefault="00A96AFB">
      <w:r>
        <w:continuationSeparator/>
      </w:r>
    </w:p>
  </w:endnote>
  <w:endnote w:type="continuationNotice" w:id="1">
    <w:p w14:paraId="46D35B7B" w14:textId="77777777" w:rsidR="00A96AFB" w:rsidRDefault="00A96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5641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26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AACE8" w14:textId="77777777" w:rsidR="00A96AFB" w:rsidRDefault="00A96AFB">
      <w:r>
        <w:separator/>
      </w:r>
    </w:p>
  </w:footnote>
  <w:footnote w:type="continuationSeparator" w:id="0">
    <w:p w14:paraId="3B4C942C" w14:textId="77777777" w:rsidR="00A96AFB" w:rsidRDefault="00A96AFB">
      <w:r>
        <w:continuationSeparator/>
      </w:r>
    </w:p>
  </w:footnote>
  <w:footnote w:type="continuationNotice" w:id="1">
    <w:p w14:paraId="56AEE51C" w14:textId="77777777" w:rsidR="00A96AFB" w:rsidRDefault="00A96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5640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242D2"/>
    <w:rsid w:val="00033F77"/>
    <w:rsid w:val="00047A64"/>
    <w:rsid w:val="00067329"/>
    <w:rsid w:val="000900BB"/>
    <w:rsid w:val="0009252C"/>
    <w:rsid w:val="000B2838"/>
    <w:rsid w:val="000B5CEA"/>
    <w:rsid w:val="000C3C86"/>
    <w:rsid w:val="000C6524"/>
    <w:rsid w:val="000C7402"/>
    <w:rsid w:val="000D44CA"/>
    <w:rsid w:val="000E200B"/>
    <w:rsid w:val="000F68BE"/>
    <w:rsid w:val="00105936"/>
    <w:rsid w:val="0012377C"/>
    <w:rsid w:val="0012431B"/>
    <w:rsid w:val="00145C1B"/>
    <w:rsid w:val="00155AC1"/>
    <w:rsid w:val="00170BE3"/>
    <w:rsid w:val="00171A05"/>
    <w:rsid w:val="001927A4"/>
    <w:rsid w:val="00194AC6"/>
    <w:rsid w:val="001A23B0"/>
    <w:rsid w:val="001A25CC"/>
    <w:rsid w:val="001A27CF"/>
    <w:rsid w:val="001A5AAF"/>
    <w:rsid w:val="001B0AAA"/>
    <w:rsid w:val="001B52B5"/>
    <w:rsid w:val="001C39F7"/>
    <w:rsid w:val="001D2C03"/>
    <w:rsid w:val="001F3FF3"/>
    <w:rsid w:val="00203F11"/>
    <w:rsid w:val="0021298C"/>
    <w:rsid w:val="002153ED"/>
    <w:rsid w:val="00217B16"/>
    <w:rsid w:val="00221303"/>
    <w:rsid w:val="00221809"/>
    <w:rsid w:val="00222B16"/>
    <w:rsid w:val="00237B48"/>
    <w:rsid w:val="0024521E"/>
    <w:rsid w:val="00263C3D"/>
    <w:rsid w:val="00274D0B"/>
    <w:rsid w:val="0027633C"/>
    <w:rsid w:val="002B3C95"/>
    <w:rsid w:val="002C6855"/>
    <w:rsid w:val="002D0B92"/>
    <w:rsid w:val="002D7C93"/>
    <w:rsid w:val="003137FF"/>
    <w:rsid w:val="003314E0"/>
    <w:rsid w:val="00371C98"/>
    <w:rsid w:val="003C282F"/>
    <w:rsid w:val="003D5BBE"/>
    <w:rsid w:val="003E3C61"/>
    <w:rsid w:val="003F1C5B"/>
    <w:rsid w:val="00401177"/>
    <w:rsid w:val="004140D1"/>
    <w:rsid w:val="0043316E"/>
    <w:rsid w:val="00434E33"/>
    <w:rsid w:val="004379C9"/>
    <w:rsid w:val="0044116C"/>
    <w:rsid w:val="00441434"/>
    <w:rsid w:val="00451B6A"/>
    <w:rsid w:val="0045264C"/>
    <w:rsid w:val="00462ADE"/>
    <w:rsid w:val="004876EC"/>
    <w:rsid w:val="004A4B81"/>
    <w:rsid w:val="004D6E14"/>
    <w:rsid w:val="004E0C4B"/>
    <w:rsid w:val="005009B0"/>
    <w:rsid w:val="00505892"/>
    <w:rsid w:val="00511A4E"/>
    <w:rsid w:val="00514298"/>
    <w:rsid w:val="00544F06"/>
    <w:rsid w:val="005637C5"/>
    <w:rsid w:val="0057325E"/>
    <w:rsid w:val="0057649C"/>
    <w:rsid w:val="005A1006"/>
    <w:rsid w:val="005A74B9"/>
    <w:rsid w:val="005B2189"/>
    <w:rsid w:val="005E714A"/>
    <w:rsid w:val="0060064D"/>
    <w:rsid w:val="006140A0"/>
    <w:rsid w:val="006233BD"/>
    <w:rsid w:val="00630FAF"/>
    <w:rsid w:val="00634133"/>
    <w:rsid w:val="00636621"/>
    <w:rsid w:val="00642B49"/>
    <w:rsid w:val="00646DC6"/>
    <w:rsid w:val="006507A2"/>
    <w:rsid w:val="006526A6"/>
    <w:rsid w:val="00662BD0"/>
    <w:rsid w:val="006634D8"/>
    <w:rsid w:val="006832D9"/>
    <w:rsid w:val="0069403B"/>
    <w:rsid w:val="006A0FFE"/>
    <w:rsid w:val="006B683D"/>
    <w:rsid w:val="006C60DE"/>
    <w:rsid w:val="006F3DDE"/>
    <w:rsid w:val="006F4002"/>
    <w:rsid w:val="00704678"/>
    <w:rsid w:val="00717F89"/>
    <w:rsid w:val="00731CE3"/>
    <w:rsid w:val="00737854"/>
    <w:rsid w:val="007425E7"/>
    <w:rsid w:val="007502DF"/>
    <w:rsid w:val="00777CB3"/>
    <w:rsid w:val="00790815"/>
    <w:rsid w:val="007B49E2"/>
    <w:rsid w:val="007B5867"/>
    <w:rsid w:val="007D3214"/>
    <w:rsid w:val="007E6EBB"/>
    <w:rsid w:val="007F120B"/>
    <w:rsid w:val="00802607"/>
    <w:rsid w:val="008101A5"/>
    <w:rsid w:val="0081313F"/>
    <w:rsid w:val="00821105"/>
    <w:rsid w:val="00822664"/>
    <w:rsid w:val="00823F3A"/>
    <w:rsid w:val="00843796"/>
    <w:rsid w:val="00846EC4"/>
    <w:rsid w:val="00847D68"/>
    <w:rsid w:val="00852734"/>
    <w:rsid w:val="00885EE1"/>
    <w:rsid w:val="00892B61"/>
    <w:rsid w:val="00895229"/>
    <w:rsid w:val="008B224A"/>
    <w:rsid w:val="008B7F96"/>
    <w:rsid w:val="008D1F73"/>
    <w:rsid w:val="008D4F38"/>
    <w:rsid w:val="008E135B"/>
    <w:rsid w:val="008F0203"/>
    <w:rsid w:val="008F50D4"/>
    <w:rsid w:val="00914508"/>
    <w:rsid w:val="009239AA"/>
    <w:rsid w:val="009243A1"/>
    <w:rsid w:val="00927853"/>
    <w:rsid w:val="00935ADA"/>
    <w:rsid w:val="00946B6C"/>
    <w:rsid w:val="00955A71"/>
    <w:rsid w:val="009607A9"/>
    <w:rsid w:val="0096108F"/>
    <w:rsid w:val="009662A0"/>
    <w:rsid w:val="00973F1E"/>
    <w:rsid w:val="009952F6"/>
    <w:rsid w:val="009B3BB8"/>
    <w:rsid w:val="009C13B9"/>
    <w:rsid w:val="009C6C05"/>
    <w:rsid w:val="009D01A2"/>
    <w:rsid w:val="009D36E9"/>
    <w:rsid w:val="009E2E88"/>
    <w:rsid w:val="009F07AF"/>
    <w:rsid w:val="009F329A"/>
    <w:rsid w:val="009F5923"/>
    <w:rsid w:val="00A403BB"/>
    <w:rsid w:val="00A64871"/>
    <w:rsid w:val="00A674DF"/>
    <w:rsid w:val="00A83AA6"/>
    <w:rsid w:val="00A96AFB"/>
    <w:rsid w:val="00AE1809"/>
    <w:rsid w:val="00AE1F62"/>
    <w:rsid w:val="00B040A0"/>
    <w:rsid w:val="00B57842"/>
    <w:rsid w:val="00B66598"/>
    <w:rsid w:val="00B762E4"/>
    <w:rsid w:val="00B80D76"/>
    <w:rsid w:val="00BA2105"/>
    <w:rsid w:val="00BA7E06"/>
    <w:rsid w:val="00BB43B5"/>
    <w:rsid w:val="00BB6219"/>
    <w:rsid w:val="00BB66D5"/>
    <w:rsid w:val="00BD290F"/>
    <w:rsid w:val="00BE5ABD"/>
    <w:rsid w:val="00C14CC4"/>
    <w:rsid w:val="00C33C52"/>
    <w:rsid w:val="00C33E11"/>
    <w:rsid w:val="00C40D8B"/>
    <w:rsid w:val="00C56B6A"/>
    <w:rsid w:val="00C734A1"/>
    <w:rsid w:val="00C80404"/>
    <w:rsid w:val="00C8407A"/>
    <w:rsid w:val="00C8488C"/>
    <w:rsid w:val="00C86E91"/>
    <w:rsid w:val="00CA2650"/>
    <w:rsid w:val="00CB1078"/>
    <w:rsid w:val="00CB3FDC"/>
    <w:rsid w:val="00CC44DE"/>
    <w:rsid w:val="00CC6FAF"/>
    <w:rsid w:val="00CD5D96"/>
    <w:rsid w:val="00CE7805"/>
    <w:rsid w:val="00D0010B"/>
    <w:rsid w:val="00D039A2"/>
    <w:rsid w:val="00D24210"/>
    <w:rsid w:val="00D24698"/>
    <w:rsid w:val="00D270C8"/>
    <w:rsid w:val="00D4075F"/>
    <w:rsid w:val="00D469CF"/>
    <w:rsid w:val="00D6383F"/>
    <w:rsid w:val="00DA4B18"/>
    <w:rsid w:val="00DA6BB8"/>
    <w:rsid w:val="00DB59D0"/>
    <w:rsid w:val="00DC33D3"/>
    <w:rsid w:val="00DE7AD3"/>
    <w:rsid w:val="00DF6BDD"/>
    <w:rsid w:val="00E02223"/>
    <w:rsid w:val="00E26329"/>
    <w:rsid w:val="00E30DBC"/>
    <w:rsid w:val="00E40B50"/>
    <w:rsid w:val="00E415B7"/>
    <w:rsid w:val="00E50293"/>
    <w:rsid w:val="00E50D56"/>
    <w:rsid w:val="00E65FFC"/>
    <w:rsid w:val="00E73B98"/>
    <w:rsid w:val="00E80951"/>
    <w:rsid w:val="00E86CC6"/>
    <w:rsid w:val="00EB56B3"/>
    <w:rsid w:val="00ED6492"/>
    <w:rsid w:val="00EF135D"/>
    <w:rsid w:val="00EF2095"/>
    <w:rsid w:val="00F06866"/>
    <w:rsid w:val="00F15956"/>
    <w:rsid w:val="00F24CFC"/>
    <w:rsid w:val="00F3170F"/>
    <w:rsid w:val="00F40C35"/>
    <w:rsid w:val="00F94050"/>
    <w:rsid w:val="00F976B0"/>
    <w:rsid w:val="00FA6DE7"/>
    <w:rsid w:val="00FC0A8E"/>
    <w:rsid w:val="00FE0B25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555B6"/>
  <w15:docId w15:val="{6C1056F1-7276-4431-A3CF-19F04B1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79a7a3f070270b6a8bf36f960c1b020e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bae020577076f823ed526d81777927a7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61E5-4F8F-49A3-80C4-1047021DB6BC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87c7b8b-c0e7-4b77-a067-2c707fd1239f"/>
    <ds:schemaRef ds:uri="http://schemas.microsoft.com/office/2006/documentManagement/types"/>
    <ds:schemaRef ds:uri="http://schemas.microsoft.com/office/infopath/2007/PartnerControls"/>
    <ds:schemaRef ds:uri="02e41e38-1731-4866-b09a-6257d8bc047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F6A84A-F742-4051-BE94-7576E19A6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3D887-630F-4A04-B395-92904A837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70988-72FB-4240-BD3F-98B6C265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6513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Valentine, Stephanie</cp:lastModifiedBy>
  <cp:revision>2</cp:revision>
  <cp:lastPrinted>2010-10-04T16:59:00Z</cp:lastPrinted>
  <dcterms:created xsi:type="dcterms:W3CDTF">2020-04-23T19:56:00Z</dcterms:created>
  <dcterms:modified xsi:type="dcterms:W3CDTF">2020-04-23T19:56:00Z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