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1197" w:rsidR="00142B2A" w:rsidP="00FD1197" w:rsidRDefault="002058C2" w14:paraId="1F487994" w14:textId="5A5629E0">
      <w:pPr>
        <w:pStyle w:val="Heading2"/>
        <w:tabs>
          <w:tab w:val="left" w:pos="900"/>
        </w:tabs>
        <w:ind w:right="-180"/>
      </w:pPr>
      <w:bookmarkStart w:name="_GoBack" w:id="0"/>
      <w:bookmarkEnd w:id="0"/>
      <w:r>
        <w:t>D</w:t>
      </w:r>
      <w:r w:rsidRPr="00FD1197" w:rsidR="00142B2A">
        <w:t>OCUMENTATION FOR THE GENERIC CLEARANCE</w:t>
      </w:r>
    </w:p>
    <w:p w:rsidRPr="00FD1197" w:rsidR="00142B2A" w:rsidP="00FD1197" w:rsidRDefault="00142B2A" w14:paraId="3A6CE407" w14:textId="77777777">
      <w:pPr>
        <w:jc w:val="center"/>
      </w:pPr>
      <w:r w:rsidRPr="00FD1197">
        <w:rPr>
          <w:b/>
        </w:rPr>
        <w:t xml:space="preserve">OF CUSTOMER SERVICE SATISFACTION COLLECTIONS </w:t>
      </w:r>
    </w:p>
    <w:p w:rsidRPr="00FD1197" w:rsidR="00142B2A" w:rsidP="00FD1197" w:rsidRDefault="00142B2A" w14:paraId="7E74C265" w14:textId="77777777"/>
    <w:p w:rsidRPr="00FD1197" w:rsidR="00142B2A" w:rsidP="00FD1197" w:rsidRDefault="00D52A6A" w14:paraId="6052A56F" w14:textId="6EEE6B8E">
      <w:r>
        <w:rPr>
          <w:noProof/>
        </w:rPr>
        <mc:AlternateContent>
          <mc:Choice Requires="wps">
            <w:drawing>
              <wp:anchor distT="0" distB="0" distL="114300" distR="114300" simplePos="0" relativeHeight="251657728" behindDoc="0" locked="0" layoutInCell="0" allowOverlap="1" wp14:editId="086A3E8D" wp14:anchorId="0BAA8277">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5EAF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FD1197" w:rsidR="00142B2A" w:rsidP="00FD1197" w:rsidRDefault="00142B2A" w14:paraId="5DA18032" w14:textId="77777777">
      <w:pPr>
        <w:pStyle w:val="Heading1"/>
      </w:pPr>
      <w:r w:rsidRPr="00FD1197">
        <w:t xml:space="preserve">TITLE OF INFORMATION COLLECTION:  </w:t>
      </w:r>
      <w:r w:rsidRPr="00FD1197" w:rsidR="00F205EA">
        <w:t xml:space="preserve"> </w:t>
      </w:r>
      <w:r w:rsidRPr="00FD1197" w:rsidR="00DB4CC0">
        <w:rPr>
          <w:b w:val="0"/>
          <w:bCs w:val="0"/>
        </w:rPr>
        <w:t>National Student Attendance, Engagement and Success Center (NSEASC) Online Needs Sensing Instrument</w:t>
      </w:r>
    </w:p>
    <w:p w:rsidRPr="00FD1197" w:rsidR="00142B2A" w:rsidP="00FD1197" w:rsidRDefault="00142B2A" w14:paraId="17BFD515" w14:textId="77777777"/>
    <w:p w:rsidRPr="00FD1197" w:rsidR="00142B2A" w:rsidP="00FD1197" w:rsidRDefault="00142B2A" w14:paraId="355E5514" w14:textId="77777777">
      <w:pPr>
        <w:pStyle w:val="BodyTextIndent"/>
        <w:tabs>
          <w:tab w:val="left" w:pos="360"/>
        </w:tabs>
        <w:ind w:left="0"/>
        <w:rPr>
          <w:b/>
          <w:bCs/>
          <w:sz w:val="24"/>
          <w:szCs w:val="24"/>
        </w:rPr>
      </w:pPr>
      <w:r w:rsidRPr="00FD1197">
        <w:rPr>
          <w:b/>
          <w:bCs/>
          <w:sz w:val="24"/>
          <w:szCs w:val="24"/>
        </w:rPr>
        <w:t>[</w:t>
      </w:r>
      <w:proofErr w:type="gramStart"/>
      <w:r w:rsidRPr="00FD1197" w:rsidR="00DB4CC0">
        <w:rPr>
          <w:b/>
          <w:bCs/>
          <w:sz w:val="24"/>
          <w:szCs w:val="24"/>
        </w:rPr>
        <w:t>x</w:t>
      </w:r>
      <w:r w:rsidRPr="00FD1197" w:rsidR="006A53FF">
        <w:rPr>
          <w:b/>
          <w:bCs/>
          <w:sz w:val="24"/>
          <w:szCs w:val="24"/>
        </w:rPr>
        <w:t xml:space="preserve"> </w:t>
      </w:r>
      <w:r w:rsidRPr="00FD1197">
        <w:rPr>
          <w:b/>
          <w:bCs/>
          <w:sz w:val="24"/>
          <w:szCs w:val="24"/>
        </w:rPr>
        <w:t>]</w:t>
      </w:r>
      <w:proofErr w:type="gramEnd"/>
      <w:r w:rsidRPr="00FD1197">
        <w:rPr>
          <w:b/>
          <w:bCs/>
          <w:sz w:val="24"/>
          <w:szCs w:val="24"/>
        </w:rPr>
        <w:t xml:space="preserve"> </w:t>
      </w:r>
      <w:r w:rsidRPr="00FD1197">
        <w:rPr>
          <w:b/>
          <w:bCs/>
          <w:sz w:val="24"/>
          <w:szCs w:val="24"/>
          <w:u w:val="single"/>
        </w:rPr>
        <w:t>SURVEY</w:t>
      </w:r>
      <w:r w:rsidRPr="00FD1197">
        <w:rPr>
          <w:b/>
          <w:bCs/>
          <w:sz w:val="24"/>
          <w:szCs w:val="24"/>
        </w:rPr>
        <w:t xml:space="preserve"> </w:t>
      </w:r>
      <w:r w:rsidRPr="00FD1197">
        <w:rPr>
          <w:b/>
          <w:bCs/>
          <w:sz w:val="24"/>
          <w:szCs w:val="24"/>
        </w:rPr>
        <w:tab/>
        <w:t xml:space="preserve">  [</w:t>
      </w:r>
      <w:r w:rsidRPr="00FD1197" w:rsidR="00DB4CC0">
        <w:rPr>
          <w:b/>
          <w:bCs/>
          <w:sz w:val="24"/>
          <w:szCs w:val="24"/>
        </w:rPr>
        <w:t>x</w:t>
      </w:r>
      <w:r w:rsidRPr="00FD1197">
        <w:rPr>
          <w:b/>
          <w:bCs/>
          <w:sz w:val="24"/>
          <w:szCs w:val="24"/>
        </w:rPr>
        <w:t xml:space="preserve"> ] </w:t>
      </w:r>
      <w:r w:rsidRPr="00FD1197">
        <w:rPr>
          <w:b/>
          <w:bCs/>
          <w:sz w:val="24"/>
          <w:szCs w:val="24"/>
          <w:u w:val="single"/>
        </w:rPr>
        <w:t>FOCUS GROUP</w:t>
      </w:r>
      <w:r w:rsidRPr="00FD1197">
        <w:rPr>
          <w:b/>
          <w:bCs/>
          <w:sz w:val="24"/>
          <w:szCs w:val="24"/>
        </w:rPr>
        <w:t xml:space="preserve">      [ ] </w:t>
      </w:r>
      <w:r w:rsidRPr="00FD1197">
        <w:rPr>
          <w:b/>
          <w:bCs/>
          <w:sz w:val="24"/>
          <w:szCs w:val="24"/>
          <w:u w:val="single"/>
        </w:rPr>
        <w:t>SOFTWARE USABILITY TESTING</w:t>
      </w:r>
      <w:r w:rsidRPr="00FD1197">
        <w:rPr>
          <w:b/>
          <w:bCs/>
          <w:sz w:val="24"/>
          <w:szCs w:val="24"/>
        </w:rPr>
        <w:t xml:space="preserve">   </w:t>
      </w:r>
    </w:p>
    <w:p w:rsidRPr="00FD1197" w:rsidR="006A53FF" w:rsidP="00FD1197" w:rsidRDefault="006A53FF" w14:paraId="7EF2C0EB" w14:textId="77777777">
      <w:pPr>
        <w:pStyle w:val="BodyTextIndent"/>
        <w:tabs>
          <w:tab w:val="left" w:pos="360"/>
        </w:tabs>
        <w:ind w:left="0"/>
        <w:rPr>
          <w:b/>
          <w:bCs/>
          <w:sz w:val="24"/>
          <w:szCs w:val="24"/>
        </w:rPr>
      </w:pPr>
    </w:p>
    <w:p w:rsidRPr="00FD1197" w:rsidR="00142B2A" w:rsidP="00FD1197" w:rsidRDefault="00142B2A" w14:paraId="3DBE2CB1" w14:textId="77777777">
      <w:pPr>
        <w:rPr>
          <w:u w:val="single"/>
        </w:rPr>
      </w:pPr>
      <w:r w:rsidRPr="00FD1197">
        <w:rPr>
          <w:b/>
          <w:u w:val="single"/>
        </w:rPr>
        <w:t>DESCRIPTION OF THIS SPECIFIC COLLECTION</w:t>
      </w:r>
      <w:r w:rsidRPr="00FD1197">
        <w:rPr>
          <w:u w:val="single"/>
        </w:rPr>
        <w:t xml:space="preserve"> </w:t>
      </w:r>
    </w:p>
    <w:p w:rsidRPr="00F60864" w:rsidR="00544730" w:rsidP="00544730" w:rsidRDefault="00544730" w14:paraId="48E2476E" w14:textId="77777777">
      <w:r w:rsidRPr="00F60864">
        <w:t>As part of their Every Student Succeeds Act (ESSA) accountability plan submitted to and approved by the US Department of Education, 36 States as well as the District of Columbia included a chronic absence measure as a metric. Insight Policy Research, Inc., the contractor for the current National Student Attendance, Engagement and Success Center (NSAESC), will provide technical assistance (TA) services to support, identify, and disseminate effective strategies and interventions to reduce student chronic absenteeism. This contract is coordinated through the Office of Program and Grantee Support Services (PGSS) within the Office of Elementary and Secondary Education (OESE).</w:t>
      </w:r>
    </w:p>
    <w:p w:rsidRPr="00F60864" w:rsidR="00544730" w:rsidP="00544730" w:rsidRDefault="00544730" w14:paraId="2BDB2CB7" w14:textId="77777777"/>
    <w:p w:rsidRPr="00F60864" w:rsidR="00544730" w:rsidP="00544730" w:rsidRDefault="00544730" w14:paraId="124F3596" w14:textId="77777777">
      <w:r w:rsidRPr="00F60864">
        <w:t xml:space="preserve">In order to identify the needs of the States and their districts, the NSAESC will produce a needs assessment report, identifying the needs of the State and local stakeholders; gaps not met by existing TA providers; and providing evidence-based and realistic recommendations for consideration to the Department that the NSAESC will implement in future contract years to address the needs identified. To facilitate these needs sensing activities, the NSAESC will design and administer a needs sensing questionnaire to relevant State and local stakeholders as well as State-level technical assistance providers working on chronic absenteeism. Specifically, the Center will collect data on how state education agency staff are continuously improving their chronic absence approaches: for example, what data they are using to identify chronic absence needs, how are they monitoring this data over time to adjust or expand their approaches, and what types of supports they are utilizing. While the needs sensing tool </w:t>
      </w:r>
      <w:proofErr w:type="gramStart"/>
      <w:r w:rsidRPr="00F60864">
        <w:t>will be available at all times</w:t>
      </w:r>
      <w:proofErr w:type="gramEnd"/>
      <w:r w:rsidRPr="00F60864">
        <w:t xml:space="preserve"> online, the NSAESC will also work with other Department offices, as identified by PGSS, to distribute the data collection instruments to relevant State, local, and TA provider audiences. </w:t>
      </w:r>
    </w:p>
    <w:p w:rsidRPr="00F60864" w:rsidR="00544730" w:rsidP="00544730" w:rsidRDefault="00544730" w14:paraId="33296CEA" w14:textId="77777777"/>
    <w:p w:rsidRPr="00F60864" w:rsidR="006A53FF" w:rsidP="00544730" w:rsidRDefault="00544730" w14:paraId="2E36072A" w14:textId="5861B66C">
      <w:r w:rsidRPr="00F60864">
        <w:t>The activity will be completed by state and local education administrators and educators, and state-level TA providers. The attached protocol has already been reviewed and approved by AIR’s IRB, a subcontractor with Insight Policy Research, Inc., on this contract.</w:t>
      </w:r>
    </w:p>
    <w:p w:rsidRPr="00FD1197" w:rsidR="006A53FF" w:rsidP="00FD1197" w:rsidRDefault="006A53FF" w14:paraId="69BD980C" w14:textId="77777777">
      <w:pPr>
        <w:rPr>
          <w:u w:val="single"/>
        </w:rPr>
      </w:pPr>
    </w:p>
    <w:p w:rsidRPr="00FD1197" w:rsidR="00142B2A" w:rsidP="00FD1197" w:rsidRDefault="00142B2A" w14:paraId="25F70C08" w14:textId="77777777">
      <w:pPr>
        <w:rPr>
          <w:b/>
          <w:u w:val="single"/>
        </w:rPr>
      </w:pPr>
      <w:r w:rsidRPr="00FD1197">
        <w:rPr>
          <w:b/>
          <w:u w:val="single"/>
        </w:rPr>
        <w:t>AMOUNT OF ANY PROPOSED STIPEND OR INCENTIVE</w:t>
      </w:r>
    </w:p>
    <w:p w:rsidRPr="006200EE" w:rsidR="006A53FF" w:rsidP="00FD1197" w:rsidRDefault="006200EE" w14:paraId="1195533E" w14:textId="2170EB8F">
      <w:pPr>
        <w:rPr>
          <w:bCs/>
        </w:rPr>
      </w:pPr>
      <w:r w:rsidRPr="006200EE">
        <w:rPr>
          <w:bCs/>
        </w:rPr>
        <w:t>$0 (no stipend or incentive is proposed)</w:t>
      </w:r>
    </w:p>
    <w:p w:rsidRPr="00FD1197" w:rsidR="006A53FF" w:rsidP="00FD1197" w:rsidRDefault="006A53FF" w14:paraId="28A73E2D" w14:textId="77777777">
      <w:pPr>
        <w:rPr>
          <w:b/>
          <w:u w:val="single"/>
        </w:rPr>
      </w:pPr>
    </w:p>
    <w:p w:rsidRPr="00AC3F54" w:rsidR="00142B2A" w:rsidP="00FD1197" w:rsidRDefault="00142B2A" w14:paraId="68A8131B" w14:textId="79595553">
      <w:pPr>
        <w:rPr>
          <w:u w:val="single"/>
        </w:rPr>
      </w:pPr>
      <w:r w:rsidRPr="00FD1197">
        <w:rPr>
          <w:b/>
          <w:u w:val="single"/>
        </w:rPr>
        <w:t>BURDEN HOUR COMPUTATION</w:t>
      </w:r>
      <w:r w:rsidRPr="00FD1197">
        <w:rPr>
          <w:u w:val="single"/>
        </w:rPr>
        <w:t xml:space="preserve"> </w:t>
      </w:r>
    </w:p>
    <w:tbl>
      <w:tblPr>
        <w:tblStyle w:val="TableGrid"/>
        <w:tblW w:w="10188" w:type="dxa"/>
        <w:tblLayout w:type="fixed"/>
        <w:tblLook w:val="01E0" w:firstRow="1" w:lastRow="1" w:firstColumn="1" w:lastColumn="1" w:noHBand="0" w:noVBand="0"/>
      </w:tblPr>
      <w:tblGrid>
        <w:gridCol w:w="3348"/>
        <w:gridCol w:w="2250"/>
        <w:gridCol w:w="2160"/>
        <w:gridCol w:w="2430"/>
      </w:tblGrid>
      <w:tr w:rsidR="00361551" w:rsidTr="00731F21" w14:paraId="1595A27F" w14:textId="77777777">
        <w:trPr>
          <w:trHeight w:val="274"/>
        </w:trPr>
        <w:tc>
          <w:tcPr>
            <w:tcW w:w="3348" w:type="dxa"/>
          </w:tcPr>
          <w:p w:rsidRPr="00F6240A" w:rsidR="00361551" w:rsidP="006B3185" w:rsidRDefault="00361551" w14:paraId="1A0D6B81" w14:textId="77777777">
            <w:pPr>
              <w:rPr>
                <w:b/>
              </w:rPr>
            </w:pPr>
            <w:r>
              <w:rPr>
                <w:b/>
              </w:rPr>
              <w:t xml:space="preserve">Category of Respondent </w:t>
            </w:r>
          </w:p>
        </w:tc>
        <w:tc>
          <w:tcPr>
            <w:tcW w:w="2250" w:type="dxa"/>
          </w:tcPr>
          <w:p w:rsidRPr="00F6240A" w:rsidR="00361551" w:rsidP="006B3185" w:rsidRDefault="00361551" w14:paraId="0FE1FCD9" w14:textId="77777777">
            <w:pPr>
              <w:rPr>
                <w:b/>
              </w:rPr>
            </w:pPr>
            <w:r w:rsidRPr="00F6240A">
              <w:rPr>
                <w:b/>
              </w:rPr>
              <w:t>N</w:t>
            </w:r>
            <w:r>
              <w:rPr>
                <w:b/>
              </w:rPr>
              <w:t>o.</w:t>
            </w:r>
            <w:r w:rsidRPr="00F6240A">
              <w:rPr>
                <w:b/>
              </w:rPr>
              <w:t xml:space="preserve"> of Respondents</w:t>
            </w:r>
          </w:p>
        </w:tc>
        <w:tc>
          <w:tcPr>
            <w:tcW w:w="2160" w:type="dxa"/>
          </w:tcPr>
          <w:p w:rsidRPr="00F6240A" w:rsidR="00361551" w:rsidP="006B3185" w:rsidRDefault="00361551" w14:paraId="6BADC129" w14:textId="77777777">
            <w:pPr>
              <w:rPr>
                <w:b/>
              </w:rPr>
            </w:pPr>
            <w:r w:rsidRPr="00F6240A">
              <w:rPr>
                <w:b/>
              </w:rPr>
              <w:t>Participation Time</w:t>
            </w:r>
          </w:p>
        </w:tc>
        <w:tc>
          <w:tcPr>
            <w:tcW w:w="2430" w:type="dxa"/>
          </w:tcPr>
          <w:p w:rsidRPr="00F6240A" w:rsidR="00361551" w:rsidP="006B3185" w:rsidRDefault="00361551" w14:paraId="03D821CF" w14:textId="77777777">
            <w:pPr>
              <w:rPr>
                <w:b/>
              </w:rPr>
            </w:pPr>
            <w:r w:rsidRPr="00F6240A">
              <w:rPr>
                <w:b/>
              </w:rPr>
              <w:t>Burden</w:t>
            </w:r>
          </w:p>
        </w:tc>
      </w:tr>
      <w:tr w:rsidR="00361551" w:rsidTr="00731F21" w14:paraId="4CB34A1E" w14:textId="77777777">
        <w:trPr>
          <w:trHeight w:val="274"/>
        </w:trPr>
        <w:tc>
          <w:tcPr>
            <w:tcW w:w="3348" w:type="dxa"/>
          </w:tcPr>
          <w:p w:rsidR="00361551" w:rsidP="006B3185" w:rsidRDefault="00361551" w14:paraId="2887A0A1" w14:textId="77777777">
            <w:r>
              <w:t>Individuals</w:t>
            </w:r>
          </w:p>
        </w:tc>
        <w:tc>
          <w:tcPr>
            <w:tcW w:w="2250" w:type="dxa"/>
          </w:tcPr>
          <w:p w:rsidR="00361551" w:rsidP="006B3185" w:rsidRDefault="00361551" w14:paraId="762A06B1" w14:textId="77751A6E">
            <w:r>
              <w:t>50</w:t>
            </w:r>
            <w:r w:rsidR="00EB5F8A">
              <w:t xml:space="preserve"> to </w:t>
            </w:r>
            <w:r>
              <w:t>100</w:t>
            </w:r>
          </w:p>
        </w:tc>
        <w:tc>
          <w:tcPr>
            <w:tcW w:w="2160" w:type="dxa"/>
          </w:tcPr>
          <w:p w:rsidR="00361551" w:rsidP="006B3185" w:rsidRDefault="00361551" w14:paraId="454FBC12" w14:textId="19BFBED5">
            <w:r>
              <w:t>10</w:t>
            </w:r>
            <w:r w:rsidR="00EB5F8A">
              <w:t xml:space="preserve"> to </w:t>
            </w:r>
            <w:r>
              <w:t>20 minutes</w:t>
            </w:r>
          </w:p>
        </w:tc>
        <w:tc>
          <w:tcPr>
            <w:tcW w:w="2430" w:type="dxa"/>
          </w:tcPr>
          <w:p w:rsidR="00361551" w:rsidP="006B3185" w:rsidRDefault="00DC2492" w14:paraId="1EEEDD7A" w14:textId="49544D63">
            <w:r>
              <w:t>500</w:t>
            </w:r>
            <w:r w:rsidR="00EB5F8A">
              <w:t xml:space="preserve"> to </w:t>
            </w:r>
            <w:r w:rsidR="004173CE">
              <w:t>2000 minutes (8.3</w:t>
            </w:r>
            <w:r w:rsidR="00EB5F8A">
              <w:t xml:space="preserve"> to 33.3 hours)</w:t>
            </w:r>
          </w:p>
        </w:tc>
      </w:tr>
      <w:tr w:rsidR="00361551" w:rsidTr="00731F21" w14:paraId="28DD0439" w14:textId="77777777">
        <w:trPr>
          <w:trHeight w:val="274"/>
        </w:trPr>
        <w:tc>
          <w:tcPr>
            <w:tcW w:w="3348" w:type="dxa"/>
          </w:tcPr>
          <w:p w:rsidR="00361551" w:rsidP="006B3185" w:rsidRDefault="004150C1" w14:paraId="152F2E9A" w14:textId="499B3833">
            <w:r>
              <w:t>Potential follow-up interviews</w:t>
            </w:r>
          </w:p>
        </w:tc>
        <w:tc>
          <w:tcPr>
            <w:tcW w:w="2250" w:type="dxa"/>
          </w:tcPr>
          <w:p w:rsidR="00361551" w:rsidP="006B3185" w:rsidRDefault="004150C1" w14:paraId="4E1B8B48" w14:textId="28607B59">
            <w:r>
              <w:t>75</w:t>
            </w:r>
          </w:p>
        </w:tc>
        <w:tc>
          <w:tcPr>
            <w:tcW w:w="2160" w:type="dxa"/>
          </w:tcPr>
          <w:p w:rsidR="00361551" w:rsidP="006B3185" w:rsidRDefault="004150C1" w14:paraId="11BB31FC" w14:textId="0156E3A4">
            <w:r>
              <w:t>45 minutes</w:t>
            </w:r>
          </w:p>
        </w:tc>
        <w:tc>
          <w:tcPr>
            <w:tcW w:w="2430" w:type="dxa"/>
          </w:tcPr>
          <w:p w:rsidR="00361551" w:rsidP="006B3185" w:rsidRDefault="000D2A50" w14:paraId="1C5F4948" w14:textId="77777777">
            <w:r>
              <w:t>3,375 minutes</w:t>
            </w:r>
          </w:p>
          <w:p w:rsidR="000D2A50" w:rsidP="006B3185" w:rsidRDefault="000D2A50" w14:paraId="55794871" w14:textId="5C26B2EF">
            <w:r>
              <w:t>(</w:t>
            </w:r>
            <w:r w:rsidR="00731F21">
              <w:t>56.25 hours)</w:t>
            </w:r>
          </w:p>
        </w:tc>
      </w:tr>
      <w:tr w:rsidR="00EB5F8A" w:rsidTr="00731F21" w14:paraId="08D5D5F3" w14:textId="77777777">
        <w:trPr>
          <w:trHeight w:val="289"/>
        </w:trPr>
        <w:tc>
          <w:tcPr>
            <w:tcW w:w="3348" w:type="dxa"/>
          </w:tcPr>
          <w:p w:rsidRPr="00F6240A" w:rsidR="00EB5F8A" w:rsidP="00EB5F8A" w:rsidRDefault="00EB5F8A" w14:paraId="41F7CB22" w14:textId="77777777">
            <w:pPr>
              <w:rPr>
                <w:b/>
              </w:rPr>
            </w:pPr>
            <w:r>
              <w:rPr>
                <w:b/>
              </w:rPr>
              <w:t>Totals</w:t>
            </w:r>
          </w:p>
        </w:tc>
        <w:tc>
          <w:tcPr>
            <w:tcW w:w="2250" w:type="dxa"/>
          </w:tcPr>
          <w:p w:rsidRPr="00F6240A" w:rsidR="00EB5F8A" w:rsidP="00EB5F8A" w:rsidRDefault="00EB5F8A" w14:paraId="5A38BBAE" w14:textId="50476F25">
            <w:pPr>
              <w:rPr>
                <w:b/>
              </w:rPr>
            </w:pPr>
            <w:r>
              <w:t>50 to 100</w:t>
            </w:r>
          </w:p>
        </w:tc>
        <w:tc>
          <w:tcPr>
            <w:tcW w:w="2160" w:type="dxa"/>
          </w:tcPr>
          <w:p w:rsidR="00EB5F8A" w:rsidP="00EB5F8A" w:rsidRDefault="00EB5F8A" w14:paraId="4D84E45E" w14:textId="43E6FBA5">
            <w:r>
              <w:t>10 to 20 minutes</w:t>
            </w:r>
          </w:p>
        </w:tc>
        <w:tc>
          <w:tcPr>
            <w:tcW w:w="2430" w:type="dxa"/>
          </w:tcPr>
          <w:p w:rsidRPr="00F6240A" w:rsidR="00EB5F8A" w:rsidP="00EB5F8A" w:rsidRDefault="00731F21" w14:paraId="7E39C209" w14:textId="714E6C29">
            <w:pPr>
              <w:rPr>
                <w:b/>
              </w:rPr>
            </w:pPr>
            <w:r>
              <w:t>3,875</w:t>
            </w:r>
            <w:r w:rsidR="00EB5F8A">
              <w:t xml:space="preserve"> to </w:t>
            </w:r>
            <w:r>
              <w:t>5,375</w:t>
            </w:r>
            <w:r w:rsidR="00EB5F8A">
              <w:t xml:space="preserve"> minutes (</w:t>
            </w:r>
            <w:r w:rsidR="007B1CC1">
              <w:t>64.6</w:t>
            </w:r>
            <w:r w:rsidR="00EB5F8A">
              <w:t xml:space="preserve"> to </w:t>
            </w:r>
            <w:r w:rsidR="00E9793F">
              <w:t>89.6</w:t>
            </w:r>
            <w:r w:rsidR="00EB5F8A">
              <w:t xml:space="preserve"> hours)</w:t>
            </w:r>
          </w:p>
        </w:tc>
      </w:tr>
    </w:tbl>
    <w:p w:rsidRPr="00FD1197" w:rsidR="00142B2A" w:rsidP="00FD1197" w:rsidRDefault="00142B2A" w14:paraId="12F1D38B" w14:textId="77777777">
      <w:pPr>
        <w:pStyle w:val="BodyTextIndent"/>
        <w:tabs>
          <w:tab w:val="left" w:pos="360"/>
        </w:tabs>
        <w:ind w:left="0"/>
        <w:rPr>
          <w:b/>
          <w:bCs/>
          <w:sz w:val="24"/>
          <w:szCs w:val="24"/>
          <w:u w:val="single"/>
        </w:rPr>
      </w:pPr>
    </w:p>
    <w:p w:rsidRPr="00FD1197" w:rsidR="00142B2A" w:rsidP="00FD1197" w:rsidRDefault="00142B2A" w14:paraId="624D4214" w14:textId="77777777">
      <w:pPr>
        <w:pStyle w:val="BodyTextIndent"/>
        <w:tabs>
          <w:tab w:val="left" w:pos="360"/>
        </w:tabs>
        <w:ind w:left="0"/>
        <w:rPr>
          <w:b/>
          <w:bCs/>
          <w:sz w:val="24"/>
          <w:szCs w:val="24"/>
        </w:rPr>
      </w:pPr>
      <w:r w:rsidRPr="00FD1197">
        <w:rPr>
          <w:b/>
          <w:bCs/>
          <w:sz w:val="24"/>
          <w:szCs w:val="24"/>
          <w:u w:val="single"/>
        </w:rPr>
        <w:lastRenderedPageBreak/>
        <w:t>STATISTICAL INFORMATION</w:t>
      </w:r>
      <w:r w:rsidRPr="00FD1197">
        <w:rPr>
          <w:b/>
          <w:bCs/>
          <w:sz w:val="24"/>
          <w:szCs w:val="24"/>
        </w:rPr>
        <w:t xml:space="preserve"> </w:t>
      </w:r>
    </w:p>
    <w:p w:rsidR="009C7C09" w:rsidP="00233B23" w:rsidRDefault="00233B23" w14:paraId="59C8DF73" w14:textId="6DFA07DE">
      <w:r w:rsidRPr="00233B23">
        <w:t xml:space="preserve">We do not </w:t>
      </w:r>
      <w:r w:rsidRPr="00233B23" w:rsidR="009C7C09">
        <w:t xml:space="preserve">have a customer list or something similar that defines the universe of potential </w:t>
      </w:r>
      <w:r w:rsidR="009C7C09">
        <w:t>respondents and</w:t>
      </w:r>
      <w:r>
        <w:t>, as such,</w:t>
      </w:r>
      <w:r w:rsidR="009C7C09">
        <w:t xml:space="preserve"> do </w:t>
      </w:r>
      <w:r>
        <w:t>not</w:t>
      </w:r>
      <w:r w:rsidR="009C7C09">
        <w:t xml:space="preserve"> have a sampling plan for selecting from this universe</w:t>
      </w:r>
      <w:r>
        <w:t>.</w:t>
      </w:r>
    </w:p>
    <w:p w:rsidRPr="00FD1197" w:rsidR="006A53FF" w:rsidP="00FD1197" w:rsidRDefault="006A53FF" w14:paraId="4106BD7F" w14:textId="77777777">
      <w:pPr>
        <w:pStyle w:val="BodyTextIndent"/>
        <w:tabs>
          <w:tab w:val="left" w:pos="360"/>
        </w:tabs>
        <w:ind w:left="0"/>
        <w:rPr>
          <w:b/>
          <w:bCs/>
          <w:sz w:val="24"/>
          <w:szCs w:val="24"/>
        </w:rPr>
      </w:pPr>
    </w:p>
    <w:p w:rsidRPr="00FD1197" w:rsidR="00CE2923" w:rsidP="00FD1197" w:rsidRDefault="00CE2923" w14:paraId="688F55F2" w14:textId="77777777">
      <w:r w:rsidRPr="00FD1197">
        <w:rPr>
          <w:b/>
          <w:u w:val="single"/>
        </w:rPr>
        <w:t>REQUESTED APPROVAL DATE:</w:t>
      </w:r>
      <w:r w:rsidRPr="00FD1197">
        <w:t xml:space="preserve">  </w:t>
      </w:r>
    </w:p>
    <w:p w:rsidRPr="00FD1197" w:rsidR="00CE2923" w:rsidP="00FD1197" w:rsidRDefault="00042372" w14:paraId="5DE11E39" w14:textId="1779D305">
      <w:pPr>
        <w:rPr>
          <w:bCs/>
        </w:rPr>
      </w:pPr>
      <w:r w:rsidRPr="00FD1197">
        <w:rPr>
          <w:bCs/>
        </w:rPr>
        <w:t>April 20, 2020</w:t>
      </w:r>
    </w:p>
    <w:p w:rsidRPr="00FD1197" w:rsidR="00042372" w:rsidP="00FD1197" w:rsidRDefault="00042372" w14:paraId="37A125AF" w14:textId="77777777">
      <w:pPr>
        <w:rPr>
          <w:b/>
          <w:u w:val="single"/>
        </w:rPr>
      </w:pPr>
    </w:p>
    <w:p w:rsidRPr="00FD1197" w:rsidR="00142B2A" w:rsidP="00FD1197" w:rsidRDefault="00142B2A" w14:paraId="20514D78" w14:textId="77777777">
      <w:pPr>
        <w:rPr>
          <w:bCs/>
        </w:rPr>
      </w:pPr>
      <w:r w:rsidRPr="00FD1197">
        <w:rPr>
          <w:b/>
          <w:u w:val="single"/>
        </w:rPr>
        <w:t>NAME OF CONTACT PERSON:</w:t>
      </w:r>
      <w:r w:rsidRPr="00FD1197">
        <w:rPr>
          <w:b/>
        </w:rPr>
        <w:t xml:space="preserve">  </w:t>
      </w:r>
      <w:r w:rsidRPr="00FD1197" w:rsidR="00CD7FDD">
        <w:rPr>
          <w:bCs/>
        </w:rPr>
        <w:tab/>
      </w:r>
    </w:p>
    <w:p w:rsidRPr="00FD1197" w:rsidR="00142B2A" w:rsidP="00FD1197" w:rsidRDefault="00437DA8" w14:paraId="6A15C97C" w14:textId="4E50BA7B">
      <w:pPr>
        <w:pStyle w:val="Header"/>
        <w:widowControl/>
        <w:tabs>
          <w:tab w:val="clear" w:pos="4320"/>
          <w:tab w:val="clear" w:pos="8640"/>
        </w:tabs>
        <w:rPr>
          <w:snapToGrid/>
        </w:rPr>
      </w:pPr>
      <w:r w:rsidRPr="00FD1197">
        <w:rPr>
          <w:snapToGrid/>
        </w:rPr>
        <w:t>Bryan Keohane</w:t>
      </w:r>
    </w:p>
    <w:p w:rsidRPr="00FD1197" w:rsidR="00437DA8" w:rsidP="00FD1197" w:rsidRDefault="00437DA8" w14:paraId="0A0ED774" w14:textId="77777777">
      <w:pPr>
        <w:pStyle w:val="Header"/>
        <w:widowControl/>
        <w:tabs>
          <w:tab w:val="clear" w:pos="4320"/>
          <w:tab w:val="clear" w:pos="8640"/>
        </w:tabs>
        <w:rPr>
          <w:snapToGrid/>
        </w:rPr>
      </w:pPr>
    </w:p>
    <w:p w:rsidRPr="00FD1197" w:rsidR="00142B2A" w:rsidP="00FD1197" w:rsidRDefault="00142B2A" w14:paraId="60DF9288" w14:textId="77777777">
      <w:pPr>
        <w:rPr>
          <w:bCs/>
        </w:rPr>
      </w:pPr>
      <w:r w:rsidRPr="00FD1197">
        <w:rPr>
          <w:b/>
          <w:u w:val="single"/>
        </w:rPr>
        <w:t>TELEPHONE NUMBER:</w:t>
      </w:r>
      <w:r w:rsidRPr="00FD1197">
        <w:rPr>
          <w:b/>
        </w:rPr>
        <w:tab/>
      </w:r>
    </w:p>
    <w:p w:rsidRPr="00FD1197" w:rsidR="00142B2A" w:rsidP="00FD1197" w:rsidRDefault="00437DA8" w14:paraId="7C05483D" w14:textId="17E64C17">
      <w:r w:rsidRPr="00FD1197">
        <w:t>(202)</w:t>
      </w:r>
      <w:r w:rsidR="009F6051">
        <w:t xml:space="preserve"> </w:t>
      </w:r>
      <w:r w:rsidRPr="00FD1197">
        <w:t>260-9738</w:t>
      </w:r>
    </w:p>
    <w:p w:rsidRPr="00FD1197" w:rsidR="001030B4" w:rsidP="00FD1197" w:rsidRDefault="001030B4" w14:paraId="189C1608" w14:textId="77777777"/>
    <w:p w:rsidRPr="00FD1197" w:rsidR="00142B2A" w:rsidP="00FD1197" w:rsidRDefault="00142B2A" w14:paraId="71B14E62" w14:textId="77777777">
      <w:pPr>
        <w:rPr>
          <w:bCs/>
        </w:rPr>
      </w:pPr>
      <w:r w:rsidRPr="00FD1197">
        <w:rPr>
          <w:b/>
          <w:u w:val="single"/>
        </w:rPr>
        <w:t>MAILING LOCATION</w:t>
      </w:r>
      <w:r w:rsidRPr="00FD1197">
        <w:rPr>
          <w:b/>
        </w:rPr>
        <w:t>:</w:t>
      </w:r>
      <w:r w:rsidRPr="00FD1197">
        <w:rPr>
          <w:b/>
        </w:rPr>
        <w:tab/>
      </w:r>
    </w:p>
    <w:p w:rsidRPr="00FD1197" w:rsidR="00142B2A" w:rsidP="00FD1197" w:rsidRDefault="001030B4" w14:paraId="3A18FA1E" w14:textId="44C83EA6">
      <w:r w:rsidRPr="00FD1197">
        <w:t>400 Maryland Avenue, SW</w:t>
      </w:r>
    </w:p>
    <w:p w:rsidRPr="00FD1197" w:rsidR="001030B4" w:rsidP="00FD1197" w:rsidRDefault="008C598B" w14:paraId="5118507A" w14:textId="5A661C6D">
      <w:r w:rsidRPr="00FD1197">
        <w:t xml:space="preserve">Room </w:t>
      </w:r>
      <w:r w:rsidRPr="00FD1197" w:rsidR="00882FCE">
        <w:t>3E112</w:t>
      </w:r>
    </w:p>
    <w:p w:rsidRPr="00FD1197" w:rsidR="00882FCE" w:rsidP="00FD1197" w:rsidRDefault="00882FCE" w14:paraId="69332A59" w14:textId="3262E99C">
      <w:r w:rsidRPr="00FD1197">
        <w:t>Washington, DC 20202</w:t>
      </w:r>
    </w:p>
    <w:p w:rsidRPr="00FD1197" w:rsidR="00882FCE" w:rsidP="00FD1197" w:rsidRDefault="00882FCE" w14:paraId="17A8D805" w14:textId="77777777">
      <w:pPr>
        <w:rPr>
          <w:u w:val="single"/>
        </w:rPr>
      </w:pPr>
    </w:p>
    <w:p w:rsidRPr="00FD1197" w:rsidR="00142B2A" w:rsidP="00FD1197" w:rsidRDefault="00142B2A" w14:paraId="6B4015C1" w14:textId="77777777">
      <w:pPr>
        <w:tabs>
          <w:tab w:val="left" w:pos="5670"/>
        </w:tabs>
        <w:suppressAutoHyphens/>
        <w:rPr>
          <w:bCs/>
        </w:rPr>
      </w:pPr>
      <w:r w:rsidRPr="00FD1197">
        <w:rPr>
          <w:b/>
          <w:u w:val="single"/>
        </w:rPr>
        <w:t>ED DEPARTMENT, OFFICE, DIVISION, BRANCH</w:t>
      </w:r>
      <w:r w:rsidRPr="00FD1197">
        <w:rPr>
          <w:b/>
        </w:rPr>
        <w:t>:</w:t>
      </w:r>
      <w:r w:rsidRPr="00FD1197">
        <w:rPr>
          <w:b/>
        </w:rPr>
        <w:tab/>
      </w:r>
    </w:p>
    <w:p w:rsidRPr="00EF701B" w:rsidR="00142B2A" w:rsidP="00FD1197" w:rsidRDefault="00EF701B" w14:paraId="0A26C043" w14:textId="7A890BA9">
      <w:pPr>
        <w:tabs>
          <w:tab w:val="left" w:pos="5670"/>
        </w:tabs>
        <w:suppressAutoHyphens/>
        <w:rPr>
          <w:bCs/>
        </w:rPr>
      </w:pPr>
      <w:r w:rsidRPr="00FD1197">
        <w:rPr>
          <w:bCs/>
        </w:rPr>
        <w:t>Office of Program and Grantee Support Services</w:t>
      </w:r>
      <w:r>
        <w:rPr>
          <w:bCs/>
        </w:rPr>
        <w:t xml:space="preserve">, in the </w:t>
      </w:r>
      <w:r w:rsidRPr="00FD1197" w:rsidR="008C598B">
        <w:rPr>
          <w:bCs/>
        </w:rPr>
        <w:t>Office of Elementary and Secondary Education</w:t>
      </w:r>
    </w:p>
    <w:sectPr w:rsidRPr="00EF701B" w:rsidR="00142B2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1FB0" w14:textId="77777777" w:rsidR="000633AA" w:rsidRDefault="000633AA">
      <w:r>
        <w:separator/>
      </w:r>
    </w:p>
  </w:endnote>
  <w:endnote w:type="continuationSeparator" w:id="0">
    <w:p w14:paraId="7B0BDFDB" w14:textId="77777777" w:rsidR="000633AA" w:rsidRDefault="0006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CB3F" w14:textId="77777777" w:rsidR="00AB4EC3" w:rsidRDefault="00AB4E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117E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C495" w14:textId="77777777" w:rsidR="000633AA" w:rsidRDefault="000633AA">
      <w:r>
        <w:separator/>
      </w:r>
    </w:p>
  </w:footnote>
  <w:footnote w:type="continuationSeparator" w:id="0">
    <w:p w14:paraId="0E8B6542" w14:textId="77777777" w:rsidR="000633AA" w:rsidRDefault="0006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A526E"/>
    <w:multiLevelType w:val="hybridMultilevel"/>
    <w:tmpl w:val="0E846094"/>
    <w:lvl w:ilvl="0" w:tplc="D098FE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E42A0"/>
    <w:multiLevelType w:val="hybridMultilevel"/>
    <w:tmpl w:val="FF74D29C"/>
    <w:lvl w:ilvl="0" w:tplc="C0DAEC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15"/>
  </w:num>
  <w:num w:numId="3">
    <w:abstractNumId w:val="14"/>
  </w:num>
  <w:num w:numId="4">
    <w:abstractNumId w:val="16"/>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 w:numId="16">
    <w:abstractNumId w:val="17"/>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4B"/>
    <w:rsid w:val="00042372"/>
    <w:rsid w:val="00051815"/>
    <w:rsid w:val="000633AA"/>
    <w:rsid w:val="000D2A50"/>
    <w:rsid w:val="001030B4"/>
    <w:rsid w:val="00103644"/>
    <w:rsid w:val="001117EC"/>
    <w:rsid w:val="00117691"/>
    <w:rsid w:val="001208BF"/>
    <w:rsid w:val="00141C1D"/>
    <w:rsid w:val="00142B2A"/>
    <w:rsid w:val="001B7F2D"/>
    <w:rsid w:val="002058C2"/>
    <w:rsid w:val="00211A63"/>
    <w:rsid w:val="00233B23"/>
    <w:rsid w:val="00245B92"/>
    <w:rsid w:val="0025585C"/>
    <w:rsid w:val="00270A97"/>
    <w:rsid w:val="00286D7A"/>
    <w:rsid w:val="002C5665"/>
    <w:rsid w:val="00344C85"/>
    <w:rsid w:val="003570CA"/>
    <w:rsid w:val="00361551"/>
    <w:rsid w:val="00383B81"/>
    <w:rsid w:val="00413E14"/>
    <w:rsid w:val="004150C1"/>
    <w:rsid w:val="004173CE"/>
    <w:rsid w:val="00432FB2"/>
    <w:rsid w:val="00437DA8"/>
    <w:rsid w:val="004A5827"/>
    <w:rsid w:val="004B3EEB"/>
    <w:rsid w:val="004E6ED4"/>
    <w:rsid w:val="004E763B"/>
    <w:rsid w:val="00532ABF"/>
    <w:rsid w:val="00544730"/>
    <w:rsid w:val="005A4B6B"/>
    <w:rsid w:val="005B1EAE"/>
    <w:rsid w:val="006200EE"/>
    <w:rsid w:val="0066754B"/>
    <w:rsid w:val="00675698"/>
    <w:rsid w:val="006A53FF"/>
    <w:rsid w:val="006E0A78"/>
    <w:rsid w:val="00731A31"/>
    <w:rsid w:val="00731F21"/>
    <w:rsid w:val="0075521F"/>
    <w:rsid w:val="00756394"/>
    <w:rsid w:val="00777C47"/>
    <w:rsid w:val="007B1CC1"/>
    <w:rsid w:val="007E16A7"/>
    <w:rsid w:val="008207CE"/>
    <w:rsid w:val="00882FCE"/>
    <w:rsid w:val="008B3CAA"/>
    <w:rsid w:val="008C598B"/>
    <w:rsid w:val="00902924"/>
    <w:rsid w:val="0091418D"/>
    <w:rsid w:val="00972752"/>
    <w:rsid w:val="009B43E9"/>
    <w:rsid w:val="009C421D"/>
    <w:rsid w:val="009C7C09"/>
    <w:rsid w:val="009D065B"/>
    <w:rsid w:val="009F6051"/>
    <w:rsid w:val="00A65DA2"/>
    <w:rsid w:val="00A934D6"/>
    <w:rsid w:val="00A93E08"/>
    <w:rsid w:val="00AA3D55"/>
    <w:rsid w:val="00AB4EC3"/>
    <w:rsid w:val="00AB4FAE"/>
    <w:rsid w:val="00AC3F54"/>
    <w:rsid w:val="00AE14EC"/>
    <w:rsid w:val="00B049EB"/>
    <w:rsid w:val="00B06B4B"/>
    <w:rsid w:val="00B82956"/>
    <w:rsid w:val="00B9746F"/>
    <w:rsid w:val="00C03143"/>
    <w:rsid w:val="00CA09E4"/>
    <w:rsid w:val="00CB7549"/>
    <w:rsid w:val="00CC5AF8"/>
    <w:rsid w:val="00CD7FDD"/>
    <w:rsid w:val="00CE1333"/>
    <w:rsid w:val="00CE2923"/>
    <w:rsid w:val="00D07748"/>
    <w:rsid w:val="00D47FAD"/>
    <w:rsid w:val="00D52A6A"/>
    <w:rsid w:val="00D80CE5"/>
    <w:rsid w:val="00D93D0F"/>
    <w:rsid w:val="00DB4CC0"/>
    <w:rsid w:val="00DC2492"/>
    <w:rsid w:val="00DC34D7"/>
    <w:rsid w:val="00DD7733"/>
    <w:rsid w:val="00E24D04"/>
    <w:rsid w:val="00E5757D"/>
    <w:rsid w:val="00E9793F"/>
    <w:rsid w:val="00EB576C"/>
    <w:rsid w:val="00EB5F8A"/>
    <w:rsid w:val="00EC3678"/>
    <w:rsid w:val="00EC5FA1"/>
    <w:rsid w:val="00ED17AB"/>
    <w:rsid w:val="00EF4351"/>
    <w:rsid w:val="00EF701B"/>
    <w:rsid w:val="00F205EA"/>
    <w:rsid w:val="00F267E9"/>
    <w:rsid w:val="00F60864"/>
    <w:rsid w:val="00F953EF"/>
    <w:rsid w:val="00FD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F0DF2"/>
  <w15:chartTrackingRefBased/>
  <w15:docId w15:val="{CE4FF5DC-9E4D-42A3-9878-DEAAB1F4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styleId="CommentReference">
    <w:name w:val="annotation reference"/>
    <w:rsid w:val="00F205EA"/>
    <w:rPr>
      <w:sz w:val="16"/>
      <w:szCs w:val="16"/>
    </w:rPr>
  </w:style>
  <w:style w:type="paragraph" w:styleId="CommentText">
    <w:name w:val="annotation text"/>
    <w:basedOn w:val="Normal"/>
    <w:link w:val="CommentTextChar"/>
    <w:rsid w:val="00F205EA"/>
    <w:rPr>
      <w:sz w:val="20"/>
      <w:szCs w:val="20"/>
    </w:rPr>
  </w:style>
  <w:style w:type="character" w:customStyle="1" w:styleId="CommentTextChar">
    <w:name w:val="Comment Text Char"/>
    <w:basedOn w:val="DefaultParagraphFont"/>
    <w:link w:val="CommentText"/>
    <w:rsid w:val="00F205EA"/>
  </w:style>
  <w:style w:type="paragraph" w:styleId="CommentSubject">
    <w:name w:val="annotation subject"/>
    <w:basedOn w:val="CommentText"/>
    <w:next w:val="CommentText"/>
    <w:link w:val="CommentSubjectChar"/>
    <w:rsid w:val="00F205EA"/>
    <w:rPr>
      <w:b/>
      <w:bCs/>
    </w:rPr>
  </w:style>
  <w:style w:type="character" w:customStyle="1" w:styleId="CommentSubjectChar">
    <w:name w:val="Comment Subject Char"/>
    <w:link w:val="CommentSubject"/>
    <w:rsid w:val="00F205EA"/>
    <w:rPr>
      <w:b/>
      <w:bCs/>
    </w:rPr>
  </w:style>
  <w:style w:type="paragraph" w:styleId="ListParagraph">
    <w:name w:val="List Paragraph"/>
    <w:basedOn w:val="Normal"/>
    <w:uiPriority w:val="34"/>
    <w:qFormat/>
    <w:rsid w:val="004A5827"/>
    <w:pPr>
      <w:ind w:left="720"/>
      <w:contextualSpacing/>
    </w:pPr>
  </w:style>
  <w:style w:type="table" w:styleId="TableGrid">
    <w:name w:val="Table Grid"/>
    <w:basedOn w:val="TableNormal"/>
    <w:rsid w:val="00361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146A-1A58-4170-8413-FD6219021082}">
  <ds:schemaRefs>
    <ds:schemaRef ds:uri="http://purl.org/dc/dcmitype/"/>
    <ds:schemaRef ds:uri="02e41e38-1731-4866-b09a-6257d8bc047f"/>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f87c7b8b-c0e7-4b77-a067-2c707fd1239f"/>
    <ds:schemaRef ds:uri="http://schemas.microsoft.com/office/2006/metadata/properties"/>
  </ds:schemaRefs>
</ds:datastoreItem>
</file>

<file path=customXml/itemProps2.xml><?xml version="1.0" encoding="utf-8"?>
<ds:datastoreItem xmlns:ds="http://schemas.openxmlformats.org/officeDocument/2006/customXml" ds:itemID="{C176E26B-CA3C-4875-83DE-7F02EEFD00D6}">
  <ds:schemaRefs>
    <ds:schemaRef ds:uri="http://schemas.microsoft.com/sharepoint/v3/contenttype/forms"/>
  </ds:schemaRefs>
</ds:datastoreItem>
</file>

<file path=customXml/itemProps3.xml><?xml version="1.0" encoding="utf-8"?>
<ds:datastoreItem xmlns:ds="http://schemas.openxmlformats.org/officeDocument/2006/customXml" ds:itemID="{A80686FF-3258-47BD-8CE1-39454A69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D4456-04E1-4B90-B19F-E0DAAA6C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2960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Kate</cp:lastModifiedBy>
  <cp:revision>2</cp:revision>
  <cp:lastPrinted>2007-10-16T13:44:00Z</cp:lastPrinted>
  <dcterms:created xsi:type="dcterms:W3CDTF">2020-04-09T17:08:00Z</dcterms:created>
  <dcterms:modified xsi:type="dcterms:W3CDTF">2020-04-09T17:08:00Z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