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821BB" w14:textId="2364919B" w:rsidR="00E941E9" w:rsidRPr="00E941E9" w:rsidRDefault="00E941E9" w:rsidP="00901F03">
      <w:pPr>
        <w:pStyle w:val="Title"/>
        <w:tabs>
          <w:tab w:val="left" w:pos="8640"/>
        </w:tabs>
        <w:ind w:right="653"/>
        <w:rPr>
          <w:szCs w:val="24"/>
        </w:rPr>
      </w:pPr>
      <w:r>
        <w:rPr>
          <w:caps/>
          <w:szCs w:val="24"/>
        </w:rPr>
        <w:t>O</w:t>
      </w:r>
      <w:r>
        <w:rPr>
          <w:szCs w:val="24"/>
        </w:rPr>
        <w:t>ffice of the Comptroller of the Currency</w:t>
      </w:r>
    </w:p>
    <w:p w14:paraId="360D85CC" w14:textId="08874CC6" w:rsidR="00C54890" w:rsidRPr="00E941E9" w:rsidRDefault="00C54890" w:rsidP="00901F03">
      <w:pPr>
        <w:pStyle w:val="Title"/>
        <w:tabs>
          <w:tab w:val="left" w:pos="8640"/>
        </w:tabs>
        <w:ind w:right="653"/>
        <w:rPr>
          <w:b w:val="0"/>
          <w:bCs w:val="0"/>
          <w:szCs w:val="24"/>
        </w:rPr>
      </w:pPr>
      <w:r w:rsidRPr="00901F03">
        <w:rPr>
          <w:caps/>
          <w:szCs w:val="24"/>
        </w:rPr>
        <w:t>S</w:t>
      </w:r>
      <w:r w:rsidR="00E941E9">
        <w:rPr>
          <w:szCs w:val="24"/>
        </w:rPr>
        <w:t>upporting Statement</w:t>
      </w:r>
    </w:p>
    <w:p w14:paraId="3FD2BE73" w14:textId="3624013E" w:rsidR="00DF4AB0" w:rsidRDefault="009962BB" w:rsidP="00901F03">
      <w:pPr>
        <w:pStyle w:val="Title"/>
        <w:tabs>
          <w:tab w:val="left" w:pos="8640"/>
        </w:tabs>
        <w:ind w:right="653"/>
        <w:rPr>
          <w:szCs w:val="24"/>
        </w:rPr>
      </w:pPr>
      <w:r>
        <w:rPr>
          <w:szCs w:val="24"/>
        </w:rPr>
        <w:t>D</w:t>
      </w:r>
      <w:r w:rsidR="00E51C55">
        <w:rPr>
          <w:szCs w:val="24"/>
        </w:rPr>
        <w:t>isclosure Requirements</w:t>
      </w:r>
    </w:p>
    <w:p w14:paraId="5D97947B" w14:textId="458F92A8" w:rsidR="009962BB" w:rsidRPr="00901F03" w:rsidRDefault="00E51C55" w:rsidP="00901F03">
      <w:pPr>
        <w:pStyle w:val="Title"/>
        <w:tabs>
          <w:tab w:val="left" w:pos="8640"/>
        </w:tabs>
        <w:ind w:right="653"/>
        <w:rPr>
          <w:szCs w:val="24"/>
        </w:rPr>
      </w:pPr>
      <w:r>
        <w:rPr>
          <w:szCs w:val="24"/>
        </w:rPr>
        <w:t>Supplementary Leverage Ratio</w:t>
      </w:r>
    </w:p>
    <w:p w14:paraId="1B280867" w14:textId="55C2A91F" w:rsidR="00DF4AB0" w:rsidRDefault="00DF4AB0" w:rsidP="00901F03">
      <w:pPr>
        <w:pStyle w:val="Title"/>
        <w:tabs>
          <w:tab w:val="left" w:pos="8640"/>
        </w:tabs>
        <w:ind w:right="653"/>
        <w:rPr>
          <w:szCs w:val="24"/>
        </w:rPr>
      </w:pPr>
      <w:r w:rsidRPr="00901F03">
        <w:rPr>
          <w:szCs w:val="24"/>
        </w:rPr>
        <w:t>OMB C</w:t>
      </w:r>
      <w:r w:rsidR="00E51C55">
        <w:rPr>
          <w:szCs w:val="24"/>
        </w:rPr>
        <w:t>ontrol No</w:t>
      </w:r>
      <w:r w:rsidRPr="00901F03">
        <w:rPr>
          <w:szCs w:val="24"/>
        </w:rPr>
        <w:t>. 1557-</w:t>
      </w:r>
      <w:r w:rsidR="002779B7">
        <w:rPr>
          <w:szCs w:val="24"/>
        </w:rPr>
        <w:t>0322</w:t>
      </w:r>
    </w:p>
    <w:p w14:paraId="69D72976" w14:textId="77777777" w:rsidR="00C54890" w:rsidRPr="00901F03" w:rsidRDefault="00C54890" w:rsidP="00901F03">
      <w:pPr>
        <w:tabs>
          <w:tab w:val="left" w:pos="8640"/>
        </w:tabs>
        <w:ind w:right="653"/>
        <w:jc w:val="center"/>
        <w:rPr>
          <w:b/>
          <w:bCs/>
          <w:szCs w:val="24"/>
        </w:rPr>
      </w:pPr>
    </w:p>
    <w:p w14:paraId="7E5E9018" w14:textId="77777777" w:rsidR="00C54890" w:rsidRDefault="00C54890" w:rsidP="00901F03">
      <w:pPr>
        <w:tabs>
          <w:tab w:val="left" w:pos="8640"/>
        </w:tabs>
        <w:ind w:right="653"/>
        <w:rPr>
          <w:b/>
          <w:bCs/>
          <w:szCs w:val="24"/>
        </w:rPr>
      </w:pPr>
    </w:p>
    <w:p w14:paraId="0CCAEF12" w14:textId="77777777" w:rsidR="00C54890" w:rsidRPr="00901F03" w:rsidRDefault="00C54890" w:rsidP="00901F03">
      <w:pPr>
        <w:tabs>
          <w:tab w:val="left" w:pos="8640"/>
          <w:tab w:val="left" w:pos="8820"/>
        </w:tabs>
        <w:ind w:right="653"/>
        <w:rPr>
          <w:b/>
          <w:bCs/>
          <w:szCs w:val="24"/>
        </w:rPr>
      </w:pPr>
      <w:r w:rsidRPr="00901F03">
        <w:rPr>
          <w:b/>
          <w:bCs/>
          <w:szCs w:val="24"/>
        </w:rPr>
        <w:t>A.  Justification.</w:t>
      </w:r>
    </w:p>
    <w:p w14:paraId="60422CE0" w14:textId="77777777" w:rsidR="00C54890" w:rsidRPr="00901F03" w:rsidRDefault="00C54890" w:rsidP="00901F03">
      <w:pPr>
        <w:tabs>
          <w:tab w:val="left" w:pos="8640"/>
          <w:tab w:val="left" w:pos="8820"/>
        </w:tabs>
        <w:ind w:right="653"/>
        <w:rPr>
          <w:szCs w:val="24"/>
        </w:rPr>
      </w:pPr>
    </w:p>
    <w:p w14:paraId="65C07513" w14:textId="77777777" w:rsidR="00C54890" w:rsidRPr="00520545" w:rsidRDefault="00C54890" w:rsidP="00901F03">
      <w:pPr>
        <w:tabs>
          <w:tab w:val="left" w:pos="8640"/>
          <w:tab w:val="left" w:pos="8820"/>
        </w:tabs>
        <w:ind w:right="653"/>
        <w:rPr>
          <w:b/>
          <w:bCs/>
          <w:i/>
          <w:iCs/>
          <w:szCs w:val="24"/>
        </w:rPr>
      </w:pPr>
      <w:r w:rsidRPr="00520545">
        <w:rPr>
          <w:b/>
          <w:bCs/>
          <w:i/>
          <w:iCs/>
          <w:szCs w:val="24"/>
        </w:rPr>
        <w:t>1.  Circumstances that make the collection necessary:</w:t>
      </w:r>
    </w:p>
    <w:p w14:paraId="235842BB" w14:textId="77777777" w:rsidR="00174D11" w:rsidRPr="00901F03" w:rsidRDefault="00174D11" w:rsidP="00901F03">
      <w:pPr>
        <w:pStyle w:val="Header"/>
        <w:widowControl w:val="0"/>
        <w:tabs>
          <w:tab w:val="left" w:pos="0"/>
          <w:tab w:val="left" w:pos="720"/>
          <w:tab w:val="left" w:pos="1440"/>
          <w:tab w:val="left" w:pos="2430"/>
        </w:tabs>
        <w:rPr>
          <w:rFonts w:ascii="Times New Roman" w:hAnsi="Times New Roman" w:cs="Times New Roman"/>
          <w:sz w:val="24"/>
          <w:szCs w:val="24"/>
        </w:rPr>
      </w:pPr>
    </w:p>
    <w:p w14:paraId="0C04B7D5" w14:textId="528B9D46" w:rsidR="00C54890" w:rsidRPr="00C40FF4" w:rsidRDefault="007975A2" w:rsidP="00C40FF4">
      <w:pPr>
        <w:autoSpaceDE w:val="0"/>
        <w:autoSpaceDN w:val="0"/>
        <w:adjustRightInd w:val="0"/>
        <w:rPr>
          <w:szCs w:val="24"/>
        </w:rPr>
      </w:pPr>
      <w:r>
        <w:rPr>
          <w:szCs w:val="24"/>
        </w:rPr>
        <w:tab/>
      </w:r>
      <w:r w:rsidR="00721542" w:rsidRPr="00C40FF4">
        <w:rPr>
          <w:rFonts w:cs="Melior"/>
          <w:szCs w:val="18"/>
        </w:rPr>
        <w:t>The supplementary leverage ratio regulations strengthen the</w:t>
      </w:r>
      <w:r w:rsidR="004921E6" w:rsidRPr="00C40FF4">
        <w:rPr>
          <w:rFonts w:cs="Melior"/>
          <w:szCs w:val="18"/>
        </w:rPr>
        <w:t xml:space="preserve"> </w:t>
      </w:r>
      <w:r w:rsidR="00721542" w:rsidRPr="00C40FF4">
        <w:rPr>
          <w:rFonts w:cs="Melior"/>
          <w:szCs w:val="18"/>
        </w:rPr>
        <w:t>definition of total leverage exposure and</w:t>
      </w:r>
      <w:r w:rsidR="004921E6" w:rsidRPr="00C40FF4">
        <w:rPr>
          <w:rFonts w:cs="Melior"/>
          <w:szCs w:val="18"/>
        </w:rPr>
        <w:t xml:space="preserve"> </w:t>
      </w:r>
      <w:r w:rsidR="00721542" w:rsidRPr="00C40FF4">
        <w:rPr>
          <w:rFonts w:cs="Melior"/>
          <w:szCs w:val="18"/>
        </w:rPr>
        <w:t>improve the measure of a banking</w:t>
      </w:r>
      <w:r w:rsidR="004921E6" w:rsidRPr="00C40FF4">
        <w:rPr>
          <w:rFonts w:cs="Melior"/>
          <w:szCs w:val="18"/>
        </w:rPr>
        <w:t xml:space="preserve"> </w:t>
      </w:r>
      <w:r w:rsidR="00721542" w:rsidRPr="00C40FF4">
        <w:rPr>
          <w:rFonts w:cs="Melior"/>
          <w:szCs w:val="18"/>
        </w:rPr>
        <w:t>organization’s on- and off-balance sheet</w:t>
      </w:r>
      <w:r w:rsidR="004921E6" w:rsidRPr="00C40FF4">
        <w:rPr>
          <w:rFonts w:cs="Melior"/>
          <w:szCs w:val="18"/>
        </w:rPr>
        <w:t xml:space="preserve"> </w:t>
      </w:r>
      <w:r w:rsidR="00721542" w:rsidRPr="00C40FF4">
        <w:rPr>
          <w:rFonts w:cs="Melior"/>
          <w:szCs w:val="18"/>
        </w:rPr>
        <w:t xml:space="preserve">exposures. </w:t>
      </w:r>
      <w:r w:rsidR="00EB34DC">
        <w:rPr>
          <w:rFonts w:cs="Melior"/>
          <w:szCs w:val="18"/>
        </w:rPr>
        <w:t xml:space="preserve"> </w:t>
      </w:r>
      <w:r w:rsidR="00721542" w:rsidRPr="00C40FF4">
        <w:rPr>
          <w:rFonts w:cs="Melior"/>
          <w:szCs w:val="18"/>
        </w:rPr>
        <w:t xml:space="preserve">The </w:t>
      </w:r>
      <w:r w:rsidR="00C40FF4">
        <w:rPr>
          <w:rFonts w:cs="Melior"/>
          <w:szCs w:val="18"/>
        </w:rPr>
        <w:t xml:space="preserve">rules </w:t>
      </w:r>
      <w:r w:rsidR="00DA5698">
        <w:rPr>
          <w:rFonts w:cs="Melior"/>
          <w:szCs w:val="18"/>
        </w:rPr>
        <w:t xml:space="preserve">are </w:t>
      </w:r>
      <w:r w:rsidR="006F620B">
        <w:rPr>
          <w:rFonts w:cs="Melior"/>
          <w:szCs w:val="18"/>
        </w:rPr>
        <w:t xml:space="preserve">generally </w:t>
      </w:r>
      <w:r w:rsidR="00DA5698">
        <w:rPr>
          <w:rFonts w:cs="Melior"/>
          <w:szCs w:val="18"/>
        </w:rPr>
        <w:t>consistent with</w:t>
      </w:r>
      <w:r w:rsidR="00C40FF4">
        <w:rPr>
          <w:rFonts w:cs="Melior"/>
          <w:szCs w:val="18"/>
        </w:rPr>
        <w:t xml:space="preserve"> the</w:t>
      </w:r>
      <w:r w:rsidR="004921E6" w:rsidRPr="00C40FF4">
        <w:rPr>
          <w:rFonts w:cs="Melior"/>
          <w:szCs w:val="18"/>
        </w:rPr>
        <w:t xml:space="preserve"> </w:t>
      </w:r>
      <w:r w:rsidR="00721542" w:rsidRPr="00C40FF4">
        <w:rPr>
          <w:rFonts w:cs="Melior"/>
          <w:szCs w:val="18"/>
        </w:rPr>
        <w:t>B</w:t>
      </w:r>
      <w:r w:rsidR="00C40FF4">
        <w:rPr>
          <w:rFonts w:cs="Melior"/>
          <w:szCs w:val="18"/>
        </w:rPr>
        <w:t xml:space="preserve">asel </w:t>
      </w:r>
      <w:r w:rsidR="00721542" w:rsidRPr="00C40FF4">
        <w:rPr>
          <w:rFonts w:cs="Melior"/>
          <w:szCs w:val="18"/>
        </w:rPr>
        <w:t>C</w:t>
      </w:r>
      <w:r w:rsidR="00C40FF4">
        <w:rPr>
          <w:rFonts w:cs="Melior"/>
          <w:szCs w:val="18"/>
        </w:rPr>
        <w:t xml:space="preserve">ommittee on </w:t>
      </w:r>
      <w:r w:rsidR="00721542" w:rsidRPr="00C40FF4">
        <w:rPr>
          <w:rFonts w:cs="Melior"/>
          <w:szCs w:val="18"/>
        </w:rPr>
        <w:t>B</w:t>
      </w:r>
      <w:r w:rsidR="00C40FF4">
        <w:rPr>
          <w:rFonts w:cs="Melior"/>
          <w:szCs w:val="18"/>
        </w:rPr>
        <w:t xml:space="preserve">anking </w:t>
      </w:r>
      <w:r w:rsidR="00721542" w:rsidRPr="00C40FF4">
        <w:rPr>
          <w:rFonts w:cs="Melior"/>
          <w:szCs w:val="18"/>
        </w:rPr>
        <w:t>S</w:t>
      </w:r>
      <w:r w:rsidR="00C40FF4">
        <w:rPr>
          <w:rFonts w:cs="Melior"/>
          <w:szCs w:val="18"/>
        </w:rPr>
        <w:t>upervision’s</w:t>
      </w:r>
      <w:r w:rsidR="00721542" w:rsidRPr="00C40FF4">
        <w:rPr>
          <w:rFonts w:cs="Melior"/>
          <w:szCs w:val="18"/>
        </w:rPr>
        <w:t xml:space="preserve"> 2014 revisions </w:t>
      </w:r>
      <w:r w:rsidR="00E1671D">
        <w:rPr>
          <w:rFonts w:cs="Melior"/>
          <w:szCs w:val="18"/>
        </w:rPr>
        <w:t>and</w:t>
      </w:r>
      <w:r w:rsidR="00721542" w:rsidRPr="00C40FF4">
        <w:rPr>
          <w:rFonts w:cs="Melior"/>
          <w:szCs w:val="18"/>
        </w:rPr>
        <w:t xml:space="preserve"> promote</w:t>
      </w:r>
      <w:r w:rsidR="004921E6" w:rsidRPr="00C40FF4">
        <w:rPr>
          <w:rFonts w:cs="Melior"/>
          <w:szCs w:val="18"/>
        </w:rPr>
        <w:t xml:space="preserve"> </w:t>
      </w:r>
      <w:r w:rsidR="00721542" w:rsidRPr="00C40FF4">
        <w:rPr>
          <w:rFonts w:cs="Melior"/>
          <w:szCs w:val="18"/>
        </w:rPr>
        <w:t>consistency in the calculation of this</w:t>
      </w:r>
      <w:r w:rsidR="004921E6" w:rsidRPr="00C40FF4">
        <w:rPr>
          <w:rFonts w:cs="Melior"/>
          <w:szCs w:val="18"/>
        </w:rPr>
        <w:t xml:space="preserve"> </w:t>
      </w:r>
      <w:r w:rsidR="00721542" w:rsidRPr="00C40FF4">
        <w:rPr>
          <w:rFonts w:cs="Melior"/>
          <w:szCs w:val="18"/>
        </w:rPr>
        <w:t>ratio across jurisdictions</w:t>
      </w:r>
      <w:r w:rsidR="004921E6" w:rsidRPr="00C40FF4">
        <w:rPr>
          <w:rFonts w:cs="Melior"/>
          <w:szCs w:val="18"/>
        </w:rPr>
        <w:t>.</w:t>
      </w:r>
      <w:r w:rsidR="00C40FF4">
        <w:rPr>
          <w:rFonts w:cs="Melior"/>
          <w:szCs w:val="18"/>
        </w:rPr>
        <w:t xml:space="preserve">  </w:t>
      </w:r>
      <w:r w:rsidR="00174D11" w:rsidRPr="00901F03">
        <w:rPr>
          <w:szCs w:val="24"/>
        </w:rPr>
        <w:t xml:space="preserve">          </w:t>
      </w:r>
    </w:p>
    <w:p w14:paraId="2C0D2D30" w14:textId="77777777" w:rsidR="00C54890" w:rsidRPr="00901F03" w:rsidRDefault="00C54890" w:rsidP="00901F03">
      <w:pPr>
        <w:pStyle w:val="BodyText"/>
        <w:tabs>
          <w:tab w:val="left" w:pos="8640"/>
        </w:tabs>
        <w:ind w:right="653"/>
        <w:rPr>
          <w:b/>
          <w:bCs/>
          <w:i w:val="0"/>
          <w:szCs w:val="24"/>
        </w:rPr>
      </w:pPr>
    </w:p>
    <w:p w14:paraId="108B56DE" w14:textId="77777777" w:rsidR="00C54890" w:rsidRPr="00520545" w:rsidRDefault="00C54890" w:rsidP="00901F03">
      <w:pPr>
        <w:pStyle w:val="BodyText"/>
        <w:tabs>
          <w:tab w:val="left" w:pos="8640"/>
        </w:tabs>
        <w:ind w:right="653"/>
        <w:rPr>
          <w:b/>
          <w:bCs/>
          <w:szCs w:val="24"/>
        </w:rPr>
      </w:pPr>
      <w:r w:rsidRPr="00520545">
        <w:rPr>
          <w:b/>
          <w:bCs/>
          <w:szCs w:val="24"/>
        </w:rPr>
        <w:t>2.  Use of the information:</w:t>
      </w:r>
    </w:p>
    <w:p w14:paraId="4C90409D" w14:textId="77777777" w:rsidR="00174D11" w:rsidRPr="00901F03" w:rsidRDefault="00174D11" w:rsidP="00901F03">
      <w:pPr>
        <w:ind w:firstLine="720"/>
        <w:contextualSpacing/>
        <w:rPr>
          <w:szCs w:val="24"/>
        </w:rPr>
      </w:pPr>
    </w:p>
    <w:p w14:paraId="550BA931" w14:textId="7EAB2BD9" w:rsidR="00901F03" w:rsidRDefault="00901F03" w:rsidP="007975A2">
      <w:pPr>
        <w:ind w:firstLine="720"/>
        <w:contextualSpacing/>
        <w:rPr>
          <w:szCs w:val="24"/>
        </w:rPr>
      </w:pPr>
      <w:r w:rsidRPr="00901F03">
        <w:rPr>
          <w:szCs w:val="24"/>
        </w:rPr>
        <w:t>All banking organizations that are subject to the agencies’ advanced approaches risk-based capital rules</w:t>
      </w:r>
      <w:r w:rsidR="00C42955">
        <w:rPr>
          <w:rStyle w:val="FootnoteReference"/>
          <w:szCs w:val="24"/>
        </w:rPr>
        <w:footnoteReference w:id="1"/>
      </w:r>
      <w:r w:rsidRPr="00901F03">
        <w:rPr>
          <w:szCs w:val="24"/>
        </w:rPr>
        <w:t xml:space="preserve"> are required to disclose their supplementary leverage ratios.</w:t>
      </w:r>
      <w:r w:rsidR="00EB4831">
        <w:rPr>
          <w:rStyle w:val="FootnoteReference"/>
          <w:szCs w:val="24"/>
        </w:rPr>
        <w:footnoteReference w:id="2"/>
      </w:r>
      <w:r w:rsidRPr="00901F03">
        <w:rPr>
          <w:szCs w:val="24"/>
        </w:rPr>
        <w:t xml:space="preserve">  Advanced approaches banking organizations must report their supplementary leverage ratios on the applicable regulatory reports.  </w:t>
      </w:r>
      <w:r w:rsidR="00C42955">
        <w:rPr>
          <w:szCs w:val="24"/>
        </w:rPr>
        <w:t xml:space="preserve">The </w:t>
      </w:r>
      <w:r w:rsidR="007F04D4">
        <w:rPr>
          <w:szCs w:val="24"/>
        </w:rPr>
        <w:t xml:space="preserve">calculation and </w:t>
      </w:r>
      <w:r w:rsidRPr="00901F03">
        <w:rPr>
          <w:szCs w:val="24"/>
        </w:rPr>
        <w:t xml:space="preserve">disclosure requirements </w:t>
      </w:r>
      <w:r w:rsidR="008E0A18">
        <w:rPr>
          <w:szCs w:val="24"/>
        </w:rPr>
        <w:t>for</w:t>
      </w:r>
      <w:r w:rsidRPr="00901F03">
        <w:rPr>
          <w:szCs w:val="24"/>
        </w:rPr>
        <w:t xml:space="preserve"> the supplementary leverage ratio in the </w:t>
      </w:r>
      <w:r w:rsidR="00835CF0">
        <w:rPr>
          <w:szCs w:val="24"/>
        </w:rPr>
        <w:t>f</w:t>
      </w:r>
      <w:r w:rsidR="008E0A18">
        <w:rPr>
          <w:szCs w:val="24"/>
        </w:rPr>
        <w:t>ederal banking agencies’ regulatory capital</w:t>
      </w:r>
      <w:r w:rsidR="008E0A18" w:rsidRPr="00901F03">
        <w:rPr>
          <w:szCs w:val="24"/>
        </w:rPr>
        <w:t xml:space="preserve"> </w:t>
      </w:r>
      <w:r w:rsidRPr="00901F03">
        <w:rPr>
          <w:szCs w:val="24"/>
        </w:rPr>
        <w:t>rule</w:t>
      </w:r>
      <w:r w:rsidR="008E0A18">
        <w:rPr>
          <w:szCs w:val="24"/>
        </w:rPr>
        <w:t>s</w:t>
      </w:r>
      <w:r w:rsidRPr="00901F03">
        <w:rPr>
          <w:szCs w:val="24"/>
        </w:rPr>
        <w:t xml:space="preserve"> </w:t>
      </w:r>
      <w:r w:rsidR="008E0A18">
        <w:rPr>
          <w:szCs w:val="24"/>
        </w:rPr>
        <w:t>are generally consistent with</w:t>
      </w:r>
      <w:r w:rsidR="0057772B">
        <w:rPr>
          <w:szCs w:val="24"/>
        </w:rPr>
        <w:t xml:space="preserve"> </w:t>
      </w:r>
      <w:r w:rsidR="001E6F18">
        <w:rPr>
          <w:szCs w:val="24"/>
        </w:rPr>
        <w:t>international standards published by the Basel Committee on Banking Supervision.</w:t>
      </w:r>
      <w:r w:rsidR="00C54619">
        <w:rPr>
          <w:szCs w:val="24"/>
        </w:rPr>
        <w:t xml:space="preserve"> </w:t>
      </w:r>
      <w:r w:rsidR="001E6F18">
        <w:rPr>
          <w:szCs w:val="24"/>
        </w:rPr>
        <w:t xml:space="preserve"> </w:t>
      </w:r>
      <w:r w:rsidRPr="00901F03">
        <w:rPr>
          <w:szCs w:val="24"/>
        </w:rPr>
        <w:t>The</w:t>
      </w:r>
      <w:r w:rsidR="006B6E3C">
        <w:rPr>
          <w:szCs w:val="24"/>
        </w:rPr>
        <w:t>se</w:t>
      </w:r>
      <w:r w:rsidRPr="00901F03">
        <w:rPr>
          <w:szCs w:val="24"/>
        </w:rPr>
        <w:t xml:space="preserve"> </w:t>
      </w:r>
      <w:r w:rsidR="00442D5E">
        <w:rPr>
          <w:szCs w:val="24"/>
        </w:rPr>
        <w:t xml:space="preserve">disclosures </w:t>
      </w:r>
      <w:r w:rsidRPr="00901F03">
        <w:rPr>
          <w:szCs w:val="24"/>
        </w:rPr>
        <w:t>enhance the transparency and consistency of reporting requirements for the supplementary leverage ratio by all internationally active organizations.</w:t>
      </w:r>
    </w:p>
    <w:p w14:paraId="3B6694B1" w14:textId="77777777" w:rsidR="00270847" w:rsidRPr="00901F03" w:rsidRDefault="00270847" w:rsidP="00901F03">
      <w:pPr>
        <w:ind w:firstLine="720"/>
        <w:contextualSpacing/>
        <w:rPr>
          <w:b/>
          <w:bCs/>
          <w:iCs/>
          <w:szCs w:val="24"/>
        </w:rPr>
      </w:pPr>
    </w:p>
    <w:p w14:paraId="6963269C" w14:textId="77777777" w:rsidR="00C54890" w:rsidRPr="00520545" w:rsidRDefault="00C54890" w:rsidP="00901F03">
      <w:pPr>
        <w:tabs>
          <w:tab w:val="left" w:pos="8640"/>
        </w:tabs>
        <w:ind w:right="653"/>
        <w:rPr>
          <w:b/>
          <w:bCs/>
          <w:i/>
          <w:iCs/>
          <w:szCs w:val="24"/>
        </w:rPr>
      </w:pPr>
      <w:r w:rsidRPr="00520545">
        <w:rPr>
          <w:b/>
          <w:bCs/>
          <w:i/>
          <w:iCs/>
          <w:szCs w:val="24"/>
        </w:rPr>
        <w:t>3.  Consideration of the use of improved information technology:</w:t>
      </w:r>
    </w:p>
    <w:p w14:paraId="1BCD267C" w14:textId="77777777" w:rsidR="00C54890" w:rsidRPr="00901F03" w:rsidRDefault="00C54890" w:rsidP="00901F03">
      <w:pPr>
        <w:tabs>
          <w:tab w:val="left" w:pos="8640"/>
        </w:tabs>
        <w:ind w:right="653"/>
        <w:rPr>
          <w:szCs w:val="24"/>
        </w:rPr>
      </w:pPr>
    </w:p>
    <w:p w14:paraId="284A2788" w14:textId="269E4664" w:rsidR="00C54890" w:rsidRPr="00901F03" w:rsidRDefault="009F54AF" w:rsidP="00C54619">
      <w:pPr>
        <w:pStyle w:val="BodyText"/>
        <w:tabs>
          <w:tab w:val="left" w:pos="8640"/>
        </w:tabs>
        <w:ind w:right="270"/>
        <w:rPr>
          <w:i w:val="0"/>
          <w:iCs w:val="0"/>
          <w:szCs w:val="24"/>
        </w:rPr>
      </w:pPr>
      <w:r>
        <w:rPr>
          <w:i w:val="0"/>
          <w:iCs w:val="0"/>
          <w:szCs w:val="24"/>
        </w:rPr>
        <w:t xml:space="preserve">            </w:t>
      </w:r>
      <w:r w:rsidR="00BA1407" w:rsidRPr="00901F03">
        <w:rPr>
          <w:i w:val="0"/>
          <w:iCs w:val="0"/>
          <w:szCs w:val="24"/>
        </w:rPr>
        <w:t>National banks</w:t>
      </w:r>
      <w:r w:rsidR="00C54890" w:rsidRPr="00901F03">
        <w:rPr>
          <w:i w:val="0"/>
          <w:iCs w:val="0"/>
          <w:szCs w:val="24"/>
        </w:rPr>
        <w:t xml:space="preserve"> </w:t>
      </w:r>
      <w:r w:rsidR="007E6B0A" w:rsidRPr="00901F03">
        <w:rPr>
          <w:i w:val="0"/>
          <w:iCs w:val="0"/>
          <w:szCs w:val="24"/>
        </w:rPr>
        <w:t xml:space="preserve">and </w:t>
      </w:r>
      <w:r w:rsidR="00835CF0">
        <w:rPr>
          <w:i w:val="0"/>
          <w:iCs w:val="0"/>
          <w:szCs w:val="24"/>
        </w:rPr>
        <w:t>f</w:t>
      </w:r>
      <w:r w:rsidR="007E6B0A" w:rsidRPr="00901F03">
        <w:rPr>
          <w:i w:val="0"/>
          <w:iCs w:val="0"/>
          <w:szCs w:val="24"/>
        </w:rPr>
        <w:t xml:space="preserve">ederal savings associations </w:t>
      </w:r>
      <w:r w:rsidR="00C54619">
        <w:rPr>
          <w:i w:val="0"/>
          <w:iCs w:val="0"/>
          <w:szCs w:val="24"/>
        </w:rPr>
        <w:t xml:space="preserve">may use any information </w:t>
      </w:r>
      <w:r w:rsidR="00C54890" w:rsidRPr="00901F03">
        <w:rPr>
          <w:i w:val="0"/>
          <w:iCs w:val="0"/>
          <w:szCs w:val="24"/>
        </w:rPr>
        <w:t>technology that permits review by OCC examiners.</w:t>
      </w:r>
    </w:p>
    <w:p w14:paraId="3FDB66FF" w14:textId="77777777" w:rsidR="00EF6C35" w:rsidRDefault="00EF6C35" w:rsidP="00901F03">
      <w:pPr>
        <w:tabs>
          <w:tab w:val="left" w:pos="8640"/>
        </w:tabs>
        <w:ind w:right="653"/>
        <w:rPr>
          <w:b/>
          <w:bCs/>
          <w:iCs/>
          <w:szCs w:val="24"/>
        </w:rPr>
      </w:pPr>
    </w:p>
    <w:p w14:paraId="5F0B0F44" w14:textId="77777777" w:rsidR="00C54890" w:rsidRPr="00520545" w:rsidRDefault="00C54890" w:rsidP="00901F03">
      <w:pPr>
        <w:tabs>
          <w:tab w:val="left" w:pos="8640"/>
        </w:tabs>
        <w:ind w:right="653"/>
        <w:rPr>
          <w:b/>
          <w:bCs/>
          <w:i/>
          <w:iCs/>
          <w:szCs w:val="24"/>
        </w:rPr>
      </w:pPr>
      <w:r w:rsidRPr="00520545">
        <w:rPr>
          <w:b/>
          <w:bCs/>
          <w:i/>
          <w:iCs/>
          <w:szCs w:val="24"/>
        </w:rPr>
        <w:t>4.  Efforts to identify duplication:</w:t>
      </w:r>
    </w:p>
    <w:p w14:paraId="46557A3F" w14:textId="77777777" w:rsidR="00174D11" w:rsidRPr="00901F03" w:rsidRDefault="00174D11" w:rsidP="00901F03">
      <w:pPr>
        <w:tabs>
          <w:tab w:val="left" w:pos="8640"/>
        </w:tabs>
        <w:ind w:right="653" w:firstLine="720"/>
        <w:rPr>
          <w:szCs w:val="24"/>
        </w:rPr>
      </w:pPr>
    </w:p>
    <w:p w14:paraId="583F94DB" w14:textId="77777777" w:rsidR="00C54890" w:rsidRPr="00901F03" w:rsidRDefault="009F54AF" w:rsidP="00901F03">
      <w:pPr>
        <w:tabs>
          <w:tab w:val="left" w:pos="8640"/>
        </w:tabs>
        <w:ind w:right="653"/>
        <w:rPr>
          <w:szCs w:val="24"/>
        </w:rPr>
      </w:pPr>
      <w:r>
        <w:rPr>
          <w:szCs w:val="24"/>
        </w:rPr>
        <w:t xml:space="preserve">            </w:t>
      </w:r>
      <w:r w:rsidR="00C54890" w:rsidRPr="00901F03">
        <w:rPr>
          <w:szCs w:val="24"/>
        </w:rPr>
        <w:t>The required information is unique and is not duplicative of any other information already collected.</w:t>
      </w:r>
      <w:r w:rsidR="00645D36" w:rsidRPr="00901F03">
        <w:rPr>
          <w:szCs w:val="24"/>
        </w:rPr>
        <w:t xml:space="preserve">  </w:t>
      </w:r>
    </w:p>
    <w:p w14:paraId="1A3E8AD3" w14:textId="77777777" w:rsidR="00C71DC2" w:rsidRPr="00901F03" w:rsidRDefault="00C71DC2" w:rsidP="00901F03">
      <w:pPr>
        <w:pStyle w:val="BodyText"/>
        <w:tabs>
          <w:tab w:val="left" w:pos="8640"/>
        </w:tabs>
        <w:ind w:right="653"/>
        <w:rPr>
          <w:b/>
          <w:bCs/>
          <w:i w:val="0"/>
          <w:szCs w:val="24"/>
        </w:rPr>
      </w:pPr>
    </w:p>
    <w:p w14:paraId="6C607E64" w14:textId="77777777" w:rsidR="00E550CF" w:rsidRDefault="00E550CF" w:rsidP="00E550CF">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14:paraId="4CDDB5F1" w14:textId="77777777" w:rsidR="00E550CF" w:rsidRDefault="00E550CF" w:rsidP="00E550CF"/>
    <w:p w14:paraId="55D613E5" w14:textId="08B4C33C" w:rsidR="00C54890" w:rsidRPr="00901F03" w:rsidRDefault="00201A94" w:rsidP="00901F03">
      <w:pPr>
        <w:tabs>
          <w:tab w:val="left" w:pos="8640"/>
        </w:tabs>
        <w:ind w:right="653"/>
        <w:rPr>
          <w:szCs w:val="24"/>
        </w:rPr>
      </w:pPr>
      <w:r>
        <w:t xml:space="preserve">             The rule only applies to institutions with 250 billion in assets or $10 billion in foreign exposure (or a subsidiary thereof).  That is, the rule does not apply to any small businesses or other small entities.</w:t>
      </w:r>
    </w:p>
    <w:p w14:paraId="10C6103C" w14:textId="103E5D45" w:rsidR="00C54890" w:rsidRPr="00520545" w:rsidRDefault="00C54890" w:rsidP="00901F03">
      <w:pPr>
        <w:pStyle w:val="BodyText"/>
        <w:tabs>
          <w:tab w:val="left" w:pos="8640"/>
        </w:tabs>
        <w:ind w:right="653"/>
        <w:rPr>
          <w:b/>
          <w:bCs/>
          <w:szCs w:val="24"/>
        </w:rPr>
      </w:pPr>
      <w:r w:rsidRPr="00520545">
        <w:rPr>
          <w:b/>
          <w:bCs/>
          <w:szCs w:val="24"/>
        </w:rPr>
        <w:lastRenderedPageBreak/>
        <w:t>6.  Consequences to the Federal program if the collection were conducted less frequently:</w:t>
      </w:r>
    </w:p>
    <w:p w14:paraId="196991AF" w14:textId="77777777" w:rsidR="00C54890" w:rsidRPr="00901F03" w:rsidRDefault="00C54890" w:rsidP="00901F03">
      <w:pPr>
        <w:tabs>
          <w:tab w:val="left" w:pos="8640"/>
        </w:tabs>
        <w:ind w:right="653"/>
        <w:rPr>
          <w:szCs w:val="24"/>
        </w:rPr>
      </w:pPr>
    </w:p>
    <w:p w14:paraId="0206AFC9" w14:textId="77777777" w:rsidR="00C54890" w:rsidRPr="00901F03" w:rsidRDefault="009F54AF" w:rsidP="00901F03">
      <w:pPr>
        <w:tabs>
          <w:tab w:val="left" w:pos="8640"/>
        </w:tabs>
        <w:ind w:right="653"/>
        <w:rPr>
          <w:szCs w:val="24"/>
        </w:rPr>
      </w:pPr>
      <w:r>
        <w:rPr>
          <w:szCs w:val="24"/>
        </w:rPr>
        <w:t xml:space="preserve">            </w:t>
      </w:r>
      <w:r w:rsidR="00C54890" w:rsidRPr="00901F03">
        <w:rPr>
          <w:szCs w:val="24"/>
        </w:rPr>
        <w:t xml:space="preserve">The OCC will not be able to adequately monitor capital levels </w:t>
      </w:r>
      <w:r w:rsidR="00D61564" w:rsidRPr="00901F03">
        <w:rPr>
          <w:szCs w:val="24"/>
        </w:rPr>
        <w:t>and ensure safety and soundness if the collection were conducted less frequently.</w:t>
      </w:r>
    </w:p>
    <w:p w14:paraId="559250E4" w14:textId="77777777" w:rsidR="00E844BE" w:rsidRPr="00901F03" w:rsidRDefault="00E844BE" w:rsidP="00901F03">
      <w:pPr>
        <w:tabs>
          <w:tab w:val="left" w:pos="8640"/>
        </w:tabs>
        <w:ind w:right="653"/>
        <w:rPr>
          <w:szCs w:val="24"/>
        </w:rPr>
      </w:pPr>
    </w:p>
    <w:p w14:paraId="69360E60" w14:textId="77777777" w:rsidR="00C54890" w:rsidRPr="00520545" w:rsidRDefault="00C54890" w:rsidP="00901F03">
      <w:pPr>
        <w:pStyle w:val="BodyText"/>
        <w:tabs>
          <w:tab w:val="left" w:pos="8640"/>
        </w:tabs>
        <w:ind w:right="653"/>
        <w:rPr>
          <w:b/>
          <w:bCs/>
          <w:szCs w:val="24"/>
        </w:rPr>
      </w:pPr>
      <w:r w:rsidRPr="00520545">
        <w:rPr>
          <w:b/>
          <w:bCs/>
          <w:szCs w:val="24"/>
        </w:rPr>
        <w:t xml:space="preserve">7.  Special circumstances that would cause an information collection to be conducted in a </w:t>
      </w:r>
      <w:r w:rsidR="009F54AF">
        <w:rPr>
          <w:b/>
          <w:bCs/>
          <w:szCs w:val="24"/>
        </w:rPr>
        <w:t>manner inconsistent with 5 CFR p</w:t>
      </w:r>
      <w:r w:rsidRPr="00520545">
        <w:rPr>
          <w:b/>
          <w:bCs/>
          <w:szCs w:val="24"/>
        </w:rPr>
        <w:t>art 1320:</w:t>
      </w:r>
    </w:p>
    <w:p w14:paraId="59D257A8" w14:textId="77777777" w:rsidR="00C54890" w:rsidRPr="00901F03" w:rsidRDefault="00C54890" w:rsidP="00901F03">
      <w:pPr>
        <w:tabs>
          <w:tab w:val="left" w:pos="8640"/>
        </w:tabs>
        <w:ind w:right="653"/>
        <w:rPr>
          <w:szCs w:val="24"/>
        </w:rPr>
      </w:pPr>
    </w:p>
    <w:p w14:paraId="7579BF9D" w14:textId="77777777" w:rsidR="00C54890" w:rsidRPr="00901F03" w:rsidRDefault="009F54AF" w:rsidP="00901F03">
      <w:pPr>
        <w:tabs>
          <w:tab w:val="left" w:pos="8640"/>
        </w:tabs>
        <w:ind w:right="653"/>
        <w:rPr>
          <w:szCs w:val="24"/>
        </w:rPr>
      </w:pPr>
      <w:r>
        <w:rPr>
          <w:szCs w:val="24"/>
        </w:rPr>
        <w:t xml:space="preserve">            </w:t>
      </w:r>
      <w:r w:rsidR="00C54890" w:rsidRPr="00901F03">
        <w:rPr>
          <w:szCs w:val="24"/>
        </w:rPr>
        <w:t xml:space="preserve">The information collection will be conducted in a manner consistent with 5 CFR </w:t>
      </w:r>
      <w:r>
        <w:rPr>
          <w:szCs w:val="24"/>
        </w:rPr>
        <w:t>p</w:t>
      </w:r>
      <w:r w:rsidR="00C54890" w:rsidRPr="00901F03">
        <w:rPr>
          <w:szCs w:val="24"/>
        </w:rPr>
        <w:t>art 1320.</w:t>
      </w:r>
    </w:p>
    <w:p w14:paraId="5AB8E657" w14:textId="77777777" w:rsidR="00C54890" w:rsidRPr="00901F03" w:rsidRDefault="00C54890" w:rsidP="00901F03">
      <w:pPr>
        <w:pStyle w:val="BodyText"/>
        <w:tabs>
          <w:tab w:val="left" w:pos="8640"/>
        </w:tabs>
        <w:ind w:right="653"/>
        <w:rPr>
          <w:b/>
          <w:bCs/>
          <w:i w:val="0"/>
          <w:szCs w:val="24"/>
        </w:rPr>
      </w:pPr>
    </w:p>
    <w:p w14:paraId="02697EA3" w14:textId="77777777" w:rsidR="00C54890" w:rsidRPr="00520545" w:rsidRDefault="00C54890" w:rsidP="00901F03">
      <w:pPr>
        <w:pStyle w:val="BodyText"/>
        <w:tabs>
          <w:tab w:val="left" w:pos="8640"/>
        </w:tabs>
        <w:ind w:right="653"/>
        <w:rPr>
          <w:iCs w:val="0"/>
          <w:szCs w:val="24"/>
        </w:rPr>
      </w:pPr>
      <w:r w:rsidRPr="00520545">
        <w:rPr>
          <w:b/>
          <w:bCs/>
          <w:szCs w:val="24"/>
        </w:rPr>
        <w:t>8.  Efforts to consult with persons outside the agency:</w:t>
      </w:r>
      <w:r w:rsidRPr="00520545">
        <w:rPr>
          <w:iCs w:val="0"/>
          <w:szCs w:val="24"/>
        </w:rPr>
        <w:t xml:space="preserve">  </w:t>
      </w:r>
    </w:p>
    <w:p w14:paraId="242BDD54" w14:textId="77777777" w:rsidR="00C54890" w:rsidRDefault="00C54890" w:rsidP="00901F03">
      <w:pPr>
        <w:tabs>
          <w:tab w:val="left" w:pos="8640"/>
        </w:tabs>
        <w:autoSpaceDE w:val="0"/>
        <w:autoSpaceDN w:val="0"/>
        <w:adjustRightInd w:val="0"/>
        <w:ind w:right="653"/>
        <w:rPr>
          <w:szCs w:val="24"/>
        </w:rPr>
      </w:pPr>
    </w:p>
    <w:p w14:paraId="41D69624" w14:textId="77777777" w:rsidR="00B72446" w:rsidRPr="00901F03" w:rsidRDefault="009F54AF" w:rsidP="00901F03">
      <w:pPr>
        <w:tabs>
          <w:tab w:val="left" w:pos="8640"/>
        </w:tabs>
        <w:autoSpaceDE w:val="0"/>
        <w:autoSpaceDN w:val="0"/>
        <w:adjustRightInd w:val="0"/>
        <w:ind w:right="653"/>
        <w:rPr>
          <w:szCs w:val="24"/>
        </w:rPr>
      </w:pPr>
      <w:r>
        <w:rPr>
          <w:szCs w:val="24"/>
        </w:rPr>
        <w:t xml:space="preserve">            </w:t>
      </w:r>
      <w:r w:rsidR="00B72446">
        <w:rPr>
          <w:szCs w:val="24"/>
        </w:rPr>
        <w:t xml:space="preserve">The OCC issued a notice for 60 days of comment regarding this collection on _____ __, 2017.  __ </w:t>
      </w:r>
      <w:proofErr w:type="gramStart"/>
      <w:r w:rsidR="00B72446">
        <w:rPr>
          <w:szCs w:val="24"/>
        </w:rPr>
        <w:t>comments</w:t>
      </w:r>
      <w:proofErr w:type="gramEnd"/>
      <w:r w:rsidR="00B72446">
        <w:rPr>
          <w:szCs w:val="24"/>
        </w:rPr>
        <w:t xml:space="preserve"> were received.</w:t>
      </w:r>
    </w:p>
    <w:p w14:paraId="604ABD84" w14:textId="77777777" w:rsidR="00C54890" w:rsidRPr="00901F03" w:rsidRDefault="00C54890" w:rsidP="00901F03">
      <w:pPr>
        <w:tabs>
          <w:tab w:val="left" w:pos="8640"/>
        </w:tabs>
        <w:ind w:right="653"/>
        <w:rPr>
          <w:szCs w:val="24"/>
        </w:rPr>
      </w:pPr>
    </w:p>
    <w:p w14:paraId="2E555402" w14:textId="77777777" w:rsidR="00C54890" w:rsidRPr="00520545" w:rsidRDefault="00C54890" w:rsidP="00901F03">
      <w:pPr>
        <w:pStyle w:val="BodyText"/>
        <w:tabs>
          <w:tab w:val="left" w:pos="8640"/>
        </w:tabs>
        <w:ind w:right="653"/>
        <w:rPr>
          <w:b/>
          <w:bCs/>
          <w:szCs w:val="24"/>
        </w:rPr>
      </w:pPr>
      <w:r w:rsidRPr="00520545">
        <w:rPr>
          <w:b/>
          <w:bCs/>
          <w:szCs w:val="24"/>
        </w:rPr>
        <w:t>9.  Payment or gift to respondents:</w:t>
      </w:r>
    </w:p>
    <w:p w14:paraId="1A84AF83" w14:textId="77777777" w:rsidR="00C54890" w:rsidRPr="00901F03" w:rsidRDefault="00C54890" w:rsidP="00901F03">
      <w:pPr>
        <w:tabs>
          <w:tab w:val="left" w:pos="8640"/>
        </w:tabs>
        <w:ind w:right="653"/>
        <w:rPr>
          <w:szCs w:val="24"/>
        </w:rPr>
      </w:pPr>
    </w:p>
    <w:p w14:paraId="6F4E05CF" w14:textId="77777777" w:rsidR="00C54890" w:rsidRPr="00901F03" w:rsidRDefault="00E550CF" w:rsidP="00901F03">
      <w:pPr>
        <w:tabs>
          <w:tab w:val="left" w:pos="8640"/>
        </w:tabs>
        <w:ind w:right="653"/>
        <w:rPr>
          <w:szCs w:val="24"/>
        </w:rPr>
      </w:pPr>
      <w:r>
        <w:rPr>
          <w:szCs w:val="24"/>
        </w:rPr>
        <w:t xml:space="preserve">            </w:t>
      </w:r>
      <w:r w:rsidR="00C54890" w:rsidRPr="00901F03">
        <w:rPr>
          <w:szCs w:val="24"/>
        </w:rPr>
        <w:t>None.</w:t>
      </w:r>
    </w:p>
    <w:p w14:paraId="1F41D282" w14:textId="77777777" w:rsidR="00C54890" w:rsidRPr="00901F03" w:rsidRDefault="00C54890" w:rsidP="00901F03">
      <w:pPr>
        <w:tabs>
          <w:tab w:val="left" w:pos="8640"/>
        </w:tabs>
        <w:ind w:right="653"/>
        <w:rPr>
          <w:szCs w:val="24"/>
        </w:rPr>
      </w:pPr>
    </w:p>
    <w:p w14:paraId="3B3585E4" w14:textId="77777777" w:rsidR="00C54890" w:rsidRPr="00520545" w:rsidRDefault="00C54890" w:rsidP="00901F03">
      <w:pPr>
        <w:pStyle w:val="BodyText"/>
        <w:tabs>
          <w:tab w:val="left" w:pos="8640"/>
        </w:tabs>
        <w:ind w:right="653"/>
        <w:rPr>
          <w:b/>
          <w:bCs/>
          <w:szCs w:val="24"/>
        </w:rPr>
      </w:pPr>
      <w:r w:rsidRPr="00520545">
        <w:rPr>
          <w:b/>
          <w:bCs/>
          <w:szCs w:val="24"/>
        </w:rPr>
        <w:t>10.  Any assurance of confidentiality:</w:t>
      </w:r>
    </w:p>
    <w:p w14:paraId="0F5E4C4E" w14:textId="77777777" w:rsidR="00C54890" w:rsidRPr="00901F03" w:rsidRDefault="00C54890" w:rsidP="00901F03">
      <w:pPr>
        <w:tabs>
          <w:tab w:val="left" w:pos="8640"/>
        </w:tabs>
        <w:ind w:right="653"/>
        <w:rPr>
          <w:szCs w:val="24"/>
        </w:rPr>
      </w:pPr>
    </w:p>
    <w:p w14:paraId="2FA202F6" w14:textId="77777777" w:rsidR="00C54890" w:rsidRPr="00901F03" w:rsidRDefault="00E550CF" w:rsidP="00901F03">
      <w:pPr>
        <w:tabs>
          <w:tab w:val="left" w:pos="8640"/>
        </w:tabs>
        <w:ind w:right="653"/>
        <w:rPr>
          <w:szCs w:val="24"/>
        </w:rPr>
      </w:pPr>
      <w:r>
        <w:rPr>
          <w:szCs w:val="24"/>
        </w:rPr>
        <w:t xml:space="preserve">            </w:t>
      </w:r>
      <w:r w:rsidR="00C54890" w:rsidRPr="00901F03">
        <w:rPr>
          <w:szCs w:val="24"/>
        </w:rPr>
        <w:t xml:space="preserve">The information will be kept </w:t>
      </w:r>
      <w:r w:rsidR="00E877DE" w:rsidRPr="00901F03">
        <w:rPr>
          <w:szCs w:val="24"/>
        </w:rPr>
        <w:t>private to the extent permitted by law.</w:t>
      </w:r>
    </w:p>
    <w:p w14:paraId="75585ACD" w14:textId="77777777" w:rsidR="00C54890" w:rsidRPr="00901F03" w:rsidRDefault="00C54890" w:rsidP="00901F03">
      <w:pPr>
        <w:tabs>
          <w:tab w:val="left" w:pos="8640"/>
        </w:tabs>
        <w:ind w:right="653"/>
        <w:rPr>
          <w:szCs w:val="24"/>
        </w:rPr>
      </w:pPr>
    </w:p>
    <w:p w14:paraId="59A05698" w14:textId="77777777" w:rsidR="00C54890" w:rsidRPr="00E65B34" w:rsidRDefault="00C54890" w:rsidP="00901F03">
      <w:pPr>
        <w:pStyle w:val="BodyText"/>
        <w:tabs>
          <w:tab w:val="left" w:pos="8640"/>
        </w:tabs>
        <w:ind w:right="653"/>
        <w:rPr>
          <w:b/>
          <w:bCs/>
          <w:szCs w:val="24"/>
        </w:rPr>
      </w:pPr>
      <w:r w:rsidRPr="00E65B34">
        <w:rPr>
          <w:b/>
          <w:bCs/>
          <w:szCs w:val="24"/>
        </w:rPr>
        <w:t>11.  Justification for questions of a sensitive nature:</w:t>
      </w:r>
    </w:p>
    <w:p w14:paraId="7726E340" w14:textId="77777777" w:rsidR="00C54890" w:rsidRPr="00901F03" w:rsidRDefault="00C54890" w:rsidP="00901F03">
      <w:pPr>
        <w:tabs>
          <w:tab w:val="left" w:pos="8640"/>
        </w:tabs>
        <w:ind w:right="653"/>
        <w:rPr>
          <w:szCs w:val="24"/>
        </w:rPr>
      </w:pPr>
    </w:p>
    <w:p w14:paraId="29E90CE1" w14:textId="77777777" w:rsidR="00C54890" w:rsidRPr="00901F03" w:rsidRDefault="00E550CF" w:rsidP="00901F03">
      <w:pPr>
        <w:tabs>
          <w:tab w:val="left" w:pos="8640"/>
        </w:tabs>
        <w:ind w:right="653"/>
        <w:rPr>
          <w:szCs w:val="24"/>
        </w:rPr>
      </w:pPr>
      <w:r>
        <w:rPr>
          <w:szCs w:val="24"/>
        </w:rPr>
        <w:t xml:space="preserve">            </w:t>
      </w:r>
      <w:r w:rsidR="00C54890" w:rsidRPr="00901F03">
        <w:rPr>
          <w:szCs w:val="24"/>
        </w:rPr>
        <w:t xml:space="preserve">There are no </w:t>
      </w:r>
      <w:r w:rsidR="00D61564" w:rsidRPr="00901F03">
        <w:rPr>
          <w:szCs w:val="24"/>
        </w:rPr>
        <w:t>questions of a sensitive nature in the information collection.</w:t>
      </w:r>
    </w:p>
    <w:p w14:paraId="6C9FECAD" w14:textId="77777777" w:rsidR="00EF6C35" w:rsidRDefault="00EF6C35" w:rsidP="00901F03">
      <w:pPr>
        <w:rPr>
          <w:b/>
          <w:bCs/>
          <w:szCs w:val="24"/>
        </w:rPr>
      </w:pPr>
    </w:p>
    <w:p w14:paraId="4E4799FD" w14:textId="77777777" w:rsidR="00A61077" w:rsidRPr="00E65B34" w:rsidRDefault="00C54890" w:rsidP="00901F03">
      <w:pPr>
        <w:rPr>
          <w:b/>
          <w:bCs/>
          <w:i/>
          <w:szCs w:val="24"/>
        </w:rPr>
      </w:pPr>
      <w:r w:rsidRPr="00E65B34">
        <w:rPr>
          <w:b/>
          <w:bCs/>
          <w:i/>
          <w:szCs w:val="24"/>
        </w:rPr>
        <w:t>12.  Burden estimate:</w:t>
      </w:r>
    </w:p>
    <w:p w14:paraId="2BEB638A" w14:textId="77777777" w:rsidR="00901F03" w:rsidRPr="00901F03" w:rsidRDefault="00901F03" w:rsidP="00901F03">
      <w:pPr>
        <w:rPr>
          <w:b/>
          <w:bCs/>
          <w:i/>
          <w:szCs w:val="24"/>
        </w:rPr>
      </w:pPr>
    </w:p>
    <w:p w14:paraId="00567CCE" w14:textId="3C9754BC" w:rsidR="00901F03" w:rsidRDefault="00E550CF" w:rsidP="00901F03">
      <w:pPr>
        <w:spacing w:after="240"/>
        <w:contextualSpacing/>
        <w:rPr>
          <w:rStyle w:val="documentbody1"/>
          <w:rFonts w:ascii="Times New Roman" w:hAnsi="Times New Roman"/>
          <w:sz w:val="24"/>
          <w:szCs w:val="24"/>
        </w:rPr>
      </w:pPr>
      <w:r w:rsidRPr="00E550CF">
        <w:rPr>
          <w:rStyle w:val="documentbody1"/>
          <w:rFonts w:ascii="Times New Roman" w:hAnsi="Times New Roman"/>
          <w:sz w:val="24"/>
          <w:szCs w:val="24"/>
        </w:rPr>
        <w:t xml:space="preserve">             </w:t>
      </w:r>
      <w:r w:rsidR="00901F03" w:rsidRPr="00901F03">
        <w:rPr>
          <w:rStyle w:val="documentbody1"/>
          <w:rFonts w:ascii="Times New Roman" w:hAnsi="Times New Roman"/>
          <w:sz w:val="24"/>
          <w:szCs w:val="24"/>
          <w:u w:val="single"/>
        </w:rPr>
        <w:t>Number of respondents</w:t>
      </w:r>
      <w:r w:rsidR="00DE25C2">
        <w:rPr>
          <w:rStyle w:val="documentbody1"/>
          <w:rFonts w:ascii="Times New Roman" w:hAnsi="Times New Roman"/>
          <w:sz w:val="24"/>
          <w:szCs w:val="24"/>
        </w:rPr>
        <w:t>:  15</w:t>
      </w:r>
      <w:r w:rsidR="00901F03" w:rsidRPr="00901F03">
        <w:rPr>
          <w:rStyle w:val="documentbody1"/>
          <w:rFonts w:ascii="Times New Roman" w:hAnsi="Times New Roman"/>
          <w:sz w:val="24"/>
          <w:szCs w:val="24"/>
        </w:rPr>
        <w:t>.</w:t>
      </w:r>
    </w:p>
    <w:p w14:paraId="10FE8BE2" w14:textId="77777777" w:rsidR="000972C0" w:rsidRPr="00901F03" w:rsidRDefault="000972C0" w:rsidP="00901F03">
      <w:pPr>
        <w:spacing w:after="240"/>
        <w:contextualSpacing/>
        <w:rPr>
          <w:rStyle w:val="documentbody1"/>
          <w:rFonts w:ascii="Times New Roman" w:hAnsi="Times New Roman"/>
          <w:sz w:val="24"/>
          <w:szCs w:val="24"/>
        </w:rPr>
      </w:pPr>
    </w:p>
    <w:p w14:paraId="1049148E" w14:textId="77777777" w:rsidR="00901F03" w:rsidRDefault="00E550CF" w:rsidP="00901F03">
      <w:pPr>
        <w:spacing w:after="240"/>
        <w:contextualSpacing/>
        <w:rPr>
          <w:rStyle w:val="documentbody1"/>
          <w:rFonts w:ascii="Times New Roman" w:hAnsi="Times New Roman"/>
          <w:sz w:val="24"/>
          <w:szCs w:val="24"/>
        </w:rPr>
      </w:pPr>
      <w:r w:rsidRPr="00E550CF">
        <w:rPr>
          <w:rStyle w:val="documentbody1"/>
          <w:rFonts w:ascii="Times New Roman" w:hAnsi="Times New Roman"/>
          <w:sz w:val="24"/>
          <w:szCs w:val="24"/>
        </w:rPr>
        <w:t xml:space="preserve">             </w:t>
      </w:r>
      <w:r w:rsidR="00901F03" w:rsidRPr="00901F03">
        <w:rPr>
          <w:rStyle w:val="documentbody1"/>
          <w:rFonts w:ascii="Times New Roman" w:hAnsi="Times New Roman"/>
          <w:sz w:val="24"/>
          <w:szCs w:val="24"/>
          <w:u w:val="single"/>
        </w:rPr>
        <w:t>Estimated burden per respondent</w:t>
      </w:r>
      <w:r w:rsidR="00901F03" w:rsidRPr="00901F03">
        <w:rPr>
          <w:rStyle w:val="documentbody1"/>
          <w:rFonts w:ascii="Times New Roman" w:hAnsi="Times New Roman"/>
          <w:sz w:val="24"/>
          <w:szCs w:val="24"/>
        </w:rPr>
        <w:t>:  5 hours.</w:t>
      </w:r>
    </w:p>
    <w:p w14:paraId="5EA636F3" w14:textId="77777777" w:rsidR="000972C0" w:rsidRDefault="000972C0" w:rsidP="00901F03">
      <w:pPr>
        <w:spacing w:after="240"/>
        <w:contextualSpacing/>
        <w:rPr>
          <w:rStyle w:val="documentbody1"/>
          <w:rFonts w:ascii="Times New Roman" w:hAnsi="Times New Roman"/>
          <w:sz w:val="24"/>
          <w:szCs w:val="24"/>
        </w:rPr>
      </w:pPr>
    </w:p>
    <w:p w14:paraId="2996F07C" w14:textId="77777777" w:rsidR="000972C0" w:rsidRDefault="00E550CF" w:rsidP="00901F03">
      <w:pPr>
        <w:spacing w:after="240"/>
        <w:contextualSpacing/>
        <w:rPr>
          <w:rStyle w:val="documentbody1"/>
          <w:rFonts w:ascii="Times New Roman" w:hAnsi="Times New Roman"/>
          <w:sz w:val="24"/>
          <w:szCs w:val="24"/>
        </w:rPr>
      </w:pPr>
      <w:r w:rsidRPr="00E550CF">
        <w:rPr>
          <w:rStyle w:val="documentbody1"/>
          <w:rFonts w:ascii="Times New Roman" w:hAnsi="Times New Roman"/>
          <w:sz w:val="24"/>
          <w:szCs w:val="24"/>
        </w:rPr>
        <w:t xml:space="preserve">             </w:t>
      </w:r>
      <w:r w:rsidR="000972C0" w:rsidRPr="000972C0">
        <w:rPr>
          <w:rStyle w:val="documentbody1"/>
          <w:rFonts w:ascii="Times New Roman" w:hAnsi="Times New Roman"/>
          <w:sz w:val="24"/>
          <w:szCs w:val="24"/>
          <w:u w:val="single"/>
        </w:rPr>
        <w:t>Estimated frequency of response</w:t>
      </w:r>
      <w:r w:rsidR="000972C0">
        <w:rPr>
          <w:rStyle w:val="documentbody1"/>
          <w:rFonts w:ascii="Times New Roman" w:hAnsi="Times New Roman"/>
          <w:sz w:val="24"/>
          <w:szCs w:val="24"/>
        </w:rPr>
        <w:t>:  Quarterly.</w:t>
      </w:r>
    </w:p>
    <w:p w14:paraId="1E9499CB" w14:textId="77777777" w:rsidR="000972C0" w:rsidRPr="00901F03" w:rsidRDefault="000972C0" w:rsidP="00901F03">
      <w:pPr>
        <w:spacing w:after="240"/>
        <w:contextualSpacing/>
        <w:rPr>
          <w:rStyle w:val="documentbody1"/>
          <w:rFonts w:ascii="Times New Roman" w:hAnsi="Times New Roman"/>
          <w:sz w:val="24"/>
          <w:szCs w:val="24"/>
        </w:rPr>
      </w:pPr>
    </w:p>
    <w:p w14:paraId="45DCC4EE" w14:textId="170C2BF1" w:rsidR="00903E12" w:rsidRDefault="00E550CF" w:rsidP="00901F03">
      <w:pPr>
        <w:spacing w:after="240"/>
        <w:contextualSpacing/>
        <w:rPr>
          <w:rStyle w:val="documentbody1"/>
          <w:rFonts w:ascii="Times New Roman" w:hAnsi="Times New Roman"/>
          <w:sz w:val="24"/>
          <w:szCs w:val="24"/>
        </w:rPr>
      </w:pPr>
      <w:r w:rsidRPr="00E550CF">
        <w:rPr>
          <w:rStyle w:val="documentbody1"/>
          <w:rFonts w:ascii="Times New Roman" w:hAnsi="Times New Roman"/>
          <w:sz w:val="24"/>
          <w:szCs w:val="24"/>
        </w:rPr>
        <w:t xml:space="preserve">             </w:t>
      </w:r>
      <w:r w:rsidR="00901F03" w:rsidRPr="00901F03">
        <w:rPr>
          <w:rStyle w:val="documentbody1"/>
          <w:rFonts w:ascii="Times New Roman" w:hAnsi="Times New Roman"/>
          <w:sz w:val="24"/>
          <w:szCs w:val="24"/>
          <w:u w:val="single"/>
        </w:rPr>
        <w:t>Total estimated annual burden</w:t>
      </w:r>
      <w:r w:rsidR="00901F03" w:rsidRPr="00901F03">
        <w:rPr>
          <w:rStyle w:val="documentbody1"/>
          <w:rFonts w:ascii="Times New Roman" w:hAnsi="Times New Roman"/>
          <w:sz w:val="24"/>
          <w:szCs w:val="24"/>
        </w:rPr>
        <w:t xml:space="preserve">:  </w:t>
      </w:r>
      <w:r w:rsidR="00DE25C2">
        <w:rPr>
          <w:iCs/>
          <w:szCs w:val="24"/>
        </w:rPr>
        <w:t>300</w:t>
      </w:r>
      <w:r w:rsidR="00901F03" w:rsidRPr="00901F03">
        <w:rPr>
          <w:rStyle w:val="documentbody1"/>
          <w:rFonts w:ascii="Times New Roman" w:hAnsi="Times New Roman"/>
          <w:sz w:val="24"/>
          <w:szCs w:val="24"/>
        </w:rPr>
        <w:t xml:space="preserve"> hours.</w:t>
      </w:r>
    </w:p>
    <w:p w14:paraId="417BC38A" w14:textId="77777777" w:rsidR="00901F03" w:rsidRPr="00901F03" w:rsidRDefault="00901F03" w:rsidP="00901F03">
      <w:pPr>
        <w:spacing w:after="240"/>
        <w:contextualSpacing/>
        <w:rPr>
          <w:i/>
          <w:szCs w:val="24"/>
        </w:rPr>
      </w:pPr>
    </w:p>
    <w:p w14:paraId="4409603F" w14:textId="77777777" w:rsidR="00C54890" w:rsidRDefault="00C54890" w:rsidP="00903E12">
      <w:pPr>
        <w:rPr>
          <w:b/>
          <w:bCs/>
          <w:iCs/>
          <w:szCs w:val="24"/>
        </w:rPr>
      </w:pPr>
      <w:r w:rsidRPr="00A6703F">
        <w:rPr>
          <w:b/>
          <w:bCs/>
          <w:iCs/>
          <w:szCs w:val="24"/>
        </w:rPr>
        <w:t>Cost to Respondents:</w:t>
      </w:r>
    </w:p>
    <w:p w14:paraId="36BE25EE" w14:textId="77777777" w:rsidR="008A1AB9" w:rsidRDefault="008A1AB9" w:rsidP="00903E12">
      <w:pPr>
        <w:rPr>
          <w:b/>
          <w:bCs/>
          <w:iCs/>
          <w:szCs w:val="24"/>
        </w:rPr>
      </w:pPr>
    </w:p>
    <w:p w14:paraId="37C1FB85" w14:textId="3F608D6F" w:rsidR="008A1AB9" w:rsidRPr="00903E12" w:rsidRDefault="00DE25C2" w:rsidP="00903E12">
      <w:pPr>
        <w:rPr>
          <w:bCs/>
        </w:rPr>
      </w:pPr>
      <w:r>
        <w:rPr>
          <w:bCs/>
          <w:iCs/>
          <w:szCs w:val="24"/>
        </w:rPr>
        <w:t>300</w:t>
      </w:r>
      <w:r w:rsidR="002259CA">
        <w:rPr>
          <w:bCs/>
          <w:iCs/>
          <w:szCs w:val="24"/>
        </w:rPr>
        <w:t xml:space="preserve"> hours x $107</w:t>
      </w:r>
      <w:r w:rsidR="008A1AB9" w:rsidRPr="008A1AB9">
        <w:rPr>
          <w:bCs/>
          <w:iCs/>
          <w:szCs w:val="24"/>
        </w:rPr>
        <w:t xml:space="preserve"> =</w:t>
      </w:r>
      <w:r w:rsidR="002259CA">
        <w:rPr>
          <w:b/>
          <w:bCs/>
          <w:iCs/>
          <w:szCs w:val="24"/>
        </w:rPr>
        <w:t xml:space="preserve"> $</w:t>
      </w:r>
      <w:r>
        <w:rPr>
          <w:b/>
          <w:bCs/>
          <w:iCs/>
          <w:szCs w:val="24"/>
        </w:rPr>
        <w:t>32,100</w:t>
      </w:r>
    </w:p>
    <w:p w14:paraId="27DAF1EA" w14:textId="77777777" w:rsidR="00C54890" w:rsidRPr="00A6703F" w:rsidRDefault="00C54890" w:rsidP="005F7576">
      <w:pPr>
        <w:tabs>
          <w:tab w:val="left" w:pos="8640"/>
        </w:tabs>
        <w:ind w:right="653"/>
        <w:rPr>
          <w:b/>
          <w:bCs/>
          <w:szCs w:val="24"/>
        </w:rPr>
      </w:pPr>
    </w:p>
    <w:p w14:paraId="157F5442" w14:textId="77777777" w:rsidR="002259CA" w:rsidRDefault="002259CA" w:rsidP="002259CA">
      <w:pPr>
        <w:rPr>
          <w:szCs w:val="24"/>
        </w:rPr>
      </w:pPr>
      <w:r w:rsidRPr="00596CA3">
        <w:rPr>
          <w:szCs w:val="24"/>
        </w:rPr>
        <w:t>To estimate average hourly wages we reviewed data from May 201</w:t>
      </w:r>
      <w:r>
        <w:rPr>
          <w:szCs w:val="24"/>
        </w:rPr>
        <w:t>5</w:t>
      </w:r>
      <w:r w:rsidRPr="00596CA3">
        <w:rPr>
          <w:szCs w:val="24"/>
        </w:rPr>
        <w:t xml:space="preserve"> </w:t>
      </w:r>
      <w:r>
        <w:rPr>
          <w:szCs w:val="24"/>
        </w:rPr>
        <w:t xml:space="preserve">(released in March 2016) </w:t>
      </w:r>
      <w:r w:rsidRPr="00596CA3">
        <w:rPr>
          <w:szCs w:val="24"/>
        </w:rPr>
        <w:t>for wages (by industry and occupation) from the U.S. Bureau of Labor Statistics (BLS) for depository credit intermediation (NAICS 522100).  To estimate compensation costs assoc</w:t>
      </w:r>
      <w:r>
        <w:rPr>
          <w:szCs w:val="24"/>
        </w:rPr>
        <w:t>iated with the rule, we use $107</w:t>
      </w:r>
      <w:r w:rsidRPr="00596CA3">
        <w:rPr>
          <w:szCs w:val="24"/>
        </w:rPr>
        <w:t xml:space="preserve"> per hour, which is based on the average of the 90th percentile for seven occupations adjusted for inflation (2 percent), plus an additional 30 percent to cover private sector benefits.  Thirty percent represents the average private sector costs of employee benefits.  </w:t>
      </w:r>
    </w:p>
    <w:p w14:paraId="50D02EEF" w14:textId="77777777" w:rsidR="00A82649" w:rsidRPr="008A1AB9" w:rsidRDefault="00A82649" w:rsidP="00C30C6A">
      <w:pPr>
        <w:rPr>
          <w:szCs w:val="24"/>
        </w:rPr>
      </w:pPr>
    </w:p>
    <w:p w14:paraId="5DA56130" w14:textId="77777777" w:rsidR="00C54890" w:rsidRPr="00E65B34" w:rsidRDefault="00C54890" w:rsidP="005F7576">
      <w:pPr>
        <w:pStyle w:val="BodyText"/>
        <w:tabs>
          <w:tab w:val="left" w:pos="8640"/>
        </w:tabs>
        <w:ind w:right="653"/>
        <w:rPr>
          <w:b/>
          <w:bCs/>
          <w:szCs w:val="24"/>
        </w:rPr>
      </w:pPr>
      <w:r w:rsidRPr="00E65B34">
        <w:rPr>
          <w:b/>
          <w:bCs/>
          <w:szCs w:val="24"/>
        </w:rPr>
        <w:t>13.  Estimate of total annual costs to respondents (excluding cost of hour burden in Item #12):</w:t>
      </w:r>
    </w:p>
    <w:p w14:paraId="2C8E4A87" w14:textId="77777777" w:rsidR="00EF6C35" w:rsidRPr="00E65B34" w:rsidRDefault="00EF6C35" w:rsidP="00EF6C35">
      <w:pPr>
        <w:ind w:firstLine="720"/>
        <w:contextualSpacing/>
        <w:rPr>
          <w:i/>
          <w:szCs w:val="24"/>
        </w:rPr>
      </w:pPr>
    </w:p>
    <w:p w14:paraId="69CDD995" w14:textId="16015AC1" w:rsidR="00EF6C35" w:rsidRPr="00901F03" w:rsidRDefault="00E550CF" w:rsidP="00EF6C35">
      <w:pPr>
        <w:contextualSpacing/>
        <w:rPr>
          <w:szCs w:val="24"/>
        </w:rPr>
      </w:pPr>
      <w:r>
        <w:rPr>
          <w:rStyle w:val="documentbody1"/>
          <w:rFonts w:ascii="Times New Roman" w:hAnsi="Times New Roman"/>
          <w:sz w:val="24"/>
          <w:szCs w:val="24"/>
        </w:rPr>
        <w:t xml:space="preserve">            </w:t>
      </w:r>
      <w:r w:rsidR="00EF6C35" w:rsidRPr="00901F03">
        <w:rPr>
          <w:rStyle w:val="documentbody1"/>
          <w:rFonts w:ascii="Times New Roman" w:hAnsi="Times New Roman"/>
          <w:sz w:val="24"/>
          <w:szCs w:val="24"/>
        </w:rPr>
        <w:t>The agencies do not anticipate an</w:t>
      </w:r>
      <w:r w:rsidR="00065A3C">
        <w:rPr>
          <w:rStyle w:val="documentbody1"/>
          <w:rFonts w:ascii="Times New Roman" w:hAnsi="Times New Roman"/>
          <w:sz w:val="24"/>
          <w:szCs w:val="24"/>
        </w:rPr>
        <w:t>y</w:t>
      </w:r>
      <w:r w:rsidR="00EF6C35" w:rsidRPr="00901F03">
        <w:rPr>
          <w:rStyle w:val="documentbody1"/>
          <w:rFonts w:ascii="Times New Roman" w:hAnsi="Times New Roman"/>
          <w:sz w:val="24"/>
          <w:szCs w:val="24"/>
        </w:rPr>
        <w:t xml:space="preserve"> additional initial setup burden for complying with the disclosure requirements because advanced approaches </w:t>
      </w:r>
      <w:r w:rsidR="00EF6C35" w:rsidRPr="00901F03">
        <w:rPr>
          <w:szCs w:val="24"/>
        </w:rPr>
        <w:t>banking organizations are already subject to reporting the supplementary leverage ratio on the applicable regulatory reports</w:t>
      </w:r>
      <w:r w:rsidR="00EF6C35" w:rsidRPr="00901F03">
        <w:rPr>
          <w:rFonts w:eastAsia="Arial Unicode MS"/>
          <w:szCs w:val="24"/>
        </w:rPr>
        <w:t>.</w:t>
      </w:r>
    </w:p>
    <w:p w14:paraId="19212058" w14:textId="77777777" w:rsidR="00196EA5" w:rsidRPr="00A6703F" w:rsidRDefault="00196EA5" w:rsidP="005F7576">
      <w:pPr>
        <w:tabs>
          <w:tab w:val="left" w:pos="8640"/>
        </w:tabs>
        <w:ind w:right="653"/>
        <w:rPr>
          <w:szCs w:val="24"/>
        </w:rPr>
      </w:pPr>
    </w:p>
    <w:p w14:paraId="26E28312" w14:textId="02EEA81B" w:rsidR="00C54890" w:rsidRPr="00E65B34" w:rsidRDefault="00C54890" w:rsidP="005F7576">
      <w:pPr>
        <w:pStyle w:val="BodyText"/>
        <w:tabs>
          <w:tab w:val="left" w:pos="8640"/>
        </w:tabs>
        <w:ind w:right="653"/>
        <w:rPr>
          <w:b/>
          <w:bCs/>
          <w:szCs w:val="24"/>
        </w:rPr>
      </w:pPr>
      <w:r w:rsidRPr="00E65B34">
        <w:rPr>
          <w:b/>
          <w:bCs/>
          <w:szCs w:val="24"/>
        </w:rPr>
        <w:t xml:space="preserve">14.  Estimate of annualized costs to the </w:t>
      </w:r>
      <w:r w:rsidR="00835CF0">
        <w:rPr>
          <w:b/>
          <w:bCs/>
          <w:szCs w:val="24"/>
        </w:rPr>
        <w:t>f</w:t>
      </w:r>
      <w:r w:rsidRPr="00E65B34">
        <w:rPr>
          <w:b/>
          <w:bCs/>
          <w:szCs w:val="24"/>
        </w:rPr>
        <w:t>ederal government:</w:t>
      </w:r>
    </w:p>
    <w:p w14:paraId="5ACB1EBB" w14:textId="77777777" w:rsidR="00C54890" w:rsidRPr="00A6703F" w:rsidRDefault="00C54890" w:rsidP="005F7576">
      <w:pPr>
        <w:pStyle w:val="Footer"/>
        <w:tabs>
          <w:tab w:val="clear" w:pos="4320"/>
          <w:tab w:val="left" w:pos="8640"/>
        </w:tabs>
        <w:ind w:right="653"/>
        <w:rPr>
          <w:szCs w:val="24"/>
        </w:rPr>
      </w:pPr>
    </w:p>
    <w:p w14:paraId="3D66D9EE" w14:textId="77777777" w:rsidR="00C54890" w:rsidRPr="00A6703F" w:rsidRDefault="00E550CF" w:rsidP="00C07C98">
      <w:pPr>
        <w:tabs>
          <w:tab w:val="left" w:pos="8640"/>
        </w:tabs>
        <w:ind w:right="653"/>
        <w:rPr>
          <w:szCs w:val="24"/>
        </w:rPr>
      </w:pPr>
      <w:r>
        <w:rPr>
          <w:szCs w:val="24"/>
        </w:rPr>
        <w:t xml:space="preserve">            </w:t>
      </w:r>
      <w:r w:rsidR="00C54890" w:rsidRPr="00A6703F">
        <w:rPr>
          <w:szCs w:val="24"/>
        </w:rPr>
        <w:t>Not applicable.</w:t>
      </w:r>
    </w:p>
    <w:p w14:paraId="2DC34BD0" w14:textId="77777777" w:rsidR="00C54890" w:rsidRPr="00A6703F" w:rsidRDefault="00C54890" w:rsidP="005F7576">
      <w:pPr>
        <w:pStyle w:val="BodyText"/>
        <w:tabs>
          <w:tab w:val="left" w:pos="8640"/>
        </w:tabs>
        <w:ind w:right="653"/>
        <w:rPr>
          <w:b/>
          <w:bCs/>
          <w:i w:val="0"/>
          <w:szCs w:val="24"/>
        </w:rPr>
      </w:pPr>
    </w:p>
    <w:p w14:paraId="384047ED" w14:textId="77777777" w:rsidR="00C54890" w:rsidRPr="00E65B34" w:rsidRDefault="00C54890" w:rsidP="005E61DD">
      <w:pPr>
        <w:rPr>
          <w:b/>
          <w:bCs/>
          <w:i/>
          <w:iCs/>
          <w:szCs w:val="24"/>
        </w:rPr>
      </w:pPr>
      <w:r w:rsidRPr="00E65B34">
        <w:rPr>
          <w:b/>
          <w:bCs/>
          <w:i/>
          <w:szCs w:val="24"/>
        </w:rPr>
        <w:t>15.  Change in burden:</w:t>
      </w:r>
    </w:p>
    <w:p w14:paraId="15140F04" w14:textId="77777777" w:rsidR="00C54890" w:rsidRDefault="00C54890" w:rsidP="005F7576">
      <w:pPr>
        <w:tabs>
          <w:tab w:val="left" w:pos="8640"/>
        </w:tabs>
        <w:ind w:right="653"/>
        <w:rPr>
          <w:szCs w:val="24"/>
        </w:rPr>
      </w:pPr>
    </w:p>
    <w:p w14:paraId="0A52F40E" w14:textId="4E20B219" w:rsidR="00346DD0" w:rsidRDefault="00346DD0" w:rsidP="005F7576">
      <w:pPr>
        <w:tabs>
          <w:tab w:val="left" w:pos="8640"/>
        </w:tabs>
        <w:ind w:right="653"/>
        <w:rPr>
          <w:szCs w:val="24"/>
        </w:rPr>
      </w:pPr>
      <w:r>
        <w:rPr>
          <w:szCs w:val="24"/>
        </w:rPr>
        <w:t>+ 1 Respondent; + 20 Hours</w:t>
      </w:r>
    </w:p>
    <w:p w14:paraId="2B696938" w14:textId="77777777" w:rsidR="00346DD0" w:rsidRDefault="00346DD0" w:rsidP="005F7576">
      <w:pPr>
        <w:tabs>
          <w:tab w:val="left" w:pos="8640"/>
        </w:tabs>
        <w:ind w:right="653"/>
        <w:rPr>
          <w:szCs w:val="24"/>
        </w:rPr>
      </w:pPr>
    </w:p>
    <w:p w14:paraId="5833B4A6" w14:textId="663B2F2C" w:rsidR="00346DD0" w:rsidRPr="00A6703F" w:rsidRDefault="00346DD0" w:rsidP="005F7576">
      <w:pPr>
        <w:tabs>
          <w:tab w:val="left" w:pos="8640"/>
        </w:tabs>
        <w:ind w:right="653"/>
        <w:rPr>
          <w:szCs w:val="24"/>
        </w:rPr>
      </w:pPr>
      <w:r>
        <w:rPr>
          <w:szCs w:val="24"/>
        </w:rPr>
        <w:t>The increase in burden is due to the increase in the number of banks</w:t>
      </w:r>
      <w:r w:rsidR="00E84D09">
        <w:rPr>
          <w:szCs w:val="24"/>
        </w:rPr>
        <w:t xml:space="preserve"> triggering the Advanced A</w:t>
      </w:r>
      <w:bookmarkStart w:id="0" w:name="_GoBack"/>
      <w:bookmarkEnd w:id="0"/>
      <w:r w:rsidR="00E84D09">
        <w:rPr>
          <w:szCs w:val="24"/>
        </w:rPr>
        <w:t>pproaches thresholds.</w:t>
      </w:r>
    </w:p>
    <w:p w14:paraId="3D90BD9B" w14:textId="77777777" w:rsidR="008E3647" w:rsidRPr="00A6703F" w:rsidRDefault="008E3647" w:rsidP="005F7576">
      <w:pPr>
        <w:tabs>
          <w:tab w:val="left" w:pos="8640"/>
        </w:tabs>
        <w:ind w:right="653"/>
        <w:rPr>
          <w:szCs w:val="24"/>
        </w:rPr>
      </w:pPr>
    </w:p>
    <w:p w14:paraId="74C6C324" w14:textId="77777777" w:rsidR="00C54890" w:rsidRPr="00E65B34" w:rsidRDefault="00C54890" w:rsidP="005F7576">
      <w:pPr>
        <w:pStyle w:val="BodyText"/>
        <w:tabs>
          <w:tab w:val="left" w:pos="8640"/>
        </w:tabs>
        <w:ind w:right="653"/>
        <w:rPr>
          <w:b/>
          <w:bCs/>
          <w:szCs w:val="24"/>
        </w:rPr>
      </w:pPr>
      <w:r w:rsidRPr="00E65B34">
        <w:rPr>
          <w:b/>
          <w:bCs/>
          <w:szCs w:val="24"/>
        </w:rPr>
        <w:t>16.  Information regarding collections whose results are to be published for statistical use:</w:t>
      </w:r>
    </w:p>
    <w:p w14:paraId="08392222" w14:textId="77777777" w:rsidR="00C54890" w:rsidRPr="00A6703F" w:rsidRDefault="00C54890" w:rsidP="005F7576">
      <w:pPr>
        <w:tabs>
          <w:tab w:val="left" w:pos="8640"/>
        </w:tabs>
        <w:ind w:right="653"/>
        <w:rPr>
          <w:szCs w:val="24"/>
        </w:rPr>
      </w:pPr>
    </w:p>
    <w:p w14:paraId="12DF351E" w14:textId="77777777" w:rsidR="00C54890" w:rsidRPr="00A6703F" w:rsidRDefault="00E550CF" w:rsidP="00C07C98">
      <w:pPr>
        <w:tabs>
          <w:tab w:val="left" w:pos="8640"/>
        </w:tabs>
        <w:ind w:right="653"/>
        <w:rPr>
          <w:szCs w:val="24"/>
        </w:rPr>
      </w:pPr>
      <w:r>
        <w:rPr>
          <w:szCs w:val="24"/>
        </w:rPr>
        <w:t xml:space="preserve">            </w:t>
      </w:r>
      <w:r w:rsidR="00C54890" w:rsidRPr="00A6703F">
        <w:rPr>
          <w:szCs w:val="24"/>
        </w:rPr>
        <w:t>The OCC has no plans to publish the information for statistical purposes.</w:t>
      </w:r>
    </w:p>
    <w:p w14:paraId="18056D4F" w14:textId="77777777" w:rsidR="00C54890" w:rsidRPr="00A6703F" w:rsidRDefault="00C54890" w:rsidP="005F7576">
      <w:pPr>
        <w:tabs>
          <w:tab w:val="left" w:pos="8640"/>
        </w:tabs>
        <w:ind w:right="653"/>
        <w:rPr>
          <w:szCs w:val="24"/>
        </w:rPr>
      </w:pPr>
    </w:p>
    <w:p w14:paraId="233F2606" w14:textId="77777777" w:rsidR="00C54890" w:rsidRPr="00E65B34" w:rsidRDefault="00C54890" w:rsidP="005F7576">
      <w:pPr>
        <w:pStyle w:val="BodyText"/>
        <w:tabs>
          <w:tab w:val="left" w:pos="8640"/>
        </w:tabs>
        <w:ind w:right="653"/>
        <w:rPr>
          <w:b/>
          <w:bCs/>
          <w:szCs w:val="24"/>
        </w:rPr>
      </w:pPr>
      <w:r w:rsidRPr="00E65B34">
        <w:rPr>
          <w:b/>
          <w:bCs/>
          <w:szCs w:val="24"/>
        </w:rPr>
        <w:t>17.  Reasons for not displaying OMB approval expiration date:</w:t>
      </w:r>
    </w:p>
    <w:p w14:paraId="48A2821B" w14:textId="77777777" w:rsidR="00C54890" w:rsidRPr="00A6703F" w:rsidRDefault="00C54890" w:rsidP="005F7576">
      <w:pPr>
        <w:tabs>
          <w:tab w:val="left" w:pos="8640"/>
        </w:tabs>
        <w:ind w:right="653"/>
        <w:rPr>
          <w:szCs w:val="24"/>
        </w:rPr>
      </w:pPr>
    </w:p>
    <w:p w14:paraId="1D661C0E" w14:textId="77777777" w:rsidR="00C54890" w:rsidRPr="00A6703F" w:rsidRDefault="00E550CF" w:rsidP="00C07C98">
      <w:pPr>
        <w:tabs>
          <w:tab w:val="left" w:pos="8640"/>
        </w:tabs>
        <w:ind w:right="653"/>
        <w:rPr>
          <w:szCs w:val="24"/>
        </w:rPr>
      </w:pPr>
      <w:r>
        <w:rPr>
          <w:szCs w:val="24"/>
        </w:rPr>
        <w:t xml:space="preserve">            </w:t>
      </w:r>
      <w:r w:rsidR="00C54890" w:rsidRPr="00A6703F">
        <w:rPr>
          <w:szCs w:val="24"/>
        </w:rPr>
        <w:t>The OCC is not requesting permission to not display the OMB approval expiration date.</w:t>
      </w:r>
    </w:p>
    <w:p w14:paraId="714EFB2E" w14:textId="77777777" w:rsidR="00C54890" w:rsidRPr="00A6703F" w:rsidRDefault="00C54890" w:rsidP="005F7576">
      <w:pPr>
        <w:tabs>
          <w:tab w:val="left" w:pos="8640"/>
        </w:tabs>
        <w:ind w:right="653"/>
        <w:rPr>
          <w:szCs w:val="24"/>
        </w:rPr>
      </w:pPr>
    </w:p>
    <w:p w14:paraId="7E071974" w14:textId="77777777" w:rsidR="00C54890" w:rsidRPr="00E65B34" w:rsidRDefault="00C54890" w:rsidP="005F7576">
      <w:pPr>
        <w:pStyle w:val="BodyText"/>
        <w:tabs>
          <w:tab w:val="left" w:pos="8640"/>
        </w:tabs>
        <w:ind w:right="653"/>
        <w:rPr>
          <w:b/>
          <w:bCs/>
          <w:szCs w:val="24"/>
        </w:rPr>
      </w:pPr>
      <w:r w:rsidRPr="00E65B34">
        <w:rPr>
          <w:b/>
          <w:bCs/>
          <w:szCs w:val="24"/>
        </w:rPr>
        <w:t>18.  Exceptions to the certification statement in Item 19 of OMB Form 83-I:</w:t>
      </w:r>
    </w:p>
    <w:p w14:paraId="7168802F" w14:textId="77777777" w:rsidR="00C54890" w:rsidRPr="00A6703F" w:rsidRDefault="00C54890" w:rsidP="005F7576">
      <w:pPr>
        <w:tabs>
          <w:tab w:val="left" w:pos="8640"/>
        </w:tabs>
        <w:ind w:right="653"/>
        <w:rPr>
          <w:szCs w:val="24"/>
        </w:rPr>
      </w:pPr>
    </w:p>
    <w:p w14:paraId="510A6D74" w14:textId="77777777" w:rsidR="003378C0" w:rsidRPr="00A6703F" w:rsidRDefault="00E550CF" w:rsidP="00E550CF">
      <w:pPr>
        <w:tabs>
          <w:tab w:val="left" w:pos="8640"/>
        </w:tabs>
        <w:ind w:right="653"/>
        <w:rPr>
          <w:szCs w:val="24"/>
        </w:rPr>
      </w:pPr>
      <w:r>
        <w:rPr>
          <w:szCs w:val="24"/>
        </w:rPr>
        <w:t xml:space="preserve">            </w:t>
      </w:r>
      <w:r w:rsidR="00C54890" w:rsidRPr="00A6703F">
        <w:rPr>
          <w:szCs w:val="24"/>
        </w:rPr>
        <w:t>None.</w:t>
      </w:r>
    </w:p>
    <w:p w14:paraId="1815E804" w14:textId="77777777" w:rsidR="00F028D0" w:rsidRPr="00A6703F" w:rsidRDefault="00F028D0" w:rsidP="005F7576">
      <w:pPr>
        <w:tabs>
          <w:tab w:val="left" w:pos="8640"/>
        </w:tabs>
        <w:ind w:right="653"/>
        <w:rPr>
          <w:b/>
          <w:bCs/>
          <w:szCs w:val="24"/>
        </w:rPr>
      </w:pPr>
    </w:p>
    <w:p w14:paraId="1B729202" w14:textId="77777777" w:rsidR="00C54890" w:rsidRPr="00A6703F" w:rsidRDefault="00C54890" w:rsidP="005F7576">
      <w:pPr>
        <w:tabs>
          <w:tab w:val="left" w:pos="8640"/>
        </w:tabs>
        <w:ind w:right="653"/>
        <w:rPr>
          <w:szCs w:val="24"/>
        </w:rPr>
      </w:pPr>
      <w:r w:rsidRPr="00A6703F">
        <w:rPr>
          <w:b/>
          <w:bCs/>
          <w:szCs w:val="24"/>
        </w:rPr>
        <w:t>B.  Collections of Information Employing Statistical Methods.</w:t>
      </w:r>
    </w:p>
    <w:p w14:paraId="1558252E" w14:textId="77777777" w:rsidR="00C54890" w:rsidRPr="00A6703F" w:rsidRDefault="00C54890" w:rsidP="005F7576">
      <w:pPr>
        <w:tabs>
          <w:tab w:val="left" w:pos="8640"/>
        </w:tabs>
        <w:ind w:right="653"/>
        <w:rPr>
          <w:szCs w:val="24"/>
        </w:rPr>
      </w:pPr>
    </w:p>
    <w:p w14:paraId="71971001" w14:textId="77777777" w:rsidR="00C54890" w:rsidRPr="00A6703F" w:rsidRDefault="00E550CF" w:rsidP="00E550CF">
      <w:pPr>
        <w:tabs>
          <w:tab w:val="left" w:pos="720"/>
          <w:tab w:val="left" w:pos="8640"/>
        </w:tabs>
        <w:ind w:right="653"/>
        <w:rPr>
          <w:szCs w:val="24"/>
        </w:rPr>
      </w:pPr>
      <w:r>
        <w:rPr>
          <w:szCs w:val="24"/>
        </w:rPr>
        <w:t xml:space="preserve">            </w:t>
      </w:r>
      <w:r w:rsidR="00C54890" w:rsidRPr="00A6703F">
        <w:rPr>
          <w:szCs w:val="24"/>
        </w:rPr>
        <w:t>Not applicable.</w:t>
      </w:r>
    </w:p>
    <w:p w14:paraId="4B4DDC57" w14:textId="77777777" w:rsidR="00C54890" w:rsidRDefault="00C54890" w:rsidP="005F7576">
      <w:pPr>
        <w:tabs>
          <w:tab w:val="left" w:pos="8640"/>
        </w:tabs>
        <w:ind w:right="653"/>
      </w:pPr>
    </w:p>
    <w:p w14:paraId="050AD7B1" w14:textId="77777777" w:rsidR="00C54890" w:rsidRDefault="00C54890" w:rsidP="005F7576">
      <w:pPr>
        <w:tabs>
          <w:tab w:val="left" w:pos="8640"/>
        </w:tabs>
        <w:ind w:right="653"/>
      </w:pPr>
    </w:p>
    <w:p w14:paraId="0C014BDD" w14:textId="77777777" w:rsidR="00C54890" w:rsidRDefault="00C54890" w:rsidP="005F7576">
      <w:pPr>
        <w:tabs>
          <w:tab w:val="left" w:pos="8640"/>
        </w:tabs>
        <w:ind w:right="653"/>
        <w:jc w:val="center"/>
      </w:pPr>
    </w:p>
    <w:sectPr w:rsidR="00C54890" w:rsidSect="004D2352">
      <w:footerReference w:type="even" r:id="rId8"/>
      <w:footerReference w:type="default" r:id="rId9"/>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CC776" w14:textId="77777777" w:rsidR="00183794" w:rsidRDefault="00183794">
      <w:r>
        <w:separator/>
      </w:r>
    </w:p>
  </w:endnote>
  <w:endnote w:type="continuationSeparator" w:id="0">
    <w:p w14:paraId="7E9A3920" w14:textId="77777777" w:rsidR="00183794" w:rsidRDefault="0018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elior">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170A8"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3BD8CF" w14:textId="77777777"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42582"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4D09">
      <w:rPr>
        <w:rStyle w:val="PageNumber"/>
        <w:noProof/>
      </w:rPr>
      <w:t>2</w:t>
    </w:r>
    <w:r>
      <w:rPr>
        <w:rStyle w:val="PageNumber"/>
      </w:rPr>
      <w:fldChar w:fldCharType="end"/>
    </w:r>
  </w:p>
  <w:p w14:paraId="640FD1AD" w14:textId="77777777"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61489" w14:textId="77777777" w:rsidR="00183794" w:rsidRDefault="00183794">
      <w:r>
        <w:separator/>
      </w:r>
    </w:p>
  </w:footnote>
  <w:footnote w:type="continuationSeparator" w:id="0">
    <w:p w14:paraId="0EB45942" w14:textId="77777777" w:rsidR="00183794" w:rsidRDefault="00183794">
      <w:r>
        <w:continuationSeparator/>
      </w:r>
    </w:p>
  </w:footnote>
  <w:footnote w:id="1">
    <w:p w14:paraId="2870F15D" w14:textId="4D0361D9" w:rsidR="00C42955" w:rsidRDefault="00C42955">
      <w:pPr>
        <w:pStyle w:val="FootnoteText"/>
      </w:pPr>
      <w:r>
        <w:rPr>
          <w:rStyle w:val="FootnoteReference"/>
        </w:rPr>
        <w:footnoteRef/>
      </w:r>
      <w:r>
        <w:t xml:space="preserve"> </w:t>
      </w:r>
      <w:r w:rsidR="00EB4831">
        <w:t>12 CFR 3.100(b</w:t>
      </w:r>
      <w:proofErr w:type="gramStart"/>
      <w:r w:rsidR="00EB4831">
        <w:t>)(</w:t>
      </w:r>
      <w:proofErr w:type="gramEnd"/>
      <w:r w:rsidR="00EB4831">
        <w:t>1)</w:t>
      </w:r>
      <w:r>
        <w:t>.</w:t>
      </w:r>
    </w:p>
  </w:footnote>
  <w:footnote w:id="2">
    <w:p w14:paraId="564732C1" w14:textId="15924DCD" w:rsidR="00EB4831" w:rsidRDefault="00EB4831">
      <w:pPr>
        <w:pStyle w:val="FootnoteText"/>
      </w:pPr>
      <w:r>
        <w:rPr>
          <w:rStyle w:val="FootnoteReference"/>
        </w:rPr>
        <w:footnoteRef/>
      </w:r>
      <w:r>
        <w:t xml:space="preserve"> 12 CFR 3.10(c), 3.172(d), and 3.173.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172B706A"/>
    <w:multiLevelType w:val="hybridMultilevel"/>
    <w:tmpl w:val="717897B2"/>
    <w:lvl w:ilvl="0" w:tplc="F0DA7764">
      <w:start w:val="1"/>
      <w:numFmt w:val="bullet"/>
      <w:pStyle w:val="Bulletpoint"/>
      <w:lvlText w:val=""/>
      <w:lvlJc w:val="left"/>
      <w:pPr>
        <w:ind w:left="720" w:hanging="360"/>
      </w:pPr>
      <w:rPr>
        <w:rFonts w:ascii="Symbol" w:hAnsi="Symbol" w:hint="default"/>
        <w:lang w:val="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4"/>
  </w:num>
  <w:num w:numId="3">
    <w:abstractNumId w:val="3"/>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3"/>
  </w:num>
  <w:num w:numId="14">
    <w:abstractNumId w:val="3"/>
  </w:num>
  <w:num w:numId="15">
    <w:abstractNumId w:val="3"/>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04"/>
    <w:rsid w:val="000150AC"/>
    <w:rsid w:val="00016879"/>
    <w:rsid w:val="00033C2E"/>
    <w:rsid w:val="00036382"/>
    <w:rsid w:val="00037653"/>
    <w:rsid w:val="00037AC1"/>
    <w:rsid w:val="000530B7"/>
    <w:rsid w:val="00053277"/>
    <w:rsid w:val="00062E70"/>
    <w:rsid w:val="00065A3C"/>
    <w:rsid w:val="00072C33"/>
    <w:rsid w:val="000758CE"/>
    <w:rsid w:val="00077C89"/>
    <w:rsid w:val="000818B6"/>
    <w:rsid w:val="00085BA4"/>
    <w:rsid w:val="00090450"/>
    <w:rsid w:val="000972C0"/>
    <w:rsid w:val="000A1C54"/>
    <w:rsid w:val="000B01FF"/>
    <w:rsid w:val="000B4155"/>
    <w:rsid w:val="000C108A"/>
    <w:rsid w:val="000C28D8"/>
    <w:rsid w:val="000D253B"/>
    <w:rsid w:val="000F11D3"/>
    <w:rsid w:val="000F42A1"/>
    <w:rsid w:val="000F4498"/>
    <w:rsid w:val="00114564"/>
    <w:rsid w:val="00120373"/>
    <w:rsid w:val="00132DAA"/>
    <w:rsid w:val="001402B5"/>
    <w:rsid w:val="0014161C"/>
    <w:rsid w:val="001470CA"/>
    <w:rsid w:val="00157056"/>
    <w:rsid w:val="00167F34"/>
    <w:rsid w:val="00174B1D"/>
    <w:rsid w:val="00174D11"/>
    <w:rsid w:val="00183794"/>
    <w:rsid w:val="0019346B"/>
    <w:rsid w:val="00196EA5"/>
    <w:rsid w:val="001B086A"/>
    <w:rsid w:val="001C7E01"/>
    <w:rsid w:val="001E35DF"/>
    <w:rsid w:val="001E44D9"/>
    <w:rsid w:val="001E6F18"/>
    <w:rsid w:val="001E7734"/>
    <w:rsid w:val="001F1DFF"/>
    <w:rsid w:val="001F789B"/>
    <w:rsid w:val="00201A94"/>
    <w:rsid w:val="002259CA"/>
    <w:rsid w:val="0023653D"/>
    <w:rsid w:val="002369EB"/>
    <w:rsid w:val="00242457"/>
    <w:rsid w:val="002556ED"/>
    <w:rsid w:val="00270847"/>
    <w:rsid w:val="00271DD7"/>
    <w:rsid w:val="002760D4"/>
    <w:rsid w:val="00277132"/>
    <w:rsid w:val="002779B7"/>
    <w:rsid w:val="0028491D"/>
    <w:rsid w:val="002964EC"/>
    <w:rsid w:val="002B2013"/>
    <w:rsid w:val="002C39A8"/>
    <w:rsid w:val="002D5A5A"/>
    <w:rsid w:val="002E407A"/>
    <w:rsid w:val="002F710D"/>
    <w:rsid w:val="003073CA"/>
    <w:rsid w:val="003208F0"/>
    <w:rsid w:val="00321478"/>
    <w:rsid w:val="003378C0"/>
    <w:rsid w:val="00337EDA"/>
    <w:rsid w:val="0034135E"/>
    <w:rsid w:val="00346DD0"/>
    <w:rsid w:val="00357010"/>
    <w:rsid w:val="0036670B"/>
    <w:rsid w:val="00371DE9"/>
    <w:rsid w:val="00374795"/>
    <w:rsid w:val="00377B1E"/>
    <w:rsid w:val="00384371"/>
    <w:rsid w:val="00391F16"/>
    <w:rsid w:val="003A0ACC"/>
    <w:rsid w:val="003C208A"/>
    <w:rsid w:val="003D602A"/>
    <w:rsid w:val="003D7EC4"/>
    <w:rsid w:val="003E0D3D"/>
    <w:rsid w:val="003E7F6C"/>
    <w:rsid w:val="00406FB0"/>
    <w:rsid w:val="004118AF"/>
    <w:rsid w:val="004135DA"/>
    <w:rsid w:val="004158F7"/>
    <w:rsid w:val="00422DA1"/>
    <w:rsid w:val="00423D6A"/>
    <w:rsid w:val="004312CD"/>
    <w:rsid w:val="00442D5E"/>
    <w:rsid w:val="00451941"/>
    <w:rsid w:val="00455DC8"/>
    <w:rsid w:val="00461E02"/>
    <w:rsid w:val="004632F0"/>
    <w:rsid w:val="004735B3"/>
    <w:rsid w:val="00486C24"/>
    <w:rsid w:val="004921E6"/>
    <w:rsid w:val="004A0436"/>
    <w:rsid w:val="004B071C"/>
    <w:rsid w:val="004D079B"/>
    <w:rsid w:val="004D0F63"/>
    <w:rsid w:val="004D2352"/>
    <w:rsid w:val="004E22F2"/>
    <w:rsid w:val="004E36DE"/>
    <w:rsid w:val="004E3B98"/>
    <w:rsid w:val="00505EC2"/>
    <w:rsid w:val="005125ED"/>
    <w:rsid w:val="005143F9"/>
    <w:rsid w:val="00520545"/>
    <w:rsid w:val="00521B27"/>
    <w:rsid w:val="005230C3"/>
    <w:rsid w:val="00523AFA"/>
    <w:rsid w:val="00546DA5"/>
    <w:rsid w:val="00550131"/>
    <w:rsid w:val="005527ED"/>
    <w:rsid w:val="005530E8"/>
    <w:rsid w:val="00557AA0"/>
    <w:rsid w:val="00564D31"/>
    <w:rsid w:val="00567533"/>
    <w:rsid w:val="005721F6"/>
    <w:rsid w:val="00574627"/>
    <w:rsid w:val="0057772B"/>
    <w:rsid w:val="00584482"/>
    <w:rsid w:val="00590338"/>
    <w:rsid w:val="00591886"/>
    <w:rsid w:val="00596017"/>
    <w:rsid w:val="005B5F48"/>
    <w:rsid w:val="005B63F5"/>
    <w:rsid w:val="005D15E0"/>
    <w:rsid w:val="005D1C3C"/>
    <w:rsid w:val="005D5C1B"/>
    <w:rsid w:val="005E61DD"/>
    <w:rsid w:val="005F1439"/>
    <w:rsid w:val="005F7576"/>
    <w:rsid w:val="00602AAD"/>
    <w:rsid w:val="0060560F"/>
    <w:rsid w:val="006116B4"/>
    <w:rsid w:val="00611F57"/>
    <w:rsid w:val="006243C6"/>
    <w:rsid w:val="00645D36"/>
    <w:rsid w:val="00646EAE"/>
    <w:rsid w:val="0065411D"/>
    <w:rsid w:val="006551FE"/>
    <w:rsid w:val="006632BC"/>
    <w:rsid w:val="00671C4B"/>
    <w:rsid w:val="0067334A"/>
    <w:rsid w:val="00674E37"/>
    <w:rsid w:val="00685B83"/>
    <w:rsid w:val="006A2526"/>
    <w:rsid w:val="006A4DCB"/>
    <w:rsid w:val="006B5B68"/>
    <w:rsid w:val="006B6E3C"/>
    <w:rsid w:val="006C358E"/>
    <w:rsid w:val="006C77C9"/>
    <w:rsid w:val="006F620B"/>
    <w:rsid w:val="0070060E"/>
    <w:rsid w:val="0070438E"/>
    <w:rsid w:val="00721542"/>
    <w:rsid w:val="00730C29"/>
    <w:rsid w:val="0073536B"/>
    <w:rsid w:val="00745D88"/>
    <w:rsid w:val="00746A20"/>
    <w:rsid w:val="00750F3B"/>
    <w:rsid w:val="007554A2"/>
    <w:rsid w:val="007664D7"/>
    <w:rsid w:val="007670F6"/>
    <w:rsid w:val="00786794"/>
    <w:rsid w:val="00790762"/>
    <w:rsid w:val="00792773"/>
    <w:rsid w:val="007975A2"/>
    <w:rsid w:val="007A2DD7"/>
    <w:rsid w:val="007A40C2"/>
    <w:rsid w:val="007B1D9E"/>
    <w:rsid w:val="007B4A05"/>
    <w:rsid w:val="007B547C"/>
    <w:rsid w:val="007C0311"/>
    <w:rsid w:val="007D041E"/>
    <w:rsid w:val="007E6B0A"/>
    <w:rsid w:val="007F04D4"/>
    <w:rsid w:val="00803386"/>
    <w:rsid w:val="00804346"/>
    <w:rsid w:val="0080784C"/>
    <w:rsid w:val="008132DF"/>
    <w:rsid w:val="00827067"/>
    <w:rsid w:val="00835CF0"/>
    <w:rsid w:val="0084206D"/>
    <w:rsid w:val="008430F9"/>
    <w:rsid w:val="0084409E"/>
    <w:rsid w:val="00850624"/>
    <w:rsid w:val="00860CA9"/>
    <w:rsid w:val="008631B7"/>
    <w:rsid w:val="00863851"/>
    <w:rsid w:val="00866B10"/>
    <w:rsid w:val="00867D21"/>
    <w:rsid w:val="0087080E"/>
    <w:rsid w:val="008740C3"/>
    <w:rsid w:val="00885DA7"/>
    <w:rsid w:val="00895CBA"/>
    <w:rsid w:val="008A1AB9"/>
    <w:rsid w:val="008A5FD2"/>
    <w:rsid w:val="008B1A5D"/>
    <w:rsid w:val="008B72AB"/>
    <w:rsid w:val="008C2849"/>
    <w:rsid w:val="008D248C"/>
    <w:rsid w:val="008D6098"/>
    <w:rsid w:val="008E01CD"/>
    <w:rsid w:val="008E0A18"/>
    <w:rsid w:val="008E3647"/>
    <w:rsid w:val="008F1CC8"/>
    <w:rsid w:val="008F1D85"/>
    <w:rsid w:val="009012C1"/>
    <w:rsid w:val="00901F03"/>
    <w:rsid w:val="00903E12"/>
    <w:rsid w:val="009323AF"/>
    <w:rsid w:val="0093374A"/>
    <w:rsid w:val="009401FA"/>
    <w:rsid w:val="00957AE5"/>
    <w:rsid w:val="0096011F"/>
    <w:rsid w:val="009602CA"/>
    <w:rsid w:val="009603EF"/>
    <w:rsid w:val="009615A5"/>
    <w:rsid w:val="009703A4"/>
    <w:rsid w:val="00971F2E"/>
    <w:rsid w:val="0097350C"/>
    <w:rsid w:val="00985652"/>
    <w:rsid w:val="009962BB"/>
    <w:rsid w:val="009A421E"/>
    <w:rsid w:val="009D6BD4"/>
    <w:rsid w:val="009E1DB5"/>
    <w:rsid w:val="009F54AF"/>
    <w:rsid w:val="00A043A5"/>
    <w:rsid w:val="00A11DE5"/>
    <w:rsid w:val="00A22105"/>
    <w:rsid w:val="00A23562"/>
    <w:rsid w:val="00A25905"/>
    <w:rsid w:val="00A33CA4"/>
    <w:rsid w:val="00A351A1"/>
    <w:rsid w:val="00A47A84"/>
    <w:rsid w:val="00A51902"/>
    <w:rsid w:val="00A5327D"/>
    <w:rsid w:val="00A61077"/>
    <w:rsid w:val="00A6703F"/>
    <w:rsid w:val="00A747EA"/>
    <w:rsid w:val="00A7513C"/>
    <w:rsid w:val="00A77B34"/>
    <w:rsid w:val="00A82649"/>
    <w:rsid w:val="00A900CB"/>
    <w:rsid w:val="00A95823"/>
    <w:rsid w:val="00A96CF7"/>
    <w:rsid w:val="00A971D2"/>
    <w:rsid w:val="00A97A95"/>
    <w:rsid w:val="00AB0185"/>
    <w:rsid w:val="00AB5F31"/>
    <w:rsid w:val="00AB7766"/>
    <w:rsid w:val="00AC0390"/>
    <w:rsid w:val="00AC568A"/>
    <w:rsid w:val="00AD0BE6"/>
    <w:rsid w:val="00AE0F67"/>
    <w:rsid w:val="00AF6AD4"/>
    <w:rsid w:val="00B03A55"/>
    <w:rsid w:val="00B12F9F"/>
    <w:rsid w:val="00B31B0B"/>
    <w:rsid w:val="00B34E7A"/>
    <w:rsid w:val="00B5599C"/>
    <w:rsid w:val="00B60422"/>
    <w:rsid w:val="00B61BF4"/>
    <w:rsid w:val="00B65214"/>
    <w:rsid w:val="00B72446"/>
    <w:rsid w:val="00B758EB"/>
    <w:rsid w:val="00B8060E"/>
    <w:rsid w:val="00B91B7C"/>
    <w:rsid w:val="00B93217"/>
    <w:rsid w:val="00BA1407"/>
    <w:rsid w:val="00BB1223"/>
    <w:rsid w:val="00BB35BD"/>
    <w:rsid w:val="00BC327B"/>
    <w:rsid w:val="00BC46DF"/>
    <w:rsid w:val="00BE7318"/>
    <w:rsid w:val="00BF1E0D"/>
    <w:rsid w:val="00BF463C"/>
    <w:rsid w:val="00C03196"/>
    <w:rsid w:val="00C07C98"/>
    <w:rsid w:val="00C108A0"/>
    <w:rsid w:val="00C1202B"/>
    <w:rsid w:val="00C12183"/>
    <w:rsid w:val="00C17218"/>
    <w:rsid w:val="00C27CA6"/>
    <w:rsid w:val="00C30C6A"/>
    <w:rsid w:val="00C40FF4"/>
    <w:rsid w:val="00C42955"/>
    <w:rsid w:val="00C5096C"/>
    <w:rsid w:val="00C52F05"/>
    <w:rsid w:val="00C540D4"/>
    <w:rsid w:val="00C54619"/>
    <w:rsid w:val="00C54890"/>
    <w:rsid w:val="00C604EC"/>
    <w:rsid w:val="00C60F60"/>
    <w:rsid w:val="00C71DC2"/>
    <w:rsid w:val="00C74E1C"/>
    <w:rsid w:val="00C82B24"/>
    <w:rsid w:val="00C833B9"/>
    <w:rsid w:val="00C879A0"/>
    <w:rsid w:val="00C94696"/>
    <w:rsid w:val="00C971C9"/>
    <w:rsid w:val="00CA0FB8"/>
    <w:rsid w:val="00CA245C"/>
    <w:rsid w:val="00CB0D46"/>
    <w:rsid w:val="00CB6F63"/>
    <w:rsid w:val="00CC4017"/>
    <w:rsid w:val="00CE305E"/>
    <w:rsid w:val="00CE71E6"/>
    <w:rsid w:val="00CF774D"/>
    <w:rsid w:val="00D22D3A"/>
    <w:rsid w:val="00D31F63"/>
    <w:rsid w:val="00D328ED"/>
    <w:rsid w:val="00D34419"/>
    <w:rsid w:val="00D42ED6"/>
    <w:rsid w:val="00D50824"/>
    <w:rsid w:val="00D55D4E"/>
    <w:rsid w:val="00D563CD"/>
    <w:rsid w:val="00D56A49"/>
    <w:rsid w:val="00D61564"/>
    <w:rsid w:val="00D61CD1"/>
    <w:rsid w:val="00D70F00"/>
    <w:rsid w:val="00D96CC7"/>
    <w:rsid w:val="00D971A2"/>
    <w:rsid w:val="00DA5698"/>
    <w:rsid w:val="00DB4878"/>
    <w:rsid w:val="00DB6D53"/>
    <w:rsid w:val="00DC48B6"/>
    <w:rsid w:val="00DD67E4"/>
    <w:rsid w:val="00DD7DAC"/>
    <w:rsid w:val="00DE25C2"/>
    <w:rsid w:val="00DE4F8C"/>
    <w:rsid w:val="00DF4AB0"/>
    <w:rsid w:val="00DF62B1"/>
    <w:rsid w:val="00E00DEA"/>
    <w:rsid w:val="00E067B3"/>
    <w:rsid w:val="00E12177"/>
    <w:rsid w:val="00E1671D"/>
    <w:rsid w:val="00E175EE"/>
    <w:rsid w:val="00E17FB8"/>
    <w:rsid w:val="00E23F7B"/>
    <w:rsid w:val="00E26908"/>
    <w:rsid w:val="00E400F7"/>
    <w:rsid w:val="00E43C36"/>
    <w:rsid w:val="00E51C55"/>
    <w:rsid w:val="00E550CF"/>
    <w:rsid w:val="00E60BCE"/>
    <w:rsid w:val="00E62C46"/>
    <w:rsid w:val="00E65A88"/>
    <w:rsid w:val="00E65B34"/>
    <w:rsid w:val="00E7095C"/>
    <w:rsid w:val="00E844BE"/>
    <w:rsid w:val="00E84D09"/>
    <w:rsid w:val="00E872A3"/>
    <w:rsid w:val="00E877DE"/>
    <w:rsid w:val="00E90404"/>
    <w:rsid w:val="00E91768"/>
    <w:rsid w:val="00E93365"/>
    <w:rsid w:val="00E93A82"/>
    <w:rsid w:val="00E941E9"/>
    <w:rsid w:val="00EB10E9"/>
    <w:rsid w:val="00EB1146"/>
    <w:rsid w:val="00EB1287"/>
    <w:rsid w:val="00EB34DC"/>
    <w:rsid w:val="00EB4831"/>
    <w:rsid w:val="00EC27CB"/>
    <w:rsid w:val="00EC3D3D"/>
    <w:rsid w:val="00EE37CE"/>
    <w:rsid w:val="00EF2556"/>
    <w:rsid w:val="00EF6C35"/>
    <w:rsid w:val="00EF7D56"/>
    <w:rsid w:val="00F000C2"/>
    <w:rsid w:val="00F00EA2"/>
    <w:rsid w:val="00F01771"/>
    <w:rsid w:val="00F028D0"/>
    <w:rsid w:val="00F02A5C"/>
    <w:rsid w:val="00F10785"/>
    <w:rsid w:val="00F156EC"/>
    <w:rsid w:val="00F20063"/>
    <w:rsid w:val="00F25F0C"/>
    <w:rsid w:val="00F26804"/>
    <w:rsid w:val="00F4329E"/>
    <w:rsid w:val="00F506C9"/>
    <w:rsid w:val="00F50E21"/>
    <w:rsid w:val="00F57763"/>
    <w:rsid w:val="00F65F04"/>
    <w:rsid w:val="00F724E8"/>
    <w:rsid w:val="00F747CC"/>
    <w:rsid w:val="00F802B9"/>
    <w:rsid w:val="00F84F39"/>
    <w:rsid w:val="00F862C9"/>
    <w:rsid w:val="00FB2788"/>
    <w:rsid w:val="00FC00C4"/>
    <w:rsid w:val="00FD6152"/>
    <w:rsid w:val="00FE1669"/>
    <w:rsid w:val="00FE3BC3"/>
    <w:rsid w:val="00FE63CC"/>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6F1BD"/>
  <w15:docId w15:val="{8DF1974D-D573-4513-8E81-80509D5E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37EDA"/>
    <w:rPr>
      <w:vertAlign w:val="superscript"/>
    </w:rPr>
  </w:style>
  <w:style w:type="paragraph" w:styleId="FootnoteText">
    <w:name w:val="footnote text"/>
    <w:aliases w:val="Footnote Text Char1,Footnote Text Char Char"/>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uiPriority w:val="99"/>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4D1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74D11"/>
    <w:rPr>
      <w:rFonts w:asciiTheme="minorHAnsi" w:eastAsiaTheme="minorHAnsi" w:hAnsiTheme="minorHAnsi" w:cstheme="minorBidi"/>
      <w:sz w:val="22"/>
      <w:szCs w:val="22"/>
    </w:rPr>
  </w:style>
  <w:style w:type="paragraph" w:customStyle="1" w:styleId="Bulletpoint">
    <w:name w:val="Bullet point"/>
    <w:basedOn w:val="Normal"/>
    <w:qFormat/>
    <w:rsid w:val="00174D11"/>
    <w:pPr>
      <w:numPr>
        <w:numId w:val="18"/>
      </w:numPr>
      <w:tabs>
        <w:tab w:val="num" w:pos="360"/>
        <w:tab w:val="left" w:pos="794"/>
      </w:tabs>
      <w:spacing w:after="120"/>
      <w:ind w:left="0" w:firstLine="0"/>
      <w:jc w:val="both"/>
    </w:pPr>
    <w:rPr>
      <w:rFonts w:ascii="Segoe UI" w:eastAsia="SimSun" w:hAnsi="Segoe UI"/>
      <w:noProof/>
      <w:kern w:val="2"/>
      <w:sz w:val="20"/>
      <w:szCs w:val="21"/>
    </w:rPr>
  </w:style>
  <w:style w:type="character" w:styleId="CommentReference">
    <w:name w:val="annotation reference"/>
    <w:basedOn w:val="DefaultParagraphFont"/>
    <w:semiHidden/>
    <w:unhideWhenUsed/>
    <w:rsid w:val="00CE305E"/>
    <w:rPr>
      <w:sz w:val="16"/>
      <w:szCs w:val="16"/>
    </w:rPr>
  </w:style>
  <w:style w:type="paragraph" w:styleId="CommentText">
    <w:name w:val="annotation text"/>
    <w:basedOn w:val="Normal"/>
    <w:link w:val="CommentTextChar"/>
    <w:semiHidden/>
    <w:unhideWhenUsed/>
    <w:rsid w:val="00CE305E"/>
    <w:rPr>
      <w:sz w:val="20"/>
    </w:rPr>
  </w:style>
  <w:style w:type="character" w:customStyle="1" w:styleId="CommentTextChar">
    <w:name w:val="Comment Text Char"/>
    <w:basedOn w:val="DefaultParagraphFont"/>
    <w:link w:val="CommentText"/>
    <w:semiHidden/>
    <w:rsid w:val="00CE305E"/>
  </w:style>
  <w:style w:type="paragraph" w:styleId="CommentSubject">
    <w:name w:val="annotation subject"/>
    <w:basedOn w:val="CommentText"/>
    <w:next w:val="CommentText"/>
    <w:link w:val="CommentSubjectChar"/>
    <w:semiHidden/>
    <w:unhideWhenUsed/>
    <w:rsid w:val="00CE305E"/>
    <w:rPr>
      <w:b/>
      <w:bCs/>
    </w:rPr>
  </w:style>
  <w:style w:type="character" w:customStyle="1" w:styleId="CommentSubjectChar">
    <w:name w:val="Comment Subject Char"/>
    <w:basedOn w:val="CommentTextChar"/>
    <w:link w:val="CommentSubject"/>
    <w:semiHidden/>
    <w:rsid w:val="00CE3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877815036">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CE8ED-5337-4A4D-B189-298051A5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mary.gottlieb</cp:lastModifiedBy>
  <cp:revision>6</cp:revision>
  <cp:lastPrinted>2014-04-03T20:02:00Z</cp:lastPrinted>
  <dcterms:created xsi:type="dcterms:W3CDTF">2017-04-26T14:45:00Z</dcterms:created>
  <dcterms:modified xsi:type="dcterms:W3CDTF">2017-04-26T20:49:00Z</dcterms:modified>
</cp:coreProperties>
</file>